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2362"/>
      </w:pPr>
      <w:r>
        <w:rPr/>
        <w:t>人保寿险附加富贵一生重大疾病保险</w:t>
      </w:r>
    </w:p>
    <w:p>
      <w:pPr>
        <w:spacing w:line="506" w:lineRule="exact" w:before="0"/>
        <w:ind w:left="4170" w:right="0" w:firstLine="0"/>
        <w:jc w:val="left"/>
        <w:rPr>
          <w:rFonts w:ascii="微软雅黑" w:eastAsia="微软雅黑" w:hint="eastAsia"/>
          <w:b/>
          <w:sz w:val="30"/>
        </w:rPr>
      </w:pPr>
      <w:r>
        <w:rPr>
          <w:rFonts w:ascii="微软雅黑" w:eastAsia="微软雅黑" w:hint="eastAsia"/>
          <w:b/>
          <w:sz w:val="30"/>
        </w:rPr>
        <w:t>条款目录</w:t>
      </w:r>
    </w:p>
    <w:p>
      <w:pPr>
        <w:pStyle w:val="BodyText"/>
        <w:spacing w:line="314" w:lineRule="auto" w:before="36"/>
        <w:ind w:left="3724" w:hanging="1369"/>
      </w:pPr>
      <w:r>
        <w:rPr>
          <w:spacing w:val="-3"/>
          <w:u w:val="single"/>
        </w:rPr>
        <w:t>条款是保险合同的重要内容，为充分保障您的权益， 请您仔细阅读本条款</w:t>
      </w:r>
      <w:r>
        <w:rPr>
          <w:spacing w:val="-212"/>
          <w:u w:val="single"/>
        </w:rPr>
        <w:t>。</w:t>
      </w:r>
    </w:p>
    <w:p>
      <w:pPr>
        <w:spacing w:before="54"/>
        <w:ind w:left="92" w:right="37" w:firstLine="0"/>
        <w:jc w:val="center"/>
        <w:rPr>
          <w:sz w:val="18"/>
        </w:rPr>
      </w:pPr>
      <w:r>
        <w:rPr/>
        <w:br w:type="column"/>
      </w:r>
      <w:r>
        <w:rPr>
          <w:sz w:val="18"/>
        </w:rPr>
        <w:t>人保寿险[2017]疾病保险 005 号</w:t>
      </w:r>
    </w:p>
    <w:p>
      <w:pPr>
        <w:pStyle w:val="BodyText"/>
        <w:rPr>
          <w:sz w:val="2"/>
        </w:rPr>
      </w:pPr>
    </w:p>
    <w:p>
      <w:pPr>
        <w:pStyle w:val="BodyText"/>
        <w:ind w:left="84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0"/>
        <w:ind w:left="90" w:right="37" w:firstLine="0"/>
        <w:jc w:val="center"/>
        <w:rPr>
          <w:sz w:val="18"/>
        </w:rPr>
      </w:pPr>
      <w:r>
        <w:rPr>
          <w:sz w:val="18"/>
        </w:rPr>
        <w:t>请扫描以查询验证条款</w:t>
      </w:r>
    </w:p>
    <w:p>
      <w:pPr>
        <w:spacing w:after="0"/>
        <w:jc w:val="center"/>
        <w:rPr>
          <w:sz w:val="18"/>
        </w:rPr>
        <w:sectPr>
          <w:type w:val="continuous"/>
          <w:pgSz w:w="11910" w:h="16840"/>
          <w:pgMar w:top="1500" w:bottom="280" w:left="1180" w:right="720"/>
          <w:cols w:num="2" w:equalWidth="0">
            <w:col w:w="7190" w:space="40"/>
            <w:col w:w="2780"/>
          </w:cols>
        </w:sectPr>
      </w:pPr>
    </w:p>
    <w:p>
      <w:pPr>
        <w:pStyle w:val="BodyText"/>
        <w:spacing w:before="12" w:after="1"/>
        <w:rPr>
          <w:sz w:val="2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69"/>
        <w:gridCol w:w="4877"/>
      </w:tblGrid>
      <w:tr>
        <w:trPr>
          <w:trHeight w:val="286" w:hRule="atLeast"/>
        </w:trPr>
        <w:tc>
          <w:tcPr>
            <w:tcW w:w="4469" w:type="dxa"/>
          </w:tcPr>
          <w:p>
            <w:pPr>
              <w:pStyle w:val="TableParagraph"/>
              <w:spacing w:line="243" w:lineRule="exact"/>
              <w:ind w:left="200"/>
              <w:rPr>
                <w:rFonts w:ascii="微软雅黑" w:eastAsia="微软雅黑" w:hint="eastAsia"/>
                <w:b/>
                <w:sz w:val="21"/>
              </w:rPr>
            </w:pPr>
            <w:r>
              <w:rPr>
                <w:rFonts w:ascii="Times New Roman" w:eastAsia="Times New Roman"/>
                <w:b/>
                <w:sz w:val="21"/>
              </w:rPr>
              <w:t>1.  </w:t>
            </w:r>
            <w:r>
              <w:rPr>
                <w:rFonts w:ascii="微软雅黑" w:eastAsia="微软雅黑" w:hint="eastAsia"/>
                <w:b/>
                <w:sz w:val="21"/>
              </w:rPr>
              <w:t>您与我们的合同</w:t>
            </w:r>
          </w:p>
        </w:tc>
        <w:tc>
          <w:tcPr>
            <w:tcW w:w="4877" w:type="dxa"/>
          </w:tcPr>
          <w:p>
            <w:pPr>
              <w:pStyle w:val="TableParagraph"/>
              <w:spacing w:line="243" w:lineRule="exact"/>
              <w:ind w:left="956"/>
              <w:rPr>
                <w:rFonts w:ascii="微软雅黑" w:eastAsia="微软雅黑" w:hint="eastAsia"/>
                <w:b/>
                <w:sz w:val="21"/>
              </w:rPr>
            </w:pPr>
            <w:r>
              <w:rPr>
                <w:rFonts w:ascii="Times New Roman" w:eastAsia="Times New Roman"/>
                <w:b/>
                <w:sz w:val="21"/>
              </w:rPr>
              <w:t>4.  </w:t>
            </w:r>
            <w:r>
              <w:rPr>
                <w:rFonts w:ascii="微软雅黑" w:eastAsia="微软雅黑" w:hint="eastAsia"/>
                <w:b/>
                <w:sz w:val="21"/>
              </w:rPr>
              <w:t>如何申请领取保险金</w:t>
            </w:r>
          </w:p>
        </w:tc>
      </w:tr>
      <w:tr>
        <w:trPr>
          <w:trHeight w:val="339" w:hRule="atLeast"/>
        </w:trPr>
        <w:tc>
          <w:tcPr>
            <w:tcW w:w="4469" w:type="dxa"/>
          </w:tcPr>
          <w:p>
            <w:pPr>
              <w:pStyle w:val="TableParagraph"/>
              <w:spacing w:line="286" w:lineRule="exact"/>
              <w:ind w:left="622"/>
              <w:rPr>
                <w:sz w:val="21"/>
              </w:rPr>
            </w:pPr>
            <w:r>
              <w:rPr>
                <w:rFonts w:ascii="Times New Roman" w:eastAsia="Times New Roman"/>
                <w:sz w:val="21"/>
              </w:rPr>
              <w:t>1.1  </w:t>
            </w:r>
            <w:r>
              <w:rPr>
                <w:sz w:val="21"/>
              </w:rPr>
              <w:t>附加合同订立</w:t>
            </w:r>
          </w:p>
        </w:tc>
        <w:tc>
          <w:tcPr>
            <w:tcW w:w="4877" w:type="dxa"/>
          </w:tcPr>
          <w:p>
            <w:pPr>
              <w:pStyle w:val="TableParagraph"/>
              <w:spacing w:line="286" w:lineRule="exact"/>
              <w:ind w:left="1379"/>
              <w:rPr>
                <w:sz w:val="21"/>
              </w:rPr>
            </w:pPr>
            <w:r>
              <w:rPr>
                <w:rFonts w:ascii="Times New Roman" w:eastAsia="Times New Roman"/>
                <w:sz w:val="21"/>
              </w:rPr>
              <w:t>4.1  </w:t>
            </w:r>
            <w:r>
              <w:rPr>
                <w:sz w:val="21"/>
              </w:rPr>
              <w:t>受益人</w:t>
            </w:r>
          </w:p>
        </w:tc>
      </w:tr>
      <w:tr>
        <w:trPr>
          <w:trHeight w:val="340" w:hRule="atLeast"/>
        </w:trPr>
        <w:tc>
          <w:tcPr>
            <w:tcW w:w="4469" w:type="dxa"/>
          </w:tcPr>
          <w:p>
            <w:pPr>
              <w:pStyle w:val="TableParagraph"/>
              <w:spacing w:line="287" w:lineRule="exact"/>
              <w:ind w:left="622"/>
              <w:rPr>
                <w:sz w:val="21"/>
              </w:rPr>
            </w:pPr>
            <w:r>
              <w:rPr>
                <w:rFonts w:ascii="Times New Roman" w:eastAsia="Times New Roman"/>
                <w:sz w:val="21"/>
              </w:rPr>
              <w:t>1.2  </w:t>
            </w:r>
            <w:r>
              <w:rPr>
                <w:sz w:val="21"/>
              </w:rPr>
              <w:t>附加合同成立与生效</w:t>
            </w:r>
          </w:p>
        </w:tc>
        <w:tc>
          <w:tcPr>
            <w:tcW w:w="4877" w:type="dxa"/>
          </w:tcPr>
          <w:p>
            <w:pPr>
              <w:pStyle w:val="TableParagraph"/>
              <w:spacing w:line="287" w:lineRule="exact"/>
              <w:ind w:left="1379"/>
              <w:rPr>
                <w:sz w:val="21"/>
              </w:rPr>
            </w:pPr>
            <w:r>
              <w:rPr>
                <w:rFonts w:ascii="Times New Roman" w:eastAsia="Times New Roman"/>
                <w:sz w:val="21"/>
              </w:rPr>
              <w:t>4.2  </w:t>
            </w:r>
            <w:r>
              <w:rPr>
                <w:sz w:val="21"/>
              </w:rPr>
              <w:t>保险金申请</w:t>
            </w:r>
          </w:p>
        </w:tc>
      </w:tr>
      <w:tr>
        <w:trPr>
          <w:trHeight w:val="339" w:hRule="atLeast"/>
        </w:trPr>
        <w:tc>
          <w:tcPr>
            <w:tcW w:w="4469" w:type="dxa"/>
          </w:tcPr>
          <w:p>
            <w:pPr>
              <w:pStyle w:val="TableParagraph"/>
              <w:ind w:left="0"/>
              <w:rPr>
                <w:rFonts w:ascii="Times New Roman"/>
                <w:sz w:val="20"/>
              </w:rPr>
            </w:pPr>
          </w:p>
        </w:tc>
        <w:tc>
          <w:tcPr>
            <w:tcW w:w="4877" w:type="dxa"/>
          </w:tcPr>
          <w:p>
            <w:pPr>
              <w:pStyle w:val="TableParagraph"/>
              <w:spacing w:line="287" w:lineRule="exact"/>
              <w:ind w:left="1379"/>
              <w:rPr>
                <w:sz w:val="21"/>
              </w:rPr>
            </w:pPr>
            <w:r>
              <w:rPr>
                <w:rFonts w:ascii="Times New Roman" w:eastAsia="Times New Roman"/>
                <w:sz w:val="21"/>
              </w:rPr>
              <w:t>4.3  </w:t>
            </w:r>
            <w:r>
              <w:rPr>
                <w:sz w:val="21"/>
              </w:rPr>
              <w:t>保险金的给付</w:t>
            </w:r>
          </w:p>
        </w:tc>
      </w:tr>
      <w:tr>
        <w:trPr>
          <w:trHeight w:val="339" w:hRule="atLeast"/>
        </w:trPr>
        <w:tc>
          <w:tcPr>
            <w:tcW w:w="4469" w:type="dxa"/>
          </w:tcPr>
          <w:p>
            <w:pPr>
              <w:pStyle w:val="TableParagraph"/>
              <w:spacing w:line="295" w:lineRule="exact"/>
              <w:ind w:left="200"/>
              <w:rPr>
                <w:rFonts w:ascii="微软雅黑" w:eastAsia="微软雅黑" w:hint="eastAsia"/>
                <w:b/>
                <w:sz w:val="21"/>
              </w:rPr>
            </w:pPr>
            <w:r>
              <w:rPr>
                <w:rFonts w:ascii="Times New Roman" w:eastAsia="Times New Roman"/>
                <w:b/>
                <w:sz w:val="21"/>
              </w:rPr>
              <w:t>2.  </w:t>
            </w:r>
            <w:r>
              <w:rPr>
                <w:rFonts w:ascii="微软雅黑" w:eastAsia="微软雅黑" w:hint="eastAsia"/>
                <w:b/>
                <w:sz w:val="21"/>
              </w:rPr>
              <w:t>您获得的保障</w:t>
            </w:r>
          </w:p>
        </w:tc>
        <w:tc>
          <w:tcPr>
            <w:tcW w:w="4877" w:type="dxa"/>
          </w:tcPr>
          <w:p>
            <w:pPr>
              <w:pStyle w:val="TableParagraph"/>
              <w:spacing w:line="286" w:lineRule="exact"/>
              <w:ind w:left="1379"/>
              <w:rPr>
                <w:sz w:val="21"/>
              </w:rPr>
            </w:pPr>
            <w:r>
              <w:rPr>
                <w:rFonts w:ascii="Times New Roman" w:eastAsia="Times New Roman"/>
                <w:sz w:val="21"/>
              </w:rPr>
              <w:t>4.4  </w:t>
            </w:r>
            <w:r>
              <w:rPr>
                <w:sz w:val="21"/>
              </w:rPr>
              <w:t>诉讼时效</w:t>
            </w:r>
          </w:p>
        </w:tc>
      </w:tr>
      <w:tr>
        <w:trPr>
          <w:trHeight w:val="341" w:hRule="atLeast"/>
        </w:trPr>
        <w:tc>
          <w:tcPr>
            <w:tcW w:w="4469" w:type="dxa"/>
          </w:tcPr>
          <w:p>
            <w:pPr>
              <w:pStyle w:val="TableParagraph"/>
              <w:spacing w:line="287" w:lineRule="exact"/>
              <w:ind w:left="622"/>
              <w:rPr>
                <w:sz w:val="21"/>
              </w:rPr>
            </w:pPr>
            <w:r>
              <w:rPr>
                <w:rFonts w:ascii="Times New Roman" w:eastAsia="Times New Roman"/>
                <w:sz w:val="21"/>
              </w:rPr>
              <w:t>2.1  </w:t>
            </w:r>
            <w:r>
              <w:rPr>
                <w:sz w:val="21"/>
              </w:rPr>
              <w:t>保险金额</w:t>
            </w:r>
          </w:p>
        </w:tc>
        <w:tc>
          <w:tcPr>
            <w:tcW w:w="4877" w:type="dxa"/>
          </w:tcPr>
          <w:p>
            <w:pPr>
              <w:pStyle w:val="TableParagraph"/>
              <w:ind w:left="0"/>
              <w:rPr>
                <w:rFonts w:ascii="Times New Roman"/>
                <w:sz w:val="20"/>
              </w:rPr>
            </w:pPr>
          </w:p>
        </w:tc>
      </w:tr>
      <w:tr>
        <w:trPr>
          <w:trHeight w:val="339" w:hRule="atLeast"/>
        </w:trPr>
        <w:tc>
          <w:tcPr>
            <w:tcW w:w="4469" w:type="dxa"/>
          </w:tcPr>
          <w:p>
            <w:pPr>
              <w:pStyle w:val="TableParagraph"/>
              <w:spacing w:line="287" w:lineRule="exact"/>
              <w:ind w:left="622"/>
              <w:rPr>
                <w:sz w:val="21"/>
              </w:rPr>
            </w:pPr>
            <w:r>
              <w:rPr>
                <w:rFonts w:ascii="Times New Roman" w:eastAsia="Times New Roman"/>
                <w:sz w:val="21"/>
              </w:rPr>
              <w:t>2.2  </w:t>
            </w:r>
            <w:r>
              <w:rPr>
                <w:sz w:val="21"/>
              </w:rPr>
              <w:t>基本保险金额的削减与恢复</w:t>
            </w:r>
          </w:p>
        </w:tc>
        <w:tc>
          <w:tcPr>
            <w:tcW w:w="4877" w:type="dxa"/>
          </w:tcPr>
          <w:p>
            <w:pPr>
              <w:pStyle w:val="TableParagraph"/>
              <w:spacing w:line="297" w:lineRule="exact"/>
              <w:ind w:left="956"/>
              <w:rPr>
                <w:rFonts w:ascii="微软雅黑" w:eastAsia="微软雅黑" w:hint="eastAsia"/>
                <w:b/>
                <w:sz w:val="21"/>
              </w:rPr>
            </w:pPr>
            <w:r>
              <w:rPr>
                <w:rFonts w:ascii="Times New Roman" w:eastAsia="Times New Roman"/>
                <w:b/>
                <w:sz w:val="21"/>
              </w:rPr>
              <w:t>5.  </w:t>
            </w:r>
            <w:r>
              <w:rPr>
                <w:rFonts w:ascii="微软雅黑" w:eastAsia="微软雅黑" w:hint="eastAsia"/>
                <w:b/>
                <w:sz w:val="21"/>
              </w:rPr>
              <w:t>您需要关注的其他事项</w:t>
            </w:r>
          </w:p>
        </w:tc>
      </w:tr>
      <w:tr>
        <w:trPr>
          <w:trHeight w:val="339" w:hRule="atLeast"/>
        </w:trPr>
        <w:tc>
          <w:tcPr>
            <w:tcW w:w="4469" w:type="dxa"/>
          </w:tcPr>
          <w:p>
            <w:pPr>
              <w:pStyle w:val="TableParagraph"/>
              <w:spacing w:line="286" w:lineRule="exact"/>
              <w:ind w:left="622"/>
              <w:rPr>
                <w:sz w:val="21"/>
              </w:rPr>
            </w:pPr>
            <w:r>
              <w:rPr>
                <w:rFonts w:ascii="Times New Roman" w:eastAsia="Times New Roman"/>
                <w:sz w:val="21"/>
              </w:rPr>
              <w:t>2.3  </w:t>
            </w:r>
            <w:r>
              <w:rPr>
                <w:sz w:val="21"/>
              </w:rPr>
              <w:t>风险保额</w:t>
            </w:r>
          </w:p>
        </w:tc>
        <w:tc>
          <w:tcPr>
            <w:tcW w:w="4877" w:type="dxa"/>
          </w:tcPr>
          <w:p>
            <w:pPr>
              <w:pStyle w:val="TableParagraph"/>
              <w:spacing w:line="286" w:lineRule="exact"/>
              <w:ind w:left="1379"/>
              <w:rPr>
                <w:sz w:val="21"/>
              </w:rPr>
            </w:pPr>
            <w:r>
              <w:rPr>
                <w:rFonts w:ascii="Times New Roman" w:eastAsia="Times New Roman"/>
                <w:sz w:val="21"/>
              </w:rPr>
              <w:t>5.1  </w:t>
            </w:r>
            <w:r>
              <w:rPr>
                <w:sz w:val="21"/>
              </w:rPr>
              <w:t>投保范围</w:t>
            </w:r>
          </w:p>
        </w:tc>
      </w:tr>
      <w:tr>
        <w:trPr>
          <w:trHeight w:val="340" w:hRule="atLeast"/>
        </w:trPr>
        <w:tc>
          <w:tcPr>
            <w:tcW w:w="4469" w:type="dxa"/>
          </w:tcPr>
          <w:p>
            <w:pPr>
              <w:pStyle w:val="TableParagraph"/>
              <w:spacing w:line="287" w:lineRule="exact"/>
              <w:ind w:left="622"/>
              <w:rPr>
                <w:sz w:val="21"/>
              </w:rPr>
            </w:pPr>
            <w:r>
              <w:rPr>
                <w:rFonts w:ascii="Times New Roman" w:eastAsia="Times New Roman"/>
                <w:sz w:val="21"/>
              </w:rPr>
              <w:t>2.4  </w:t>
            </w:r>
            <w:r>
              <w:rPr>
                <w:sz w:val="21"/>
              </w:rPr>
              <w:t>保险期间</w:t>
            </w:r>
          </w:p>
        </w:tc>
        <w:tc>
          <w:tcPr>
            <w:tcW w:w="4877" w:type="dxa"/>
          </w:tcPr>
          <w:p>
            <w:pPr>
              <w:pStyle w:val="TableParagraph"/>
              <w:ind w:left="0"/>
              <w:rPr>
                <w:rFonts w:ascii="Times New Roman"/>
                <w:sz w:val="20"/>
              </w:rPr>
            </w:pPr>
          </w:p>
        </w:tc>
      </w:tr>
      <w:tr>
        <w:trPr>
          <w:trHeight w:val="339" w:hRule="atLeast"/>
        </w:trPr>
        <w:tc>
          <w:tcPr>
            <w:tcW w:w="4469" w:type="dxa"/>
          </w:tcPr>
          <w:p>
            <w:pPr>
              <w:pStyle w:val="TableParagraph"/>
              <w:spacing w:line="287" w:lineRule="exact"/>
              <w:ind w:left="622"/>
              <w:rPr>
                <w:sz w:val="21"/>
              </w:rPr>
            </w:pPr>
            <w:r>
              <w:rPr>
                <w:rFonts w:ascii="Times New Roman" w:eastAsia="Times New Roman"/>
                <w:sz w:val="21"/>
              </w:rPr>
              <w:t>2.5  </w:t>
            </w:r>
            <w:r>
              <w:rPr>
                <w:sz w:val="21"/>
              </w:rPr>
              <w:t>保险责任</w:t>
            </w:r>
          </w:p>
        </w:tc>
        <w:tc>
          <w:tcPr>
            <w:tcW w:w="4877" w:type="dxa"/>
          </w:tcPr>
          <w:p>
            <w:pPr>
              <w:pStyle w:val="TableParagraph"/>
              <w:spacing w:line="297" w:lineRule="exact"/>
              <w:ind w:left="956"/>
              <w:rPr>
                <w:rFonts w:ascii="微软雅黑" w:eastAsia="微软雅黑" w:hint="eastAsia"/>
                <w:b/>
                <w:sz w:val="21"/>
              </w:rPr>
            </w:pPr>
            <w:r>
              <w:rPr>
                <w:rFonts w:ascii="Times New Roman" w:eastAsia="Times New Roman"/>
                <w:b/>
                <w:sz w:val="21"/>
              </w:rPr>
              <w:t>6.  </w:t>
            </w:r>
            <w:r>
              <w:rPr>
                <w:rFonts w:ascii="微软雅黑" w:eastAsia="微软雅黑" w:hint="eastAsia"/>
                <w:b/>
                <w:sz w:val="21"/>
              </w:rPr>
              <w:t>您需要了解的重要术语</w:t>
            </w:r>
          </w:p>
        </w:tc>
      </w:tr>
      <w:tr>
        <w:trPr>
          <w:trHeight w:val="339" w:hRule="atLeast"/>
        </w:trPr>
        <w:tc>
          <w:tcPr>
            <w:tcW w:w="4469" w:type="dxa"/>
          </w:tcPr>
          <w:p>
            <w:pPr>
              <w:pStyle w:val="TableParagraph"/>
              <w:spacing w:line="286" w:lineRule="exact"/>
              <w:ind w:left="622"/>
              <w:rPr>
                <w:sz w:val="21"/>
              </w:rPr>
            </w:pPr>
            <w:r>
              <w:rPr>
                <w:rFonts w:ascii="Times New Roman" w:eastAsia="Times New Roman"/>
                <w:sz w:val="21"/>
              </w:rPr>
              <w:t>2.6  </w:t>
            </w:r>
            <w:r>
              <w:rPr>
                <w:sz w:val="21"/>
              </w:rPr>
              <w:t>责任免除</w:t>
            </w:r>
          </w:p>
        </w:tc>
        <w:tc>
          <w:tcPr>
            <w:tcW w:w="4877" w:type="dxa"/>
          </w:tcPr>
          <w:p>
            <w:pPr>
              <w:pStyle w:val="TableParagraph"/>
              <w:spacing w:line="286" w:lineRule="exact"/>
              <w:ind w:left="1379"/>
              <w:rPr>
                <w:sz w:val="21"/>
              </w:rPr>
            </w:pPr>
            <w:r>
              <w:rPr>
                <w:rFonts w:ascii="Times New Roman" w:eastAsia="Times New Roman"/>
                <w:sz w:val="21"/>
              </w:rPr>
              <w:t>6.1  </w:t>
            </w:r>
            <w:r>
              <w:rPr>
                <w:sz w:val="21"/>
              </w:rPr>
              <w:t>感染艾滋病病毒或患艾滋病</w:t>
            </w:r>
          </w:p>
        </w:tc>
      </w:tr>
      <w:tr>
        <w:trPr>
          <w:trHeight w:val="340" w:hRule="atLeast"/>
        </w:trPr>
        <w:tc>
          <w:tcPr>
            <w:tcW w:w="4469" w:type="dxa"/>
          </w:tcPr>
          <w:p>
            <w:pPr>
              <w:pStyle w:val="TableParagraph"/>
              <w:ind w:left="0"/>
              <w:rPr>
                <w:rFonts w:ascii="Times New Roman"/>
                <w:sz w:val="20"/>
              </w:rPr>
            </w:pPr>
          </w:p>
        </w:tc>
        <w:tc>
          <w:tcPr>
            <w:tcW w:w="4877" w:type="dxa"/>
          </w:tcPr>
          <w:p>
            <w:pPr>
              <w:pStyle w:val="TableParagraph"/>
              <w:spacing w:line="287" w:lineRule="exact"/>
              <w:ind w:left="1379"/>
              <w:rPr>
                <w:sz w:val="21"/>
              </w:rPr>
            </w:pPr>
            <w:r>
              <w:rPr>
                <w:rFonts w:ascii="Times New Roman" w:eastAsia="Times New Roman"/>
                <w:sz w:val="21"/>
              </w:rPr>
              <w:t>6.2  </w:t>
            </w:r>
            <w:r>
              <w:rPr>
                <w:sz w:val="21"/>
              </w:rPr>
              <w:t>遗传性疾病</w:t>
            </w:r>
          </w:p>
        </w:tc>
      </w:tr>
      <w:tr>
        <w:trPr>
          <w:trHeight w:val="339" w:hRule="atLeast"/>
        </w:trPr>
        <w:tc>
          <w:tcPr>
            <w:tcW w:w="4469" w:type="dxa"/>
          </w:tcPr>
          <w:p>
            <w:pPr>
              <w:pStyle w:val="TableParagraph"/>
              <w:spacing w:line="297" w:lineRule="exact"/>
              <w:ind w:left="200"/>
              <w:rPr>
                <w:rFonts w:ascii="微软雅黑" w:eastAsia="微软雅黑" w:hint="eastAsia"/>
                <w:b/>
                <w:sz w:val="21"/>
              </w:rPr>
            </w:pPr>
            <w:r>
              <w:rPr>
                <w:rFonts w:ascii="Times New Roman" w:eastAsia="Times New Roman"/>
                <w:b/>
                <w:sz w:val="21"/>
              </w:rPr>
              <w:t>3.  </w:t>
            </w:r>
            <w:r>
              <w:rPr>
                <w:rFonts w:ascii="微软雅黑" w:eastAsia="微软雅黑" w:hint="eastAsia"/>
                <w:b/>
                <w:sz w:val="21"/>
              </w:rPr>
              <w:t>您的义务和权利</w:t>
            </w:r>
          </w:p>
        </w:tc>
        <w:tc>
          <w:tcPr>
            <w:tcW w:w="4877" w:type="dxa"/>
          </w:tcPr>
          <w:p>
            <w:pPr>
              <w:pStyle w:val="TableParagraph"/>
              <w:spacing w:line="287" w:lineRule="exact"/>
              <w:ind w:left="1376"/>
              <w:rPr>
                <w:sz w:val="21"/>
              </w:rPr>
            </w:pPr>
            <w:r>
              <w:rPr>
                <w:rFonts w:ascii="Times New Roman" w:eastAsia="Times New Roman"/>
                <w:sz w:val="21"/>
              </w:rPr>
              <w:t>6.3  </w:t>
            </w:r>
            <w:r>
              <w:rPr>
                <w:sz w:val="21"/>
              </w:rPr>
              <w:t>先天性畸形、变形或染色体异常</w:t>
            </w:r>
          </w:p>
        </w:tc>
      </w:tr>
      <w:tr>
        <w:trPr>
          <w:trHeight w:val="339" w:hRule="atLeast"/>
        </w:trPr>
        <w:tc>
          <w:tcPr>
            <w:tcW w:w="4469" w:type="dxa"/>
          </w:tcPr>
          <w:p>
            <w:pPr>
              <w:pStyle w:val="TableParagraph"/>
              <w:spacing w:line="286" w:lineRule="exact"/>
              <w:ind w:left="622"/>
              <w:rPr>
                <w:sz w:val="21"/>
              </w:rPr>
            </w:pPr>
            <w:r>
              <w:rPr>
                <w:rFonts w:ascii="Times New Roman" w:eastAsia="Times New Roman"/>
                <w:sz w:val="21"/>
              </w:rPr>
              <w:t>3.1  </w:t>
            </w:r>
            <w:r>
              <w:rPr>
                <w:sz w:val="21"/>
              </w:rPr>
              <w:t>基本保险金额的变更</w:t>
            </w:r>
          </w:p>
        </w:tc>
        <w:tc>
          <w:tcPr>
            <w:tcW w:w="4877" w:type="dxa"/>
          </w:tcPr>
          <w:p>
            <w:pPr>
              <w:pStyle w:val="TableParagraph"/>
              <w:spacing w:line="286" w:lineRule="exact"/>
              <w:ind w:left="1376"/>
              <w:rPr>
                <w:sz w:val="21"/>
              </w:rPr>
            </w:pPr>
            <w:r>
              <w:rPr>
                <w:rFonts w:ascii="Times New Roman" w:eastAsia="Times New Roman"/>
                <w:sz w:val="21"/>
              </w:rPr>
              <w:t>6.4  </w:t>
            </w:r>
            <w:r>
              <w:rPr>
                <w:sz w:val="21"/>
              </w:rPr>
              <w:t>重大疾病</w:t>
            </w:r>
          </w:p>
        </w:tc>
      </w:tr>
      <w:tr>
        <w:trPr>
          <w:trHeight w:val="340" w:hRule="atLeast"/>
        </w:trPr>
        <w:tc>
          <w:tcPr>
            <w:tcW w:w="4469" w:type="dxa"/>
          </w:tcPr>
          <w:p>
            <w:pPr>
              <w:pStyle w:val="TableParagraph"/>
              <w:spacing w:line="287" w:lineRule="exact"/>
              <w:ind w:left="622"/>
              <w:rPr>
                <w:sz w:val="21"/>
              </w:rPr>
            </w:pPr>
            <w:r>
              <w:rPr>
                <w:rFonts w:ascii="Times New Roman" w:eastAsia="Times New Roman"/>
                <w:sz w:val="21"/>
              </w:rPr>
              <w:t>3.2  </w:t>
            </w:r>
            <w:r>
              <w:rPr>
                <w:sz w:val="21"/>
              </w:rPr>
              <w:t>犹豫期</w:t>
            </w:r>
          </w:p>
        </w:tc>
        <w:tc>
          <w:tcPr>
            <w:tcW w:w="4877" w:type="dxa"/>
          </w:tcPr>
          <w:p>
            <w:pPr>
              <w:pStyle w:val="TableParagraph"/>
              <w:ind w:left="0"/>
              <w:rPr>
                <w:rFonts w:ascii="Times New Roman"/>
                <w:sz w:val="20"/>
              </w:rPr>
            </w:pPr>
          </w:p>
        </w:tc>
      </w:tr>
      <w:tr>
        <w:trPr>
          <w:trHeight w:val="339" w:hRule="atLeast"/>
        </w:trPr>
        <w:tc>
          <w:tcPr>
            <w:tcW w:w="4469" w:type="dxa"/>
          </w:tcPr>
          <w:p>
            <w:pPr>
              <w:pStyle w:val="TableParagraph"/>
              <w:spacing w:line="287" w:lineRule="exact"/>
              <w:ind w:left="622"/>
              <w:rPr>
                <w:sz w:val="21"/>
              </w:rPr>
            </w:pPr>
            <w:r>
              <w:rPr>
                <w:rFonts w:ascii="Times New Roman" w:eastAsia="Times New Roman"/>
                <w:sz w:val="21"/>
              </w:rPr>
              <w:t>3.3  </w:t>
            </w:r>
            <w:r>
              <w:rPr>
                <w:sz w:val="21"/>
              </w:rPr>
              <w:t>您解除合同的手续及风险</w:t>
            </w:r>
          </w:p>
        </w:tc>
        <w:tc>
          <w:tcPr>
            <w:tcW w:w="4877" w:type="dxa"/>
          </w:tcPr>
          <w:p>
            <w:pPr>
              <w:pStyle w:val="TableParagraph"/>
              <w:ind w:left="0"/>
              <w:rPr>
                <w:rFonts w:ascii="Times New Roman"/>
                <w:sz w:val="20"/>
              </w:rPr>
            </w:pPr>
          </w:p>
        </w:tc>
      </w:tr>
      <w:tr>
        <w:trPr>
          <w:trHeight w:val="286" w:hRule="atLeast"/>
        </w:trPr>
        <w:tc>
          <w:tcPr>
            <w:tcW w:w="4469" w:type="dxa"/>
          </w:tcPr>
          <w:p>
            <w:pPr>
              <w:pStyle w:val="TableParagraph"/>
              <w:spacing w:line="266" w:lineRule="exact"/>
              <w:ind w:left="622"/>
              <w:rPr>
                <w:sz w:val="21"/>
              </w:rPr>
            </w:pPr>
            <w:r>
              <w:rPr>
                <w:rFonts w:ascii="Times New Roman" w:eastAsia="Times New Roman"/>
                <w:sz w:val="21"/>
              </w:rPr>
              <w:t>3.4  </w:t>
            </w:r>
            <w:r>
              <w:rPr>
                <w:sz w:val="21"/>
              </w:rPr>
              <w:t>效力终止</w:t>
            </w:r>
          </w:p>
        </w:tc>
        <w:tc>
          <w:tcPr>
            <w:tcW w:w="4877" w:type="dxa"/>
          </w:tcPr>
          <w:p>
            <w:pPr>
              <w:pStyle w:val="TableParagraph"/>
              <w:ind w:left="0"/>
              <w:rPr>
                <w:rFonts w:ascii="Times New Roman"/>
                <w:sz w:val="20"/>
              </w:rPr>
            </w:pPr>
          </w:p>
        </w:tc>
      </w:tr>
    </w:tbl>
    <w:p>
      <w:pPr>
        <w:pStyle w:val="BodyText"/>
        <w:spacing w:before="3"/>
        <w:rPr>
          <w:sz w:val="26"/>
        </w:rPr>
      </w:pPr>
    </w:p>
    <w:p>
      <w:pPr>
        <w:pStyle w:val="Heading1"/>
        <w:spacing w:line="436" w:lineRule="exact"/>
        <w:ind w:right="1753"/>
        <w:jc w:val="center"/>
      </w:pPr>
      <w:r>
        <w:rPr/>
        <w:t>条款特别提示</w:t>
      </w:r>
    </w:p>
    <w:p>
      <w:pPr>
        <w:pStyle w:val="BodyText"/>
        <w:spacing w:before="36"/>
        <w:ind w:left="1297" w:right="1753"/>
        <w:jc w:val="center"/>
        <w:rPr>
          <w:sz w:val="20"/>
        </w:rPr>
      </w:pPr>
      <w:r>
        <w:rPr>
          <w:u w:val="single"/>
        </w:rPr>
        <w:t>本条款特别提示有助于您理解条款，对本附加合同内容的解释以条款为准</w:t>
      </w:r>
      <w:r>
        <w:rPr>
          <w:sz w:val="20"/>
          <w:u w:val="single"/>
        </w:rPr>
        <w:t>。</w:t>
      </w:r>
    </w:p>
    <w:p>
      <w:pPr>
        <w:pStyle w:val="BodyText"/>
        <w:rPr>
          <w:sz w:val="20"/>
        </w:rPr>
      </w:pPr>
    </w:p>
    <w:p>
      <w:pPr>
        <w:pStyle w:val="BodyText"/>
        <w:spacing w:before="8" w:after="1"/>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5"/>
      </w:tblGrid>
      <w:tr>
        <w:trPr>
          <w:trHeight w:val="280" w:hRule="atLeast"/>
        </w:trPr>
        <w:tc>
          <w:tcPr>
            <w:tcW w:w="9015" w:type="dxa"/>
          </w:tcPr>
          <w:p>
            <w:pPr>
              <w:pStyle w:val="TableParagraph"/>
              <w:spacing w:line="211" w:lineRule="exact"/>
              <w:ind w:left="3578" w:right="3295"/>
              <w:jc w:val="center"/>
              <w:rPr>
                <w:sz w:val="21"/>
              </w:rPr>
            </w:pPr>
            <w:r>
              <w:rPr>
                <w:sz w:val="21"/>
              </w:rPr>
              <w:t>您拥有的重要权利</w:t>
            </w:r>
          </w:p>
        </w:tc>
      </w:tr>
      <w:tr>
        <w:trPr>
          <w:trHeight w:val="357" w:hRule="atLeast"/>
        </w:trPr>
        <w:tc>
          <w:tcPr>
            <w:tcW w:w="9015" w:type="dxa"/>
          </w:tcPr>
          <w:p>
            <w:pPr>
              <w:pStyle w:val="TableParagraph"/>
              <w:numPr>
                <w:ilvl w:val="0"/>
                <w:numId w:val="1"/>
              </w:numPr>
              <w:tabs>
                <w:tab w:pos="619" w:val="left" w:leader="none"/>
                <w:tab w:pos="620" w:val="left" w:leader="none"/>
                <w:tab w:pos="8815" w:val="right" w:leader="dot"/>
              </w:tabs>
              <w:spacing w:line="240" w:lineRule="auto" w:before="13" w:after="0"/>
              <w:ind w:left="620"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w:t>
            </w:r>
            <w:r>
              <w:rPr>
                <w:spacing w:val="-3"/>
                <w:sz w:val="21"/>
              </w:rPr>
              <w:t>障</w:t>
            </w:r>
            <w:r>
              <w:rPr>
                <w:sz w:val="21"/>
              </w:rPr>
              <w:t>利益</w:t>
              <w:tab/>
            </w:r>
            <w:r>
              <w:rPr>
                <w:rFonts w:ascii="Times New Roman" w:eastAsia="Times New Roman"/>
                <w:sz w:val="21"/>
              </w:rPr>
              <w:t>2.5</w:t>
            </w:r>
          </w:p>
        </w:tc>
      </w:tr>
      <w:tr>
        <w:trPr>
          <w:trHeight w:val="339" w:hRule="atLeast"/>
        </w:trPr>
        <w:tc>
          <w:tcPr>
            <w:tcW w:w="9015" w:type="dxa"/>
          </w:tcPr>
          <w:p>
            <w:pPr>
              <w:pStyle w:val="TableParagraph"/>
              <w:numPr>
                <w:ilvl w:val="0"/>
                <w:numId w:val="2"/>
              </w:numPr>
              <w:tabs>
                <w:tab w:pos="619" w:val="left" w:leader="none"/>
                <w:tab w:pos="620" w:val="left" w:leader="none"/>
                <w:tab w:pos="8815" w:val="right" w:leader="dot"/>
              </w:tabs>
              <w:spacing w:line="288" w:lineRule="exact" w:before="0" w:after="0"/>
              <w:ind w:left="620" w:right="0" w:hanging="420"/>
              <w:jc w:val="left"/>
              <w:rPr>
                <w:rFonts w:ascii="Times New Roman" w:eastAsia="Times New Roman"/>
                <w:sz w:val="21"/>
              </w:rPr>
            </w:pPr>
            <w:r>
              <w:rPr>
                <w:sz w:val="21"/>
              </w:rPr>
              <w:t>您可</w:t>
            </w:r>
            <w:r>
              <w:rPr>
                <w:spacing w:val="-3"/>
                <w:sz w:val="21"/>
              </w:rPr>
              <w:t>以</w:t>
            </w:r>
            <w:r>
              <w:rPr>
                <w:sz w:val="21"/>
              </w:rPr>
              <w:t>申</w:t>
            </w:r>
            <w:r>
              <w:rPr>
                <w:spacing w:val="-3"/>
                <w:sz w:val="21"/>
              </w:rPr>
              <w:t>请</w:t>
            </w:r>
            <w:r>
              <w:rPr>
                <w:sz w:val="21"/>
              </w:rPr>
              <w:t>变</w:t>
            </w:r>
            <w:r>
              <w:rPr>
                <w:spacing w:val="-3"/>
                <w:sz w:val="21"/>
              </w:rPr>
              <w:t>更</w:t>
            </w:r>
            <w:r>
              <w:rPr>
                <w:sz w:val="21"/>
              </w:rPr>
              <w:t>基</w:t>
            </w:r>
            <w:r>
              <w:rPr>
                <w:spacing w:val="-3"/>
                <w:sz w:val="21"/>
              </w:rPr>
              <w:t>本</w:t>
            </w:r>
            <w:r>
              <w:rPr>
                <w:sz w:val="21"/>
              </w:rPr>
              <w:t>保</w:t>
            </w:r>
            <w:r>
              <w:rPr>
                <w:spacing w:val="-3"/>
                <w:sz w:val="21"/>
              </w:rPr>
              <w:t>险</w:t>
            </w:r>
            <w:r>
              <w:rPr>
                <w:sz w:val="21"/>
              </w:rPr>
              <w:t>金额</w:t>
              <w:tab/>
            </w:r>
            <w:r>
              <w:rPr>
                <w:rFonts w:ascii="Times New Roman" w:eastAsia="Times New Roman"/>
                <w:sz w:val="21"/>
              </w:rPr>
              <w:t>3.1</w:t>
            </w:r>
          </w:p>
        </w:tc>
      </w:tr>
      <w:tr>
        <w:trPr>
          <w:trHeight w:val="339" w:hRule="atLeast"/>
        </w:trPr>
        <w:tc>
          <w:tcPr>
            <w:tcW w:w="9015" w:type="dxa"/>
          </w:tcPr>
          <w:p>
            <w:pPr>
              <w:pStyle w:val="TableParagraph"/>
              <w:numPr>
                <w:ilvl w:val="0"/>
                <w:numId w:val="3"/>
              </w:numPr>
              <w:tabs>
                <w:tab w:pos="619" w:val="left" w:leader="none"/>
                <w:tab w:pos="620" w:val="left" w:leader="none"/>
                <w:tab w:pos="8812" w:val="right" w:leader="dot"/>
              </w:tabs>
              <w:spacing w:line="287" w:lineRule="exact" w:before="0" w:after="0"/>
              <w:ind w:left="620" w:right="0" w:hanging="420"/>
              <w:jc w:val="left"/>
              <w:rPr>
                <w:rFonts w:ascii="Times New Roman" w:eastAsia="Times New Roman"/>
                <w:sz w:val="21"/>
              </w:rPr>
            </w:pPr>
            <w:r>
              <w:rPr>
                <w:sz w:val="21"/>
              </w:rPr>
              <w:t>签收</w:t>
            </w:r>
            <w:r>
              <w:rPr>
                <w:spacing w:val="-3"/>
                <w:sz w:val="21"/>
              </w:rPr>
              <w:t>保单</w:t>
            </w:r>
            <w:r>
              <w:rPr>
                <w:sz w:val="21"/>
              </w:rPr>
              <w:t>后</w:t>
            </w:r>
            <w:r>
              <w:rPr>
                <w:spacing w:val="-53"/>
                <w:sz w:val="21"/>
              </w:rPr>
              <w:t> </w:t>
            </w:r>
            <w:r>
              <w:rPr>
                <w:rFonts w:ascii="Times New Roman" w:eastAsia="Times New Roman"/>
                <w:sz w:val="21"/>
              </w:rPr>
              <w:t>15</w:t>
            </w:r>
            <w:r>
              <w:rPr>
                <w:rFonts w:ascii="Times New Roman" w:eastAsia="Times New Roman"/>
                <w:spacing w:val="-3"/>
                <w:sz w:val="21"/>
              </w:rPr>
              <w:t> </w:t>
            </w:r>
            <w:r>
              <w:rPr>
                <w:sz w:val="21"/>
              </w:rPr>
              <w:t>日</w:t>
            </w:r>
            <w:r>
              <w:rPr>
                <w:spacing w:val="-3"/>
                <w:sz w:val="21"/>
              </w:rPr>
              <w:t>内</w:t>
            </w:r>
            <w:r>
              <w:rPr>
                <w:sz w:val="21"/>
              </w:rPr>
              <w:t>您</w:t>
            </w:r>
            <w:r>
              <w:rPr>
                <w:spacing w:val="-3"/>
                <w:sz w:val="21"/>
              </w:rPr>
              <w:t>可以</w:t>
            </w:r>
            <w:r>
              <w:rPr>
                <w:sz w:val="21"/>
              </w:rPr>
              <w:t>要求</w:t>
            </w:r>
            <w:r>
              <w:rPr>
                <w:spacing w:val="-3"/>
                <w:sz w:val="21"/>
              </w:rPr>
              <w:t>退</w:t>
            </w:r>
            <w:r>
              <w:rPr>
                <w:sz w:val="21"/>
              </w:rPr>
              <w:t>还</w:t>
            </w:r>
            <w:r>
              <w:rPr>
                <w:spacing w:val="-3"/>
                <w:sz w:val="21"/>
              </w:rPr>
              <w:t>保</w:t>
            </w:r>
            <w:r>
              <w:rPr>
                <w:sz w:val="21"/>
              </w:rPr>
              <w:t>险费</w:t>
              <w:tab/>
            </w:r>
            <w:r>
              <w:rPr>
                <w:rFonts w:ascii="Times New Roman" w:eastAsia="Times New Roman"/>
                <w:sz w:val="21"/>
              </w:rPr>
              <w:t>3.2</w:t>
            </w:r>
          </w:p>
        </w:tc>
      </w:tr>
      <w:tr>
        <w:trPr>
          <w:trHeight w:val="514" w:hRule="atLeast"/>
        </w:trPr>
        <w:tc>
          <w:tcPr>
            <w:tcW w:w="9015" w:type="dxa"/>
          </w:tcPr>
          <w:p>
            <w:pPr>
              <w:pStyle w:val="TableParagraph"/>
              <w:numPr>
                <w:ilvl w:val="0"/>
                <w:numId w:val="4"/>
              </w:numPr>
              <w:tabs>
                <w:tab w:pos="619" w:val="left" w:leader="none"/>
                <w:tab w:pos="620" w:val="left" w:leader="none"/>
                <w:tab w:pos="8815" w:val="right" w:leader="dot"/>
              </w:tabs>
              <w:spacing w:line="288" w:lineRule="exact" w:before="0" w:after="0"/>
              <w:ind w:left="620" w:right="0" w:hanging="420"/>
              <w:jc w:val="left"/>
              <w:rPr>
                <w:rFonts w:ascii="Times New Roman" w:eastAsia="Times New Roman"/>
                <w:sz w:val="21"/>
              </w:rPr>
            </w:pPr>
            <w:r>
              <w:rPr>
                <w:sz w:val="21"/>
              </w:rPr>
              <w:t>在附</w:t>
            </w:r>
            <w:r>
              <w:rPr>
                <w:spacing w:val="-3"/>
                <w:sz w:val="21"/>
              </w:rPr>
              <w:t>加</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您</w:t>
            </w:r>
            <w:r>
              <w:rPr>
                <w:spacing w:val="-3"/>
                <w:sz w:val="21"/>
              </w:rPr>
              <w:t>可</w:t>
            </w:r>
            <w:r>
              <w:rPr>
                <w:sz w:val="21"/>
              </w:rPr>
              <w:t>以解</w:t>
            </w:r>
            <w:r>
              <w:rPr>
                <w:spacing w:val="-3"/>
                <w:sz w:val="21"/>
              </w:rPr>
              <w:t>除</w:t>
            </w:r>
            <w:r>
              <w:rPr>
                <w:sz w:val="21"/>
              </w:rPr>
              <w:t>附</w:t>
            </w:r>
            <w:r>
              <w:rPr>
                <w:spacing w:val="-3"/>
                <w:sz w:val="21"/>
              </w:rPr>
              <w:t>加</w:t>
            </w:r>
            <w:r>
              <w:rPr>
                <w:sz w:val="21"/>
              </w:rPr>
              <w:t>合同</w:t>
              <w:tab/>
            </w:r>
            <w:r>
              <w:rPr>
                <w:rFonts w:ascii="Times New Roman" w:eastAsia="Times New Roman"/>
                <w:sz w:val="21"/>
              </w:rPr>
              <w:t>3.3</w:t>
            </w:r>
          </w:p>
        </w:tc>
      </w:tr>
      <w:tr>
        <w:trPr>
          <w:trHeight w:val="472" w:hRule="atLeast"/>
        </w:trPr>
        <w:tc>
          <w:tcPr>
            <w:tcW w:w="9015" w:type="dxa"/>
          </w:tcPr>
          <w:p>
            <w:pPr>
              <w:pStyle w:val="TableParagraph"/>
              <w:spacing w:before="162"/>
              <w:ind w:left="3580" w:right="3295"/>
              <w:jc w:val="center"/>
              <w:rPr>
                <w:sz w:val="21"/>
              </w:rPr>
            </w:pPr>
            <w:r>
              <w:rPr>
                <w:sz w:val="21"/>
              </w:rPr>
              <w:t>您应当特别注意的事项</w:t>
            </w:r>
          </w:p>
        </w:tc>
      </w:tr>
      <w:tr>
        <w:trPr>
          <w:trHeight w:val="358" w:hRule="atLeast"/>
        </w:trPr>
        <w:tc>
          <w:tcPr>
            <w:tcW w:w="9015" w:type="dxa"/>
          </w:tcPr>
          <w:p>
            <w:pPr>
              <w:pStyle w:val="TableParagraph"/>
              <w:numPr>
                <w:ilvl w:val="0"/>
                <w:numId w:val="5"/>
              </w:numPr>
              <w:tabs>
                <w:tab w:pos="619" w:val="left" w:leader="none"/>
                <w:tab w:pos="620" w:val="left" w:leader="none"/>
              </w:tabs>
              <w:spacing w:line="270" w:lineRule="exact" w:before="0" w:after="0"/>
              <w:ind w:left="620" w:right="0" w:hanging="420"/>
              <w:jc w:val="left"/>
              <w:rPr>
                <w:sz w:val="21"/>
              </w:rPr>
            </w:pPr>
            <w:r>
              <w:rPr>
                <w:spacing w:val="-3"/>
                <w:sz w:val="21"/>
              </w:rPr>
              <w:t>主合同条款也适用于本附加合同，若主合同条款与本附加合同条款互有抵触，则以本</w:t>
            </w:r>
          </w:p>
        </w:tc>
      </w:tr>
      <w:tr>
        <w:trPr>
          <w:trHeight w:val="375" w:hRule="atLeast"/>
        </w:trPr>
        <w:tc>
          <w:tcPr>
            <w:tcW w:w="9015" w:type="dxa"/>
          </w:tcPr>
          <w:p>
            <w:pPr>
              <w:pStyle w:val="TableParagraph"/>
              <w:tabs>
                <w:tab w:pos="8812" w:val="right" w:leader="dot"/>
              </w:tabs>
              <w:spacing w:before="31"/>
              <w:ind w:left="622"/>
              <w:rPr>
                <w:rFonts w:ascii="Times New Roman" w:eastAsia="Times New Roman"/>
                <w:sz w:val="21"/>
              </w:rPr>
            </w:pP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为</w:t>
            </w:r>
            <w:r>
              <w:rPr>
                <w:sz w:val="21"/>
              </w:rPr>
              <w:t>准</w:t>
              <w:tab/>
            </w:r>
            <w:r>
              <w:rPr>
                <w:rFonts w:ascii="Times New Roman" w:eastAsia="Times New Roman"/>
                <w:sz w:val="21"/>
              </w:rPr>
              <w:t>1.1</w:t>
            </w:r>
          </w:p>
        </w:tc>
      </w:tr>
      <w:tr>
        <w:trPr>
          <w:trHeight w:val="339" w:hRule="atLeast"/>
        </w:trPr>
        <w:tc>
          <w:tcPr>
            <w:tcW w:w="9015" w:type="dxa"/>
          </w:tcPr>
          <w:p>
            <w:pPr>
              <w:pStyle w:val="TableParagraph"/>
              <w:numPr>
                <w:ilvl w:val="0"/>
                <w:numId w:val="6"/>
              </w:numPr>
              <w:tabs>
                <w:tab w:pos="619" w:val="left" w:leader="none"/>
                <w:tab w:pos="620" w:val="left" w:leader="none"/>
                <w:tab w:pos="8815" w:val="right" w:leader="dot"/>
              </w:tabs>
              <w:spacing w:line="288" w:lineRule="exact" w:before="0" w:after="0"/>
              <w:ind w:left="620" w:right="0" w:hanging="420"/>
              <w:jc w:val="left"/>
              <w:rPr>
                <w:rFonts w:ascii="Times New Roman" w:eastAsia="Times New Roman"/>
                <w:sz w:val="21"/>
              </w:rPr>
            </w:pPr>
            <w:r>
              <w:rPr>
                <w:sz w:val="21"/>
              </w:rPr>
              <w:t>暂缓</w:t>
            </w:r>
            <w:r>
              <w:rPr>
                <w:spacing w:val="-3"/>
                <w:sz w:val="21"/>
              </w:rPr>
              <w:t>交</w:t>
            </w:r>
            <w:r>
              <w:rPr>
                <w:sz w:val="21"/>
              </w:rPr>
              <w:t>纳</w:t>
            </w:r>
            <w:r>
              <w:rPr>
                <w:spacing w:val="-3"/>
                <w:sz w:val="21"/>
              </w:rPr>
              <w:t>主</w:t>
            </w:r>
            <w:r>
              <w:rPr>
                <w:sz w:val="21"/>
              </w:rPr>
              <w:t>合</w:t>
            </w:r>
            <w:r>
              <w:rPr>
                <w:spacing w:val="-3"/>
                <w:sz w:val="21"/>
              </w:rPr>
              <w:t>同</w:t>
            </w:r>
            <w:r>
              <w:rPr>
                <w:sz w:val="21"/>
              </w:rPr>
              <w:t>的</w:t>
            </w:r>
            <w:r>
              <w:rPr>
                <w:spacing w:val="-3"/>
                <w:sz w:val="21"/>
              </w:rPr>
              <w:t>期</w:t>
            </w:r>
            <w:r>
              <w:rPr>
                <w:sz w:val="21"/>
              </w:rPr>
              <w:t>交</w:t>
            </w:r>
            <w:r>
              <w:rPr>
                <w:spacing w:val="-3"/>
                <w:sz w:val="21"/>
              </w:rPr>
              <w:t>保</w:t>
            </w:r>
            <w:r>
              <w:rPr>
                <w:sz w:val="21"/>
              </w:rPr>
              <w:t>险费</w:t>
            </w:r>
            <w:r>
              <w:rPr>
                <w:spacing w:val="-3"/>
                <w:sz w:val="21"/>
              </w:rPr>
              <w:t>会</w:t>
            </w:r>
            <w:r>
              <w:rPr>
                <w:sz w:val="21"/>
              </w:rPr>
              <w:t>影</w:t>
            </w:r>
            <w:r>
              <w:rPr>
                <w:spacing w:val="-3"/>
                <w:sz w:val="21"/>
              </w:rPr>
              <w:t>响</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基本</w:t>
            </w:r>
            <w:r>
              <w:rPr>
                <w:spacing w:val="-3"/>
                <w:sz w:val="21"/>
              </w:rPr>
              <w:t>保</w:t>
            </w:r>
            <w:r>
              <w:rPr>
                <w:sz w:val="21"/>
              </w:rPr>
              <w:t>险</w:t>
            </w:r>
            <w:r>
              <w:rPr>
                <w:spacing w:val="-3"/>
                <w:sz w:val="21"/>
              </w:rPr>
              <w:t>金</w:t>
            </w:r>
            <w:r>
              <w:rPr>
                <w:sz w:val="21"/>
              </w:rPr>
              <w:t>额</w:t>
              <w:tab/>
            </w:r>
            <w:r>
              <w:rPr>
                <w:rFonts w:ascii="Times New Roman" w:eastAsia="Times New Roman"/>
                <w:sz w:val="21"/>
              </w:rPr>
              <w:t>2.2</w:t>
            </w:r>
          </w:p>
        </w:tc>
      </w:tr>
      <w:tr>
        <w:trPr>
          <w:trHeight w:val="339" w:hRule="atLeast"/>
        </w:trPr>
        <w:tc>
          <w:tcPr>
            <w:tcW w:w="9015" w:type="dxa"/>
          </w:tcPr>
          <w:p>
            <w:pPr>
              <w:pStyle w:val="TableParagraph"/>
              <w:numPr>
                <w:ilvl w:val="0"/>
                <w:numId w:val="7"/>
              </w:numPr>
              <w:tabs>
                <w:tab w:pos="619" w:val="left" w:leader="none"/>
                <w:tab w:pos="620" w:val="left" w:leader="none"/>
                <w:tab w:pos="8815" w:val="right" w:leader="dot"/>
              </w:tabs>
              <w:spacing w:line="287" w:lineRule="exact" w:before="0" w:after="0"/>
              <w:ind w:left="620" w:right="0" w:hanging="420"/>
              <w:jc w:val="left"/>
              <w:rPr>
                <w:rFonts w:ascii="Times New Roman" w:eastAsia="Times New Roman"/>
                <w:sz w:val="21"/>
              </w:rPr>
            </w:pPr>
            <w:r>
              <w:rPr>
                <w:sz w:val="21"/>
              </w:rPr>
              <w:t>对某</w:t>
            </w:r>
            <w:r>
              <w:rPr>
                <w:spacing w:val="-3"/>
                <w:sz w:val="21"/>
              </w:rPr>
              <w:t>些</w:t>
            </w:r>
            <w:r>
              <w:rPr>
                <w:sz w:val="21"/>
              </w:rPr>
              <w:t>情</w:t>
            </w:r>
            <w:r>
              <w:rPr>
                <w:spacing w:val="-3"/>
                <w:sz w:val="21"/>
              </w:rPr>
              <w:t>形</w:t>
            </w:r>
            <w:r>
              <w:rPr>
                <w:sz w:val="21"/>
              </w:rPr>
              <w:t>造</w:t>
            </w:r>
            <w:r>
              <w:rPr>
                <w:spacing w:val="-3"/>
                <w:sz w:val="21"/>
              </w:rPr>
              <w:t>成</w:t>
            </w:r>
            <w:r>
              <w:rPr>
                <w:sz w:val="21"/>
              </w:rPr>
              <w:t>的</w:t>
            </w:r>
            <w:r>
              <w:rPr>
                <w:spacing w:val="-3"/>
                <w:sz w:val="21"/>
              </w:rPr>
              <w:t>保</w:t>
            </w:r>
            <w:r>
              <w:rPr>
                <w:sz w:val="21"/>
              </w:rPr>
              <w:t>险</w:t>
            </w:r>
            <w:r>
              <w:rPr>
                <w:spacing w:val="-3"/>
                <w:sz w:val="21"/>
              </w:rPr>
              <w:t>事</w:t>
            </w:r>
            <w:r>
              <w:rPr>
                <w:sz w:val="21"/>
              </w:rPr>
              <w:t>故，</w:t>
            </w:r>
            <w:r>
              <w:rPr>
                <w:spacing w:val="-3"/>
                <w:sz w:val="21"/>
              </w:rPr>
              <w:t>我</w:t>
            </w:r>
            <w:r>
              <w:rPr>
                <w:sz w:val="21"/>
              </w:rPr>
              <w:t>们</w:t>
            </w:r>
            <w:r>
              <w:rPr>
                <w:spacing w:val="-3"/>
                <w:sz w:val="21"/>
              </w:rPr>
              <w:t>不</w:t>
            </w:r>
            <w:r>
              <w:rPr>
                <w:sz w:val="21"/>
              </w:rPr>
              <w:t>承</w:t>
            </w:r>
            <w:r>
              <w:rPr>
                <w:spacing w:val="-3"/>
                <w:sz w:val="21"/>
              </w:rPr>
              <w:t>担</w:t>
            </w:r>
            <w:r>
              <w:rPr>
                <w:sz w:val="21"/>
              </w:rPr>
              <w:t>保</w:t>
            </w:r>
            <w:r>
              <w:rPr>
                <w:spacing w:val="-3"/>
                <w:sz w:val="21"/>
              </w:rPr>
              <w:t>险</w:t>
            </w:r>
            <w:r>
              <w:rPr>
                <w:sz w:val="21"/>
              </w:rPr>
              <w:t>责任</w:t>
              <w:tab/>
            </w:r>
            <w:r>
              <w:rPr>
                <w:rFonts w:ascii="Times New Roman" w:eastAsia="Times New Roman"/>
                <w:sz w:val="21"/>
              </w:rPr>
              <w:t>2.6</w:t>
            </w:r>
          </w:p>
        </w:tc>
      </w:tr>
      <w:tr>
        <w:trPr>
          <w:trHeight w:val="340" w:hRule="atLeast"/>
        </w:trPr>
        <w:tc>
          <w:tcPr>
            <w:tcW w:w="9015" w:type="dxa"/>
          </w:tcPr>
          <w:p>
            <w:pPr>
              <w:pStyle w:val="TableParagraph"/>
              <w:numPr>
                <w:ilvl w:val="0"/>
                <w:numId w:val="8"/>
              </w:numPr>
              <w:tabs>
                <w:tab w:pos="619" w:val="left" w:leader="none"/>
                <w:tab w:pos="620" w:val="left" w:leader="none"/>
                <w:tab w:pos="8815" w:val="right" w:leader="dot"/>
              </w:tabs>
              <w:spacing w:line="288" w:lineRule="exact" w:before="0" w:after="0"/>
              <w:ind w:left="620" w:right="0" w:hanging="420"/>
              <w:jc w:val="left"/>
              <w:rPr>
                <w:rFonts w:ascii="Times New Roman" w:eastAsia="Times New Roman"/>
                <w:sz w:val="21"/>
              </w:rPr>
            </w:pPr>
            <w:r>
              <w:rPr>
                <w:sz w:val="21"/>
              </w:rPr>
              <w:t>解除</w:t>
            </w:r>
            <w:r>
              <w:rPr>
                <w:spacing w:val="-3"/>
                <w:sz w:val="21"/>
              </w:rPr>
              <w:t>附</w:t>
            </w:r>
            <w:r>
              <w:rPr>
                <w:sz w:val="21"/>
              </w:rPr>
              <w:t>加</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一定</w:t>
            </w:r>
            <w:r>
              <w:rPr>
                <w:spacing w:val="-3"/>
                <w:sz w:val="21"/>
              </w:rPr>
              <w:t>的</w:t>
            </w:r>
            <w:r>
              <w:rPr>
                <w:sz w:val="21"/>
              </w:rPr>
              <w:t>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3.3</w:t>
            </w:r>
          </w:p>
        </w:tc>
      </w:tr>
      <w:tr>
        <w:trPr>
          <w:trHeight w:val="288" w:hRule="atLeast"/>
        </w:trPr>
        <w:tc>
          <w:tcPr>
            <w:tcW w:w="9015" w:type="dxa"/>
          </w:tcPr>
          <w:p>
            <w:pPr>
              <w:pStyle w:val="TableParagraph"/>
              <w:numPr>
                <w:ilvl w:val="0"/>
                <w:numId w:val="9"/>
              </w:numPr>
              <w:tabs>
                <w:tab w:pos="619" w:val="left" w:leader="none"/>
                <w:tab w:pos="620" w:val="left" w:leader="none"/>
                <w:tab w:pos="8659" w:val="right" w:leader="dot"/>
              </w:tabs>
              <w:spacing w:line="268" w:lineRule="exact" w:before="0" w:after="0"/>
              <w:ind w:left="620"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6</w:t>
            </w:r>
          </w:p>
        </w:tc>
      </w:tr>
    </w:tbl>
    <w:p>
      <w:pPr>
        <w:spacing w:after="0" w:line="268" w:lineRule="exact"/>
        <w:jc w:val="left"/>
        <w:rPr>
          <w:rFonts w:ascii="Times New Roman" w:eastAsia="Times New Roman"/>
          <w:sz w:val="21"/>
        </w:rPr>
        <w:sectPr>
          <w:type w:val="continuous"/>
          <w:pgSz w:w="11910" w:h="16840"/>
          <w:pgMar w:top="1500" w:bottom="280" w:left="1180" w:right="720"/>
        </w:sectPr>
      </w:pPr>
    </w:p>
    <w:p>
      <w:pPr>
        <w:pStyle w:val="Heading1"/>
        <w:spacing w:line="418" w:lineRule="exact"/>
        <w:ind w:left="2082"/>
      </w:pPr>
      <w:r>
        <w:rPr/>
        <w:t>人保寿险附加富贵一生重大疾病保险条款</w:t>
      </w:r>
    </w:p>
    <w:p>
      <w:pPr>
        <w:pStyle w:val="BodyText"/>
        <w:spacing w:before="8"/>
        <w:rPr>
          <w:rFonts w:ascii="微软雅黑"/>
          <w:b/>
          <w:sz w:val="19"/>
        </w:rPr>
      </w:pPr>
    </w:p>
    <w:p>
      <w:pPr>
        <w:pStyle w:val="BodyText"/>
        <w:spacing w:after="49"/>
        <w:ind w:left="954"/>
      </w:pPr>
      <w:r>
        <w:rPr>
          <w:spacing w:val="-26"/>
          <w:w w:val="100"/>
        </w:rPr>
        <w:t>在本条款中，“您”指投保人，“我们”、“本公司”均指中国人民人寿保险股份有限公司。</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6"/>
        <w:gridCol w:w="7864"/>
      </w:tblGrid>
      <w:tr>
        <w:trPr>
          <w:trHeight w:val="300" w:hRule="atLeast"/>
        </w:trPr>
        <w:tc>
          <w:tcPr>
            <w:tcW w:w="9742" w:type="dxa"/>
            <w:gridSpan w:val="3"/>
            <w:shd w:val="clear" w:color="auto" w:fill="E6E6E6"/>
          </w:tcPr>
          <w:p>
            <w:pPr>
              <w:pStyle w:val="TableParagraph"/>
              <w:tabs>
                <w:tab w:pos="845" w:val="left" w:leader="none"/>
              </w:tabs>
              <w:spacing w:line="280" w:lineRule="exact"/>
              <w:ind w:left="108"/>
              <w:rPr>
                <w:rFonts w:ascii="微软雅黑" w:eastAsia="微软雅黑" w:hint="eastAsia"/>
                <w:b/>
                <w:sz w:val="21"/>
              </w:rPr>
            </w:pPr>
            <w:r>
              <w:rPr>
                <w:rFonts w:ascii="Times New Roman" w:eastAsia="Times New Roman"/>
                <w:b/>
                <w:sz w:val="21"/>
              </w:rPr>
              <w:t>1</w:t>
              <w:tab/>
            </w:r>
            <w:r>
              <w:rPr>
                <w:rFonts w:ascii="微软雅黑" w:eastAsia="微软雅黑" w:hint="eastAsia"/>
                <w:b/>
                <w:sz w:val="21"/>
              </w:rPr>
              <w:t>您与我们的合同</w:t>
            </w:r>
          </w:p>
        </w:tc>
      </w:tr>
      <w:tr>
        <w:trPr>
          <w:trHeight w:val="1679" w:hRule="atLeast"/>
        </w:trPr>
        <w:tc>
          <w:tcPr>
            <w:tcW w:w="602" w:type="dxa"/>
          </w:tcPr>
          <w:p>
            <w:pPr>
              <w:pStyle w:val="TableParagraph"/>
              <w:spacing w:before="156"/>
              <w:ind w:left="108"/>
              <w:rPr>
                <w:rFonts w:ascii="Times New Roman"/>
                <w:b/>
                <w:sz w:val="21"/>
              </w:rPr>
            </w:pPr>
            <w:r>
              <w:rPr>
                <w:rFonts w:ascii="Times New Roman"/>
                <w:b/>
                <w:sz w:val="21"/>
              </w:rPr>
              <w:t>1.1</w:t>
            </w:r>
          </w:p>
        </w:tc>
        <w:tc>
          <w:tcPr>
            <w:tcW w:w="1276" w:type="dxa"/>
          </w:tcPr>
          <w:p>
            <w:pPr>
              <w:pStyle w:val="TableParagraph"/>
              <w:spacing w:line="199" w:lineRule="auto" w:before="106"/>
              <w:ind w:left="228" w:right="200"/>
              <w:rPr>
                <w:rFonts w:ascii="微软雅黑" w:eastAsia="微软雅黑" w:hint="eastAsia"/>
                <w:b/>
                <w:sz w:val="21"/>
              </w:rPr>
            </w:pPr>
            <w:r>
              <w:rPr>
                <w:rFonts w:ascii="微软雅黑" w:eastAsia="微软雅黑" w:hint="eastAsia"/>
                <w:b/>
                <w:sz w:val="21"/>
              </w:rPr>
              <w:t>附加合同订立</w:t>
            </w:r>
          </w:p>
        </w:tc>
        <w:tc>
          <w:tcPr>
            <w:tcW w:w="7864" w:type="dxa"/>
          </w:tcPr>
          <w:p>
            <w:pPr>
              <w:pStyle w:val="TableParagraph"/>
              <w:spacing w:line="261" w:lineRule="auto" w:before="107"/>
              <w:ind w:left="200" w:right="102"/>
              <w:rPr>
                <w:sz w:val="21"/>
              </w:rPr>
            </w:pPr>
            <w:r>
              <w:rPr>
                <w:spacing w:val="-3"/>
                <w:w w:val="100"/>
                <w:sz w:val="21"/>
              </w:rPr>
              <w:t>人保寿险附加富贵一生重大疾病保险合同</w:t>
            </w:r>
            <w:r>
              <w:rPr>
                <w:w w:val="100"/>
                <w:sz w:val="21"/>
              </w:rPr>
              <w:t>（</w:t>
            </w:r>
            <w:r>
              <w:rPr>
                <w:spacing w:val="-13"/>
                <w:w w:val="100"/>
                <w:sz w:val="21"/>
              </w:rPr>
              <w:t>以下简称“本附加合同”</w:t>
            </w:r>
            <w:r>
              <w:rPr>
                <w:spacing w:val="-3"/>
                <w:w w:val="100"/>
                <w:sz w:val="21"/>
              </w:rPr>
              <w:t>）由主保险合</w:t>
            </w:r>
            <w:r>
              <w:rPr>
                <w:spacing w:val="-3"/>
                <w:sz w:val="21"/>
              </w:rPr>
              <w:t>同</w:t>
            </w:r>
            <w:r>
              <w:rPr>
                <w:sz w:val="21"/>
              </w:rPr>
              <w:t>（</w:t>
            </w:r>
            <w:r>
              <w:rPr>
                <w:spacing w:val="-3"/>
                <w:sz w:val="21"/>
              </w:rPr>
              <w:t>以下简称“主合同”）投保人提出申请，经我们同意而订立。主合同条款适用</w:t>
            </w:r>
            <w:r>
              <w:rPr>
                <w:spacing w:val="-4"/>
                <w:sz w:val="21"/>
              </w:rPr>
              <w:t>于本附加合同，若主合同条款与本附加合同条款互有抵触，则以本附加合同条款为准。</w:t>
            </w:r>
          </w:p>
          <w:p>
            <w:pPr>
              <w:pStyle w:val="TableParagraph"/>
              <w:spacing w:before="5"/>
              <w:ind w:left="200"/>
              <w:rPr>
                <w:sz w:val="21"/>
              </w:rPr>
            </w:pPr>
            <w:r>
              <w:rPr>
                <w:sz w:val="21"/>
              </w:rPr>
              <w:t>若本附加合同未在主合同保险单上或批注单上载明，本附加合同不发生效力。</w:t>
            </w:r>
          </w:p>
        </w:tc>
      </w:tr>
      <w:tr>
        <w:trPr>
          <w:trHeight w:val="1659" w:hRule="atLeast"/>
        </w:trPr>
        <w:tc>
          <w:tcPr>
            <w:tcW w:w="602" w:type="dxa"/>
          </w:tcPr>
          <w:p>
            <w:pPr>
              <w:pStyle w:val="TableParagraph"/>
              <w:spacing w:before="89"/>
              <w:ind w:left="108"/>
              <w:rPr>
                <w:rFonts w:ascii="Times New Roman"/>
                <w:b/>
                <w:sz w:val="21"/>
              </w:rPr>
            </w:pPr>
            <w:r>
              <w:rPr>
                <w:rFonts w:ascii="Times New Roman"/>
                <w:b/>
                <w:sz w:val="21"/>
              </w:rPr>
              <w:t>1.2</w:t>
            </w:r>
          </w:p>
        </w:tc>
        <w:tc>
          <w:tcPr>
            <w:tcW w:w="1276" w:type="dxa"/>
          </w:tcPr>
          <w:p>
            <w:pPr>
              <w:pStyle w:val="TableParagraph"/>
              <w:spacing w:line="199" w:lineRule="auto" w:before="39"/>
              <w:ind w:left="228" w:right="200"/>
              <w:jc w:val="both"/>
              <w:rPr>
                <w:rFonts w:ascii="微软雅黑" w:eastAsia="微软雅黑" w:hint="eastAsia"/>
                <w:b/>
                <w:sz w:val="21"/>
              </w:rPr>
            </w:pPr>
            <w:r>
              <w:rPr>
                <w:rFonts w:ascii="微软雅黑" w:eastAsia="微软雅黑" w:hint="eastAsia"/>
                <w:b/>
                <w:sz w:val="21"/>
              </w:rPr>
              <w:t>附加合同成立与生效</w:t>
            </w:r>
          </w:p>
        </w:tc>
        <w:tc>
          <w:tcPr>
            <w:tcW w:w="7864" w:type="dxa"/>
          </w:tcPr>
          <w:p>
            <w:pPr>
              <w:pStyle w:val="TableParagraph"/>
              <w:spacing w:before="40"/>
              <w:ind w:left="200"/>
              <w:rPr>
                <w:sz w:val="21"/>
              </w:rPr>
            </w:pPr>
            <w:r>
              <w:rPr>
                <w:sz w:val="21"/>
              </w:rPr>
              <w:t>若本附加合同与主合同同时投保，本附加合同的生效日期与主合同相同。</w:t>
            </w:r>
          </w:p>
          <w:p>
            <w:pPr>
              <w:pStyle w:val="TableParagraph"/>
              <w:spacing w:line="261" w:lineRule="auto" w:before="25"/>
              <w:ind w:left="200" w:right="103"/>
              <w:rPr>
                <w:sz w:val="21"/>
              </w:rPr>
            </w:pPr>
            <w:r>
              <w:rPr>
                <w:sz w:val="21"/>
              </w:rPr>
              <w:t>若本附加合同在主合同有效期内投保，您提出保险申请，我们同意承保，本附加合同成立。</w:t>
            </w:r>
          </w:p>
          <w:p>
            <w:pPr>
              <w:pStyle w:val="TableParagraph"/>
              <w:spacing w:line="261" w:lineRule="auto" w:before="7"/>
              <w:ind w:left="200" w:right="103"/>
              <w:rPr>
                <w:sz w:val="21"/>
              </w:rPr>
            </w:pPr>
            <w:r>
              <w:rPr>
                <w:sz w:val="21"/>
              </w:rPr>
              <w:t>本附加合同成立、我们收取首期保险费并签发保险单为本附加合同的生效条件，附加合同生效日期在保险单或批注单上载明。保单年度以该日期计算。</w:t>
            </w:r>
          </w:p>
        </w:tc>
      </w:tr>
      <w:tr>
        <w:trPr>
          <w:trHeight w:val="300" w:hRule="atLeast"/>
        </w:trPr>
        <w:tc>
          <w:tcPr>
            <w:tcW w:w="9742" w:type="dxa"/>
            <w:gridSpan w:val="3"/>
            <w:shd w:val="clear" w:color="auto" w:fill="E6E6E6"/>
          </w:tcPr>
          <w:p>
            <w:pPr>
              <w:pStyle w:val="TableParagraph"/>
              <w:tabs>
                <w:tab w:pos="845" w:val="left" w:leader="none"/>
              </w:tabs>
              <w:spacing w:line="280" w:lineRule="exact"/>
              <w:ind w:left="108"/>
              <w:rPr>
                <w:rFonts w:ascii="微软雅黑" w:eastAsia="微软雅黑" w:hint="eastAsia"/>
                <w:b/>
                <w:sz w:val="21"/>
              </w:rPr>
            </w:pPr>
            <w:r>
              <w:rPr>
                <w:rFonts w:ascii="Times New Roman" w:eastAsia="Times New Roman"/>
                <w:b/>
                <w:sz w:val="21"/>
              </w:rPr>
              <w:t>2</w:t>
              <w:tab/>
            </w:r>
            <w:r>
              <w:rPr>
                <w:rFonts w:ascii="微软雅黑" w:eastAsia="微软雅黑" w:hint="eastAsia"/>
                <w:b/>
                <w:sz w:val="21"/>
              </w:rPr>
              <w:t>您获得的保障</w:t>
            </w:r>
          </w:p>
        </w:tc>
      </w:tr>
      <w:tr>
        <w:trPr>
          <w:trHeight w:val="1676" w:hRule="atLeast"/>
        </w:trPr>
        <w:tc>
          <w:tcPr>
            <w:tcW w:w="602" w:type="dxa"/>
          </w:tcPr>
          <w:p>
            <w:pPr>
              <w:pStyle w:val="TableParagraph"/>
              <w:spacing w:before="156"/>
              <w:ind w:left="108"/>
              <w:rPr>
                <w:rFonts w:ascii="Times New Roman"/>
                <w:b/>
                <w:sz w:val="21"/>
              </w:rPr>
            </w:pPr>
            <w:r>
              <w:rPr>
                <w:rFonts w:ascii="Times New Roman"/>
                <w:b/>
                <w:sz w:val="21"/>
              </w:rPr>
              <w:t>2.1</w:t>
            </w:r>
          </w:p>
        </w:tc>
        <w:tc>
          <w:tcPr>
            <w:tcW w:w="1276" w:type="dxa"/>
          </w:tcPr>
          <w:p>
            <w:pPr>
              <w:pStyle w:val="TableParagraph"/>
              <w:spacing w:before="45"/>
              <w:ind w:left="228"/>
              <w:rPr>
                <w:rFonts w:ascii="微软雅黑" w:eastAsia="微软雅黑" w:hint="eastAsia"/>
                <w:b/>
                <w:sz w:val="21"/>
              </w:rPr>
            </w:pPr>
            <w:r>
              <w:rPr>
                <w:rFonts w:ascii="微软雅黑" w:eastAsia="微软雅黑" w:hint="eastAsia"/>
                <w:b/>
                <w:sz w:val="21"/>
              </w:rPr>
              <w:t>保险金额</w:t>
            </w:r>
          </w:p>
        </w:tc>
        <w:tc>
          <w:tcPr>
            <w:tcW w:w="7864" w:type="dxa"/>
          </w:tcPr>
          <w:p>
            <w:pPr>
              <w:pStyle w:val="TableParagraph"/>
              <w:spacing w:line="261" w:lineRule="auto" w:before="107"/>
              <w:ind w:left="200" w:right="94"/>
              <w:jc w:val="both"/>
              <w:rPr>
                <w:sz w:val="21"/>
              </w:rPr>
            </w:pPr>
            <w:r>
              <w:rPr>
                <w:sz w:val="21"/>
              </w:rPr>
              <w:t>本附加合同的基本保险金额由您在投保时与我们约定并在保险单或批注单上载明。若该金额发生变更、削减或恢复，则以变更后、削减后或恢复后的金额为基本保险金额。</w:t>
            </w:r>
          </w:p>
          <w:p>
            <w:pPr>
              <w:pStyle w:val="TableParagraph"/>
              <w:spacing w:line="261" w:lineRule="auto" w:before="5"/>
              <w:ind w:left="200" w:right="304"/>
              <w:rPr>
                <w:sz w:val="21"/>
              </w:rPr>
            </w:pPr>
            <w:r>
              <w:rPr>
                <w:sz w:val="21"/>
              </w:rPr>
              <w:t>本附加合同的保险金额是指本附加合同的基本保险金额与主合同个人账户价值两者中较大者。</w:t>
            </w:r>
          </w:p>
        </w:tc>
      </w:tr>
      <w:tr>
        <w:trPr>
          <w:trHeight w:val="6880" w:hRule="atLeast"/>
        </w:trPr>
        <w:tc>
          <w:tcPr>
            <w:tcW w:w="602" w:type="dxa"/>
          </w:tcPr>
          <w:p>
            <w:pPr>
              <w:pStyle w:val="TableParagraph"/>
              <w:spacing w:before="93"/>
              <w:ind w:left="108"/>
              <w:rPr>
                <w:rFonts w:ascii="Times New Roman"/>
                <w:b/>
                <w:sz w:val="21"/>
              </w:rPr>
            </w:pPr>
            <w:r>
              <w:rPr>
                <w:rFonts w:ascii="Times New Roman"/>
                <w:b/>
                <w:sz w:val="21"/>
              </w:rPr>
              <w:t>2.2</w:t>
            </w:r>
          </w:p>
        </w:tc>
        <w:tc>
          <w:tcPr>
            <w:tcW w:w="1276" w:type="dxa"/>
          </w:tcPr>
          <w:p>
            <w:pPr>
              <w:pStyle w:val="TableParagraph"/>
              <w:spacing w:line="199" w:lineRule="auto" w:before="43"/>
              <w:ind w:left="228" w:right="200"/>
              <w:jc w:val="both"/>
              <w:rPr>
                <w:rFonts w:ascii="微软雅黑" w:eastAsia="微软雅黑" w:hint="eastAsia"/>
                <w:b/>
                <w:sz w:val="21"/>
              </w:rPr>
            </w:pPr>
            <w:r>
              <w:rPr>
                <w:rFonts w:ascii="微软雅黑" w:eastAsia="微软雅黑" w:hint="eastAsia"/>
                <w:b/>
                <w:sz w:val="21"/>
              </w:rPr>
              <w:t>基本保险金额的削减与恢复</w:t>
            </w:r>
          </w:p>
        </w:tc>
        <w:tc>
          <w:tcPr>
            <w:tcW w:w="7864" w:type="dxa"/>
          </w:tcPr>
          <w:p>
            <w:pPr>
              <w:pStyle w:val="TableParagraph"/>
              <w:spacing w:line="256" w:lineRule="auto" w:before="36"/>
              <w:ind w:left="200" w:right="103"/>
              <w:rPr>
                <w:sz w:val="21"/>
              </w:rPr>
            </w:pPr>
            <w:r>
              <w:rPr>
                <w:sz w:val="21"/>
              </w:rPr>
              <w:t>在交满主合同前 </w:t>
            </w:r>
            <w:r>
              <w:rPr>
                <w:rFonts w:ascii="Times New Roman" w:eastAsia="Times New Roman"/>
                <w:sz w:val="21"/>
              </w:rPr>
              <w:t>10 </w:t>
            </w:r>
            <w:r>
              <w:rPr>
                <w:sz w:val="21"/>
              </w:rPr>
              <w:t>年应交期交保险费前，若发生主合同期交保险费缓交的情况， 本附加合同的基本保险金额可能会被削减。削减规则如下：</w:t>
            </w:r>
          </w:p>
          <w:p>
            <w:pPr>
              <w:pStyle w:val="TableParagraph"/>
              <w:spacing w:line="273" w:lineRule="auto" w:before="21"/>
              <w:ind w:left="726" w:right="102" w:hanging="526"/>
              <w:jc w:val="both"/>
              <w:rPr>
                <w:sz w:val="21"/>
              </w:rPr>
            </w:pPr>
            <w:r>
              <w:rPr>
                <w:sz w:val="21"/>
              </w:rPr>
              <w:t>（1）本附加合同有效期内发生主合同期交保险费缓交且上一期主合同期交保险费已经交纳的，若截至发生缓交后的第一个结算日您仍未补交，则从该结算日起，本附加合同基本保险金额被削减，被削减金额为当时本附加合同基本保险金额的 </w:t>
            </w:r>
            <w:r>
              <w:rPr>
                <w:rFonts w:ascii="Times New Roman" w:eastAsia="Times New Roman"/>
                <w:sz w:val="21"/>
              </w:rPr>
              <w:t>25%</w:t>
            </w:r>
            <w:r>
              <w:rPr>
                <w:sz w:val="21"/>
              </w:rPr>
              <w:t>。</w:t>
            </w:r>
          </w:p>
          <w:p>
            <w:pPr>
              <w:pStyle w:val="TableParagraph"/>
              <w:spacing w:line="273" w:lineRule="auto"/>
              <w:ind w:left="726" w:right="101" w:hanging="526"/>
              <w:jc w:val="both"/>
              <w:rPr>
                <w:sz w:val="21"/>
              </w:rPr>
            </w:pPr>
            <w:r>
              <w:rPr>
                <w:spacing w:val="-21"/>
                <w:sz w:val="21"/>
              </w:rPr>
              <w:t>（2）</w:t>
            </w:r>
            <w:r>
              <w:rPr>
                <w:spacing w:val="-6"/>
                <w:sz w:val="21"/>
              </w:rPr>
              <w:t>若您在本附加合同基本保险金额被削减 </w:t>
            </w:r>
            <w:r>
              <w:rPr>
                <w:sz w:val="21"/>
              </w:rPr>
              <w:t>25</w:t>
            </w:r>
            <w:r>
              <w:rPr>
                <w:spacing w:val="-12"/>
                <w:sz w:val="21"/>
              </w:rPr>
              <w:t>%后的 </w:t>
            </w:r>
            <w:r>
              <w:rPr>
                <w:sz w:val="21"/>
              </w:rPr>
              <w:t>1</w:t>
            </w:r>
            <w:r>
              <w:rPr>
                <w:spacing w:val="-8"/>
                <w:sz w:val="21"/>
              </w:rPr>
              <w:t> 年内补齐缓交的一期主合同保险费，则从我们收到您补交保险费后的第一个结算日起恢复被削减的本附</w:t>
            </w:r>
            <w:r>
              <w:rPr>
                <w:spacing w:val="-3"/>
                <w:sz w:val="21"/>
              </w:rPr>
              <w:t>加合同基本保险金额。</w:t>
            </w:r>
          </w:p>
          <w:p>
            <w:pPr>
              <w:pStyle w:val="TableParagraph"/>
              <w:spacing w:line="273" w:lineRule="auto" w:before="19"/>
              <w:ind w:left="726" w:right="101" w:hanging="526"/>
              <w:jc w:val="both"/>
              <w:rPr>
                <w:sz w:val="21"/>
              </w:rPr>
            </w:pPr>
            <w:r>
              <w:rPr>
                <w:spacing w:val="-21"/>
                <w:sz w:val="21"/>
              </w:rPr>
              <w:t>（3）</w:t>
            </w:r>
            <w:r>
              <w:rPr>
                <w:spacing w:val="-6"/>
                <w:sz w:val="21"/>
              </w:rPr>
              <w:t>若您在本附加合同基本保险金额被削减 </w:t>
            </w:r>
            <w:r>
              <w:rPr>
                <w:sz w:val="21"/>
              </w:rPr>
              <w:t>25</w:t>
            </w:r>
            <w:r>
              <w:rPr>
                <w:spacing w:val="-12"/>
                <w:sz w:val="21"/>
              </w:rPr>
              <w:t>%后的 </w:t>
            </w:r>
            <w:r>
              <w:rPr>
                <w:sz w:val="21"/>
              </w:rPr>
              <w:t>1</w:t>
            </w:r>
            <w:r>
              <w:rPr>
                <w:spacing w:val="-8"/>
                <w:sz w:val="21"/>
              </w:rPr>
              <w:t> 年内未补交缓交的主合同保险费且又出现新的缓交的，则从新的缓交发生后的第一个结算日起，本附加</w:t>
            </w:r>
            <w:r>
              <w:rPr>
                <w:spacing w:val="-7"/>
                <w:sz w:val="21"/>
              </w:rPr>
              <w:t>合同基本保险金额再次被削减，被削减金额为当时本附加合同基本保险金额</w:t>
            </w:r>
            <w:r>
              <w:rPr>
                <w:spacing w:val="-30"/>
                <w:sz w:val="21"/>
              </w:rPr>
              <w:t>的 </w:t>
            </w:r>
            <w:r>
              <w:rPr>
                <w:rFonts w:ascii="Times New Roman" w:eastAsia="Times New Roman"/>
                <w:sz w:val="21"/>
              </w:rPr>
              <w:t>90%</w:t>
            </w:r>
            <w:r>
              <w:rPr>
                <w:sz w:val="21"/>
              </w:rPr>
              <w:t>。</w:t>
            </w:r>
          </w:p>
          <w:p>
            <w:pPr>
              <w:pStyle w:val="TableParagraph"/>
              <w:spacing w:line="279" w:lineRule="exact"/>
              <w:ind w:left="200"/>
              <w:rPr>
                <w:sz w:val="21"/>
              </w:rPr>
            </w:pPr>
            <w:r>
              <w:rPr>
                <w:sz w:val="21"/>
              </w:rPr>
              <w:t>（</w:t>
            </w:r>
            <w:r>
              <w:rPr>
                <w:rFonts w:ascii="Times New Roman" w:eastAsia="Times New Roman"/>
                <w:sz w:val="21"/>
              </w:rPr>
              <w:t>4</w:t>
            </w:r>
            <w:r>
              <w:rPr>
                <w:sz w:val="21"/>
              </w:rPr>
              <w:t>）本附加合同基本保险金额最多连续被削减两次。</w:t>
            </w:r>
          </w:p>
          <w:p>
            <w:pPr>
              <w:pStyle w:val="TableParagraph"/>
              <w:spacing w:line="264" w:lineRule="auto" w:before="22"/>
              <w:ind w:left="726" w:right="101" w:hanging="526"/>
              <w:jc w:val="both"/>
              <w:rPr>
                <w:sz w:val="21"/>
              </w:rPr>
            </w:pPr>
            <w:r>
              <w:rPr>
                <w:spacing w:val="-3"/>
                <w:sz w:val="21"/>
              </w:rPr>
              <w:t>（</w:t>
            </w:r>
            <w:r>
              <w:rPr>
                <w:rFonts w:ascii="Times New Roman" w:eastAsia="Times New Roman"/>
                <w:spacing w:val="-3"/>
                <w:sz w:val="21"/>
              </w:rPr>
              <w:t>5</w:t>
            </w:r>
            <w:r>
              <w:rPr>
                <w:spacing w:val="-3"/>
                <w:sz w:val="21"/>
              </w:rPr>
              <w:t>）</w:t>
            </w:r>
            <w:r>
              <w:rPr>
                <w:spacing w:val="-5"/>
                <w:sz w:val="21"/>
              </w:rPr>
              <w:t>您补齐欠交的全部主合同期交保险费或累计交满主合同前 </w:t>
            </w:r>
            <w:r>
              <w:rPr>
                <w:rFonts w:ascii="Times New Roman" w:eastAsia="Times New Roman"/>
                <w:sz w:val="21"/>
              </w:rPr>
              <w:t>10 </w:t>
            </w:r>
            <w:r>
              <w:rPr>
                <w:spacing w:val="-3"/>
                <w:sz w:val="21"/>
              </w:rPr>
              <w:t>年应交期交保险费后可以申请恢复被削减的本附加合同基本保险金额，经我们审核同意后生效。</w:t>
            </w:r>
          </w:p>
          <w:p>
            <w:pPr>
              <w:pStyle w:val="TableParagraph"/>
              <w:spacing w:line="273" w:lineRule="auto" w:before="16"/>
              <w:ind w:left="200" w:right="101"/>
              <w:rPr>
                <w:sz w:val="21"/>
              </w:rPr>
            </w:pPr>
            <w:r>
              <w:rPr>
                <w:sz w:val="21"/>
              </w:rPr>
              <w:t>基本保险金额被削减期内，依据本附加合同其他条款约定导致本附加合同基本保险金额减少的部分，在恢复时予以扣除。</w:t>
            </w:r>
          </w:p>
          <w:p>
            <w:pPr>
              <w:pStyle w:val="TableParagraph"/>
              <w:spacing w:line="273" w:lineRule="auto" w:before="7"/>
              <w:ind w:left="200" w:right="101"/>
              <w:rPr>
                <w:sz w:val="21"/>
              </w:rPr>
            </w:pPr>
            <w:r>
              <w:rPr>
                <w:sz w:val="21"/>
              </w:rPr>
              <w:t>基本保险金额被削减期内，对本附加合同基本保险金额削减的部分我们不承担保险责任。</w:t>
            </w:r>
          </w:p>
          <w:p>
            <w:pPr>
              <w:pStyle w:val="TableParagraph"/>
              <w:spacing w:line="271" w:lineRule="exact" w:before="7"/>
              <w:ind w:left="200"/>
              <w:rPr>
                <w:sz w:val="21"/>
              </w:rPr>
            </w:pPr>
            <w:r>
              <w:rPr>
                <w:sz w:val="21"/>
              </w:rPr>
              <w:t>累计交满主合同前 </w:t>
            </w:r>
            <w:r>
              <w:rPr>
                <w:rFonts w:ascii="Times New Roman" w:eastAsia="Times New Roman"/>
                <w:sz w:val="21"/>
              </w:rPr>
              <w:t>10  </w:t>
            </w:r>
            <w:r>
              <w:rPr>
                <w:sz w:val="21"/>
              </w:rPr>
              <w:t>年应交期交保险费的，发生缓交时，本附加合同基本保险金</w:t>
            </w:r>
          </w:p>
        </w:tc>
      </w:tr>
    </w:tbl>
    <w:p>
      <w:pPr>
        <w:spacing w:after="0" w:line="271" w:lineRule="exact"/>
        <w:rPr>
          <w:sz w:val="21"/>
        </w:rPr>
        <w:sectPr>
          <w:pgSz w:w="11910" w:h="16840"/>
          <w:pgMar w:top="1500" w:bottom="280" w:left="1160" w:right="7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6"/>
        <w:gridCol w:w="7865"/>
      </w:tblGrid>
      <w:tr>
        <w:trPr>
          <w:trHeight w:val="318" w:hRule="atLeast"/>
        </w:trPr>
        <w:tc>
          <w:tcPr>
            <w:tcW w:w="602" w:type="dxa"/>
          </w:tcPr>
          <w:p>
            <w:pPr>
              <w:pStyle w:val="TableParagraph"/>
              <w:ind w:left="0"/>
              <w:rPr>
                <w:rFonts w:ascii="Times New Roman"/>
                <w:sz w:val="20"/>
              </w:rPr>
            </w:pPr>
          </w:p>
        </w:tc>
        <w:tc>
          <w:tcPr>
            <w:tcW w:w="1276" w:type="dxa"/>
          </w:tcPr>
          <w:p>
            <w:pPr>
              <w:pStyle w:val="TableParagraph"/>
              <w:ind w:left="0"/>
              <w:rPr>
                <w:rFonts w:ascii="Times New Roman"/>
                <w:sz w:val="20"/>
              </w:rPr>
            </w:pPr>
          </w:p>
        </w:tc>
        <w:tc>
          <w:tcPr>
            <w:tcW w:w="7865" w:type="dxa"/>
          </w:tcPr>
          <w:p>
            <w:pPr>
              <w:pStyle w:val="TableParagraph"/>
              <w:spacing w:line="204" w:lineRule="exact"/>
              <w:ind w:left="200"/>
              <w:rPr>
                <w:sz w:val="21"/>
              </w:rPr>
            </w:pPr>
            <w:r>
              <w:rPr>
                <w:sz w:val="21"/>
              </w:rPr>
              <w:t>额不削减。</w:t>
            </w:r>
          </w:p>
        </w:tc>
      </w:tr>
      <w:tr>
        <w:trPr>
          <w:trHeight w:val="1322" w:hRule="atLeast"/>
        </w:trPr>
        <w:tc>
          <w:tcPr>
            <w:tcW w:w="602" w:type="dxa"/>
          </w:tcPr>
          <w:p>
            <w:pPr>
              <w:pStyle w:val="TableParagraph"/>
              <w:spacing w:before="92"/>
              <w:ind w:left="108"/>
              <w:rPr>
                <w:rFonts w:ascii="Times New Roman"/>
                <w:b/>
                <w:sz w:val="21"/>
              </w:rPr>
            </w:pPr>
            <w:r>
              <w:rPr>
                <w:rFonts w:ascii="Times New Roman"/>
                <w:b/>
                <w:sz w:val="21"/>
              </w:rPr>
              <w:t>2.3</w:t>
            </w:r>
          </w:p>
        </w:tc>
        <w:tc>
          <w:tcPr>
            <w:tcW w:w="1276" w:type="dxa"/>
          </w:tcPr>
          <w:p>
            <w:pPr>
              <w:pStyle w:val="TableParagraph"/>
              <w:spacing w:line="343" w:lineRule="exact"/>
              <w:ind w:left="0" w:right="200"/>
              <w:jc w:val="right"/>
              <w:rPr>
                <w:rFonts w:ascii="微软雅黑" w:eastAsia="微软雅黑" w:hint="eastAsia"/>
                <w:b/>
                <w:sz w:val="21"/>
              </w:rPr>
            </w:pPr>
            <w:r>
              <w:rPr>
                <w:rFonts w:ascii="微软雅黑" w:eastAsia="微软雅黑" w:hint="eastAsia"/>
                <w:b/>
                <w:sz w:val="21"/>
              </w:rPr>
              <w:t>风险保额</w:t>
            </w:r>
          </w:p>
        </w:tc>
        <w:tc>
          <w:tcPr>
            <w:tcW w:w="7865" w:type="dxa"/>
          </w:tcPr>
          <w:p>
            <w:pPr>
              <w:pStyle w:val="TableParagraph"/>
              <w:spacing w:before="43"/>
              <w:ind w:left="200"/>
              <w:rPr>
                <w:sz w:val="21"/>
              </w:rPr>
            </w:pPr>
            <w:r>
              <w:rPr>
                <w:sz w:val="21"/>
              </w:rPr>
              <w:t>本附加合同的风险保额按下列方式计算：</w:t>
            </w:r>
          </w:p>
          <w:p>
            <w:pPr>
              <w:pStyle w:val="TableParagraph"/>
              <w:spacing w:line="247" w:lineRule="auto" w:before="25"/>
              <w:ind w:left="200" w:right="117"/>
              <w:rPr>
                <w:sz w:val="21"/>
              </w:rPr>
            </w:pPr>
            <w:r>
              <w:rPr>
                <w:sz w:val="21"/>
              </w:rPr>
              <w:t>风险保额</w:t>
            </w:r>
            <w:r>
              <w:rPr>
                <w:rFonts w:ascii="Times New Roman" w:hAnsi="Times New Roman" w:eastAsia="Times New Roman"/>
                <w:sz w:val="21"/>
              </w:rPr>
              <w:t>=</w:t>
            </w:r>
            <w:r>
              <w:rPr>
                <w:sz w:val="21"/>
              </w:rPr>
              <w:t>本附加合同保险金额</w:t>
            </w:r>
            <w:r>
              <w:rPr>
                <w:rFonts w:ascii="Times New Roman" w:hAnsi="Times New Roman" w:eastAsia="Times New Roman"/>
                <w:sz w:val="21"/>
              </w:rPr>
              <w:t>-</w:t>
            </w:r>
            <w:r>
              <w:rPr>
                <w:sz w:val="21"/>
              </w:rPr>
              <w:t>主合同个人账户价值×本附加合同保险金额÷主合同保险金额。</w:t>
            </w:r>
          </w:p>
          <w:p>
            <w:pPr>
              <w:pStyle w:val="TableParagraph"/>
              <w:spacing w:before="18"/>
              <w:ind w:left="200"/>
              <w:rPr>
                <w:sz w:val="21"/>
              </w:rPr>
            </w:pPr>
            <w:r>
              <w:rPr>
                <w:sz w:val="21"/>
              </w:rPr>
              <w:t>其中结算日按结息后的主合同个人账户价值计算风险保额。</w:t>
            </w:r>
          </w:p>
        </w:tc>
      </w:tr>
      <w:tr>
        <w:trPr>
          <w:trHeight w:val="427" w:hRule="atLeast"/>
        </w:trPr>
        <w:tc>
          <w:tcPr>
            <w:tcW w:w="602" w:type="dxa"/>
          </w:tcPr>
          <w:p>
            <w:pPr>
              <w:pStyle w:val="TableParagraph"/>
              <w:spacing w:before="82"/>
              <w:ind w:left="108"/>
              <w:rPr>
                <w:rFonts w:ascii="Times New Roman"/>
                <w:b/>
                <w:sz w:val="21"/>
              </w:rPr>
            </w:pPr>
            <w:r>
              <w:rPr>
                <w:rFonts w:ascii="Times New Roman"/>
                <w:b/>
                <w:sz w:val="21"/>
              </w:rPr>
              <w:t>2.4</w:t>
            </w:r>
          </w:p>
        </w:tc>
        <w:tc>
          <w:tcPr>
            <w:tcW w:w="1276" w:type="dxa"/>
          </w:tcPr>
          <w:p>
            <w:pPr>
              <w:pStyle w:val="TableParagraph"/>
              <w:spacing w:line="334" w:lineRule="exact"/>
              <w:ind w:left="0" w:right="200"/>
              <w:jc w:val="right"/>
              <w:rPr>
                <w:rFonts w:ascii="微软雅黑" w:eastAsia="微软雅黑" w:hint="eastAsia"/>
                <w:b/>
                <w:sz w:val="21"/>
              </w:rPr>
            </w:pPr>
            <w:r>
              <w:rPr>
                <w:rFonts w:ascii="微软雅黑" w:eastAsia="微软雅黑" w:hint="eastAsia"/>
                <w:b/>
                <w:sz w:val="21"/>
              </w:rPr>
              <w:t>保险期间</w:t>
            </w:r>
          </w:p>
        </w:tc>
        <w:tc>
          <w:tcPr>
            <w:tcW w:w="7865" w:type="dxa"/>
          </w:tcPr>
          <w:p>
            <w:pPr>
              <w:pStyle w:val="TableParagraph"/>
              <w:spacing w:before="47"/>
              <w:ind w:left="200"/>
              <w:rPr>
                <w:sz w:val="21"/>
              </w:rPr>
            </w:pPr>
            <w:r>
              <w:rPr>
                <w:sz w:val="21"/>
              </w:rPr>
              <w:t>本附加合同的保险期间与主合同相同。</w:t>
            </w:r>
          </w:p>
        </w:tc>
      </w:tr>
      <w:tr>
        <w:trPr>
          <w:trHeight w:val="421" w:hRule="atLeast"/>
        </w:trPr>
        <w:tc>
          <w:tcPr>
            <w:tcW w:w="602" w:type="dxa"/>
          </w:tcPr>
          <w:p>
            <w:pPr>
              <w:pStyle w:val="TableParagraph"/>
              <w:spacing w:before="81"/>
              <w:ind w:left="108"/>
              <w:rPr>
                <w:rFonts w:ascii="Times New Roman"/>
                <w:b/>
                <w:sz w:val="21"/>
              </w:rPr>
            </w:pPr>
            <w:r>
              <w:rPr>
                <w:rFonts w:ascii="Times New Roman"/>
                <w:b/>
                <w:sz w:val="21"/>
              </w:rPr>
              <w:t>2.5</w:t>
            </w:r>
          </w:p>
        </w:tc>
        <w:tc>
          <w:tcPr>
            <w:tcW w:w="1276" w:type="dxa"/>
          </w:tcPr>
          <w:p>
            <w:pPr>
              <w:pStyle w:val="TableParagraph"/>
              <w:spacing w:line="333" w:lineRule="exact"/>
              <w:ind w:left="0" w:right="200"/>
              <w:jc w:val="right"/>
              <w:rPr>
                <w:rFonts w:ascii="微软雅黑" w:eastAsia="微软雅黑" w:hint="eastAsia"/>
                <w:b/>
                <w:sz w:val="21"/>
              </w:rPr>
            </w:pPr>
            <w:r>
              <w:rPr>
                <w:rFonts w:ascii="微软雅黑" w:eastAsia="微软雅黑" w:hint="eastAsia"/>
                <w:b/>
                <w:sz w:val="21"/>
              </w:rPr>
              <w:t>保险责任</w:t>
            </w:r>
          </w:p>
        </w:tc>
        <w:tc>
          <w:tcPr>
            <w:tcW w:w="7865" w:type="dxa"/>
          </w:tcPr>
          <w:p>
            <w:pPr>
              <w:pStyle w:val="TableParagraph"/>
              <w:spacing w:before="32"/>
              <w:ind w:left="200"/>
              <w:rPr>
                <w:sz w:val="21"/>
              </w:rPr>
            </w:pPr>
            <w:r>
              <w:rPr>
                <w:sz w:val="21"/>
              </w:rPr>
              <w:t>在本附加合同有效期内，我们承担如下保险责任：</w:t>
            </w:r>
          </w:p>
        </w:tc>
      </w:tr>
      <w:tr>
        <w:trPr>
          <w:trHeight w:val="3406" w:hRule="atLeast"/>
        </w:trPr>
        <w:tc>
          <w:tcPr>
            <w:tcW w:w="602" w:type="dxa"/>
          </w:tcPr>
          <w:p>
            <w:pPr>
              <w:pStyle w:val="TableParagraph"/>
              <w:ind w:left="0"/>
              <w:rPr>
                <w:rFonts w:ascii="Times New Roman"/>
                <w:sz w:val="20"/>
              </w:rPr>
            </w:pPr>
          </w:p>
        </w:tc>
        <w:tc>
          <w:tcPr>
            <w:tcW w:w="1276" w:type="dxa"/>
          </w:tcPr>
          <w:p>
            <w:pPr>
              <w:pStyle w:val="TableParagraph"/>
              <w:spacing w:line="196" w:lineRule="auto" w:before="25"/>
              <w:ind w:left="228" w:right="202"/>
              <w:rPr>
                <w:rFonts w:ascii="Microsoft JhengHei" w:eastAsia="Microsoft JhengHei" w:hint="eastAsia"/>
                <w:b/>
                <w:sz w:val="21"/>
              </w:rPr>
            </w:pPr>
            <w:r>
              <w:rPr>
                <w:rFonts w:ascii="Microsoft JhengHei" w:eastAsia="Microsoft JhengHei" w:hint="eastAsia"/>
                <w:b/>
                <w:sz w:val="21"/>
              </w:rPr>
              <w:t>重大疾病保险金</w:t>
            </w:r>
          </w:p>
        </w:tc>
        <w:tc>
          <w:tcPr>
            <w:tcW w:w="7865" w:type="dxa"/>
          </w:tcPr>
          <w:p>
            <w:pPr>
              <w:pStyle w:val="TableParagraph"/>
              <w:spacing w:line="300" w:lineRule="exact" w:before="31"/>
              <w:ind w:left="200" w:right="-15"/>
              <w:rPr>
                <w:sz w:val="21"/>
              </w:rPr>
            </w:pPr>
            <w:r>
              <w:rPr>
                <w:spacing w:val="-8"/>
                <w:sz w:val="21"/>
              </w:rPr>
              <w:t>被保险人自本附加合同生效</w:t>
            </w:r>
            <w:r>
              <w:rPr>
                <w:spacing w:val="-3"/>
                <w:sz w:val="21"/>
              </w:rPr>
              <w:t>（或最后复效</w:t>
            </w:r>
            <w:r>
              <w:rPr>
                <w:spacing w:val="-58"/>
                <w:sz w:val="21"/>
              </w:rPr>
              <w:t>）</w:t>
            </w:r>
            <w:r>
              <w:rPr>
                <w:spacing w:val="-11"/>
                <w:sz w:val="21"/>
              </w:rPr>
              <w:t>之日起 </w:t>
            </w:r>
            <w:r>
              <w:rPr>
                <w:rFonts w:ascii="Times New Roman" w:eastAsia="Times New Roman"/>
                <w:sz w:val="21"/>
              </w:rPr>
              <w:t>180</w:t>
            </w:r>
            <w:r>
              <w:rPr>
                <w:rFonts w:ascii="Times New Roman" w:eastAsia="Times New Roman"/>
                <w:spacing w:val="15"/>
                <w:sz w:val="21"/>
              </w:rPr>
              <w:t> </w:t>
            </w:r>
            <w:r>
              <w:rPr>
                <w:spacing w:val="-3"/>
                <w:sz w:val="21"/>
              </w:rPr>
              <w:t>日内因意外伤害以外的原因， </w:t>
            </w:r>
            <w:r>
              <w:rPr>
                <w:spacing w:val="-3"/>
                <w:w w:val="100"/>
                <w:sz w:val="21"/>
              </w:rPr>
              <w:t>初次被确诊患有本附加合同约定的</w:t>
            </w:r>
            <w:r>
              <w:rPr>
                <w:rFonts w:ascii="微软雅黑" w:eastAsia="微软雅黑" w:hint="eastAsia"/>
                <w:b/>
                <w:w w:val="100"/>
                <w:sz w:val="21"/>
              </w:rPr>
              <w:t>重大疾病</w:t>
            </w:r>
            <w:r>
              <w:rPr>
                <w:spacing w:val="-3"/>
                <w:w w:val="100"/>
                <w:sz w:val="21"/>
              </w:rPr>
              <w:t>（</w:t>
            </w:r>
            <w:r>
              <w:rPr>
                <w:w w:val="100"/>
                <w:sz w:val="21"/>
              </w:rPr>
              <w:t>见</w:t>
            </w:r>
            <w:r>
              <w:rPr>
                <w:spacing w:val="-53"/>
                <w:sz w:val="21"/>
              </w:rPr>
              <w:t> </w:t>
            </w:r>
            <w:r>
              <w:rPr>
                <w:rFonts w:ascii="Times New Roman" w:eastAsia="Times New Roman"/>
                <w:w w:val="100"/>
                <w:sz w:val="21"/>
              </w:rPr>
              <w:t>6.</w:t>
            </w:r>
            <w:r>
              <w:rPr>
                <w:rFonts w:ascii="Times New Roman" w:eastAsia="Times New Roman"/>
                <w:spacing w:val="-3"/>
                <w:w w:val="100"/>
                <w:sz w:val="21"/>
              </w:rPr>
              <w:t>4</w:t>
            </w:r>
            <w:r>
              <w:rPr>
                <w:spacing w:val="-106"/>
                <w:w w:val="100"/>
                <w:sz w:val="21"/>
              </w:rPr>
              <w:t>）</w:t>
            </w:r>
            <w:r>
              <w:rPr>
                <w:w w:val="100"/>
                <w:sz w:val="21"/>
              </w:rPr>
              <w:t>（</w:t>
            </w:r>
            <w:r>
              <w:rPr>
                <w:spacing w:val="-3"/>
                <w:w w:val="100"/>
                <w:sz w:val="21"/>
              </w:rPr>
              <w:t>一种或多种</w:t>
            </w:r>
            <w:r>
              <w:rPr>
                <w:spacing w:val="-108"/>
                <w:w w:val="100"/>
                <w:sz w:val="21"/>
              </w:rPr>
              <w:t>）</w:t>
            </w:r>
            <w:r>
              <w:rPr>
                <w:spacing w:val="-3"/>
                <w:w w:val="100"/>
                <w:sz w:val="21"/>
              </w:rPr>
              <w:t>，我们将已收 </w:t>
            </w:r>
            <w:r>
              <w:rPr>
                <w:spacing w:val="-3"/>
                <w:sz w:val="21"/>
              </w:rPr>
              <w:t>取的被保险人重大疾病初次确诊之日后的本附加合同风险保障费无息退还至主合  同个人账户中，主合同个人账户价值按退还的金额等额增加，本附加合同终止。  </w:t>
            </w:r>
            <w:r>
              <w:rPr>
                <w:spacing w:val="-4"/>
                <w:sz w:val="21"/>
              </w:rPr>
              <w:t>被保险人因遭受意外伤害或自本附加合同生效</w:t>
            </w:r>
            <w:r>
              <w:rPr>
                <w:spacing w:val="-3"/>
                <w:sz w:val="21"/>
              </w:rPr>
              <w:t>（或最后复效）</w:t>
            </w:r>
            <w:r>
              <w:rPr>
                <w:spacing w:val="-10"/>
                <w:sz w:val="21"/>
              </w:rPr>
              <w:t>之日起 </w:t>
            </w:r>
            <w:r>
              <w:rPr>
                <w:rFonts w:ascii="Times New Roman" w:eastAsia="Times New Roman"/>
                <w:sz w:val="21"/>
              </w:rPr>
              <w:t>180</w:t>
            </w:r>
            <w:r>
              <w:rPr>
                <w:rFonts w:ascii="Times New Roman" w:eastAsia="Times New Roman"/>
                <w:spacing w:val="17"/>
                <w:sz w:val="21"/>
              </w:rPr>
              <w:t> </w:t>
            </w:r>
            <w:r>
              <w:rPr>
                <w:spacing w:val="-2"/>
                <w:sz w:val="21"/>
              </w:rPr>
              <w:t>日后因意</w:t>
            </w:r>
          </w:p>
          <w:p>
            <w:pPr>
              <w:pStyle w:val="TableParagraph"/>
              <w:spacing w:line="261" w:lineRule="auto"/>
              <w:ind w:left="200" w:right="200"/>
              <w:rPr>
                <w:sz w:val="21"/>
              </w:rPr>
            </w:pPr>
            <w:r>
              <w:rPr>
                <w:spacing w:val="-3"/>
                <w:w w:val="100"/>
                <w:sz w:val="21"/>
              </w:rPr>
              <w:t>外伤害以外的原因，初次被确诊患有本附加合同约定的重大疾病</w:t>
            </w:r>
            <w:r>
              <w:rPr>
                <w:spacing w:val="-2"/>
                <w:w w:val="100"/>
                <w:sz w:val="21"/>
              </w:rPr>
              <w:t>（</w:t>
            </w:r>
            <w:r>
              <w:rPr>
                <w:spacing w:val="-3"/>
                <w:w w:val="100"/>
                <w:sz w:val="21"/>
              </w:rPr>
              <w:t>一种或多种</w:t>
            </w:r>
            <w:r>
              <w:rPr>
                <w:spacing w:val="-106"/>
                <w:w w:val="100"/>
                <w:sz w:val="21"/>
              </w:rPr>
              <w:t>）</w:t>
            </w:r>
            <w:r>
              <w:rPr>
                <w:w w:val="100"/>
                <w:sz w:val="21"/>
              </w:rPr>
              <w:t>，</w:t>
            </w:r>
            <w:r>
              <w:rPr>
                <w:spacing w:val="-3"/>
                <w:sz w:val="21"/>
              </w:rPr>
              <w:t>我们按收到申请人的重大疾病保险金给付申请书及合同约定的证明和资料之日的本附加合同保险金额给付重大疾病保险金，本附加合同终止。</w:t>
            </w:r>
          </w:p>
          <w:p>
            <w:pPr>
              <w:pStyle w:val="TableParagraph"/>
              <w:spacing w:line="261" w:lineRule="auto" w:before="11"/>
              <w:ind w:left="200" w:right="305"/>
              <w:rPr>
                <w:sz w:val="21"/>
              </w:rPr>
            </w:pPr>
            <w:r>
              <w:rPr>
                <w:sz w:val="21"/>
              </w:rPr>
              <w:t>主合同基本保险金额和个人账户价值按本附加合同给付的重大疾病保险金与主合同保险金额的比例相应减少。</w:t>
            </w:r>
          </w:p>
          <w:p>
            <w:pPr>
              <w:pStyle w:val="TableParagraph"/>
              <w:spacing w:before="5"/>
              <w:ind w:left="200"/>
              <w:rPr>
                <w:sz w:val="21"/>
              </w:rPr>
            </w:pPr>
            <w:r>
              <w:rPr>
                <w:sz w:val="21"/>
              </w:rPr>
              <w:t>若主合同基本保险金额减少为零，主合同终止。</w:t>
            </w:r>
          </w:p>
        </w:tc>
      </w:tr>
      <w:tr>
        <w:trPr>
          <w:trHeight w:val="4658" w:hRule="atLeast"/>
        </w:trPr>
        <w:tc>
          <w:tcPr>
            <w:tcW w:w="602" w:type="dxa"/>
          </w:tcPr>
          <w:p>
            <w:pPr>
              <w:pStyle w:val="TableParagraph"/>
              <w:spacing w:before="82"/>
              <w:ind w:left="108"/>
              <w:rPr>
                <w:rFonts w:ascii="Times New Roman"/>
                <w:b/>
                <w:sz w:val="21"/>
              </w:rPr>
            </w:pPr>
            <w:r>
              <w:rPr>
                <w:rFonts w:ascii="Times New Roman"/>
                <w:b/>
                <w:sz w:val="21"/>
              </w:rPr>
              <w:t>2.6</w:t>
            </w:r>
          </w:p>
        </w:tc>
        <w:tc>
          <w:tcPr>
            <w:tcW w:w="1276" w:type="dxa"/>
          </w:tcPr>
          <w:p>
            <w:pPr>
              <w:pStyle w:val="TableParagraph"/>
              <w:spacing w:line="334" w:lineRule="exact"/>
              <w:ind w:left="0" w:right="200"/>
              <w:jc w:val="right"/>
              <w:rPr>
                <w:rFonts w:ascii="微软雅黑" w:eastAsia="微软雅黑" w:hint="eastAsia"/>
                <w:b/>
                <w:sz w:val="21"/>
              </w:rPr>
            </w:pPr>
            <w:r>
              <w:rPr>
                <w:rFonts w:ascii="微软雅黑" w:eastAsia="微软雅黑" w:hint="eastAsia"/>
                <w:b/>
                <w:sz w:val="21"/>
              </w:rPr>
              <w:t>责任免除</w:t>
            </w:r>
          </w:p>
        </w:tc>
        <w:tc>
          <w:tcPr>
            <w:tcW w:w="7865" w:type="dxa"/>
          </w:tcPr>
          <w:p>
            <w:pPr>
              <w:pStyle w:val="TableParagraph"/>
              <w:spacing w:line="261" w:lineRule="auto" w:before="33"/>
              <w:ind w:left="200" w:right="60"/>
              <w:rPr>
                <w:sz w:val="21"/>
              </w:rPr>
            </w:pPr>
            <w:r>
              <w:rPr>
                <w:sz w:val="21"/>
              </w:rPr>
              <w:t>因下列情形之一，导致被保险人发Th重大疾病、达到重大疾病状态或进行手术，我们不承担给付保险金的责任：</w:t>
            </w:r>
          </w:p>
          <w:p>
            <w:pPr>
              <w:pStyle w:val="TableParagraph"/>
              <w:spacing w:before="6"/>
              <w:ind w:left="200"/>
              <w:rPr>
                <w:sz w:val="21"/>
              </w:rPr>
            </w:pPr>
            <w:r>
              <w:rPr>
                <w:sz w:val="21"/>
              </w:rPr>
              <w:t>（</w:t>
            </w:r>
            <w:r>
              <w:rPr>
                <w:rFonts w:ascii="Times New Roman" w:eastAsia="Times New Roman"/>
                <w:sz w:val="21"/>
              </w:rPr>
              <w:t>1</w:t>
            </w:r>
            <w:r>
              <w:rPr>
                <w:sz w:val="21"/>
              </w:rPr>
              <w:t>）您对被保险人的故意杀害、故意伤害；</w:t>
            </w:r>
          </w:p>
          <w:p>
            <w:pPr>
              <w:pStyle w:val="TableParagraph"/>
              <w:spacing w:before="9"/>
              <w:ind w:left="200"/>
              <w:rPr>
                <w:sz w:val="21"/>
              </w:rPr>
            </w:pPr>
            <w:r>
              <w:rPr>
                <w:sz w:val="21"/>
              </w:rPr>
              <w:t>（</w:t>
            </w:r>
            <w:r>
              <w:rPr>
                <w:rFonts w:ascii="Times New Roman" w:eastAsia="Times New Roman"/>
                <w:sz w:val="21"/>
              </w:rPr>
              <w:t>2</w:t>
            </w:r>
            <w:r>
              <w:rPr>
                <w:sz w:val="21"/>
              </w:rPr>
              <w:t>）被保险人故意自伤、故意犯罪或者抗拒依法采取的刑事强制措施；</w:t>
            </w:r>
          </w:p>
          <w:p>
            <w:pPr>
              <w:pStyle w:val="TableParagraph"/>
              <w:spacing w:before="9"/>
              <w:ind w:left="200"/>
              <w:rPr>
                <w:sz w:val="21"/>
              </w:rPr>
            </w:pPr>
            <w:r>
              <w:rPr>
                <w:sz w:val="21"/>
              </w:rPr>
              <w:t>（</w:t>
            </w:r>
            <w:r>
              <w:rPr>
                <w:rFonts w:ascii="Times New Roman" w:eastAsia="Times New Roman"/>
                <w:sz w:val="21"/>
              </w:rPr>
              <w:t>3</w:t>
            </w:r>
            <w:r>
              <w:rPr>
                <w:sz w:val="21"/>
              </w:rPr>
              <w:t>）被保险人主动吸食或注射毒品；</w:t>
            </w:r>
          </w:p>
          <w:p>
            <w:pPr>
              <w:pStyle w:val="TableParagraph"/>
              <w:spacing w:line="262" w:lineRule="exact" w:before="9"/>
              <w:ind w:left="200"/>
              <w:rPr>
                <w:sz w:val="21"/>
              </w:rPr>
            </w:pPr>
            <w:r>
              <w:rPr>
                <w:spacing w:val="-1"/>
                <w:sz w:val="21"/>
              </w:rPr>
              <w:t>（</w:t>
            </w:r>
            <w:r>
              <w:rPr>
                <w:rFonts w:ascii="Times New Roman" w:eastAsia="Times New Roman"/>
                <w:spacing w:val="-1"/>
                <w:sz w:val="21"/>
              </w:rPr>
              <w:t>4</w:t>
            </w:r>
            <w:r>
              <w:rPr>
                <w:spacing w:val="-1"/>
                <w:sz w:val="21"/>
              </w:rPr>
              <w:t>）</w:t>
            </w:r>
            <w:r>
              <w:rPr>
                <w:spacing w:val="-5"/>
                <w:sz w:val="21"/>
              </w:rPr>
              <w:t>被保险人酒后驾驶、无合法有效驾驶证驾驶，或驾驶无有效行驶证的机动车；</w:t>
            </w:r>
          </w:p>
          <w:p>
            <w:pPr>
              <w:pStyle w:val="TableParagraph"/>
              <w:spacing w:line="300" w:lineRule="exact" w:before="43"/>
              <w:ind w:left="726" w:right="1" w:hanging="526"/>
              <w:rPr>
                <w:sz w:val="21"/>
              </w:rPr>
            </w:pPr>
            <w:r>
              <w:rPr>
                <w:sz w:val="21"/>
              </w:rPr>
              <w:t>（</w:t>
            </w:r>
            <w:r>
              <w:rPr>
                <w:rFonts w:ascii="Times New Roman" w:hAnsi="Times New Roman" w:eastAsia="Times New Roman"/>
                <w:sz w:val="21"/>
              </w:rPr>
              <w:t>5</w:t>
            </w:r>
            <w:r>
              <w:rPr>
                <w:sz w:val="21"/>
              </w:rPr>
              <w:t>）</w:t>
            </w:r>
            <w:r>
              <w:rPr>
                <w:spacing w:val="-2"/>
                <w:sz w:val="21"/>
              </w:rPr>
              <w:t>被保险人</w:t>
            </w:r>
            <w:r>
              <w:rPr>
                <w:rFonts w:ascii="Microsoft JhengHei" w:hAnsi="Microsoft JhengHei" w:eastAsia="Microsoft JhengHei" w:hint="eastAsia"/>
                <w:b/>
                <w:spacing w:val="-1"/>
                <w:sz w:val="21"/>
              </w:rPr>
              <w:t>感染艾滋病病毒或患艾滋病</w:t>
            </w:r>
            <w:r>
              <w:rPr>
                <w:spacing w:val="-3"/>
                <w:sz w:val="21"/>
              </w:rPr>
              <w:t>（</w:t>
            </w:r>
            <w:r>
              <w:rPr>
                <w:sz w:val="21"/>
              </w:rPr>
              <w:t>见</w:t>
            </w:r>
            <w:r>
              <w:rPr>
                <w:rFonts w:ascii="Times New Roman" w:hAnsi="Times New Roman" w:eastAsia="Times New Roman"/>
                <w:sz w:val="21"/>
              </w:rPr>
              <w:t>6.1</w:t>
            </w:r>
            <w:r>
              <w:rPr>
                <w:sz w:val="21"/>
              </w:rPr>
              <w:t>）（</w:t>
            </w:r>
            <w:r>
              <w:rPr>
                <w:spacing w:val="-3"/>
                <w:sz w:val="21"/>
              </w:rPr>
              <w:t>被保险人感染艾滋病病毒但</w:t>
            </w:r>
            <w:r>
              <w:rPr>
                <w:spacing w:val="-5"/>
                <w:sz w:val="21"/>
              </w:rPr>
              <w:t>符合本附加合同“经输血导致的人类免疫缺陷病毒感染”定义的不在此限</w:t>
            </w:r>
            <w:r>
              <w:rPr>
                <w:spacing w:val="-3"/>
                <w:sz w:val="21"/>
              </w:rPr>
              <w:t>）；</w:t>
            </w:r>
          </w:p>
          <w:p>
            <w:pPr>
              <w:pStyle w:val="TableParagraph"/>
              <w:spacing w:line="285" w:lineRule="exact"/>
              <w:ind w:left="200"/>
              <w:rPr>
                <w:sz w:val="21"/>
              </w:rPr>
            </w:pPr>
            <w:r>
              <w:rPr>
                <w:sz w:val="21"/>
              </w:rPr>
              <w:t>（</w:t>
            </w:r>
            <w:r>
              <w:rPr>
                <w:rFonts w:ascii="Times New Roman" w:eastAsia="Times New Roman"/>
                <w:sz w:val="21"/>
              </w:rPr>
              <w:t>6</w:t>
            </w:r>
            <w:r>
              <w:rPr>
                <w:sz w:val="21"/>
              </w:rPr>
              <w:t>）战争、军事冲突、暴乱或武装叛乱；</w:t>
            </w:r>
          </w:p>
          <w:p>
            <w:pPr>
              <w:pStyle w:val="TableParagraph"/>
              <w:spacing w:line="262" w:lineRule="exact" w:before="9"/>
              <w:ind w:left="200"/>
              <w:rPr>
                <w:sz w:val="21"/>
              </w:rPr>
            </w:pPr>
            <w:r>
              <w:rPr>
                <w:sz w:val="21"/>
              </w:rPr>
              <w:t>（</w:t>
            </w:r>
            <w:r>
              <w:rPr>
                <w:rFonts w:ascii="Times New Roman" w:eastAsia="Times New Roman"/>
                <w:sz w:val="21"/>
              </w:rPr>
              <w:t>7</w:t>
            </w:r>
            <w:r>
              <w:rPr>
                <w:sz w:val="21"/>
              </w:rPr>
              <w:t>）核爆炸、核辐射或核污染；</w:t>
            </w:r>
          </w:p>
          <w:p>
            <w:pPr>
              <w:pStyle w:val="TableParagraph"/>
              <w:spacing w:line="300" w:lineRule="exact" w:before="42"/>
              <w:ind w:left="726" w:right="104" w:hanging="526"/>
              <w:rPr>
                <w:sz w:val="21"/>
              </w:rPr>
            </w:pPr>
            <w:r>
              <w:rPr>
                <w:sz w:val="21"/>
              </w:rPr>
              <w:t>（</w:t>
            </w:r>
            <w:r>
              <w:rPr>
                <w:rFonts w:ascii="Times New Roman" w:eastAsia="Times New Roman"/>
                <w:sz w:val="21"/>
              </w:rPr>
              <w:t>8</w:t>
            </w:r>
            <w:r>
              <w:rPr>
                <w:sz w:val="21"/>
              </w:rPr>
              <w:t>）</w:t>
            </w:r>
            <w:r>
              <w:rPr>
                <w:rFonts w:ascii="Microsoft JhengHei" w:eastAsia="Microsoft JhengHei" w:hint="eastAsia"/>
                <w:b/>
                <w:sz w:val="21"/>
              </w:rPr>
              <w:t>遗传性疾病</w:t>
            </w:r>
            <w:r>
              <w:rPr>
                <w:sz w:val="21"/>
              </w:rPr>
              <w:t>（见 </w:t>
            </w:r>
            <w:r>
              <w:rPr>
                <w:rFonts w:ascii="Times New Roman" w:eastAsia="Times New Roman"/>
                <w:sz w:val="21"/>
              </w:rPr>
              <w:t>6.2</w:t>
            </w:r>
            <w:r>
              <w:rPr>
                <w:sz w:val="21"/>
              </w:rPr>
              <w:t>），</w:t>
            </w:r>
            <w:r>
              <w:rPr>
                <w:rFonts w:ascii="Microsoft JhengHei" w:eastAsia="Microsoft JhengHei" w:hint="eastAsia"/>
                <w:b/>
                <w:sz w:val="21"/>
              </w:rPr>
              <w:t>先天性畸形、变形或染色体异常</w:t>
            </w:r>
            <w:r>
              <w:rPr>
                <w:sz w:val="21"/>
              </w:rPr>
              <w:t>（见 </w:t>
            </w:r>
            <w:r>
              <w:rPr>
                <w:rFonts w:ascii="Times New Roman" w:eastAsia="Times New Roman"/>
                <w:sz w:val="21"/>
              </w:rPr>
              <w:t>6.3</w:t>
            </w:r>
            <w:r>
              <w:rPr>
                <w:sz w:val="21"/>
              </w:rPr>
              <w:t>），但本附加合同另有约定的除外。</w:t>
            </w:r>
          </w:p>
          <w:p>
            <w:pPr>
              <w:pStyle w:val="TableParagraph"/>
              <w:spacing w:line="261" w:lineRule="auto"/>
              <w:ind w:left="200" w:right="102"/>
              <w:jc w:val="both"/>
              <w:rPr>
                <w:sz w:val="21"/>
              </w:rPr>
            </w:pPr>
            <w:r>
              <w:rPr>
                <w:sz w:val="21"/>
              </w:rPr>
              <w:t>发Th上述情形，本附加合同终止。我们将已收取的被保险人重大疾病初次确诊之日后的本附加合同风险保障费无息退还至主合同个人账户中，主合同个人账户价值按退还的金额等额增加。</w:t>
            </w:r>
          </w:p>
        </w:tc>
      </w:tr>
      <w:tr>
        <w:trPr>
          <w:trHeight w:val="300" w:hRule="atLeast"/>
        </w:trPr>
        <w:tc>
          <w:tcPr>
            <w:tcW w:w="9743" w:type="dxa"/>
            <w:gridSpan w:val="3"/>
            <w:shd w:val="clear" w:color="auto" w:fill="E6E6E6"/>
          </w:tcPr>
          <w:p>
            <w:pPr>
              <w:pStyle w:val="TableParagraph"/>
              <w:tabs>
                <w:tab w:pos="845" w:val="left" w:leader="none"/>
              </w:tabs>
              <w:spacing w:line="280" w:lineRule="exact"/>
              <w:ind w:left="108"/>
              <w:rPr>
                <w:rFonts w:ascii="微软雅黑" w:eastAsia="微软雅黑" w:hint="eastAsia"/>
                <w:b/>
                <w:sz w:val="21"/>
              </w:rPr>
            </w:pPr>
            <w:r>
              <w:rPr>
                <w:rFonts w:ascii="Times New Roman" w:eastAsia="Times New Roman"/>
                <w:b/>
                <w:sz w:val="21"/>
              </w:rPr>
              <w:t>3</w:t>
              <w:tab/>
            </w:r>
            <w:r>
              <w:rPr>
                <w:rFonts w:ascii="微软雅黑" w:eastAsia="微软雅黑" w:hint="eastAsia"/>
                <w:b/>
                <w:sz w:val="21"/>
              </w:rPr>
              <w:t>您的义务和权利</w:t>
            </w:r>
          </w:p>
        </w:tc>
      </w:tr>
      <w:tr>
        <w:trPr>
          <w:trHeight w:val="2783" w:hRule="atLeast"/>
        </w:trPr>
        <w:tc>
          <w:tcPr>
            <w:tcW w:w="602" w:type="dxa"/>
          </w:tcPr>
          <w:p>
            <w:pPr>
              <w:pStyle w:val="TableParagraph"/>
              <w:spacing w:before="149"/>
              <w:ind w:left="108"/>
              <w:rPr>
                <w:rFonts w:ascii="Times New Roman"/>
                <w:b/>
                <w:sz w:val="21"/>
              </w:rPr>
            </w:pPr>
            <w:r>
              <w:rPr>
                <w:rFonts w:ascii="Times New Roman"/>
                <w:b/>
                <w:sz w:val="21"/>
              </w:rPr>
              <w:t>3.1</w:t>
            </w:r>
          </w:p>
        </w:tc>
        <w:tc>
          <w:tcPr>
            <w:tcW w:w="1276" w:type="dxa"/>
          </w:tcPr>
          <w:p>
            <w:pPr>
              <w:pStyle w:val="TableParagraph"/>
              <w:spacing w:line="199" w:lineRule="auto" w:before="99"/>
              <w:ind w:left="228" w:right="200"/>
              <w:jc w:val="both"/>
              <w:rPr>
                <w:rFonts w:ascii="微软雅黑" w:eastAsia="微软雅黑" w:hint="eastAsia"/>
                <w:b/>
                <w:sz w:val="21"/>
              </w:rPr>
            </w:pPr>
            <w:r>
              <w:rPr>
                <w:rFonts w:ascii="微软雅黑" w:eastAsia="微软雅黑" w:hint="eastAsia"/>
                <w:b/>
                <w:sz w:val="21"/>
              </w:rPr>
              <w:t>基本保险金额的变更</w:t>
            </w:r>
          </w:p>
        </w:tc>
        <w:tc>
          <w:tcPr>
            <w:tcW w:w="7865" w:type="dxa"/>
          </w:tcPr>
          <w:p>
            <w:pPr>
              <w:pStyle w:val="TableParagraph"/>
              <w:spacing w:before="100"/>
              <w:ind w:left="200"/>
              <w:rPr>
                <w:sz w:val="21"/>
              </w:rPr>
            </w:pPr>
            <w:r>
              <w:rPr>
                <w:sz w:val="21"/>
              </w:rPr>
              <w:t>当发生下列情形之一时，本附加合同基本保险金额发生变更：</w:t>
            </w:r>
          </w:p>
          <w:p>
            <w:pPr>
              <w:pStyle w:val="TableParagraph"/>
              <w:spacing w:before="24"/>
              <w:ind w:left="200"/>
              <w:rPr>
                <w:sz w:val="21"/>
              </w:rPr>
            </w:pPr>
            <w:r>
              <w:rPr>
                <w:sz w:val="21"/>
              </w:rPr>
              <w:t>（</w:t>
            </w:r>
            <w:r>
              <w:rPr>
                <w:rFonts w:ascii="Times New Roman" w:eastAsia="Times New Roman"/>
                <w:sz w:val="21"/>
              </w:rPr>
              <w:t>1</w:t>
            </w:r>
            <w:r>
              <w:rPr>
                <w:sz w:val="21"/>
              </w:rPr>
              <w:t>）交纳主合同追加保险费</w:t>
            </w:r>
          </w:p>
          <w:p>
            <w:pPr>
              <w:pStyle w:val="TableParagraph"/>
              <w:spacing w:line="261" w:lineRule="auto" w:before="9"/>
              <w:ind w:left="200" w:right="103"/>
              <w:jc w:val="both"/>
              <w:rPr>
                <w:sz w:val="21"/>
              </w:rPr>
            </w:pPr>
            <w:r>
              <w:rPr>
                <w:sz w:val="21"/>
              </w:rPr>
              <w:t>除与主合同的首次期交保险费同时交纳的追加保险费外，在我们收到您交纳的主合同追加保险费，并经我们审核同意生效后，本附加合同基本保险金额按主合同追加保险费等额增加。</w:t>
            </w:r>
          </w:p>
          <w:p>
            <w:pPr>
              <w:pStyle w:val="TableParagraph"/>
              <w:spacing w:before="6"/>
              <w:ind w:left="200"/>
              <w:rPr>
                <w:sz w:val="21"/>
              </w:rPr>
            </w:pPr>
            <w:r>
              <w:rPr>
                <w:sz w:val="21"/>
              </w:rPr>
              <w:t>（</w:t>
            </w:r>
            <w:r>
              <w:rPr>
                <w:rFonts w:ascii="Times New Roman" w:eastAsia="Times New Roman"/>
                <w:sz w:val="21"/>
              </w:rPr>
              <w:t>2</w:t>
            </w:r>
            <w:r>
              <w:rPr>
                <w:sz w:val="21"/>
              </w:rPr>
              <w:t>）部分领取主合同个人账户价值</w:t>
            </w:r>
          </w:p>
          <w:p>
            <w:pPr>
              <w:pStyle w:val="TableParagraph"/>
              <w:spacing w:line="261" w:lineRule="auto" w:before="9"/>
              <w:ind w:left="200" w:right="102"/>
              <w:rPr>
                <w:sz w:val="21"/>
              </w:rPr>
            </w:pPr>
            <w:r>
              <w:rPr>
                <w:sz w:val="21"/>
              </w:rPr>
              <w:t>在我们收到您主合同部分领取申请书，并经我们审核同意生效后，本附加合同基本保险金额按领取的主合同个人账户价值等额减少。</w:t>
            </w:r>
          </w:p>
          <w:p>
            <w:pPr>
              <w:pStyle w:val="TableParagraph"/>
              <w:spacing w:line="262" w:lineRule="exact" w:before="6"/>
              <w:ind w:left="200"/>
              <w:rPr>
                <w:sz w:val="21"/>
              </w:rPr>
            </w:pPr>
            <w:r>
              <w:rPr>
                <w:sz w:val="21"/>
              </w:rPr>
              <w:t>若减少后的本附加合同基本保险金额低于我们当时规定的最低金额，我们有权将其</w:t>
            </w:r>
          </w:p>
        </w:tc>
      </w:tr>
    </w:tbl>
    <w:p>
      <w:pPr>
        <w:spacing w:after="0" w:line="262" w:lineRule="exact"/>
        <w:rPr>
          <w:sz w:val="21"/>
        </w:rPr>
        <w:sectPr>
          <w:pgSz w:w="11910" w:h="16840"/>
          <w:pgMar w:top="1480" w:bottom="280" w:left="1160" w:right="7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275"/>
        <w:gridCol w:w="7866"/>
      </w:tblGrid>
      <w:tr>
        <w:trPr>
          <w:trHeight w:val="5445" w:hRule="atLeast"/>
        </w:trPr>
        <w:tc>
          <w:tcPr>
            <w:tcW w:w="602" w:type="dxa"/>
          </w:tcPr>
          <w:p>
            <w:pPr>
              <w:pStyle w:val="TableParagraph"/>
              <w:ind w:left="0"/>
              <w:rPr>
                <w:rFonts w:ascii="Times New Roman"/>
                <w:sz w:val="20"/>
              </w:rPr>
            </w:pPr>
          </w:p>
        </w:tc>
        <w:tc>
          <w:tcPr>
            <w:tcW w:w="1275" w:type="dxa"/>
          </w:tcPr>
          <w:p>
            <w:pPr>
              <w:pStyle w:val="TableParagraph"/>
              <w:ind w:left="0"/>
              <w:rPr>
                <w:rFonts w:ascii="Times New Roman"/>
                <w:sz w:val="20"/>
              </w:rPr>
            </w:pPr>
          </w:p>
        </w:tc>
        <w:tc>
          <w:tcPr>
            <w:tcW w:w="7866" w:type="dxa"/>
          </w:tcPr>
          <w:p>
            <w:pPr>
              <w:pStyle w:val="TableParagraph"/>
              <w:spacing w:line="211" w:lineRule="exact"/>
              <w:ind w:left="201"/>
              <w:rPr>
                <w:sz w:val="21"/>
              </w:rPr>
            </w:pPr>
            <w:r>
              <w:rPr>
                <w:sz w:val="21"/>
              </w:rPr>
              <w:t>调整为该金额。</w:t>
            </w:r>
          </w:p>
          <w:p>
            <w:pPr>
              <w:pStyle w:val="TableParagraph"/>
              <w:spacing w:before="18"/>
              <w:ind w:left="201"/>
              <w:rPr>
                <w:sz w:val="21"/>
              </w:rPr>
            </w:pPr>
            <w:r>
              <w:rPr>
                <w:sz w:val="21"/>
              </w:rPr>
              <w:t>（</w:t>
            </w:r>
            <w:r>
              <w:rPr>
                <w:rFonts w:ascii="Times New Roman" w:eastAsia="Times New Roman"/>
                <w:sz w:val="21"/>
              </w:rPr>
              <w:t>3</w:t>
            </w:r>
            <w:r>
              <w:rPr>
                <w:sz w:val="21"/>
              </w:rPr>
              <w:t>）将主合同部分个人账户价值转换为年金</w:t>
            </w:r>
          </w:p>
          <w:p>
            <w:pPr>
              <w:pStyle w:val="TableParagraph"/>
              <w:spacing w:line="271" w:lineRule="auto" w:before="21"/>
              <w:ind w:left="201" w:right="103"/>
              <w:rPr>
                <w:sz w:val="21"/>
              </w:rPr>
            </w:pPr>
            <w:r>
              <w:rPr>
                <w:spacing w:val="-4"/>
                <w:sz w:val="21"/>
              </w:rPr>
              <w:t>在我们收到您将部分主合同个人账户价值转换为年金的申请书，并经我们审核同意</w:t>
            </w:r>
            <w:r>
              <w:rPr>
                <w:spacing w:val="-3"/>
                <w:sz w:val="21"/>
              </w:rPr>
              <w:t>生效后，本附加合同基本保险金额按部分转换的主合同个人账户价值等额减少。 </w:t>
            </w:r>
            <w:r>
              <w:rPr>
                <w:spacing w:val="-4"/>
                <w:sz w:val="21"/>
              </w:rPr>
              <w:t>若减少后的本附加合同基本保险金额低于我们当时规定的最低金额，我们有权将其</w:t>
            </w:r>
            <w:r>
              <w:rPr>
                <w:spacing w:val="-3"/>
                <w:sz w:val="21"/>
              </w:rPr>
              <w:t>调整为该金额。</w:t>
            </w:r>
          </w:p>
          <w:p>
            <w:pPr>
              <w:pStyle w:val="TableParagraph"/>
              <w:spacing w:line="289" w:lineRule="exact"/>
              <w:ind w:left="201"/>
              <w:rPr>
                <w:sz w:val="21"/>
              </w:rPr>
            </w:pPr>
            <w:r>
              <w:rPr>
                <w:sz w:val="21"/>
              </w:rPr>
              <w:t>（</w:t>
            </w:r>
            <w:r>
              <w:rPr>
                <w:rFonts w:ascii="Times New Roman" w:eastAsia="Times New Roman"/>
                <w:sz w:val="21"/>
              </w:rPr>
              <w:t>4</w:t>
            </w:r>
            <w:r>
              <w:rPr>
                <w:sz w:val="21"/>
              </w:rPr>
              <w:t>）申请变更本附加合同基本保险金额</w:t>
            </w:r>
          </w:p>
          <w:p>
            <w:pPr>
              <w:pStyle w:val="TableParagraph"/>
              <w:spacing w:before="9"/>
              <w:ind w:left="201"/>
              <w:rPr>
                <w:sz w:val="21"/>
              </w:rPr>
            </w:pPr>
            <w:r>
              <w:rPr>
                <w:sz w:val="21"/>
              </w:rPr>
              <w:t>在本附加合同生效 </w:t>
            </w:r>
            <w:r>
              <w:rPr>
                <w:rFonts w:ascii="Times New Roman" w:eastAsia="Times New Roman"/>
                <w:sz w:val="21"/>
              </w:rPr>
              <w:t>1 </w:t>
            </w:r>
            <w:r>
              <w:rPr>
                <w:sz w:val="21"/>
              </w:rPr>
              <w:t>年后，您可以申请变更本附加合同的基本保险金额，但每个保</w:t>
            </w:r>
          </w:p>
          <w:p>
            <w:pPr>
              <w:pStyle w:val="TableParagraph"/>
              <w:spacing w:before="9"/>
              <w:ind w:left="201"/>
              <w:rPr>
                <w:sz w:val="21"/>
              </w:rPr>
            </w:pPr>
            <w:r>
              <w:rPr>
                <w:sz w:val="21"/>
              </w:rPr>
              <w:t>单年度最多只能申请变更 </w:t>
            </w:r>
            <w:r>
              <w:rPr>
                <w:rFonts w:ascii="Times New Roman" w:eastAsia="Times New Roman"/>
                <w:sz w:val="21"/>
              </w:rPr>
              <w:t>1 </w:t>
            </w:r>
            <w:r>
              <w:rPr>
                <w:sz w:val="21"/>
              </w:rPr>
              <w:t>次。</w:t>
            </w:r>
          </w:p>
          <w:p>
            <w:pPr>
              <w:pStyle w:val="TableParagraph"/>
              <w:spacing w:line="261" w:lineRule="auto" w:before="9"/>
              <w:ind w:left="201" w:right="516"/>
              <w:rPr>
                <w:sz w:val="21"/>
              </w:rPr>
            </w:pPr>
            <w:r>
              <w:rPr>
                <w:sz w:val="21"/>
              </w:rPr>
              <w:t>本附加合同基本保险金额经我们同意变更后，自下一个结算日的零时起生效。您申请增加本附加合同基本保险金额时必须同时满足下列条件：</w:t>
            </w:r>
          </w:p>
          <w:p>
            <w:pPr>
              <w:pStyle w:val="TableParagraph"/>
              <w:spacing w:before="6"/>
              <w:ind w:left="201"/>
              <w:rPr>
                <w:sz w:val="21"/>
              </w:rPr>
            </w:pPr>
            <w:r>
              <w:rPr>
                <w:sz w:val="21"/>
              </w:rPr>
              <w:t>①主合同以前各期和当期应交期交保险费均已交纳；</w:t>
            </w:r>
          </w:p>
          <w:p>
            <w:pPr>
              <w:pStyle w:val="TableParagraph"/>
              <w:spacing w:before="25"/>
              <w:ind w:left="201"/>
              <w:rPr>
                <w:sz w:val="21"/>
              </w:rPr>
            </w:pPr>
            <w:r>
              <w:rPr>
                <w:sz w:val="21"/>
              </w:rPr>
              <w:t>②在被保险人年满 </w:t>
            </w:r>
            <w:r>
              <w:rPr>
                <w:rFonts w:ascii="Times New Roman" w:hAnsi="Times New Roman" w:eastAsia="Times New Roman"/>
                <w:sz w:val="21"/>
              </w:rPr>
              <w:t>60 </w:t>
            </w:r>
            <w:r>
              <w:rPr>
                <w:sz w:val="21"/>
              </w:rPr>
              <w:t>周岁后的首个保单周年日之前申请。</w:t>
            </w:r>
          </w:p>
          <w:p>
            <w:pPr>
              <w:pStyle w:val="TableParagraph"/>
              <w:spacing w:line="261" w:lineRule="auto" w:before="9"/>
              <w:ind w:left="201" w:right="103"/>
              <w:rPr>
                <w:sz w:val="21"/>
              </w:rPr>
            </w:pPr>
            <w:r>
              <w:rPr>
                <w:sz w:val="21"/>
              </w:rPr>
              <w:t>在申请增加本附加合同基本保险金额时，您必须按照我们的规定提供被保险人的健康声明书、体检报告书及其他相关证明文件。</w:t>
            </w:r>
          </w:p>
          <w:p>
            <w:pPr>
              <w:pStyle w:val="TableParagraph"/>
              <w:spacing w:before="6"/>
              <w:ind w:left="201"/>
              <w:rPr>
                <w:sz w:val="21"/>
              </w:rPr>
            </w:pPr>
            <w:r>
              <w:rPr>
                <w:sz w:val="21"/>
              </w:rPr>
              <w:t>若您申请增加基本保险金额，并且被保险人在新增加的基本保险金额Th效之日起</w:t>
            </w:r>
          </w:p>
          <w:p>
            <w:pPr>
              <w:pStyle w:val="TableParagraph"/>
              <w:spacing w:line="247" w:lineRule="auto" w:before="25"/>
              <w:ind w:left="201" w:right="103"/>
              <w:rPr>
                <w:sz w:val="21"/>
              </w:rPr>
            </w:pPr>
            <w:r>
              <w:rPr>
                <w:rFonts w:ascii="Times New Roman" w:eastAsia="Times New Roman"/>
                <w:sz w:val="21"/>
              </w:rPr>
              <w:t>180 </w:t>
            </w:r>
            <w:r>
              <w:rPr>
                <w:sz w:val="21"/>
              </w:rPr>
              <w:t>日内因意外伤害以外的原因导致本附加合同约定的重大疾病，我们对增加的基本保险金额不承担给付保险金责任。</w:t>
            </w:r>
          </w:p>
        </w:tc>
      </w:tr>
      <w:tr>
        <w:trPr>
          <w:trHeight w:val="1912" w:hRule="atLeast"/>
        </w:trPr>
        <w:tc>
          <w:tcPr>
            <w:tcW w:w="602" w:type="dxa"/>
          </w:tcPr>
          <w:p>
            <w:pPr>
              <w:pStyle w:val="TableParagraph"/>
              <w:spacing w:before="89"/>
              <w:ind w:left="108"/>
              <w:rPr>
                <w:rFonts w:ascii="Times New Roman"/>
                <w:b/>
                <w:sz w:val="21"/>
              </w:rPr>
            </w:pPr>
            <w:r>
              <w:rPr>
                <w:rFonts w:ascii="Times New Roman"/>
                <w:b/>
                <w:sz w:val="21"/>
              </w:rPr>
              <w:t>3.2</w:t>
            </w:r>
          </w:p>
        </w:tc>
        <w:tc>
          <w:tcPr>
            <w:tcW w:w="1275" w:type="dxa"/>
          </w:tcPr>
          <w:p>
            <w:pPr>
              <w:pStyle w:val="TableParagraph"/>
              <w:spacing w:line="341" w:lineRule="exact"/>
              <w:ind w:left="228"/>
              <w:rPr>
                <w:rFonts w:ascii="微软雅黑" w:eastAsia="微软雅黑" w:hint="eastAsia"/>
                <w:b/>
                <w:sz w:val="21"/>
              </w:rPr>
            </w:pPr>
            <w:r>
              <w:rPr>
                <w:rFonts w:ascii="微软雅黑" w:eastAsia="微软雅黑" w:hint="eastAsia"/>
                <w:b/>
                <w:sz w:val="21"/>
              </w:rPr>
              <w:t>犹豫期</w:t>
            </w:r>
          </w:p>
        </w:tc>
        <w:tc>
          <w:tcPr>
            <w:tcW w:w="7866" w:type="dxa"/>
          </w:tcPr>
          <w:p>
            <w:pPr>
              <w:pStyle w:val="TableParagraph"/>
              <w:spacing w:line="256" w:lineRule="auto" w:before="40"/>
              <w:ind w:left="201" w:right="102" w:hanging="3"/>
              <w:jc w:val="both"/>
              <w:rPr>
                <w:sz w:val="21"/>
              </w:rPr>
            </w:pPr>
            <w:r>
              <w:rPr>
                <w:sz w:val="21"/>
              </w:rPr>
              <w:t>您于签收本附加合同后 </w:t>
            </w:r>
            <w:r>
              <w:rPr>
                <w:rFonts w:ascii="Times New Roman" w:eastAsia="Times New Roman"/>
                <w:sz w:val="21"/>
              </w:rPr>
              <w:t>15 </w:t>
            </w:r>
            <w:r>
              <w:rPr>
                <w:sz w:val="21"/>
              </w:rPr>
              <w:t>日内可要求撤销本附加合同。若您在此期间提出撤销本附加合同，需要填写书面申请书，并提供您的保险合同及有效身份证件。自您书面申请撤销本附加合同之日起，本附加合同即被撤销，我们自本附加合同Th效日起即不承担保险责任。本附加合同撤销后 </w:t>
            </w:r>
            <w:r>
              <w:rPr>
                <w:rFonts w:ascii="Times New Roman" w:eastAsia="Times New Roman"/>
                <w:sz w:val="21"/>
              </w:rPr>
              <w:t>30 </w:t>
            </w:r>
            <w:r>
              <w:rPr>
                <w:sz w:val="21"/>
              </w:rPr>
              <w:t>日内，我们将已收取的本附加合同风险保障费无息退还至主合同的个人账户，主合同的个人账户价值按退还的金额等额增加。</w:t>
            </w:r>
          </w:p>
        </w:tc>
      </w:tr>
      <w:tr>
        <w:trPr>
          <w:trHeight w:val="2563" w:hRule="atLeast"/>
        </w:trPr>
        <w:tc>
          <w:tcPr>
            <w:tcW w:w="602" w:type="dxa"/>
          </w:tcPr>
          <w:p>
            <w:pPr>
              <w:pStyle w:val="TableParagraph"/>
              <w:spacing w:before="90"/>
              <w:ind w:left="108"/>
              <w:rPr>
                <w:rFonts w:ascii="Times New Roman"/>
                <w:b/>
                <w:sz w:val="21"/>
              </w:rPr>
            </w:pPr>
            <w:r>
              <w:rPr>
                <w:rFonts w:ascii="Times New Roman"/>
                <w:b/>
                <w:sz w:val="21"/>
              </w:rPr>
              <w:t>3.3</w:t>
            </w:r>
          </w:p>
        </w:tc>
        <w:tc>
          <w:tcPr>
            <w:tcW w:w="1275" w:type="dxa"/>
          </w:tcPr>
          <w:p>
            <w:pPr>
              <w:pStyle w:val="TableParagraph"/>
              <w:spacing w:line="199" w:lineRule="auto" w:before="40"/>
              <w:ind w:left="228" w:right="199"/>
              <w:jc w:val="both"/>
              <w:rPr>
                <w:rFonts w:ascii="微软雅黑" w:eastAsia="微软雅黑" w:hint="eastAsia"/>
                <w:b/>
                <w:sz w:val="21"/>
              </w:rPr>
            </w:pPr>
            <w:r>
              <w:rPr>
                <w:rFonts w:ascii="微软雅黑" w:eastAsia="微软雅黑" w:hint="eastAsia"/>
                <w:b/>
                <w:sz w:val="21"/>
              </w:rPr>
              <w:t>您解除合同的手续及风险</w:t>
            </w:r>
          </w:p>
        </w:tc>
        <w:tc>
          <w:tcPr>
            <w:tcW w:w="7866" w:type="dxa"/>
          </w:tcPr>
          <w:p>
            <w:pPr>
              <w:pStyle w:val="TableParagraph"/>
              <w:spacing w:line="273" w:lineRule="auto" w:before="33"/>
              <w:ind w:left="201" w:right="103"/>
              <w:rPr>
                <w:sz w:val="21"/>
              </w:rPr>
            </w:pPr>
            <w:r>
              <w:rPr>
                <w:sz w:val="21"/>
              </w:rPr>
              <w:t>若您在本附加合同有效期内且在犹豫期后申请解除本附加合同，请填写解除合同申请书并向我们提供下列资料：</w:t>
            </w:r>
          </w:p>
          <w:p>
            <w:pPr>
              <w:pStyle w:val="TableParagraph"/>
              <w:spacing w:before="7"/>
              <w:ind w:left="201"/>
              <w:rPr>
                <w:sz w:val="21"/>
              </w:rPr>
            </w:pPr>
            <w:r>
              <w:rPr>
                <w:sz w:val="21"/>
              </w:rPr>
              <w:t>（</w:t>
            </w:r>
            <w:r>
              <w:rPr>
                <w:rFonts w:ascii="Times New Roman" w:eastAsia="Times New Roman"/>
                <w:sz w:val="21"/>
              </w:rPr>
              <w:t>1</w:t>
            </w:r>
            <w:r>
              <w:rPr>
                <w:sz w:val="21"/>
              </w:rPr>
              <w:t>）保险合同；</w:t>
            </w:r>
          </w:p>
          <w:p>
            <w:pPr>
              <w:pStyle w:val="TableParagraph"/>
              <w:spacing w:before="21"/>
              <w:ind w:left="201"/>
              <w:rPr>
                <w:sz w:val="21"/>
              </w:rPr>
            </w:pPr>
            <w:r>
              <w:rPr>
                <w:sz w:val="21"/>
              </w:rPr>
              <w:t>（</w:t>
            </w:r>
            <w:r>
              <w:rPr>
                <w:rFonts w:ascii="Times New Roman" w:eastAsia="Times New Roman"/>
                <w:sz w:val="21"/>
              </w:rPr>
              <w:t>2</w:t>
            </w:r>
            <w:r>
              <w:rPr>
                <w:sz w:val="21"/>
              </w:rPr>
              <w:t>）您的有效身份证件。</w:t>
            </w:r>
          </w:p>
          <w:p>
            <w:pPr>
              <w:pStyle w:val="TableParagraph"/>
              <w:spacing w:line="254" w:lineRule="auto" w:before="28"/>
              <w:ind w:left="201" w:right="102"/>
              <w:rPr>
                <w:sz w:val="21"/>
              </w:rPr>
            </w:pPr>
            <w:r>
              <w:rPr>
                <w:sz w:val="21"/>
              </w:rPr>
              <w:t>自我们收到解除合同申请书时起，本附加合同终止。我们自收到解除合同申请书之日起 </w:t>
            </w:r>
            <w:r>
              <w:rPr>
                <w:rFonts w:ascii="Times New Roman" w:eastAsia="Times New Roman"/>
                <w:sz w:val="21"/>
              </w:rPr>
              <w:t>30 </w:t>
            </w:r>
            <w:r>
              <w:rPr>
                <w:sz w:val="21"/>
              </w:rPr>
              <w:t>日内将已收取的本附加合同解除之日后的本附加合同风险保障费无息退还至主合同个人账户中，主合同个人账户价值按退还的金额等额增加。</w:t>
            </w:r>
          </w:p>
          <w:p>
            <w:pPr>
              <w:pStyle w:val="TableParagraph"/>
              <w:spacing w:before="5"/>
              <w:ind w:left="201"/>
              <w:rPr>
                <w:sz w:val="21"/>
              </w:rPr>
            </w:pPr>
            <w:r>
              <w:rPr>
                <w:sz w:val="21"/>
              </w:rPr>
              <w:t>您犹豫期后解除本附加合同会遭受一定损失。</w:t>
            </w:r>
          </w:p>
        </w:tc>
      </w:tr>
      <w:tr>
        <w:trPr>
          <w:trHeight w:val="1068" w:hRule="atLeast"/>
        </w:trPr>
        <w:tc>
          <w:tcPr>
            <w:tcW w:w="602" w:type="dxa"/>
          </w:tcPr>
          <w:p>
            <w:pPr>
              <w:pStyle w:val="TableParagraph"/>
              <w:spacing w:before="99"/>
              <w:ind w:left="108"/>
              <w:rPr>
                <w:rFonts w:ascii="Times New Roman"/>
                <w:b/>
                <w:sz w:val="21"/>
              </w:rPr>
            </w:pPr>
            <w:r>
              <w:rPr>
                <w:rFonts w:ascii="Times New Roman"/>
                <w:b/>
                <w:sz w:val="21"/>
              </w:rPr>
              <w:t>3.4</w:t>
            </w:r>
          </w:p>
        </w:tc>
        <w:tc>
          <w:tcPr>
            <w:tcW w:w="1275" w:type="dxa"/>
          </w:tcPr>
          <w:p>
            <w:pPr>
              <w:pStyle w:val="TableParagraph"/>
              <w:spacing w:line="350" w:lineRule="exact"/>
              <w:ind w:left="228"/>
              <w:rPr>
                <w:rFonts w:ascii="微软雅黑" w:eastAsia="微软雅黑" w:hint="eastAsia"/>
                <w:b/>
                <w:sz w:val="21"/>
              </w:rPr>
            </w:pPr>
            <w:r>
              <w:rPr>
                <w:rFonts w:ascii="微软雅黑" w:eastAsia="微软雅黑" w:hint="eastAsia"/>
                <w:b/>
                <w:sz w:val="21"/>
              </w:rPr>
              <w:t>效力终止</w:t>
            </w:r>
          </w:p>
        </w:tc>
        <w:tc>
          <w:tcPr>
            <w:tcW w:w="7866" w:type="dxa"/>
          </w:tcPr>
          <w:p>
            <w:pPr>
              <w:pStyle w:val="TableParagraph"/>
              <w:spacing w:before="50"/>
              <w:ind w:left="201"/>
              <w:rPr>
                <w:sz w:val="21"/>
              </w:rPr>
            </w:pPr>
            <w:r>
              <w:rPr>
                <w:sz w:val="21"/>
              </w:rPr>
              <w:t>当发生下列情形之一时，本附加合同效力自动终止：</w:t>
            </w:r>
          </w:p>
          <w:p>
            <w:pPr>
              <w:pStyle w:val="TableParagraph"/>
              <w:spacing w:before="25"/>
              <w:ind w:left="201"/>
              <w:rPr>
                <w:sz w:val="21"/>
              </w:rPr>
            </w:pPr>
            <w:r>
              <w:rPr>
                <w:sz w:val="21"/>
              </w:rPr>
              <w:t>（</w:t>
            </w:r>
            <w:r>
              <w:rPr>
                <w:rFonts w:ascii="Times New Roman" w:eastAsia="Times New Roman"/>
                <w:sz w:val="21"/>
              </w:rPr>
              <w:t>1</w:t>
            </w:r>
            <w:r>
              <w:rPr>
                <w:sz w:val="21"/>
              </w:rPr>
              <w:t>）主合同效力终止；</w:t>
            </w:r>
          </w:p>
          <w:p>
            <w:pPr>
              <w:pStyle w:val="TableParagraph"/>
              <w:spacing w:before="9"/>
              <w:ind w:left="201"/>
              <w:rPr>
                <w:sz w:val="21"/>
              </w:rPr>
            </w:pPr>
            <w:r>
              <w:rPr>
                <w:sz w:val="21"/>
              </w:rPr>
              <w:t>（</w:t>
            </w:r>
            <w:r>
              <w:rPr>
                <w:rFonts w:ascii="Times New Roman" w:eastAsia="Times New Roman"/>
                <w:sz w:val="21"/>
              </w:rPr>
              <w:t>2</w:t>
            </w:r>
            <w:r>
              <w:rPr>
                <w:sz w:val="21"/>
              </w:rPr>
              <w:t>）因本附加合同条款所列其他情况而终止。</w:t>
            </w:r>
          </w:p>
        </w:tc>
      </w:tr>
      <w:tr>
        <w:trPr>
          <w:trHeight w:val="300" w:hRule="atLeast"/>
        </w:trPr>
        <w:tc>
          <w:tcPr>
            <w:tcW w:w="9743" w:type="dxa"/>
            <w:gridSpan w:val="3"/>
            <w:shd w:val="clear" w:color="auto" w:fill="E6E6E6"/>
          </w:tcPr>
          <w:p>
            <w:pPr>
              <w:pStyle w:val="TableParagraph"/>
              <w:tabs>
                <w:tab w:pos="845" w:val="left" w:leader="none"/>
              </w:tabs>
              <w:spacing w:line="280" w:lineRule="exact"/>
              <w:ind w:left="108"/>
              <w:rPr>
                <w:rFonts w:ascii="微软雅黑" w:eastAsia="微软雅黑" w:hint="eastAsia"/>
                <w:b/>
                <w:sz w:val="21"/>
              </w:rPr>
            </w:pPr>
            <w:r>
              <w:rPr>
                <w:rFonts w:ascii="Times New Roman" w:eastAsia="Times New Roman"/>
                <w:b/>
                <w:sz w:val="21"/>
              </w:rPr>
              <w:t>4</w:t>
              <w:tab/>
            </w:r>
            <w:r>
              <w:rPr>
                <w:rFonts w:ascii="微软雅黑" w:eastAsia="微软雅黑" w:hint="eastAsia"/>
                <w:b/>
                <w:spacing w:val="-1"/>
                <w:sz w:val="21"/>
              </w:rPr>
              <w:t>如何申请领取保险金</w:t>
            </w:r>
          </w:p>
        </w:tc>
      </w:tr>
      <w:tr>
        <w:trPr>
          <w:trHeight w:val="2559" w:hRule="atLeast"/>
        </w:trPr>
        <w:tc>
          <w:tcPr>
            <w:tcW w:w="602" w:type="dxa"/>
          </w:tcPr>
          <w:p>
            <w:pPr>
              <w:pStyle w:val="TableParagraph"/>
              <w:spacing w:before="156"/>
              <w:ind w:left="108"/>
              <w:rPr>
                <w:rFonts w:ascii="Times New Roman"/>
                <w:b/>
                <w:sz w:val="21"/>
              </w:rPr>
            </w:pPr>
            <w:r>
              <w:rPr>
                <w:rFonts w:ascii="Times New Roman"/>
                <w:b/>
                <w:sz w:val="21"/>
              </w:rPr>
              <w:t>4.1</w:t>
            </w:r>
          </w:p>
        </w:tc>
        <w:tc>
          <w:tcPr>
            <w:tcW w:w="1275" w:type="dxa"/>
          </w:tcPr>
          <w:p>
            <w:pPr>
              <w:pStyle w:val="TableParagraph"/>
              <w:spacing w:before="45"/>
              <w:ind w:left="228"/>
              <w:rPr>
                <w:rFonts w:ascii="微软雅黑" w:eastAsia="微软雅黑" w:hint="eastAsia"/>
                <w:b/>
                <w:sz w:val="21"/>
              </w:rPr>
            </w:pPr>
            <w:r>
              <w:rPr>
                <w:rFonts w:ascii="微软雅黑" w:eastAsia="微软雅黑" w:hint="eastAsia"/>
                <w:b/>
                <w:sz w:val="21"/>
              </w:rPr>
              <w:t>受益人</w:t>
            </w:r>
          </w:p>
        </w:tc>
        <w:tc>
          <w:tcPr>
            <w:tcW w:w="7866" w:type="dxa"/>
          </w:tcPr>
          <w:p>
            <w:pPr>
              <w:pStyle w:val="TableParagraph"/>
              <w:spacing w:before="100"/>
              <w:ind w:left="201"/>
              <w:rPr>
                <w:sz w:val="21"/>
              </w:rPr>
            </w:pPr>
            <w:r>
              <w:rPr>
                <w:sz w:val="21"/>
              </w:rPr>
              <w:t>除本附加合同另有指定外，重大疾病保险金受益人为被保险人本人。</w:t>
            </w:r>
          </w:p>
          <w:p>
            <w:pPr>
              <w:pStyle w:val="TableParagraph"/>
              <w:spacing w:line="273" w:lineRule="auto" w:before="37"/>
              <w:ind w:left="201" w:right="103"/>
              <w:rPr>
                <w:sz w:val="21"/>
              </w:rPr>
            </w:pPr>
            <w:r>
              <w:rPr>
                <w:spacing w:val="-15"/>
                <w:sz w:val="21"/>
              </w:rPr>
              <w:t>被保险人身故后，有下列情形之一的，保险金作为被保险人的遗产，由我们依照《中</w:t>
            </w:r>
            <w:r>
              <w:rPr>
                <w:spacing w:val="-7"/>
                <w:sz w:val="21"/>
              </w:rPr>
              <w:t>华人民共和国继承法》的规定履行给付保险金的义务：</w:t>
            </w:r>
          </w:p>
          <w:p>
            <w:pPr>
              <w:pStyle w:val="TableParagraph"/>
              <w:spacing w:before="7"/>
              <w:ind w:left="201"/>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201"/>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201"/>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312" w:lineRule="exact" w:before="16"/>
              <w:ind w:left="201" w:right="103"/>
              <w:rPr>
                <w:sz w:val="21"/>
              </w:rPr>
            </w:pPr>
            <w:r>
              <w:rPr>
                <w:sz w:val="21"/>
              </w:rPr>
              <w:t>受益人与被保险人在同一事件中身故，且不能确定身故顺序的，推定受益人身故在先。</w:t>
            </w:r>
          </w:p>
        </w:tc>
      </w:tr>
    </w:tbl>
    <w:p>
      <w:pPr>
        <w:spacing w:after="0" w:line="312" w:lineRule="exact"/>
        <w:rPr>
          <w:sz w:val="21"/>
        </w:rPr>
        <w:sectPr>
          <w:pgSz w:w="11910" w:h="16840"/>
          <w:pgMar w:top="1480" w:bottom="280" w:left="1160" w:right="78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2"/>
        <w:gridCol w:w="1369"/>
        <w:gridCol w:w="7770"/>
      </w:tblGrid>
      <w:tr>
        <w:trPr>
          <w:trHeight w:val="609" w:hRule="atLeast"/>
        </w:trPr>
        <w:tc>
          <w:tcPr>
            <w:tcW w:w="602" w:type="dxa"/>
          </w:tcPr>
          <w:p>
            <w:pPr>
              <w:pStyle w:val="TableParagraph"/>
              <w:ind w:left="0"/>
              <w:rPr>
                <w:rFonts w:ascii="Times New Roman"/>
                <w:sz w:val="20"/>
              </w:rPr>
            </w:pPr>
          </w:p>
        </w:tc>
        <w:tc>
          <w:tcPr>
            <w:tcW w:w="1369" w:type="dxa"/>
          </w:tcPr>
          <w:p>
            <w:pPr>
              <w:pStyle w:val="TableParagraph"/>
              <w:ind w:left="0"/>
              <w:rPr>
                <w:rFonts w:ascii="Times New Roman"/>
                <w:sz w:val="20"/>
              </w:rPr>
            </w:pPr>
          </w:p>
        </w:tc>
        <w:tc>
          <w:tcPr>
            <w:tcW w:w="7770" w:type="dxa"/>
          </w:tcPr>
          <w:p>
            <w:pPr>
              <w:pStyle w:val="TableParagraph"/>
              <w:spacing w:line="211" w:lineRule="exact"/>
              <w:ind w:left="107"/>
              <w:rPr>
                <w:sz w:val="21"/>
              </w:rPr>
            </w:pPr>
            <w:r>
              <w:rPr>
                <w:sz w:val="21"/>
              </w:rPr>
              <w:t>受益人故意造成被保险人身故、伤残、疾病的，或者故意杀害被保险人未遂的，该</w:t>
            </w:r>
          </w:p>
          <w:p>
            <w:pPr>
              <w:pStyle w:val="TableParagraph"/>
              <w:spacing w:before="25"/>
              <w:ind w:left="107"/>
              <w:rPr>
                <w:sz w:val="21"/>
              </w:rPr>
            </w:pPr>
            <w:r>
              <w:rPr>
                <w:sz w:val="21"/>
              </w:rPr>
              <w:t>受益人丧失受益权。</w:t>
            </w:r>
          </w:p>
        </w:tc>
      </w:tr>
      <w:tr>
        <w:trPr>
          <w:trHeight w:val="716" w:hRule="atLeast"/>
        </w:trPr>
        <w:tc>
          <w:tcPr>
            <w:tcW w:w="602" w:type="dxa"/>
          </w:tcPr>
          <w:p>
            <w:pPr>
              <w:pStyle w:val="TableParagraph"/>
              <w:spacing w:before="89"/>
              <w:ind w:left="108"/>
              <w:rPr>
                <w:rFonts w:ascii="Times New Roman"/>
                <w:b/>
                <w:sz w:val="21"/>
              </w:rPr>
            </w:pPr>
            <w:r>
              <w:rPr>
                <w:rFonts w:ascii="Times New Roman"/>
                <w:b/>
                <w:sz w:val="21"/>
              </w:rPr>
              <w:t>4.2</w:t>
            </w:r>
          </w:p>
        </w:tc>
        <w:tc>
          <w:tcPr>
            <w:tcW w:w="1369" w:type="dxa"/>
          </w:tcPr>
          <w:p>
            <w:pPr>
              <w:pStyle w:val="TableParagraph"/>
              <w:spacing w:line="199" w:lineRule="auto" w:before="39"/>
              <w:ind w:left="228" w:right="293"/>
              <w:rPr>
                <w:rFonts w:ascii="微软雅黑" w:eastAsia="微软雅黑" w:hint="eastAsia"/>
                <w:b/>
                <w:sz w:val="21"/>
              </w:rPr>
            </w:pPr>
            <w:r>
              <w:rPr>
                <w:rFonts w:ascii="微软雅黑" w:eastAsia="微软雅黑" w:hint="eastAsia"/>
                <w:b/>
                <w:sz w:val="21"/>
              </w:rPr>
              <w:t>保险金申请</w:t>
            </w:r>
          </w:p>
        </w:tc>
        <w:tc>
          <w:tcPr>
            <w:tcW w:w="7770" w:type="dxa"/>
          </w:tcPr>
          <w:p>
            <w:pPr>
              <w:pStyle w:val="TableParagraph"/>
              <w:spacing w:before="40"/>
              <w:ind w:left="107"/>
              <w:rPr>
                <w:sz w:val="21"/>
              </w:rPr>
            </w:pPr>
            <w:r>
              <w:rPr>
                <w:sz w:val="21"/>
              </w:rPr>
              <w:t>在申请保险金时，请按照下列方式办理：</w:t>
            </w:r>
          </w:p>
        </w:tc>
      </w:tr>
      <w:tr>
        <w:trPr>
          <w:trHeight w:val="2581" w:hRule="atLeast"/>
        </w:trPr>
        <w:tc>
          <w:tcPr>
            <w:tcW w:w="602" w:type="dxa"/>
          </w:tcPr>
          <w:p>
            <w:pPr>
              <w:pStyle w:val="TableParagraph"/>
              <w:ind w:left="0"/>
              <w:rPr>
                <w:rFonts w:ascii="Times New Roman"/>
                <w:sz w:val="20"/>
              </w:rPr>
            </w:pPr>
          </w:p>
        </w:tc>
        <w:tc>
          <w:tcPr>
            <w:tcW w:w="1369" w:type="dxa"/>
          </w:tcPr>
          <w:p>
            <w:pPr>
              <w:pStyle w:val="TableParagraph"/>
              <w:spacing w:line="196" w:lineRule="auto" w:before="36"/>
              <w:ind w:left="228" w:right="295"/>
              <w:jc w:val="both"/>
              <w:rPr>
                <w:rFonts w:ascii="Microsoft JhengHei" w:eastAsia="Microsoft JhengHei" w:hint="eastAsia"/>
                <w:b/>
                <w:sz w:val="21"/>
              </w:rPr>
            </w:pPr>
            <w:r>
              <w:rPr>
                <w:rFonts w:ascii="Microsoft JhengHei" w:eastAsia="Microsoft JhengHei" w:hint="eastAsia"/>
                <w:b/>
                <w:sz w:val="21"/>
              </w:rPr>
              <w:t>重大疾病保险金申请</w:t>
            </w:r>
          </w:p>
        </w:tc>
        <w:tc>
          <w:tcPr>
            <w:tcW w:w="7770" w:type="dxa"/>
          </w:tcPr>
          <w:p>
            <w:pPr>
              <w:pStyle w:val="TableParagraph"/>
              <w:spacing w:line="261" w:lineRule="auto" w:before="37"/>
              <w:ind w:left="107" w:right="100"/>
              <w:rPr>
                <w:sz w:val="21"/>
              </w:rPr>
            </w:pPr>
            <w:r>
              <w:rPr>
                <w:sz w:val="21"/>
              </w:rPr>
              <w:t>在申请重大疾病保险金时，申请人须填写保险金给付申请书，并提供下列证明和资料：</w:t>
            </w:r>
          </w:p>
          <w:p>
            <w:pPr>
              <w:pStyle w:val="TableParagraph"/>
              <w:spacing w:before="20"/>
              <w:ind w:left="107"/>
              <w:rPr>
                <w:sz w:val="21"/>
              </w:rPr>
            </w:pPr>
            <w:r>
              <w:rPr>
                <w:sz w:val="21"/>
              </w:rPr>
              <w:t>（</w:t>
            </w:r>
            <w:r>
              <w:rPr>
                <w:rFonts w:ascii="Times New Roman" w:eastAsia="Times New Roman"/>
                <w:sz w:val="21"/>
              </w:rPr>
              <w:t>1</w:t>
            </w:r>
            <w:r>
              <w:rPr>
                <w:sz w:val="21"/>
              </w:rPr>
              <w:t>）保险合同；</w:t>
            </w:r>
          </w:p>
          <w:p>
            <w:pPr>
              <w:pStyle w:val="TableParagraph"/>
              <w:spacing w:before="25"/>
              <w:ind w:left="107"/>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23"/>
              <w:ind w:left="633" w:right="196" w:hanging="526"/>
              <w:jc w:val="both"/>
              <w:rPr>
                <w:sz w:val="21"/>
              </w:rPr>
            </w:pPr>
            <w:r>
              <w:rPr>
                <w:sz w:val="21"/>
              </w:rPr>
              <w:t>（</w:t>
            </w:r>
            <w:r>
              <w:rPr>
                <w:rFonts w:ascii="Times New Roman" w:eastAsia="Times New Roman"/>
                <w:sz w:val="21"/>
              </w:rPr>
              <w:t>3</w:t>
            </w:r>
            <w:r>
              <w:rPr>
                <w:sz w:val="21"/>
              </w:rPr>
              <w:t>）我们认可的医院出具的疾病诊断证明书、病历记录和确诊疾病必要的病理检验、血液检验、影像学检查及其他科学方法的检查报告。我们保留就疾病诊断咨询其他医疗专家的权利；</w:t>
            </w:r>
          </w:p>
          <w:p>
            <w:pPr>
              <w:pStyle w:val="TableParagraph"/>
              <w:spacing w:before="26"/>
              <w:ind w:left="107"/>
              <w:rPr>
                <w:sz w:val="21"/>
              </w:rPr>
            </w:pPr>
            <w:r>
              <w:rPr>
                <w:sz w:val="21"/>
              </w:rPr>
              <w:t>（</w:t>
            </w:r>
            <w:r>
              <w:rPr>
                <w:rFonts w:ascii="Times New Roman" w:eastAsia="Times New Roman"/>
                <w:sz w:val="21"/>
              </w:rPr>
              <w:t>4</w:t>
            </w:r>
            <w:r>
              <w:rPr>
                <w:sz w:val="21"/>
              </w:rPr>
              <w:t>）所能提供的与确认保险事故的性质、原因等相关的其他证明和资料。</w:t>
            </w:r>
          </w:p>
        </w:tc>
      </w:tr>
      <w:tr>
        <w:trPr>
          <w:trHeight w:val="1001" w:hRule="atLeast"/>
        </w:trPr>
        <w:tc>
          <w:tcPr>
            <w:tcW w:w="602" w:type="dxa"/>
          </w:tcPr>
          <w:p>
            <w:pPr>
              <w:pStyle w:val="TableParagraph"/>
              <w:ind w:left="0"/>
              <w:rPr>
                <w:rFonts w:ascii="Times New Roman"/>
                <w:sz w:val="20"/>
              </w:rPr>
            </w:pPr>
          </w:p>
        </w:tc>
        <w:tc>
          <w:tcPr>
            <w:tcW w:w="1369" w:type="dxa"/>
          </w:tcPr>
          <w:p>
            <w:pPr>
              <w:pStyle w:val="TableParagraph"/>
              <w:ind w:left="0"/>
              <w:rPr>
                <w:rFonts w:ascii="Times New Roman"/>
                <w:sz w:val="20"/>
              </w:rPr>
            </w:pPr>
          </w:p>
        </w:tc>
        <w:tc>
          <w:tcPr>
            <w:tcW w:w="7770" w:type="dxa"/>
          </w:tcPr>
          <w:p>
            <w:pPr>
              <w:pStyle w:val="TableParagraph"/>
              <w:spacing w:before="29"/>
              <w:ind w:left="107"/>
              <w:rPr>
                <w:sz w:val="21"/>
              </w:rPr>
            </w:pPr>
            <w:r>
              <w:rPr>
                <w:sz w:val="21"/>
              </w:rPr>
              <w:t>保险金作为被保险人遗产时，必须提供可证明合法继承权的相关权利文件。</w:t>
            </w:r>
          </w:p>
          <w:p>
            <w:pPr>
              <w:pStyle w:val="TableParagraph"/>
              <w:spacing w:line="261" w:lineRule="auto" w:before="25"/>
              <w:ind w:left="107" w:right="303"/>
              <w:rPr>
                <w:sz w:val="21"/>
              </w:rPr>
            </w:pPr>
            <w:r>
              <w:rPr>
                <w:sz w:val="21"/>
              </w:rPr>
              <w:t>以上证明和资料不完整的，我们将及时一次性通知申请人补充提供有关证明和资料。</w:t>
            </w:r>
          </w:p>
        </w:tc>
      </w:tr>
      <w:tr>
        <w:trPr>
          <w:trHeight w:val="3509" w:hRule="atLeast"/>
        </w:trPr>
        <w:tc>
          <w:tcPr>
            <w:tcW w:w="602" w:type="dxa"/>
          </w:tcPr>
          <w:p>
            <w:pPr>
              <w:pStyle w:val="TableParagraph"/>
              <w:spacing w:before="90"/>
              <w:ind w:left="108"/>
              <w:rPr>
                <w:rFonts w:ascii="Times New Roman"/>
                <w:b/>
                <w:sz w:val="21"/>
              </w:rPr>
            </w:pPr>
            <w:r>
              <w:rPr>
                <w:rFonts w:ascii="Times New Roman"/>
                <w:b/>
                <w:sz w:val="21"/>
              </w:rPr>
              <w:t>4.3</w:t>
            </w:r>
          </w:p>
        </w:tc>
        <w:tc>
          <w:tcPr>
            <w:tcW w:w="1369" w:type="dxa"/>
          </w:tcPr>
          <w:p>
            <w:pPr>
              <w:pStyle w:val="TableParagraph"/>
              <w:spacing w:line="199" w:lineRule="auto" w:before="40"/>
              <w:ind w:left="228" w:right="293"/>
              <w:rPr>
                <w:rFonts w:ascii="微软雅黑" w:eastAsia="微软雅黑" w:hint="eastAsia"/>
                <w:b/>
                <w:sz w:val="21"/>
              </w:rPr>
            </w:pPr>
            <w:r>
              <w:rPr>
                <w:rFonts w:ascii="微软雅黑" w:eastAsia="微软雅黑" w:hint="eastAsia"/>
                <w:b/>
                <w:sz w:val="21"/>
              </w:rPr>
              <w:t>保险金的给付</w:t>
            </w:r>
          </w:p>
        </w:tc>
        <w:tc>
          <w:tcPr>
            <w:tcW w:w="7770" w:type="dxa"/>
          </w:tcPr>
          <w:p>
            <w:pPr>
              <w:pStyle w:val="TableParagraph"/>
              <w:spacing w:line="273" w:lineRule="auto" w:before="33"/>
              <w:ind w:left="107" w:right="73"/>
              <w:rPr>
                <w:sz w:val="21"/>
              </w:rPr>
            </w:pPr>
            <w:r>
              <w:rPr>
                <w:sz w:val="21"/>
              </w:rPr>
              <w:t>我们在收到保险金给付申请书及合同约定的证明和资料后，将及时作出核定；情形复杂的，在 </w:t>
            </w:r>
            <w:r>
              <w:rPr>
                <w:rFonts w:ascii="Times New Roman" w:eastAsia="Times New Roman"/>
                <w:sz w:val="21"/>
              </w:rPr>
              <w:t>30 </w:t>
            </w:r>
            <w:r>
              <w:rPr>
                <w:sz w:val="21"/>
              </w:rPr>
              <w:t>日内作出核定。</w:t>
            </w:r>
          </w:p>
          <w:p>
            <w:pPr>
              <w:pStyle w:val="TableParagraph"/>
              <w:spacing w:line="256" w:lineRule="auto"/>
              <w:ind w:left="107" w:right="100"/>
              <w:rPr>
                <w:sz w:val="21"/>
              </w:rPr>
            </w:pPr>
            <w:r>
              <w:rPr>
                <w:sz w:val="21"/>
              </w:rPr>
              <w:t>对属于保险责任的，我们在与受益人达成给付保险金的协议后 </w:t>
            </w:r>
            <w:r>
              <w:rPr>
                <w:rFonts w:ascii="Times New Roman" w:eastAsia="Times New Roman"/>
                <w:sz w:val="21"/>
              </w:rPr>
              <w:t>10 </w:t>
            </w:r>
            <w:r>
              <w:rPr>
                <w:sz w:val="21"/>
              </w:rPr>
              <w:t>日内，履行给付保险金义务。</w:t>
            </w:r>
          </w:p>
          <w:p>
            <w:pPr>
              <w:pStyle w:val="TableParagraph"/>
              <w:spacing w:line="273" w:lineRule="auto" w:before="34"/>
              <w:ind w:left="107" w:right="101"/>
              <w:rPr>
                <w:sz w:val="21"/>
              </w:rPr>
            </w:pPr>
            <w:r>
              <w:rPr>
                <w:sz w:val="21"/>
              </w:rPr>
              <w:t>我们未及时履行前款规定义务的，除支付保险金外，应当赔偿受益人因此受到的损失。</w:t>
            </w:r>
          </w:p>
          <w:p>
            <w:pPr>
              <w:pStyle w:val="TableParagraph"/>
              <w:spacing w:line="256" w:lineRule="auto" w:before="7"/>
              <w:ind w:left="107" w:right="35"/>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54" w:lineRule="auto" w:before="29"/>
              <w:ind w:left="107" w:right="101"/>
              <w:rPr>
                <w:sz w:val="21"/>
              </w:rPr>
            </w:pPr>
            <w:r>
              <w:rPr>
                <w:sz w:val="21"/>
              </w:rPr>
              <w:t>我们在收到保险金给付申请书及有关证明和资料之日起 </w:t>
            </w:r>
            <w:r>
              <w:rPr>
                <w:rFonts w:ascii="Times New Roman" w:eastAsia="Times New Roman"/>
                <w:sz w:val="21"/>
              </w:rPr>
              <w:t>60 </w:t>
            </w:r>
            <w:r>
              <w:rPr>
                <w:sz w:val="21"/>
              </w:rPr>
              <w:t>日内，对给付保险金的数额不能确定的，根据已有证明和资料可以确定的数额先予支付；我们最终确定给付保险金的数额后，将支付相应的差额。</w:t>
            </w:r>
          </w:p>
        </w:tc>
      </w:tr>
      <w:tr>
        <w:trPr>
          <w:trHeight w:val="758" w:hRule="atLeast"/>
        </w:trPr>
        <w:tc>
          <w:tcPr>
            <w:tcW w:w="602" w:type="dxa"/>
          </w:tcPr>
          <w:p>
            <w:pPr>
              <w:pStyle w:val="TableParagraph"/>
              <w:spacing w:before="89"/>
              <w:ind w:left="108"/>
              <w:rPr>
                <w:rFonts w:ascii="Times New Roman"/>
                <w:b/>
                <w:sz w:val="21"/>
              </w:rPr>
            </w:pPr>
            <w:r>
              <w:rPr>
                <w:rFonts w:ascii="Times New Roman"/>
                <w:b/>
                <w:sz w:val="21"/>
              </w:rPr>
              <w:t>4.4</w:t>
            </w:r>
          </w:p>
        </w:tc>
        <w:tc>
          <w:tcPr>
            <w:tcW w:w="1369" w:type="dxa"/>
          </w:tcPr>
          <w:p>
            <w:pPr>
              <w:pStyle w:val="TableParagraph"/>
              <w:spacing w:line="341" w:lineRule="exact"/>
              <w:ind w:left="228"/>
              <w:rPr>
                <w:rFonts w:ascii="微软雅黑" w:eastAsia="微软雅黑" w:hint="eastAsia"/>
                <w:b/>
                <w:sz w:val="21"/>
              </w:rPr>
            </w:pPr>
            <w:r>
              <w:rPr>
                <w:rFonts w:ascii="微软雅黑" w:eastAsia="微软雅黑" w:hint="eastAsia"/>
                <w:b/>
                <w:sz w:val="21"/>
              </w:rPr>
              <w:t>诉讼时效</w:t>
            </w:r>
          </w:p>
        </w:tc>
        <w:tc>
          <w:tcPr>
            <w:tcW w:w="7770" w:type="dxa"/>
          </w:tcPr>
          <w:p>
            <w:pPr>
              <w:pStyle w:val="TableParagraph"/>
              <w:spacing w:line="247" w:lineRule="auto" w:before="40"/>
              <w:ind w:left="107" w:right="34"/>
              <w:rPr>
                <w:sz w:val="21"/>
              </w:rPr>
            </w:pPr>
            <w:r>
              <w:rPr>
                <w:sz w:val="21"/>
              </w:rPr>
              <w:t>受益人向我们请求给付保险金的诉讼时效期间为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9741" w:type="dxa"/>
            <w:gridSpan w:val="3"/>
            <w:shd w:val="clear" w:color="auto" w:fill="E6E6E6"/>
          </w:tcPr>
          <w:p>
            <w:pPr>
              <w:pStyle w:val="TableParagraph"/>
              <w:tabs>
                <w:tab w:pos="845" w:val="left" w:leader="none"/>
              </w:tabs>
              <w:spacing w:line="280" w:lineRule="exact"/>
              <w:ind w:left="108"/>
              <w:rPr>
                <w:rFonts w:ascii="微软雅黑" w:eastAsia="微软雅黑" w:hint="eastAsia"/>
                <w:b/>
                <w:sz w:val="21"/>
              </w:rPr>
            </w:pPr>
            <w:r>
              <w:rPr>
                <w:rFonts w:ascii="Times New Roman" w:eastAsia="Times New Roman"/>
                <w:b/>
                <w:sz w:val="21"/>
              </w:rPr>
              <w:t>5</w:t>
              <w:tab/>
            </w:r>
            <w:r>
              <w:rPr>
                <w:rFonts w:ascii="微软雅黑" w:eastAsia="微软雅黑" w:hint="eastAsia"/>
                <w:b/>
                <w:spacing w:val="-1"/>
                <w:sz w:val="21"/>
              </w:rPr>
              <w:t>您需要关注的其他事项</w:t>
            </w:r>
          </w:p>
        </w:tc>
      </w:tr>
      <w:tr>
        <w:trPr>
          <w:trHeight w:val="1127" w:hRule="atLeast"/>
        </w:trPr>
        <w:tc>
          <w:tcPr>
            <w:tcW w:w="602" w:type="dxa"/>
          </w:tcPr>
          <w:p>
            <w:pPr>
              <w:pStyle w:val="TableParagraph"/>
              <w:spacing w:before="159"/>
              <w:ind w:left="108"/>
              <w:rPr>
                <w:rFonts w:ascii="Times New Roman"/>
                <w:b/>
                <w:sz w:val="21"/>
              </w:rPr>
            </w:pPr>
            <w:r>
              <w:rPr>
                <w:rFonts w:ascii="Times New Roman"/>
                <w:b/>
                <w:sz w:val="21"/>
              </w:rPr>
              <w:t>5.1</w:t>
            </w:r>
          </w:p>
        </w:tc>
        <w:tc>
          <w:tcPr>
            <w:tcW w:w="1369" w:type="dxa"/>
          </w:tcPr>
          <w:p>
            <w:pPr>
              <w:pStyle w:val="TableParagraph"/>
              <w:spacing w:before="47"/>
              <w:ind w:left="228"/>
              <w:rPr>
                <w:rFonts w:ascii="微软雅黑" w:eastAsia="微软雅黑" w:hint="eastAsia"/>
                <w:b/>
                <w:sz w:val="21"/>
              </w:rPr>
            </w:pPr>
            <w:r>
              <w:rPr>
                <w:rFonts w:ascii="微软雅黑" w:eastAsia="微软雅黑" w:hint="eastAsia"/>
                <w:b/>
                <w:sz w:val="21"/>
              </w:rPr>
              <w:t>投保范围</w:t>
            </w:r>
          </w:p>
        </w:tc>
        <w:tc>
          <w:tcPr>
            <w:tcW w:w="7770" w:type="dxa"/>
          </w:tcPr>
          <w:p>
            <w:pPr>
              <w:pStyle w:val="TableParagraph"/>
              <w:spacing w:line="261" w:lineRule="auto" w:before="110"/>
              <w:ind w:left="107" w:right="101"/>
              <w:rPr>
                <w:sz w:val="21"/>
              </w:rPr>
            </w:pPr>
            <w:r>
              <w:rPr>
                <w:sz w:val="21"/>
              </w:rPr>
              <w:t>投保人：凡具有完全民事行为能力且对被保险人具有保险利益的人可作为投保人向我们投保本保险。</w:t>
            </w:r>
          </w:p>
          <w:p>
            <w:pPr>
              <w:pStyle w:val="TableParagraph"/>
              <w:spacing w:before="6"/>
              <w:ind w:left="107"/>
              <w:rPr>
                <w:sz w:val="21"/>
              </w:rPr>
            </w:pPr>
            <w:r>
              <w:rPr>
                <w:sz w:val="21"/>
              </w:rPr>
              <w:t>被保险人：凡出生满 </w:t>
            </w:r>
            <w:r>
              <w:rPr>
                <w:rFonts w:ascii="Times New Roman" w:eastAsia="Times New Roman"/>
                <w:sz w:val="21"/>
              </w:rPr>
              <w:t>28 </w:t>
            </w:r>
            <w:r>
              <w:rPr>
                <w:sz w:val="21"/>
              </w:rPr>
              <w:t>日至 </w:t>
            </w:r>
            <w:r>
              <w:rPr>
                <w:rFonts w:ascii="Times New Roman" w:eastAsia="Times New Roman"/>
                <w:sz w:val="21"/>
              </w:rPr>
              <w:t>60 </w:t>
            </w:r>
            <w:r>
              <w:rPr>
                <w:sz w:val="21"/>
              </w:rPr>
              <w:t>周岁，身体健康者均可作为被保险人。</w:t>
            </w:r>
          </w:p>
        </w:tc>
      </w:tr>
      <w:tr>
        <w:trPr>
          <w:trHeight w:val="300" w:hRule="atLeast"/>
        </w:trPr>
        <w:tc>
          <w:tcPr>
            <w:tcW w:w="9741" w:type="dxa"/>
            <w:gridSpan w:val="3"/>
            <w:shd w:val="clear" w:color="auto" w:fill="E6E6E6"/>
          </w:tcPr>
          <w:p>
            <w:pPr>
              <w:pStyle w:val="TableParagraph"/>
              <w:tabs>
                <w:tab w:pos="845" w:val="left" w:leader="none"/>
              </w:tabs>
              <w:spacing w:line="280" w:lineRule="exact"/>
              <w:ind w:left="108"/>
              <w:rPr>
                <w:rFonts w:ascii="微软雅黑" w:eastAsia="微软雅黑" w:hint="eastAsia"/>
                <w:b/>
                <w:sz w:val="21"/>
              </w:rPr>
            </w:pPr>
            <w:r>
              <w:rPr>
                <w:rFonts w:ascii="Times New Roman" w:eastAsia="Times New Roman"/>
                <w:b/>
                <w:sz w:val="21"/>
              </w:rPr>
              <w:t>6</w:t>
              <w:tab/>
            </w:r>
            <w:r>
              <w:rPr>
                <w:rFonts w:ascii="微软雅黑" w:eastAsia="微软雅黑" w:hint="eastAsia"/>
                <w:b/>
                <w:spacing w:val="-1"/>
                <w:sz w:val="21"/>
              </w:rPr>
              <w:t>您需要了解的重要术语</w:t>
            </w:r>
          </w:p>
        </w:tc>
      </w:tr>
      <w:tr>
        <w:trPr>
          <w:trHeight w:val="1380" w:hRule="atLeast"/>
        </w:trPr>
        <w:tc>
          <w:tcPr>
            <w:tcW w:w="602" w:type="dxa"/>
          </w:tcPr>
          <w:p>
            <w:pPr>
              <w:pStyle w:val="TableParagraph"/>
              <w:spacing w:before="156"/>
              <w:ind w:left="108"/>
              <w:rPr>
                <w:rFonts w:ascii="Times New Roman"/>
                <w:b/>
                <w:sz w:val="21"/>
              </w:rPr>
            </w:pPr>
            <w:r>
              <w:rPr>
                <w:rFonts w:ascii="Times New Roman"/>
                <w:b/>
                <w:sz w:val="21"/>
              </w:rPr>
              <w:t>6.1</w:t>
            </w:r>
          </w:p>
        </w:tc>
        <w:tc>
          <w:tcPr>
            <w:tcW w:w="1369" w:type="dxa"/>
          </w:tcPr>
          <w:p>
            <w:pPr>
              <w:pStyle w:val="TableParagraph"/>
              <w:spacing w:line="199" w:lineRule="auto" w:before="106"/>
              <w:ind w:left="228" w:right="293"/>
              <w:jc w:val="both"/>
              <w:rPr>
                <w:rFonts w:ascii="微软雅黑" w:eastAsia="微软雅黑" w:hint="eastAsia"/>
                <w:b/>
                <w:sz w:val="21"/>
              </w:rPr>
            </w:pPr>
            <w:r>
              <w:rPr>
                <w:rFonts w:ascii="微软雅黑" w:eastAsia="微软雅黑" w:hint="eastAsia"/>
                <w:b/>
                <w:sz w:val="21"/>
              </w:rPr>
              <w:t>感染艾滋病病毒或患艾滋病</w:t>
            </w:r>
          </w:p>
        </w:tc>
        <w:tc>
          <w:tcPr>
            <w:tcW w:w="7770" w:type="dxa"/>
          </w:tcPr>
          <w:p>
            <w:pPr>
              <w:pStyle w:val="TableParagraph"/>
              <w:spacing w:line="247" w:lineRule="auto" w:before="107"/>
              <w:ind w:left="107" w:right="33"/>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 </w:t>
            </w:r>
            <w:r>
              <w:rPr>
                <w:rFonts w:ascii="Times New Roman" w:eastAsia="Times New Roman"/>
                <w:sz w:val="21"/>
              </w:rPr>
              <w:t>AIDS</w:t>
            </w:r>
            <w:r>
              <w:rPr>
                <w:sz w:val="21"/>
              </w:rPr>
              <w:t>。</w:t>
            </w:r>
          </w:p>
          <w:p>
            <w:pPr>
              <w:pStyle w:val="TableParagraph"/>
              <w:spacing w:line="261" w:lineRule="auto" w:before="2"/>
              <w:ind w:left="107" w:right="96"/>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602" w:type="dxa"/>
          </w:tcPr>
          <w:p>
            <w:pPr>
              <w:pStyle w:val="TableParagraph"/>
              <w:spacing w:before="89"/>
              <w:ind w:left="108"/>
              <w:rPr>
                <w:rFonts w:ascii="Times New Roman"/>
                <w:b/>
                <w:sz w:val="21"/>
              </w:rPr>
            </w:pPr>
            <w:r>
              <w:rPr>
                <w:rFonts w:ascii="Times New Roman"/>
                <w:b/>
                <w:sz w:val="21"/>
              </w:rPr>
              <w:t>6.2</w:t>
            </w:r>
          </w:p>
        </w:tc>
        <w:tc>
          <w:tcPr>
            <w:tcW w:w="1369" w:type="dxa"/>
          </w:tcPr>
          <w:p>
            <w:pPr>
              <w:pStyle w:val="TableParagraph"/>
              <w:spacing w:line="199" w:lineRule="auto" w:before="39"/>
              <w:ind w:left="228" w:right="293"/>
              <w:rPr>
                <w:rFonts w:ascii="微软雅黑" w:eastAsia="微软雅黑" w:hint="eastAsia"/>
                <w:b/>
                <w:sz w:val="21"/>
              </w:rPr>
            </w:pPr>
            <w:r>
              <w:rPr>
                <w:rFonts w:ascii="微软雅黑" w:eastAsia="微软雅黑" w:hint="eastAsia"/>
                <w:b/>
                <w:sz w:val="21"/>
              </w:rPr>
              <w:t>遗传性疾病</w:t>
            </w:r>
          </w:p>
        </w:tc>
        <w:tc>
          <w:tcPr>
            <w:tcW w:w="7770" w:type="dxa"/>
          </w:tcPr>
          <w:p>
            <w:pPr>
              <w:pStyle w:val="TableParagraph"/>
              <w:spacing w:line="261" w:lineRule="auto" w:before="40"/>
              <w:ind w:left="107" w:right="94"/>
              <w:rPr>
                <w:sz w:val="21"/>
              </w:rPr>
            </w:pPr>
            <w:r>
              <w:rPr>
                <w:sz w:val="21"/>
              </w:rPr>
              <w:t>指生殖细胞或受精卵的遗传物质（染色体和基因）发生突变或畸变所引起的疾病， 通常具有由亲代传至后代的垂直传递的特征。</w:t>
            </w:r>
          </w:p>
        </w:tc>
      </w:tr>
      <w:tr>
        <w:trPr>
          <w:trHeight w:val="631" w:hRule="atLeast"/>
        </w:trPr>
        <w:tc>
          <w:tcPr>
            <w:tcW w:w="602" w:type="dxa"/>
          </w:tcPr>
          <w:p>
            <w:pPr>
              <w:pStyle w:val="TableParagraph"/>
              <w:spacing w:before="89"/>
              <w:ind w:left="108"/>
              <w:rPr>
                <w:rFonts w:ascii="Times New Roman"/>
                <w:b/>
                <w:sz w:val="21"/>
              </w:rPr>
            </w:pPr>
            <w:r>
              <w:rPr>
                <w:rFonts w:ascii="Times New Roman"/>
                <w:b/>
                <w:sz w:val="21"/>
              </w:rPr>
              <w:t>6.3</w:t>
            </w:r>
          </w:p>
        </w:tc>
        <w:tc>
          <w:tcPr>
            <w:tcW w:w="1369" w:type="dxa"/>
          </w:tcPr>
          <w:p>
            <w:pPr>
              <w:pStyle w:val="TableParagraph"/>
              <w:spacing w:line="300" w:lineRule="exact" w:before="45"/>
              <w:ind w:left="228" w:right="106"/>
              <w:rPr>
                <w:rFonts w:ascii="微软雅黑" w:eastAsia="微软雅黑" w:hint="eastAsia"/>
                <w:b/>
                <w:sz w:val="21"/>
              </w:rPr>
            </w:pPr>
            <w:r>
              <w:rPr>
                <w:rFonts w:ascii="微软雅黑" w:eastAsia="微软雅黑" w:hint="eastAsia"/>
                <w:b/>
                <w:sz w:val="21"/>
              </w:rPr>
              <w:t>先天性畸</w:t>
            </w:r>
            <w:r>
              <w:rPr>
                <w:rFonts w:ascii="微软雅黑" w:eastAsia="微软雅黑" w:hint="eastAsia"/>
                <w:b/>
                <w:spacing w:val="-6"/>
                <w:sz w:val="21"/>
              </w:rPr>
              <w:t>形、变形或</w:t>
            </w:r>
          </w:p>
        </w:tc>
        <w:tc>
          <w:tcPr>
            <w:tcW w:w="7770" w:type="dxa"/>
          </w:tcPr>
          <w:p>
            <w:pPr>
              <w:pStyle w:val="TableParagraph"/>
              <w:spacing w:line="300" w:lineRule="exact" w:before="45"/>
              <w:ind w:left="107" w:right="56"/>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bl>
    <w:p>
      <w:pPr>
        <w:spacing w:after="0" w:line="300" w:lineRule="exact"/>
        <w:rPr>
          <w:sz w:val="21"/>
        </w:rPr>
        <w:sectPr>
          <w:pgSz w:w="11910" w:h="16840"/>
          <w:pgMar w:top="1480" w:bottom="280" w:left="1160" w:right="7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58"/>
      </w:tblGrid>
      <w:tr>
        <w:trPr>
          <w:trHeight w:val="552" w:hRule="atLeast"/>
        </w:trPr>
        <w:tc>
          <w:tcPr>
            <w:tcW w:w="693" w:type="dxa"/>
          </w:tcPr>
          <w:p>
            <w:pPr>
              <w:pStyle w:val="TableParagraph"/>
              <w:ind w:left="0"/>
              <w:rPr>
                <w:rFonts w:ascii="Times New Roman"/>
                <w:sz w:val="20"/>
              </w:rPr>
            </w:pPr>
          </w:p>
        </w:tc>
        <w:tc>
          <w:tcPr>
            <w:tcW w:w="1381" w:type="dxa"/>
          </w:tcPr>
          <w:p>
            <w:pPr>
              <w:pStyle w:val="TableParagraph"/>
              <w:spacing w:line="205" w:lineRule="exact"/>
              <w:ind w:left="229"/>
              <w:rPr>
                <w:rFonts w:ascii="微软雅黑" w:eastAsia="微软雅黑" w:hint="eastAsia"/>
                <w:b/>
                <w:sz w:val="21"/>
              </w:rPr>
            </w:pPr>
            <w:r>
              <w:rPr>
                <w:rFonts w:ascii="微软雅黑" w:eastAsia="微软雅黑" w:hint="eastAsia"/>
                <w:b/>
                <w:sz w:val="21"/>
              </w:rPr>
              <w:t>染色体异</w:t>
            </w:r>
          </w:p>
          <w:p>
            <w:pPr>
              <w:pStyle w:val="TableParagraph"/>
              <w:spacing w:line="327" w:lineRule="exact"/>
              <w:ind w:left="229"/>
              <w:rPr>
                <w:rFonts w:ascii="微软雅黑" w:eastAsia="微软雅黑" w:hint="eastAsia"/>
                <w:b/>
                <w:sz w:val="21"/>
              </w:rPr>
            </w:pPr>
            <w:r>
              <w:rPr>
                <w:rFonts w:ascii="微软雅黑" w:eastAsia="微软雅黑" w:hint="eastAsia"/>
                <w:b/>
                <w:w w:val="100"/>
                <w:sz w:val="21"/>
              </w:rPr>
              <w:t>常</w:t>
            </w:r>
          </w:p>
        </w:tc>
        <w:tc>
          <w:tcPr>
            <w:tcW w:w="7958" w:type="dxa"/>
          </w:tcPr>
          <w:p>
            <w:pPr>
              <w:pStyle w:val="TableParagraph"/>
              <w:ind w:left="0"/>
              <w:rPr>
                <w:rFonts w:ascii="Times New Roman"/>
                <w:sz w:val="20"/>
              </w:rPr>
            </w:pPr>
          </w:p>
        </w:tc>
      </w:tr>
      <w:tr>
        <w:trPr>
          <w:trHeight w:val="1256" w:hRule="atLeast"/>
        </w:trPr>
        <w:tc>
          <w:tcPr>
            <w:tcW w:w="693" w:type="dxa"/>
          </w:tcPr>
          <w:p>
            <w:pPr>
              <w:pStyle w:val="TableParagraph"/>
              <w:spacing w:before="33"/>
              <w:ind w:left="181" w:right="209"/>
              <w:jc w:val="center"/>
              <w:rPr>
                <w:rFonts w:ascii="Times New Roman"/>
                <w:b/>
                <w:sz w:val="21"/>
              </w:rPr>
            </w:pPr>
            <w:r>
              <w:rPr>
                <w:rFonts w:ascii="Times New Roman"/>
                <w:b/>
                <w:sz w:val="21"/>
              </w:rPr>
              <w:t>6.4</w:t>
            </w:r>
          </w:p>
        </w:tc>
        <w:tc>
          <w:tcPr>
            <w:tcW w:w="1381" w:type="dxa"/>
          </w:tcPr>
          <w:p>
            <w:pPr>
              <w:pStyle w:val="TableParagraph"/>
              <w:spacing w:line="284" w:lineRule="exact"/>
              <w:ind w:left="229"/>
              <w:rPr>
                <w:rFonts w:ascii="微软雅黑" w:eastAsia="微软雅黑" w:hint="eastAsia"/>
                <w:b/>
                <w:sz w:val="21"/>
              </w:rPr>
            </w:pPr>
            <w:r>
              <w:rPr>
                <w:rFonts w:ascii="微软雅黑" w:eastAsia="微软雅黑" w:hint="eastAsia"/>
                <w:b/>
                <w:sz w:val="21"/>
              </w:rPr>
              <w:t>重大疾病</w:t>
            </w:r>
          </w:p>
        </w:tc>
        <w:tc>
          <w:tcPr>
            <w:tcW w:w="7958" w:type="dxa"/>
          </w:tcPr>
          <w:p>
            <w:pPr>
              <w:pStyle w:val="TableParagraph"/>
              <w:spacing w:line="284" w:lineRule="exact"/>
              <w:rPr>
                <w:sz w:val="21"/>
              </w:rPr>
            </w:pPr>
            <w:r>
              <w:rPr>
                <w:sz w:val="21"/>
              </w:rPr>
              <w:t>指被保险人经我们认可的医院的</w:t>
            </w:r>
            <w:r>
              <w:rPr>
                <w:rFonts w:ascii="微软雅黑" w:eastAsia="微软雅黑" w:hint="eastAsia"/>
                <w:b/>
                <w:sz w:val="21"/>
              </w:rPr>
              <w:t>专科医生</w:t>
            </w:r>
            <w:r>
              <w:rPr>
                <w:sz w:val="21"/>
              </w:rPr>
              <w:t>（注 </w:t>
            </w:r>
            <w:r>
              <w:rPr>
                <w:rFonts w:ascii="Times New Roman" w:eastAsia="Times New Roman"/>
                <w:sz w:val="21"/>
              </w:rPr>
              <w:t>1</w:t>
            </w:r>
            <w:r>
              <w:rPr>
                <w:sz w:val="21"/>
              </w:rPr>
              <w:t>）确诊，初次发生符合下列定义的</w:t>
            </w:r>
          </w:p>
          <w:p>
            <w:pPr>
              <w:pStyle w:val="TableParagraph"/>
              <w:rPr>
                <w:sz w:val="21"/>
              </w:rPr>
            </w:pPr>
            <w:r>
              <w:rPr>
                <w:sz w:val="21"/>
              </w:rPr>
              <w:t>疾病或初次接受符合下列定义的手术。</w:t>
            </w:r>
          </w:p>
          <w:p>
            <w:pPr>
              <w:pStyle w:val="TableParagraph"/>
              <w:spacing w:line="261" w:lineRule="auto" w:before="25"/>
              <w:ind w:right="300"/>
              <w:rPr>
                <w:sz w:val="21"/>
              </w:rPr>
            </w:pPr>
            <w:r>
              <w:rPr>
                <w:sz w:val="21"/>
              </w:rPr>
              <w:t>本附加合同所列重大疾病中第一种至第二十三种为中国保险行业协会制定的《重大疾病保险的疾病定义使用规范》中列明的疾病，其余为本公司增加的疾病。</w:t>
            </w:r>
          </w:p>
        </w:tc>
      </w:tr>
      <w:tr>
        <w:trPr>
          <w:trHeight w:val="3121" w:hRule="atLeast"/>
        </w:trPr>
        <w:tc>
          <w:tcPr>
            <w:tcW w:w="693" w:type="dxa"/>
          </w:tcPr>
          <w:p>
            <w:pPr>
              <w:pStyle w:val="TableParagraph"/>
              <w:spacing w:before="89"/>
              <w:ind w:left="77" w:right="209"/>
              <w:jc w:val="center"/>
              <w:rPr>
                <w:rFonts w:ascii="Times New Roman"/>
                <w:b/>
                <w:sz w:val="21"/>
              </w:rPr>
            </w:pPr>
            <w:r>
              <w:rPr>
                <w:rFonts w:ascii="Times New Roman"/>
                <w:b/>
                <w:sz w:val="21"/>
              </w:rPr>
              <w:t>1.</w:t>
            </w:r>
          </w:p>
        </w:tc>
        <w:tc>
          <w:tcPr>
            <w:tcW w:w="1381" w:type="dxa"/>
          </w:tcPr>
          <w:p>
            <w:pPr>
              <w:pStyle w:val="TableParagraph"/>
              <w:spacing w:line="341" w:lineRule="exact"/>
              <w:ind w:left="229"/>
              <w:rPr>
                <w:rFonts w:ascii="微软雅黑" w:eastAsia="微软雅黑" w:hint="eastAsia"/>
                <w:b/>
                <w:sz w:val="21"/>
              </w:rPr>
            </w:pPr>
            <w:r>
              <w:rPr>
                <w:rFonts w:ascii="微软雅黑" w:eastAsia="微软雅黑" w:hint="eastAsia"/>
                <w:b/>
                <w:sz w:val="21"/>
              </w:rPr>
              <w:t>恶性肿瘤：</w:t>
            </w:r>
          </w:p>
        </w:tc>
        <w:tc>
          <w:tcPr>
            <w:tcW w:w="7958" w:type="dxa"/>
          </w:tcPr>
          <w:p>
            <w:pPr>
              <w:pStyle w:val="TableParagraph"/>
              <w:spacing w:line="256" w:lineRule="auto" w:before="40"/>
              <w:ind w:right="197"/>
              <w:rPr>
                <w:sz w:val="21"/>
              </w:rPr>
            </w:pPr>
            <w:r>
              <w:rPr>
                <w:spacing w:val="-8"/>
                <w:sz w:val="21"/>
              </w:rPr>
              <w:t>指恶性细胞不受控制的进行性增长和扩散，浸润和破坏周围正常组织，可以经血管、</w:t>
            </w:r>
            <w:r>
              <w:rPr>
                <w:spacing w:val="-5"/>
                <w:sz w:val="21"/>
              </w:rPr>
              <w:t>淋巴管和体腔扩散转移到身体其它部位的疾病。经病理学检查结果明确诊断，临床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）的恶性</w:t>
            </w:r>
            <w:r>
              <w:rPr>
                <w:spacing w:val="-3"/>
                <w:sz w:val="21"/>
              </w:rPr>
              <w:t>肿瘤范畴。下列疾病不在保障范围内：</w:t>
            </w:r>
          </w:p>
          <w:p>
            <w:pPr>
              <w:pStyle w:val="TableParagraph"/>
              <w:spacing w:before="10"/>
              <w:rPr>
                <w:sz w:val="21"/>
              </w:rPr>
            </w:pPr>
            <w:r>
              <w:rPr>
                <w:sz w:val="21"/>
              </w:rPr>
              <w:t>（</w:t>
            </w:r>
            <w:r>
              <w:rPr>
                <w:rFonts w:ascii="Times New Roman" w:eastAsia="Times New Roman"/>
                <w:sz w:val="21"/>
              </w:rPr>
              <w:t>1</w:t>
            </w:r>
            <w:r>
              <w:rPr>
                <w:sz w:val="21"/>
              </w:rPr>
              <w:t>）原位癌；</w:t>
            </w:r>
          </w:p>
          <w:p>
            <w:pPr>
              <w:pStyle w:val="TableParagraph"/>
              <w:spacing w:before="9"/>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line="306" w:lineRule="exact" w:before="7"/>
              <w:rPr>
                <w:sz w:val="21"/>
              </w:rPr>
            </w:pPr>
            <w:r>
              <w:rPr>
                <w:position w:val="2"/>
                <w:sz w:val="21"/>
              </w:rPr>
              <w:t>（</w:t>
            </w:r>
            <w:r>
              <w:rPr>
                <w:rFonts w:ascii="Times New Roman" w:eastAsia="Times New Roman"/>
                <w:position w:val="2"/>
                <w:sz w:val="21"/>
              </w:rPr>
              <w:t>5</w:t>
            </w:r>
            <w:r>
              <w:rPr>
                <w:position w:val="2"/>
                <w:sz w:val="21"/>
              </w:rPr>
              <w:t>）</w:t>
            </w:r>
            <w:r>
              <w:rPr>
                <w:rFonts w:ascii="Times New Roman" w:eastAsia="Times New Roman"/>
                <w:position w:val="2"/>
                <w:sz w:val="21"/>
              </w:rPr>
              <w:t>TNM </w:t>
            </w:r>
            <w:r>
              <w:rPr>
                <w:position w:val="2"/>
                <w:sz w:val="21"/>
              </w:rPr>
              <w:t>分期为 </w:t>
            </w:r>
            <w:r>
              <w:rPr>
                <w:rFonts w:ascii="Times New Roman" w:eastAsia="Times New Roman"/>
                <w:position w:val="2"/>
                <w:sz w:val="21"/>
              </w:rPr>
              <w:t>T</w:t>
            </w:r>
            <w:r>
              <w:rPr>
                <w:rFonts w:ascii="Times New Roman" w:eastAsia="Times New Roman"/>
                <w:position w:val="2"/>
                <w:sz w:val="21"/>
                <w:vertAlign w:val="subscript"/>
              </w:rPr>
              <w:t>1</w:t>
            </w:r>
            <w:r>
              <w:rPr>
                <w:rFonts w:ascii="Times New Roman" w:eastAsia="Times New Roman"/>
                <w:position w:val="2"/>
                <w:sz w:val="21"/>
                <w:vertAlign w:val="baseline"/>
              </w:rPr>
              <w:t>N</w:t>
            </w:r>
            <w:r>
              <w:rPr>
                <w:rFonts w:ascii="Times New Roman" w:eastAsia="Times New Roman"/>
                <w:position w:val="2"/>
                <w:sz w:val="21"/>
                <w:vertAlign w:val="subscript"/>
              </w:rPr>
              <w:t>0</w:t>
            </w:r>
            <w:r>
              <w:rPr>
                <w:rFonts w:ascii="Times New Roman" w:eastAsia="Times New Roman"/>
                <w:position w:val="2"/>
                <w:sz w:val="21"/>
                <w:vertAlign w:val="baseline"/>
              </w:rPr>
              <w:t>M</w:t>
            </w:r>
            <w:r>
              <w:rPr>
                <w:rFonts w:ascii="Times New Roman" w:eastAsia="Times New Roman"/>
                <w:position w:val="2"/>
                <w:sz w:val="21"/>
                <w:vertAlign w:val="subscript"/>
              </w:rPr>
              <w:t>0</w:t>
            </w:r>
            <w:r>
              <w:rPr>
                <w:rFonts w:ascii="Times New Roman" w:eastAsia="Times New Roman"/>
                <w:position w:val="2"/>
                <w:sz w:val="21"/>
                <w:vertAlign w:val="baseline"/>
              </w:rPr>
              <w:t> </w:t>
            </w:r>
            <w:r>
              <w:rPr>
                <w:position w:val="2"/>
                <w:sz w:val="21"/>
                <w:vertAlign w:val="baseline"/>
              </w:rPr>
              <w:t>期或更轻分期的前列腺癌；</w:t>
            </w:r>
          </w:p>
          <w:p>
            <w:pPr>
              <w:pStyle w:val="TableParagraph"/>
              <w:spacing w:line="286" w:lineRule="exact"/>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693" w:type="dxa"/>
          </w:tcPr>
          <w:p>
            <w:pPr>
              <w:pStyle w:val="TableParagraph"/>
              <w:spacing w:before="81"/>
              <w:ind w:left="77" w:right="209"/>
              <w:jc w:val="center"/>
              <w:rPr>
                <w:rFonts w:ascii="Times New Roman"/>
                <w:b/>
                <w:sz w:val="21"/>
              </w:rPr>
            </w:pPr>
            <w:r>
              <w:rPr>
                <w:rFonts w:ascii="Times New Roman"/>
                <w:b/>
                <w:sz w:val="21"/>
              </w:rPr>
              <w:t>2.</w:t>
            </w:r>
          </w:p>
        </w:tc>
        <w:tc>
          <w:tcPr>
            <w:tcW w:w="1381" w:type="dxa"/>
          </w:tcPr>
          <w:p>
            <w:pPr>
              <w:pStyle w:val="TableParagraph"/>
              <w:spacing w:line="199" w:lineRule="auto" w:before="31"/>
              <w:ind w:left="229" w:right="304"/>
              <w:rPr>
                <w:rFonts w:ascii="微软雅黑" w:eastAsia="微软雅黑" w:hint="eastAsia"/>
                <w:b/>
                <w:sz w:val="21"/>
              </w:rPr>
            </w:pPr>
            <w:r>
              <w:rPr>
                <w:rFonts w:ascii="微软雅黑" w:eastAsia="微软雅黑" w:hint="eastAsia"/>
                <w:b/>
                <w:sz w:val="21"/>
              </w:rPr>
              <w:t>急性心肌梗塞：</w:t>
            </w:r>
          </w:p>
        </w:tc>
        <w:tc>
          <w:tcPr>
            <w:tcW w:w="7958" w:type="dxa"/>
          </w:tcPr>
          <w:p>
            <w:pPr>
              <w:pStyle w:val="TableParagraph"/>
              <w:spacing w:line="261" w:lineRule="auto" w:before="32"/>
              <w:ind w:right="300"/>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5" w:hRule="atLeast"/>
        </w:trPr>
        <w:tc>
          <w:tcPr>
            <w:tcW w:w="693" w:type="dxa"/>
          </w:tcPr>
          <w:p>
            <w:pPr>
              <w:pStyle w:val="TableParagraph"/>
              <w:spacing w:before="81"/>
              <w:ind w:left="77" w:right="209"/>
              <w:jc w:val="center"/>
              <w:rPr>
                <w:rFonts w:ascii="Times New Roman"/>
                <w:b/>
                <w:sz w:val="21"/>
              </w:rPr>
            </w:pPr>
            <w:r>
              <w:rPr>
                <w:rFonts w:ascii="Times New Roman"/>
                <w:b/>
                <w:sz w:val="21"/>
              </w:rPr>
              <w:t>3.</w:t>
            </w:r>
          </w:p>
        </w:tc>
        <w:tc>
          <w:tcPr>
            <w:tcW w:w="1381" w:type="dxa"/>
          </w:tcPr>
          <w:p>
            <w:pPr>
              <w:pStyle w:val="TableParagraph"/>
              <w:spacing w:line="199" w:lineRule="auto" w:before="31"/>
              <w:ind w:left="229" w:right="304"/>
              <w:rPr>
                <w:rFonts w:ascii="微软雅黑" w:eastAsia="微软雅黑" w:hint="eastAsia"/>
                <w:b/>
                <w:sz w:val="21"/>
              </w:rPr>
            </w:pPr>
            <w:r>
              <w:rPr>
                <w:rFonts w:ascii="微软雅黑" w:eastAsia="微软雅黑" w:hint="eastAsia"/>
                <w:b/>
                <w:sz w:val="21"/>
              </w:rPr>
              <w:t>脑中风后遗症：</w:t>
            </w:r>
          </w:p>
        </w:tc>
        <w:tc>
          <w:tcPr>
            <w:tcW w:w="7958" w:type="dxa"/>
          </w:tcPr>
          <w:p>
            <w:pPr>
              <w:pStyle w:val="TableParagraph"/>
              <w:spacing w:line="254" w:lineRule="auto" w:before="32"/>
              <w:ind w:right="300"/>
              <w:jc w:val="both"/>
              <w:rPr>
                <w:sz w:val="21"/>
              </w:rPr>
            </w:pPr>
            <w:r>
              <w:rPr>
                <w:spacing w:val="-4"/>
                <w:sz w:val="21"/>
              </w:rPr>
              <w:t>指因脑血管的突发病变引起脑血管出血、栓塞或梗塞，并导致神经系统永久性的功</w:t>
            </w:r>
            <w:r>
              <w:rPr>
                <w:spacing w:val="-6"/>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2" w:lineRule="exact"/>
              <w:rPr>
                <w:sz w:val="21"/>
              </w:rPr>
            </w:pPr>
            <w:r>
              <w:rPr>
                <w:w w:val="100"/>
                <w:sz w:val="21"/>
              </w:rPr>
              <w:t>（</w:t>
            </w:r>
            <w:r>
              <w:rPr>
                <w:rFonts w:ascii="Times New Roman" w:eastAsia="Times New Roman"/>
                <w:w w:val="100"/>
                <w:sz w:val="21"/>
              </w:rPr>
              <w:t>1</w:t>
            </w:r>
            <w:r>
              <w:rPr>
                <w:spacing w:val="-3"/>
                <w:w w:val="100"/>
                <w:sz w:val="21"/>
              </w:rPr>
              <w:t>）一肢或一肢以上</w:t>
            </w:r>
            <w:r>
              <w:rPr>
                <w:rFonts w:ascii="微软雅黑" w:eastAsia="微软雅黑" w:hint="eastAsia"/>
                <w:b/>
                <w:w w:val="100"/>
                <w:sz w:val="21"/>
              </w:rPr>
              <w:t>肢体机能完全丧失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300" w:lineRule="exact"/>
              <w:rPr>
                <w:sz w:val="21"/>
              </w:rPr>
            </w:pPr>
            <w:r>
              <w:rPr>
                <w:w w:val="100"/>
                <w:sz w:val="21"/>
              </w:rPr>
              <w:t>（</w:t>
            </w:r>
            <w:r>
              <w:rPr>
                <w:rFonts w:ascii="Times New Roman" w:eastAsia="Times New Roman"/>
                <w:w w:val="100"/>
                <w:sz w:val="21"/>
              </w:rPr>
              <w:t>2</w:t>
            </w:r>
            <w:r>
              <w:rPr>
                <w:spacing w:val="-3"/>
                <w:w w:val="100"/>
                <w:sz w:val="21"/>
              </w:rPr>
              <w:t>）</w:t>
            </w:r>
            <w:r>
              <w:rPr>
                <w:rFonts w:ascii="微软雅黑" w:eastAsia="微软雅黑" w:hint="eastAsia"/>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3</w:t>
            </w:r>
            <w:r>
              <w:rPr>
                <w:spacing w:val="-106"/>
                <w:w w:val="100"/>
                <w:sz w:val="21"/>
              </w:rPr>
              <w:t>）；</w:t>
            </w:r>
          </w:p>
          <w:p>
            <w:pPr>
              <w:pStyle w:val="TableParagraph"/>
              <w:spacing w:line="300" w:lineRule="exact" w:before="36"/>
              <w:ind w:left="621" w:right="300" w:hanging="526"/>
              <w:rPr>
                <w:sz w:val="21"/>
              </w:rPr>
            </w:pPr>
            <w:r>
              <w:rPr>
                <w:spacing w:val="-7"/>
                <w:sz w:val="21"/>
              </w:rPr>
              <w:t>（</w:t>
            </w:r>
            <w:r>
              <w:rPr>
                <w:rFonts w:ascii="Times New Roman" w:eastAsia="Times New Roman"/>
                <w:spacing w:val="-7"/>
                <w:sz w:val="21"/>
              </w:rPr>
              <w:t>3</w:t>
            </w:r>
            <w:r>
              <w:rPr>
                <w:spacing w:val="-7"/>
                <w:sz w:val="21"/>
              </w:rPr>
              <w:t>）</w:t>
            </w:r>
            <w:r>
              <w:rPr>
                <w:spacing w:val="-5"/>
                <w:sz w:val="21"/>
              </w:rPr>
              <w:t>自主生活能力完全丧失，无法独立完成</w:t>
            </w:r>
            <w:r>
              <w:rPr>
                <w:rFonts w:ascii="微软雅黑" w:eastAsia="微软雅黑" w:hint="eastAsia"/>
                <w:b/>
                <w:spacing w:val="-2"/>
                <w:sz w:val="21"/>
              </w:rPr>
              <w:t>六项基本日常生活活动</w:t>
            </w:r>
            <w:r>
              <w:rPr>
                <w:spacing w:val="-3"/>
                <w:sz w:val="21"/>
              </w:rPr>
              <w:t>（</w:t>
            </w:r>
            <w:r>
              <w:rPr>
                <w:spacing w:val="-10"/>
                <w:sz w:val="21"/>
              </w:rPr>
              <w:t>注 </w:t>
            </w:r>
            <w:r>
              <w:rPr>
                <w:rFonts w:ascii="Times New Roman" w:eastAsia="Times New Roman"/>
                <w:spacing w:val="-10"/>
                <w:sz w:val="21"/>
              </w:rPr>
              <w:t>4</w:t>
            </w:r>
            <w:r>
              <w:rPr>
                <w:spacing w:val="-10"/>
                <w:sz w:val="21"/>
              </w:rPr>
              <w:t>）</w:t>
            </w:r>
            <w:r>
              <w:rPr>
                <w:spacing w:val="-2"/>
                <w:sz w:val="21"/>
              </w:rPr>
              <w:t>中的三</w:t>
            </w:r>
            <w:r>
              <w:rPr>
                <w:spacing w:val="-3"/>
                <w:sz w:val="21"/>
              </w:rPr>
              <w:t>项或三项以上。</w:t>
            </w:r>
          </w:p>
        </w:tc>
      </w:tr>
      <w:tr>
        <w:trPr>
          <w:trHeight w:val="1312" w:hRule="atLeast"/>
        </w:trPr>
        <w:tc>
          <w:tcPr>
            <w:tcW w:w="693" w:type="dxa"/>
          </w:tcPr>
          <w:p>
            <w:pPr>
              <w:pStyle w:val="TableParagraph"/>
              <w:spacing w:before="89"/>
              <w:ind w:left="77" w:right="209"/>
              <w:jc w:val="center"/>
              <w:rPr>
                <w:rFonts w:ascii="Times New Roman"/>
                <w:b/>
                <w:sz w:val="21"/>
              </w:rPr>
            </w:pPr>
            <w:r>
              <w:rPr>
                <w:rFonts w:ascii="Times New Roman"/>
                <w:b/>
                <w:sz w:val="21"/>
              </w:rPr>
              <w:t>4.</w:t>
            </w:r>
          </w:p>
        </w:tc>
        <w:tc>
          <w:tcPr>
            <w:tcW w:w="1381" w:type="dxa"/>
          </w:tcPr>
          <w:p>
            <w:pPr>
              <w:pStyle w:val="TableParagraph"/>
              <w:spacing w:line="199" w:lineRule="auto" w:before="39"/>
              <w:ind w:left="229" w:right="93"/>
              <w:rPr>
                <w:rFonts w:ascii="微软雅黑" w:eastAsia="微软雅黑" w:hint="eastAsia"/>
                <w:b/>
                <w:sz w:val="21"/>
              </w:rPr>
            </w:pPr>
            <w:r>
              <w:rPr>
                <w:rFonts w:ascii="微软雅黑" w:eastAsia="微软雅黑" w:hint="eastAsia"/>
                <w:b/>
                <w:sz w:val="21"/>
              </w:rPr>
              <w:t>重 大 器 官 移 植 术 或 造 血 干 细 胞移植术：</w:t>
            </w:r>
          </w:p>
        </w:tc>
        <w:tc>
          <w:tcPr>
            <w:tcW w:w="7958" w:type="dxa"/>
          </w:tcPr>
          <w:p>
            <w:pPr>
              <w:pStyle w:val="TableParagraph"/>
              <w:spacing w:line="261" w:lineRule="auto" w:before="40"/>
              <w:ind w:right="301"/>
              <w:rPr>
                <w:sz w:val="21"/>
              </w:rPr>
            </w:pPr>
            <w:r>
              <w:rPr>
                <w:sz w:val="21"/>
              </w:rPr>
              <w:t>重大器官移植术，指因相应器官功能衰竭，已经实施了肾脏、肝脏、心脏或肺脏的异体移植手术。</w:t>
            </w:r>
          </w:p>
          <w:p>
            <w:pPr>
              <w:pStyle w:val="TableParagraph"/>
              <w:spacing w:line="261" w:lineRule="auto" w:before="6"/>
              <w:ind w:right="197"/>
              <w:rPr>
                <w:sz w:val="21"/>
              </w:rPr>
            </w:pPr>
            <w:r>
              <w:rPr>
                <w:spacing w:val="-3"/>
                <w:sz w:val="21"/>
              </w:rPr>
              <w:t>造血干细胞移植术，指因造血功能损害或造血系统恶性肿瘤，已经实施了造血干细</w:t>
            </w:r>
            <w:r>
              <w:rPr>
                <w:spacing w:val="-36"/>
                <w:sz w:val="21"/>
              </w:rPr>
              <w:t>胞</w:t>
            </w:r>
            <w:r>
              <w:rPr>
                <w:spacing w:val="-3"/>
                <w:sz w:val="21"/>
              </w:rPr>
              <w:t>（</w:t>
            </w:r>
            <w:r>
              <w:rPr>
                <w:spacing w:val="-7"/>
                <w:sz w:val="21"/>
              </w:rPr>
              <w:t>包括骨髓造血干细胞、外周血造血干细胞和脐血造血干细胞</w:t>
            </w:r>
            <w:r>
              <w:rPr>
                <w:spacing w:val="-39"/>
                <w:sz w:val="21"/>
              </w:rPr>
              <w:t>）</w:t>
            </w:r>
            <w:r>
              <w:rPr>
                <w:spacing w:val="-3"/>
                <w:sz w:val="21"/>
              </w:rPr>
              <w:t>的异体移植手术。</w:t>
            </w:r>
          </w:p>
        </w:tc>
      </w:tr>
      <w:tr>
        <w:trPr>
          <w:trHeight w:val="1613" w:hRule="atLeast"/>
        </w:trPr>
        <w:tc>
          <w:tcPr>
            <w:tcW w:w="693" w:type="dxa"/>
          </w:tcPr>
          <w:p>
            <w:pPr>
              <w:pStyle w:val="TableParagraph"/>
              <w:spacing w:before="89"/>
              <w:ind w:left="77" w:right="209"/>
              <w:jc w:val="center"/>
              <w:rPr>
                <w:rFonts w:ascii="Times New Roman"/>
                <w:b/>
                <w:sz w:val="21"/>
              </w:rPr>
            </w:pPr>
            <w:r>
              <w:rPr>
                <w:rFonts w:ascii="Times New Roman"/>
                <w:b/>
                <w:sz w:val="21"/>
              </w:rPr>
              <w:t>5.</w:t>
            </w:r>
          </w:p>
        </w:tc>
        <w:tc>
          <w:tcPr>
            <w:tcW w:w="1381" w:type="dxa"/>
          </w:tcPr>
          <w:p>
            <w:pPr>
              <w:pStyle w:val="TableParagraph"/>
              <w:spacing w:line="199" w:lineRule="auto" w:before="39"/>
              <w:ind w:left="229" w:right="117"/>
              <w:rPr>
                <w:rFonts w:ascii="微软雅黑" w:eastAsia="微软雅黑" w:hint="eastAsia"/>
                <w:b/>
                <w:sz w:val="21"/>
              </w:rPr>
            </w:pPr>
            <w:r>
              <w:rPr>
                <w:rFonts w:ascii="微软雅黑" w:eastAsia="微软雅黑" w:hint="eastAsia"/>
                <w:b/>
                <w:sz w:val="21"/>
              </w:rPr>
              <w:t>冠状动脉</w:t>
            </w:r>
            <w:r>
              <w:rPr>
                <w:rFonts w:ascii="微软雅黑" w:eastAsia="微软雅黑" w:hint="eastAsia"/>
                <w:b/>
                <w:spacing w:val="-9"/>
                <w:sz w:val="21"/>
              </w:rPr>
              <w:t>搭桥术</w:t>
            </w:r>
            <w:r>
              <w:rPr>
                <w:rFonts w:ascii="微软雅黑" w:eastAsia="微软雅黑" w:hint="eastAsia"/>
                <w:b/>
                <w:sz w:val="21"/>
              </w:rPr>
              <w:t>（或称冠状动脉旁路移植术）：</w:t>
            </w:r>
          </w:p>
        </w:tc>
        <w:tc>
          <w:tcPr>
            <w:tcW w:w="7958" w:type="dxa"/>
          </w:tcPr>
          <w:p>
            <w:pPr>
              <w:pStyle w:val="TableParagraph"/>
              <w:spacing w:line="261" w:lineRule="auto" w:before="40"/>
              <w:ind w:right="197"/>
              <w:rPr>
                <w:sz w:val="21"/>
              </w:rPr>
            </w:pPr>
            <w:r>
              <w:rPr>
                <w:spacing w:val="-3"/>
                <w:sz w:val="21"/>
              </w:rPr>
              <w:t>指为治疗严重的冠心病，实际实施了开胸进行的冠状动脉血管旁路移植的手术。  </w:t>
            </w:r>
            <w:r>
              <w:rPr>
                <w:spacing w:val="-12"/>
                <w:sz w:val="21"/>
              </w:rPr>
              <w:t>冠状动脉支架植入术、心导管球囊扩张术、激光射频技术及其它非开胸的介入手术、</w:t>
            </w:r>
            <w:r>
              <w:rPr>
                <w:spacing w:val="-6"/>
                <w:sz w:val="21"/>
              </w:rPr>
              <w:t>腔镜手术不在保障范围内。</w:t>
            </w:r>
          </w:p>
        </w:tc>
      </w:tr>
      <w:tr>
        <w:trPr>
          <w:trHeight w:val="1515" w:hRule="atLeast"/>
        </w:trPr>
        <w:tc>
          <w:tcPr>
            <w:tcW w:w="693" w:type="dxa"/>
          </w:tcPr>
          <w:p>
            <w:pPr>
              <w:pStyle w:val="TableParagraph"/>
              <w:spacing w:before="89"/>
              <w:ind w:left="77" w:right="209"/>
              <w:jc w:val="center"/>
              <w:rPr>
                <w:rFonts w:ascii="Times New Roman"/>
                <w:b/>
                <w:sz w:val="21"/>
              </w:rPr>
            </w:pPr>
            <w:r>
              <w:rPr>
                <w:rFonts w:ascii="Times New Roman"/>
                <w:b/>
                <w:sz w:val="21"/>
              </w:rPr>
              <w:t>6.</w:t>
            </w:r>
          </w:p>
        </w:tc>
        <w:tc>
          <w:tcPr>
            <w:tcW w:w="1381" w:type="dxa"/>
          </w:tcPr>
          <w:p>
            <w:pPr>
              <w:pStyle w:val="TableParagraph"/>
              <w:spacing w:line="300" w:lineRule="exact" w:before="45"/>
              <w:ind w:left="229" w:right="117"/>
              <w:rPr>
                <w:rFonts w:ascii="微软雅黑" w:eastAsia="微软雅黑" w:hint="eastAsia"/>
                <w:b/>
                <w:sz w:val="21"/>
              </w:rPr>
            </w:pPr>
            <w:r>
              <w:rPr>
                <w:rFonts w:ascii="微软雅黑" w:eastAsia="微软雅黑" w:hint="eastAsia"/>
                <w:b/>
                <w:sz w:val="21"/>
              </w:rPr>
              <w:t>终末期肾 </w:t>
            </w:r>
            <w:r>
              <w:rPr>
                <w:rFonts w:ascii="微软雅黑" w:eastAsia="微软雅黑" w:hint="eastAsia"/>
                <w:b/>
                <w:spacing w:val="-25"/>
                <w:sz w:val="21"/>
              </w:rPr>
              <w:t>病</w:t>
            </w:r>
            <w:r>
              <w:rPr>
                <w:rFonts w:ascii="微软雅黑" w:eastAsia="微软雅黑" w:hint="eastAsia"/>
                <w:b/>
                <w:sz w:val="21"/>
              </w:rPr>
              <w:t>（或称慢性肾功能衰竭尿毒症期）：</w:t>
            </w:r>
          </w:p>
        </w:tc>
        <w:tc>
          <w:tcPr>
            <w:tcW w:w="7958" w:type="dxa"/>
          </w:tcPr>
          <w:p>
            <w:pPr>
              <w:pStyle w:val="TableParagraph"/>
              <w:spacing w:line="247" w:lineRule="auto" w:before="40"/>
              <w:ind w:right="302"/>
              <w:rPr>
                <w:sz w:val="21"/>
              </w:rPr>
            </w:pPr>
            <w:r>
              <w:rPr>
                <w:sz w:val="21"/>
              </w:rPr>
              <w:t>指双肾功能慢性不可逆性衰竭，达到尿毒症期，经诊断后已经进行了至少 </w:t>
            </w:r>
            <w:r>
              <w:rPr>
                <w:rFonts w:ascii="Times New Roman" w:eastAsia="Times New Roman"/>
                <w:sz w:val="21"/>
              </w:rPr>
              <w:t>90 </w:t>
            </w:r>
            <w:r>
              <w:rPr>
                <w:sz w:val="21"/>
              </w:rPr>
              <w:t>天的规律性透析治疗或实施了肾脏移植手术。</w:t>
            </w:r>
          </w:p>
        </w:tc>
      </w:tr>
    </w:tbl>
    <w:p>
      <w:pPr>
        <w:spacing w:after="0" w:line="247" w:lineRule="auto"/>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61"/>
      </w:tblGrid>
      <w:tr>
        <w:trPr>
          <w:trHeight w:val="1823" w:hRule="atLeast"/>
        </w:trPr>
        <w:tc>
          <w:tcPr>
            <w:tcW w:w="693" w:type="dxa"/>
          </w:tcPr>
          <w:p>
            <w:pPr>
              <w:pStyle w:val="TableParagraph"/>
              <w:spacing w:line="227" w:lineRule="exact"/>
              <w:ind w:left="77" w:right="209"/>
              <w:jc w:val="center"/>
              <w:rPr>
                <w:rFonts w:ascii="Times New Roman"/>
                <w:b/>
                <w:sz w:val="21"/>
              </w:rPr>
            </w:pPr>
            <w:r>
              <w:rPr>
                <w:rFonts w:ascii="Times New Roman"/>
                <w:b/>
                <w:sz w:val="21"/>
              </w:rPr>
              <w:t>7.</w:t>
            </w:r>
          </w:p>
        </w:tc>
        <w:tc>
          <w:tcPr>
            <w:tcW w:w="1381" w:type="dxa"/>
          </w:tcPr>
          <w:p>
            <w:pPr>
              <w:pStyle w:val="TableParagraph"/>
              <w:spacing w:line="205" w:lineRule="exact"/>
              <w:ind w:left="229"/>
              <w:rPr>
                <w:rFonts w:ascii="微软雅黑" w:eastAsia="微软雅黑" w:hint="eastAsia"/>
                <w:b/>
                <w:sz w:val="21"/>
              </w:rPr>
            </w:pPr>
            <w:r>
              <w:rPr>
                <w:rFonts w:ascii="微软雅黑" w:eastAsia="微软雅黑" w:hint="eastAsia"/>
                <w:b/>
                <w:sz w:val="21"/>
              </w:rPr>
              <w:t>急性或亚</w:t>
            </w:r>
          </w:p>
          <w:p>
            <w:pPr>
              <w:pStyle w:val="TableParagraph"/>
              <w:spacing w:line="199" w:lineRule="auto" w:before="30"/>
              <w:ind w:left="229" w:right="304"/>
              <w:rPr>
                <w:rFonts w:ascii="微软雅黑" w:eastAsia="微软雅黑" w:hint="eastAsia"/>
                <w:b/>
                <w:sz w:val="21"/>
              </w:rPr>
            </w:pPr>
            <w:r>
              <w:rPr>
                <w:rFonts w:ascii="微软雅黑" w:eastAsia="微软雅黑" w:hint="eastAsia"/>
                <w:b/>
                <w:sz w:val="21"/>
              </w:rPr>
              <w:t>急性重症肝炎：</w:t>
            </w:r>
          </w:p>
        </w:tc>
        <w:tc>
          <w:tcPr>
            <w:tcW w:w="7961" w:type="dxa"/>
          </w:tcPr>
          <w:p>
            <w:pPr>
              <w:pStyle w:val="TableParagraph"/>
              <w:spacing w:line="211" w:lineRule="exact"/>
              <w:rPr>
                <w:sz w:val="21"/>
              </w:rPr>
            </w:pPr>
            <w:r>
              <w:rPr>
                <w:sz w:val="21"/>
              </w:rPr>
              <w:t>指因肝炎病毒感染引起肝脏组织弥漫性坏死，导致急性肝功能衰竭，且经血清学或</w:t>
            </w:r>
          </w:p>
          <w:p>
            <w:pPr>
              <w:pStyle w:val="TableParagraph"/>
              <w:spacing w:before="25"/>
              <w:rPr>
                <w:sz w:val="21"/>
              </w:rPr>
            </w:pPr>
            <w:r>
              <w:rPr>
                <w:sz w:val="21"/>
              </w:rPr>
              <w:t>病毒学检查证实，并须满足下列全部条件：</w:t>
            </w:r>
          </w:p>
          <w:p>
            <w:pPr>
              <w:pStyle w:val="TableParagraph"/>
              <w:spacing w:before="24"/>
              <w:rPr>
                <w:sz w:val="21"/>
              </w:rPr>
            </w:pPr>
            <w:r>
              <w:rPr>
                <w:sz w:val="21"/>
              </w:rPr>
              <w:t>（</w:t>
            </w:r>
            <w:r>
              <w:rPr>
                <w:rFonts w:ascii="Times New Roman" w:eastAsia="Times New Roman"/>
                <w:sz w:val="21"/>
              </w:rPr>
              <w:t>1</w:t>
            </w:r>
            <w:r>
              <w:rPr>
                <w:sz w:val="21"/>
              </w:rPr>
              <w:t>）重度黄疸或黄疸迅速加重；</w:t>
            </w:r>
          </w:p>
          <w:p>
            <w:pPr>
              <w:pStyle w:val="TableParagraph"/>
              <w:spacing w:before="8"/>
              <w:rPr>
                <w:sz w:val="21"/>
              </w:rPr>
            </w:pPr>
            <w:r>
              <w:rPr>
                <w:sz w:val="21"/>
              </w:rPr>
              <w:t>（</w:t>
            </w:r>
            <w:r>
              <w:rPr>
                <w:rFonts w:ascii="Times New Roman" w:eastAsia="Times New Roman"/>
                <w:sz w:val="21"/>
              </w:rPr>
              <w:t>2</w:t>
            </w:r>
            <w:r>
              <w:rPr>
                <w:sz w:val="21"/>
              </w:rPr>
              <w:t>）肝性脑病；</w:t>
            </w:r>
          </w:p>
          <w:p>
            <w:pPr>
              <w:pStyle w:val="TableParagraph"/>
              <w:spacing w:before="8"/>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8"/>
              <w:rPr>
                <w:sz w:val="21"/>
              </w:rPr>
            </w:pPr>
            <w:r>
              <w:rPr>
                <w:sz w:val="21"/>
              </w:rPr>
              <w:t>（</w:t>
            </w:r>
            <w:r>
              <w:rPr>
                <w:rFonts w:ascii="Times New Roman" w:eastAsia="Times New Roman"/>
                <w:sz w:val="21"/>
              </w:rPr>
              <w:t>4</w:t>
            </w:r>
            <w:r>
              <w:rPr>
                <w:sz w:val="21"/>
              </w:rPr>
              <w:t>）肝功能指标进行性恶化。</w:t>
            </w:r>
          </w:p>
        </w:tc>
      </w:tr>
      <w:tr>
        <w:trPr>
          <w:trHeight w:val="1904" w:hRule="atLeast"/>
        </w:trPr>
        <w:tc>
          <w:tcPr>
            <w:tcW w:w="693" w:type="dxa"/>
          </w:tcPr>
          <w:p>
            <w:pPr>
              <w:pStyle w:val="TableParagraph"/>
              <w:spacing w:before="75"/>
              <w:ind w:left="77" w:right="209"/>
              <w:jc w:val="center"/>
              <w:rPr>
                <w:rFonts w:ascii="Times New Roman"/>
                <w:b/>
                <w:sz w:val="21"/>
              </w:rPr>
            </w:pPr>
            <w:r>
              <w:rPr>
                <w:rFonts w:ascii="Times New Roman"/>
                <w:b/>
                <w:sz w:val="21"/>
              </w:rPr>
              <w:t>8.</w:t>
            </w:r>
          </w:p>
        </w:tc>
        <w:tc>
          <w:tcPr>
            <w:tcW w:w="1381" w:type="dxa"/>
          </w:tcPr>
          <w:p>
            <w:pPr>
              <w:pStyle w:val="TableParagraph"/>
              <w:spacing w:line="199" w:lineRule="auto" w:before="25"/>
              <w:ind w:left="229" w:right="304"/>
              <w:rPr>
                <w:rFonts w:ascii="微软雅黑" w:eastAsia="微软雅黑" w:hint="eastAsia"/>
                <w:b/>
                <w:sz w:val="21"/>
              </w:rPr>
            </w:pPr>
            <w:r>
              <w:rPr>
                <w:rFonts w:ascii="微软雅黑" w:eastAsia="微软雅黑" w:hint="eastAsia"/>
                <w:b/>
                <w:sz w:val="21"/>
              </w:rPr>
              <w:t>良性脑肿瘤：</w:t>
            </w:r>
          </w:p>
        </w:tc>
        <w:tc>
          <w:tcPr>
            <w:tcW w:w="7961" w:type="dxa"/>
          </w:tcPr>
          <w:p>
            <w:pPr>
              <w:pStyle w:val="TableParagraph"/>
              <w:spacing w:line="254" w:lineRule="auto" w:before="25"/>
              <w:ind w:right="200"/>
              <w:rPr>
                <w:sz w:val="21"/>
              </w:rPr>
            </w:pPr>
            <w:r>
              <w:rPr>
                <w:spacing w:val="-3"/>
                <w:sz w:val="21"/>
              </w:rPr>
              <w:t>指脑的良性肿瘤，已经引起颅内压增高，临床表现为视神经乳头水肿、精神症状、</w:t>
            </w:r>
            <w:r>
              <w:rPr>
                <w:spacing w:val="-21"/>
                <w:w w:val="100"/>
                <w:sz w:val="21"/>
              </w:rPr>
              <w:t>癫痫及运动感觉障碍等，并危及生命。须由头颅断层扫描</w:t>
            </w:r>
            <w:r>
              <w:rPr>
                <w:spacing w:val="-3"/>
                <w:w w:val="100"/>
                <w:sz w:val="21"/>
              </w:rPr>
              <w:t>（</w:t>
            </w:r>
            <w:r>
              <w:rPr>
                <w:rFonts w:ascii="Times New Roman" w:eastAsia="Times New Roman"/>
                <w:w w:val="100"/>
                <w:sz w:val="21"/>
              </w:rPr>
              <w:t>C</w:t>
            </w:r>
            <w:r>
              <w:rPr>
                <w:rFonts w:ascii="Times New Roman" w:eastAsia="Times New Roman"/>
                <w:spacing w:val="-2"/>
                <w:w w:val="100"/>
                <w:sz w:val="21"/>
              </w:rPr>
              <w:t>T</w:t>
            </w:r>
            <w:r>
              <w:rPr>
                <w:spacing w:val="-97"/>
                <w:w w:val="100"/>
                <w:sz w:val="21"/>
              </w:rPr>
              <w:t>）</w:t>
            </w:r>
            <w:r>
              <w:rPr>
                <w:spacing w:val="-31"/>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等影像学检查证实，并须满足下列至少一项条件：</w:t>
            </w:r>
          </w:p>
          <w:p>
            <w:pPr>
              <w:pStyle w:val="TableParagraph"/>
              <w:spacing w:line="286" w:lineRule="exact"/>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10"/>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9"/>
              <w:rPr>
                <w:sz w:val="21"/>
              </w:rPr>
            </w:pPr>
            <w:r>
              <w:rPr>
                <w:sz w:val="21"/>
              </w:rPr>
              <w:t>脑垂体瘤、脑囊肿、脑血管性疾病不在保障范围内。</w:t>
            </w:r>
          </w:p>
        </w:tc>
      </w:tr>
      <w:tr>
        <w:trPr>
          <w:trHeight w:val="1913" w:hRule="atLeast"/>
        </w:trPr>
        <w:tc>
          <w:tcPr>
            <w:tcW w:w="693" w:type="dxa"/>
          </w:tcPr>
          <w:p>
            <w:pPr>
              <w:pStyle w:val="TableParagraph"/>
              <w:spacing w:before="83"/>
              <w:ind w:left="77" w:right="209"/>
              <w:jc w:val="center"/>
              <w:rPr>
                <w:rFonts w:ascii="Times New Roman"/>
                <w:b/>
                <w:sz w:val="21"/>
              </w:rPr>
            </w:pPr>
            <w:r>
              <w:rPr>
                <w:rFonts w:ascii="Times New Roman"/>
                <w:b/>
                <w:sz w:val="21"/>
              </w:rPr>
              <w:t>9.</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慢性肝功能衰竭失代偿期：</w:t>
            </w:r>
          </w:p>
        </w:tc>
        <w:tc>
          <w:tcPr>
            <w:tcW w:w="7961" w:type="dxa"/>
          </w:tcPr>
          <w:p>
            <w:pPr>
              <w:pStyle w:val="TableParagraph"/>
              <w:spacing w:before="33"/>
              <w:rPr>
                <w:sz w:val="21"/>
              </w:rPr>
            </w:pPr>
            <w:r>
              <w:rPr>
                <w:sz w:val="21"/>
              </w:rPr>
              <w:t>指因慢性肝脏疾病导致肝功能衰竭。须满足下列全部条件：</w:t>
            </w:r>
          </w:p>
          <w:p>
            <w:pPr>
              <w:pStyle w:val="TableParagraph"/>
              <w:spacing w:before="25"/>
              <w:rPr>
                <w:sz w:val="21"/>
              </w:rPr>
            </w:pPr>
            <w:r>
              <w:rPr>
                <w:sz w:val="21"/>
              </w:rPr>
              <w:t>（</w:t>
            </w:r>
            <w:r>
              <w:rPr>
                <w:rFonts w:ascii="Times New Roman" w:eastAsia="Times New Roman"/>
                <w:sz w:val="21"/>
              </w:rPr>
              <w:t>1</w:t>
            </w:r>
            <w:r>
              <w:rPr>
                <w:sz w:val="21"/>
              </w:rPr>
              <w:t>）持续性黄疸；</w:t>
            </w:r>
          </w:p>
          <w:p>
            <w:pPr>
              <w:pStyle w:val="TableParagraph"/>
              <w:spacing w:before="9"/>
              <w:rPr>
                <w:sz w:val="21"/>
              </w:rPr>
            </w:pPr>
            <w:r>
              <w:rPr>
                <w:sz w:val="21"/>
              </w:rPr>
              <w:t>（</w:t>
            </w:r>
            <w:r>
              <w:rPr>
                <w:rFonts w:ascii="Times New Roman" w:eastAsia="Times New Roman"/>
                <w:sz w:val="21"/>
              </w:rPr>
              <w:t>2</w:t>
            </w:r>
            <w:r>
              <w:rPr>
                <w:sz w:val="21"/>
              </w:rPr>
              <w:t>）腹水；</w:t>
            </w:r>
          </w:p>
          <w:p>
            <w:pPr>
              <w:pStyle w:val="TableParagraph"/>
              <w:spacing w:before="9"/>
              <w:rPr>
                <w:sz w:val="21"/>
              </w:rPr>
            </w:pPr>
            <w:r>
              <w:rPr>
                <w:sz w:val="21"/>
              </w:rPr>
              <w:t>（</w:t>
            </w:r>
            <w:r>
              <w:rPr>
                <w:rFonts w:ascii="Times New Roman" w:eastAsia="Times New Roman"/>
                <w:sz w:val="21"/>
              </w:rPr>
              <w:t>3</w:t>
            </w:r>
            <w:r>
              <w:rPr>
                <w:sz w:val="21"/>
              </w:rPr>
              <w:t>）肝性脑病；</w:t>
            </w:r>
          </w:p>
          <w:p>
            <w:pPr>
              <w:pStyle w:val="TableParagraph"/>
              <w:spacing w:before="9"/>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before="9"/>
              <w:rPr>
                <w:sz w:val="21"/>
              </w:rPr>
            </w:pPr>
            <w:r>
              <w:rPr>
                <w:sz w:val="21"/>
              </w:rPr>
              <w:t>因酗酒或药物滥用导致的肝功能衰竭不在保障范围内。</w:t>
            </w:r>
          </w:p>
        </w:tc>
      </w:tr>
      <w:tr>
        <w:trPr>
          <w:trHeight w:val="1912" w:hRule="atLeast"/>
        </w:trPr>
        <w:tc>
          <w:tcPr>
            <w:tcW w:w="693" w:type="dxa"/>
          </w:tcPr>
          <w:p>
            <w:pPr>
              <w:pStyle w:val="TableParagraph"/>
              <w:spacing w:before="83"/>
              <w:ind w:left="181" w:right="209"/>
              <w:jc w:val="center"/>
              <w:rPr>
                <w:rFonts w:ascii="Times New Roman"/>
                <w:b/>
                <w:sz w:val="21"/>
              </w:rPr>
            </w:pPr>
            <w:r>
              <w:rPr>
                <w:rFonts w:ascii="Times New Roman"/>
                <w:b/>
                <w:sz w:val="21"/>
              </w:rPr>
              <w:t>10.</w:t>
            </w:r>
          </w:p>
        </w:tc>
        <w:tc>
          <w:tcPr>
            <w:tcW w:w="1381" w:type="dxa"/>
          </w:tcPr>
          <w:p>
            <w:pPr>
              <w:pStyle w:val="TableParagraph"/>
              <w:spacing w:line="199" w:lineRule="auto" w:before="33"/>
              <w:ind w:left="229" w:right="93"/>
              <w:rPr>
                <w:rFonts w:ascii="微软雅黑" w:eastAsia="微软雅黑" w:hint="eastAsia"/>
                <w:b/>
                <w:sz w:val="21"/>
              </w:rPr>
            </w:pPr>
            <w:r>
              <w:rPr>
                <w:rFonts w:ascii="微软雅黑" w:eastAsia="微软雅黑" w:hint="eastAsia"/>
                <w:b/>
                <w:sz w:val="21"/>
              </w:rPr>
              <w:t>脑 炎 后 遗 症 或 脑 膜 炎后遗症：</w:t>
            </w:r>
          </w:p>
        </w:tc>
        <w:tc>
          <w:tcPr>
            <w:tcW w:w="7961" w:type="dxa"/>
          </w:tcPr>
          <w:p>
            <w:pPr>
              <w:pStyle w:val="TableParagraph"/>
              <w:spacing w:line="261" w:lineRule="auto" w:before="33"/>
              <w:ind w:right="303"/>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310"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3" w:hRule="atLeast"/>
        </w:trPr>
        <w:tc>
          <w:tcPr>
            <w:tcW w:w="693" w:type="dxa"/>
          </w:tcPr>
          <w:p>
            <w:pPr>
              <w:pStyle w:val="TableParagraph"/>
              <w:spacing w:before="83"/>
              <w:ind w:left="181" w:right="209"/>
              <w:jc w:val="center"/>
              <w:rPr>
                <w:rFonts w:ascii="Times New Roman"/>
                <w:b/>
                <w:sz w:val="21"/>
              </w:rPr>
            </w:pPr>
            <w:r>
              <w:rPr>
                <w:rFonts w:ascii="Times New Roman"/>
                <w:b/>
                <w:sz w:val="21"/>
              </w:rPr>
              <w:t>11.</w:t>
            </w:r>
          </w:p>
        </w:tc>
        <w:tc>
          <w:tcPr>
            <w:tcW w:w="1381" w:type="dxa"/>
          </w:tcPr>
          <w:p>
            <w:pPr>
              <w:pStyle w:val="TableParagraph"/>
              <w:spacing w:line="334" w:lineRule="exact"/>
              <w:ind w:left="229"/>
              <w:rPr>
                <w:rFonts w:ascii="微软雅黑" w:eastAsia="微软雅黑" w:hint="eastAsia"/>
                <w:b/>
                <w:sz w:val="21"/>
              </w:rPr>
            </w:pPr>
            <w:r>
              <w:rPr>
                <w:rFonts w:ascii="微软雅黑" w:eastAsia="微软雅黑" w:hint="eastAsia"/>
                <w:b/>
                <w:sz w:val="21"/>
              </w:rPr>
              <w:t>深度昏迷：</w:t>
            </w:r>
          </w:p>
        </w:tc>
        <w:tc>
          <w:tcPr>
            <w:tcW w:w="7961" w:type="dxa"/>
          </w:tcPr>
          <w:p>
            <w:pPr>
              <w:pStyle w:val="TableParagraph"/>
              <w:spacing w:line="254" w:lineRule="auto" w:before="33"/>
              <w:ind w:right="197"/>
              <w:rPr>
                <w:sz w:val="21"/>
              </w:rPr>
            </w:pPr>
            <w:r>
              <w:rPr>
                <w:spacing w:val="-4"/>
                <w:sz w:val="21"/>
              </w:rPr>
              <w:t>指因意外伤害以外的原因或意外伤害导致意识丧失，对外界刺激和体内需求均无反</w:t>
            </w:r>
            <w:r>
              <w:rPr>
                <w:spacing w:val="-12"/>
                <w:sz w:val="21"/>
              </w:rPr>
              <w:t>应，昏迷程度按照格拉斯哥昏迷分级</w:t>
            </w:r>
            <w:r>
              <w:rPr>
                <w:sz w:val="21"/>
              </w:rPr>
              <w:t>（</w:t>
            </w:r>
            <w:r>
              <w:rPr>
                <w:rFonts w:ascii="Times New Roman" w:eastAsia="Times New Roman"/>
                <w:sz w:val="21"/>
              </w:rPr>
              <w:t>Glasgow</w:t>
            </w:r>
            <w:r>
              <w:rPr>
                <w:rFonts w:ascii="Times New Roman" w:eastAsia="Times New Roman"/>
                <w:spacing w:val="3"/>
                <w:sz w:val="21"/>
              </w:rPr>
              <w:t> </w:t>
            </w:r>
            <w:r>
              <w:rPr>
                <w:rFonts w:ascii="Times New Roman" w:eastAsia="Times New Roman"/>
                <w:sz w:val="21"/>
              </w:rPr>
              <w:t>coma</w:t>
            </w:r>
            <w:r>
              <w:rPr>
                <w:rFonts w:ascii="Times New Roman" w:eastAsia="Times New Roman"/>
                <w:spacing w:val="5"/>
                <w:sz w:val="21"/>
              </w:rPr>
              <w:t> </w:t>
            </w:r>
            <w:r>
              <w:rPr>
                <w:rFonts w:ascii="Times New Roman" w:eastAsia="Times New Roman"/>
                <w:spacing w:val="-10"/>
                <w:sz w:val="21"/>
              </w:rPr>
              <w:t>scale</w:t>
            </w:r>
            <w:r>
              <w:rPr>
                <w:spacing w:val="-10"/>
                <w:sz w:val="21"/>
              </w:rPr>
              <w:t>）</w:t>
            </w:r>
            <w:r>
              <w:rPr>
                <w:spacing w:val="-14"/>
                <w:sz w:val="21"/>
              </w:rPr>
              <w:t>结果为 </w:t>
            </w:r>
            <w:r>
              <w:rPr>
                <w:rFonts w:ascii="Times New Roman" w:eastAsia="Times New Roman"/>
                <w:sz w:val="21"/>
              </w:rPr>
              <w:t>5</w:t>
            </w:r>
            <w:r>
              <w:rPr>
                <w:rFonts w:ascii="Times New Roman" w:eastAsia="Times New Roman"/>
                <w:spacing w:val="5"/>
                <w:sz w:val="21"/>
              </w:rPr>
              <w:t> </w:t>
            </w:r>
            <w:r>
              <w:rPr>
                <w:spacing w:val="-18"/>
                <w:sz w:val="21"/>
              </w:rPr>
              <w:t>分或 </w:t>
            </w:r>
            <w:r>
              <w:rPr>
                <w:rFonts w:ascii="Times New Roman" w:eastAsia="Times New Roman"/>
                <w:sz w:val="21"/>
              </w:rPr>
              <w:t>5</w:t>
            </w:r>
            <w:r>
              <w:rPr>
                <w:rFonts w:ascii="Times New Roman" w:eastAsia="Times New Roman"/>
                <w:spacing w:val="1"/>
                <w:sz w:val="21"/>
              </w:rPr>
              <w:t> </w:t>
            </w:r>
            <w:r>
              <w:rPr>
                <w:spacing w:val="-2"/>
                <w:sz w:val="21"/>
              </w:rPr>
              <w:t>分以下， </w:t>
            </w:r>
            <w:r>
              <w:rPr>
                <w:spacing w:val="-5"/>
                <w:sz w:val="21"/>
              </w:rPr>
              <w:t>且已经持续使用呼吸机及其它生命维持系统 </w:t>
            </w:r>
            <w:r>
              <w:rPr>
                <w:rFonts w:ascii="Times New Roman" w:eastAsia="Times New Roman"/>
                <w:sz w:val="21"/>
              </w:rPr>
              <w:t>96</w:t>
            </w:r>
            <w:r>
              <w:rPr>
                <w:rFonts w:ascii="Times New Roman" w:eastAsia="Times New Roman"/>
                <w:spacing w:val="12"/>
                <w:sz w:val="21"/>
              </w:rPr>
              <w:t> </w:t>
            </w:r>
            <w:r>
              <w:rPr>
                <w:spacing w:val="-2"/>
                <w:sz w:val="21"/>
              </w:rPr>
              <w:t>小时以上。</w:t>
            </w:r>
          </w:p>
          <w:p>
            <w:pPr>
              <w:pStyle w:val="TableParagraph"/>
              <w:spacing w:line="270" w:lineRule="exact"/>
              <w:rPr>
                <w:sz w:val="21"/>
              </w:rPr>
            </w:pPr>
            <w:r>
              <w:rPr>
                <w:sz w:val="21"/>
              </w:rPr>
              <w:t>因酗酒或药物滥用导致的深度昏迷不在保障范围内。</w:t>
            </w:r>
          </w:p>
        </w:tc>
      </w:tr>
      <w:tr>
        <w:trPr>
          <w:trHeight w:val="1012" w:hRule="atLeast"/>
        </w:trPr>
        <w:tc>
          <w:tcPr>
            <w:tcW w:w="693" w:type="dxa"/>
          </w:tcPr>
          <w:p>
            <w:pPr>
              <w:pStyle w:val="TableParagraph"/>
              <w:spacing w:before="83"/>
              <w:ind w:left="181" w:right="209"/>
              <w:jc w:val="center"/>
              <w:rPr>
                <w:rFonts w:ascii="Times New Roman"/>
                <w:b/>
                <w:sz w:val="21"/>
              </w:rPr>
            </w:pPr>
            <w:r>
              <w:rPr>
                <w:rFonts w:ascii="Times New Roman"/>
                <w:b/>
                <w:sz w:val="21"/>
              </w:rPr>
              <w:t>12.</w:t>
            </w:r>
          </w:p>
        </w:tc>
        <w:tc>
          <w:tcPr>
            <w:tcW w:w="1381" w:type="dxa"/>
          </w:tcPr>
          <w:p>
            <w:pPr>
              <w:pStyle w:val="TableParagraph"/>
              <w:spacing w:line="334" w:lineRule="exact"/>
              <w:ind w:left="229"/>
              <w:rPr>
                <w:rFonts w:ascii="微软雅黑" w:eastAsia="微软雅黑" w:hint="eastAsia"/>
                <w:b/>
                <w:sz w:val="21"/>
              </w:rPr>
            </w:pPr>
            <w:r>
              <w:rPr>
                <w:rFonts w:ascii="微软雅黑" w:eastAsia="微软雅黑" w:hint="eastAsia"/>
                <w:b/>
                <w:sz w:val="21"/>
              </w:rPr>
              <w:t>双耳失聪：</w:t>
            </w:r>
          </w:p>
        </w:tc>
        <w:tc>
          <w:tcPr>
            <w:tcW w:w="7961" w:type="dxa"/>
          </w:tcPr>
          <w:p>
            <w:pPr>
              <w:pStyle w:val="TableParagraph"/>
              <w:spacing w:line="334" w:lineRule="exact"/>
              <w:rPr>
                <w:sz w:val="21"/>
              </w:rPr>
            </w:pPr>
            <w:r>
              <w:rPr>
                <w:sz w:val="21"/>
              </w:rPr>
              <w:t>指因意外伤害以外的原因或意外伤害导致双耳听力</w:t>
            </w:r>
            <w:r>
              <w:rPr>
                <w:rFonts w:ascii="微软雅黑" w:eastAsia="微软雅黑" w:hint="eastAsia"/>
                <w:b/>
                <w:sz w:val="21"/>
              </w:rPr>
              <w:t>永久不可逆</w:t>
            </w:r>
            <w:r>
              <w:rPr>
                <w:sz w:val="21"/>
              </w:rPr>
              <w:t>（注 </w:t>
            </w:r>
            <w:r>
              <w:rPr>
                <w:rFonts w:ascii="Times New Roman" w:eastAsia="Times New Roman"/>
                <w:sz w:val="21"/>
              </w:rPr>
              <w:t>5</w:t>
            </w:r>
            <w:r>
              <w:rPr>
                <w:sz w:val="21"/>
              </w:rPr>
              <w:t>）性丧失，在</w:t>
            </w:r>
          </w:p>
          <w:p>
            <w:pPr>
              <w:pStyle w:val="TableParagraph"/>
              <w:spacing w:line="247" w:lineRule="auto"/>
              <w:ind w:right="303"/>
              <w:rPr>
                <w:sz w:val="21"/>
              </w:rPr>
            </w:pPr>
            <w:r>
              <w:rPr>
                <w:rFonts w:ascii="Times New Roman" w:eastAsia="Times New Roman"/>
                <w:sz w:val="21"/>
              </w:rPr>
              <w:t>500 </w:t>
            </w:r>
            <w:r>
              <w:rPr>
                <w:spacing w:val="-2"/>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013" w:hRule="atLeast"/>
        </w:trPr>
        <w:tc>
          <w:tcPr>
            <w:tcW w:w="693" w:type="dxa"/>
          </w:tcPr>
          <w:p>
            <w:pPr>
              <w:pStyle w:val="TableParagraph"/>
              <w:spacing w:before="83"/>
              <w:ind w:left="181" w:right="209"/>
              <w:jc w:val="center"/>
              <w:rPr>
                <w:rFonts w:ascii="Times New Roman"/>
                <w:b/>
                <w:sz w:val="21"/>
              </w:rPr>
            </w:pPr>
            <w:r>
              <w:rPr>
                <w:rFonts w:ascii="Times New Roman"/>
                <w:b/>
                <w:sz w:val="21"/>
              </w:rPr>
              <w:t>13.</w:t>
            </w:r>
          </w:p>
        </w:tc>
        <w:tc>
          <w:tcPr>
            <w:tcW w:w="1381" w:type="dxa"/>
          </w:tcPr>
          <w:p>
            <w:pPr>
              <w:pStyle w:val="TableParagraph"/>
              <w:spacing w:line="334" w:lineRule="exact"/>
              <w:ind w:left="229"/>
              <w:rPr>
                <w:rFonts w:ascii="微软雅黑" w:eastAsia="微软雅黑" w:hint="eastAsia"/>
                <w:b/>
                <w:sz w:val="21"/>
              </w:rPr>
            </w:pPr>
            <w:r>
              <w:rPr>
                <w:rFonts w:ascii="微软雅黑" w:eastAsia="微软雅黑" w:hint="eastAsia"/>
                <w:b/>
                <w:sz w:val="21"/>
              </w:rPr>
              <w:t>瘫痪：</w:t>
            </w:r>
          </w:p>
        </w:tc>
        <w:tc>
          <w:tcPr>
            <w:tcW w:w="7961" w:type="dxa"/>
          </w:tcPr>
          <w:p>
            <w:pPr>
              <w:pStyle w:val="TableParagraph"/>
              <w:spacing w:line="254" w:lineRule="auto" w:before="33"/>
              <w:ind w:right="296"/>
              <w:jc w:val="both"/>
              <w:rPr>
                <w:sz w:val="21"/>
              </w:rPr>
            </w:pPr>
            <w:r>
              <w:rPr>
                <w:spacing w:val="-3"/>
                <w:sz w:val="21"/>
              </w:rPr>
              <w:t>指因意外伤害以外的原因或意外伤害导致两肢或两肢以上肢体机能永久完全丧失。</w:t>
            </w:r>
            <w:r>
              <w:rPr>
                <w:spacing w:val="-7"/>
                <w:sz w:val="21"/>
              </w:rPr>
              <w:t>肢体机能永久完全丧失，指疾病确诊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4" w:hRule="atLeast"/>
        </w:trPr>
        <w:tc>
          <w:tcPr>
            <w:tcW w:w="693" w:type="dxa"/>
          </w:tcPr>
          <w:p>
            <w:pPr>
              <w:pStyle w:val="TableParagraph"/>
              <w:spacing w:before="84"/>
              <w:ind w:left="181" w:right="209"/>
              <w:jc w:val="center"/>
              <w:rPr>
                <w:rFonts w:ascii="Times New Roman"/>
                <w:b/>
                <w:sz w:val="21"/>
              </w:rPr>
            </w:pPr>
            <w:r>
              <w:rPr>
                <w:rFonts w:ascii="Times New Roman"/>
                <w:b/>
                <w:sz w:val="21"/>
              </w:rPr>
              <w:t>14.</w:t>
            </w:r>
          </w:p>
        </w:tc>
        <w:tc>
          <w:tcPr>
            <w:tcW w:w="1381" w:type="dxa"/>
          </w:tcPr>
          <w:p>
            <w:pPr>
              <w:pStyle w:val="TableParagraph"/>
              <w:spacing w:line="199" w:lineRule="auto" w:before="34"/>
              <w:ind w:left="229" w:right="304"/>
              <w:rPr>
                <w:rFonts w:ascii="微软雅黑" w:eastAsia="微软雅黑" w:hint="eastAsia"/>
                <w:b/>
                <w:sz w:val="21"/>
              </w:rPr>
            </w:pPr>
            <w:r>
              <w:rPr>
                <w:rFonts w:ascii="微软雅黑" w:eastAsia="微软雅黑" w:hint="eastAsia"/>
                <w:b/>
                <w:sz w:val="21"/>
              </w:rPr>
              <w:t>心脏瓣膜手术：</w:t>
            </w:r>
          </w:p>
        </w:tc>
        <w:tc>
          <w:tcPr>
            <w:tcW w:w="7961" w:type="dxa"/>
          </w:tcPr>
          <w:p>
            <w:pPr>
              <w:pStyle w:val="TableParagraph"/>
              <w:spacing w:before="35"/>
              <w:rPr>
                <w:sz w:val="21"/>
              </w:rPr>
            </w:pPr>
            <w:r>
              <w:rPr>
                <w:sz w:val="21"/>
              </w:rPr>
              <w:t>指为治疗心脏瓣膜疾病，实际实施了开胸进行的心脏瓣膜置换或修复的手术。</w:t>
            </w:r>
          </w:p>
        </w:tc>
      </w:tr>
      <w:tr>
        <w:trPr>
          <w:trHeight w:val="1913" w:hRule="atLeast"/>
        </w:trPr>
        <w:tc>
          <w:tcPr>
            <w:tcW w:w="693" w:type="dxa"/>
          </w:tcPr>
          <w:p>
            <w:pPr>
              <w:pStyle w:val="TableParagraph"/>
              <w:spacing w:before="83"/>
              <w:ind w:left="181" w:right="209"/>
              <w:jc w:val="center"/>
              <w:rPr>
                <w:rFonts w:ascii="Times New Roman"/>
                <w:b/>
                <w:sz w:val="21"/>
              </w:rPr>
            </w:pPr>
            <w:r>
              <w:rPr>
                <w:rFonts w:ascii="Times New Roman"/>
                <w:b/>
                <w:sz w:val="21"/>
              </w:rPr>
              <w:t>15.</w:t>
            </w:r>
          </w:p>
        </w:tc>
        <w:tc>
          <w:tcPr>
            <w:tcW w:w="1381" w:type="dxa"/>
          </w:tcPr>
          <w:p>
            <w:pPr>
              <w:pStyle w:val="TableParagraph"/>
              <w:spacing w:line="199" w:lineRule="auto" w:before="33"/>
              <w:ind w:left="229" w:right="93"/>
              <w:rPr>
                <w:rFonts w:ascii="微软雅黑" w:eastAsia="微软雅黑" w:hint="eastAsia"/>
                <w:b/>
                <w:sz w:val="21"/>
              </w:rPr>
            </w:pPr>
            <w:r>
              <w:rPr>
                <w:rFonts w:ascii="微软雅黑" w:eastAsia="微软雅黑" w:hint="eastAsia"/>
                <w:b/>
                <w:sz w:val="21"/>
              </w:rPr>
              <w:t>严 重 阿 尔 茨海默病：</w:t>
            </w:r>
          </w:p>
        </w:tc>
        <w:tc>
          <w:tcPr>
            <w:tcW w:w="7961" w:type="dxa"/>
          </w:tcPr>
          <w:p>
            <w:pPr>
              <w:pStyle w:val="TableParagraph"/>
              <w:spacing w:line="259" w:lineRule="auto" w:before="34"/>
              <w:ind w:right="303"/>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8"/>
              <w:jc w:val="both"/>
              <w:rPr>
                <w:sz w:val="21"/>
              </w:rPr>
            </w:pPr>
            <w:r>
              <w:rPr>
                <w:sz w:val="21"/>
              </w:rPr>
              <w:t>神经官能症和精神疾病不在保障范围内。</w:t>
            </w:r>
          </w:p>
        </w:tc>
      </w:tr>
      <w:tr>
        <w:trPr>
          <w:trHeight w:val="331" w:hRule="atLeast"/>
        </w:trPr>
        <w:tc>
          <w:tcPr>
            <w:tcW w:w="693" w:type="dxa"/>
          </w:tcPr>
          <w:p>
            <w:pPr>
              <w:pStyle w:val="TableParagraph"/>
              <w:spacing w:line="228" w:lineRule="exact" w:before="83"/>
              <w:ind w:left="181" w:right="209"/>
              <w:jc w:val="center"/>
              <w:rPr>
                <w:rFonts w:ascii="Times New Roman"/>
                <w:b/>
                <w:sz w:val="21"/>
              </w:rPr>
            </w:pPr>
            <w:r>
              <w:rPr>
                <w:rFonts w:ascii="Times New Roman"/>
                <w:b/>
                <w:sz w:val="21"/>
              </w:rPr>
              <w:t>16.</w:t>
            </w:r>
          </w:p>
        </w:tc>
        <w:tc>
          <w:tcPr>
            <w:tcW w:w="1381" w:type="dxa"/>
          </w:tcPr>
          <w:p>
            <w:pPr>
              <w:pStyle w:val="TableParagraph"/>
              <w:spacing w:line="311" w:lineRule="exact"/>
              <w:ind w:left="229"/>
              <w:rPr>
                <w:rFonts w:ascii="微软雅黑" w:eastAsia="微软雅黑" w:hint="eastAsia"/>
                <w:b/>
                <w:sz w:val="21"/>
              </w:rPr>
            </w:pPr>
            <w:r>
              <w:rPr>
                <w:rFonts w:ascii="微软雅黑" w:eastAsia="微软雅黑" w:hint="eastAsia"/>
                <w:b/>
                <w:sz w:val="21"/>
              </w:rPr>
              <w:t>严重脑损</w:t>
            </w:r>
          </w:p>
        </w:tc>
        <w:tc>
          <w:tcPr>
            <w:tcW w:w="7961" w:type="dxa"/>
          </w:tcPr>
          <w:p>
            <w:pPr>
              <w:pStyle w:val="TableParagraph"/>
              <w:spacing w:before="33"/>
              <w:rPr>
                <w:sz w:val="21"/>
              </w:rPr>
            </w:pPr>
            <w:r>
              <w:rPr>
                <w:sz w:val="21"/>
              </w:rPr>
              <w:t>指因头部遭受机械性外力，引起脑重要部位损伤，导致神经系统永久性的功能障碍。</w:t>
            </w:r>
          </w:p>
        </w:tc>
      </w:tr>
    </w:tbl>
    <w:p>
      <w:pPr>
        <w:spacing w:after="0"/>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58"/>
      </w:tblGrid>
      <w:tr>
        <w:trPr>
          <w:trHeight w:val="2115" w:hRule="atLeast"/>
        </w:trPr>
        <w:tc>
          <w:tcPr>
            <w:tcW w:w="693" w:type="dxa"/>
          </w:tcPr>
          <w:p>
            <w:pPr>
              <w:pStyle w:val="TableParagraph"/>
              <w:ind w:left="0"/>
              <w:rPr>
                <w:rFonts w:ascii="Times New Roman"/>
                <w:sz w:val="20"/>
              </w:rPr>
            </w:pPr>
          </w:p>
        </w:tc>
        <w:tc>
          <w:tcPr>
            <w:tcW w:w="1381" w:type="dxa"/>
          </w:tcPr>
          <w:p>
            <w:pPr>
              <w:pStyle w:val="TableParagraph"/>
              <w:spacing w:line="237" w:lineRule="exact"/>
              <w:ind w:left="229"/>
              <w:rPr>
                <w:rFonts w:ascii="微软雅黑" w:eastAsia="微软雅黑" w:hint="eastAsia"/>
                <w:b/>
                <w:sz w:val="21"/>
              </w:rPr>
            </w:pPr>
            <w:r>
              <w:rPr>
                <w:rFonts w:ascii="微软雅黑" w:eastAsia="微软雅黑" w:hint="eastAsia"/>
                <w:b/>
                <w:sz w:val="21"/>
              </w:rPr>
              <w:t>伤：</w:t>
            </w:r>
          </w:p>
        </w:tc>
        <w:tc>
          <w:tcPr>
            <w:tcW w:w="7958" w:type="dxa"/>
          </w:tcPr>
          <w:p>
            <w:pPr>
              <w:pStyle w:val="TableParagraph"/>
              <w:spacing w:line="227" w:lineRule="exact"/>
              <w:rPr>
                <w:sz w:val="21"/>
              </w:rPr>
            </w:pPr>
            <w:r>
              <w:rPr>
                <w:sz w:val="21"/>
              </w:rPr>
              <w:t>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w:t>
            </w:r>
          </w:p>
          <w:p>
            <w:pPr>
              <w:pStyle w:val="TableParagraph"/>
              <w:spacing w:line="247" w:lineRule="auto" w:before="9"/>
              <w:ind w:right="243"/>
              <w:rPr>
                <w:sz w:val="21"/>
              </w:rPr>
            </w:pPr>
            <w:r>
              <w:rPr>
                <w:sz w:val="21"/>
              </w:rPr>
              <w:t>等影像学检查证实。神经系统永久性的功能障碍，指脑损伤 </w:t>
            </w:r>
            <w:r>
              <w:rPr>
                <w:rFonts w:ascii="Times New Roman" w:eastAsia="Times New Roman"/>
                <w:sz w:val="21"/>
              </w:rPr>
              <w:t>180 </w:t>
            </w:r>
            <w:r>
              <w:rPr>
                <w:sz w:val="21"/>
              </w:rPr>
              <w:t>天后，仍遗留下列一种或一种以上障碍：</w:t>
            </w:r>
          </w:p>
          <w:p>
            <w:pPr>
              <w:pStyle w:val="TableParagraph"/>
              <w:spacing w:before="18"/>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621" w:right="308"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3" w:hRule="atLeast"/>
        </w:trPr>
        <w:tc>
          <w:tcPr>
            <w:tcW w:w="693" w:type="dxa"/>
          </w:tcPr>
          <w:p>
            <w:pPr>
              <w:pStyle w:val="TableParagraph"/>
              <w:spacing w:before="83"/>
              <w:ind w:left="181" w:right="209"/>
              <w:jc w:val="center"/>
              <w:rPr>
                <w:rFonts w:ascii="Times New Roman"/>
                <w:b/>
                <w:sz w:val="21"/>
              </w:rPr>
            </w:pPr>
            <w:r>
              <w:rPr>
                <w:rFonts w:ascii="Times New Roman"/>
                <w:b/>
                <w:sz w:val="21"/>
              </w:rPr>
              <w:t>17.</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严重帕金森病：</w:t>
            </w:r>
          </w:p>
        </w:tc>
        <w:tc>
          <w:tcPr>
            <w:tcW w:w="7958" w:type="dxa"/>
          </w:tcPr>
          <w:p>
            <w:pPr>
              <w:pStyle w:val="TableParagraph"/>
              <w:spacing w:line="261" w:lineRule="auto" w:before="33"/>
              <w:ind w:right="300"/>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left="621" w:right="300"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rPr>
                <w:sz w:val="21"/>
              </w:rPr>
            </w:pPr>
            <w:r>
              <w:rPr>
                <w:sz w:val="21"/>
              </w:rPr>
              <w:t>继发性帕金森综合征不在保障范围内。</w:t>
            </w:r>
          </w:p>
        </w:tc>
      </w:tr>
      <w:tr>
        <w:trPr>
          <w:trHeight w:val="713" w:hRule="atLeast"/>
        </w:trPr>
        <w:tc>
          <w:tcPr>
            <w:tcW w:w="693" w:type="dxa"/>
          </w:tcPr>
          <w:p>
            <w:pPr>
              <w:pStyle w:val="TableParagraph"/>
              <w:spacing w:before="83"/>
              <w:ind w:left="181" w:right="209"/>
              <w:jc w:val="center"/>
              <w:rPr>
                <w:rFonts w:ascii="Times New Roman"/>
                <w:b/>
                <w:sz w:val="21"/>
              </w:rPr>
            </w:pPr>
            <w:r>
              <w:rPr>
                <w:rFonts w:ascii="Times New Roman"/>
                <w:b/>
                <w:sz w:val="21"/>
              </w:rPr>
              <w:t>18.</w:t>
            </w:r>
          </w:p>
        </w:tc>
        <w:tc>
          <w:tcPr>
            <w:tcW w:w="1381" w:type="dxa"/>
          </w:tcPr>
          <w:p>
            <w:pPr>
              <w:pStyle w:val="TableParagraph"/>
              <w:spacing w:line="199" w:lineRule="auto" w:before="33"/>
              <w:ind w:left="229" w:right="304"/>
              <w:rPr>
                <w:rFonts w:ascii="微软雅黑" w:hAnsi="微软雅黑" w:eastAsia="微软雅黑" w:hint="eastAsia"/>
                <w:b/>
                <w:sz w:val="21"/>
              </w:rPr>
            </w:pPr>
            <w:r>
              <w:rPr>
                <w:rFonts w:ascii="微软雅黑" w:hAnsi="微软雅黑" w:eastAsia="微软雅黑" w:hint="eastAsia"/>
                <w:b/>
                <w:sz w:val="21"/>
              </w:rPr>
              <w:t>严重Ⅲ度烧伤：</w:t>
            </w:r>
          </w:p>
        </w:tc>
        <w:tc>
          <w:tcPr>
            <w:tcW w:w="7958" w:type="dxa"/>
          </w:tcPr>
          <w:p>
            <w:pPr>
              <w:pStyle w:val="TableParagraph"/>
              <w:spacing w:line="247" w:lineRule="auto" w:before="34"/>
              <w:ind w:right="259"/>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％以上。体表面积根据《中国新九分法》计算。</w:t>
            </w:r>
          </w:p>
        </w:tc>
      </w:tr>
      <w:tr>
        <w:trPr>
          <w:trHeight w:val="1020" w:hRule="atLeast"/>
        </w:trPr>
        <w:tc>
          <w:tcPr>
            <w:tcW w:w="693" w:type="dxa"/>
          </w:tcPr>
          <w:p>
            <w:pPr>
              <w:pStyle w:val="TableParagraph"/>
              <w:spacing w:before="83"/>
              <w:ind w:left="181" w:right="209"/>
              <w:jc w:val="center"/>
              <w:rPr>
                <w:rFonts w:ascii="Times New Roman"/>
                <w:b/>
                <w:sz w:val="21"/>
              </w:rPr>
            </w:pPr>
            <w:r>
              <w:rPr>
                <w:rFonts w:ascii="Times New Roman"/>
                <w:b/>
                <w:sz w:val="21"/>
              </w:rPr>
              <w:t>19.</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严重原发性肺动脉高压：</w:t>
            </w:r>
          </w:p>
        </w:tc>
        <w:tc>
          <w:tcPr>
            <w:tcW w:w="7958" w:type="dxa"/>
          </w:tcPr>
          <w:p>
            <w:pPr>
              <w:pStyle w:val="TableParagraph"/>
              <w:spacing w:line="254" w:lineRule="auto" w:before="33"/>
              <w:ind w:right="197"/>
              <w:rPr>
                <w:sz w:val="21"/>
              </w:rPr>
            </w:pPr>
            <w:r>
              <w:rPr>
                <w:spacing w:val="-4"/>
                <w:sz w:val="21"/>
              </w:rPr>
              <w:t>指不明原因的肺动脉压力持续性增高，进行性发展而导致的慢性疾病，已经造成永</w:t>
            </w:r>
            <w:r>
              <w:rPr>
                <w:spacing w:val="-6"/>
                <w:sz w:val="21"/>
              </w:rPr>
              <w:t>久不可逆性的体力活动能力受限，达到美国纽约心脏病学会心功能状态分级 </w:t>
            </w:r>
            <w:r>
              <w:rPr>
                <w:rFonts w:ascii="Times New Roman" w:eastAsia="Times New Roman"/>
                <w:sz w:val="21"/>
              </w:rPr>
              <w:t>IV </w:t>
            </w:r>
            <w:r>
              <w:rPr>
                <w:spacing w:val="-3"/>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4" w:hRule="atLeast"/>
        </w:trPr>
        <w:tc>
          <w:tcPr>
            <w:tcW w:w="693" w:type="dxa"/>
          </w:tcPr>
          <w:p>
            <w:pPr>
              <w:pStyle w:val="TableParagraph"/>
              <w:spacing w:before="75"/>
              <w:ind w:left="181" w:right="209"/>
              <w:jc w:val="center"/>
              <w:rPr>
                <w:rFonts w:ascii="Times New Roman"/>
                <w:b/>
                <w:sz w:val="21"/>
              </w:rPr>
            </w:pPr>
            <w:r>
              <w:rPr>
                <w:rFonts w:ascii="Times New Roman"/>
                <w:b/>
                <w:sz w:val="21"/>
              </w:rPr>
              <w:t>20.</w:t>
            </w:r>
          </w:p>
        </w:tc>
        <w:tc>
          <w:tcPr>
            <w:tcW w:w="1381" w:type="dxa"/>
          </w:tcPr>
          <w:p>
            <w:pPr>
              <w:pStyle w:val="TableParagraph"/>
              <w:spacing w:line="199" w:lineRule="auto" w:before="25"/>
              <w:ind w:left="229" w:right="93"/>
              <w:rPr>
                <w:rFonts w:ascii="微软雅黑" w:eastAsia="微软雅黑" w:hint="eastAsia"/>
                <w:b/>
                <w:sz w:val="21"/>
              </w:rPr>
            </w:pPr>
            <w:r>
              <w:rPr>
                <w:rFonts w:ascii="微软雅黑" w:eastAsia="微软雅黑" w:hint="eastAsia"/>
                <w:b/>
                <w:sz w:val="21"/>
              </w:rPr>
              <w:t>严 重 运 动 神经元病：</w:t>
            </w:r>
          </w:p>
        </w:tc>
        <w:tc>
          <w:tcPr>
            <w:tcW w:w="7958" w:type="dxa"/>
          </w:tcPr>
          <w:p>
            <w:pPr>
              <w:pStyle w:val="TableParagraph"/>
              <w:spacing w:line="261" w:lineRule="auto" w:before="25"/>
              <w:ind w:right="30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693" w:type="dxa"/>
          </w:tcPr>
          <w:p>
            <w:pPr>
              <w:pStyle w:val="TableParagraph"/>
              <w:spacing w:before="83"/>
              <w:ind w:left="181" w:right="209"/>
              <w:jc w:val="center"/>
              <w:rPr>
                <w:rFonts w:ascii="Times New Roman"/>
                <w:b/>
                <w:sz w:val="21"/>
              </w:rPr>
            </w:pPr>
            <w:r>
              <w:rPr>
                <w:rFonts w:ascii="Times New Roman"/>
                <w:b/>
                <w:sz w:val="21"/>
              </w:rPr>
              <w:t>21.</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语言能力丧失：</w:t>
            </w:r>
          </w:p>
        </w:tc>
        <w:tc>
          <w:tcPr>
            <w:tcW w:w="7958" w:type="dxa"/>
          </w:tcPr>
          <w:p>
            <w:pPr>
              <w:pStyle w:val="TableParagraph"/>
              <w:spacing w:before="33"/>
              <w:rPr>
                <w:rFonts w:ascii="Times New Roman" w:eastAsia="Times New Roman"/>
                <w:sz w:val="21"/>
              </w:rPr>
            </w:pPr>
            <w:r>
              <w:rPr>
                <w:sz w:val="21"/>
              </w:rPr>
              <w:t>指因意外伤害以外的原因或意外伤害导致完全丧失语言能力，经过积极治疗至少 </w:t>
            </w:r>
            <w:r>
              <w:rPr>
                <w:rFonts w:ascii="Times New Roman" w:eastAsia="Times New Roman"/>
                <w:sz w:val="21"/>
              </w:rPr>
              <w:t>12</w:t>
            </w:r>
          </w:p>
          <w:p>
            <w:pPr>
              <w:pStyle w:val="TableParagraph"/>
              <w:spacing w:before="8"/>
              <w:rPr>
                <w:sz w:val="21"/>
              </w:rPr>
            </w:pPr>
            <w:r>
              <w:rPr>
                <w:sz w:val="21"/>
              </w:rPr>
              <w:t>个月（声带完全切除不受此时间限制），仍无法通过现有医疗手段恢复。</w:t>
            </w:r>
          </w:p>
          <w:p>
            <w:pPr>
              <w:pStyle w:val="TableParagraph"/>
              <w:spacing w:before="24"/>
              <w:rPr>
                <w:sz w:val="21"/>
              </w:rPr>
            </w:pPr>
            <w:r>
              <w:rPr>
                <w:sz w:val="21"/>
              </w:rPr>
              <w:t>精神心理因素所致的语言能力丧失不在保障范围内。</w:t>
            </w:r>
          </w:p>
        </w:tc>
      </w:tr>
      <w:tr>
        <w:trPr>
          <w:trHeight w:val="2222" w:hRule="atLeast"/>
        </w:trPr>
        <w:tc>
          <w:tcPr>
            <w:tcW w:w="693" w:type="dxa"/>
          </w:tcPr>
          <w:p>
            <w:pPr>
              <w:pStyle w:val="TableParagraph"/>
              <w:spacing w:before="83"/>
              <w:ind w:left="181" w:right="209"/>
              <w:jc w:val="center"/>
              <w:rPr>
                <w:rFonts w:ascii="Times New Roman"/>
                <w:b/>
                <w:sz w:val="21"/>
              </w:rPr>
            </w:pPr>
            <w:r>
              <w:rPr>
                <w:rFonts w:ascii="Times New Roman"/>
                <w:b/>
                <w:sz w:val="21"/>
              </w:rPr>
              <w:t>22.</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重型再生障碍性贫血：</w:t>
            </w:r>
          </w:p>
        </w:tc>
        <w:tc>
          <w:tcPr>
            <w:tcW w:w="7958" w:type="dxa"/>
          </w:tcPr>
          <w:p>
            <w:pPr>
              <w:pStyle w:val="TableParagraph"/>
              <w:spacing w:line="261" w:lineRule="auto" w:before="34"/>
              <w:ind w:right="301"/>
              <w:rPr>
                <w:sz w:val="21"/>
              </w:rPr>
            </w:pPr>
            <w:r>
              <w:rPr>
                <w:sz w:val="21"/>
              </w:rPr>
              <w:t>指因骨髓造血功能慢性持续性衰竭导致的贫血、中性粒细胞减少及血小板减少。须满足下列全部条件：</w:t>
            </w:r>
          </w:p>
          <w:p>
            <w:pPr>
              <w:pStyle w:val="TableParagraph"/>
              <w:spacing w:before="6"/>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16"/>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rFonts w:ascii="Times New Roman" w:hAnsi="Times New Roman" w:eastAsia="Times New Roman"/>
                <w:sz w:val="21"/>
              </w:rPr>
              <w:t>/L  </w:t>
            </w:r>
            <w:r>
              <w:rPr>
                <w:sz w:val="21"/>
              </w:rPr>
              <w:t>；</w:t>
            </w:r>
          </w:p>
          <w:p>
            <w:pPr>
              <w:pStyle w:val="TableParagraph"/>
              <w:spacing w:before="9"/>
              <w:ind w:left="516"/>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6"/>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rFonts w:ascii="Times New Roman" w:hAnsi="Times New Roman" w:eastAsia="Times New Roman"/>
                <w:sz w:val="21"/>
              </w:rPr>
              <w:t>/L</w:t>
            </w:r>
            <w:r>
              <w:rPr>
                <w:sz w:val="21"/>
              </w:rPr>
              <w:t>。</w:t>
            </w:r>
          </w:p>
        </w:tc>
      </w:tr>
      <w:tr>
        <w:trPr>
          <w:trHeight w:val="1306" w:hRule="atLeast"/>
        </w:trPr>
        <w:tc>
          <w:tcPr>
            <w:tcW w:w="693" w:type="dxa"/>
          </w:tcPr>
          <w:p>
            <w:pPr>
              <w:pStyle w:val="TableParagraph"/>
              <w:spacing w:before="76"/>
              <w:ind w:left="181" w:right="209"/>
              <w:jc w:val="center"/>
              <w:rPr>
                <w:rFonts w:ascii="Times New Roman"/>
                <w:b/>
                <w:sz w:val="21"/>
              </w:rPr>
            </w:pPr>
            <w:r>
              <w:rPr>
                <w:rFonts w:ascii="Times New Roman"/>
                <w:b/>
                <w:sz w:val="21"/>
              </w:rPr>
              <w:t>23.</w:t>
            </w:r>
          </w:p>
        </w:tc>
        <w:tc>
          <w:tcPr>
            <w:tcW w:w="1381" w:type="dxa"/>
          </w:tcPr>
          <w:p>
            <w:pPr>
              <w:pStyle w:val="TableParagraph"/>
              <w:spacing w:line="199" w:lineRule="auto" w:before="26"/>
              <w:ind w:left="229" w:right="304"/>
              <w:rPr>
                <w:rFonts w:ascii="微软雅黑" w:eastAsia="微软雅黑" w:hint="eastAsia"/>
                <w:b/>
                <w:sz w:val="21"/>
              </w:rPr>
            </w:pPr>
            <w:r>
              <w:rPr>
                <w:rFonts w:ascii="微软雅黑" w:eastAsia="微软雅黑" w:hint="eastAsia"/>
                <w:b/>
                <w:sz w:val="21"/>
              </w:rPr>
              <w:t>主动脉手术：</w:t>
            </w:r>
          </w:p>
        </w:tc>
        <w:tc>
          <w:tcPr>
            <w:tcW w:w="7958" w:type="dxa"/>
          </w:tcPr>
          <w:p>
            <w:pPr>
              <w:pStyle w:val="TableParagraph"/>
              <w:spacing w:line="261" w:lineRule="auto" w:before="27"/>
              <w:ind w:right="30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jc w:val="both"/>
              <w:rPr>
                <w:sz w:val="21"/>
              </w:rPr>
            </w:pPr>
            <w:r>
              <w:rPr>
                <w:sz w:val="21"/>
              </w:rPr>
              <w:t>动脉内血管成形术不在保障范围内。</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24.</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终末期肺病：</w:t>
            </w:r>
          </w:p>
        </w:tc>
        <w:tc>
          <w:tcPr>
            <w:tcW w:w="7958" w:type="dxa"/>
          </w:tcPr>
          <w:p>
            <w:pPr>
              <w:pStyle w:val="TableParagraph"/>
              <w:spacing w:line="261" w:lineRule="auto" w:before="33"/>
              <w:ind w:right="304"/>
              <w:rPr>
                <w:sz w:val="21"/>
              </w:rPr>
            </w:pPr>
            <w:r>
              <w:rPr>
                <w:sz w:val="21"/>
              </w:rPr>
              <w:t>指被保险人必须由我们认可的医院的呼吸科专科医师确诊患有慢性终末期肺病而出现慢性呼吸功能衰竭，必须满足以下所有条件：</w:t>
            </w:r>
          </w:p>
          <w:p>
            <w:pPr>
              <w:pStyle w:val="TableParagraph"/>
              <w:spacing w:line="318" w:lineRule="exact" w:before="5"/>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3" w:lineRule="exact"/>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10"/>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9"/>
              <w:rPr>
                <w:sz w:val="21"/>
              </w:rPr>
            </w:pPr>
            <w:r>
              <w:rPr>
                <w:sz w:val="21"/>
              </w:rPr>
              <w:t>（</w:t>
            </w:r>
            <w:r>
              <w:rPr>
                <w:rFonts w:ascii="Times New Roman" w:eastAsia="Times New Roman"/>
                <w:sz w:val="21"/>
              </w:rPr>
              <w:t>4</w:t>
            </w:r>
            <w:r>
              <w:rPr>
                <w:sz w:val="21"/>
              </w:rPr>
              <w:t>）休息时出现呼吸困难。</w:t>
            </w:r>
          </w:p>
        </w:tc>
      </w:tr>
      <w:tr>
        <w:trPr>
          <w:trHeight w:val="607" w:hRule="atLeast"/>
        </w:trPr>
        <w:tc>
          <w:tcPr>
            <w:tcW w:w="693" w:type="dxa"/>
          </w:tcPr>
          <w:p>
            <w:pPr>
              <w:pStyle w:val="TableParagraph"/>
              <w:spacing w:before="75"/>
              <w:ind w:left="181" w:right="209"/>
              <w:jc w:val="center"/>
              <w:rPr>
                <w:rFonts w:ascii="Times New Roman"/>
                <w:b/>
                <w:sz w:val="21"/>
              </w:rPr>
            </w:pPr>
            <w:r>
              <w:rPr>
                <w:rFonts w:ascii="Times New Roman"/>
                <w:b/>
                <w:sz w:val="21"/>
              </w:rPr>
              <w:t>25.</w:t>
            </w:r>
          </w:p>
        </w:tc>
        <w:tc>
          <w:tcPr>
            <w:tcW w:w="1381" w:type="dxa"/>
          </w:tcPr>
          <w:p>
            <w:pPr>
              <w:pStyle w:val="TableParagraph"/>
              <w:spacing w:line="300" w:lineRule="exact" w:before="31"/>
              <w:ind w:left="229" w:right="304"/>
              <w:rPr>
                <w:rFonts w:ascii="微软雅黑" w:eastAsia="微软雅黑" w:hint="eastAsia"/>
                <w:b/>
                <w:sz w:val="21"/>
              </w:rPr>
            </w:pPr>
            <w:r>
              <w:rPr>
                <w:rFonts w:ascii="微软雅黑" w:eastAsia="微软雅黑" w:hint="eastAsia"/>
                <w:b/>
                <w:sz w:val="21"/>
              </w:rPr>
              <w:t>肌营养不良症：</w:t>
            </w:r>
          </w:p>
        </w:tc>
        <w:tc>
          <w:tcPr>
            <w:tcW w:w="7958" w:type="dxa"/>
          </w:tcPr>
          <w:p>
            <w:pPr>
              <w:pStyle w:val="TableParagraph"/>
              <w:spacing w:line="300" w:lineRule="atLeast"/>
              <w:ind w:right="300"/>
              <w:rPr>
                <w:sz w:val="21"/>
              </w:rPr>
            </w:pPr>
            <w:r>
              <w:rPr>
                <w:sz w:val="21"/>
              </w:rPr>
              <w:t>是一组遗传性肌肉变性性病变，临床特征为与神经系统无关的骨骼肌对称地进行性无力和萎缩，其诊断需同时符合以下条件：</w:t>
            </w:r>
          </w:p>
        </w:tc>
      </w:tr>
    </w:tbl>
    <w:p>
      <w:pPr>
        <w:spacing w:after="0" w:line="300" w:lineRule="atLeast"/>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58"/>
      </w:tblGrid>
      <w:tr>
        <w:trPr>
          <w:trHeight w:val="1215" w:hRule="atLeast"/>
        </w:trPr>
        <w:tc>
          <w:tcPr>
            <w:tcW w:w="693" w:type="dxa"/>
          </w:tcPr>
          <w:p>
            <w:pPr>
              <w:pStyle w:val="TableParagraph"/>
              <w:ind w:left="0"/>
              <w:rPr>
                <w:rFonts w:ascii="Times New Roman"/>
                <w:sz w:val="20"/>
              </w:rPr>
            </w:pPr>
          </w:p>
        </w:tc>
        <w:tc>
          <w:tcPr>
            <w:tcW w:w="1381" w:type="dxa"/>
          </w:tcPr>
          <w:p>
            <w:pPr>
              <w:pStyle w:val="TableParagraph"/>
              <w:ind w:left="0"/>
              <w:rPr>
                <w:rFonts w:ascii="Times New Roman"/>
                <w:sz w:val="20"/>
              </w:rPr>
            </w:pPr>
          </w:p>
        </w:tc>
        <w:tc>
          <w:tcPr>
            <w:tcW w:w="7958" w:type="dxa"/>
          </w:tcPr>
          <w:p>
            <w:pPr>
              <w:pStyle w:val="TableParagraph"/>
              <w:spacing w:line="227" w:lineRule="exact"/>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9"/>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8"/>
              <w:ind w:left="621" w:right="308" w:hanging="526"/>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012" w:hRule="atLeast"/>
        </w:trPr>
        <w:tc>
          <w:tcPr>
            <w:tcW w:w="693" w:type="dxa"/>
          </w:tcPr>
          <w:p>
            <w:pPr>
              <w:pStyle w:val="TableParagraph"/>
              <w:spacing w:before="83"/>
              <w:ind w:left="181" w:right="209"/>
              <w:jc w:val="center"/>
              <w:rPr>
                <w:rFonts w:ascii="Times New Roman"/>
                <w:b/>
                <w:sz w:val="21"/>
              </w:rPr>
            </w:pPr>
            <w:r>
              <w:rPr>
                <w:rFonts w:ascii="Times New Roman"/>
                <w:b/>
                <w:sz w:val="21"/>
              </w:rPr>
              <w:t>26.</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多发性硬化症：</w:t>
            </w:r>
          </w:p>
        </w:tc>
        <w:tc>
          <w:tcPr>
            <w:tcW w:w="7958" w:type="dxa"/>
          </w:tcPr>
          <w:p>
            <w:pPr>
              <w:pStyle w:val="TableParagraph"/>
              <w:spacing w:line="261" w:lineRule="auto" w:before="33"/>
              <w:ind w:right="300"/>
              <w:jc w:val="both"/>
              <w:rPr>
                <w:sz w:val="21"/>
              </w:rPr>
            </w:pPr>
            <w:r>
              <w:rPr>
                <w:sz w:val="21"/>
              </w:rPr>
              <w:t>是中枢神经系统白质多灶性脱髓鞘病变，病变有时累及灰质。多发性硬化症必须由我们认可的医院的专科主任级医生确诊。多发性硬化症必须造成神经系统功能损害并且被保险人永久不可逆性的丧失独立完成三项或三项以上日常生活活动能力。</w:t>
            </w:r>
          </w:p>
        </w:tc>
      </w:tr>
      <w:tr>
        <w:trPr>
          <w:trHeight w:val="4013" w:hRule="atLeast"/>
        </w:trPr>
        <w:tc>
          <w:tcPr>
            <w:tcW w:w="693" w:type="dxa"/>
          </w:tcPr>
          <w:p>
            <w:pPr>
              <w:pStyle w:val="TableParagraph"/>
              <w:spacing w:before="83"/>
              <w:ind w:left="181" w:right="209"/>
              <w:jc w:val="center"/>
              <w:rPr>
                <w:rFonts w:ascii="Times New Roman"/>
                <w:b/>
                <w:sz w:val="21"/>
              </w:rPr>
            </w:pPr>
            <w:r>
              <w:rPr>
                <w:rFonts w:ascii="Times New Roman"/>
                <w:b/>
                <w:sz w:val="21"/>
              </w:rPr>
              <w:t>27.</w:t>
            </w:r>
          </w:p>
        </w:tc>
        <w:tc>
          <w:tcPr>
            <w:tcW w:w="1381" w:type="dxa"/>
          </w:tcPr>
          <w:p>
            <w:pPr>
              <w:pStyle w:val="TableParagraph"/>
              <w:spacing w:line="199" w:lineRule="auto" w:before="33"/>
              <w:ind w:left="229" w:right="93"/>
              <w:rPr>
                <w:rFonts w:ascii="微软雅黑" w:eastAsia="微软雅黑" w:hint="eastAsia"/>
                <w:b/>
                <w:sz w:val="21"/>
              </w:rPr>
            </w:pPr>
            <w:r>
              <w:rPr>
                <w:rFonts w:ascii="微软雅黑" w:eastAsia="微软雅黑" w:hint="eastAsia"/>
                <w:b/>
                <w:sz w:val="21"/>
              </w:rPr>
              <w:t>经 输 血 导 致 的 人 类 免 疫 缺 陷 病毒感染：</w:t>
            </w:r>
          </w:p>
        </w:tc>
        <w:tc>
          <w:tcPr>
            <w:tcW w:w="7958" w:type="dxa"/>
          </w:tcPr>
          <w:p>
            <w:pPr>
              <w:pStyle w:val="TableParagraph"/>
              <w:spacing w:before="33"/>
              <w:rPr>
                <w:sz w:val="21"/>
              </w:rPr>
            </w:pPr>
            <w:r>
              <w:rPr>
                <w:sz w:val="21"/>
              </w:rPr>
              <w:t>指被保险人感染上人类免疫缺陷病毒并且符合下列所有条件：</w:t>
            </w:r>
          </w:p>
          <w:p>
            <w:pPr>
              <w:pStyle w:val="TableParagraph"/>
              <w:spacing w:line="247" w:lineRule="auto" w:before="24"/>
              <w:ind w:left="624" w:right="305" w:hanging="526"/>
              <w:rPr>
                <w:sz w:val="21"/>
              </w:rPr>
            </w:pPr>
            <w:r>
              <w:rPr>
                <w:sz w:val="21"/>
              </w:rPr>
              <w:t>（</w:t>
            </w:r>
            <w:r>
              <w:rPr>
                <w:rFonts w:ascii="Times New Roman" w:eastAsia="Times New Roman"/>
                <w:sz w:val="21"/>
              </w:rPr>
              <w:t>1</w:t>
            </w:r>
            <w:r>
              <w:rPr>
                <w:sz w:val="21"/>
              </w:rPr>
              <w:t>）在保障起始日或复效日之后，被保险人因治疗必需而接受输血，并且因输血而感染人类免疫缺陷病毒；</w:t>
            </w:r>
          </w:p>
          <w:p>
            <w:pPr>
              <w:pStyle w:val="TableParagraph"/>
              <w:spacing w:line="247" w:lineRule="auto" w:before="18"/>
              <w:ind w:left="624" w:right="310" w:hanging="526"/>
              <w:rPr>
                <w:sz w:val="21"/>
              </w:rPr>
            </w:pPr>
            <w:r>
              <w:rPr>
                <w:sz w:val="21"/>
              </w:rPr>
              <w:t>（</w:t>
            </w:r>
            <w:r>
              <w:rPr>
                <w:rFonts w:ascii="Times New Roman" w:eastAsia="Times New Roman"/>
                <w:sz w:val="21"/>
              </w:rPr>
              <w:t>2</w:t>
            </w:r>
            <w:r>
              <w:rPr>
                <w:sz w:val="21"/>
              </w:rPr>
              <w:t>）提供输血治疗的输血中心或医院出具该项输血感染属医疗责任事故的报告， 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9"/>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9"/>
              <w:ind w:right="300"/>
              <w:rPr>
                <w:sz w:val="21"/>
              </w:rPr>
            </w:pPr>
            <w:r>
              <w:rPr>
                <w:sz w:val="21"/>
              </w:rPr>
              <w:t>在任何治愈艾滋病或阻止人类免疫缺陷病毒病毒作用的疗法被发现以后，或能防止艾滋病发Th的医疗方法被研究出来以后，本保障将不再予以赔付。</w:t>
            </w:r>
          </w:p>
          <w:p>
            <w:pPr>
              <w:pStyle w:val="TableParagraph"/>
              <w:spacing w:line="261" w:lineRule="auto" w:before="6"/>
              <w:ind w:right="300"/>
              <w:rPr>
                <w:sz w:val="21"/>
              </w:rPr>
            </w:pPr>
            <w:r>
              <w:rPr>
                <w:sz w:val="21"/>
              </w:rPr>
              <w:t>任何因其他传播方式（包括：性传播或静脉注射毒品）导致的人类免疫缺陷病毒感染不在本保单保障范围内。</w:t>
            </w:r>
          </w:p>
          <w:p>
            <w:pPr>
              <w:pStyle w:val="TableParagraph"/>
              <w:spacing w:line="261" w:lineRule="auto" w:before="6"/>
              <w:ind w:right="299"/>
              <w:rPr>
                <w:sz w:val="21"/>
              </w:rPr>
            </w:pPr>
            <w:r>
              <w:rPr>
                <w:sz w:val="21"/>
              </w:rPr>
              <w:t>保险公司必须拥有获得使用被保险人的血液样本的权利和能够对这些样本进行独立检验的权利。</w:t>
            </w:r>
          </w:p>
        </w:tc>
      </w:tr>
      <w:tr>
        <w:trPr>
          <w:trHeight w:val="2813" w:hRule="atLeast"/>
        </w:trPr>
        <w:tc>
          <w:tcPr>
            <w:tcW w:w="693" w:type="dxa"/>
          </w:tcPr>
          <w:p>
            <w:pPr>
              <w:pStyle w:val="TableParagraph"/>
              <w:spacing w:before="83"/>
              <w:ind w:left="181" w:right="209"/>
              <w:jc w:val="center"/>
              <w:rPr>
                <w:rFonts w:ascii="Times New Roman"/>
                <w:b/>
                <w:sz w:val="21"/>
              </w:rPr>
            </w:pPr>
            <w:r>
              <w:rPr>
                <w:rFonts w:ascii="Times New Roman"/>
                <w:b/>
                <w:sz w:val="21"/>
              </w:rPr>
              <w:t>28.</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重症肌无力：</w:t>
            </w:r>
          </w:p>
        </w:tc>
        <w:tc>
          <w:tcPr>
            <w:tcW w:w="7958" w:type="dxa"/>
          </w:tcPr>
          <w:p>
            <w:pPr>
              <w:pStyle w:val="TableParagraph"/>
              <w:spacing w:line="261" w:lineRule="auto" w:before="33"/>
              <w:ind w:right="300"/>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须经我们认可的神经科医师确诊。其诊断必须同时具有下列情况：</w:t>
            </w:r>
          </w:p>
          <w:p>
            <w:pPr>
              <w:pStyle w:val="TableParagraph"/>
              <w:spacing w:before="5"/>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47" w:lineRule="auto" w:before="9"/>
              <w:ind w:left="621" w:right="301" w:hanging="526"/>
              <w:rPr>
                <w:sz w:val="21"/>
              </w:rPr>
            </w:pPr>
            <w:r>
              <w:rPr>
                <w:sz w:val="21"/>
              </w:rPr>
              <w:t>（</w:t>
            </w:r>
            <w:r>
              <w:rPr>
                <w:rFonts w:ascii="Times New Roman" w:eastAsia="Times New Roman"/>
                <w:sz w:val="21"/>
              </w:rPr>
              <w:t>2</w:t>
            </w:r>
            <w:r>
              <w:rPr>
                <w:sz w:val="21"/>
              </w:rPr>
              <w:t>）出现眼睑下垂，或延髓肌受累引起的构音困难、进食呛咳，或由于肌无力累及延髓肌、呼吸肌而致机体呼吸功能不正常的危急状态即肌无力危象；</w:t>
            </w:r>
          </w:p>
          <w:p>
            <w:pPr>
              <w:pStyle w:val="TableParagraph"/>
              <w:spacing w:line="247" w:lineRule="auto" w:before="18"/>
              <w:ind w:left="621" w:right="308" w:hanging="526"/>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712" w:hRule="atLeast"/>
        </w:trPr>
        <w:tc>
          <w:tcPr>
            <w:tcW w:w="693" w:type="dxa"/>
          </w:tcPr>
          <w:p>
            <w:pPr>
              <w:pStyle w:val="TableParagraph"/>
              <w:spacing w:before="83"/>
              <w:ind w:left="181" w:right="209"/>
              <w:jc w:val="center"/>
              <w:rPr>
                <w:rFonts w:ascii="Times New Roman"/>
                <w:b/>
                <w:sz w:val="21"/>
              </w:rPr>
            </w:pPr>
            <w:r>
              <w:rPr>
                <w:rFonts w:ascii="Times New Roman"/>
                <w:b/>
                <w:sz w:val="21"/>
              </w:rPr>
              <w:t>29.</w:t>
            </w:r>
          </w:p>
        </w:tc>
        <w:tc>
          <w:tcPr>
            <w:tcW w:w="1381" w:type="dxa"/>
          </w:tcPr>
          <w:p>
            <w:pPr>
              <w:pStyle w:val="TableParagraph"/>
              <w:spacing w:line="199" w:lineRule="auto" w:before="33"/>
              <w:ind w:left="229" w:right="93"/>
              <w:rPr>
                <w:rFonts w:ascii="微软雅黑" w:eastAsia="微软雅黑" w:hint="eastAsia"/>
                <w:b/>
                <w:sz w:val="21"/>
              </w:rPr>
            </w:pPr>
            <w:r>
              <w:rPr>
                <w:rFonts w:ascii="微软雅黑" w:eastAsia="微软雅黑" w:hint="eastAsia"/>
                <w:b/>
                <w:sz w:val="21"/>
              </w:rPr>
              <w:t>脑 动 脉 瘤 开颅手术：</w:t>
            </w:r>
          </w:p>
        </w:tc>
        <w:tc>
          <w:tcPr>
            <w:tcW w:w="7958" w:type="dxa"/>
          </w:tcPr>
          <w:p>
            <w:pPr>
              <w:pStyle w:val="TableParagraph"/>
              <w:spacing w:before="33"/>
              <w:rPr>
                <w:sz w:val="21"/>
              </w:rPr>
            </w:pPr>
            <w:r>
              <w:rPr>
                <w:sz w:val="21"/>
              </w:rPr>
              <w:t>指确已进行开颅手术以夹闭、修复或切除脑动脉瘤。但不包括导管及血管内手术。</w:t>
            </w:r>
          </w:p>
        </w:tc>
      </w:tr>
      <w:tr>
        <w:trPr>
          <w:trHeight w:val="3736" w:hRule="atLeast"/>
        </w:trPr>
        <w:tc>
          <w:tcPr>
            <w:tcW w:w="693" w:type="dxa"/>
          </w:tcPr>
          <w:p>
            <w:pPr>
              <w:pStyle w:val="TableParagraph"/>
              <w:spacing w:before="83"/>
              <w:ind w:left="181" w:right="209"/>
              <w:jc w:val="center"/>
              <w:rPr>
                <w:rFonts w:ascii="Times New Roman"/>
                <w:b/>
                <w:sz w:val="21"/>
              </w:rPr>
            </w:pPr>
            <w:r>
              <w:rPr>
                <w:rFonts w:ascii="Times New Roman"/>
                <w:b/>
                <w:sz w:val="21"/>
              </w:rPr>
              <w:t>30.</w:t>
            </w:r>
          </w:p>
        </w:tc>
        <w:tc>
          <w:tcPr>
            <w:tcW w:w="1381" w:type="dxa"/>
          </w:tcPr>
          <w:p>
            <w:pPr>
              <w:pStyle w:val="TableParagraph"/>
              <w:spacing w:line="199" w:lineRule="auto" w:before="33"/>
              <w:ind w:left="229" w:right="93"/>
              <w:rPr>
                <w:rFonts w:ascii="微软雅黑" w:eastAsia="微软雅黑" w:hint="eastAsia"/>
                <w:b/>
                <w:sz w:val="21"/>
              </w:rPr>
            </w:pPr>
            <w:r>
              <w:rPr>
                <w:rFonts w:ascii="微软雅黑" w:eastAsia="微软雅黑" w:hint="eastAsia"/>
                <w:b/>
                <w:sz w:val="21"/>
              </w:rPr>
              <w:t>严 重 系 统 性 红 斑 狼 疮性肾病：</w:t>
            </w:r>
          </w:p>
        </w:tc>
        <w:tc>
          <w:tcPr>
            <w:tcW w:w="7958" w:type="dxa"/>
          </w:tcPr>
          <w:p>
            <w:pPr>
              <w:pStyle w:val="TableParagraph"/>
              <w:spacing w:line="266" w:lineRule="auto" w:before="27"/>
              <w:ind w:right="300"/>
              <w:jc w:val="both"/>
              <w:rPr>
                <w:sz w:val="21"/>
              </w:rPr>
            </w:pPr>
            <w:r>
              <w:rPr>
                <w:sz w:val="21"/>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Times New Roman" w:hAnsi="Times New Roman" w:eastAsia="Times New Roman"/>
                <w:sz w:val="21"/>
              </w:rPr>
              <w:t>WHO </w:t>
            </w:r>
            <w:r>
              <w:rPr>
                <w:sz w:val="21"/>
              </w:rPr>
              <w:t>诊断标准定义的Ⅲ型至Ⅴ型狼疮性肾炎。</w:t>
            </w:r>
          </w:p>
          <w:p>
            <w:pPr>
              <w:pStyle w:val="TableParagraph"/>
              <w:spacing w:before="14"/>
              <w:ind w:left="516"/>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516"/>
              <w:rPr>
                <w:sz w:val="21"/>
              </w:rPr>
            </w:pPr>
            <w:r>
              <w:rPr>
                <w:sz w:val="21"/>
              </w:rPr>
              <w:t>Ⅰ型（微小病变型）镜下阴性，尿液正常</w:t>
            </w:r>
          </w:p>
          <w:p>
            <w:pPr>
              <w:pStyle w:val="TableParagraph"/>
              <w:spacing w:before="37"/>
              <w:ind w:left="516"/>
              <w:rPr>
                <w:sz w:val="21"/>
              </w:rPr>
            </w:pPr>
            <w:r>
              <w:rPr>
                <w:sz w:val="21"/>
              </w:rPr>
              <w:t>Ⅱ型（系膜病变型）中度蛋白尿，偶有尿沉渣改变</w:t>
            </w:r>
          </w:p>
          <w:p>
            <w:pPr>
              <w:pStyle w:val="TableParagraph"/>
              <w:spacing w:before="36"/>
              <w:ind w:left="516"/>
              <w:rPr>
                <w:sz w:val="21"/>
              </w:rPr>
            </w:pPr>
            <w:r>
              <w:rPr>
                <w:sz w:val="21"/>
              </w:rPr>
              <w:t>Ⅲ型（局灶及节段增生型）蛋白尿，尿沉渣改变</w:t>
            </w:r>
          </w:p>
          <w:p>
            <w:pPr>
              <w:pStyle w:val="TableParagraph"/>
              <w:spacing w:before="36"/>
              <w:ind w:left="516"/>
              <w:rPr>
                <w:sz w:val="21"/>
              </w:rPr>
            </w:pPr>
            <w:r>
              <w:rPr>
                <w:sz w:val="21"/>
              </w:rPr>
              <w:t>Ⅳ型（弥漫增生型）急性肾炎伴有尿沉渣改变及／或肾病综合征</w:t>
            </w:r>
          </w:p>
          <w:p>
            <w:pPr>
              <w:pStyle w:val="TableParagraph"/>
              <w:spacing w:before="36"/>
              <w:ind w:left="516"/>
              <w:rPr>
                <w:sz w:val="21"/>
              </w:rPr>
            </w:pPr>
            <w:r>
              <w:rPr>
                <w:sz w:val="21"/>
              </w:rPr>
              <w:t>Ⅴ型（膜型）肾病综合征或重度蛋白尿</w:t>
            </w:r>
          </w:p>
          <w:p>
            <w:pPr>
              <w:pStyle w:val="TableParagraph"/>
              <w:spacing w:line="300" w:lineRule="atLeast" w:before="18"/>
              <w:ind w:right="301"/>
              <w:jc w:val="both"/>
              <w:rPr>
                <w:sz w:val="21"/>
              </w:rPr>
            </w:pPr>
            <w:r>
              <w:rPr>
                <w:sz w:val="21"/>
              </w:rPr>
              <w:t>其它类型的红斑性狼疮，如盘状狼疮，仅累及血液及关节等其它系统的系统性红斑狼疮不在保障范围内。</w:t>
            </w:r>
          </w:p>
        </w:tc>
      </w:tr>
    </w:tbl>
    <w:p>
      <w:pPr>
        <w:spacing w:after="0" w:line="300" w:lineRule="atLeast"/>
        <w:jc w:val="both"/>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275"/>
        <w:gridCol w:w="8066"/>
      </w:tblGrid>
      <w:tr>
        <w:trPr>
          <w:trHeight w:val="21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31.</w:t>
            </w:r>
          </w:p>
        </w:tc>
        <w:tc>
          <w:tcPr>
            <w:tcW w:w="1275" w:type="dxa"/>
          </w:tcPr>
          <w:p>
            <w:pPr>
              <w:pStyle w:val="TableParagraph"/>
              <w:spacing w:line="205" w:lineRule="exact"/>
              <w:ind w:left="229"/>
              <w:rPr>
                <w:rFonts w:ascii="微软雅黑" w:eastAsia="微软雅黑" w:hint="eastAsia"/>
                <w:b/>
                <w:sz w:val="21"/>
              </w:rPr>
            </w:pPr>
            <w:r>
              <w:rPr>
                <w:rFonts w:ascii="微软雅黑" w:eastAsia="微软雅黑" w:hint="eastAsia"/>
                <w:b/>
                <w:sz w:val="21"/>
              </w:rPr>
              <w:t>严重的原</w:t>
            </w:r>
          </w:p>
          <w:p>
            <w:pPr>
              <w:pStyle w:val="TableParagraph"/>
              <w:spacing w:line="199" w:lineRule="auto" w:before="30"/>
              <w:ind w:left="229" w:right="198"/>
              <w:rPr>
                <w:rFonts w:ascii="微软雅黑" w:eastAsia="微软雅黑" w:hint="eastAsia"/>
                <w:b/>
                <w:sz w:val="21"/>
              </w:rPr>
            </w:pPr>
            <w:r>
              <w:rPr>
                <w:rFonts w:ascii="微软雅黑" w:eastAsia="微软雅黑" w:hint="eastAsia"/>
                <w:b/>
                <w:sz w:val="21"/>
              </w:rPr>
              <w:t>发性心肌病：</w:t>
            </w:r>
          </w:p>
        </w:tc>
        <w:tc>
          <w:tcPr>
            <w:tcW w:w="8066" w:type="dxa"/>
          </w:tcPr>
          <w:p>
            <w:pPr>
              <w:pStyle w:val="TableParagraph"/>
              <w:spacing w:line="211" w:lineRule="exact"/>
              <w:ind w:left="202"/>
              <w:rPr>
                <w:sz w:val="21"/>
              </w:rPr>
            </w:pPr>
            <w:r>
              <w:rPr>
                <w:sz w:val="21"/>
              </w:rPr>
              <w:t>指不明原因引起的一类心肌病变，包括原发性扩张型心肌病、原发性肥厚型心肌病</w:t>
            </w:r>
          </w:p>
          <w:p>
            <w:pPr>
              <w:pStyle w:val="TableParagraph"/>
              <w:spacing w:line="261" w:lineRule="auto" w:before="25"/>
              <w:ind w:left="202" w:right="197"/>
              <w:rPr>
                <w:sz w:val="21"/>
              </w:rPr>
            </w:pPr>
            <w:r>
              <w:rPr>
                <w:spacing w:val="-4"/>
                <w:sz w:val="21"/>
              </w:rPr>
              <w:t>及原发性限制型心肌病三种，病变必须已造成事实上心室功能障碍而出现明显的心</w:t>
            </w:r>
            <w:r>
              <w:rPr>
                <w:spacing w:val="-5"/>
                <w:sz w:val="21"/>
              </w:rPr>
              <w:t>功能衰竭</w:t>
            </w:r>
            <w:r>
              <w:rPr>
                <w:sz w:val="21"/>
              </w:rPr>
              <w:t>（</w:t>
            </w:r>
            <w:r>
              <w:rPr>
                <w:spacing w:val="-4"/>
                <w:sz w:val="21"/>
              </w:rPr>
              <w:t>指按照美国纽约心脏协会心功能分类标准心功能达四级，即有医院的医</w:t>
            </w:r>
            <w:r>
              <w:rPr>
                <w:spacing w:val="-8"/>
                <w:sz w:val="21"/>
              </w:rPr>
              <w:t>疗记录显示病人不能进行任何活动，休息时仍有心悸、呼吸困难等心力衰竭表现</w:t>
            </w:r>
            <w:r>
              <w:rPr>
                <w:spacing w:val="-18"/>
                <w:sz w:val="21"/>
              </w:rPr>
              <w:t>）， </w:t>
            </w:r>
            <w:r>
              <w:rPr>
                <w:spacing w:val="-5"/>
                <w:sz w:val="21"/>
              </w:rPr>
              <w:t>且有相关住院医疗记录显示四级心功能衰竭状态持续至少 </w:t>
            </w:r>
            <w:r>
              <w:rPr>
                <w:rFonts w:ascii="Times New Roman" w:eastAsia="Times New Roman"/>
                <w:sz w:val="21"/>
              </w:rPr>
              <w:t>180 </w:t>
            </w:r>
            <w:r>
              <w:rPr>
                <w:spacing w:val="-3"/>
                <w:sz w:val="21"/>
              </w:rPr>
              <w:t>日。本病须经专科医</w:t>
            </w:r>
          </w:p>
          <w:p>
            <w:pPr>
              <w:pStyle w:val="TableParagraph"/>
              <w:spacing w:line="261" w:lineRule="auto"/>
              <w:ind w:left="202" w:right="301"/>
              <w:rPr>
                <w:sz w:val="21"/>
              </w:rPr>
            </w:pPr>
            <w:r>
              <w:rPr>
                <w:sz w:val="21"/>
              </w:rPr>
              <w:t>Th明确诊断。继发于全身性疾病或其它器官系统疾病造成的心肌病变不在保障范围。</w:t>
            </w:r>
          </w:p>
        </w:tc>
      </w:tr>
      <w:tr>
        <w:trPr>
          <w:trHeight w:val="1612" w:hRule="atLeast"/>
        </w:trPr>
        <w:tc>
          <w:tcPr>
            <w:tcW w:w="693" w:type="dxa"/>
          </w:tcPr>
          <w:p>
            <w:pPr>
              <w:pStyle w:val="TableParagraph"/>
              <w:spacing w:before="83"/>
              <w:ind w:left="181" w:right="209"/>
              <w:jc w:val="center"/>
              <w:rPr>
                <w:rFonts w:ascii="Times New Roman"/>
                <w:b/>
                <w:sz w:val="21"/>
              </w:rPr>
            </w:pPr>
            <w:r>
              <w:rPr>
                <w:rFonts w:ascii="Times New Roman"/>
                <w:b/>
                <w:sz w:val="21"/>
              </w:rPr>
              <w:t>32.</w:t>
            </w:r>
          </w:p>
        </w:tc>
        <w:tc>
          <w:tcPr>
            <w:tcW w:w="1275" w:type="dxa"/>
          </w:tcPr>
          <w:p>
            <w:pPr>
              <w:pStyle w:val="TableParagraph"/>
              <w:spacing w:line="334" w:lineRule="exact"/>
              <w:ind w:left="0" w:right="198"/>
              <w:jc w:val="right"/>
              <w:rPr>
                <w:rFonts w:ascii="微软雅黑" w:eastAsia="微软雅黑" w:hint="eastAsia"/>
                <w:b/>
                <w:sz w:val="21"/>
              </w:rPr>
            </w:pPr>
            <w:r>
              <w:rPr>
                <w:rFonts w:ascii="微软雅黑" w:eastAsia="微软雅黑" w:hint="eastAsia"/>
                <w:b/>
                <w:sz w:val="21"/>
              </w:rPr>
              <w:t>植物人：</w:t>
            </w:r>
          </w:p>
        </w:tc>
        <w:tc>
          <w:tcPr>
            <w:tcW w:w="8066" w:type="dxa"/>
          </w:tcPr>
          <w:p>
            <w:pPr>
              <w:pStyle w:val="TableParagraph"/>
              <w:spacing w:line="254" w:lineRule="auto" w:before="33"/>
              <w:ind w:left="202" w:right="199"/>
              <w:rPr>
                <w:sz w:val="21"/>
              </w:rPr>
            </w:pPr>
            <w:r>
              <w:rPr>
                <w:spacing w:val="-4"/>
                <w:sz w:val="21"/>
              </w:rPr>
              <w:t>指脑皮质广泛性坏死而导致对自身及周边的认知能力完全丧失，但脑干功能依然存</w:t>
            </w:r>
            <w:r>
              <w:rPr>
                <w:spacing w:val="-16"/>
                <w:sz w:val="21"/>
              </w:rPr>
              <w:t>在。必须由神经专科医生明确诊断，并有头颅断层扫描</w:t>
            </w:r>
            <w:r>
              <w:rPr>
                <w:spacing w:val="-25"/>
                <w:sz w:val="21"/>
              </w:rPr>
              <w:t>（</w:t>
            </w:r>
            <w:r>
              <w:rPr>
                <w:rFonts w:ascii="Times New Roman" w:eastAsia="Times New Roman"/>
                <w:spacing w:val="-25"/>
                <w:sz w:val="21"/>
              </w:rPr>
              <w:t>CT</w:t>
            </w:r>
            <w:r>
              <w:rPr>
                <w:spacing w:val="-25"/>
                <w:sz w:val="21"/>
              </w:rPr>
              <w:t>），</w:t>
            </w:r>
            <w:r>
              <w:rPr>
                <w:spacing w:val="-13"/>
                <w:sz w:val="21"/>
              </w:rPr>
              <w:t>核磁共振检查</w:t>
            </w:r>
            <w:r>
              <w:rPr>
                <w:sz w:val="21"/>
              </w:rPr>
              <w:t>（</w:t>
            </w:r>
            <w:r>
              <w:rPr>
                <w:rFonts w:ascii="Times New Roman" w:eastAsia="Times New Roman"/>
                <w:sz w:val="21"/>
              </w:rPr>
              <w:t>MRI</w:t>
            </w:r>
            <w:r>
              <w:rPr>
                <w:sz w:val="21"/>
              </w:rPr>
              <w:t>） </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w:t>
            </w:r>
          </w:p>
          <w:p>
            <w:pPr>
              <w:pStyle w:val="TableParagraph"/>
              <w:spacing w:line="261" w:lineRule="auto"/>
              <w:ind w:left="202" w:right="302"/>
              <w:rPr>
                <w:sz w:val="21"/>
              </w:rPr>
            </w:pPr>
            <w:r>
              <w:rPr>
                <w:sz w:val="21"/>
              </w:rPr>
              <w:t>上述情况必须有至少一个月的病历记录加以证实。由于酗酒或滥用药物所致的植物人状态不在保障范围内。</w:t>
            </w:r>
          </w:p>
        </w:tc>
      </w:tr>
      <w:tr>
        <w:trPr>
          <w:trHeight w:val="3413" w:hRule="atLeast"/>
        </w:trPr>
        <w:tc>
          <w:tcPr>
            <w:tcW w:w="693" w:type="dxa"/>
          </w:tcPr>
          <w:p>
            <w:pPr>
              <w:pStyle w:val="TableParagraph"/>
              <w:spacing w:before="83"/>
              <w:ind w:left="181" w:right="209"/>
              <w:jc w:val="center"/>
              <w:rPr>
                <w:rFonts w:ascii="Times New Roman"/>
                <w:b/>
                <w:sz w:val="21"/>
              </w:rPr>
            </w:pPr>
            <w:r>
              <w:rPr>
                <w:rFonts w:ascii="Times New Roman"/>
                <w:b/>
                <w:sz w:val="21"/>
              </w:rPr>
              <w:t>33.</w:t>
            </w:r>
          </w:p>
        </w:tc>
        <w:tc>
          <w:tcPr>
            <w:tcW w:w="1275" w:type="dxa"/>
          </w:tcPr>
          <w:p>
            <w:pPr>
              <w:pStyle w:val="TableParagraph"/>
              <w:spacing w:line="199" w:lineRule="auto" w:before="33"/>
              <w:ind w:left="229" w:right="198"/>
              <w:jc w:val="both"/>
              <w:rPr>
                <w:rFonts w:ascii="微软雅黑" w:eastAsia="微软雅黑" w:hint="eastAsia"/>
                <w:b/>
                <w:sz w:val="21"/>
              </w:rPr>
            </w:pPr>
            <w:r>
              <w:rPr>
                <w:rFonts w:ascii="微软雅黑" w:eastAsia="微软雅黑" w:hint="eastAsia"/>
                <w:b/>
                <w:sz w:val="21"/>
              </w:rPr>
              <w:t>因职业关系导致的人类免疫缺陷病毒感染：</w:t>
            </w:r>
          </w:p>
        </w:tc>
        <w:tc>
          <w:tcPr>
            <w:tcW w:w="8066" w:type="dxa"/>
          </w:tcPr>
          <w:p>
            <w:pPr>
              <w:pStyle w:val="TableParagraph"/>
              <w:spacing w:line="261" w:lineRule="auto" w:before="33"/>
              <w:ind w:left="202" w:right="302"/>
              <w:rPr>
                <w:sz w:val="21"/>
              </w:rPr>
            </w:pPr>
            <w:r>
              <w:rPr>
                <w:sz w:val="21"/>
              </w:rPr>
              <w:t>指被保险人在其常规职业工作过程中遭遇外伤，或者职业需要处理血液或者其他体液时感染上人类免疫缺陷病毒（</w:t>
            </w:r>
            <w:r>
              <w:rPr>
                <w:rFonts w:ascii="Times New Roman" w:eastAsia="Times New Roman"/>
                <w:sz w:val="21"/>
              </w:rPr>
              <w:t>HIV</w:t>
            </w:r>
            <w:r>
              <w:rPr>
                <w:sz w:val="21"/>
              </w:rPr>
              <w:t>）。</w:t>
            </w:r>
          </w:p>
          <w:p>
            <w:pPr>
              <w:pStyle w:val="TableParagraph"/>
              <w:spacing w:line="263" w:lineRule="exact"/>
              <w:ind w:left="202"/>
              <w:rPr>
                <w:sz w:val="21"/>
              </w:rPr>
            </w:pPr>
            <w:r>
              <w:rPr>
                <w:sz w:val="21"/>
              </w:rPr>
              <w:t>必须满足下列全部条件：</w:t>
            </w:r>
          </w:p>
          <w:p>
            <w:pPr>
              <w:pStyle w:val="TableParagraph"/>
              <w:spacing w:line="254" w:lineRule="auto" w:before="26"/>
              <w:ind w:left="727" w:right="310" w:hanging="526"/>
              <w:jc w:val="both"/>
              <w:rPr>
                <w:sz w:val="21"/>
              </w:rPr>
            </w:pPr>
            <w:r>
              <w:rPr>
                <w:sz w:val="21"/>
              </w:rPr>
              <w:t>（</w:t>
            </w:r>
            <w:r>
              <w:rPr>
                <w:rFonts w:ascii="Times New Roman" w:eastAsia="Times New Roman"/>
                <w:sz w:val="21"/>
              </w:rPr>
              <w:t>1</w:t>
            </w:r>
            <w:r>
              <w:rPr>
                <w:sz w:val="21"/>
              </w:rPr>
              <w:t>）感染必须是在被保险人正在从事其职业工作中发生，该职业必须属于以下职业之一：医生和牙科医生、护士、医院化验室工作人员、医院护工、医生助理和牙医助理、救护车工作人员、助产士、消防队员、警察、狱警；</w:t>
            </w:r>
          </w:p>
          <w:p>
            <w:pPr>
              <w:pStyle w:val="TableParagraph"/>
              <w:spacing w:before="12"/>
              <w:ind w:left="202"/>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个月内；</w:t>
            </w:r>
          </w:p>
          <w:p>
            <w:pPr>
              <w:pStyle w:val="TableParagraph"/>
              <w:spacing w:line="247" w:lineRule="auto" w:before="8"/>
              <w:ind w:left="727" w:right="302" w:hanging="526"/>
              <w:rPr>
                <w:sz w:val="21"/>
              </w:rPr>
            </w:pPr>
            <w:r>
              <w:rPr>
                <w:sz w:val="21"/>
              </w:rPr>
              <w:t>（</w:t>
            </w:r>
            <w:r>
              <w:rPr>
                <w:rFonts w:ascii="Times New Roman" w:eastAsia="Times New Roman"/>
                <w:sz w:val="21"/>
              </w:rPr>
              <w:t>3</w:t>
            </w:r>
            <w:r>
              <w:rPr>
                <w:sz w:val="21"/>
              </w:rPr>
              <w:t>）必须提供被保险人在所报告事故发生后的 </w:t>
            </w:r>
            <w:r>
              <w:rPr>
                <w:rFonts w:ascii="Times New Roman" w:eastAsia="Times New Roman"/>
                <w:sz w:val="21"/>
              </w:rPr>
              <w:t>5 </w:t>
            </w:r>
            <w:r>
              <w:rPr>
                <w:sz w:val="21"/>
              </w:rPr>
              <w:t>天内进行的检验报告，该报告必须显示被保险人血液 </w:t>
            </w:r>
            <w:r>
              <w:rPr>
                <w:rFonts w:ascii="Times New Roman" w:eastAsia="Times New Roman"/>
                <w:sz w:val="21"/>
              </w:rPr>
              <w:t>HIV </w:t>
            </w:r>
            <w:r>
              <w:rPr>
                <w:sz w:val="21"/>
              </w:rPr>
              <w:t>病毒阴性和</w:t>
            </w:r>
            <w:r>
              <w:rPr>
                <w:rFonts w:ascii="Times New Roman" w:eastAsia="Times New Roman"/>
                <w:sz w:val="21"/>
              </w:rPr>
              <w:t>/</w:t>
            </w:r>
            <w:r>
              <w:rPr>
                <w:sz w:val="21"/>
              </w:rPr>
              <w:t>或 </w:t>
            </w:r>
            <w:r>
              <w:rPr>
                <w:rFonts w:ascii="Times New Roman" w:eastAsia="Times New Roman"/>
                <w:sz w:val="21"/>
              </w:rPr>
              <w:t>HIV </w:t>
            </w:r>
            <w:r>
              <w:rPr>
                <w:sz w:val="21"/>
              </w:rPr>
              <w:t>抗体阴性；</w:t>
            </w:r>
          </w:p>
          <w:p>
            <w:pPr>
              <w:pStyle w:val="TableParagraph"/>
              <w:spacing w:line="247" w:lineRule="auto" w:before="1"/>
              <w:ind w:left="727" w:right="231" w:hanging="526"/>
              <w:rPr>
                <w:sz w:val="21"/>
              </w:rPr>
            </w:pPr>
            <w:r>
              <w:rPr>
                <w:sz w:val="21"/>
              </w:rPr>
              <w:t>（</w:t>
            </w:r>
            <w:r>
              <w:rPr>
                <w:rFonts w:ascii="Times New Roman" w:eastAsia="Times New Roman"/>
                <w:sz w:val="21"/>
              </w:rPr>
              <w:t>4</w:t>
            </w:r>
            <w:r>
              <w:rPr>
                <w:sz w:val="21"/>
              </w:rPr>
              <w:t>）必须在事故发生后的 </w:t>
            </w:r>
            <w:r>
              <w:rPr>
                <w:rFonts w:ascii="Times New Roman" w:eastAsia="Times New Roman"/>
                <w:sz w:val="21"/>
              </w:rPr>
              <w:t>12 </w:t>
            </w:r>
            <w:r>
              <w:rPr>
                <w:sz w:val="21"/>
              </w:rPr>
              <w:t>个月内证实被保险人体内存在 </w:t>
            </w:r>
            <w:r>
              <w:rPr>
                <w:rFonts w:ascii="Times New Roman" w:eastAsia="Times New Roman"/>
                <w:sz w:val="21"/>
              </w:rPr>
              <w:t>HIV </w:t>
            </w:r>
            <w:r>
              <w:rPr>
                <w:sz w:val="21"/>
              </w:rPr>
              <w:t>病毒或者 </w:t>
            </w:r>
            <w:r>
              <w:rPr>
                <w:rFonts w:ascii="Times New Roman" w:eastAsia="Times New Roman"/>
                <w:sz w:val="21"/>
              </w:rPr>
              <w:t>HIV </w:t>
            </w:r>
            <w:r>
              <w:rPr>
                <w:sz w:val="21"/>
              </w:rPr>
              <w:t>抗体。</w:t>
            </w:r>
          </w:p>
        </w:tc>
      </w:tr>
      <w:tr>
        <w:trPr>
          <w:trHeight w:val="1321" w:hRule="atLeast"/>
        </w:trPr>
        <w:tc>
          <w:tcPr>
            <w:tcW w:w="693" w:type="dxa"/>
          </w:tcPr>
          <w:p>
            <w:pPr>
              <w:pStyle w:val="TableParagraph"/>
              <w:spacing w:before="83"/>
              <w:ind w:left="181" w:right="209"/>
              <w:jc w:val="center"/>
              <w:rPr>
                <w:rFonts w:ascii="Times New Roman"/>
                <w:b/>
                <w:sz w:val="21"/>
              </w:rPr>
            </w:pPr>
            <w:r>
              <w:rPr>
                <w:rFonts w:ascii="Times New Roman"/>
                <w:b/>
                <w:sz w:val="21"/>
              </w:rPr>
              <w:t>34.</w:t>
            </w:r>
          </w:p>
        </w:tc>
        <w:tc>
          <w:tcPr>
            <w:tcW w:w="1275" w:type="dxa"/>
          </w:tcPr>
          <w:p>
            <w:pPr>
              <w:pStyle w:val="TableParagraph"/>
              <w:spacing w:line="199" w:lineRule="auto" w:before="33"/>
              <w:ind w:left="229" w:right="198"/>
              <w:rPr>
                <w:rFonts w:ascii="微软雅黑" w:eastAsia="微软雅黑" w:hint="eastAsia"/>
                <w:b/>
                <w:sz w:val="21"/>
              </w:rPr>
            </w:pPr>
            <w:r>
              <w:rPr>
                <w:rFonts w:ascii="微软雅黑" w:eastAsia="微软雅黑" w:hint="eastAsia"/>
                <w:b/>
                <w:sz w:val="21"/>
              </w:rPr>
              <w:t>肾髓质囊性病：</w:t>
            </w:r>
          </w:p>
        </w:tc>
        <w:tc>
          <w:tcPr>
            <w:tcW w:w="8066" w:type="dxa"/>
          </w:tcPr>
          <w:p>
            <w:pPr>
              <w:pStyle w:val="TableParagraph"/>
              <w:spacing w:before="33"/>
              <w:ind w:left="202"/>
              <w:rPr>
                <w:sz w:val="21"/>
              </w:rPr>
            </w:pPr>
            <w:r>
              <w:rPr>
                <w:sz w:val="21"/>
              </w:rPr>
              <w:t>指经肾脏内科专科医生明确诊断为肾髓质囊性病，且须同时满足下列条件：</w:t>
            </w:r>
          </w:p>
          <w:p>
            <w:pPr>
              <w:pStyle w:val="TableParagraph"/>
              <w:spacing w:before="24"/>
              <w:ind w:left="202"/>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9"/>
              <w:ind w:left="202"/>
              <w:rPr>
                <w:sz w:val="21"/>
              </w:rPr>
            </w:pPr>
            <w:r>
              <w:rPr>
                <w:sz w:val="21"/>
              </w:rPr>
              <w:t>（</w:t>
            </w:r>
            <w:r>
              <w:rPr>
                <w:rFonts w:ascii="Times New Roman" w:eastAsia="Times New Roman"/>
                <w:sz w:val="21"/>
              </w:rPr>
              <w:t>2</w:t>
            </w:r>
            <w:r>
              <w:rPr>
                <w:sz w:val="21"/>
              </w:rPr>
              <w:t>）贫血、多尿及肾功能衰竭等临床表现；</w:t>
            </w:r>
          </w:p>
          <w:p>
            <w:pPr>
              <w:pStyle w:val="TableParagraph"/>
              <w:spacing w:before="9"/>
              <w:ind w:left="202"/>
              <w:rPr>
                <w:sz w:val="21"/>
              </w:rPr>
            </w:pPr>
            <w:r>
              <w:rPr>
                <w:sz w:val="21"/>
              </w:rPr>
              <w:t>（</w:t>
            </w:r>
            <w:r>
              <w:rPr>
                <w:rFonts w:ascii="Times New Roman" w:eastAsia="Times New Roman"/>
                <w:sz w:val="21"/>
              </w:rPr>
              <w:t>3</w:t>
            </w:r>
            <w:r>
              <w:rPr>
                <w:sz w:val="21"/>
              </w:rPr>
              <w:t>）诊断须由肾组织活检确定。</w:t>
            </w:r>
          </w:p>
        </w:tc>
      </w:tr>
      <w:tr>
        <w:trPr>
          <w:trHeight w:val="1604" w:hRule="atLeast"/>
        </w:trPr>
        <w:tc>
          <w:tcPr>
            <w:tcW w:w="693" w:type="dxa"/>
          </w:tcPr>
          <w:p>
            <w:pPr>
              <w:pStyle w:val="TableParagraph"/>
              <w:spacing w:before="75"/>
              <w:ind w:left="181" w:right="209"/>
              <w:jc w:val="center"/>
              <w:rPr>
                <w:rFonts w:ascii="Times New Roman"/>
                <w:b/>
                <w:sz w:val="21"/>
              </w:rPr>
            </w:pPr>
            <w:r>
              <w:rPr>
                <w:rFonts w:ascii="Times New Roman"/>
                <w:b/>
                <w:sz w:val="21"/>
              </w:rPr>
              <w:t>35.</w:t>
            </w:r>
          </w:p>
        </w:tc>
        <w:tc>
          <w:tcPr>
            <w:tcW w:w="1275" w:type="dxa"/>
          </w:tcPr>
          <w:p>
            <w:pPr>
              <w:pStyle w:val="TableParagraph"/>
              <w:spacing w:line="199" w:lineRule="auto" w:before="25"/>
              <w:ind w:left="229" w:right="198"/>
              <w:rPr>
                <w:rFonts w:ascii="微软雅黑" w:eastAsia="微软雅黑" w:hint="eastAsia"/>
                <w:b/>
                <w:sz w:val="21"/>
              </w:rPr>
            </w:pPr>
            <w:r>
              <w:rPr>
                <w:rFonts w:ascii="微软雅黑" w:eastAsia="微软雅黑" w:hint="eastAsia"/>
                <w:b/>
                <w:sz w:val="21"/>
              </w:rPr>
              <w:t>脊髓灰质炎：</w:t>
            </w:r>
          </w:p>
        </w:tc>
        <w:tc>
          <w:tcPr>
            <w:tcW w:w="8066" w:type="dxa"/>
          </w:tcPr>
          <w:p>
            <w:pPr>
              <w:pStyle w:val="TableParagraph"/>
              <w:spacing w:line="259" w:lineRule="auto" w:before="25"/>
              <w:ind w:left="202" w:right="302"/>
              <w:jc w:val="both"/>
              <w:rPr>
                <w:sz w:val="21"/>
              </w:rPr>
            </w:pPr>
            <w:r>
              <w:rPr>
                <w:spacing w:val="-4"/>
                <w:sz w:val="21"/>
              </w:rPr>
              <w:t>是由于脊髓灰质炎病毒感染所致的瘫痪性疾病，临床表现为运动功能损害或呼吸无力。脊髓灰质炎必须明确诊断。我们仅对脊髓灰质炎造成的神经系统功能损害导致被保险人一肢或一肢以上肢体机能永久完全丧失的情况予以理赔。肢体机能永久完</w:t>
            </w:r>
            <w:r>
              <w:rPr>
                <w:spacing w:val="-8"/>
                <w:sz w:val="21"/>
              </w:rPr>
              <w:t>全丧失，指疾病确诊 </w:t>
            </w:r>
            <w:r>
              <w:rPr>
                <w:rFonts w:ascii="Times New Roman" w:eastAsia="Times New Roman"/>
                <w:sz w:val="21"/>
              </w:rPr>
              <w:t>180 </w:t>
            </w:r>
            <w:r>
              <w:rPr>
                <w:spacing w:val="-4"/>
                <w:sz w:val="21"/>
              </w:rPr>
              <w:t>日后，每肢三大关节中的两大关节仍然完全僵硬，或不能</w:t>
            </w:r>
            <w:r>
              <w:rPr>
                <w:spacing w:val="-3"/>
                <w:sz w:val="21"/>
              </w:rPr>
              <w:t>随意识活动。</w:t>
            </w:r>
          </w:p>
        </w:tc>
      </w:tr>
      <w:tr>
        <w:trPr>
          <w:trHeight w:val="2221" w:hRule="atLeast"/>
        </w:trPr>
        <w:tc>
          <w:tcPr>
            <w:tcW w:w="693" w:type="dxa"/>
          </w:tcPr>
          <w:p>
            <w:pPr>
              <w:pStyle w:val="TableParagraph"/>
              <w:spacing w:before="83"/>
              <w:ind w:left="181" w:right="209"/>
              <w:jc w:val="center"/>
              <w:rPr>
                <w:rFonts w:ascii="Times New Roman"/>
                <w:b/>
                <w:sz w:val="21"/>
              </w:rPr>
            </w:pPr>
            <w:r>
              <w:rPr>
                <w:rFonts w:ascii="Times New Roman"/>
                <w:b/>
                <w:sz w:val="21"/>
              </w:rPr>
              <w:t>36.</w:t>
            </w:r>
          </w:p>
        </w:tc>
        <w:tc>
          <w:tcPr>
            <w:tcW w:w="1275" w:type="dxa"/>
          </w:tcPr>
          <w:p>
            <w:pPr>
              <w:pStyle w:val="TableParagraph"/>
              <w:spacing w:line="334" w:lineRule="exact"/>
              <w:ind w:left="0" w:right="198"/>
              <w:jc w:val="right"/>
              <w:rPr>
                <w:rFonts w:ascii="微软雅黑" w:eastAsia="微软雅黑" w:hint="eastAsia"/>
                <w:b/>
                <w:sz w:val="21"/>
              </w:rPr>
            </w:pPr>
            <w:r>
              <w:rPr>
                <w:rFonts w:ascii="微软雅黑" w:eastAsia="微软雅黑" w:hint="eastAsia"/>
                <w:b/>
                <w:sz w:val="21"/>
              </w:rPr>
              <w:t>硬皮病：</w:t>
            </w:r>
          </w:p>
        </w:tc>
        <w:tc>
          <w:tcPr>
            <w:tcW w:w="8066" w:type="dxa"/>
          </w:tcPr>
          <w:p>
            <w:pPr>
              <w:pStyle w:val="TableParagraph"/>
              <w:spacing w:line="261" w:lineRule="auto" w:before="33"/>
              <w:ind w:left="202" w:right="302"/>
              <w:jc w:val="both"/>
              <w:rPr>
                <w:sz w:val="21"/>
              </w:rPr>
            </w:pPr>
            <w:r>
              <w:rPr>
                <w:sz w:val="21"/>
              </w:rPr>
              <w:t>是以弥漫性皮肤、血管及内脏器官结缔组织纤维化、硬化及萎缩为特点的结缔组织病。必须由风湿免疫专科医生确诊。必须有活体组织检查和血清学的检查作为确诊依据。病变需累及心脏、肺脏或肾脏。</w:t>
            </w:r>
          </w:p>
          <w:p>
            <w:pPr>
              <w:pStyle w:val="TableParagraph"/>
              <w:spacing w:before="5"/>
              <w:ind w:left="202"/>
              <w:jc w:val="both"/>
              <w:rPr>
                <w:sz w:val="21"/>
              </w:rPr>
            </w:pPr>
            <w:r>
              <w:rPr>
                <w:sz w:val="21"/>
              </w:rPr>
              <w:t>下列疾病不在保障范围内：</w:t>
            </w:r>
          </w:p>
          <w:p>
            <w:pPr>
              <w:pStyle w:val="TableParagraph"/>
              <w:spacing w:before="24"/>
              <w:ind w:left="202"/>
              <w:jc w:val="both"/>
              <w:rPr>
                <w:sz w:val="21"/>
              </w:rPr>
            </w:pPr>
            <w:r>
              <w:rPr>
                <w:sz w:val="21"/>
              </w:rPr>
              <w:t>（</w:t>
            </w:r>
            <w:r>
              <w:rPr>
                <w:rFonts w:ascii="Times New Roman" w:eastAsia="Times New Roman"/>
                <w:sz w:val="21"/>
              </w:rPr>
              <w:t>1</w:t>
            </w:r>
            <w:r>
              <w:rPr>
                <w:sz w:val="21"/>
              </w:rPr>
              <w:t>）局限性硬皮病（包括带状硬皮病、硬斑病）；</w:t>
            </w:r>
          </w:p>
          <w:p>
            <w:pPr>
              <w:pStyle w:val="TableParagraph"/>
              <w:spacing w:before="9"/>
              <w:ind w:left="202"/>
              <w:jc w:val="both"/>
              <w:rPr>
                <w:sz w:val="21"/>
              </w:rPr>
            </w:pPr>
            <w:r>
              <w:rPr>
                <w:sz w:val="21"/>
              </w:rPr>
              <w:t>（</w:t>
            </w:r>
            <w:r>
              <w:rPr>
                <w:rFonts w:ascii="Times New Roman" w:eastAsia="Times New Roman"/>
                <w:sz w:val="21"/>
              </w:rPr>
              <w:t>2</w:t>
            </w:r>
            <w:r>
              <w:rPr>
                <w:sz w:val="21"/>
              </w:rPr>
              <w:t>）嗜酸细胞性筋膜炎；</w:t>
            </w:r>
          </w:p>
          <w:p>
            <w:pPr>
              <w:pStyle w:val="TableParagraph"/>
              <w:spacing w:before="9"/>
              <w:ind w:left="202"/>
              <w:jc w:val="both"/>
              <w:rPr>
                <w:sz w:val="21"/>
              </w:rPr>
            </w:pPr>
            <w:r>
              <w:rPr>
                <w:sz w:val="21"/>
              </w:rPr>
              <w:t>（</w:t>
            </w:r>
            <w:r>
              <w:rPr>
                <w:rFonts w:ascii="Times New Roman" w:eastAsia="Times New Roman"/>
                <w:sz w:val="21"/>
              </w:rPr>
              <w:t>3</w:t>
            </w:r>
            <w:r>
              <w:rPr>
                <w:sz w:val="21"/>
              </w:rPr>
              <w:t>）</w:t>
            </w:r>
            <w:r>
              <w:rPr>
                <w:rFonts w:ascii="Times New Roman" w:eastAsia="Times New Roman"/>
                <w:sz w:val="21"/>
              </w:rPr>
              <w:t>CREST </w:t>
            </w:r>
            <w:r>
              <w:rPr>
                <w:sz w:val="21"/>
              </w:rPr>
              <w:t>综合征。</w:t>
            </w:r>
          </w:p>
        </w:tc>
      </w:tr>
      <w:tr>
        <w:trPr>
          <w:trHeight w:val="1523" w:hRule="atLeast"/>
        </w:trPr>
        <w:tc>
          <w:tcPr>
            <w:tcW w:w="693" w:type="dxa"/>
          </w:tcPr>
          <w:p>
            <w:pPr>
              <w:pStyle w:val="TableParagraph"/>
              <w:spacing w:before="75"/>
              <w:ind w:left="181" w:right="209"/>
              <w:jc w:val="center"/>
              <w:rPr>
                <w:rFonts w:ascii="Times New Roman"/>
                <w:b/>
                <w:sz w:val="21"/>
              </w:rPr>
            </w:pPr>
            <w:r>
              <w:rPr>
                <w:rFonts w:ascii="Times New Roman"/>
                <w:b/>
                <w:sz w:val="21"/>
              </w:rPr>
              <w:t>37.</w:t>
            </w:r>
          </w:p>
        </w:tc>
        <w:tc>
          <w:tcPr>
            <w:tcW w:w="1275" w:type="dxa"/>
          </w:tcPr>
          <w:p>
            <w:pPr>
              <w:pStyle w:val="TableParagraph"/>
              <w:spacing w:line="199" w:lineRule="auto" w:before="25"/>
              <w:ind w:left="229" w:right="198"/>
              <w:rPr>
                <w:rFonts w:ascii="微软雅黑" w:eastAsia="微软雅黑" w:hint="eastAsia"/>
                <w:b/>
                <w:sz w:val="21"/>
              </w:rPr>
            </w:pPr>
            <w:r>
              <w:rPr>
                <w:rFonts w:ascii="微软雅黑" w:eastAsia="微软雅黑" w:hint="eastAsia"/>
                <w:b/>
                <w:sz w:val="21"/>
              </w:rPr>
              <w:t>肺源性心脏病：</w:t>
            </w:r>
          </w:p>
        </w:tc>
        <w:tc>
          <w:tcPr>
            <w:tcW w:w="8066" w:type="dxa"/>
          </w:tcPr>
          <w:p>
            <w:pPr>
              <w:pStyle w:val="TableParagraph"/>
              <w:spacing w:before="25"/>
              <w:ind w:left="202"/>
              <w:rPr>
                <w:sz w:val="21"/>
              </w:rPr>
            </w:pPr>
            <w:r>
              <w:rPr>
                <w:sz w:val="21"/>
              </w:rPr>
              <w:t>由呼吸专科医生或心内科专科医生确诊为肺源性心脏病。诊断必须基于右心导管</w:t>
            </w:r>
          </w:p>
          <w:p>
            <w:pPr>
              <w:pStyle w:val="TableParagraph"/>
              <w:spacing w:before="24"/>
              <w:ind w:left="202"/>
              <w:rPr>
                <w:sz w:val="21"/>
              </w:rPr>
            </w:pPr>
            <w:r>
              <w:rPr>
                <w:sz w:val="21"/>
              </w:rPr>
              <w:t>（心血管造影）的检查结果，且必须同时满足如下诊断标准：</w:t>
            </w:r>
          </w:p>
          <w:p>
            <w:pPr>
              <w:pStyle w:val="TableParagraph"/>
              <w:spacing w:before="24"/>
              <w:ind w:left="202"/>
              <w:rPr>
                <w:sz w:val="21"/>
              </w:rPr>
            </w:pPr>
            <w:r>
              <w:rPr>
                <w:sz w:val="21"/>
              </w:rPr>
              <w:t>（</w:t>
            </w:r>
            <w:r>
              <w:rPr>
                <w:rFonts w:ascii="Times New Roman" w:eastAsia="Times New Roman"/>
                <w:sz w:val="21"/>
              </w:rPr>
              <w:t>1</w:t>
            </w:r>
            <w:r>
              <w:rPr>
                <w:sz w:val="21"/>
              </w:rPr>
              <w:t>）肺血管阻力高于 </w:t>
            </w:r>
            <w:r>
              <w:rPr>
                <w:rFonts w:ascii="Times New Roman" w:eastAsia="Times New Roman"/>
                <w:sz w:val="21"/>
              </w:rPr>
              <w:t>3 </w:t>
            </w:r>
            <w:r>
              <w:rPr>
                <w:sz w:val="21"/>
              </w:rPr>
              <w:t>个伍德单位；</w:t>
            </w:r>
          </w:p>
          <w:p>
            <w:pPr>
              <w:pStyle w:val="TableParagraph"/>
              <w:spacing w:before="8"/>
              <w:ind w:left="202"/>
              <w:rPr>
                <w:sz w:val="21"/>
              </w:rPr>
            </w:pPr>
            <w:r>
              <w:rPr>
                <w:sz w:val="21"/>
              </w:rPr>
              <w:t>（</w:t>
            </w:r>
            <w:r>
              <w:rPr>
                <w:rFonts w:ascii="Times New Roman" w:eastAsia="Times New Roman"/>
                <w:sz w:val="21"/>
              </w:rPr>
              <w:t>2</w:t>
            </w:r>
            <w:r>
              <w:rPr>
                <w:sz w:val="21"/>
              </w:rPr>
              <w:t>）平均肺动脉血压不低于 </w:t>
            </w:r>
            <w:r>
              <w:rPr>
                <w:rFonts w:ascii="Times New Roman" w:eastAsia="Times New Roman"/>
                <w:sz w:val="21"/>
              </w:rPr>
              <w:t>40 </w:t>
            </w:r>
            <w:r>
              <w:rPr>
                <w:sz w:val="21"/>
              </w:rPr>
              <w:t>毫米汞柱；</w:t>
            </w:r>
          </w:p>
          <w:p>
            <w:pPr>
              <w:pStyle w:val="TableParagraph"/>
              <w:spacing w:line="278" w:lineRule="exact" w:before="9"/>
              <w:ind w:left="202"/>
              <w:rPr>
                <w:sz w:val="21"/>
              </w:rPr>
            </w:pPr>
            <w:r>
              <w:rPr>
                <w:sz w:val="21"/>
              </w:rPr>
              <w:t>（</w:t>
            </w:r>
            <w:r>
              <w:rPr>
                <w:rFonts w:ascii="Times New Roman" w:eastAsia="Times New Roman"/>
                <w:sz w:val="21"/>
              </w:rPr>
              <w:t>3</w:t>
            </w:r>
            <w:r>
              <w:rPr>
                <w:sz w:val="21"/>
              </w:rPr>
              <w:t>）肺楔压不高于 </w:t>
            </w:r>
            <w:r>
              <w:rPr>
                <w:rFonts w:ascii="Times New Roman" w:eastAsia="Times New Roman"/>
                <w:sz w:val="21"/>
              </w:rPr>
              <w:t>15 </w:t>
            </w:r>
            <w:r>
              <w:rPr>
                <w:sz w:val="21"/>
              </w:rPr>
              <w:t>毫米汞柱；</w:t>
            </w:r>
          </w:p>
        </w:tc>
      </w:tr>
    </w:tbl>
    <w:p>
      <w:pPr>
        <w:spacing w:after="0" w:line="278" w:lineRule="exact"/>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58"/>
      </w:tblGrid>
      <w:tr>
        <w:trPr>
          <w:trHeight w:val="615" w:hRule="atLeast"/>
        </w:trPr>
        <w:tc>
          <w:tcPr>
            <w:tcW w:w="693" w:type="dxa"/>
          </w:tcPr>
          <w:p>
            <w:pPr>
              <w:pStyle w:val="TableParagraph"/>
              <w:ind w:left="0"/>
              <w:rPr>
                <w:rFonts w:ascii="Times New Roman"/>
                <w:sz w:val="20"/>
              </w:rPr>
            </w:pPr>
          </w:p>
        </w:tc>
        <w:tc>
          <w:tcPr>
            <w:tcW w:w="1381" w:type="dxa"/>
          </w:tcPr>
          <w:p>
            <w:pPr>
              <w:pStyle w:val="TableParagraph"/>
              <w:ind w:left="0"/>
              <w:rPr>
                <w:rFonts w:ascii="Times New Roman"/>
                <w:sz w:val="20"/>
              </w:rPr>
            </w:pPr>
          </w:p>
        </w:tc>
        <w:tc>
          <w:tcPr>
            <w:tcW w:w="7958" w:type="dxa"/>
          </w:tcPr>
          <w:p>
            <w:pPr>
              <w:pStyle w:val="TableParagraph"/>
              <w:spacing w:line="227" w:lineRule="exact"/>
              <w:rPr>
                <w:sz w:val="21"/>
              </w:rPr>
            </w:pPr>
            <w:r>
              <w:rPr>
                <w:sz w:val="21"/>
              </w:rPr>
              <w:t>（</w:t>
            </w:r>
            <w:r>
              <w:rPr>
                <w:rFonts w:ascii="Times New Roman" w:eastAsia="Times New Roman"/>
                <w:sz w:val="21"/>
              </w:rPr>
              <w:t>4</w:t>
            </w:r>
            <w:r>
              <w:rPr>
                <w:sz w:val="21"/>
              </w:rPr>
              <w:t>）右心室过度肥大和扩张，出现右心衰竭和呼吸困难。</w:t>
            </w:r>
          </w:p>
          <w:p>
            <w:pPr>
              <w:pStyle w:val="TableParagraph"/>
              <w:spacing w:before="9"/>
              <w:rPr>
                <w:sz w:val="21"/>
              </w:rPr>
            </w:pPr>
            <w:r>
              <w:rPr>
                <w:sz w:val="21"/>
              </w:rPr>
              <w:t>因左心病变或者先天性心脏病引起的右心衰竭或者肺动脉高压不在保障范围之内。</w:t>
            </w:r>
          </w:p>
        </w:tc>
      </w:tr>
      <w:tr>
        <w:trPr>
          <w:trHeight w:val="2607" w:hRule="atLeast"/>
        </w:trPr>
        <w:tc>
          <w:tcPr>
            <w:tcW w:w="693" w:type="dxa"/>
          </w:tcPr>
          <w:p>
            <w:pPr>
              <w:pStyle w:val="TableParagraph"/>
              <w:spacing w:before="83"/>
              <w:ind w:left="181" w:right="209"/>
              <w:jc w:val="center"/>
              <w:rPr>
                <w:rFonts w:ascii="Times New Roman"/>
                <w:b/>
                <w:sz w:val="21"/>
              </w:rPr>
            </w:pPr>
            <w:r>
              <w:rPr>
                <w:rFonts w:ascii="Times New Roman"/>
                <w:b/>
                <w:sz w:val="21"/>
              </w:rPr>
              <w:t>38.</w:t>
            </w:r>
          </w:p>
        </w:tc>
        <w:tc>
          <w:tcPr>
            <w:tcW w:w="1381" w:type="dxa"/>
          </w:tcPr>
          <w:p>
            <w:pPr>
              <w:pStyle w:val="TableParagraph"/>
              <w:spacing w:line="300" w:lineRule="exact" w:before="39"/>
              <w:ind w:left="229" w:right="304"/>
              <w:rPr>
                <w:rFonts w:ascii="微软雅黑" w:eastAsia="微软雅黑" w:hint="eastAsia"/>
                <w:b/>
                <w:sz w:val="21"/>
              </w:rPr>
            </w:pPr>
            <w:r>
              <w:rPr>
                <w:rFonts w:ascii="微软雅黑" w:eastAsia="微软雅黑" w:hint="eastAsia"/>
                <w:b/>
                <w:sz w:val="21"/>
              </w:rPr>
              <w:t>肝豆状核变性</w:t>
            </w:r>
            <w:r>
              <w:rPr>
                <w:rFonts w:ascii="Times New Roman" w:eastAsia="Times New Roman"/>
                <w:b/>
                <w:sz w:val="21"/>
              </w:rPr>
              <w:t>(Wilson </w:t>
            </w:r>
            <w:r>
              <w:rPr>
                <w:rFonts w:ascii="微软雅黑" w:eastAsia="微软雅黑" w:hint="eastAsia"/>
                <w:b/>
                <w:sz w:val="21"/>
              </w:rPr>
              <w:t>病 </w:t>
            </w:r>
            <w:r>
              <w:rPr>
                <w:rFonts w:ascii="Times New Roman" w:eastAsia="Times New Roman"/>
                <w:b/>
                <w:sz w:val="21"/>
              </w:rPr>
              <w:t>) </w:t>
            </w:r>
            <w:r>
              <w:rPr>
                <w:rFonts w:ascii="微软雅黑" w:eastAsia="微软雅黑" w:hint="eastAsia"/>
                <w:b/>
                <w:sz w:val="21"/>
              </w:rPr>
              <w:t>：</w:t>
            </w:r>
          </w:p>
        </w:tc>
        <w:tc>
          <w:tcPr>
            <w:tcW w:w="7958" w:type="dxa"/>
          </w:tcPr>
          <w:p>
            <w:pPr>
              <w:pStyle w:val="TableParagraph"/>
              <w:spacing w:line="273" w:lineRule="auto" w:before="27"/>
              <w:ind w:right="300"/>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56" w:lineRule="auto" w:before="8"/>
              <w:ind w:left="621" w:right="308" w:hanging="526"/>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before="22"/>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rPr>
                <w:sz w:val="21"/>
              </w:rPr>
            </w:pPr>
            <w:r>
              <w:rPr>
                <w:sz w:val="21"/>
              </w:rPr>
              <w:t>（</w:t>
            </w:r>
            <w:r>
              <w:rPr>
                <w:rFonts w:ascii="Times New Roman" w:eastAsia="Times New Roman"/>
                <w:sz w:val="21"/>
              </w:rPr>
              <w:t>4</w:t>
            </w:r>
            <w:r>
              <w:rPr>
                <w:sz w:val="21"/>
              </w:rPr>
              <w:t>）食管静脉曲张；</w:t>
            </w:r>
          </w:p>
          <w:p>
            <w:pPr>
              <w:pStyle w:val="TableParagraph"/>
              <w:spacing w:before="20"/>
              <w:rPr>
                <w:sz w:val="21"/>
              </w:rPr>
            </w:pPr>
            <w:r>
              <w:rPr>
                <w:sz w:val="21"/>
              </w:rPr>
              <w:t>（</w:t>
            </w:r>
            <w:r>
              <w:rPr>
                <w:rFonts w:ascii="Times New Roman" w:eastAsia="Times New Roman"/>
                <w:sz w:val="21"/>
              </w:rPr>
              <w:t>5</w:t>
            </w:r>
            <w:r>
              <w:rPr>
                <w:sz w:val="21"/>
              </w:rPr>
              <w:t>）腹水。</w:t>
            </w:r>
          </w:p>
        </w:tc>
      </w:tr>
      <w:tr>
        <w:trPr>
          <w:trHeight w:val="1041" w:hRule="atLeast"/>
        </w:trPr>
        <w:tc>
          <w:tcPr>
            <w:tcW w:w="693" w:type="dxa"/>
          </w:tcPr>
          <w:p>
            <w:pPr>
              <w:pStyle w:val="TableParagraph"/>
              <w:spacing w:before="85"/>
              <w:ind w:left="181" w:right="209"/>
              <w:jc w:val="center"/>
              <w:rPr>
                <w:rFonts w:ascii="Times New Roman"/>
                <w:b/>
                <w:sz w:val="21"/>
              </w:rPr>
            </w:pPr>
            <w:r>
              <w:rPr>
                <w:rFonts w:ascii="Times New Roman"/>
                <w:b/>
                <w:sz w:val="21"/>
              </w:rPr>
              <w:t>39.</w:t>
            </w:r>
          </w:p>
        </w:tc>
        <w:tc>
          <w:tcPr>
            <w:tcW w:w="1381" w:type="dxa"/>
          </w:tcPr>
          <w:p>
            <w:pPr>
              <w:pStyle w:val="TableParagraph"/>
              <w:spacing w:line="336" w:lineRule="exact"/>
              <w:ind w:left="229"/>
              <w:rPr>
                <w:rFonts w:ascii="微软雅黑" w:eastAsia="微软雅黑" w:hint="eastAsia"/>
                <w:b/>
                <w:sz w:val="21"/>
              </w:rPr>
            </w:pPr>
            <w:r>
              <w:rPr>
                <w:rFonts w:ascii="微软雅黑" w:eastAsia="微软雅黑" w:hint="eastAsia"/>
                <w:b/>
                <w:sz w:val="21"/>
              </w:rPr>
              <w:t>象皮病：</w:t>
            </w:r>
          </w:p>
        </w:tc>
        <w:tc>
          <w:tcPr>
            <w:tcW w:w="7958" w:type="dxa"/>
          </w:tcPr>
          <w:p>
            <w:pPr>
              <w:pStyle w:val="TableParagraph"/>
              <w:spacing w:line="273" w:lineRule="auto" w:before="28"/>
              <w:ind w:right="300"/>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2533" w:hRule="atLeast"/>
        </w:trPr>
        <w:tc>
          <w:tcPr>
            <w:tcW w:w="693" w:type="dxa"/>
          </w:tcPr>
          <w:p>
            <w:pPr>
              <w:pStyle w:val="TableParagraph"/>
              <w:spacing w:before="93"/>
              <w:ind w:left="181" w:right="209"/>
              <w:jc w:val="center"/>
              <w:rPr>
                <w:rFonts w:ascii="Times New Roman"/>
                <w:b/>
                <w:sz w:val="21"/>
              </w:rPr>
            </w:pPr>
            <w:r>
              <w:rPr>
                <w:rFonts w:ascii="Times New Roman"/>
                <w:b/>
                <w:sz w:val="21"/>
              </w:rPr>
              <w:t>40.</w:t>
            </w:r>
          </w:p>
        </w:tc>
        <w:tc>
          <w:tcPr>
            <w:tcW w:w="1381" w:type="dxa"/>
          </w:tcPr>
          <w:p>
            <w:pPr>
              <w:pStyle w:val="TableParagraph"/>
              <w:spacing w:line="199" w:lineRule="auto" w:before="43"/>
              <w:ind w:left="229" w:right="304"/>
              <w:jc w:val="both"/>
              <w:rPr>
                <w:rFonts w:ascii="微软雅黑" w:eastAsia="微软雅黑" w:hint="eastAsia"/>
                <w:b/>
                <w:sz w:val="21"/>
              </w:rPr>
            </w:pPr>
            <w:r>
              <w:rPr>
                <w:rFonts w:ascii="微软雅黑" w:eastAsia="微软雅黑" w:hint="eastAsia"/>
                <w:b/>
                <w:sz w:val="21"/>
              </w:rPr>
              <w:t>严重自身免疫性肝炎：</w:t>
            </w:r>
          </w:p>
        </w:tc>
        <w:tc>
          <w:tcPr>
            <w:tcW w:w="7958" w:type="dxa"/>
          </w:tcPr>
          <w:p>
            <w:pPr>
              <w:pStyle w:val="TableParagraph"/>
              <w:spacing w:line="261" w:lineRule="auto" w:before="43"/>
              <w:ind w:right="300"/>
              <w:jc w:val="both"/>
              <w:rPr>
                <w:sz w:val="21"/>
              </w:rPr>
            </w:pPr>
            <w:r>
              <w:rPr>
                <w:sz w:val="21"/>
              </w:rPr>
              <w:t>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5"/>
              <w:rPr>
                <w:sz w:val="21"/>
              </w:rPr>
            </w:pPr>
            <w:r>
              <w:rPr>
                <w:sz w:val="21"/>
              </w:rPr>
              <w:t>（</w:t>
            </w:r>
            <w:r>
              <w:rPr>
                <w:rFonts w:ascii="Times New Roman" w:hAnsi="Times New Roman" w:eastAsia="Times New Roman"/>
                <w:sz w:val="21"/>
              </w:rPr>
              <w:t>1</w:t>
            </w:r>
            <w:r>
              <w:rPr>
                <w:sz w:val="21"/>
              </w:rPr>
              <w:t>）高γ球蛋白血症；</w:t>
            </w:r>
          </w:p>
          <w:p>
            <w:pPr>
              <w:pStyle w:val="TableParagraph"/>
              <w:spacing w:line="247" w:lineRule="auto" w:before="8"/>
              <w:ind w:left="621" w:right="226" w:hanging="526"/>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1"/>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722" w:hRule="atLeast"/>
        </w:trPr>
        <w:tc>
          <w:tcPr>
            <w:tcW w:w="693" w:type="dxa"/>
          </w:tcPr>
          <w:p>
            <w:pPr>
              <w:pStyle w:val="TableParagraph"/>
              <w:spacing w:before="84"/>
              <w:ind w:left="181" w:right="209"/>
              <w:jc w:val="center"/>
              <w:rPr>
                <w:rFonts w:ascii="Times New Roman"/>
                <w:b/>
                <w:sz w:val="21"/>
              </w:rPr>
            </w:pPr>
            <w:r>
              <w:rPr>
                <w:rFonts w:ascii="Times New Roman"/>
                <w:b/>
                <w:sz w:val="21"/>
              </w:rPr>
              <w:t>41.</w:t>
            </w:r>
          </w:p>
        </w:tc>
        <w:tc>
          <w:tcPr>
            <w:tcW w:w="1381" w:type="dxa"/>
          </w:tcPr>
          <w:p>
            <w:pPr>
              <w:pStyle w:val="TableParagraph"/>
              <w:spacing w:line="199" w:lineRule="auto" w:before="34"/>
              <w:ind w:left="229" w:right="304"/>
              <w:rPr>
                <w:rFonts w:ascii="微软雅黑" w:eastAsia="微软雅黑" w:hint="eastAsia"/>
                <w:b/>
                <w:sz w:val="21"/>
              </w:rPr>
            </w:pPr>
            <w:r>
              <w:rPr>
                <w:rFonts w:ascii="微软雅黑" w:eastAsia="微软雅黑" w:hint="eastAsia"/>
                <w:b/>
                <w:sz w:val="21"/>
              </w:rPr>
              <w:t>严重心肌炎：</w:t>
            </w:r>
          </w:p>
        </w:tc>
        <w:tc>
          <w:tcPr>
            <w:tcW w:w="7958" w:type="dxa"/>
          </w:tcPr>
          <w:p>
            <w:pPr>
              <w:pStyle w:val="TableParagraph"/>
              <w:spacing w:line="261" w:lineRule="auto" w:before="35"/>
              <w:ind w:right="301"/>
              <w:rPr>
                <w:sz w:val="21"/>
              </w:rPr>
            </w:pPr>
            <w:r>
              <w:rPr>
                <w:sz w:val="21"/>
              </w:rPr>
              <w:t>指心肌局限性或弥漫性的急性或慢性炎症病变，导致心脏功能障碍，达到美国纽约心脏病学会心功能状态分级四级，且持续至少 </w:t>
            </w:r>
            <w:r>
              <w:rPr>
                <w:rFonts w:ascii="Times New Roman" w:eastAsia="Times New Roman"/>
                <w:sz w:val="21"/>
              </w:rPr>
              <w:t>90 </w:t>
            </w:r>
            <w:r>
              <w:rPr>
                <w:sz w:val="21"/>
              </w:rPr>
              <w:t>日。</w:t>
            </w:r>
          </w:p>
        </w:tc>
      </w:tr>
      <w:tr>
        <w:trPr>
          <w:trHeight w:val="705" w:hRule="atLeast"/>
        </w:trPr>
        <w:tc>
          <w:tcPr>
            <w:tcW w:w="693" w:type="dxa"/>
          </w:tcPr>
          <w:p>
            <w:pPr>
              <w:pStyle w:val="TableParagraph"/>
              <w:spacing w:before="75"/>
              <w:ind w:left="181" w:right="209"/>
              <w:jc w:val="center"/>
              <w:rPr>
                <w:rFonts w:ascii="Times New Roman"/>
                <w:b/>
                <w:sz w:val="21"/>
              </w:rPr>
            </w:pPr>
            <w:r>
              <w:rPr>
                <w:rFonts w:ascii="Times New Roman"/>
                <w:b/>
                <w:sz w:val="21"/>
              </w:rPr>
              <w:t>42.</w:t>
            </w:r>
          </w:p>
        </w:tc>
        <w:tc>
          <w:tcPr>
            <w:tcW w:w="1381" w:type="dxa"/>
          </w:tcPr>
          <w:p>
            <w:pPr>
              <w:pStyle w:val="TableParagraph"/>
              <w:spacing w:line="199" w:lineRule="auto" w:before="25"/>
              <w:ind w:left="229" w:right="93"/>
              <w:rPr>
                <w:rFonts w:ascii="微软雅黑" w:eastAsia="微软雅黑" w:hint="eastAsia"/>
                <w:b/>
                <w:sz w:val="21"/>
              </w:rPr>
            </w:pPr>
            <w:r>
              <w:rPr>
                <w:rFonts w:ascii="微软雅黑" w:eastAsia="微软雅黑" w:hint="eastAsia"/>
                <w:b/>
                <w:sz w:val="21"/>
              </w:rPr>
              <w:t>急 性 坏 死 性胰腺炎：</w:t>
            </w:r>
          </w:p>
        </w:tc>
        <w:tc>
          <w:tcPr>
            <w:tcW w:w="7958" w:type="dxa"/>
          </w:tcPr>
          <w:p>
            <w:pPr>
              <w:pStyle w:val="TableParagraph"/>
              <w:spacing w:line="261" w:lineRule="auto" w:before="25"/>
              <w:ind w:right="300"/>
              <w:rPr>
                <w:sz w:val="21"/>
              </w:rPr>
            </w:pPr>
            <w:r>
              <w:rPr>
                <w:sz w:val="21"/>
              </w:rPr>
              <w:t>由专科医生确诊为急性坏死性胰腺炎，并需进行手术治疗，以进行组织清除、病灶切除或胰腺部分切除。但因酒精中毒所致的急性坏死性胰腺炎除外。</w:t>
            </w:r>
          </w:p>
        </w:tc>
      </w:tr>
      <w:tr>
        <w:trPr>
          <w:trHeight w:val="1013" w:hRule="atLeast"/>
        </w:trPr>
        <w:tc>
          <w:tcPr>
            <w:tcW w:w="693" w:type="dxa"/>
          </w:tcPr>
          <w:p>
            <w:pPr>
              <w:pStyle w:val="TableParagraph"/>
              <w:spacing w:before="83"/>
              <w:ind w:left="181" w:right="209"/>
              <w:jc w:val="center"/>
              <w:rPr>
                <w:rFonts w:ascii="Times New Roman"/>
                <w:b/>
                <w:sz w:val="21"/>
              </w:rPr>
            </w:pPr>
            <w:r>
              <w:rPr>
                <w:rFonts w:ascii="Times New Roman"/>
                <w:b/>
                <w:sz w:val="21"/>
              </w:rPr>
              <w:t>43.</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严重克隆病：</w:t>
            </w:r>
          </w:p>
        </w:tc>
        <w:tc>
          <w:tcPr>
            <w:tcW w:w="7958" w:type="dxa"/>
          </w:tcPr>
          <w:p>
            <w:pPr>
              <w:pStyle w:val="TableParagraph"/>
              <w:spacing w:line="261" w:lineRule="auto" w:before="33"/>
              <w:ind w:right="30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313" w:hRule="atLeast"/>
        </w:trPr>
        <w:tc>
          <w:tcPr>
            <w:tcW w:w="693" w:type="dxa"/>
          </w:tcPr>
          <w:p>
            <w:pPr>
              <w:pStyle w:val="TableParagraph"/>
              <w:spacing w:before="84"/>
              <w:ind w:left="181" w:right="209"/>
              <w:jc w:val="center"/>
              <w:rPr>
                <w:rFonts w:ascii="Times New Roman"/>
                <w:b/>
                <w:sz w:val="21"/>
              </w:rPr>
            </w:pPr>
            <w:r>
              <w:rPr>
                <w:rFonts w:ascii="Times New Roman"/>
                <w:b/>
                <w:sz w:val="21"/>
              </w:rPr>
              <w:t>44.</w:t>
            </w:r>
          </w:p>
        </w:tc>
        <w:tc>
          <w:tcPr>
            <w:tcW w:w="1381" w:type="dxa"/>
          </w:tcPr>
          <w:p>
            <w:pPr>
              <w:pStyle w:val="TableParagraph"/>
              <w:spacing w:line="199" w:lineRule="auto" w:before="34"/>
              <w:ind w:left="229" w:right="304"/>
              <w:rPr>
                <w:rFonts w:ascii="微软雅黑" w:eastAsia="微软雅黑" w:hint="eastAsia"/>
                <w:b/>
                <w:sz w:val="21"/>
              </w:rPr>
            </w:pPr>
            <w:r>
              <w:rPr>
                <w:rFonts w:ascii="微软雅黑" w:eastAsia="微软雅黑" w:hint="eastAsia"/>
                <w:b/>
                <w:sz w:val="21"/>
              </w:rPr>
              <w:t>严重冠心病：</w:t>
            </w:r>
          </w:p>
        </w:tc>
        <w:tc>
          <w:tcPr>
            <w:tcW w:w="7958" w:type="dxa"/>
          </w:tcPr>
          <w:p>
            <w:pPr>
              <w:pStyle w:val="TableParagraph"/>
              <w:spacing w:line="256" w:lineRule="auto" w:before="35"/>
              <w:ind w:right="300"/>
              <w:jc w:val="both"/>
              <w:rPr>
                <w:sz w:val="21"/>
              </w:rPr>
            </w:pPr>
            <w:r>
              <w:rPr>
                <w:spacing w:val="2"/>
                <w:sz w:val="21"/>
              </w:rPr>
              <w:t>指根据冠状动脉造影检查结果确诊的三支主要血管（</w:t>
            </w:r>
            <w:r>
              <w:rPr>
                <w:spacing w:val="0"/>
                <w:sz w:val="21"/>
              </w:rPr>
              <w:t>左冠状动脉主干和右冠状动</w:t>
            </w:r>
            <w:r>
              <w:rPr>
                <w:spacing w:val="-3"/>
                <w:sz w:val="21"/>
              </w:rPr>
              <w:t>脉，或前降支、左旋支和右冠状动脉）严重狭窄性病变（至少一支血管管腔直径减</w:t>
            </w:r>
            <w:r>
              <w:rPr>
                <w:spacing w:val="-21"/>
                <w:sz w:val="21"/>
              </w:rPr>
              <w:t>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5"/>
                <w:sz w:val="21"/>
              </w:rPr>
              <w:t>）</w:t>
            </w:r>
            <w:r>
              <w:rPr>
                <w:spacing w:val="-7"/>
                <w:sz w:val="21"/>
              </w:rPr>
              <w:t>。前降支、左旋支及右冠状动</w:t>
            </w:r>
            <w:r>
              <w:rPr>
                <w:spacing w:val="-5"/>
                <w:sz w:val="21"/>
              </w:rPr>
              <w:t>脉的分支血管的狭窄不作为本保障的衡量指标。</w:t>
            </w:r>
          </w:p>
        </w:tc>
      </w:tr>
      <w:tr>
        <w:trPr>
          <w:trHeight w:val="2213" w:hRule="atLeast"/>
        </w:trPr>
        <w:tc>
          <w:tcPr>
            <w:tcW w:w="693" w:type="dxa"/>
          </w:tcPr>
          <w:p>
            <w:pPr>
              <w:pStyle w:val="TableParagraph"/>
              <w:spacing w:before="83"/>
              <w:ind w:left="181" w:right="209"/>
              <w:jc w:val="center"/>
              <w:rPr>
                <w:rFonts w:ascii="Times New Roman"/>
                <w:b/>
                <w:sz w:val="21"/>
              </w:rPr>
            </w:pPr>
            <w:r>
              <w:rPr>
                <w:rFonts w:ascii="Times New Roman"/>
                <w:b/>
                <w:sz w:val="21"/>
              </w:rPr>
              <w:t>45.</w:t>
            </w:r>
          </w:p>
        </w:tc>
        <w:tc>
          <w:tcPr>
            <w:tcW w:w="1381" w:type="dxa"/>
          </w:tcPr>
          <w:p>
            <w:pPr>
              <w:pStyle w:val="TableParagraph"/>
              <w:spacing w:line="199" w:lineRule="auto" w:before="33"/>
              <w:ind w:left="229" w:right="199"/>
              <w:rPr>
                <w:rFonts w:ascii="微软雅黑" w:eastAsia="微软雅黑" w:hint="eastAsia"/>
                <w:b/>
                <w:sz w:val="21"/>
              </w:rPr>
            </w:pPr>
            <w:r>
              <w:rPr>
                <w:rFonts w:ascii="微软雅黑" w:eastAsia="微软雅黑" w:hint="eastAsia"/>
                <w:b/>
                <w:w w:val="105"/>
                <w:sz w:val="21"/>
              </w:rPr>
              <w:t>艾迪森氏</w:t>
            </w:r>
            <w:r>
              <w:rPr>
                <w:rFonts w:ascii="微软雅黑" w:eastAsia="微软雅黑" w:hint="eastAsia"/>
                <w:b/>
                <w:sz w:val="21"/>
              </w:rPr>
              <w:t>病(慢性肾</w:t>
            </w:r>
            <w:r>
              <w:rPr>
                <w:rFonts w:ascii="微软雅黑" w:eastAsia="微软雅黑" w:hint="eastAsia"/>
                <w:b/>
                <w:w w:val="105"/>
                <w:sz w:val="21"/>
              </w:rPr>
              <w:t>上腺皮质</w:t>
            </w:r>
            <w:r>
              <w:rPr>
                <w:rFonts w:ascii="微软雅黑" w:eastAsia="微软雅黑" w:hint="eastAsia"/>
                <w:b/>
                <w:sz w:val="21"/>
              </w:rPr>
              <w:t>功能衰</w:t>
            </w:r>
          </w:p>
          <w:p>
            <w:pPr>
              <w:pStyle w:val="TableParagraph"/>
              <w:spacing w:line="300" w:lineRule="exact"/>
              <w:ind w:left="229"/>
              <w:rPr>
                <w:rFonts w:ascii="微软雅黑" w:eastAsia="微软雅黑" w:hint="eastAsia"/>
                <w:b/>
                <w:sz w:val="21"/>
              </w:rPr>
            </w:pPr>
            <w:r>
              <w:rPr>
                <w:rFonts w:ascii="微软雅黑" w:eastAsia="微软雅黑" w:hint="eastAsia"/>
                <w:b/>
                <w:w w:val="110"/>
                <w:sz w:val="21"/>
              </w:rPr>
              <w:t>竭) ：</w:t>
            </w:r>
          </w:p>
        </w:tc>
        <w:tc>
          <w:tcPr>
            <w:tcW w:w="7958" w:type="dxa"/>
          </w:tcPr>
          <w:p>
            <w:pPr>
              <w:pStyle w:val="TableParagraph"/>
              <w:spacing w:line="261" w:lineRule="auto" w:before="33"/>
              <w:ind w:right="197"/>
              <w:rPr>
                <w:sz w:val="21"/>
              </w:rPr>
            </w:pPr>
            <w:r>
              <w:rPr>
                <w:spacing w:val="-5"/>
                <w:sz w:val="21"/>
              </w:rPr>
              <w:t>因为自身免疫功能紊乱，使肾上腺组织逐渐受损，而需要长期接受糖皮质激素及肾</w:t>
            </w:r>
            <w:r>
              <w:rPr>
                <w:spacing w:val="-11"/>
                <w:sz w:val="21"/>
              </w:rPr>
              <w:t>上腺皮质激素替代疗法。该病必须经内分泌专科医生确诊，并有以下报告作为证据：</w:t>
            </w:r>
          </w:p>
          <w:p>
            <w:pPr>
              <w:pStyle w:val="TableParagraph"/>
              <w:spacing w:before="5"/>
              <w:rPr>
                <w:sz w:val="21"/>
              </w:rPr>
            </w:pPr>
            <w:r>
              <w:rPr>
                <w:sz w:val="21"/>
              </w:rPr>
              <w:t>（</w:t>
            </w:r>
            <w:r>
              <w:rPr>
                <w:rFonts w:ascii="Times New Roman" w:eastAsia="Times New Roman"/>
                <w:sz w:val="21"/>
              </w:rPr>
              <w:t>1</w:t>
            </w:r>
            <w:r>
              <w:rPr>
                <w:sz w:val="21"/>
              </w:rPr>
              <w:t>）促肾上腺皮质激素</w:t>
            </w:r>
            <w:r>
              <w:rPr>
                <w:rFonts w:ascii="Times New Roman" w:eastAsia="Times New Roman"/>
                <w:sz w:val="21"/>
              </w:rPr>
              <w:t>(ACTH)</w:t>
            </w:r>
            <w:r>
              <w:rPr>
                <w:sz w:val="21"/>
              </w:rPr>
              <w:t>刺激试验；</w:t>
            </w:r>
          </w:p>
          <w:p>
            <w:pPr>
              <w:pStyle w:val="TableParagraph"/>
              <w:spacing w:before="9"/>
              <w:rPr>
                <w:sz w:val="21"/>
              </w:rPr>
            </w:pPr>
            <w:r>
              <w:rPr>
                <w:sz w:val="21"/>
              </w:rPr>
              <w:t>（</w:t>
            </w:r>
            <w:r>
              <w:rPr>
                <w:rFonts w:ascii="Times New Roman" w:eastAsia="Times New Roman"/>
                <w:sz w:val="21"/>
              </w:rPr>
              <w:t>2</w:t>
            </w:r>
            <w:r>
              <w:rPr>
                <w:sz w:val="21"/>
              </w:rPr>
              <w:t>）胰岛素血糖减少测试；</w:t>
            </w:r>
          </w:p>
          <w:p>
            <w:pPr>
              <w:pStyle w:val="TableParagraph"/>
              <w:spacing w:before="9"/>
              <w:rPr>
                <w:sz w:val="21"/>
              </w:rPr>
            </w:pPr>
            <w:r>
              <w:rPr>
                <w:sz w:val="21"/>
              </w:rPr>
              <w:t>（</w:t>
            </w:r>
            <w:r>
              <w:rPr>
                <w:rFonts w:ascii="Times New Roman" w:eastAsia="Times New Roman"/>
                <w:sz w:val="21"/>
              </w:rPr>
              <w:t>3</w:t>
            </w:r>
            <w:r>
              <w:rPr>
                <w:sz w:val="21"/>
              </w:rPr>
              <w:t>）血浆促肾上腺皮质激素</w:t>
            </w:r>
            <w:r>
              <w:rPr>
                <w:rFonts w:ascii="Times New Roman" w:eastAsia="Times New Roman"/>
                <w:sz w:val="21"/>
              </w:rPr>
              <w:t>(ACTH)</w:t>
            </w:r>
            <w:r>
              <w:rPr>
                <w:sz w:val="21"/>
              </w:rPr>
              <w:t>水平测定；</w:t>
            </w:r>
          </w:p>
          <w:p>
            <w:pPr>
              <w:pStyle w:val="TableParagraph"/>
              <w:spacing w:before="9"/>
              <w:rPr>
                <w:sz w:val="21"/>
              </w:rPr>
            </w:pPr>
            <w:r>
              <w:rPr>
                <w:sz w:val="21"/>
              </w:rPr>
              <w:t>（</w:t>
            </w:r>
            <w:r>
              <w:rPr>
                <w:rFonts w:ascii="Times New Roman" w:eastAsia="Times New Roman"/>
                <w:sz w:val="21"/>
              </w:rPr>
              <w:t>4</w:t>
            </w:r>
            <w:r>
              <w:rPr>
                <w:sz w:val="21"/>
              </w:rPr>
              <w:t>）血浆肾素活性</w:t>
            </w:r>
            <w:r>
              <w:rPr>
                <w:rFonts w:ascii="Times New Roman" w:eastAsia="Times New Roman"/>
                <w:sz w:val="21"/>
              </w:rPr>
              <w:t>(PRA)</w:t>
            </w:r>
            <w:r>
              <w:rPr>
                <w:sz w:val="21"/>
              </w:rPr>
              <w:t>测定。</w:t>
            </w:r>
          </w:p>
          <w:p>
            <w:pPr>
              <w:pStyle w:val="TableParagraph"/>
              <w:spacing w:before="9"/>
              <w:rPr>
                <w:sz w:val="21"/>
              </w:rPr>
            </w:pPr>
            <w:r>
              <w:rPr>
                <w:sz w:val="21"/>
              </w:rPr>
              <w:t>非由自身免疫功能紊乱引起的慢性肾上腺皮质功能衰竭不在保障范围内。</w:t>
            </w:r>
          </w:p>
        </w:tc>
      </w:tr>
      <w:tr>
        <w:trPr>
          <w:trHeight w:val="915" w:hRule="atLeast"/>
        </w:trPr>
        <w:tc>
          <w:tcPr>
            <w:tcW w:w="693" w:type="dxa"/>
          </w:tcPr>
          <w:p>
            <w:pPr>
              <w:pStyle w:val="TableParagraph"/>
              <w:spacing w:before="83"/>
              <w:ind w:left="181" w:right="209"/>
              <w:jc w:val="center"/>
              <w:rPr>
                <w:rFonts w:ascii="Times New Roman"/>
                <w:b/>
                <w:sz w:val="21"/>
              </w:rPr>
            </w:pPr>
            <w:r>
              <w:rPr>
                <w:rFonts w:ascii="Times New Roman"/>
                <w:b/>
                <w:sz w:val="21"/>
              </w:rPr>
              <w:t>46.</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埃博拉病毒感染：</w:t>
            </w:r>
          </w:p>
        </w:tc>
        <w:tc>
          <w:tcPr>
            <w:tcW w:w="7958" w:type="dxa"/>
          </w:tcPr>
          <w:p>
            <w:pPr>
              <w:pStyle w:val="TableParagraph"/>
              <w:spacing w:line="300" w:lineRule="exact" w:before="39"/>
              <w:ind w:right="300"/>
              <w:jc w:val="both"/>
              <w:rPr>
                <w:sz w:val="21"/>
              </w:rPr>
            </w:pPr>
            <w:r>
              <w:rPr>
                <w:sz w:val="21"/>
              </w:rPr>
              <w:t>受埃博拉病毒感染导致出血性发热。埃博拉病必须经传染病专科医生确诊，并且埃博拉病毒的存在必须经过实验室检查证实。该病必须从症状开始后 </w:t>
            </w:r>
            <w:r>
              <w:rPr>
                <w:rFonts w:ascii="Times New Roman" w:eastAsia="Times New Roman"/>
                <w:sz w:val="21"/>
              </w:rPr>
              <w:t>30 </w:t>
            </w:r>
            <w:r>
              <w:rPr>
                <w:sz w:val="21"/>
              </w:rPr>
              <w:t>日后持续出现并发症。</w:t>
            </w:r>
          </w:p>
        </w:tc>
      </w:tr>
    </w:tbl>
    <w:p>
      <w:pPr>
        <w:spacing w:after="0" w:line="300" w:lineRule="exact"/>
        <w:jc w:val="both"/>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60"/>
      </w:tblGrid>
      <w:tr>
        <w:trPr>
          <w:trHeight w:val="21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47.</w:t>
            </w:r>
          </w:p>
        </w:tc>
        <w:tc>
          <w:tcPr>
            <w:tcW w:w="1381" w:type="dxa"/>
          </w:tcPr>
          <w:p>
            <w:pPr>
              <w:pStyle w:val="TableParagraph"/>
              <w:spacing w:line="205" w:lineRule="exact"/>
              <w:ind w:left="229"/>
              <w:rPr>
                <w:rFonts w:ascii="微软雅黑" w:eastAsia="微软雅黑" w:hint="eastAsia"/>
                <w:b/>
                <w:sz w:val="21"/>
              </w:rPr>
            </w:pPr>
            <w:r>
              <w:rPr>
                <w:rFonts w:ascii="微软雅黑" w:eastAsia="微软雅黑" w:hint="eastAsia"/>
                <w:b/>
                <w:sz w:val="21"/>
              </w:rPr>
              <w:t>原发性硬</w:t>
            </w:r>
          </w:p>
          <w:p>
            <w:pPr>
              <w:pStyle w:val="TableParagraph"/>
              <w:spacing w:line="199" w:lineRule="auto" w:before="30"/>
              <w:ind w:left="229" w:right="304"/>
              <w:rPr>
                <w:rFonts w:ascii="微软雅黑" w:eastAsia="微软雅黑" w:hint="eastAsia"/>
                <w:b/>
                <w:sz w:val="21"/>
              </w:rPr>
            </w:pPr>
            <w:r>
              <w:rPr>
                <w:rFonts w:ascii="微软雅黑" w:eastAsia="微软雅黑" w:hint="eastAsia"/>
                <w:b/>
                <w:sz w:val="21"/>
              </w:rPr>
              <w:t>化性胆管炎：</w:t>
            </w:r>
          </w:p>
        </w:tc>
        <w:tc>
          <w:tcPr>
            <w:tcW w:w="7960" w:type="dxa"/>
          </w:tcPr>
          <w:p>
            <w:pPr>
              <w:pStyle w:val="TableParagraph"/>
              <w:spacing w:line="211" w:lineRule="exact"/>
              <w:rPr>
                <w:sz w:val="21"/>
              </w:rPr>
            </w:pPr>
            <w:r>
              <w:rPr>
                <w:sz w:val="21"/>
              </w:rPr>
              <w:t>指一种胆汁淤积综合征，其特征是肝内、肝外胆道因纤维化性炎症逐渐狭窄，并最</w:t>
            </w:r>
          </w:p>
          <w:p>
            <w:pPr>
              <w:pStyle w:val="TableParagraph"/>
              <w:spacing w:line="261" w:lineRule="auto" w:before="25"/>
              <w:ind w:right="301"/>
              <w:rPr>
                <w:sz w:val="21"/>
              </w:rPr>
            </w:pPr>
            <w:r>
              <w:rPr>
                <w:sz w:val="21"/>
              </w:rPr>
              <w:t>终导致完全阻塞而发展为肝硬化。本病须经内镜逆行胰胆管造影等影像学检查证实，并须满足下列全部条件：</w:t>
            </w:r>
          </w:p>
          <w:p>
            <w:pPr>
              <w:pStyle w:val="TableParagraph"/>
              <w:spacing w:before="5"/>
              <w:rPr>
                <w:sz w:val="21"/>
              </w:rPr>
            </w:pPr>
            <w:r>
              <w:rPr>
                <w:sz w:val="21"/>
              </w:rPr>
              <w:t>（</w:t>
            </w:r>
            <w:r>
              <w:rPr>
                <w:rFonts w:ascii="Times New Roman" w:eastAsia="Times New Roman"/>
                <w:sz w:val="21"/>
              </w:rPr>
              <w:t>1</w:t>
            </w:r>
            <w:r>
              <w:rPr>
                <w:sz w:val="21"/>
              </w:rPr>
              <w:t>）总胆红素和直接胆红素同时升高，血清 </w:t>
            </w:r>
            <w:r>
              <w:rPr>
                <w:rFonts w:ascii="Times New Roman" w:eastAsia="Times New Roman"/>
                <w:sz w:val="21"/>
              </w:rPr>
              <w:t>ALP&gt;200U/L</w:t>
            </w:r>
            <w:r>
              <w:rPr>
                <w:sz w:val="21"/>
              </w:rPr>
              <w:t>；</w:t>
            </w:r>
          </w:p>
          <w:p>
            <w:pPr>
              <w:pStyle w:val="TableParagraph"/>
              <w:spacing w:before="8"/>
              <w:rPr>
                <w:sz w:val="21"/>
              </w:rPr>
            </w:pPr>
            <w:r>
              <w:rPr>
                <w:sz w:val="21"/>
              </w:rPr>
              <w:t>（</w:t>
            </w:r>
            <w:r>
              <w:rPr>
                <w:rFonts w:ascii="Times New Roman" w:eastAsia="Times New Roman"/>
                <w:sz w:val="21"/>
              </w:rPr>
              <w:t>2</w:t>
            </w:r>
            <w:r>
              <w:rPr>
                <w:sz w:val="21"/>
              </w:rPr>
              <w:t>）持续性黄疸病史；</w:t>
            </w:r>
          </w:p>
          <w:p>
            <w:pPr>
              <w:pStyle w:val="TableParagraph"/>
              <w:spacing w:before="8"/>
              <w:rPr>
                <w:sz w:val="21"/>
              </w:rPr>
            </w:pPr>
            <w:r>
              <w:rPr>
                <w:sz w:val="21"/>
              </w:rPr>
              <w:t>（</w:t>
            </w:r>
            <w:r>
              <w:rPr>
                <w:rFonts w:ascii="Times New Roman" w:eastAsia="Times New Roman"/>
                <w:sz w:val="21"/>
              </w:rPr>
              <w:t>3</w:t>
            </w:r>
            <w:r>
              <w:rPr>
                <w:sz w:val="21"/>
              </w:rPr>
              <w:t>）出现胆汁性肝硬化或门脉高压。</w:t>
            </w:r>
          </w:p>
          <w:p>
            <w:pPr>
              <w:pStyle w:val="TableParagraph"/>
              <w:spacing w:before="8"/>
              <w:rPr>
                <w:sz w:val="21"/>
              </w:rPr>
            </w:pPr>
            <w:r>
              <w:rPr>
                <w:sz w:val="21"/>
              </w:rPr>
              <w:t>因肿瘤或胆管损伤等继发性的硬化性胆管炎不在保障范围内。</w:t>
            </w:r>
          </w:p>
        </w:tc>
      </w:tr>
      <w:tr>
        <w:trPr>
          <w:trHeight w:val="2221" w:hRule="atLeast"/>
        </w:trPr>
        <w:tc>
          <w:tcPr>
            <w:tcW w:w="693" w:type="dxa"/>
          </w:tcPr>
          <w:p>
            <w:pPr>
              <w:pStyle w:val="TableParagraph"/>
              <w:spacing w:before="83"/>
              <w:ind w:left="181" w:right="209"/>
              <w:jc w:val="center"/>
              <w:rPr>
                <w:rFonts w:ascii="Times New Roman"/>
                <w:b/>
                <w:sz w:val="21"/>
              </w:rPr>
            </w:pPr>
            <w:r>
              <w:rPr>
                <w:rFonts w:ascii="Times New Roman"/>
                <w:b/>
                <w:sz w:val="21"/>
              </w:rPr>
              <w:t>48.</w:t>
            </w:r>
          </w:p>
        </w:tc>
        <w:tc>
          <w:tcPr>
            <w:tcW w:w="1381" w:type="dxa"/>
          </w:tcPr>
          <w:p>
            <w:pPr>
              <w:pStyle w:val="TableParagraph"/>
              <w:spacing w:line="334" w:lineRule="exact"/>
              <w:ind w:left="229"/>
              <w:rPr>
                <w:rFonts w:ascii="微软雅黑" w:eastAsia="微软雅黑" w:hint="eastAsia"/>
                <w:b/>
                <w:sz w:val="21"/>
              </w:rPr>
            </w:pPr>
            <w:r>
              <w:rPr>
                <w:rFonts w:ascii="微软雅黑" w:eastAsia="微软雅黑" w:hint="eastAsia"/>
                <w:b/>
                <w:sz w:val="21"/>
              </w:rPr>
              <w:t>疯牛病：</w:t>
            </w:r>
          </w:p>
        </w:tc>
        <w:tc>
          <w:tcPr>
            <w:tcW w:w="7960" w:type="dxa"/>
          </w:tcPr>
          <w:p>
            <w:pPr>
              <w:pStyle w:val="TableParagraph"/>
              <w:spacing w:before="33"/>
              <w:rPr>
                <w:sz w:val="21"/>
              </w:rPr>
            </w:pPr>
            <w:r>
              <w:rPr>
                <w:sz w:val="21"/>
              </w:rPr>
              <w:t>指神经系统疾病及致命的成胶质状脑病，并有以下症状：</w:t>
            </w:r>
          </w:p>
          <w:p>
            <w:pPr>
              <w:pStyle w:val="TableParagraph"/>
              <w:spacing w:before="24"/>
              <w:rPr>
                <w:sz w:val="21"/>
              </w:rPr>
            </w:pPr>
            <w:r>
              <w:rPr>
                <w:sz w:val="21"/>
              </w:rPr>
              <w:t>（</w:t>
            </w:r>
            <w:r>
              <w:rPr>
                <w:rFonts w:ascii="Times New Roman" w:eastAsia="Times New Roman"/>
                <w:sz w:val="21"/>
              </w:rPr>
              <w:t>1</w:t>
            </w:r>
            <w:r>
              <w:rPr>
                <w:sz w:val="21"/>
              </w:rPr>
              <w:t>）不能控制的肌肉痉挛及震颤；</w:t>
            </w:r>
          </w:p>
          <w:p>
            <w:pPr>
              <w:pStyle w:val="TableParagraph"/>
              <w:spacing w:before="9"/>
              <w:rPr>
                <w:sz w:val="21"/>
              </w:rPr>
            </w:pPr>
            <w:r>
              <w:rPr>
                <w:sz w:val="21"/>
              </w:rPr>
              <w:t>（</w:t>
            </w:r>
            <w:r>
              <w:rPr>
                <w:rFonts w:ascii="Times New Roman" w:eastAsia="Times New Roman"/>
                <w:sz w:val="21"/>
              </w:rPr>
              <w:t>2</w:t>
            </w:r>
            <w:r>
              <w:rPr>
                <w:sz w:val="21"/>
              </w:rPr>
              <w:t>）逐渐痴呆；</w:t>
            </w:r>
          </w:p>
          <w:p>
            <w:pPr>
              <w:pStyle w:val="TableParagraph"/>
              <w:spacing w:before="9"/>
              <w:rPr>
                <w:sz w:val="21"/>
              </w:rPr>
            </w:pPr>
            <w:r>
              <w:rPr>
                <w:sz w:val="21"/>
              </w:rPr>
              <w:t>（</w:t>
            </w:r>
            <w:r>
              <w:rPr>
                <w:rFonts w:ascii="Times New Roman" w:eastAsia="Times New Roman"/>
                <w:sz w:val="21"/>
              </w:rPr>
              <w:t>3</w:t>
            </w:r>
            <w:r>
              <w:rPr>
                <w:sz w:val="21"/>
              </w:rPr>
              <w:t>）小脑功能不良，共济失调；</w:t>
            </w:r>
          </w:p>
          <w:p>
            <w:pPr>
              <w:pStyle w:val="TableParagraph"/>
              <w:spacing w:before="9"/>
              <w:rPr>
                <w:sz w:val="21"/>
              </w:rPr>
            </w:pPr>
            <w:r>
              <w:rPr>
                <w:sz w:val="21"/>
              </w:rPr>
              <w:t>（</w:t>
            </w:r>
            <w:r>
              <w:rPr>
                <w:rFonts w:ascii="Times New Roman" w:eastAsia="Times New Roman"/>
                <w:sz w:val="21"/>
              </w:rPr>
              <w:t>4</w:t>
            </w:r>
            <w:r>
              <w:rPr>
                <w:sz w:val="21"/>
              </w:rPr>
              <w:t>）手足徐动症。</w:t>
            </w:r>
          </w:p>
          <w:p>
            <w:pPr>
              <w:pStyle w:val="TableParagraph"/>
              <w:spacing w:line="261" w:lineRule="auto" w:before="9"/>
              <w:ind w:right="302"/>
              <w:rPr>
                <w:sz w:val="21"/>
              </w:rPr>
            </w:pPr>
            <w:r>
              <w:rPr>
                <w:sz w:val="21"/>
              </w:rPr>
              <w:t>诊断必须经神经专科医生基于以下检查报告作出：脑电图、脑脊液报告、电脑断层扫描</w:t>
            </w:r>
            <w:r>
              <w:rPr>
                <w:rFonts w:ascii="Times New Roman" w:eastAsia="Times New Roman"/>
                <w:sz w:val="21"/>
              </w:rPr>
              <w:t>(CT)</w:t>
            </w:r>
            <w:r>
              <w:rPr>
                <w:sz w:val="21"/>
              </w:rPr>
              <w:t>及核磁共振</w:t>
            </w:r>
            <w:r>
              <w:rPr>
                <w:rFonts w:ascii="Times New Roman" w:eastAsia="Times New Roman"/>
                <w:sz w:val="21"/>
              </w:rPr>
              <w:t>(MRI)</w:t>
            </w:r>
            <w:r>
              <w:rPr>
                <w:sz w:val="21"/>
              </w:rPr>
              <w:t>。</w:t>
            </w:r>
          </w:p>
        </w:tc>
      </w:tr>
      <w:tr>
        <w:trPr>
          <w:trHeight w:val="1304" w:hRule="atLeast"/>
        </w:trPr>
        <w:tc>
          <w:tcPr>
            <w:tcW w:w="693" w:type="dxa"/>
          </w:tcPr>
          <w:p>
            <w:pPr>
              <w:pStyle w:val="TableParagraph"/>
              <w:spacing w:before="75"/>
              <w:ind w:left="181" w:right="209"/>
              <w:jc w:val="center"/>
              <w:rPr>
                <w:rFonts w:ascii="Times New Roman"/>
                <w:b/>
                <w:sz w:val="21"/>
              </w:rPr>
            </w:pPr>
            <w:r>
              <w:rPr>
                <w:rFonts w:ascii="Times New Roman"/>
                <w:b/>
                <w:sz w:val="21"/>
              </w:rPr>
              <w:t>49.</w:t>
            </w:r>
          </w:p>
        </w:tc>
        <w:tc>
          <w:tcPr>
            <w:tcW w:w="1381" w:type="dxa"/>
          </w:tcPr>
          <w:p>
            <w:pPr>
              <w:pStyle w:val="TableParagraph"/>
              <w:spacing w:line="199" w:lineRule="auto" w:before="25"/>
              <w:ind w:left="229" w:right="93"/>
              <w:rPr>
                <w:rFonts w:ascii="微软雅黑" w:eastAsia="微软雅黑" w:hint="eastAsia"/>
                <w:b/>
                <w:sz w:val="21"/>
              </w:rPr>
            </w:pPr>
            <w:r>
              <w:rPr>
                <w:rFonts w:ascii="微软雅黑" w:eastAsia="微软雅黑" w:hint="eastAsia"/>
                <w:b/>
                <w:sz w:val="21"/>
              </w:rPr>
              <w:t>严 重 溃 疡 性结肠炎：</w:t>
            </w:r>
          </w:p>
        </w:tc>
        <w:tc>
          <w:tcPr>
            <w:tcW w:w="7960" w:type="dxa"/>
          </w:tcPr>
          <w:p>
            <w:pPr>
              <w:pStyle w:val="TableParagraph"/>
              <w:spacing w:line="261" w:lineRule="auto" w:before="25"/>
              <w:ind w:right="301"/>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813" w:hRule="atLeast"/>
        </w:trPr>
        <w:tc>
          <w:tcPr>
            <w:tcW w:w="693" w:type="dxa"/>
          </w:tcPr>
          <w:p>
            <w:pPr>
              <w:pStyle w:val="TableParagraph"/>
              <w:spacing w:before="83"/>
              <w:ind w:left="181" w:right="209"/>
              <w:jc w:val="center"/>
              <w:rPr>
                <w:rFonts w:ascii="Times New Roman"/>
                <w:b/>
                <w:sz w:val="21"/>
              </w:rPr>
            </w:pPr>
            <w:r>
              <w:rPr>
                <w:rFonts w:ascii="Times New Roman"/>
                <w:b/>
                <w:sz w:val="21"/>
              </w:rPr>
              <w:t>50.</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严重类风湿性关节炎：</w:t>
            </w:r>
          </w:p>
        </w:tc>
        <w:tc>
          <w:tcPr>
            <w:tcW w:w="7960" w:type="dxa"/>
          </w:tcPr>
          <w:p>
            <w:pPr>
              <w:pStyle w:val="TableParagraph"/>
              <w:spacing w:before="33"/>
              <w:rPr>
                <w:sz w:val="21"/>
              </w:rPr>
            </w:pPr>
            <w:r>
              <w:rPr>
                <w:sz w:val="21"/>
              </w:rPr>
              <w:t>指类风湿性关节炎患者符合以下三项标准的：</w:t>
            </w:r>
          </w:p>
          <w:p>
            <w:pPr>
              <w:pStyle w:val="TableParagraph"/>
              <w:spacing w:line="247" w:lineRule="auto" w:before="24"/>
              <w:ind w:left="621" w:right="197" w:hanging="526"/>
              <w:rPr>
                <w:sz w:val="21"/>
              </w:rPr>
            </w:pPr>
            <w:r>
              <w:rPr>
                <w:spacing w:val="-20"/>
                <w:sz w:val="21"/>
              </w:rPr>
              <w:t>（</w:t>
            </w:r>
            <w:r>
              <w:rPr>
                <w:rFonts w:ascii="Times New Roman" w:eastAsia="Times New Roman"/>
                <w:spacing w:val="-20"/>
                <w:sz w:val="21"/>
              </w:rPr>
              <w:t>1</w:t>
            </w:r>
            <w:r>
              <w:rPr>
                <w:spacing w:val="-20"/>
                <w:sz w:val="21"/>
              </w:rPr>
              <w:t>）</w:t>
            </w:r>
            <w:r>
              <w:rPr>
                <w:spacing w:val="-5"/>
                <w:sz w:val="21"/>
              </w:rPr>
              <w:t>至少包括下列关节中的三组或以上有广泛受损和畸形改变:手指关节、腕关节、</w:t>
            </w:r>
            <w:r>
              <w:rPr>
                <w:spacing w:val="-4"/>
                <w:sz w:val="21"/>
              </w:rPr>
              <w:t>肘关节、膝关节、髋关节、踝关节、脊椎或脚趾关节；</w:t>
            </w:r>
          </w:p>
          <w:p>
            <w:pPr>
              <w:pStyle w:val="TableParagraph"/>
              <w:spacing w:line="247" w:lineRule="auto" w:before="18"/>
              <w:ind w:left="621" w:right="302" w:hanging="526"/>
              <w:rPr>
                <w:sz w:val="21"/>
              </w:rPr>
            </w:pPr>
            <w:r>
              <w:rPr>
                <w:sz w:val="21"/>
              </w:rPr>
              <w:t>（</w:t>
            </w:r>
            <w:r>
              <w:rPr>
                <w:rFonts w:ascii="Times New Roman" w:eastAsia="Times New Roman"/>
                <w:sz w:val="21"/>
              </w:rPr>
              <w:t>2</w:t>
            </w:r>
            <w:r>
              <w:rPr>
                <w:sz w:val="21"/>
              </w:rPr>
              <w:t>）手和腕的后前位 </w:t>
            </w:r>
            <w:r>
              <w:rPr>
                <w:rFonts w:ascii="Times New Roman" w:eastAsia="Times New Roman"/>
                <w:sz w:val="21"/>
              </w:rPr>
              <w:t>X </w:t>
            </w:r>
            <w:r>
              <w:rPr>
                <w:sz w:val="21"/>
              </w:rPr>
              <w:t>线拍片检查可见类风湿性关节炎的典型变化，包括骨质侵蚀或钙流失，位于受累关节及其邻近部位尤其明显；</w:t>
            </w:r>
          </w:p>
          <w:p>
            <w:pPr>
              <w:pStyle w:val="TableParagraph"/>
              <w:spacing w:before="18"/>
              <w:rPr>
                <w:sz w:val="21"/>
              </w:rPr>
            </w:pPr>
            <w:r>
              <w:rPr>
                <w:sz w:val="21"/>
              </w:rPr>
              <w:t>（</w:t>
            </w:r>
            <w:r>
              <w:rPr>
                <w:rFonts w:ascii="Times New Roman" w:eastAsia="Times New Roman"/>
                <w:sz w:val="21"/>
              </w:rPr>
              <w:t>3</w:t>
            </w:r>
            <w:r>
              <w:rPr>
                <w:sz w:val="21"/>
              </w:rPr>
              <w:t>）关节的畸形改变至少持续 </w:t>
            </w:r>
            <w:r>
              <w:rPr>
                <w:rFonts w:ascii="Times New Roman" w:eastAsia="Times New Roman"/>
                <w:sz w:val="21"/>
              </w:rPr>
              <w:t>6 </w:t>
            </w:r>
            <w:r>
              <w:rPr>
                <w:sz w:val="21"/>
              </w:rPr>
              <w:t>个月。</w:t>
            </w:r>
          </w:p>
          <w:p>
            <w:pPr>
              <w:pStyle w:val="TableParagraph"/>
              <w:spacing w:line="261" w:lineRule="auto" w:before="9"/>
              <w:ind w:right="302"/>
              <w:rPr>
                <w:sz w:val="21"/>
              </w:rPr>
            </w:pPr>
            <w:r>
              <w:rPr>
                <w:sz w:val="21"/>
              </w:rPr>
              <w:t>类风湿性关节炎系指以关节滑膜炎为特征的慢性全身性自身免疫性疾病，诊断必须符合国际认可的该疾病的诊断标准。</w:t>
            </w:r>
          </w:p>
          <w:p>
            <w:pPr>
              <w:pStyle w:val="TableParagraph"/>
              <w:spacing w:before="6"/>
              <w:rPr>
                <w:sz w:val="21"/>
              </w:rPr>
            </w:pPr>
            <w:r>
              <w:rPr>
                <w:sz w:val="21"/>
              </w:rPr>
              <w:t>只有被保险人已接受膝关节或髋关节置换手术，我们才承担赔偿责任。</w:t>
            </w:r>
          </w:p>
        </w:tc>
      </w:tr>
      <w:tr>
        <w:trPr>
          <w:trHeight w:val="1612" w:hRule="atLeast"/>
        </w:trPr>
        <w:tc>
          <w:tcPr>
            <w:tcW w:w="693" w:type="dxa"/>
          </w:tcPr>
          <w:p>
            <w:pPr>
              <w:pStyle w:val="TableParagraph"/>
              <w:spacing w:before="83"/>
              <w:ind w:left="181" w:right="209"/>
              <w:jc w:val="center"/>
              <w:rPr>
                <w:rFonts w:ascii="Times New Roman"/>
                <w:b/>
                <w:sz w:val="21"/>
              </w:rPr>
            </w:pPr>
            <w:r>
              <w:rPr>
                <w:rFonts w:ascii="Times New Roman"/>
                <w:b/>
                <w:sz w:val="21"/>
              </w:rPr>
              <w:t>51.</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非阿尔茨海默病所致严重痴呆：</w:t>
            </w:r>
          </w:p>
        </w:tc>
        <w:tc>
          <w:tcPr>
            <w:tcW w:w="7960" w:type="dxa"/>
          </w:tcPr>
          <w:p>
            <w:pPr>
              <w:pStyle w:val="TableParagraph"/>
              <w:spacing w:line="261" w:lineRule="auto" w:before="33"/>
              <w:ind w:right="295"/>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 日常生活必须持续受到他人监护。导致痴呆的疾病必须明确诊断，并且由完整的临床、实验室和影像学检查结果证实。神经官能症和精神疾病不在保障范围内。</w:t>
            </w:r>
          </w:p>
        </w:tc>
      </w:tr>
      <w:tr>
        <w:trPr>
          <w:trHeight w:val="1613" w:hRule="atLeast"/>
        </w:trPr>
        <w:tc>
          <w:tcPr>
            <w:tcW w:w="693" w:type="dxa"/>
          </w:tcPr>
          <w:p>
            <w:pPr>
              <w:pStyle w:val="TableParagraph"/>
              <w:spacing w:before="83"/>
              <w:ind w:left="181" w:right="209"/>
              <w:jc w:val="center"/>
              <w:rPr>
                <w:rFonts w:ascii="Times New Roman"/>
                <w:b/>
                <w:sz w:val="21"/>
              </w:rPr>
            </w:pPr>
            <w:r>
              <w:rPr>
                <w:rFonts w:ascii="Times New Roman"/>
                <w:b/>
                <w:sz w:val="21"/>
              </w:rPr>
              <w:t>52.</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坏死性筋膜炎：</w:t>
            </w:r>
          </w:p>
        </w:tc>
        <w:tc>
          <w:tcPr>
            <w:tcW w:w="7960" w:type="dxa"/>
          </w:tcPr>
          <w:p>
            <w:pPr>
              <w:pStyle w:val="TableParagraph"/>
              <w:spacing w:before="33"/>
              <w:rPr>
                <w:sz w:val="21"/>
              </w:rPr>
            </w:pPr>
            <w:r>
              <w:rPr>
                <w:sz w:val="21"/>
              </w:rPr>
              <w:t>坏死性筋膜炎的诊断须同时符合下列要求：</w:t>
            </w:r>
          </w:p>
          <w:p>
            <w:pPr>
              <w:pStyle w:val="TableParagraph"/>
              <w:spacing w:before="24"/>
              <w:rPr>
                <w:sz w:val="21"/>
              </w:rPr>
            </w:pPr>
            <w:r>
              <w:rPr>
                <w:sz w:val="21"/>
              </w:rPr>
              <w:t>（</w:t>
            </w:r>
            <w:r>
              <w:rPr>
                <w:rFonts w:ascii="Times New Roman" w:eastAsia="Times New Roman"/>
                <w:sz w:val="21"/>
              </w:rPr>
              <w:t>1</w:t>
            </w:r>
            <w:r>
              <w:rPr>
                <w:sz w:val="21"/>
              </w:rPr>
              <w:t>）符合坏死性筋膜炎的一般临床表现；</w:t>
            </w:r>
          </w:p>
          <w:p>
            <w:pPr>
              <w:pStyle w:val="TableParagraph"/>
              <w:spacing w:before="9"/>
              <w:rPr>
                <w:sz w:val="21"/>
              </w:rPr>
            </w:pPr>
            <w:r>
              <w:rPr>
                <w:sz w:val="21"/>
              </w:rPr>
              <w:t>（</w:t>
            </w:r>
            <w:r>
              <w:rPr>
                <w:rFonts w:ascii="Times New Roman" w:eastAsia="Times New Roman"/>
                <w:sz w:val="21"/>
              </w:rPr>
              <w:t>2</w:t>
            </w:r>
            <w:r>
              <w:rPr>
                <w:sz w:val="21"/>
              </w:rPr>
              <w:t>）细菌培养检出致病菌；</w:t>
            </w:r>
          </w:p>
          <w:p>
            <w:pPr>
              <w:pStyle w:val="TableParagraph"/>
              <w:spacing w:line="247" w:lineRule="auto" w:before="9"/>
              <w:ind w:left="621" w:right="307" w:hanging="526"/>
              <w:rPr>
                <w:sz w:val="21"/>
              </w:rPr>
            </w:pPr>
            <w:r>
              <w:rPr>
                <w:sz w:val="21"/>
              </w:rPr>
              <w:t>（</w:t>
            </w:r>
            <w:r>
              <w:rPr>
                <w:rFonts w:ascii="Times New Roman" w:eastAsia="Times New Roman"/>
                <w:sz w:val="21"/>
              </w:rPr>
              <w:t>3</w:t>
            </w:r>
            <w:r>
              <w:rPr>
                <w:sz w:val="21"/>
              </w:rPr>
              <w:t>）出现广泛性肌肉及软组织坏死，并导致身体受影响部位永久完全失去功能。所谓永久完全失去功能是指受影响部位的功能丧失超过六个月者。</w:t>
            </w:r>
          </w:p>
        </w:tc>
      </w:tr>
      <w:tr>
        <w:trPr>
          <w:trHeight w:val="1815" w:hRule="atLeast"/>
        </w:trPr>
        <w:tc>
          <w:tcPr>
            <w:tcW w:w="693" w:type="dxa"/>
          </w:tcPr>
          <w:p>
            <w:pPr>
              <w:pStyle w:val="TableParagraph"/>
              <w:spacing w:before="83"/>
              <w:ind w:left="181" w:right="209"/>
              <w:jc w:val="center"/>
              <w:rPr>
                <w:rFonts w:ascii="Times New Roman"/>
                <w:b/>
                <w:sz w:val="21"/>
              </w:rPr>
            </w:pPr>
            <w:r>
              <w:rPr>
                <w:rFonts w:ascii="Times New Roman"/>
                <w:b/>
                <w:sz w:val="21"/>
              </w:rPr>
              <w:t>53.</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严重慢性复发性胰腺炎：</w:t>
            </w:r>
          </w:p>
        </w:tc>
        <w:tc>
          <w:tcPr>
            <w:tcW w:w="7960" w:type="dxa"/>
          </w:tcPr>
          <w:p>
            <w:pPr>
              <w:pStyle w:val="TableParagraph"/>
              <w:spacing w:line="261" w:lineRule="auto" w:before="34"/>
              <w:ind w:right="302"/>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line="247" w:lineRule="auto" w:before="6"/>
              <w:ind w:left="621" w:right="303" w:hanging="52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before="18"/>
              <w:rPr>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日以上。</w:t>
            </w:r>
          </w:p>
          <w:p>
            <w:pPr>
              <w:pStyle w:val="TableParagraph"/>
              <w:spacing w:line="262" w:lineRule="exact" w:before="8"/>
              <w:rPr>
                <w:sz w:val="21"/>
              </w:rPr>
            </w:pPr>
            <w:r>
              <w:rPr>
                <w:sz w:val="21"/>
              </w:rPr>
              <w:t>酒精导致的慢性复发性胰腺炎不在本保障范围内。</w:t>
            </w:r>
          </w:p>
        </w:tc>
      </w:tr>
    </w:tbl>
    <w:p>
      <w:pPr>
        <w:spacing w:after="0" w:line="262" w:lineRule="exact"/>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381"/>
        <w:gridCol w:w="7960"/>
      </w:tblGrid>
      <w:tr>
        <w:trPr>
          <w:trHeight w:val="2115" w:hRule="atLeast"/>
        </w:trPr>
        <w:tc>
          <w:tcPr>
            <w:tcW w:w="693" w:type="dxa"/>
          </w:tcPr>
          <w:p>
            <w:pPr>
              <w:pStyle w:val="TableParagraph"/>
              <w:spacing w:line="227" w:lineRule="exact"/>
              <w:ind w:left="181" w:right="209"/>
              <w:jc w:val="center"/>
              <w:rPr>
                <w:rFonts w:ascii="Times New Roman"/>
                <w:b/>
                <w:sz w:val="21"/>
              </w:rPr>
            </w:pPr>
            <w:r>
              <w:rPr>
                <w:rFonts w:ascii="Times New Roman"/>
                <w:b/>
                <w:sz w:val="21"/>
              </w:rPr>
              <w:t>54.</w:t>
            </w:r>
          </w:p>
        </w:tc>
        <w:tc>
          <w:tcPr>
            <w:tcW w:w="1381" w:type="dxa"/>
          </w:tcPr>
          <w:p>
            <w:pPr>
              <w:pStyle w:val="TableParagraph"/>
              <w:spacing w:line="205" w:lineRule="exact"/>
              <w:ind w:left="229"/>
              <w:rPr>
                <w:rFonts w:ascii="微软雅黑" w:eastAsia="微软雅黑" w:hint="eastAsia"/>
                <w:b/>
                <w:sz w:val="21"/>
              </w:rPr>
            </w:pPr>
            <w:r>
              <w:rPr>
                <w:rFonts w:ascii="微软雅黑" w:eastAsia="微软雅黑" w:hint="eastAsia"/>
                <w:b/>
                <w:sz w:val="21"/>
              </w:rPr>
              <w:t>胰岛素依</w:t>
            </w:r>
          </w:p>
          <w:p>
            <w:pPr>
              <w:pStyle w:val="TableParagraph"/>
              <w:spacing w:line="199" w:lineRule="auto" w:before="30"/>
              <w:ind w:left="229" w:right="117"/>
              <w:rPr>
                <w:rFonts w:ascii="微软雅黑" w:eastAsia="微软雅黑" w:hint="eastAsia"/>
                <w:b/>
                <w:sz w:val="21"/>
              </w:rPr>
            </w:pPr>
            <w:r>
              <w:rPr>
                <w:rFonts w:ascii="微软雅黑" w:eastAsia="微软雅黑" w:hint="eastAsia"/>
                <w:b/>
                <w:sz w:val="21"/>
              </w:rPr>
              <w:t>赖型糖尿 </w:t>
            </w:r>
            <w:r>
              <w:rPr>
                <w:rFonts w:ascii="微软雅黑" w:eastAsia="微软雅黑" w:hint="eastAsia"/>
                <w:b/>
                <w:spacing w:val="-25"/>
                <w:sz w:val="21"/>
              </w:rPr>
              <w:t>病</w:t>
            </w:r>
            <w:r>
              <w:rPr>
                <w:rFonts w:ascii="微软雅黑" w:eastAsia="微软雅黑" w:hint="eastAsia"/>
                <w:b/>
                <w:sz w:val="21"/>
              </w:rPr>
              <w:t>（Ｉ型糖</w:t>
            </w:r>
            <w:r>
              <w:rPr>
                <w:rFonts w:ascii="微软雅黑" w:eastAsia="微软雅黑" w:hint="eastAsia"/>
                <w:b/>
                <w:w w:val="100"/>
                <w:sz w:val="21"/>
              </w:rPr>
              <w:t>尿病</w:t>
            </w:r>
            <w:r>
              <w:rPr>
                <w:rFonts w:ascii="微软雅黑" w:eastAsia="微软雅黑" w:hint="eastAsia"/>
                <w:b/>
                <w:spacing w:val="-106"/>
                <w:w w:val="100"/>
                <w:sz w:val="21"/>
              </w:rPr>
              <w:t>）</w:t>
            </w:r>
            <w:r>
              <w:rPr>
                <w:rFonts w:ascii="微软雅黑" w:eastAsia="微软雅黑" w:hint="eastAsia"/>
                <w:b/>
                <w:w w:val="100"/>
                <w:sz w:val="21"/>
              </w:rPr>
              <w:t>：</w:t>
            </w:r>
          </w:p>
        </w:tc>
        <w:tc>
          <w:tcPr>
            <w:tcW w:w="7960" w:type="dxa"/>
          </w:tcPr>
          <w:p>
            <w:pPr>
              <w:pStyle w:val="TableParagraph"/>
              <w:spacing w:line="211" w:lineRule="exact"/>
              <w:rPr>
                <w:sz w:val="21"/>
              </w:rPr>
            </w:pPr>
            <w:r>
              <w:rPr>
                <w:sz w:val="21"/>
              </w:rPr>
              <w:t>经内分泌专科医生明确诊断为Ｉ型糖尿病，且须同时满足下列条件：</w:t>
            </w:r>
          </w:p>
          <w:p>
            <w:pPr>
              <w:pStyle w:val="TableParagraph"/>
              <w:spacing w:before="25"/>
              <w:rPr>
                <w:sz w:val="21"/>
              </w:rPr>
            </w:pPr>
            <w:r>
              <w:rPr>
                <w:sz w:val="21"/>
              </w:rPr>
              <w:t>（</w:t>
            </w:r>
            <w:r>
              <w:rPr>
                <w:rFonts w:ascii="Times New Roman" w:eastAsia="Times New Roman"/>
                <w:sz w:val="21"/>
              </w:rPr>
              <w:t>1</w:t>
            </w:r>
            <w:r>
              <w:rPr>
                <w:sz w:val="21"/>
              </w:rPr>
              <w:t>）必须持续性地依赖外源性胰岛素维持生命至少 </w:t>
            </w:r>
            <w:r>
              <w:rPr>
                <w:rFonts w:ascii="Times New Roman" w:eastAsia="Times New Roman"/>
                <w:sz w:val="21"/>
              </w:rPr>
              <w:t>180 </w:t>
            </w:r>
            <w:r>
              <w:rPr>
                <w:sz w:val="21"/>
              </w:rPr>
              <w:t>日以上；</w:t>
            </w:r>
          </w:p>
          <w:p>
            <w:pPr>
              <w:pStyle w:val="TableParagraph"/>
              <w:spacing w:before="8"/>
              <w:rPr>
                <w:sz w:val="21"/>
              </w:rPr>
            </w:pPr>
            <w:r>
              <w:rPr>
                <w:sz w:val="21"/>
              </w:rPr>
              <w:t>（</w:t>
            </w:r>
            <w:r>
              <w:rPr>
                <w:rFonts w:ascii="Times New Roman" w:eastAsia="Times New Roman"/>
                <w:sz w:val="21"/>
              </w:rPr>
              <w:t>2</w:t>
            </w:r>
            <w:r>
              <w:rPr>
                <w:sz w:val="21"/>
              </w:rPr>
              <w:t>）血胰岛素测定、血 </w:t>
            </w:r>
            <w:r>
              <w:rPr>
                <w:rFonts w:ascii="Times New Roman" w:eastAsia="Times New Roman"/>
                <w:sz w:val="21"/>
              </w:rPr>
              <w:t>C </w:t>
            </w:r>
            <w:r>
              <w:rPr>
                <w:sz w:val="21"/>
              </w:rPr>
              <w:t>肽测定或尿 </w:t>
            </w:r>
            <w:r>
              <w:rPr>
                <w:rFonts w:ascii="Times New Roman" w:eastAsia="Times New Roman"/>
                <w:sz w:val="21"/>
              </w:rPr>
              <w:t>C </w:t>
            </w:r>
            <w:r>
              <w:rPr>
                <w:sz w:val="21"/>
              </w:rPr>
              <w:t>肽测定结果异常；</w:t>
            </w:r>
          </w:p>
          <w:p>
            <w:pPr>
              <w:pStyle w:val="TableParagraph"/>
              <w:spacing w:before="8"/>
              <w:rPr>
                <w:sz w:val="21"/>
              </w:rPr>
            </w:pPr>
            <w:r>
              <w:rPr>
                <w:sz w:val="21"/>
              </w:rPr>
              <w:t>（</w:t>
            </w:r>
            <w:r>
              <w:rPr>
                <w:rFonts w:ascii="Times New Roman" w:eastAsia="Times New Roman"/>
                <w:sz w:val="21"/>
              </w:rPr>
              <w:t>3</w:t>
            </w:r>
            <w:r>
              <w:rPr>
                <w:sz w:val="21"/>
              </w:rPr>
              <w:t>）出现下述三种并发症之一或一种以上：</w:t>
            </w:r>
          </w:p>
          <w:p>
            <w:pPr>
              <w:pStyle w:val="TableParagraph"/>
              <w:spacing w:before="8"/>
              <w:ind w:left="516"/>
              <w:rPr>
                <w:sz w:val="21"/>
              </w:rPr>
            </w:pPr>
            <w:r>
              <w:rPr>
                <w:sz w:val="21"/>
              </w:rPr>
              <w:t>① 并发增殖性视网膜病变；</w:t>
            </w:r>
          </w:p>
          <w:p>
            <w:pPr>
              <w:pStyle w:val="TableParagraph"/>
              <w:spacing w:before="24"/>
              <w:ind w:left="516"/>
              <w:rPr>
                <w:sz w:val="21"/>
              </w:rPr>
            </w:pPr>
            <w:r>
              <w:rPr>
                <w:sz w:val="21"/>
              </w:rPr>
              <w:t>② 并发心脏病变，并须植入心脏起搏器进行治疗；</w:t>
            </w:r>
          </w:p>
          <w:p>
            <w:pPr>
              <w:pStyle w:val="TableParagraph"/>
              <w:spacing w:before="24"/>
              <w:ind w:left="516"/>
              <w:rPr>
                <w:sz w:val="21"/>
              </w:rPr>
            </w:pPr>
            <w:r>
              <w:rPr>
                <w:sz w:val="21"/>
              </w:rPr>
              <w:t>③ 至少一个脚趾发生坏疽并已达到手术切除指征。</w:t>
            </w:r>
          </w:p>
        </w:tc>
      </w:tr>
      <w:tr>
        <w:trPr>
          <w:trHeight w:val="1945" w:hRule="atLeast"/>
        </w:trPr>
        <w:tc>
          <w:tcPr>
            <w:tcW w:w="693" w:type="dxa"/>
          </w:tcPr>
          <w:p>
            <w:pPr>
              <w:pStyle w:val="TableParagraph"/>
              <w:spacing w:before="83"/>
              <w:ind w:left="181" w:right="209"/>
              <w:jc w:val="center"/>
              <w:rPr>
                <w:rFonts w:ascii="Times New Roman"/>
                <w:b/>
                <w:sz w:val="21"/>
              </w:rPr>
            </w:pPr>
            <w:r>
              <w:rPr>
                <w:rFonts w:ascii="Times New Roman"/>
                <w:b/>
                <w:sz w:val="21"/>
              </w:rPr>
              <w:t>55.</w:t>
            </w:r>
          </w:p>
        </w:tc>
        <w:tc>
          <w:tcPr>
            <w:tcW w:w="1381" w:type="dxa"/>
          </w:tcPr>
          <w:p>
            <w:pPr>
              <w:pStyle w:val="TableParagraph"/>
              <w:spacing w:line="334" w:lineRule="exact"/>
              <w:ind w:left="0" w:right="93"/>
              <w:jc w:val="right"/>
              <w:rPr>
                <w:rFonts w:ascii="微软雅黑" w:eastAsia="微软雅黑" w:hint="eastAsia"/>
                <w:b/>
                <w:sz w:val="21"/>
              </w:rPr>
            </w:pPr>
            <w:r>
              <w:rPr>
                <w:rFonts w:ascii="微软雅黑" w:eastAsia="微软雅黑" w:hint="eastAsia"/>
                <w:b/>
                <w:sz w:val="21"/>
              </w:rPr>
              <w:t>严重哮喘：</w:t>
            </w:r>
          </w:p>
        </w:tc>
        <w:tc>
          <w:tcPr>
            <w:tcW w:w="7960" w:type="dxa"/>
          </w:tcPr>
          <w:p>
            <w:pPr>
              <w:pStyle w:val="TableParagraph"/>
              <w:spacing w:before="33"/>
              <w:rPr>
                <w:sz w:val="21"/>
              </w:rPr>
            </w:pPr>
            <w:r>
              <w:rPr>
                <w:sz w:val="21"/>
              </w:rPr>
              <w:t>严重哮喘必须明确诊断，并且满足下列标准中的三项或三项以上：</w:t>
            </w:r>
          </w:p>
          <w:p>
            <w:pPr>
              <w:pStyle w:val="TableParagraph"/>
              <w:spacing w:before="24"/>
              <w:rPr>
                <w:sz w:val="21"/>
              </w:rPr>
            </w:pPr>
            <w:r>
              <w:rPr>
                <w:sz w:val="21"/>
              </w:rPr>
              <w:t>（</w:t>
            </w:r>
            <w:r>
              <w:rPr>
                <w:rFonts w:ascii="Times New Roman" w:eastAsia="Times New Roman"/>
                <w:sz w:val="21"/>
              </w:rPr>
              <w:t>1</w:t>
            </w:r>
            <w:r>
              <w:rPr>
                <w:sz w:val="21"/>
              </w:rPr>
              <w:t>）过去两年中有哮喘持续状态病史；</w:t>
            </w:r>
          </w:p>
          <w:p>
            <w:pPr>
              <w:pStyle w:val="TableParagraph"/>
              <w:spacing w:before="9"/>
              <w:rPr>
                <w:sz w:val="21"/>
              </w:rPr>
            </w:pPr>
            <w:r>
              <w:rPr>
                <w:sz w:val="21"/>
              </w:rPr>
              <w:t>（</w:t>
            </w:r>
            <w:r>
              <w:rPr>
                <w:rFonts w:ascii="Times New Roman" w:eastAsia="Times New Roman"/>
                <w:sz w:val="21"/>
              </w:rPr>
              <w:t>2</w:t>
            </w:r>
            <w:r>
              <w:rPr>
                <w:sz w:val="21"/>
              </w:rPr>
              <w:t>）身体活动耐受能力显著且持续下降；</w:t>
            </w:r>
          </w:p>
          <w:p>
            <w:pPr>
              <w:pStyle w:val="TableParagraph"/>
              <w:spacing w:line="256" w:lineRule="auto" w:before="2"/>
              <w:ind w:left="621" w:right="197" w:hanging="526"/>
              <w:rPr>
                <w:sz w:val="21"/>
              </w:rPr>
            </w:pPr>
            <w:r>
              <w:rPr>
                <w:sz w:val="21"/>
              </w:rPr>
              <w:t>（</w:t>
            </w:r>
            <w:r>
              <w:rPr>
                <w:rFonts w:ascii="Times New Roman" w:eastAsia="Times New Roman"/>
                <w:sz w:val="21"/>
              </w:rPr>
              <w:t>3</w:t>
            </w:r>
            <w:r>
              <w:rPr>
                <w:sz w:val="21"/>
              </w:rPr>
              <w:t>）</w:t>
            </w:r>
            <w:r>
              <w:rPr>
                <w:spacing w:val="-3"/>
                <w:sz w:val="21"/>
              </w:rPr>
              <w:t>慢性肺部过度膨涨充气导致的胸廓畸形（</w:t>
            </w:r>
            <w:r>
              <w:rPr>
                <w:spacing w:val="-2"/>
                <w:sz w:val="21"/>
              </w:rPr>
              <w:t>桶状胸，</w:t>
            </w:r>
            <w:r>
              <w:rPr>
                <w:rFonts w:ascii="Times New Roman" w:eastAsia="Times New Roman"/>
                <w:sz w:val="21"/>
              </w:rPr>
              <w:t>X </w:t>
            </w:r>
            <w:r>
              <w:rPr>
                <w:spacing w:val="-3"/>
                <w:sz w:val="21"/>
              </w:rPr>
              <w:t>线显示肺野透明度增强， </w:t>
            </w:r>
            <w:r>
              <w:rPr>
                <w:spacing w:val="-3"/>
                <w:w w:val="100"/>
                <w:sz w:val="21"/>
              </w:rPr>
              <w:t>心胸比例</w:t>
            </w:r>
            <w:r>
              <w:rPr>
                <w:rFonts w:ascii="Times New Roman" w:eastAsia="Times New Roman"/>
                <w:w w:val="100"/>
                <w:sz w:val="21"/>
              </w:rPr>
              <w:t>&lt;0.3</w:t>
            </w:r>
            <w:r>
              <w:rPr>
                <w:rFonts w:ascii="Times New Roman" w:eastAsia="Times New Roman"/>
                <w:spacing w:val="-3"/>
                <w:w w:val="100"/>
                <w:sz w:val="21"/>
              </w:rPr>
              <w:t>5</w:t>
            </w:r>
            <w:r>
              <w:rPr>
                <w:spacing w:val="-106"/>
                <w:w w:val="100"/>
                <w:sz w:val="21"/>
              </w:rPr>
              <w:t>）；</w:t>
            </w:r>
          </w:p>
          <w:p>
            <w:pPr>
              <w:pStyle w:val="TableParagraph"/>
              <w:spacing w:before="12"/>
              <w:rPr>
                <w:sz w:val="21"/>
              </w:rPr>
            </w:pPr>
            <w:r>
              <w:rPr>
                <w:sz w:val="21"/>
              </w:rPr>
              <w:t>（</w:t>
            </w:r>
            <w:r>
              <w:rPr>
                <w:rFonts w:ascii="Times New Roman" w:eastAsia="Times New Roman"/>
                <w:sz w:val="21"/>
              </w:rPr>
              <w:t>4</w:t>
            </w:r>
            <w:r>
              <w:rPr>
                <w:sz w:val="21"/>
              </w:rPr>
              <w:t>）持续每日口服皮质类固醇激素，至少持续服务六个月以上。</w:t>
            </w:r>
          </w:p>
        </w:tc>
      </w:tr>
      <w:tr>
        <w:trPr>
          <w:trHeight w:val="1005" w:hRule="atLeast"/>
        </w:trPr>
        <w:tc>
          <w:tcPr>
            <w:tcW w:w="693" w:type="dxa"/>
          </w:tcPr>
          <w:p>
            <w:pPr>
              <w:pStyle w:val="TableParagraph"/>
              <w:spacing w:before="75"/>
              <w:ind w:left="181" w:right="209"/>
              <w:jc w:val="center"/>
              <w:rPr>
                <w:rFonts w:ascii="Times New Roman"/>
                <w:b/>
                <w:sz w:val="21"/>
              </w:rPr>
            </w:pPr>
            <w:r>
              <w:rPr>
                <w:rFonts w:ascii="Times New Roman"/>
                <w:b/>
                <w:sz w:val="21"/>
              </w:rPr>
              <w:t>56.</w:t>
            </w:r>
          </w:p>
        </w:tc>
        <w:tc>
          <w:tcPr>
            <w:tcW w:w="1381" w:type="dxa"/>
          </w:tcPr>
          <w:p>
            <w:pPr>
              <w:pStyle w:val="TableParagraph"/>
              <w:spacing w:line="326" w:lineRule="exact"/>
              <w:ind w:left="0" w:right="93"/>
              <w:jc w:val="right"/>
              <w:rPr>
                <w:rFonts w:ascii="微软雅黑" w:eastAsia="微软雅黑" w:hint="eastAsia"/>
                <w:b/>
                <w:sz w:val="21"/>
              </w:rPr>
            </w:pPr>
            <w:r>
              <w:rPr>
                <w:rFonts w:ascii="微软雅黑" w:eastAsia="微软雅黑" w:hint="eastAsia"/>
                <w:b/>
                <w:sz w:val="21"/>
              </w:rPr>
              <w:t>胰腺移植：</w:t>
            </w:r>
          </w:p>
        </w:tc>
        <w:tc>
          <w:tcPr>
            <w:tcW w:w="7960" w:type="dxa"/>
          </w:tcPr>
          <w:p>
            <w:pPr>
              <w:pStyle w:val="TableParagraph"/>
              <w:spacing w:line="261" w:lineRule="auto" w:before="26"/>
              <w:ind w:right="302"/>
              <w:rPr>
                <w:sz w:val="21"/>
              </w:rPr>
            </w:pPr>
            <w:r>
              <w:rPr>
                <w:spacing w:val="-3"/>
                <w:sz w:val="21"/>
              </w:rPr>
              <w:t>指因胰腺功能衰竭，已经实施了在全身麻醉下进行的胰腺的异体器官移植手术（</w:t>
            </w:r>
            <w:r>
              <w:rPr>
                <w:sz w:val="21"/>
              </w:rPr>
              <w:t>供</w:t>
            </w:r>
            <w:r>
              <w:rPr>
                <w:spacing w:val="-3"/>
                <w:sz w:val="21"/>
              </w:rPr>
              <w:t>体必须是人体器官</w:t>
            </w:r>
            <w:r>
              <w:rPr>
                <w:spacing w:val="-108"/>
                <w:sz w:val="21"/>
              </w:rPr>
              <w:t>）</w:t>
            </w:r>
            <w:r>
              <w:rPr>
                <w:sz w:val="21"/>
              </w:rPr>
              <w:t>。</w:t>
            </w:r>
          </w:p>
          <w:p>
            <w:pPr>
              <w:pStyle w:val="TableParagraph"/>
              <w:spacing w:before="6"/>
              <w:rPr>
                <w:sz w:val="21"/>
              </w:rPr>
            </w:pPr>
            <w:r>
              <w:rPr>
                <w:sz w:val="21"/>
              </w:rPr>
              <w:t>单纯胰岛移植、部分胰腺组织或细胞的移植不在保障范围内。</w:t>
            </w:r>
          </w:p>
        </w:tc>
      </w:tr>
      <w:tr>
        <w:trPr>
          <w:trHeight w:val="712" w:hRule="atLeast"/>
        </w:trPr>
        <w:tc>
          <w:tcPr>
            <w:tcW w:w="693" w:type="dxa"/>
          </w:tcPr>
          <w:p>
            <w:pPr>
              <w:pStyle w:val="TableParagraph"/>
              <w:spacing w:before="83"/>
              <w:ind w:left="181" w:right="209"/>
              <w:jc w:val="center"/>
              <w:rPr>
                <w:rFonts w:ascii="Times New Roman"/>
                <w:b/>
                <w:sz w:val="21"/>
              </w:rPr>
            </w:pPr>
            <w:r>
              <w:rPr>
                <w:rFonts w:ascii="Times New Roman"/>
                <w:b/>
                <w:sz w:val="21"/>
              </w:rPr>
              <w:t>57.</w:t>
            </w:r>
          </w:p>
        </w:tc>
        <w:tc>
          <w:tcPr>
            <w:tcW w:w="1381" w:type="dxa"/>
          </w:tcPr>
          <w:p>
            <w:pPr>
              <w:pStyle w:val="TableParagraph"/>
              <w:spacing w:line="199" w:lineRule="auto" w:before="33"/>
              <w:ind w:left="229" w:right="304"/>
              <w:rPr>
                <w:rFonts w:ascii="微软雅黑" w:eastAsia="微软雅黑" w:hint="eastAsia"/>
                <w:b/>
                <w:sz w:val="21"/>
              </w:rPr>
            </w:pPr>
            <w:r>
              <w:rPr>
                <w:rFonts w:ascii="微软雅黑" w:eastAsia="微软雅黑" w:hint="eastAsia"/>
                <w:b/>
                <w:sz w:val="21"/>
              </w:rPr>
              <w:t>严重面部烧伤：</w:t>
            </w:r>
          </w:p>
        </w:tc>
        <w:tc>
          <w:tcPr>
            <w:tcW w:w="7960" w:type="dxa"/>
          </w:tcPr>
          <w:p>
            <w:pPr>
              <w:pStyle w:val="TableParagraph"/>
              <w:spacing w:before="33"/>
              <w:rPr>
                <w:sz w:val="21"/>
              </w:rPr>
            </w:pPr>
            <w:r>
              <w:rPr>
                <w:sz w:val="21"/>
              </w:rPr>
              <w:t>指烧伤程度为Ⅲ度，且Ⅲ度烧伤的面积达到面部表面积的 </w:t>
            </w:r>
            <w:r>
              <w:rPr>
                <w:rFonts w:ascii="Times New Roman" w:hAnsi="Times New Roman" w:eastAsia="Times New Roman"/>
                <w:sz w:val="21"/>
              </w:rPr>
              <w:t>80</w:t>
            </w:r>
            <w:r>
              <w:rPr>
                <w:sz w:val="21"/>
              </w:rPr>
              <w:t>％或 </w:t>
            </w:r>
            <w:r>
              <w:rPr>
                <w:rFonts w:ascii="Times New Roman" w:hAnsi="Times New Roman" w:eastAsia="Times New Roman"/>
                <w:sz w:val="21"/>
              </w:rPr>
              <w:t>80</w:t>
            </w:r>
            <w:r>
              <w:rPr>
                <w:sz w:val="21"/>
              </w:rPr>
              <w:t>％以上。</w:t>
            </w:r>
          </w:p>
        </w:tc>
      </w:tr>
      <w:tr>
        <w:trPr>
          <w:trHeight w:val="1312" w:hRule="atLeast"/>
        </w:trPr>
        <w:tc>
          <w:tcPr>
            <w:tcW w:w="693" w:type="dxa"/>
          </w:tcPr>
          <w:p>
            <w:pPr>
              <w:pStyle w:val="TableParagraph"/>
              <w:spacing w:before="83"/>
              <w:ind w:left="181" w:right="209"/>
              <w:jc w:val="center"/>
              <w:rPr>
                <w:rFonts w:ascii="Times New Roman"/>
                <w:b/>
                <w:sz w:val="21"/>
              </w:rPr>
            </w:pPr>
            <w:r>
              <w:rPr>
                <w:rFonts w:ascii="Times New Roman"/>
                <w:b/>
                <w:sz w:val="21"/>
              </w:rPr>
              <w:t>58.</w:t>
            </w:r>
          </w:p>
        </w:tc>
        <w:tc>
          <w:tcPr>
            <w:tcW w:w="1381" w:type="dxa"/>
          </w:tcPr>
          <w:p>
            <w:pPr>
              <w:pStyle w:val="TableParagraph"/>
              <w:spacing w:line="199" w:lineRule="auto" w:before="33"/>
              <w:ind w:left="229" w:right="117"/>
              <w:rPr>
                <w:rFonts w:ascii="微软雅黑" w:eastAsia="微软雅黑" w:hint="eastAsia"/>
                <w:b/>
                <w:sz w:val="21"/>
              </w:rPr>
            </w:pPr>
            <w:r>
              <w:rPr>
                <w:rFonts w:ascii="微软雅黑" w:eastAsia="微软雅黑" w:hint="eastAsia"/>
                <w:b/>
                <w:sz w:val="21"/>
              </w:rPr>
              <w:t>侵蚀性葡</w:t>
            </w:r>
            <w:r>
              <w:rPr>
                <w:rFonts w:ascii="微软雅黑" w:eastAsia="微软雅黑" w:hint="eastAsia"/>
                <w:b/>
                <w:spacing w:val="-13"/>
                <w:sz w:val="21"/>
              </w:rPr>
              <w:t>萄胎</w:t>
            </w:r>
            <w:r>
              <w:rPr>
                <w:rFonts w:ascii="微软雅黑" w:eastAsia="微软雅黑" w:hint="eastAsia"/>
                <w:b/>
                <w:sz w:val="21"/>
              </w:rPr>
              <w:t>（或称恶性葡萄</w:t>
            </w:r>
            <w:r>
              <w:rPr>
                <w:rFonts w:ascii="微软雅黑" w:eastAsia="微软雅黑" w:hint="eastAsia"/>
                <w:b/>
                <w:w w:val="100"/>
                <w:sz w:val="21"/>
              </w:rPr>
              <w:t>胎</w:t>
            </w:r>
            <w:r>
              <w:rPr>
                <w:rFonts w:ascii="微软雅黑" w:eastAsia="微软雅黑" w:hint="eastAsia"/>
                <w:b/>
                <w:spacing w:val="-106"/>
                <w:w w:val="100"/>
                <w:sz w:val="21"/>
              </w:rPr>
              <w:t>）</w:t>
            </w:r>
            <w:r>
              <w:rPr>
                <w:rFonts w:ascii="微软雅黑" w:eastAsia="微软雅黑" w:hint="eastAsia"/>
                <w:b/>
                <w:w w:val="100"/>
                <w:sz w:val="21"/>
              </w:rPr>
              <w:t>：</w:t>
            </w:r>
          </w:p>
        </w:tc>
        <w:tc>
          <w:tcPr>
            <w:tcW w:w="7960" w:type="dxa"/>
          </w:tcPr>
          <w:p>
            <w:pPr>
              <w:pStyle w:val="TableParagraph"/>
              <w:spacing w:line="261" w:lineRule="auto" w:before="33"/>
              <w:ind w:right="295"/>
              <w:rPr>
                <w:sz w:val="21"/>
              </w:rPr>
            </w:pPr>
            <w:r>
              <w:rPr>
                <w:sz w:val="21"/>
              </w:rPr>
              <w:t>指异常增生的绒毛组织浸润性生长浸入子宫肌层或转移至他器官或组织的葡萄胎， 并已经进行化疗或手术治疗的。</w:t>
            </w:r>
          </w:p>
        </w:tc>
      </w:tr>
      <w:tr>
        <w:trPr>
          <w:trHeight w:val="1921" w:hRule="atLeast"/>
        </w:trPr>
        <w:tc>
          <w:tcPr>
            <w:tcW w:w="693" w:type="dxa"/>
          </w:tcPr>
          <w:p>
            <w:pPr>
              <w:pStyle w:val="TableParagraph"/>
              <w:spacing w:before="83"/>
              <w:ind w:left="181" w:right="209"/>
              <w:jc w:val="center"/>
              <w:rPr>
                <w:rFonts w:ascii="Times New Roman"/>
                <w:b/>
                <w:sz w:val="21"/>
              </w:rPr>
            </w:pPr>
            <w:r>
              <w:rPr>
                <w:rFonts w:ascii="Times New Roman"/>
                <w:b/>
                <w:sz w:val="21"/>
              </w:rPr>
              <w:t>59.</w:t>
            </w:r>
          </w:p>
        </w:tc>
        <w:tc>
          <w:tcPr>
            <w:tcW w:w="1381" w:type="dxa"/>
          </w:tcPr>
          <w:p>
            <w:pPr>
              <w:pStyle w:val="TableParagraph"/>
              <w:spacing w:line="199" w:lineRule="auto" w:before="33"/>
              <w:ind w:left="229" w:right="304"/>
              <w:jc w:val="both"/>
              <w:rPr>
                <w:rFonts w:ascii="微软雅黑" w:eastAsia="微软雅黑" w:hint="eastAsia"/>
                <w:b/>
                <w:sz w:val="21"/>
              </w:rPr>
            </w:pPr>
            <w:r>
              <w:rPr>
                <w:rFonts w:ascii="微软雅黑" w:eastAsia="微软雅黑" w:hint="eastAsia"/>
                <w:b/>
                <w:sz w:val="21"/>
              </w:rPr>
              <w:t>严重传染性心内膜炎：</w:t>
            </w:r>
          </w:p>
        </w:tc>
        <w:tc>
          <w:tcPr>
            <w:tcW w:w="7960" w:type="dxa"/>
          </w:tcPr>
          <w:p>
            <w:pPr>
              <w:pStyle w:val="TableParagraph"/>
              <w:spacing w:before="33"/>
              <w:rPr>
                <w:sz w:val="21"/>
              </w:rPr>
            </w:pPr>
            <w:r>
              <w:rPr>
                <w:sz w:val="21"/>
              </w:rPr>
              <w:t>是指由感染性微生物引致的心脏内膜炎症，并须符合下列所有准则：</w:t>
            </w:r>
          </w:p>
          <w:p>
            <w:pPr>
              <w:pStyle w:val="TableParagraph"/>
              <w:spacing w:before="24"/>
              <w:rPr>
                <w:sz w:val="21"/>
              </w:rPr>
            </w:pPr>
            <w:r>
              <w:rPr>
                <w:sz w:val="21"/>
              </w:rPr>
              <w:t>（</w:t>
            </w:r>
            <w:r>
              <w:rPr>
                <w:rFonts w:ascii="Times New Roman" w:eastAsia="Times New Roman"/>
                <w:sz w:val="21"/>
              </w:rPr>
              <w:t>1</w:t>
            </w:r>
            <w:r>
              <w:rPr>
                <w:sz w:val="21"/>
              </w:rPr>
              <w:t>）血液培植结果呈阳性反应，证明感染性微生物的存在；</w:t>
            </w:r>
          </w:p>
          <w:p>
            <w:pPr>
              <w:pStyle w:val="TableParagraph"/>
              <w:spacing w:line="254" w:lineRule="auto" w:before="9"/>
              <w:ind w:left="621" w:right="302" w:hanging="526"/>
              <w:rPr>
                <w:sz w:val="21"/>
              </w:rPr>
            </w:pPr>
            <w:r>
              <w:rPr>
                <w:sz w:val="21"/>
              </w:rPr>
              <w:t>（</w:t>
            </w:r>
            <w:r>
              <w:rPr>
                <w:rFonts w:ascii="Times New Roman" w:eastAsia="Times New Roman"/>
                <w:sz w:val="21"/>
              </w:rPr>
              <w:t>2</w:t>
            </w:r>
            <w:r>
              <w:rPr>
                <w:sz w:val="21"/>
              </w:rPr>
              <w:t>）</w:t>
            </w:r>
            <w:r>
              <w:rPr>
                <w:spacing w:val="-3"/>
                <w:sz w:val="21"/>
              </w:rPr>
              <w:t>出现最少中度之心脏瓣膜功能</w:t>
            </w:r>
            <w:r>
              <w:rPr>
                <w:rFonts w:ascii="Arial" w:eastAsia="Arial"/>
                <w:sz w:val="21"/>
              </w:rPr>
              <w:t>不</w:t>
            </w:r>
            <w:r>
              <w:rPr>
                <w:sz w:val="21"/>
              </w:rPr>
              <w:t>全</w:t>
            </w:r>
            <w:r>
              <w:rPr>
                <w:spacing w:val="-3"/>
                <w:sz w:val="21"/>
              </w:rPr>
              <w:t>（即返流部份达百分之二十或以上）</w:t>
            </w:r>
            <w:r>
              <w:rPr>
                <w:sz w:val="21"/>
              </w:rPr>
              <w:t>或中</w:t>
            </w:r>
            <w:r>
              <w:rPr>
                <w:spacing w:val="-4"/>
                <w:w w:val="100"/>
                <w:sz w:val="21"/>
              </w:rPr>
              <w:t>度之心脏瓣膜狭窄</w:t>
            </w:r>
            <w:r>
              <w:rPr>
                <w:w w:val="100"/>
                <w:sz w:val="21"/>
              </w:rPr>
              <w:t>（</w:t>
            </w:r>
            <w:r>
              <w:rPr>
                <w:spacing w:val="-3"/>
                <w:w w:val="100"/>
                <w:sz w:val="21"/>
              </w:rPr>
              <w:t>即心脏瓣面积为正常值的百分之三十或以下</w:t>
            </w:r>
            <w:r>
              <w:rPr>
                <w:spacing w:val="-108"/>
                <w:w w:val="100"/>
                <w:sz w:val="21"/>
              </w:rPr>
              <w:t>）</w:t>
            </w:r>
            <w:r>
              <w:rPr>
                <w:spacing w:val="-3"/>
                <w:w w:val="100"/>
                <w:sz w:val="21"/>
              </w:rPr>
              <w:t>，导致传染</w:t>
            </w:r>
            <w:r>
              <w:rPr>
                <w:spacing w:val="-2"/>
                <w:sz w:val="21"/>
              </w:rPr>
              <w:t>性心内膜炎；</w:t>
            </w:r>
          </w:p>
          <w:p>
            <w:pPr>
              <w:pStyle w:val="TableParagraph"/>
              <w:spacing w:before="12"/>
              <w:rPr>
                <w:sz w:val="21"/>
              </w:rPr>
            </w:pPr>
            <w:r>
              <w:rPr>
                <w:sz w:val="21"/>
              </w:rPr>
              <w:t>（</w:t>
            </w:r>
            <w:r>
              <w:rPr>
                <w:rFonts w:ascii="Times New Roman" w:eastAsia="Times New Roman"/>
                <w:sz w:val="21"/>
              </w:rPr>
              <w:t>3</w:t>
            </w:r>
            <w:r>
              <w:rPr>
                <w:sz w:val="21"/>
              </w:rPr>
              <w:t>）传染性心内膜炎的诊断及瓣膜受损的严重程度必须由心脏病专科医生确定。</w:t>
            </w:r>
          </w:p>
        </w:tc>
      </w:tr>
      <w:tr>
        <w:trPr>
          <w:trHeight w:val="706" w:hRule="atLeast"/>
        </w:trPr>
        <w:tc>
          <w:tcPr>
            <w:tcW w:w="693" w:type="dxa"/>
          </w:tcPr>
          <w:p>
            <w:pPr>
              <w:pStyle w:val="TableParagraph"/>
              <w:spacing w:before="75"/>
              <w:ind w:left="181" w:right="209"/>
              <w:jc w:val="center"/>
              <w:rPr>
                <w:rFonts w:ascii="Times New Roman"/>
                <w:b/>
                <w:sz w:val="21"/>
              </w:rPr>
            </w:pPr>
            <w:r>
              <w:rPr>
                <w:rFonts w:ascii="Times New Roman"/>
                <w:b/>
                <w:sz w:val="21"/>
              </w:rPr>
              <w:t>60.</w:t>
            </w:r>
          </w:p>
        </w:tc>
        <w:tc>
          <w:tcPr>
            <w:tcW w:w="1381" w:type="dxa"/>
          </w:tcPr>
          <w:p>
            <w:pPr>
              <w:pStyle w:val="TableParagraph"/>
              <w:spacing w:line="199" w:lineRule="auto" w:before="25"/>
              <w:ind w:left="229" w:right="304"/>
              <w:rPr>
                <w:rFonts w:ascii="微软雅黑" w:eastAsia="微软雅黑" w:hint="eastAsia"/>
                <w:b/>
                <w:sz w:val="21"/>
              </w:rPr>
            </w:pPr>
            <w:r>
              <w:rPr>
                <w:rFonts w:ascii="微软雅黑" w:eastAsia="微软雅黑" w:hint="eastAsia"/>
                <w:b/>
                <w:sz w:val="21"/>
              </w:rPr>
              <w:t>嗜铬细胞瘤：</w:t>
            </w:r>
          </w:p>
        </w:tc>
        <w:tc>
          <w:tcPr>
            <w:tcW w:w="7960" w:type="dxa"/>
          </w:tcPr>
          <w:p>
            <w:pPr>
              <w:pStyle w:val="TableParagraph"/>
              <w:spacing w:line="261" w:lineRule="auto" w:before="25"/>
              <w:ind w:right="302"/>
              <w:rPr>
                <w:sz w:val="21"/>
              </w:rPr>
            </w:pPr>
            <w:r>
              <w:rPr>
                <w:sz w:val="21"/>
              </w:rPr>
              <w:t>指肾上腺或嗜铬外组织出现神经内分泌肿瘤，并分泌过多的儿茶酚胺类，需要确实进</w:t>
            </w:r>
            <w:r>
              <w:rPr>
                <w:rFonts w:ascii="Arial" w:eastAsia="Arial"/>
                <w:w w:val="115"/>
                <w:sz w:val="21"/>
              </w:rPr>
              <w:t>行</w:t>
            </w:r>
            <w:r>
              <w:rPr>
                <w:sz w:val="21"/>
              </w:rPr>
              <w:t>手术以切除肿瘤。</w:t>
            </w:r>
          </w:p>
        </w:tc>
      </w:tr>
      <w:tr>
        <w:trPr>
          <w:trHeight w:val="1013" w:hRule="atLeast"/>
        </w:trPr>
        <w:tc>
          <w:tcPr>
            <w:tcW w:w="693" w:type="dxa"/>
          </w:tcPr>
          <w:p>
            <w:pPr>
              <w:pStyle w:val="TableParagraph"/>
              <w:spacing w:before="84"/>
              <w:ind w:left="181" w:right="209"/>
              <w:jc w:val="center"/>
              <w:rPr>
                <w:rFonts w:ascii="Times New Roman"/>
                <w:b/>
                <w:sz w:val="21"/>
              </w:rPr>
            </w:pPr>
            <w:r>
              <w:rPr>
                <w:rFonts w:ascii="Times New Roman"/>
                <w:b/>
                <w:sz w:val="21"/>
              </w:rPr>
              <w:t>61.</w:t>
            </w:r>
          </w:p>
        </w:tc>
        <w:tc>
          <w:tcPr>
            <w:tcW w:w="1381" w:type="dxa"/>
          </w:tcPr>
          <w:p>
            <w:pPr>
              <w:pStyle w:val="TableParagraph"/>
              <w:spacing w:line="199" w:lineRule="auto" w:before="34"/>
              <w:ind w:left="229" w:right="304"/>
              <w:jc w:val="both"/>
              <w:rPr>
                <w:rFonts w:ascii="微软雅黑" w:eastAsia="微软雅黑" w:hint="eastAsia"/>
                <w:b/>
                <w:sz w:val="21"/>
              </w:rPr>
            </w:pPr>
            <w:r>
              <w:rPr>
                <w:rFonts w:ascii="微软雅黑" w:eastAsia="微软雅黑" w:hint="eastAsia"/>
                <w:b/>
                <w:sz w:val="21"/>
              </w:rPr>
              <w:t>溶血性链球菌引起的坏疽：</w:t>
            </w:r>
          </w:p>
        </w:tc>
        <w:tc>
          <w:tcPr>
            <w:tcW w:w="7960" w:type="dxa"/>
          </w:tcPr>
          <w:p>
            <w:pPr>
              <w:pStyle w:val="TableParagraph"/>
              <w:spacing w:line="261" w:lineRule="auto" w:before="35"/>
              <w:ind w:right="302"/>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321" w:hRule="atLeast"/>
        </w:trPr>
        <w:tc>
          <w:tcPr>
            <w:tcW w:w="693" w:type="dxa"/>
          </w:tcPr>
          <w:p>
            <w:pPr>
              <w:pStyle w:val="TableParagraph"/>
              <w:spacing w:before="83"/>
              <w:ind w:left="181" w:right="209"/>
              <w:jc w:val="center"/>
              <w:rPr>
                <w:rFonts w:ascii="Times New Roman"/>
                <w:b/>
                <w:sz w:val="21"/>
              </w:rPr>
            </w:pPr>
            <w:r>
              <w:rPr>
                <w:rFonts w:ascii="Times New Roman"/>
                <w:b/>
                <w:sz w:val="21"/>
              </w:rPr>
              <w:t>62.</w:t>
            </w:r>
          </w:p>
        </w:tc>
        <w:tc>
          <w:tcPr>
            <w:tcW w:w="1381" w:type="dxa"/>
          </w:tcPr>
          <w:p>
            <w:pPr>
              <w:pStyle w:val="TableParagraph"/>
              <w:spacing w:line="199" w:lineRule="auto" w:before="33"/>
              <w:ind w:left="229" w:right="93"/>
              <w:rPr>
                <w:rFonts w:ascii="微软雅黑" w:eastAsia="微软雅黑" w:hint="eastAsia"/>
                <w:b/>
                <w:sz w:val="21"/>
              </w:rPr>
            </w:pPr>
            <w:r>
              <w:rPr>
                <w:rFonts w:ascii="微软雅黑" w:eastAsia="微软雅黑" w:hint="eastAsia"/>
                <w:b/>
                <w:sz w:val="21"/>
              </w:rPr>
              <w:t>进 行 性 核 上性麻痹：</w:t>
            </w:r>
          </w:p>
        </w:tc>
        <w:tc>
          <w:tcPr>
            <w:tcW w:w="7960" w:type="dxa"/>
          </w:tcPr>
          <w:p>
            <w:pPr>
              <w:pStyle w:val="TableParagraph"/>
              <w:spacing w:before="33"/>
              <w:rPr>
                <w:sz w:val="21"/>
              </w:rPr>
            </w:pPr>
            <w:r>
              <w:rPr>
                <w:sz w:val="21"/>
              </w:rPr>
              <w:t>指一种隐袭起病、逐渐加重的神经系统变性疾病，且满足如下临床特征：</w:t>
            </w:r>
          </w:p>
          <w:p>
            <w:pPr>
              <w:pStyle w:val="TableParagraph"/>
              <w:spacing w:before="24"/>
              <w:rPr>
                <w:sz w:val="21"/>
              </w:rPr>
            </w:pPr>
            <w:r>
              <w:rPr>
                <w:sz w:val="21"/>
              </w:rPr>
              <w:t>（</w:t>
            </w:r>
            <w:r>
              <w:rPr>
                <w:rFonts w:ascii="Times New Roman" w:eastAsia="Times New Roman"/>
                <w:sz w:val="21"/>
              </w:rPr>
              <w:t>1</w:t>
            </w:r>
            <w:r>
              <w:rPr>
                <w:sz w:val="21"/>
              </w:rPr>
              <w:t>）步态共济失调；</w:t>
            </w:r>
          </w:p>
          <w:p>
            <w:pPr>
              <w:pStyle w:val="TableParagraph"/>
              <w:spacing w:before="9"/>
              <w:rPr>
                <w:sz w:val="21"/>
              </w:rPr>
            </w:pPr>
            <w:r>
              <w:rPr>
                <w:sz w:val="21"/>
              </w:rPr>
              <w:t>（</w:t>
            </w:r>
            <w:r>
              <w:rPr>
                <w:rFonts w:ascii="Times New Roman" w:eastAsia="Times New Roman"/>
                <w:sz w:val="21"/>
              </w:rPr>
              <w:t>2</w:t>
            </w:r>
            <w:r>
              <w:rPr>
                <w:sz w:val="21"/>
              </w:rPr>
              <w:t>）对称性眼球垂直运动障碍；</w:t>
            </w:r>
          </w:p>
          <w:p>
            <w:pPr>
              <w:pStyle w:val="TableParagraph"/>
              <w:spacing w:before="10"/>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r>
        <w:trPr>
          <w:trHeight w:val="1004" w:hRule="atLeast"/>
        </w:trPr>
        <w:tc>
          <w:tcPr>
            <w:tcW w:w="693" w:type="dxa"/>
          </w:tcPr>
          <w:p>
            <w:pPr>
              <w:pStyle w:val="TableParagraph"/>
              <w:spacing w:before="75"/>
              <w:ind w:left="181" w:right="209"/>
              <w:jc w:val="center"/>
              <w:rPr>
                <w:rFonts w:ascii="Times New Roman"/>
                <w:b/>
                <w:sz w:val="21"/>
              </w:rPr>
            </w:pPr>
            <w:r>
              <w:rPr>
                <w:rFonts w:ascii="Times New Roman"/>
                <w:b/>
                <w:sz w:val="21"/>
              </w:rPr>
              <w:t>63.</w:t>
            </w:r>
          </w:p>
        </w:tc>
        <w:tc>
          <w:tcPr>
            <w:tcW w:w="1381" w:type="dxa"/>
          </w:tcPr>
          <w:p>
            <w:pPr>
              <w:pStyle w:val="TableParagraph"/>
              <w:spacing w:line="199" w:lineRule="auto" w:before="25"/>
              <w:ind w:left="229" w:right="93"/>
              <w:rPr>
                <w:rFonts w:ascii="微软雅黑" w:eastAsia="微软雅黑" w:hint="eastAsia"/>
                <w:b/>
                <w:sz w:val="21"/>
              </w:rPr>
            </w:pPr>
            <w:r>
              <w:rPr>
                <w:rFonts w:ascii="微软雅黑" w:eastAsia="微软雅黑" w:hint="eastAsia"/>
                <w:b/>
                <w:sz w:val="21"/>
              </w:rPr>
              <w:t>肺 泡 蛋 白 质沉积症：</w:t>
            </w:r>
          </w:p>
        </w:tc>
        <w:tc>
          <w:tcPr>
            <w:tcW w:w="7960" w:type="dxa"/>
          </w:tcPr>
          <w:p>
            <w:pPr>
              <w:pStyle w:val="TableParagraph"/>
              <w:spacing w:line="247" w:lineRule="auto" w:before="25"/>
              <w:ind w:right="197"/>
              <w:rPr>
                <w:sz w:val="21"/>
              </w:rPr>
            </w:pPr>
            <w:r>
              <w:rPr>
                <w:spacing w:val="-8"/>
                <w:sz w:val="21"/>
              </w:rPr>
              <w:t>指肺泡和细支气管腔内充满不可溶性富磷脂蛋白的疾病，胸部 </w:t>
            </w:r>
            <w:r>
              <w:rPr>
                <w:rFonts w:ascii="Times New Roman" w:eastAsia="Times New Roman"/>
                <w:sz w:val="21"/>
              </w:rPr>
              <w:t>X </w:t>
            </w:r>
            <w:r>
              <w:rPr>
                <w:spacing w:val="-3"/>
                <w:sz w:val="21"/>
              </w:rPr>
              <w:t>线呈双肺弥漫性肺</w:t>
            </w:r>
            <w:r>
              <w:rPr>
                <w:spacing w:val="-7"/>
                <w:sz w:val="21"/>
              </w:rPr>
              <w:t>部磨玻璃影，病理学检查肺泡内充满有过碘酸雪夫</w:t>
            </w:r>
            <w:r>
              <w:rPr>
                <w:spacing w:val="-9"/>
                <w:sz w:val="21"/>
              </w:rPr>
              <w:t>（</w:t>
            </w:r>
            <w:r>
              <w:rPr>
                <w:rFonts w:ascii="Times New Roman" w:eastAsia="Times New Roman"/>
                <w:spacing w:val="-9"/>
                <w:sz w:val="21"/>
              </w:rPr>
              <w:t>PAS</w:t>
            </w:r>
            <w:r>
              <w:rPr>
                <w:spacing w:val="-9"/>
                <w:sz w:val="21"/>
              </w:rPr>
              <w:t>）</w:t>
            </w:r>
            <w:r>
              <w:rPr>
                <w:spacing w:val="-3"/>
                <w:sz w:val="21"/>
              </w:rPr>
              <w:t>染色阳性的蛋白样物质， 并且接受了肺灌洗治疗。</w:t>
            </w:r>
          </w:p>
        </w:tc>
      </w:tr>
      <w:tr>
        <w:trPr>
          <w:trHeight w:val="615" w:hRule="atLeast"/>
        </w:trPr>
        <w:tc>
          <w:tcPr>
            <w:tcW w:w="693" w:type="dxa"/>
          </w:tcPr>
          <w:p>
            <w:pPr>
              <w:pStyle w:val="TableParagraph"/>
              <w:spacing w:before="83"/>
              <w:ind w:left="181" w:right="209"/>
              <w:jc w:val="center"/>
              <w:rPr>
                <w:rFonts w:ascii="Times New Roman"/>
                <w:b/>
                <w:sz w:val="21"/>
              </w:rPr>
            </w:pPr>
            <w:r>
              <w:rPr>
                <w:rFonts w:ascii="Times New Roman"/>
                <w:b/>
                <w:sz w:val="21"/>
              </w:rPr>
              <w:t>64.</w:t>
            </w:r>
          </w:p>
        </w:tc>
        <w:tc>
          <w:tcPr>
            <w:tcW w:w="1381" w:type="dxa"/>
          </w:tcPr>
          <w:p>
            <w:pPr>
              <w:pStyle w:val="TableParagraph"/>
              <w:spacing w:line="300" w:lineRule="exact" w:before="39"/>
              <w:ind w:left="229" w:right="304"/>
              <w:rPr>
                <w:rFonts w:ascii="微软雅黑" w:eastAsia="微软雅黑" w:hint="eastAsia"/>
                <w:b/>
                <w:sz w:val="21"/>
              </w:rPr>
            </w:pPr>
            <w:r>
              <w:rPr>
                <w:rFonts w:ascii="微软雅黑" w:eastAsia="微软雅黑" w:hint="eastAsia"/>
                <w:b/>
                <w:sz w:val="21"/>
              </w:rPr>
              <w:t>严重川崎病：</w:t>
            </w:r>
          </w:p>
        </w:tc>
        <w:tc>
          <w:tcPr>
            <w:tcW w:w="7960" w:type="dxa"/>
          </w:tcPr>
          <w:p>
            <w:pPr>
              <w:pStyle w:val="TableParagraph"/>
              <w:spacing w:line="300" w:lineRule="atLeast" w:before="8"/>
              <w:ind w:right="303"/>
              <w:rPr>
                <w:sz w:val="21"/>
              </w:rPr>
            </w:pPr>
            <w:r>
              <w:rPr>
                <w:sz w:val="21"/>
              </w:rPr>
              <w:t>是一种血管炎综合征，临床表现为急性发热，皮肤粘膜病损和淋巴结肿大。本病须经专科医生明确诊断，同时须由血管造影或者超声心动图检查证实，满足下列至少</w:t>
            </w:r>
          </w:p>
        </w:tc>
      </w:tr>
    </w:tbl>
    <w:p>
      <w:pPr>
        <w:spacing w:after="0" w:line="300" w:lineRule="atLeast"/>
        <w:rPr>
          <w:sz w:val="21"/>
        </w:rPr>
        <w:sectPr>
          <w:pgSz w:w="11910" w:h="16840"/>
          <w:pgMar w:top="1480" w:bottom="280" w:left="1080" w:right="5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
        <w:gridCol w:w="1303"/>
        <w:gridCol w:w="7862"/>
      </w:tblGrid>
      <w:tr>
        <w:trPr>
          <w:trHeight w:val="917" w:hRule="atLeast"/>
        </w:trPr>
        <w:tc>
          <w:tcPr>
            <w:tcW w:w="771" w:type="dxa"/>
          </w:tcPr>
          <w:p>
            <w:pPr>
              <w:pStyle w:val="TableParagraph"/>
              <w:ind w:left="0"/>
              <w:rPr>
                <w:rFonts w:ascii="Times New Roman"/>
                <w:sz w:val="20"/>
              </w:rPr>
            </w:pPr>
          </w:p>
        </w:tc>
        <w:tc>
          <w:tcPr>
            <w:tcW w:w="1303" w:type="dxa"/>
          </w:tcPr>
          <w:p>
            <w:pPr>
              <w:pStyle w:val="TableParagraph"/>
              <w:ind w:left="0"/>
              <w:rPr>
                <w:rFonts w:ascii="Times New Roman"/>
                <w:sz w:val="20"/>
              </w:rPr>
            </w:pPr>
          </w:p>
        </w:tc>
        <w:tc>
          <w:tcPr>
            <w:tcW w:w="7862" w:type="dxa"/>
          </w:tcPr>
          <w:p>
            <w:pPr>
              <w:pStyle w:val="TableParagraph"/>
              <w:spacing w:line="211" w:lineRule="exact"/>
              <w:rPr>
                <w:sz w:val="21"/>
              </w:rPr>
            </w:pPr>
            <w:r>
              <w:rPr>
                <w:sz w:val="21"/>
              </w:rPr>
              <w:t>一项条件：</w:t>
            </w:r>
          </w:p>
          <w:p>
            <w:pPr>
              <w:pStyle w:val="TableParagraph"/>
              <w:spacing w:before="25"/>
              <w:rPr>
                <w:sz w:val="21"/>
              </w:rPr>
            </w:pPr>
            <w:r>
              <w:rPr>
                <w:sz w:val="21"/>
              </w:rPr>
              <w:t>（</w:t>
            </w:r>
            <w:r>
              <w:rPr>
                <w:rFonts w:ascii="Times New Roman" w:eastAsia="Times New Roman"/>
                <w:sz w:val="21"/>
              </w:rPr>
              <w:t>1</w:t>
            </w:r>
            <w:r>
              <w:rPr>
                <w:sz w:val="21"/>
              </w:rPr>
              <w:t>）伴有冠状动脉瘤，且冠状动脉瘤于最初急性发病后持续至少 </w:t>
            </w:r>
            <w:r>
              <w:rPr>
                <w:rFonts w:ascii="Times New Roman" w:eastAsia="Times New Roman"/>
                <w:sz w:val="21"/>
              </w:rPr>
              <w:t>180 </w:t>
            </w:r>
            <w:r>
              <w:rPr>
                <w:sz w:val="21"/>
              </w:rPr>
              <w:t>天；</w:t>
            </w:r>
          </w:p>
          <w:p>
            <w:pPr>
              <w:pStyle w:val="TableParagraph"/>
              <w:spacing w:before="8"/>
              <w:rPr>
                <w:sz w:val="21"/>
              </w:rPr>
            </w:pPr>
            <w:r>
              <w:rPr>
                <w:sz w:val="21"/>
              </w:rPr>
              <w:t>（</w:t>
            </w:r>
            <w:r>
              <w:rPr>
                <w:rFonts w:ascii="Times New Roman" w:eastAsia="Times New Roman"/>
                <w:sz w:val="21"/>
              </w:rPr>
              <w:t>2</w:t>
            </w:r>
            <w:r>
              <w:rPr>
                <w:sz w:val="21"/>
              </w:rPr>
              <w:t>）伴有冠状动脉瘤，且实际接受了对冠状动脉瘤进行的手术治疗。</w:t>
            </w:r>
          </w:p>
        </w:tc>
      </w:tr>
      <w:tr>
        <w:trPr>
          <w:trHeight w:val="1612" w:hRule="atLeast"/>
        </w:trPr>
        <w:tc>
          <w:tcPr>
            <w:tcW w:w="771" w:type="dxa"/>
          </w:tcPr>
          <w:p>
            <w:pPr>
              <w:pStyle w:val="TableParagraph"/>
              <w:spacing w:before="81"/>
              <w:ind w:left="200"/>
              <w:rPr>
                <w:rFonts w:ascii="Times New Roman"/>
                <w:b/>
                <w:sz w:val="21"/>
              </w:rPr>
            </w:pPr>
            <w:r>
              <w:rPr>
                <w:rFonts w:ascii="Times New Roman"/>
                <w:b/>
                <w:sz w:val="21"/>
              </w:rPr>
              <w:t>65.</w:t>
            </w:r>
          </w:p>
        </w:tc>
        <w:tc>
          <w:tcPr>
            <w:tcW w:w="1303" w:type="dxa"/>
          </w:tcPr>
          <w:p>
            <w:pPr>
              <w:pStyle w:val="TableParagraph"/>
              <w:spacing w:line="199" w:lineRule="auto" w:before="31"/>
              <w:ind w:left="151" w:right="304"/>
              <w:rPr>
                <w:rFonts w:ascii="微软雅黑" w:eastAsia="微软雅黑" w:hint="eastAsia"/>
                <w:b/>
                <w:sz w:val="21"/>
              </w:rPr>
            </w:pPr>
            <w:r>
              <w:rPr>
                <w:rFonts w:ascii="微软雅黑" w:eastAsia="微软雅黑" w:hint="eastAsia"/>
                <w:b/>
                <w:sz w:val="21"/>
              </w:rPr>
              <w:t>肺淋巴管肌瘤病：</w:t>
            </w:r>
          </w:p>
        </w:tc>
        <w:tc>
          <w:tcPr>
            <w:tcW w:w="7862" w:type="dxa"/>
          </w:tcPr>
          <w:p>
            <w:pPr>
              <w:pStyle w:val="TableParagraph"/>
              <w:spacing w:line="261" w:lineRule="auto" w:before="32"/>
              <w:ind w:right="205"/>
              <w:rPr>
                <w:sz w:val="21"/>
              </w:rPr>
            </w:pPr>
            <w:r>
              <w:rPr>
                <w:sz w:val="21"/>
              </w:rPr>
              <w:t>是一种弥漫性肺部疾病，主要病理改变为肺间质、支气管、血管和淋巴管内出现未成熟的平滑肌异常增生，同时须满足下列全部条件：</w:t>
            </w:r>
          </w:p>
          <w:p>
            <w:pPr>
              <w:pStyle w:val="TableParagraph"/>
              <w:spacing w:before="6"/>
              <w:rPr>
                <w:sz w:val="21"/>
              </w:rPr>
            </w:pPr>
            <w:r>
              <w:rPr>
                <w:sz w:val="21"/>
              </w:rPr>
              <w:t>（</w:t>
            </w:r>
            <w:r>
              <w:rPr>
                <w:rFonts w:ascii="Times New Roman" w:eastAsia="Times New Roman"/>
                <w:sz w:val="21"/>
              </w:rPr>
              <w:t>1</w:t>
            </w:r>
            <w:r>
              <w:rPr>
                <w:sz w:val="21"/>
              </w:rPr>
              <w:t>）经组织病理学诊断；</w:t>
            </w:r>
          </w:p>
          <w:p>
            <w:pPr>
              <w:pStyle w:val="TableParagraph"/>
              <w:spacing w:before="9"/>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9"/>
              <w:rPr>
                <w:sz w:val="21"/>
              </w:rPr>
            </w:pPr>
            <w:r>
              <w:rPr>
                <w:sz w:val="21"/>
              </w:rPr>
              <w:t>（</w:t>
            </w:r>
            <w:r>
              <w:rPr>
                <w:rFonts w:ascii="Times New Roman" w:eastAsia="Times New Roman"/>
                <w:sz w:val="21"/>
              </w:rPr>
              <w:t>3</w:t>
            </w:r>
            <w:r>
              <w:rPr>
                <w:sz w:val="21"/>
              </w:rPr>
              <w:t>）血气提示低氧血症。</w:t>
            </w:r>
          </w:p>
        </w:tc>
      </w:tr>
      <w:tr>
        <w:trPr>
          <w:trHeight w:val="2213" w:hRule="atLeast"/>
        </w:trPr>
        <w:tc>
          <w:tcPr>
            <w:tcW w:w="771" w:type="dxa"/>
          </w:tcPr>
          <w:p>
            <w:pPr>
              <w:pStyle w:val="TableParagraph"/>
              <w:spacing w:before="81"/>
              <w:ind w:left="200"/>
              <w:rPr>
                <w:rFonts w:ascii="Times New Roman"/>
                <w:b/>
                <w:sz w:val="21"/>
              </w:rPr>
            </w:pPr>
            <w:r>
              <w:rPr>
                <w:rFonts w:ascii="Times New Roman"/>
                <w:b/>
                <w:sz w:val="21"/>
              </w:rPr>
              <w:t>66.</w:t>
            </w:r>
          </w:p>
        </w:tc>
        <w:tc>
          <w:tcPr>
            <w:tcW w:w="1303" w:type="dxa"/>
          </w:tcPr>
          <w:p>
            <w:pPr>
              <w:pStyle w:val="TableParagraph"/>
              <w:spacing w:line="199" w:lineRule="auto" w:before="31"/>
              <w:ind w:left="151" w:right="304"/>
              <w:rPr>
                <w:rFonts w:ascii="微软雅黑" w:eastAsia="微软雅黑" w:hint="eastAsia"/>
                <w:b/>
                <w:sz w:val="21"/>
              </w:rPr>
            </w:pPr>
            <w:r>
              <w:rPr>
                <w:rFonts w:ascii="微软雅黑" w:eastAsia="微软雅黑" w:hint="eastAsia"/>
                <w:b/>
                <w:sz w:val="21"/>
              </w:rPr>
              <w:t>严重瑞氏综合症</w:t>
            </w:r>
          </w:p>
          <w:p>
            <w:pPr>
              <w:pStyle w:val="TableParagraph"/>
              <w:spacing w:line="199" w:lineRule="auto"/>
              <w:ind w:left="151" w:right="117"/>
              <w:rPr>
                <w:rFonts w:ascii="微软雅黑" w:eastAsia="微软雅黑" w:hint="eastAsia"/>
                <w:b/>
                <w:sz w:val="21"/>
              </w:rPr>
            </w:pPr>
            <w:r>
              <w:rPr>
                <w:rFonts w:ascii="微软雅黑" w:eastAsia="微软雅黑" w:hint="eastAsia"/>
                <w:b/>
                <w:sz w:val="21"/>
              </w:rPr>
              <w:t>（</w:t>
            </w:r>
            <w:r>
              <w:rPr>
                <w:rFonts w:ascii="Times New Roman" w:eastAsia="Times New Roman"/>
                <w:b/>
                <w:sz w:val="21"/>
              </w:rPr>
              <w:t>Reye </w:t>
            </w:r>
            <w:r>
              <w:rPr>
                <w:rFonts w:ascii="微软雅黑" w:eastAsia="微软雅黑" w:hint="eastAsia"/>
                <w:b/>
                <w:sz w:val="21"/>
              </w:rPr>
              <w:t>综</w:t>
            </w:r>
            <w:r>
              <w:rPr>
                <w:rFonts w:ascii="微软雅黑" w:eastAsia="微软雅黑" w:hint="eastAsia"/>
                <w:b/>
                <w:spacing w:val="-6"/>
                <w:sz w:val="21"/>
              </w:rPr>
              <w:t>合征，也称赖氏综合</w:t>
            </w:r>
            <w:r>
              <w:rPr>
                <w:rFonts w:ascii="微软雅黑" w:eastAsia="微软雅黑" w:hint="eastAsia"/>
                <w:b/>
                <w:spacing w:val="-8"/>
                <w:sz w:val="21"/>
              </w:rPr>
              <w:t>征、雷氏综</w:t>
            </w:r>
            <w:r>
              <w:rPr>
                <w:rFonts w:ascii="微软雅黑" w:eastAsia="微软雅黑" w:hint="eastAsia"/>
                <w:b/>
                <w:spacing w:val="-8"/>
                <w:w w:val="100"/>
                <w:sz w:val="21"/>
              </w:rPr>
              <w:t>合征</w:t>
            </w:r>
            <w:r>
              <w:rPr>
                <w:rFonts w:ascii="微软雅黑" w:eastAsia="微软雅黑" w:hint="eastAsia"/>
                <w:b/>
                <w:spacing w:val="-106"/>
                <w:w w:val="100"/>
                <w:sz w:val="21"/>
              </w:rPr>
              <w:t>）</w:t>
            </w:r>
            <w:r>
              <w:rPr>
                <w:rFonts w:ascii="微软雅黑" w:eastAsia="微软雅黑" w:hint="eastAsia"/>
                <w:b/>
                <w:w w:val="100"/>
                <w:sz w:val="21"/>
              </w:rPr>
              <w:t>：</w:t>
            </w:r>
          </w:p>
        </w:tc>
        <w:tc>
          <w:tcPr>
            <w:tcW w:w="7862" w:type="dxa"/>
          </w:tcPr>
          <w:p>
            <w:pPr>
              <w:pStyle w:val="TableParagraph"/>
              <w:spacing w:line="261" w:lineRule="auto" w:before="32"/>
              <w:ind w:right="204"/>
              <w:jc w:val="both"/>
              <w:rPr>
                <w:sz w:val="21"/>
              </w:rPr>
            </w:pPr>
            <w:r>
              <w:rPr>
                <w:sz w:val="21"/>
              </w:rPr>
              <w:t>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TableParagraph"/>
              <w:spacing w:before="6"/>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10"/>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9"/>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504" w:hRule="atLeast"/>
        </w:trPr>
        <w:tc>
          <w:tcPr>
            <w:tcW w:w="771" w:type="dxa"/>
          </w:tcPr>
          <w:p>
            <w:pPr>
              <w:pStyle w:val="TableParagraph"/>
              <w:spacing w:before="81"/>
              <w:ind w:left="200"/>
              <w:rPr>
                <w:rFonts w:ascii="Times New Roman"/>
                <w:b/>
                <w:sz w:val="21"/>
              </w:rPr>
            </w:pPr>
            <w:r>
              <w:rPr>
                <w:rFonts w:ascii="Times New Roman"/>
                <w:b/>
                <w:sz w:val="21"/>
              </w:rPr>
              <w:t>67.</w:t>
            </w:r>
          </w:p>
        </w:tc>
        <w:tc>
          <w:tcPr>
            <w:tcW w:w="1303" w:type="dxa"/>
          </w:tcPr>
          <w:p>
            <w:pPr>
              <w:pStyle w:val="TableParagraph"/>
              <w:spacing w:line="199" w:lineRule="auto" w:before="31"/>
              <w:ind w:left="151" w:right="304"/>
              <w:jc w:val="both"/>
              <w:rPr>
                <w:rFonts w:ascii="微软雅黑" w:eastAsia="微软雅黑" w:hint="eastAsia"/>
                <w:b/>
                <w:sz w:val="21"/>
              </w:rPr>
            </w:pPr>
            <w:r>
              <w:rPr>
                <w:rFonts w:ascii="微软雅黑" w:eastAsia="微软雅黑" w:hint="eastAsia"/>
                <w:b/>
                <w:sz w:val="21"/>
              </w:rPr>
              <w:t>严重慢性缩窄型心包炎：</w:t>
            </w:r>
          </w:p>
        </w:tc>
        <w:tc>
          <w:tcPr>
            <w:tcW w:w="7862" w:type="dxa"/>
          </w:tcPr>
          <w:p>
            <w:pPr>
              <w:pStyle w:val="TableParagraph"/>
              <w:spacing w:line="261" w:lineRule="auto" w:before="32"/>
              <w:ind w:right="197"/>
              <w:jc w:val="both"/>
              <w:rPr>
                <w:sz w:val="21"/>
              </w:rPr>
            </w:pPr>
            <w:r>
              <w:rPr>
                <w:sz w:val="21"/>
              </w:rPr>
              <w:t>由于慢性心包炎症导致心包脏层和壁层广泛瘢痕粘连、增厚和钙化，心包腔闭塞， 形成一个纤维瘢痕外壳，使心脏和大血管根部受压，阻碍心脏的舒张。被保险人被明确诊断为慢性缩窄性心包炎且必须满足以下所有条件：</w:t>
            </w:r>
          </w:p>
          <w:p>
            <w:pPr>
              <w:pStyle w:val="TableParagraph"/>
              <w:spacing w:line="247" w:lineRule="auto" w:before="6"/>
              <w:ind w:left="621" w:right="204" w:hanging="526"/>
              <w:rPr>
                <w:sz w:val="21"/>
              </w:rPr>
            </w:pPr>
            <w:r>
              <w:rPr>
                <w:spacing w:val="-4"/>
                <w:sz w:val="21"/>
              </w:rPr>
              <w:t>（</w:t>
            </w:r>
            <w:r>
              <w:rPr>
                <w:rFonts w:ascii="Times New Roman" w:eastAsia="Times New Roman"/>
                <w:spacing w:val="-4"/>
                <w:sz w:val="21"/>
              </w:rPr>
              <w:t>1</w:t>
            </w:r>
            <w:r>
              <w:rPr>
                <w:spacing w:val="-4"/>
                <w:sz w:val="21"/>
              </w:rPr>
              <w:t>）</w:t>
            </w:r>
            <w:r>
              <w:rPr>
                <w:spacing w:val="-5"/>
                <w:sz w:val="21"/>
              </w:rPr>
              <w:t>心功能衰竭达到美国纽约心脏病学会心功能状态分级 </w:t>
            </w:r>
            <w:r>
              <w:rPr>
                <w:rFonts w:ascii="Times New Roman" w:eastAsia="Times New Roman"/>
                <w:sz w:val="21"/>
              </w:rPr>
              <w:t>IV </w:t>
            </w:r>
            <w:r>
              <w:rPr>
                <w:spacing w:val="-11"/>
                <w:sz w:val="21"/>
              </w:rPr>
              <w:t>级，并持续 </w:t>
            </w:r>
            <w:r>
              <w:rPr>
                <w:rFonts w:ascii="Times New Roman" w:eastAsia="Times New Roman"/>
                <w:sz w:val="21"/>
              </w:rPr>
              <w:t>180 </w:t>
            </w:r>
            <w:r>
              <w:rPr>
                <w:sz w:val="21"/>
              </w:rPr>
              <w:t>天以上；</w:t>
            </w:r>
          </w:p>
          <w:p>
            <w:pPr>
              <w:pStyle w:val="TableParagraph"/>
              <w:spacing w:line="247" w:lineRule="auto" w:before="19"/>
              <w:ind w:left="621" w:right="212" w:hanging="526"/>
              <w:rPr>
                <w:sz w:val="21"/>
              </w:rPr>
            </w:pPr>
            <w:r>
              <w:rPr>
                <w:sz w:val="21"/>
              </w:rPr>
              <w:t>（</w:t>
            </w:r>
            <w:r>
              <w:rPr>
                <w:rFonts w:ascii="Times New Roman" w:eastAsia="Times New Roman"/>
                <w:sz w:val="21"/>
              </w:rPr>
              <w:t>2</w:t>
            </w:r>
            <w:r>
              <w:rPr>
                <w:sz w:val="21"/>
              </w:rPr>
              <w:t>）实际接受了以下任何一种手术路径的心包剥脱或心包切除手术；胸骨正中切口；双侧前胸切口；左前胸肋间切口。</w:t>
            </w:r>
          </w:p>
          <w:p>
            <w:pPr>
              <w:pStyle w:val="TableParagraph"/>
              <w:spacing w:before="19"/>
              <w:rPr>
                <w:sz w:val="21"/>
              </w:rPr>
            </w:pPr>
            <w:r>
              <w:rPr>
                <w:sz w:val="21"/>
              </w:rPr>
              <w:t>经胸腔镜、胸壁打孔进行的手术、心包粘连松解手术不在保障范围内。</w:t>
            </w:r>
          </w:p>
        </w:tc>
      </w:tr>
      <w:tr>
        <w:trPr>
          <w:trHeight w:val="1013" w:hRule="atLeast"/>
        </w:trPr>
        <w:tc>
          <w:tcPr>
            <w:tcW w:w="771" w:type="dxa"/>
          </w:tcPr>
          <w:p>
            <w:pPr>
              <w:pStyle w:val="TableParagraph"/>
              <w:spacing w:before="89"/>
              <w:ind w:left="200"/>
              <w:rPr>
                <w:rFonts w:ascii="Times New Roman"/>
                <w:b/>
                <w:sz w:val="21"/>
              </w:rPr>
            </w:pPr>
            <w:r>
              <w:rPr>
                <w:rFonts w:ascii="Times New Roman"/>
                <w:b/>
                <w:sz w:val="21"/>
              </w:rPr>
              <w:t>68.</w:t>
            </w:r>
          </w:p>
        </w:tc>
        <w:tc>
          <w:tcPr>
            <w:tcW w:w="1303" w:type="dxa"/>
          </w:tcPr>
          <w:p>
            <w:pPr>
              <w:pStyle w:val="TableParagraph"/>
              <w:spacing w:line="199" w:lineRule="auto" w:before="39"/>
              <w:ind w:left="151" w:right="304"/>
              <w:jc w:val="both"/>
              <w:rPr>
                <w:rFonts w:ascii="微软雅黑" w:eastAsia="微软雅黑" w:hint="eastAsia"/>
                <w:b/>
                <w:sz w:val="21"/>
              </w:rPr>
            </w:pPr>
            <w:r>
              <w:rPr>
                <w:rFonts w:ascii="微软雅黑" w:eastAsia="微软雅黑" w:hint="eastAsia"/>
                <w:b/>
                <w:sz w:val="21"/>
              </w:rPr>
              <w:t>进行性多灶性白质脑病：</w:t>
            </w:r>
          </w:p>
        </w:tc>
        <w:tc>
          <w:tcPr>
            <w:tcW w:w="7862" w:type="dxa"/>
          </w:tcPr>
          <w:p>
            <w:pPr>
              <w:pStyle w:val="TableParagraph"/>
              <w:spacing w:line="261" w:lineRule="auto" w:before="40"/>
              <w:ind w:right="204"/>
              <w:rPr>
                <w:sz w:val="21"/>
              </w:rPr>
            </w:pPr>
            <w:r>
              <w:rPr>
                <w:sz w:val="21"/>
              </w:rPr>
              <w:t>一种亚急性脱髓鞘性脑病，常常发现于免疫缺陷的病人。必须由神经科专科医生根据脑组织活检确诊。</w:t>
            </w:r>
          </w:p>
        </w:tc>
      </w:tr>
      <w:tr>
        <w:trPr>
          <w:trHeight w:val="2212" w:hRule="atLeast"/>
        </w:trPr>
        <w:tc>
          <w:tcPr>
            <w:tcW w:w="771" w:type="dxa"/>
          </w:tcPr>
          <w:p>
            <w:pPr>
              <w:pStyle w:val="TableParagraph"/>
              <w:spacing w:before="89"/>
              <w:ind w:left="200"/>
              <w:rPr>
                <w:rFonts w:ascii="Times New Roman"/>
                <w:b/>
                <w:sz w:val="21"/>
              </w:rPr>
            </w:pPr>
            <w:r>
              <w:rPr>
                <w:rFonts w:ascii="Times New Roman"/>
                <w:b/>
                <w:sz w:val="21"/>
              </w:rPr>
              <w:t>69.</w:t>
            </w:r>
          </w:p>
        </w:tc>
        <w:tc>
          <w:tcPr>
            <w:tcW w:w="1303" w:type="dxa"/>
          </w:tcPr>
          <w:p>
            <w:pPr>
              <w:pStyle w:val="TableParagraph"/>
              <w:spacing w:line="199" w:lineRule="auto" w:before="39"/>
              <w:ind w:left="151" w:right="304"/>
              <w:rPr>
                <w:rFonts w:ascii="微软雅黑" w:eastAsia="微软雅黑" w:hint="eastAsia"/>
                <w:b/>
                <w:sz w:val="21"/>
              </w:rPr>
            </w:pPr>
            <w:r>
              <w:rPr>
                <w:rFonts w:ascii="微软雅黑" w:eastAsia="微软雅黑" w:hint="eastAsia"/>
                <w:b/>
                <w:sz w:val="21"/>
              </w:rPr>
              <w:t>脊髓小脑变性症：</w:t>
            </w:r>
          </w:p>
        </w:tc>
        <w:tc>
          <w:tcPr>
            <w:tcW w:w="7862" w:type="dxa"/>
          </w:tcPr>
          <w:p>
            <w:pPr>
              <w:pStyle w:val="TableParagraph"/>
              <w:spacing w:line="261" w:lineRule="auto" w:before="40"/>
              <w:ind w:right="204"/>
              <w:rPr>
                <w:sz w:val="21"/>
              </w:rPr>
            </w:pPr>
            <w:r>
              <w:rPr>
                <w:sz w:val="21"/>
              </w:rPr>
              <w:t>髓小脑变性症为一组以小脑萎缩和共济失调为主要临床特点的疾病。必须符合所有以下条件：</w:t>
            </w:r>
          </w:p>
          <w:p>
            <w:pPr>
              <w:pStyle w:val="TableParagraph"/>
              <w:spacing w:before="6"/>
              <w:rPr>
                <w:sz w:val="21"/>
              </w:rPr>
            </w:pPr>
            <w:r>
              <w:rPr>
                <w:sz w:val="21"/>
              </w:rPr>
              <w:t>（</w:t>
            </w:r>
            <w:r>
              <w:rPr>
                <w:rFonts w:ascii="Times New Roman" w:eastAsia="Times New Roman"/>
                <w:sz w:val="21"/>
              </w:rPr>
              <w:t>1</w:t>
            </w:r>
            <w:r>
              <w:rPr>
                <w:sz w:val="21"/>
              </w:rPr>
              <w:t>）脊髓小脑变性症必须由医院诊断，并有以下证据支持：</w:t>
            </w:r>
          </w:p>
          <w:p>
            <w:pPr>
              <w:pStyle w:val="TableParagraph"/>
              <w:spacing w:before="9"/>
              <w:ind w:left="516"/>
              <w:rPr>
                <w:sz w:val="21"/>
              </w:rPr>
            </w:pPr>
            <w:r>
              <w:rPr>
                <w:sz w:val="21"/>
              </w:rPr>
              <w:t>① 影像学检查证实存在小脑萎缩；</w:t>
            </w:r>
          </w:p>
          <w:p>
            <w:pPr>
              <w:pStyle w:val="TableParagraph"/>
              <w:spacing w:before="25"/>
              <w:ind w:left="516"/>
              <w:rPr>
                <w:sz w:val="21"/>
              </w:rPr>
            </w:pPr>
            <w:r>
              <w:rPr>
                <w:sz w:val="21"/>
              </w:rPr>
              <w:t>② 临床表现存在共济失调、语言障碍和肌张力异常；</w:t>
            </w:r>
          </w:p>
          <w:p>
            <w:pPr>
              <w:pStyle w:val="TableParagraph"/>
              <w:spacing w:line="247" w:lineRule="auto" w:before="25"/>
              <w:ind w:left="516" w:right="212" w:hanging="420"/>
              <w:rPr>
                <w:sz w:val="21"/>
              </w:rPr>
            </w:pPr>
            <w:r>
              <w:rPr>
                <w:sz w:val="21"/>
              </w:rPr>
              <w:t>（</w:t>
            </w:r>
            <w:r>
              <w:rPr>
                <w:rFonts w:ascii="Times New Roman" w:eastAsia="Times New Roman"/>
                <w:sz w:val="21"/>
              </w:rPr>
              <w:t>2</w:t>
            </w:r>
            <w:r>
              <w:rPr>
                <w:sz w:val="21"/>
              </w:rPr>
              <w:t>）被保险人运动功能严重障碍，自主生活能力完全丧失，无法独立完成六项基本日常生活活动中的三项或三项以上。</w:t>
            </w:r>
          </w:p>
        </w:tc>
      </w:tr>
      <w:tr>
        <w:trPr>
          <w:trHeight w:val="2522" w:hRule="atLeast"/>
        </w:trPr>
        <w:tc>
          <w:tcPr>
            <w:tcW w:w="771" w:type="dxa"/>
          </w:tcPr>
          <w:p>
            <w:pPr>
              <w:pStyle w:val="TableParagraph"/>
              <w:spacing w:before="89"/>
              <w:ind w:left="200"/>
              <w:rPr>
                <w:rFonts w:ascii="Times New Roman"/>
                <w:b/>
                <w:sz w:val="21"/>
              </w:rPr>
            </w:pPr>
            <w:r>
              <w:rPr>
                <w:rFonts w:ascii="Times New Roman"/>
                <w:b/>
                <w:sz w:val="21"/>
              </w:rPr>
              <w:t>70.</w:t>
            </w:r>
          </w:p>
        </w:tc>
        <w:tc>
          <w:tcPr>
            <w:tcW w:w="1303" w:type="dxa"/>
          </w:tcPr>
          <w:p>
            <w:pPr>
              <w:pStyle w:val="TableParagraph"/>
              <w:spacing w:line="199" w:lineRule="auto" w:before="39"/>
              <w:ind w:left="151" w:right="304"/>
              <w:jc w:val="both"/>
              <w:rPr>
                <w:rFonts w:ascii="微软雅黑" w:eastAsia="微软雅黑" w:hint="eastAsia"/>
                <w:b/>
                <w:sz w:val="21"/>
              </w:rPr>
            </w:pPr>
            <w:r>
              <w:rPr>
                <w:rFonts w:ascii="微软雅黑" w:eastAsia="微软雅黑" w:hint="eastAsia"/>
                <w:b/>
                <w:sz w:val="21"/>
              </w:rPr>
              <w:t>严重骨髓异常增生综合征：</w:t>
            </w:r>
          </w:p>
        </w:tc>
        <w:tc>
          <w:tcPr>
            <w:tcW w:w="7862" w:type="dxa"/>
          </w:tcPr>
          <w:p>
            <w:pPr>
              <w:pStyle w:val="TableParagraph"/>
              <w:spacing w:line="247" w:lineRule="auto" w:before="40"/>
              <w:ind w:right="204"/>
              <w:jc w:val="both"/>
              <w:rPr>
                <w:sz w:val="21"/>
              </w:rPr>
            </w:pPr>
            <w:r>
              <w:rPr>
                <w:spacing w:val="-3"/>
                <w:sz w:val="21"/>
              </w:rPr>
              <w:t>严重的骨髓异常增生综合征是指符合世界卫生组织</w:t>
            </w:r>
            <w:r>
              <w:rPr>
                <w:sz w:val="21"/>
              </w:rPr>
              <w:t>（</w:t>
            </w:r>
            <w:r>
              <w:rPr>
                <w:rFonts w:ascii="Times New Roman" w:eastAsia="Times New Roman"/>
                <w:sz w:val="21"/>
              </w:rPr>
              <w:t>WHO</w:t>
            </w:r>
            <w:r>
              <w:rPr>
                <w:sz w:val="21"/>
              </w:rPr>
              <w:t>）</w:t>
            </w:r>
            <w:r>
              <w:rPr>
                <w:rFonts w:ascii="Times New Roman" w:eastAsia="Times New Roman"/>
                <w:sz w:val="21"/>
              </w:rPr>
              <w:t>2008 </w:t>
            </w:r>
            <w:r>
              <w:rPr>
                <w:spacing w:val="-1"/>
                <w:sz w:val="21"/>
              </w:rPr>
              <w:t>年分型方案中的</w:t>
            </w:r>
            <w:r>
              <w:rPr>
                <w:spacing w:val="-3"/>
                <w:sz w:val="21"/>
              </w:rPr>
              <w:t>难治性贫血细胞减少伴原始细胞增多</w:t>
            </w:r>
            <w:r>
              <w:rPr>
                <w:rFonts w:ascii="Times New Roman" w:eastAsia="Times New Roman"/>
                <w:spacing w:val="-7"/>
                <w:sz w:val="21"/>
              </w:rPr>
              <w:t>-1</w:t>
            </w:r>
            <w:r>
              <w:rPr>
                <w:spacing w:val="-7"/>
                <w:sz w:val="21"/>
              </w:rPr>
              <w:t>（</w:t>
            </w:r>
            <w:r>
              <w:rPr>
                <w:rFonts w:ascii="Times New Roman" w:eastAsia="Times New Roman"/>
                <w:spacing w:val="-7"/>
                <w:sz w:val="21"/>
              </w:rPr>
              <w:t>RAEB-1</w:t>
            </w:r>
            <w:r>
              <w:rPr>
                <w:spacing w:val="-7"/>
                <w:sz w:val="21"/>
              </w:rPr>
              <w:t>）</w:t>
            </w:r>
            <w:r>
              <w:rPr>
                <w:spacing w:val="-6"/>
                <w:sz w:val="21"/>
              </w:rPr>
              <w:t>、难治性贫血细胞减少伴原始细胞增多</w:t>
            </w:r>
            <w:r>
              <w:rPr>
                <w:rFonts w:ascii="Times New Roman" w:eastAsia="Times New Roman"/>
                <w:spacing w:val="-6"/>
                <w:sz w:val="21"/>
              </w:rPr>
              <w:t>-2</w:t>
            </w:r>
            <w:r>
              <w:rPr>
                <w:spacing w:val="-6"/>
                <w:sz w:val="21"/>
              </w:rPr>
              <w:t>（</w:t>
            </w:r>
            <w:r>
              <w:rPr>
                <w:rFonts w:ascii="Times New Roman" w:eastAsia="Times New Roman"/>
                <w:spacing w:val="-6"/>
                <w:sz w:val="21"/>
              </w:rPr>
              <w:t>RAEB-2</w:t>
            </w:r>
            <w:r>
              <w:rPr>
                <w:spacing w:val="-6"/>
                <w:sz w:val="21"/>
              </w:rPr>
              <w:t>）</w:t>
            </w:r>
            <w:r>
              <w:rPr>
                <w:spacing w:val="-3"/>
                <w:sz w:val="21"/>
              </w:rPr>
              <w:t>、</w:t>
            </w:r>
            <w:r>
              <w:rPr>
                <w:rFonts w:ascii="Times New Roman" w:eastAsia="Times New Roman"/>
                <w:sz w:val="21"/>
              </w:rPr>
              <w:t>MDS-</w:t>
            </w:r>
            <w:r>
              <w:rPr>
                <w:spacing w:val="-2"/>
                <w:sz w:val="21"/>
              </w:rPr>
              <w:t>未分类</w:t>
            </w:r>
            <w:r>
              <w:rPr>
                <w:sz w:val="21"/>
              </w:rPr>
              <w:t>（</w:t>
            </w:r>
            <w:r>
              <w:rPr>
                <w:rFonts w:ascii="Times New Roman" w:eastAsia="Times New Roman"/>
                <w:sz w:val="21"/>
              </w:rPr>
              <w:t>MDS-U</w:t>
            </w:r>
            <w:r>
              <w:rPr>
                <w:sz w:val="21"/>
              </w:rPr>
              <w:t>）</w:t>
            </w:r>
            <w:r>
              <w:rPr>
                <w:spacing w:val="-3"/>
                <w:sz w:val="21"/>
              </w:rPr>
              <w:t>、</w:t>
            </w:r>
            <w:r>
              <w:rPr>
                <w:rFonts w:ascii="Times New Roman" w:eastAsia="Times New Roman"/>
                <w:sz w:val="21"/>
              </w:rPr>
              <w:t>MDS </w:t>
            </w:r>
            <w:r>
              <w:rPr>
                <w:spacing w:val="-16"/>
                <w:sz w:val="21"/>
              </w:rPr>
              <w:t>伴单纯 </w:t>
            </w:r>
            <w:r>
              <w:rPr>
                <w:rFonts w:ascii="Times New Roman" w:eastAsia="Times New Roman"/>
                <w:sz w:val="21"/>
              </w:rPr>
              <w:t>5q-</w:t>
            </w:r>
            <w:r>
              <w:rPr>
                <w:spacing w:val="-3"/>
                <w:sz w:val="21"/>
              </w:rPr>
              <w:t>，且需满足下列所有条件：</w:t>
            </w:r>
          </w:p>
          <w:p>
            <w:pPr>
              <w:pStyle w:val="TableParagraph"/>
              <w:spacing w:line="247" w:lineRule="auto" w:before="19"/>
              <w:ind w:left="621" w:right="209" w:hanging="526"/>
              <w:rPr>
                <w:sz w:val="21"/>
              </w:rPr>
            </w:pPr>
            <w:r>
              <w:rPr>
                <w:sz w:val="21"/>
              </w:rPr>
              <w:t>（</w:t>
            </w:r>
            <w:r>
              <w:rPr>
                <w:rFonts w:ascii="Times New Roman" w:eastAsia="Times New Roman"/>
                <w:sz w:val="21"/>
              </w:rPr>
              <w:t>1</w:t>
            </w:r>
            <w:r>
              <w:rPr>
                <w:sz w:val="21"/>
              </w:rPr>
              <w:t>）由我们认可的医院中设有专门血液病专科的公立三级甲等医院，血液病专科的主治级别以上的医师确诊；</w:t>
            </w:r>
          </w:p>
          <w:p>
            <w:pPr>
              <w:pStyle w:val="TableParagraph"/>
              <w:spacing w:before="18"/>
              <w:jc w:val="both"/>
              <w:rPr>
                <w:sz w:val="21"/>
              </w:rPr>
            </w:pPr>
            <w:r>
              <w:rPr>
                <w:sz w:val="21"/>
              </w:rPr>
              <w:t>（</w:t>
            </w:r>
            <w:r>
              <w:rPr>
                <w:rFonts w:ascii="Times New Roman" w:eastAsia="Times New Roman"/>
                <w:sz w:val="21"/>
              </w:rPr>
              <w:t>2</w:t>
            </w:r>
            <w:r>
              <w:rPr>
                <w:sz w:val="21"/>
              </w:rPr>
              <w:t>）骨髓穿刺或骨髓活检结果支持诊断；</w:t>
            </w:r>
          </w:p>
          <w:p>
            <w:pPr>
              <w:pStyle w:val="TableParagraph"/>
              <w:spacing w:before="8"/>
              <w:jc w:val="both"/>
              <w:rPr>
                <w:sz w:val="21"/>
              </w:rPr>
            </w:pPr>
            <w:r>
              <w:rPr>
                <w:sz w:val="21"/>
              </w:rPr>
              <w:t>（</w:t>
            </w:r>
            <w:r>
              <w:rPr>
                <w:rFonts w:ascii="Times New Roman" w:eastAsia="Times New Roman"/>
                <w:sz w:val="21"/>
              </w:rPr>
              <w:t>3</w:t>
            </w:r>
            <w:r>
              <w:rPr>
                <w:sz w:val="21"/>
              </w:rPr>
              <w:t>）被保险人已持续接受一个月以上的化疗或已接受骨髓移植治疗。</w:t>
            </w:r>
          </w:p>
        </w:tc>
      </w:tr>
      <w:tr>
        <w:trPr>
          <w:trHeight w:val="624" w:hRule="atLeast"/>
        </w:trPr>
        <w:tc>
          <w:tcPr>
            <w:tcW w:w="771" w:type="dxa"/>
          </w:tcPr>
          <w:p>
            <w:pPr>
              <w:pStyle w:val="TableParagraph"/>
              <w:spacing w:line="334" w:lineRule="exact"/>
              <w:ind w:left="200"/>
              <w:rPr>
                <w:rFonts w:ascii="Times New Roman" w:eastAsia="Times New Roman"/>
                <w:b/>
                <w:sz w:val="21"/>
              </w:rPr>
            </w:pPr>
            <w:r>
              <w:rPr>
                <w:rFonts w:ascii="微软雅黑" w:eastAsia="微软雅黑" w:hint="eastAsia"/>
                <w:b/>
                <w:sz w:val="21"/>
              </w:rPr>
              <w:t>注 </w:t>
            </w:r>
            <w:r>
              <w:rPr>
                <w:rFonts w:ascii="Times New Roman" w:eastAsia="Times New Roman"/>
                <w:b/>
                <w:sz w:val="21"/>
              </w:rPr>
              <w:t>1.</w:t>
            </w:r>
          </w:p>
        </w:tc>
        <w:tc>
          <w:tcPr>
            <w:tcW w:w="1303" w:type="dxa"/>
          </w:tcPr>
          <w:p>
            <w:pPr>
              <w:pStyle w:val="TableParagraph"/>
              <w:spacing w:line="334" w:lineRule="exact"/>
              <w:ind w:left="151"/>
              <w:rPr>
                <w:rFonts w:ascii="微软雅黑" w:eastAsia="微软雅黑" w:hint="eastAsia"/>
                <w:b/>
                <w:sz w:val="21"/>
              </w:rPr>
            </w:pPr>
            <w:r>
              <w:rPr>
                <w:rFonts w:ascii="微软雅黑" w:eastAsia="微软雅黑" w:hint="eastAsia"/>
                <w:b/>
                <w:sz w:val="21"/>
              </w:rPr>
              <w:t>专科医生：</w:t>
            </w:r>
          </w:p>
        </w:tc>
        <w:tc>
          <w:tcPr>
            <w:tcW w:w="7862" w:type="dxa"/>
          </w:tcPr>
          <w:p>
            <w:pPr>
              <w:pStyle w:val="TableParagraph"/>
              <w:spacing w:line="300" w:lineRule="atLeast" w:before="24"/>
              <w:ind w:right="207"/>
              <w:rPr>
                <w:sz w:val="21"/>
              </w:rPr>
            </w:pPr>
            <w:r>
              <w:rPr>
                <w:sz w:val="21"/>
              </w:rPr>
              <w:t>专科医生应当同时满足以下四项资格条件：（</w:t>
            </w:r>
            <w:r>
              <w:rPr>
                <w:rFonts w:ascii="Times New Roman" w:eastAsia="Times New Roman"/>
                <w:sz w:val="21"/>
              </w:rPr>
              <w:t>1</w:t>
            </w:r>
            <w:r>
              <w:rPr>
                <w:sz w:val="21"/>
              </w:rPr>
              <w:t>）具有有效的中华人民共和国《医师资格证书》；（</w:t>
            </w:r>
            <w:r>
              <w:rPr>
                <w:rFonts w:ascii="Times New Roman" w:eastAsia="Times New Roman"/>
                <w:sz w:val="21"/>
              </w:rPr>
              <w:t>2</w:t>
            </w:r>
            <w:r>
              <w:rPr>
                <w:sz w:val="21"/>
              </w:rPr>
              <w:t>）具有有效的中华人民共和国《医师执业证书》，并按期到相</w:t>
            </w:r>
          </w:p>
        </w:tc>
      </w:tr>
    </w:tbl>
    <w:p>
      <w:pPr>
        <w:spacing w:after="0" w:line="300" w:lineRule="atLeast"/>
        <w:rPr>
          <w:sz w:val="21"/>
        </w:rPr>
        <w:sectPr>
          <w:pgSz w:w="11910" w:h="16840"/>
          <w:pgMar w:top="1480" w:bottom="280" w:left="1080" w:right="68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302"/>
        <w:gridCol w:w="7958"/>
      </w:tblGrid>
      <w:tr>
        <w:trPr>
          <w:trHeight w:val="915" w:hRule="atLeast"/>
        </w:trPr>
        <w:tc>
          <w:tcPr>
            <w:tcW w:w="772" w:type="dxa"/>
          </w:tcPr>
          <w:p>
            <w:pPr>
              <w:pStyle w:val="TableParagraph"/>
              <w:ind w:left="0"/>
              <w:rPr>
                <w:rFonts w:ascii="Times New Roman"/>
                <w:sz w:val="20"/>
              </w:rPr>
            </w:pPr>
          </w:p>
        </w:tc>
        <w:tc>
          <w:tcPr>
            <w:tcW w:w="1302" w:type="dxa"/>
          </w:tcPr>
          <w:p>
            <w:pPr>
              <w:pStyle w:val="TableParagraph"/>
              <w:ind w:left="0"/>
              <w:rPr>
                <w:rFonts w:ascii="Times New Roman"/>
                <w:sz w:val="20"/>
              </w:rPr>
            </w:pPr>
          </w:p>
        </w:tc>
        <w:tc>
          <w:tcPr>
            <w:tcW w:w="7958" w:type="dxa"/>
          </w:tcPr>
          <w:p>
            <w:pPr>
              <w:pStyle w:val="TableParagraph"/>
              <w:spacing w:line="227" w:lineRule="exact"/>
              <w:rPr>
                <w:sz w:val="21"/>
              </w:rPr>
            </w:pPr>
            <w:r>
              <w:rPr>
                <w:sz w:val="21"/>
              </w:rPr>
              <w:t>关部门登记注册；（</w:t>
            </w:r>
            <w:r>
              <w:rPr>
                <w:rFonts w:ascii="Times New Roman" w:eastAsia="Times New Roman"/>
                <w:sz w:val="21"/>
              </w:rPr>
              <w:t>3</w:t>
            </w:r>
            <w:r>
              <w:rPr>
                <w:sz w:val="21"/>
              </w:rPr>
              <w:t>）具有有效的中华人民共和国主治医师或主治医师以上职称</w:t>
            </w:r>
          </w:p>
          <w:p>
            <w:pPr>
              <w:pStyle w:val="TableParagraph"/>
              <w:spacing w:line="247" w:lineRule="auto" w:before="9"/>
              <w:ind w:right="306"/>
              <w:rPr>
                <w:sz w:val="21"/>
              </w:rPr>
            </w:pPr>
            <w:r>
              <w:rPr>
                <w:sz w:val="21"/>
              </w:rPr>
              <w:t>的《医师职称证书》；（</w:t>
            </w:r>
            <w:r>
              <w:rPr>
                <w:rFonts w:ascii="Times New Roman" w:eastAsia="Times New Roman"/>
                <w:sz w:val="21"/>
              </w:rPr>
              <w:t>4</w:t>
            </w:r>
            <w:r>
              <w:rPr>
                <w:sz w:val="21"/>
              </w:rPr>
              <w:t>）在二级或二级以上医院的相应科室从事临床工作三年以上。</w:t>
            </w:r>
          </w:p>
        </w:tc>
      </w:tr>
      <w:tr>
        <w:trPr>
          <w:trHeight w:val="712" w:hRule="atLeast"/>
        </w:trPr>
        <w:tc>
          <w:tcPr>
            <w:tcW w:w="772" w:type="dxa"/>
          </w:tcPr>
          <w:p>
            <w:pPr>
              <w:pStyle w:val="TableParagraph"/>
              <w:spacing w:line="334" w:lineRule="exact"/>
              <w:ind w:left="0" w:right="147"/>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2.</w:t>
            </w:r>
          </w:p>
        </w:tc>
        <w:tc>
          <w:tcPr>
            <w:tcW w:w="1302" w:type="dxa"/>
          </w:tcPr>
          <w:p>
            <w:pPr>
              <w:pStyle w:val="TableParagraph"/>
              <w:spacing w:line="199" w:lineRule="auto" w:before="33"/>
              <w:ind w:left="150" w:right="93"/>
              <w:rPr>
                <w:rFonts w:ascii="微软雅黑" w:eastAsia="微软雅黑" w:hint="eastAsia"/>
                <w:b/>
                <w:sz w:val="21"/>
              </w:rPr>
            </w:pPr>
            <w:r>
              <w:rPr>
                <w:rFonts w:ascii="微软雅黑" w:eastAsia="微软雅黑" w:hint="eastAsia"/>
                <w:b/>
                <w:sz w:val="21"/>
              </w:rPr>
              <w:t>肢 体 机 能 完全丧失：</w:t>
            </w:r>
          </w:p>
        </w:tc>
        <w:tc>
          <w:tcPr>
            <w:tcW w:w="7958" w:type="dxa"/>
          </w:tcPr>
          <w:p>
            <w:pPr>
              <w:pStyle w:val="TableParagraph"/>
              <w:spacing w:line="261" w:lineRule="auto" w:before="33"/>
              <w:ind w:right="301"/>
              <w:rPr>
                <w:sz w:val="21"/>
              </w:rPr>
            </w:pPr>
            <w:r>
              <w:rPr>
                <w:sz w:val="21"/>
              </w:rPr>
              <w:t>指肢体的三大关节中的两大关节僵硬，或不能随意识活动。肢体是指包括肩关节的整个上肢或包括髋关节的整个下肢。</w:t>
            </w:r>
          </w:p>
        </w:tc>
      </w:tr>
      <w:tr>
        <w:trPr>
          <w:trHeight w:val="1312" w:hRule="atLeast"/>
        </w:trPr>
        <w:tc>
          <w:tcPr>
            <w:tcW w:w="772" w:type="dxa"/>
          </w:tcPr>
          <w:p>
            <w:pPr>
              <w:pStyle w:val="TableParagraph"/>
              <w:spacing w:line="334" w:lineRule="exact"/>
              <w:ind w:left="0" w:right="147"/>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3.</w:t>
            </w:r>
          </w:p>
        </w:tc>
        <w:tc>
          <w:tcPr>
            <w:tcW w:w="1302" w:type="dxa"/>
          </w:tcPr>
          <w:p>
            <w:pPr>
              <w:pStyle w:val="TableParagraph"/>
              <w:spacing w:line="199" w:lineRule="auto" w:before="33"/>
              <w:ind w:left="150" w:right="304"/>
              <w:jc w:val="both"/>
              <w:rPr>
                <w:rFonts w:ascii="微软雅黑" w:eastAsia="微软雅黑" w:hint="eastAsia"/>
                <w:b/>
                <w:sz w:val="21"/>
              </w:rPr>
            </w:pPr>
            <w:r>
              <w:rPr>
                <w:rFonts w:ascii="微软雅黑" w:eastAsia="微软雅黑" w:hint="eastAsia"/>
                <w:b/>
                <w:sz w:val="21"/>
              </w:rPr>
              <w:t>语言能力或咀嚼吞咽能力完全丧失：</w:t>
            </w:r>
          </w:p>
        </w:tc>
        <w:tc>
          <w:tcPr>
            <w:tcW w:w="7958" w:type="dxa"/>
          </w:tcPr>
          <w:p>
            <w:pPr>
              <w:pStyle w:val="TableParagraph"/>
              <w:spacing w:line="261" w:lineRule="auto" w:before="33"/>
              <w:ind w:right="197"/>
              <w:rPr>
                <w:sz w:val="21"/>
              </w:rPr>
            </w:pPr>
            <w:r>
              <w:rPr>
                <w:spacing w:val="-8"/>
                <w:sz w:val="21"/>
              </w:rPr>
              <w:t>语言能力完全丧失，指无法发出四种语音</w:t>
            </w:r>
            <w:r>
              <w:rPr>
                <w:sz w:val="21"/>
              </w:rPr>
              <w:t>（</w:t>
            </w:r>
            <w:r>
              <w:rPr>
                <w:spacing w:val="-10"/>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5"/>
              <w:ind w:right="301"/>
              <w:rPr>
                <w:sz w:val="21"/>
              </w:rPr>
            </w:pPr>
            <w:r>
              <w:rPr>
                <w:sz w:val="21"/>
              </w:rPr>
              <w:t>咀嚼吞咽能力完全丧失，指因牙齿以外的原因导致器质障碍或机能障碍，以致不能作咀嚼吞咽运动，除流质食物外不能摄取或吞咽的状态。</w:t>
            </w:r>
          </w:p>
        </w:tc>
      </w:tr>
      <w:tr>
        <w:trPr>
          <w:trHeight w:val="1313" w:hRule="atLeast"/>
        </w:trPr>
        <w:tc>
          <w:tcPr>
            <w:tcW w:w="772" w:type="dxa"/>
          </w:tcPr>
          <w:p>
            <w:pPr>
              <w:pStyle w:val="TableParagraph"/>
              <w:spacing w:line="334" w:lineRule="exact"/>
              <w:ind w:left="0" w:right="147"/>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4.</w:t>
            </w:r>
          </w:p>
        </w:tc>
        <w:tc>
          <w:tcPr>
            <w:tcW w:w="1302" w:type="dxa"/>
          </w:tcPr>
          <w:p>
            <w:pPr>
              <w:pStyle w:val="TableParagraph"/>
              <w:spacing w:line="199" w:lineRule="auto" w:before="33"/>
              <w:ind w:left="150" w:right="304"/>
              <w:jc w:val="both"/>
              <w:rPr>
                <w:rFonts w:ascii="微软雅黑" w:eastAsia="微软雅黑" w:hint="eastAsia"/>
                <w:b/>
                <w:sz w:val="21"/>
              </w:rPr>
            </w:pPr>
            <w:r>
              <w:rPr>
                <w:rFonts w:ascii="微软雅黑" w:eastAsia="微软雅黑" w:hint="eastAsia"/>
                <w:b/>
                <w:sz w:val="21"/>
              </w:rPr>
              <w:t>六项基本日常生活活动：</w:t>
            </w:r>
          </w:p>
        </w:tc>
        <w:tc>
          <w:tcPr>
            <w:tcW w:w="7958" w:type="dxa"/>
          </w:tcPr>
          <w:p>
            <w:pPr>
              <w:pStyle w:val="TableParagraph"/>
              <w:spacing w:line="247" w:lineRule="auto" w:before="33"/>
              <w:ind w:right="293"/>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 洗澡：自己进行淋浴或盆浴。</w:t>
            </w:r>
          </w:p>
        </w:tc>
      </w:tr>
      <w:tr>
        <w:trPr>
          <w:trHeight w:val="615" w:hRule="atLeast"/>
        </w:trPr>
        <w:tc>
          <w:tcPr>
            <w:tcW w:w="772" w:type="dxa"/>
          </w:tcPr>
          <w:p>
            <w:pPr>
              <w:pStyle w:val="TableParagraph"/>
              <w:spacing w:line="334" w:lineRule="exact"/>
              <w:ind w:left="0" w:right="151"/>
              <w:jc w:val="right"/>
              <w:rPr>
                <w:rFonts w:ascii="Times New Roman" w:eastAsia="Times New Roman"/>
                <w:b/>
                <w:sz w:val="21"/>
              </w:rPr>
            </w:pPr>
            <w:r>
              <w:rPr>
                <w:rFonts w:ascii="微软雅黑" w:eastAsia="微软雅黑" w:hint="eastAsia"/>
                <w:b/>
                <w:sz w:val="21"/>
              </w:rPr>
              <w:t>注 </w:t>
            </w:r>
            <w:r>
              <w:rPr>
                <w:rFonts w:ascii="Times New Roman" w:eastAsia="Times New Roman"/>
                <w:b/>
                <w:sz w:val="21"/>
              </w:rPr>
              <w:t>5.</w:t>
            </w:r>
          </w:p>
        </w:tc>
        <w:tc>
          <w:tcPr>
            <w:tcW w:w="1302" w:type="dxa"/>
          </w:tcPr>
          <w:p>
            <w:pPr>
              <w:pStyle w:val="TableParagraph"/>
              <w:spacing w:line="300" w:lineRule="exact" w:before="39"/>
              <w:ind w:left="150" w:right="304"/>
              <w:rPr>
                <w:rFonts w:ascii="微软雅黑" w:eastAsia="微软雅黑" w:hint="eastAsia"/>
                <w:b/>
                <w:sz w:val="21"/>
              </w:rPr>
            </w:pPr>
            <w:r>
              <w:rPr>
                <w:rFonts w:ascii="微软雅黑" w:eastAsia="微软雅黑" w:hint="eastAsia"/>
                <w:b/>
                <w:sz w:val="21"/>
              </w:rPr>
              <w:t>永久不可逆：</w:t>
            </w:r>
          </w:p>
        </w:tc>
        <w:tc>
          <w:tcPr>
            <w:tcW w:w="7958" w:type="dxa"/>
          </w:tcPr>
          <w:p>
            <w:pPr>
              <w:pStyle w:val="TableParagraph"/>
              <w:spacing w:line="280" w:lineRule="atLeast" w:before="34"/>
              <w:ind w:right="234"/>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spacing w:before="12"/>
        <w:rPr>
          <w:sz w:val="10"/>
        </w:rPr>
      </w:pPr>
    </w:p>
    <w:p>
      <w:pPr>
        <w:pStyle w:val="BodyText"/>
        <w:spacing w:before="36"/>
        <w:ind w:left="4017" w:right="4512"/>
        <w:jc w:val="center"/>
      </w:pPr>
      <w:r>
        <w:rPr/>
        <w:t>（条款全文结束）</w:t>
      </w:r>
    </w:p>
    <w:sectPr>
      <w:pgSz w:w="11910" w:h="16840"/>
      <w:pgMar w:top="1480" w:bottom="280" w:left="10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7">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6">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5">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4">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3">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2">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1">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abstractNum w:abstractNumId="0">
    <w:multiLevelType w:val="hybridMultilevel"/>
    <w:lvl w:ilvl="0">
      <w:start w:val="0"/>
      <w:numFmt w:val="bullet"/>
      <w:lvlText w:val=""/>
      <w:lvlJc w:val="left"/>
      <w:pPr>
        <w:ind w:left="620" w:hanging="420"/>
      </w:pPr>
      <w:rPr>
        <w:rFonts w:hint="default" w:ascii="Wingdings" w:hAnsi="Wingdings" w:eastAsia="Wingdings" w:cs="Wingdings"/>
        <w:w w:val="100"/>
        <w:sz w:val="21"/>
        <w:szCs w:val="21"/>
      </w:rPr>
    </w:lvl>
    <w:lvl w:ilvl="1">
      <w:start w:val="0"/>
      <w:numFmt w:val="bullet"/>
      <w:lvlText w:val="•"/>
      <w:lvlJc w:val="left"/>
      <w:pPr>
        <w:ind w:left="1459" w:hanging="420"/>
      </w:pPr>
      <w:rPr>
        <w:rFonts w:hint="default"/>
      </w:rPr>
    </w:lvl>
    <w:lvl w:ilvl="2">
      <w:start w:val="0"/>
      <w:numFmt w:val="bullet"/>
      <w:lvlText w:val="•"/>
      <w:lvlJc w:val="left"/>
      <w:pPr>
        <w:ind w:left="2299" w:hanging="420"/>
      </w:pPr>
      <w:rPr>
        <w:rFonts w:hint="default"/>
      </w:rPr>
    </w:lvl>
    <w:lvl w:ilvl="3">
      <w:start w:val="0"/>
      <w:numFmt w:val="bullet"/>
      <w:lvlText w:val="•"/>
      <w:lvlJc w:val="left"/>
      <w:pPr>
        <w:ind w:left="3138" w:hanging="420"/>
      </w:pPr>
      <w:rPr>
        <w:rFonts w:hint="default"/>
      </w:rPr>
    </w:lvl>
    <w:lvl w:ilvl="4">
      <w:start w:val="0"/>
      <w:numFmt w:val="bullet"/>
      <w:lvlText w:val="•"/>
      <w:lvlJc w:val="left"/>
      <w:pPr>
        <w:ind w:left="3978" w:hanging="420"/>
      </w:pPr>
      <w:rPr>
        <w:rFonts w:hint="default"/>
      </w:rPr>
    </w:lvl>
    <w:lvl w:ilvl="5">
      <w:start w:val="0"/>
      <w:numFmt w:val="bullet"/>
      <w:lvlText w:val="•"/>
      <w:lvlJc w:val="left"/>
      <w:pPr>
        <w:ind w:left="4817" w:hanging="420"/>
      </w:pPr>
      <w:rPr>
        <w:rFonts w:hint="default"/>
      </w:rPr>
    </w:lvl>
    <w:lvl w:ilvl="6">
      <w:start w:val="0"/>
      <w:numFmt w:val="bullet"/>
      <w:lvlText w:val="•"/>
      <w:lvlJc w:val="left"/>
      <w:pPr>
        <w:ind w:left="5657" w:hanging="420"/>
      </w:pPr>
      <w:rPr>
        <w:rFonts w:hint="default"/>
      </w:rPr>
    </w:lvl>
    <w:lvl w:ilvl="7">
      <w:start w:val="0"/>
      <w:numFmt w:val="bullet"/>
      <w:lvlText w:val="•"/>
      <w:lvlJc w:val="left"/>
      <w:pPr>
        <w:ind w:left="6496" w:hanging="420"/>
      </w:pPr>
      <w:rPr>
        <w:rFonts w:hint="default"/>
      </w:rPr>
    </w:lvl>
    <w:lvl w:ilvl="8">
      <w:start w:val="0"/>
      <w:numFmt w:val="bullet"/>
      <w:lvlText w:val="•"/>
      <w:lvlJc w:val="left"/>
      <w:pPr>
        <w:ind w:left="7336"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406" w:lineRule="exact"/>
      <w:ind w:left="1297"/>
      <w:outlineLvl w:val="1"/>
    </w:pPr>
    <w:rPr>
      <w:rFonts w:ascii="微软雅黑" w:hAnsi="微软雅黑" w:eastAsia="微软雅黑" w:cs="微软雅黑"/>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xiexiaohong</dc:creator>
  <dc:title>人保寿险附加安心提前给付重大疾病保险条款目录</dc:title>
  <dcterms:created xsi:type="dcterms:W3CDTF">2018-10-20T00:14:05Z</dcterms:created>
  <dcterms:modified xsi:type="dcterms:W3CDTF">2018-10-20T00:14:05Z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Microsoft® Word 2013</vt:lpwstr>
  </property>
  <property fmtid="{D5CDD505-2E9C-101B-9397-08002B2CF9AE}" pid="4" name="LastSaved">
    <vt:filetime>2018-10-19T00:00:00Z</vt:filetime>
  </property>
</Properties>
</file>