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中国太平洋人寿保险股份有限公司福佑安康重大疾病保险条款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96"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962" w:val="left" w:leader="none"/>
        </w:tabs>
        <w:spacing w:line="479" w:lineRule="exact" w:before="0"/>
        <w:ind w:left="300"/>
      </w:pPr>
      <w:r>
        <w:rPr/>
        <w:pict>
          <v:shapetype id="_x0000_t202" o:spt="202" coordsize="21600,21600" path="m,l,21600r21600,l21600,xe">
            <v:stroke joinstyle="miter"/>
            <v:path gradientshapeok="t" o:connecttype="rect"/>
          </v:shapetype>
          <v:shape style="position:absolute;margin-left:468.839996pt;margin-top:-60.812408pt;width:7.5pt;height:7.5pt;mso-position-horizontal-relative:page;mso-position-vertical-relative:paragraph;z-index:-34504" type="#_x0000_t202" filled="false" stroked="false">
            <v:textbox inset="0,0,0,0">
              <w:txbxContent>
                <w:p>
                  <w:pPr>
                    <w:spacing w:line="150" w:lineRule="exact" w:before="0"/>
                    <w:ind w:left="0" w:right="0" w:firstLine="0"/>
                    <w:jc w:val="left"/>
                    <w:rPr>
                      <w:sz w:val="15"/>
                    </w:rPr>
                  </w:pPr>
                  <w:r>
                    <w:rPr>
                      <w:sz w:val="15"/>
                    </w:rPr>
                    <w:t>号</w:t>
                  </w:r>
                </w:p>
              </w:txbxContent>
            </v:textbox>
            <w10:wrap type="none"/>
          </v:shape>
        </w:pict>
      </w:r>
      <w:r>
        <w:rPr>
          <w:rFonts w:ascii="Arial" w:hAnsi="Arial" w:eastAsia="Arial"/>
          <w:w w:val="150"/>
          <w:position w:val="-11"/>
          <w:sz w:val="48"/>
        </w:rPr>
        <w:t>¤</w:t>
        <w:tab/>
      </w:r>
      <w:r>
        <w:rPr>
          <w:w w:val="95"/>
        </w:rPr>
        <w:t>您拥有的重要权益</w:t>
      </w:r>
    </w:p>
    <w:p>
      <w:pPr>
        <w:spacing w:before="31"/>
        <w:ind w:left="53" w:right="191" w:firstLine="0"/>
        <w:jc w:val="center"/>
        <w:rPr>
          <w:sz w:val="15"/>
        </w:rPr>
      </w:pPr>
      <w:r>
        <w:rPr/>
        <w:br w:type="column"/>
      </w:r>
      <w:r>
        <w:rPr>
          <w:sz w:val="15"/>
        </w:rPr>
        <w:t>太平洋人寿[2013]疾病保险 015 号</w:t>
      </w:r>
    </w:p>
    <w:p>
      <w:pPr>
        <w:pStyle w:val="BodyText"/>
        <w:spacing w:before="10"/>
        <w:rPr>
          <w:sz w:val="7"/>
        </w:rPr>
      </w:pPr>
      <w:r>
        <w:rPr/>
        <w:drawing>
          <wp:anchor distT="0" distB="0" distL="0" distR="0" allowOverlap="1" layoutInCell="1" locked="0" behindDoc="0" simplePos="0" relativeHeight="0">
            <wp:simplePos x="0" y="0"/>
            <wp:positionH relativeFrom="page">
              <wp:posOffset>5677661</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53" w:right="42" w:firstLine="0"/>
        <w:jc w:val="center"/>
        <w:rPr>
          <w:sz w:val="15"/>
        </w:rPr>
      </w:pPr>
      <w:r>
        <w:rPr>
          <w:sz w:val="15"/>
        </w:rPr>
        <w:t>请扫描以查询验证条款</w:t>
      </w:r>
    </w:p>
    <w:p>
      <w:pPr>
        <w:spacing w:after="0"/>
        <w:jc w:val="center"/>
        <w:rPr>
          <w:sz w:val="15"/>
        </w:rPr>
        <w:sectPr>
          <w:type w:val="continuous"/>
          <w:pgSz w:w="11910" w:h="16840"/>
          <w:pgMar w:top="1280" w:bottom="280" w:left="1140" w:right="1080"/>
          <w:cols w:num="2" w:equalWidth="0">
            <w:col w:w="5327" w:space="1753"/>
            <w:col w:w="2610"/>
          </w:cols>
        </w:sectPr>
      </w:pPr>
    </w:p>
    <w:p>
      <w:pPr>
        <w:pStyle w:val="ListParagraph"/>
        <w:numPr>
          <w:ilvl w:val="0"/>
          <w:numId w:val="1"/>
        </w:numPr>
        <w:tabs>
          <w:tab w:pos="1023" w:val="left" w:leader="none"/>
          <w:tab w:pos="9519" w:val="right" w:leader="dot"/>
        </w:tabs>
        <w:spacing w:line="188" w:lineRule="exact" w:before="0" w:after="0"/>
        <w:ind w:left="1022" w:right="0" w:hanging="360"/>
        <w:jc w:val="left"/>
        <w:rPr>
          <w:sz w:val="18"/>
        </w:rPr>
      </w:pPr>
      <w:r>
        <w:rPr>
          <w:sz w:val="18"/>
        </w:rPr>
        <w:t>签收本合同之日起</w:t>
      </w:r>
      <w:r>
        <w:rPr>
          <w:spacing w:val="0"/>
          <w:sz w:val="18"/>
        </w:rPr>
        <w:t> </w:t>
      </w:r>
      <w:r>
        <w:rPr>
          <w:sz w:val="18"/>
        </w:rPr>
        <w:t>10 日（即犹豫期）内您若要求退保，我们仅扣除工本费</w:t>
        <w:tab/>
        <w:t>1.4</w:t>
      </w:r>
    </w:p>
    <w:p>
      <w:pPr>
        <w:pStyle w:val="ListParagraph"/>
        <w:numPr>
          <w:ilvl w:val="0"/>
          <w:numId w:val="1"/>
        </w:numPr>
        <w:tabs>
          <w:tab w:pos="1023" w:val="left" w:leader="none"/>
          <w:tab w:pos="9515" w:val="right" w:leader="dot"/>
        </w:tabs>
        <w:spacing w:line="240" w:lineRule="auto" w:before="85" w:after="0"/>
        <w:ind w:left="1022" w:right="0" w:hanging="360"/>
        <w:jc w:val="left"/>
        <w:rPr>
          <w:sz w:val="18"/>
        </w:rPr>
      </w:pPr>
      <w:r>
        <w:rPr>
          <w:sz w:val="18"/>
        </w:rPr>
        <w:t>本合同提供的保障在保险责任条款中列明</w:t>
        <w:tab/>
        <w:t>2.3</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您有按本合同约定申请保单贷款的权利…</w:t>
        <w:tab/>
        <w:t>6.2</w:t>
      </w:r>
    </w:p>
    <w:p>
      <w:pPr>
        <w:pStyle w:val="ListParagraph"/>
        <w:numPr>
          <w:ilvl w:val="0"/>
          <w:numId w:val="1"/>
        </w:numPr>
        <w:tabs>
          <w:tab w:pos="1023" w:val="left" w:leader="none"/>
          <w:tab w:pos="9515" w:val="right" w:leader="dot"/>
        </w:tabs>
        <w:spacing w:line="218" w:lineRule="exact" w:before="84" w:after="0"/>
        <w:ind w:left="1022" w:right="0" w:hanging="360"/>
        <w:jc w:val="left"/>
        <w:rPr>
          <w:sz w:val="18"/>
        </w:rPr>
      </w:pPr>
      <w:r>
        <w:rPr>
          <w:sz w:val="18"/>
        </w:rPr>
        <w:t>您有退保的权利…</w:t>
        <w:tab/>
        <w:t>7.1</w:t>
      </w:r>
    </w:p>
    <w:p>
      <w:pPr>
        <w:pStyle w:val="Heading2"/>
        <w:tabs>
          <w:tab w:pos="962" w:val="left" w:leader="none"/>
        </w:tabs>
        <w:spacing w:line="478" w:lineRule="exact" w:before="0"/>
        <w:ind w:left="300"/>
      </w:pPr>
      <w:r>
        <w:rPr>
          <w:rFonts w:ascii="Arial" w:hAnsi="Arial" w:eastAsia="Arial"/>
          <w:w w:val="150"/>
          <w:position w:val="-11"/>
          <w:sz w:val="48"/>
        </w:rPr>
        <w:t>¤</w:t>
        <w:tab/>
      </w:r>
      <w:r>
        <w:rPr>
          <w:w w:val="95"/>
        </w:rPr>
        <w:t>您应当特别注意的事项</w:t>
      </w:r>
    </w:p>
    <w:p>
      <w:pPr>
        <w:pStyle w:val="ListParagraph"/>
        <w:numPr>
          <w:ilvl w:val="0"/>
          <w:numId w:val="1"/>
        </w:numPr>
        <w:tabs>
          <w:tab w:pos="1023" w:val="left" w:leader="none"/>
          <w:tab w:pos="9519" w:val="right" w:leader="dot"/>
        </w:tabs>
        <w:spacing w:line="179" w:lineRule="exact" w:before="0" w:after="0"/>
        <w:ind w:left="1022" w:right="0" w:hanging="360"/>
        <w:jc w:val="left"/>
        <w:rPr>
          <w:sz w:val="18"/>
        </w:rPr>
      </w:pPr>
      <w:r>
        <w:rPr>
          <w:sz w:val="18"/>
        </w:rPr>
        <w:t>我们对未成年人承担的身故或全残责任有所不同</w:t>
      </w:r>
      <w:r>
        <w:rPr>
          <w:spacing w:val="-53"/>
          <w:sz w:val="18"/>
        </w:rPr>
        <w:t>，</w:t>
      </w:r>
      <w:r>
        <w:rPr>
          <w:sz w:val="18"/>
        </w:rPr>
        <w:t>请您注意…</w:t>
        <w:tab/>
        <w:t>2.3</w:t>
      </w:r>
    </w:p>
    <w:p>
      <w:pPr>
        <w:pStyle w:val="ListParagraph"/>
        <w:numPr>
          <w:ilvl w:val="0"/>
          <w:numId w:val="1"/>
        </w:numPr>
        <w:tabs>
          <w:tab w:pos="1023" w:val="left" w:leader="none"/>
          <w:tab w:pos="9518" w:val="right" w:leader="dot"/>
        </w:tabs>
        <w:spacing w:line="240" w:lineRule="auto" w:before="84" w:after="0"/>
        <w:ind w:left="1022" w:right="0" w:hanging="360"/>
        <w:jc w:val="left"/>
        <w:rPr>
          <w:sz w:val="18"/>
        </w:rPr>
      </w:pPr>
      <w:r>
        <w:rPr>
          <w:sz w:val="18"/>
        </w:rPr>
        <w:t>180</w:t>
      </w:r>
      <w:r>
        <w:rPr>
          <w:spacing w:val="2"/>
          <w:sz w:val="18"/>
        </w:rPr>
        <w:t> </w:t>
      </w:r>
      <w:r>
        <w:rPr>
          <w:sz w:val="18"/>
        </w:rPr>
        <w:t>日内我们承担的责任有所不同，请您注意…</w:t>
        <w:tab/>
        <w:t>2.3</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本合同有比例给付的约定，请您注意…</w:t>
        <w:tab/>
        <w:t>2.3</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本合同有责任免除条款，请您注意…</w:t>
        <w:tab/>
        <w:t>2.4</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保险事故发生后，请及时通知我们…</w:t>
        <w:tab/>
        <w:t>3.2</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您应当按时支付保险费…</w:t>
        <w:tab/>
        <w:t>4.1</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退保会给您造成一定的损失，请您慎重决策…</w:t>
        <w:tab/>
        <w:t>7.1</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您有如实告知的义务…</w:t>
        <w:tab/>
        <w:t>8.1</w:t>
      </w:r>
    </w:p>
    <w:p>
      <w:pPr>
        <w:pStyle w:val="ListParagraph"/>
        <w:numPr>
          <w:ilvl w:val="0"/>
          <w:numId w:val="1"/>
        </w:numPr>
        <w:tabs>
          <w:tab w:pos="1023" w:val="left" w:leader="none"/>
          <w:tab w:pos="9515" w:val="right" w:leader="dot"/>
        </w:tabs>
        <w:spacing w:line="217" w:lineRule="exact" w:before="84" w:after="0"/>
        <w:ind w:left="1022" w:right="0" w:hanging="360"/>
        <w:jc w:val="left"/>
        <w:rPr>
          <w:sz w:val="18"/>
        </w:rPr>
      </w:pPr>
      <w:r>
        <w:rPr>
          <w:sz w:val="18"/>
        </w:rPr>
        <w:t>我们对一些重要术语进行了解释，并作了显著标识，请您注意</w:t>
        <w:tab/>
        <w:t>12</w:t>
      </w:r>
    </w:p>
    <w:p>
      <w:pPr>
        <w:pStyle w:val="Heading2"/>
        <w:tabs>
          <w:tab w:pos="962" w:val="left" w:leader="none"/>
        </w:tabs>
        <w:spacing w:line="418" w:lineRule="exact" w:before="0"/>
        <w:ind w:left="300"/>
      </w:pPr>
      <w:r>
        <w:rPr>
          <w:rFonts w:ascii="Arial" w:hAnsi="Arial" w:eastAsia="Arial"/>
          <w:w w:val="150"/>
          <w:position w:val="-11"/>
          <w:sz w:val="48"/>
        </w:rPr>
        <w:t>¤</w:t>
        <w:tab/>
      </w:r>
      <w:r>
        <w:rPr>
          <w:w w:val="95"/>
        </w:rPr>
        <w:t>保险条款是保险合同的重要内容，为充分保障您的权益，请您仔细阅读本保险条款。</w:t>
      </w:r>
    </w:p>
    <w:p>
      <w:pPr>
        <w:tabs>
          <w:tab w:pos="950" w:val="left" w:leader="none"/>
        </w:tabs>
        <w:spacing w:line="365" w:lineRule="exact" w:before="0"/>
        <w:ind w:left="288" w:right="0" w:firstLine="0"/>
        <w:jc w:val="left"/>
        <w:rPr>
          <w:rFonts w:ascii="黑体" w:hAnsi="黑体" w:eastAsia="黑体" w:hint="eastAsia"/>
          <w:b/>
          <w:sz w:val="21"/>
        </w:rPr>
      </w:pPr>
      <w:r>
        <w:rPr/>
        <w:pict>
          <v:rect style="position:absolute;margin-left:80.279999pt;margin-top:16.842886pt;width:121.5pt;height:11.76pt;mso-position-horizontal-relative:page;mso-position-vertical-relative:paragraph;z-index:-34480" filled="true" fillcolor="#d3d3d3" stroked="false">
            <v:fill type="solid"/>
            <w10:wrap type="none"/>
          </v:rect>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365" w:lineRule="exact"/>
        <w:jc w:val="left"/>
        <w:rPr>
          <w:rFonts w:ascii="黑体" w:hAnsi="黑体" w:eastAsia="黑体" w:hint="eastAsia"/>
          <w:sz w:val="21"/>
        </w:rPr>
        <w:sectPr>
          <w:type w:val="continuous"/>
          <w:pgSz w:w="11910" w:h="16840"/>
          <w:pgMar w:top="1280" w:bottom="280" w:left="1140" w:right="1080"/>
        </w:sectPr>
      </w:pPr>
    </w:p>
    <w:p>
      <w:pPr>
        <w:spacing w:line="180" w:lineRule="exact" w:before="0"/>
        <w:ind w:left="465" w:right="0" w:firstLine="0"/>
        <w:jc w:val="left"/>
        <w:rPr>
          <w:rFonts w:ascii="黑体" w:eastAsia="黑体" w:hint="eastAsia"/>
          <w:sz w:val="18"/>
        </w:rPr>
      </w:pPr>
      <w:r>
        <w:rPr>
          <w:rFonts w:ascii="黑体" w:eastAsia="黑体" w:hint="eastAsia"/>
          <w:sz w:val="18"/>
        </w:rPr>
        <w:t>1．您与我们订立的合同</w:t>
      </w:r>
    </w:p>
    <w:p>
      <w:pPr>
        <w:spacing w:line="180" w:lineRule="exact" w:before="0"/>
        <w:ind w:left="465" w:right="0" w:firstLine="0"/>
        <w:jc w:val="left"/>
        <w:rPr>
          <w:rFonts w:ascii="黑体" w:eastAsia="黑体" w:hint="eastAsia"/>
          <w:sz w:val="18"/>
        </w:rPr>
      </w:pPr>
      <w:r>
        <w:rPr/>
        <w:br w:type="column"/>
      </w:r>
      <w:r>
        <w:rPr>
          <w:rFonts w:ascii="黑体" w:eastAsia="黑体" w:hint="eastAsia"/>
          <w:sz w:val="18"/>
        </w:rPr>
        <w:t>5.2 效力恢复</w:t>
      </w:r>
    </w:p>
    <w:p>
      <w:pPr>
        <w:spacing w:line="180" w:lineRule="exact" w:before="0"/>
        <w:ind w:left="465" w:right="0" w:firstLine="0"/>
        <w:jc w:val="left"/>
        <w:rPr>
          <w:rFonts w:ascii="黑体" w:eastAsia="黑体" w:hint="eastAsia"/>
          <w:sz w:val="18"/>
        </w:rPr>
      </w:pPr>
      <w:r>
        <w:rPr/>
        <w:br w:type="column"/>
      </w:r>
      <w:r>
        <w:rPr>
          <w:rFonts w:ascii="黑体" w:eastAsia="黑体" w:hint="eastAsia"/>
          <w:sz w:val="18"/>
        </w:rPr>
        <w:t>12.1 保单年度</w:t>
      </w:r>
    </w:p>
    <w:p>
      <w:pPr>
        <w:spacing w:after="0" w:line="180" w:lineRule="exact"/>
        <w:jc w:val="left"/>
        <w:rPr>
          <w:rFonts w:ascii="黑体" w:eastAsia="黑体" w:hint="eastAsia"/>
          <w:sz w:val="18"/>
        </w:rPr>
        <w:sectPr>
          <w:type w:val="continuous"/>
          <w:pgSz w:w="11910" w:h="16840"/>
          <w:pgMar w:top="1280" w:bottom="280" w:left="1140" w:right="1080"/>
          <w:cols w:num="3" w:equalWidth="0">
            <w:col w:w="2356" w:space="633"/>
            <w:col w:w="1546" w:space="1520"/>
            <w:col w:w="3635"/>
          </w:cols>
        </w:sectPr>
      </w:pPr>
    </w:p>
    <w:p>
      <w:pPr>
        <w:pStyle w:val="BodyText"/>
        <w:spacing w:before="2"/>
        <w:rPr>
          <w:rFonts w:ascii="黑体"/>
          <w:sz w:val="9"/>
        </w:rPr>
      </w:pPr>
    </w:p>
    <w:tbl>
      <w:tblPr>
        <w:tblW w:w="0" w:type="auto"/>
        <w:jc w:val="left"/>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3028"/>
        <w:gridCol w:w="812"/>
        <w:gridCol w:w="2558"/>
      </w:tblGrid>
      <w:tr>
        <w:trPr>
          <w:trHeight w:val="240" w:hRule="atLeast"/>
        </w:trPr>
        <w:tc>
          <w:tcPr>
            <w:tcW w:w="2758"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028" w:type="dxa"/>
          </w:tcPr>
          <w:p>
            <w:pPr>
              <w:pStyle w:val="TableParagraph"/>
              <w:tabs>
                <w:tab w:pos="2711" w:val="left" w:leader="none"/>
              </w:tabs>
              <w:spacing w:line="180" w:lineRule="exact" w:before="0"/>
              <w:ind w:left="281"/>
              <w:rPr>
                <w:rFonts w:ascii="黑体" w:eastAsia="黑体" w:hint="eastAsia"/>
                <w:sz w:val="18"/>
              </w:rPr>
            </w:pPr>
            <w:r>
              <w:rPr>
                <w:rFonts w:ascii="黑体" w:eastAsia="黑体" w:hint="eastAsia"/>
                <w:sz w:val="18"/>
                <w:shd w:fill="D3D3D3" w:color="auto" w:val="clear"/>
              </w:rPr>
              <w:t>6．现金价值权益</w:t>
              <w:tab/>
            </w:r>
          </w:p>
        </w:tc>
        <w:tc>
          <w:tcPr>
            <w:tcW w:w="3370" w:type="dxa"/>
            <w:gridSpan w:val="2"/>
          </w:tcPr>
          <w:p>
            <w:pPr>
              <w:pStyle w:val="TableParagraph"/>
              <w:spacing w:line="180" w:lineRule="exact" w:before="0"/>
              <w:ind w:left="319"/>
              <w:rPr>
                <w:rFonts w:ascii="黑体" w:eastAsia="黑体" w:hint="eastAsia"/>
                <w:sz w:val="18"/>
              </w:rPr>
            </w:pPr>
            <w:r>
              <w:rPr>
                <w:rFonts w:ascii="黑体" w:eastAsia="黑体" w:hint="eastAsia"/>
                <w:sz w:val="18"/>
              </w:rPr>
              <w:t>12.2 合同Th效日对应日</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1.2 合同成立与Th效</w:t>
            </w:r>
          </w:p>
        </w:tc>
        <w:tc>
          <w:tcPr>
            <w:tcW w:w="3028" w:type="dxa"/>
          </w:tcPr>
          <w:p>
            <w:pPr>
              <w:pStyle w:val="TableParagraph"/>
              <w:spacing w:before="4"/>
              <w:ind w:left="281"/>
              <w:rPr>
                <w:rFonts w:ascii="黑体" w:eastAsia="黑体" w:hint="eastAsia"/>
                <w:sz w:val="18"/>
              </w:rPr>
            </w:pPr>
            <w:r>
              <w:rPr>
                <w:rFonts w:ascii="黑体" w:eastAsia="黑体" w:hint="eastAsia"/>
                <w:sz w:val="18"/>
              </w:rPr>
              <w:t>6.1 现金价值</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12.3 保险费约定支付日</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1.3 投保年龄</w:t>
            </w:r>
          </w:p>
        </w:tc>
        <w:tc>
          <w:tcPr>
            <w:tcW w:w="3028" w:type="dxa"/>
          </w:tcPr>
          <w:p>
            <w:pPr>
              <w:pStyle w:val="TableParagraph"/>
              <w:spacing w:before="4"/>
              <w:ind w:left="281"/>
              <w:rPr>
                <w:rFonts w:ascii="黑体" w:eastAsia="黑体" w:hint="eastAsia"/>
                <w:sz w:val="18"/>
              </w:rPr>
            </w:pPr>
            <w:r>
              <w:rPr>
                <w:rFonts w:ascii="黑体" w:eastAsia="黑体" w:hint="eastAsia"/>
                <w:sz w:val="18"/>
              </w:rPr>
              <w:t>6.2 保单贷款</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12.4 周岁</w:t>
            </w:r>
          </w:p>
        </w:tc>
      </w:tr>
      <w:tr>
        <w:trPr>
          <w:trHeight w:val="299" w:hRule="atLeast"/>
        </w:trPr>
        <w:tc>
          <w:tcPr>
            <w:tcW w:w="2758" w:type="dxa"/>
          </w:tcPr>
          <w:p>
            <w:pPr>
              <w:pStyle w:val="TableParagraph"/>
              <w:spacing w:before="4"/>
              <w:rPr>
                <w:rFonts w:ascii="黑体" w:eastAsia="黑体" w:hint="eastAsia"/>
                <w:sz w:val="18"/>
              </w:rPr>
            </w:pPr>
            <w:r>
              <w:rPr>
                <w:rFonts w:ascii="黑体" w:eastAsia="黑体" w:hint="eastAsia"/>
                <w:sz w:val="18"/>
              </w:rPr>
              <w:t>1.4 犹豫期</w:t>
            </w:r>
          </w:p>
        </w:tc>
        <w:tc>
          <w:tcPr>
            <w:tcW w:w="3028" w:type="dxa"/>
          </w:tcPr>
          <w:p>
            <w:pPr>
              <w:pStyle w:val="TableParagraph"/>
              <w:spacing w:before="4"/>
              <w:ind w:left="281"/>
              <w:rPr>
                <w:rFonts w:ascii="黑体" w:eastAsia="黑体" w:hint="eastAsia"/>
                <w:sz w:val="18"/>
              </w:rPr>
            </w:pPr>
            <w:r>
              <w:rPr>
                <w:rFonts w:ascii="黑体" w:eastAsia="黑体" w:hint="eastAsia"/>
                <w:sz w:val="18"/>
              </w:rPr>
              <w:t>6.3 保险费自动垫交</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12.5 有效身份证件</w:t>
            </w:r>
          </w:p>
        </w:tc>
      </w:tr>
      <w:tr>
        <w:trPr>
          <w:trHeight w:val="300" w:hRule="atLeast"/>
        </w:trPr>
        <w:tc>
          <w:tcPr>
            <w:tcW w:w="2758" w:type="dxa"/>
          </w:tcPr>
          <w:p>
            <w:pPr>
              <w:pStyle w:val="TableParagraph"/>
              <w:tabs>
                <w:tab w:pos="2479" w:val="left" w:leader="none"/>
              </w:tabs>
              <w:spacing w:before="4"/>
              <w:rPr>
                <w:rFonts w:ascii="黑体" w:eastAsia="黑体" w:hint="eastAsia"/>
                <w:sz w:val="18"/>
              </w:rPr>
            </w:pPr>
            <w:r>
              <w:rPr>
                <w:rFonts w:ascii="黑体" w:eastAsia="黑体" w:hint="eastAsia"/>
                <w:sz w:val="18"/>
                <w:shd w:fill="D3D3D3" w:color="auto" w:val="clear"/>
              </w:rPr>
              <w:t>2．我们提供的保障</w:t>
              <w:tab/>
            </w:r>
          </w:p>
        </w:tc>
        <w:tc>
          <w:tcPr>
            <w:tcW w:w="3028" w:type="dxa"/>
          </w:tcPr>
          <w:p>
            <w:pPr>
              <w:pStyle w:val="TableParagraph"/>
              <w:tabs>
                <w:tab w:pos="2711" w:val="left" w:leader="none"/>
              </w:tabs>
              <w:spacing w:before="4"/>
              <w:ind w:left="281"/>
              <w:rPr>
                <w:rFonts w:ascii="黑体" w:eastAsia="黑体" w:hint="eastAsia"/>
                <w:sz w:val="18"/>
              </w:rPr>
            </w:pPr>
            <w:r>
              <w:rPr>
                <w:rFonts w:ascii="黑体" w:eastAsia="黑体" w:hint="eastAsia"/>
                <w:sz w:val="18"/>
                <w:shd w:fill="D3D3D3" w:color="auto" w:val="clear"/>
              </w:rPr>
              <w:t>7．合同解除</w:t>
              <w:tab/>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12.6 意外伤害</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2.1 保险金额</w:t>
            </w:r>
          </w:p>
        </w:tc>
        <w:tc>
          <w:tcPr>
            <w:tcW w:w="3028" w:type="dxa"/>
          </w:tcPr>
          <w:p>
            <w:pPr>
              <w:pStyle w:val="TableParagraph"/>
              <w:spacing w:before="4"/>
              <w:ind w:left="281"/>
              <w:rPr>
                <w:rFonts w:ascii="黑体" w:eastAsia="黑体" w:hint="eastAsia"/>
                <w:sz w:val="18"/>
              </w:rPr>
            </w:pPr>
            <w:r>
              <w:rPr>
                <w:rFonts w:ascii="黑体" w:eastAsia="黑体" w:hint="eastAsia"/>
                <w:sz w:val="18"/>
              </w:rPr>
              <w:t>7.1 您解除合同的手续及风险</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12.7 全残</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2.2 保险期间</w:t>
            </w:r>
          </w:p>
        </w:tc>
        <w:tc>
          <w:tcPr>
            <w:tcW w:w="3028" w:type="dxa"/>
          </w:tcPr>
          <w:p>
            <w:pPr>
              <w:pStyle w:val="TableParagraph"/>
              <w:spacing w:before="4"/>
              <w:ind w:left="281"/>
              <w:rPr>
                <w:rFonts w:ascii="黑体" w:eastAsia="黑体" w:hint="eastAsia"/>
                <w:sz w:val="18"/>
              </w:rPr>
            </w:pPr>
            <w:r>
              <w:rPr>
                <w:rFonts w:ascii="黑体" w:eastAsia="黑体" w:hint="eastAsia"/>
                <w:sz w:val="18"/>
                <w:shd w:fill="D3D3D3" w:color="auto" w:val="clear"/>
              </w:rPr>
              <w:t>8．说明、告知与解除权限制</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12.8 毒品</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2.3 保险责任</w:t>
            </w:r>
          </w:p>
        </w:tc>
        <w:tc>
          <w:tcPr>
            <w:tcW w:w="3028" w:type="dxa"/>
          </w:tcPr>
          <w:p>
            <w:pPr>
              <w:pStyle w:val="TableParagraph"/>
              <w:spacing w:before="4"/>
              <w:ind w:left="281"/>
              <w:rPr>
                <w:rFonts w:ascii="黑体" w:eastAsia="黑体" w:hint="eastAsia"/>
                <w:sz w:val="18"/>
              </w:rPr>
            </w:pPr>
            <w:r>
              <w:rPr>
                <w:rFonts w:ascii="黑体" w:eastAsia="黑体" w:hint="eastAsia"/>
                <w:sz w:val="18"/>
              </w:rPr>
              <w:t>8.1 明确说明与如实告知</w:t>
            </w:r>
          </w:p>
        </w:tc>
        <w:tc>
          <w:tcPr>
            <w:tcW w:w="3370" w:type="dxa"/>
            <w:gridSpan w:val="2"/>
          </w:tcPr>
          <w:p>
            <w:pPr>
              <w:pStyle w:val="TableParagraph"/>
              <w:spacing w:before="4"/>
              <w:ind w:left="319"/>
              <w:rPr>
                <w:rFonts w:ascii="黑体" w:eastAsia="黑体" w:hint="eastAsia"/>
                <w:sz w:val="18"/>
              </w:rPr>
            </w:pPr>
            <w:r>
              <w:rPr>
                <w:rFonts w:ascii="黑体" w:eastAsia="黑体" w:hint="eastAsia"/>
                <w:sz w:val="18"/>
              </w:rPr>
              <w:t>12.9 酒后驾驶</w:t>
            </w:r>
          </w:p>
        </w:tc>
      </w:tr>
      <w:tr>
        <w:trPr>
          <w:trHeight w:val="299" w:hRule="atLeast"/>
        </w:trPr>
        <w:tc>
          <w:tcPr>
            <w:tcW w:w="2758" w:type="dxa"/>
          </w:tcPr>
          <w:p>
            <w:pPr>
              <w:pStyle w:val="TableParagraph"/>
              <w:spacing w:before="4"/>
              <w:rPr>
                <w:rFonts w:ascii="黑体" w:eastAsia="黑体" w:hint="eastAsia"/>
                <w:sz w:val="18"/>
              </w:rPr>
            </w:pPr>
            <w:r>
              <w:rPr>
                <w:rFonts w:ascii="黑体" w:eastAsia="黑体" w:hint="eastAsia"/>
                <w:sz w:val="18"/>
              </w:rPr>
              <w:t>2.4 责任免除</w:t>
            </w:r>
          </w:p>
        </w:tc>
        <w:tc>
          <w:tcPr>
            <w:tcW w:w="3028" w:type="dxa"/>
          </w:tcPr>
          <w:p>
            <w:pPr>
              <w:pStyle w:val="TableParagraph"/>
              <w:spacing w:before="4"/>
              <w:ind w:left="281"/>
              <w:rPr>
                <w:rFonts w:ascii="黑体" w:eastAsia="黑体" w:hint="eastAsia"/>
                <w:sz w:val="18"/>
              </w:rPr>
            </w:pPr>
            <w:r>
              <w:rPr>
                <w:rFonts w:ascii="黑体" w:eastAsia="黑体" w:hint="eastAsia"/>
                <w:sz w:val="18"/>
              </w:rPr>
              <w:t>8.2 我们合同解除权的限制</w:t>
            </w:r>
          </w:p>
        </w:tc>
        <w:tc>
          <w:tcPr>
            <w:tcW w:w="812" w:type="dxa"/>
          </w:tcPr>
          <w:p>
            <w:pPr>
              <w:pStyle w:val="TableParagraph"/>
              <w:spacing w:before="4"/>
              <w:ind w:left="0" w:right="40"/>
              <w:jc w:val="right"/>
              <w:rPr>
                <w:rFonts w:ascii="黑体"/>
                <w:sz w:val="18"/>
              </w:rPr>
            </w:pPr>
            <w:r>
              <w:rPr>
                <w:rFonts w:ascii="黑体"/>
                <w:sz w:val="18"/>
              </w:rPr>
              <w:t>12.10</w:t>
            </w:r>
          </w:p>
        </w:tc>
        <w:tc>
          <w:tcPr>
            <w:tcW w:w="2558" w:type="dxa"/>
          </w:tcPr>
          <w:p>
            <w:pPr>
              <w:pStyle w:val="TableParagraph"/>
              <w:spacing w:before="4"/>
              <w:ind w:left="47"/>
              <w:rPr>
                <w:rFonts w:ascii="黑体" w:eastAsia="黑体" w:hint="eastAsia"/>
                <w:sz w:val="18"/>
              </w:rPr>
            </w:pPr>
            <w:r>
              <w:rPr>
                <w:rFonts w:ascii="黑体" w:eastAsia="黑体" w:hint="eastAsia"/>
                <w:sz w:val="18"/>
              </w:rPr>
              <w:t>无合法有效驾驶证驾驶</w:t>
            </w:r>
          </w:p>
        </w:tc>
      </w:tr>
      <w:tr>
        <w:trPr>
          <w:trHeight w:val="300" w:hRule="atLeast"/>
        </w:trPr>
        <w:tc>
          <w:tcPr>
            <w:tcW w:w="2758" w:type="dxa"/>
          </w:tcPr>
          <w:p>
            <w:pPr>
              <w:pStyle w:val="TableParagraph"/>
              <w:tabs>
                <w:tab w:pos="2479" w:val="left" w:leader="none"/>
              </w:tabs>
              <w:spacing w:before="4"/>
              <w:rPr>
                <w:rFonts w:ascii="黑体" w:eastAsia="黑体" w:hint="eastAsia"/>
                <w:sz w:val="18"/>
              </w:rPr>
            </w:pPr>
            <w:r>
              <w:rPr>
                <w:rFonts w:ascii="黑体" w:eastAsia="黑体" w:hint="eastAsia"/>
                <w:sz w:val="18"/>
                <w:shd w:fill="D3D3D3" w:color="auto" w:val="clear"/>
              </w:rPr>
              <w:t>3．保险金的申请</w:t>
              <w:tab/>
            </w:r>
          </w:p>
        </w:tc>
        <w:tc>
          <w:tcPr>
            <w:tcW w:w="3028" w:type="dxa"/>
          </w:tcPr>
          <w:p>
            <w:pPr>
              <w:pStyle w:val="TableParagraph"/>
              <w:tabs>
                <w:tab w:pos="2711" w:val="left" w:leader="none"/>
              </w:tabs>
              <w:spacing w:before="4"/>
              <w:ind w:left="281"/>
              <w:rPr>
                <w:rFonts w:ascii="黑体" w:eastAsia="黑体" w:hint="eastAsia"/>
                <w:sz w:val="18"/>
              </w:rPr>
            </w:pPr>
            <w:r>
              <w:rPr>
                <w:rFonts w:ascii="黑体" w:eastAsia="黑体" w:hint="eastAsia"/>
                <w:sz w:val="18"/>
                <w:shd w:fill="D3D3D3" w:color="auto" w:val="clear"/>
              </w:rPr>
              <w:t>9. 其他需要关注的事项</w:t>
              <w:tab/>
            </w:r>
          </w:p>
        </w:tc>
        <w:tc>
          <w:tcPr>
            <w:tcW w:w="812" w:type="dxa"/>
          </w:tcPr>
          <w:p>
            <w:pPr>
              <w:pStyle w:val="TableParagraph"/>
              <w:spacing w:before="4"/>
              <w:ind w:left="0" w:right="40"/>
              <w:jc w:val="right"/>
              <w:rPr>
                <w:rFonts w:ascii="黑体"/>
                <w:sz w:val="18"/>
              </w:rPr>
            </w:pPr>
            <w:r>
              <w:rPr>
                <w:rFonts w:ascii="黑体"/>
                <w:sz w:val="18"/>
              </w:rPr>
              <w:t>12.11</w:t>
            </w:r>
          </w:p>
        </w:tc>
        <w:tc>
          <w:tcPr>
            <w:tcW w:w="2558" w:type="dxa"/>
          </w:tcPr>
          <w:p>
            <w:pPr>
              <w:pStyle w:val="TableParagraph"/>
              <w:spacing w:before="4"/>
              <w:ind w:left="47"/>
              <w:rPr>
                <w:rFonts w:ascii="黑体" w:eastAsia="黑体" w:hint="eastAsia"/>
                <w:sz w:val="18"/>
              </w:rPr>
            </w:pPr>
            <w:r>
              <w:rPr>
                <w:rFonts w:ascii="黑体" w:eastAsia="黑体" w:hint="eastAsia"/>
                <w:sz w:val="18"/>
              </w:rPr>
              <w:t>无有效行驶证</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3.1 受益人</w:t>
            </w:r>
          </w:p>
        </w:tc>
        <w:tc>
          <w:tcPr>
            <w:tcW w:w="3028" w:type="dxa"/>
          </w:tcPr>
          <w:p>
            <w:pPr>
              <w:pStyle w:val="TableParagraph"/>
              <w:spacing w:before="4"/>
              <w:ind w:left="281"/>
              <w:rPr>
                <w:rFonts w:ascii="黑体" w:eastAsia="黑体" w:hint="eastAsia"/>
                <w:sz w:val="18"/>
              </w:rPr>
            </w:pPr>
            <w:r>
              <w:rPr>
                <w:rFonts w:ascii="黑体" w:eastAsia="黑体" w:hint="eastAsia"/>
                <w:sz w:val="18"/>
              </w:rPr>
              <w:t>9.1 年龄错误</w:t>
            </w:r>
          </w:p>
        </w:tc>
        <w:tc>
          <w:tcPr>
            <w:tcW w:w="812" w:type="dxa"/>
          </w:tcPr>
          <w:p>
            <w:pPr>
              <w:pStyle w:val="TableParagraph"/>
              <w:spacing w:before="4"/>
              <w:ind w:left="0" w:right="40"/>
              <w:jc w:val="right"/>
              <w:rPr>
                <w:rFonts w:ascii="黑体"/>
                <w:sz w:val="18"/>
              </w:rPr>
            </w:pPr>
            <w:r>
              <w:rPr>
                <w:rFonts w:ascii="黑体"/>
                <w:sz w:val="18"/>
              </w:rPr>
              <w:t>12.12</w:t>
            </w:r>
          </w:p>
        </w:tc>
        <w:tc>
          <w:tcPr>
            <w:tcW w:w="2558" w:type="dxa"/>
          </w:tcPr>
          <w:p>
            <w:pPr>
              <w:pStyle w:val="TableParagraph"/>
              <w:spacing w:before="4"/>
              <w:ind w:left="47"/>
              <w:rPr>
                <w:rFonts w:ascii="黑体" w:eastAsia="黑体" w:hint="eastAsia"/>
                <w:sz w:val="18"/>
              </w:rPr>
            </w:pPr>
            <w:r>
              <w:rPr>
                <w:rFonts w:ascii="黑体" w:eastAsia="黑体" w:hint="eastAsia"/>
                <w:sz w:val="18"/>
              </w:rPr>
              <w:t>机动车</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3.2 保险事故通知</w:t>
            </w:r>
          </w:p>
        </w:tc>
        <w:tc>
          <w:tcPr>
            <w:tcW w:w="3028" w:type="dxa"/>
          </w:tcPr>
          <w:p>
            <w:pPr>
              <w:pStyle w:val="TableParagraph"/>
              <w:spacing w:before="4"/>
              <w:ind w:left="281"/>
              <w:rPr>
                <w:rFonts w:ascii="黑体" w:eastAsia="黑体" w:hint="eastAsia"/>
                <w:sz w:val="18"/>
              </w:rPr>
            </w:pPr>
            <w:r>
              <w:rPr>
                <w:rFonts w:ascii="黑体" w:eastAsia="黑体" w:hint="eastAsia"/>
                <w:sz w:val="18"/>
              </w:rPr>
              <w:t>9.2 未还款项</w:t>
            </w:r>
          </w:p>
        </w:tc>
        <w:tc>
          <w:tcPr>
            <w:tcW w:w="812" w:type="dxa"/>
          </w:tcPr>
          <w:p>
            <w:pPr>
              <w:pStyle w:val="TableParagraph"/>
              <w:spacing w:before="4"/>
              <w:ind w:left="0" w:right="40"/>
              <w:jc w:val="right"/>
              <w:rPr>
                <w:rFonts w:ascii="黑体"/>
                <w:sz w:val="18"/>
              </w:rPr>
            </w:pPr>
            <w:r>
              <w:rPr>
                <w:rFonts w:ascii="黑体"/>
                <w:sz w:val="18"/>
              </w:rPr>
              <w:t>12.13</w:t>
            </w:r>
          </w:p>
        </w:tc>
        <w:tc>
          <w:tcPr>
            <w:tcW w:w="2558" w:type="dxa"/>
          </w:tcPr>
          <w:p>
            <w:pPr>
              <w:pStyle w:val="TableParagraph"/>
              <w:spacing w:before="4"/>
              <w:ind w:left="47"/>
              <w:rPr>
                <w:rFonts w:ascii="黑体" w:eastAsia="黑体" w:hint="eastAsia"/>
                <w:sz w:val="18"/>
              </w:rPr>
            </w:pPr>
            <w:r>
              <w:rPr>
                <w:rFonts w:ascii="黑体" w:eastAsia="黑体" w:hint="eastAsia"/>
                <w:sz w:val="18"/>
              </w:rPr>
              <w:t>感染艾滋病病毒或患艾滋病</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3.3 保险金申请</w:t>
            </w:r>
          </w:p>
        </w:tc>
        <w:tc>
          <w:tcPr>
            <w:tcW w:w="3028" w:type="dxa"/>
          </w:tcPr>
          <w:p>
            <w:pPr>
              <w:pStyle w:val="TableParagraph"/>
              <w:spacing w:before="4"/>
              <w:ind w:left="281"/>
              <w:rPr>
                <w:rFonts w:ascii="黑体" w:eastAsia="黑体" w:hint="eastAsia"/>
                <w:sz w:val="18"/>
              </w:rPr>
            </w:pPr>
            <w:r>
              <w:rPr>
                <w:rFonts w:ascii="黑体" w:eastAsia="黑体" w:hint="eastAsia"/>
                <w:sz w:val="18"/>
              </w:rPr>
              <w:t>9.3 合同内容变更</w:t>
            </w:r>
          </w:p>
        </w:tc>
        <w:tc>
          <w:tcPr>
            <w:tcW w:w="812" w:type="dxa"/>
          </w:tcPr>
          <w:p>
            <w:pPr>
              <w:pStyle w:val="TableParagraph"/>
              <w:spacing w:before="4"/>
              <w:ind w:left="0" w:right="40"/>
              <w:jc w:val="right"/>
              <w:rPr>
                <w:rFonts w:ascii="黑体"/>
                <w:sz w:val="18"/>
              </w:rPr>
            </w:pPr>
            <w:r>
              <w:rPr>
                <w:rFonts w:ascii="黑体"/>
                <w:sz w:val="18"/>
              </w:rPr>
              <w:t>12.14</w:t>
            </w:r>
          </w:p>
        </w:tc>
        <w:tc>
          <w:tcPr>
            <w:tcW w:w="2558" w:type="dxa"/>
          </w:tcPr>
          <w:p>
            <w:pPr>
              <w:pStyle w:val="TableParagraph"/>
              <w:spacing w:before="4"/>
              <w:ind w:left="47"/>
              <w:rPr>
                <w:rFonts w:ascii="黑体" w:eastAsia="黑体" w:hint="eastAsia"/>
                <w:sz w:val="18"/>
              </w:rPr>
            </w:pPr>
            <w:r>
              <w:rPr>
                <w:rFonts w:ascii="黑体" w:eastAsia="黑体" w:hint="eastAsia"/>
                <w:sz w:val="18"/>
              </w:rPr>
              <w:t>遗传性疾病</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3.4 保险金给付</w:t>
            </w:r>
          </w:p>
        </w:tc>
        <w:tc>
          <w:tcPr>
            <w:tcW w:w="3028" w:type="dxa"/>
          </w:tcPr>
          <w:p>
            <w:pPr>
              <w:pStyle w:val="TableParagraph"/>
              <w:spacing w:before="4"/>
              <w:ind w:left="281"/>
              <w:rPr>
                <w:rFonts w:ascii="黑体" w:eastAsia="黑体" w:hint="eastAsia"/>
                <w:sz w:val="18"/>
              </w:rPr>
            </w:pPr>
            <w:r>
              <w:rPr>
                <w:rFonts w:ascii="黑体" w:eastAsia="黑体" w:hint="eastAsia"/>
                <w:sz w:val="18"/>
              </w:rPr>
              <w:t>9.4 联系方式变更</w:t>
            </w:r>
          </w:p>
        </w:tc>
        <w:tc>
          <w:tcPr>
            <w:tcW w:w="812" w:type="dxa"/>
          </w:tcPr>
          <w:p>
            <w:pPr>
              <w:pStyle w:val="TableParagraph"/>
              <w:spacing w:before="4"/>
              <w:ind w:left="0" w:right="40"/>
              <w:jc w:val="right"/>
              <w:rPr>
                <w:rFonts w:ascii="黑体"/>
                <w:sz w:val="18"/>
              </w:rPr>
            </w:pPr>
            <w:r>
              <w:rPr>
                <w:rFonts w:ascii="黑体"/>
                <w:sz w:val="18"/>
              </w:rPr>
              <w:t>12.15</w:t>
            </w:r>
          </w:p>
        </w:tc>
        <w:tc>
          <w:tcPr>
            <w:tcW w:w="2558" w:type="dxa"/>
          </w:tcPr>
          <w:p>
            <w:pPr>
              <w:pStyle w:val="TableParagraph"/>
              <w:spacing w:before="4"/>
              <w:ind w:left="47"/>
              <w:rPr>
                <w:rFonts w:ascii="黑体" w:eastAsia="黑体" w:hint="eastAsia"/>
                <w:sz w:val="18"/>
              </w:rPr>
            </w:pPr>
            <w:r>
              <w:rPr>
                <w:rFonts w:ascii="黑体" w:eastAsia="黑体" w:hint="eastAsia"/>
                <w:spacing w:val="-9"/>
                <w:sz w:val="18"/>
              </w:rPr>
              <w:t>先天性畸形、变形或染色体异常</w:t>
            </w:r>
          </w:p>
        </w:tc>
      </w:tr>
      <w:tr>
        <w:trPr>
          <w:trHeight w:val="299" w:hRule="atLeast"/>
        </w:trPr>
        <w:tc>
          <w:tcPr>
            <w:tcW w:w="2758" w:type="dxa"/>
          </w:tcPr>
          <w:p>
            <w:pPr>
              <w:pStyle w:val="TableParagraph"/>
              <w:spacing w:before="4"/>
              <w:rPr>
                <w:rFonts w:ascii="黑体" w:eastAsia="黑体" w:hint="eastAsia"/>
                <w:sz w:val="18"/>
              </w:rPr>
            </w:pPr>
            <w:r>
              <w:rPr>
                <w:rFonts w:ascii="黑体" w:eastAsia="黑体" w:hint="eastAsia"/>
                <w:sz w:val="18"/>
              </w:rPr>
              <w:t>3.5 宣告死亡处理</w:t>
            </w:r>
          </w:p>
        </w:tc>
        <w:tc>
          <w:tcPr>
            <w:tcW w:w="3028" w:type="dxa"/>
          </w:tcPr>
          <w:p>
            <w:pPr>
              <w:pStyle w:val="TableParagraph"/>
              <w:spacing w:before="4"/>
              <w:ind w:left="281"/>
              <w:rPr>
                <w:rFonts w:ascii="黑体" w:eastAsia="黑体" w:hint="eastAsia"/>
                <w:sz w:val="18"/>
              </w:rPr>
            </w:pPr>
            <w:r>
              <w:rPr>
                <w:rFonts w:ascii="黑体" w:eastAsia="黑体" w:hint="eastAsia"/>
                <w:sz w:val="18"/>
              </w:rPr>
              <w:t>9.5 争议处理</w:t>
            </w:r>
          </w:p>
        </w:tc>
        <w:tc>
          <w:tcPr>
            <w:tcW w:w="812" w:type="dxa"/>
          </w:tcPr>
          <w:p>
            <w:pPr>
              <w:pStyle w:val="TableParagraph"/>
              <w:spacing w:before="4"/>
              <w:ind w:left="0" w:right="40"/>
              <w:jc w:val="right"/>
              <w:rPr>
                <w:rFonts w:ascii="黑体"/>
                <w:sz w:val="18"/>
              </w:rPr>
            </w:pPr>
            <w:r>
              <w:rPr>
                <w:rFonts w:ascii="黑体"/>
                <w:sz w:val="18"/>
              </w:rPr>
              <w:t>12.16</w:t>
            </w:r>
          </w:p>
        </w:tc>
        <w:tc>
          <w:tcPr>
            <w:tcW w:w="2558" w:type="dxa"/>
          </w:tcPr>
          <w:p>
            <w:pPr>
              <w:pStyle w:val="TableParagraph"/>
              <w:spacing w:before="4"/>
              <w:ind w:left="47"/>
              <w:rPr>
                <w:rFonts w:ascii="黑体" w:eastAsia="黑体" w:hint="eastAsia"/>
                <w:sz w:val="18"/>
              </w:rPr>
            </w:pPr>
            <w:r>
              <w:rPr>
                <w:rFonts w:ascii="黑体" w:eastAsia="黑体" w:hint="eastAsia"/>
                <w:sz w:val="18"/>
              </w:rPr>
              <w:t>情形复杂</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3.6 诉讼时效</w:t>
            </w:r>
          </w:p>
        </w:tc>
        <w:tc>
          <w:tcPr>
            <w:tcW w:w="3028" w:type="dxa"/>
          </w:tcPr>
          <w:p>
            <w:pPr>
              <w:pStyle w:val="TableParagraph"/>
              <w:tabs>
                <w:tab w:pos="2711" w:val="left" w:leader="none"/>
              </w:tabs>
              <w:spacing w:before="4"/>
              <w:ind w:left="281"/>
              <w:rPr>
                <w:rFonts w:ascii="黑体" w:eastAsia="黑体" w:hint="eastAsia"/>
                <w:sz w:val="18"/>
              </w:rPr>
            </w:pPr>
            <w:r>
              <w:rPr>
                <w:rFonts w:ascii="黑体" w:eastAsia="黑体" w:hint="eastAsia"/>
                <w:sz w:val="18"/>
                <w:shd w:fill="D3D3D3" w:color="auto" w:val="clear"/>
              </w:rPr>
              <w:t>10. 重大疾病的定义</w:t>
              <w:tab/>
            </w:r>
          </w:p>
        </w:tc>
        <w:tc>
          <w:tcPr>
            <w:tcW w:w="812" w:type="dxa"/>
          </w:tcPr>
          <w:p>
            <w:pPr>
              <w:pStyle w:val="TableParagraph"/>
              <w:spacing w:before="4"/>
              <w:ind w:left="0" w:right="40"/>
              <w:jc w:val="right"/>
              <w:rPr>
                <w:rFonts w:ascii="黑体"/>
                <w:sz w:val="18"/>
              </w:rPr>
            </w:pPr>
            <w:r>
              <w:rPr>
                <w:rFonts w:ascii="黑体"/>
                <w:sz w:val="18"/>
              </w:rPr>
              <w:t>12.17</w:t>
            </w:r>
          </w:p>
        </w:tc>
        <w:tc>
          <w:tcPr>
            <w:tcW w:w="2558" w:type="dxa"/>
          </w:tcPr>
          <w:p>
            <w:pPr>
              <w:pStyle w:val="TableParagraph"/>
              <w:spacing w:before="4"/>
              <w:ind w:left="47"/>
              <w:rPr>
                <w:rFonts w:ascii="黑体" w:eastAsia="黑体" w:hint="eastAsia"/>
                <w:sz w:val="18"/>
              </w:rPr>
            </w:pPr>
            <w:r>
              <w:rPr>
                <w:rFonts w:ascii="黑体" w:eastAsia="黑体" w:hint="eastAsia"/>
                <w:sz w:val="18"/>
              </w:rPr>
              <w:t>专科医Th</w:t>
            </w:r>
          </w:p>
        </w:tc>
      </w:tr>
      <w:tr>
        <w:trPr>
          <w:trHeight w:val="300" w:hRule="atLeast"/>
        </w:trPr>
        <w:tc>
          <w:tcPr>
            <w:tcW w:w="2758" w:type="dxa"/>
          </w:tcPr>
          <w:p>
            <w:pPr>
              <w:pStyle w:val="TableParagraph"/>
              <w:tabs>
                <w:tab w:pos="2479" w:val="left" w:leader="none"/>
              </w:tabs>
              <w:spacing w:before="4"/>
              <w:rPr>
                <w:rFonts w:ascii="黑体" w:eastAsia="黑体" w:hint="eastAsia"/>
                <w:sz w:val="18"/>
              </w:rPr>
            </w:pPr>
            <w:r>
              <w:rPr>
                <w:rFonts w:ascii="黑体" w:eastAsia="黑体" w:hint="eastAsia"/>
                <w:sz w:val="18"/>
                <w:shd w:fill="D3D3D3" w:color="auto" w:val="clear"/>
              </w:rPr>
              <w:t>4．保险费的支付</w:t>
              <w:tab/>
            </w:r>
          </w:p>
        </w:tc>
        <w:tc>
          <w:tcPr>
            <w:tcW w:w="3028" w:type="dxa"/>
          </w:tcPr>
          <w:p>
            <w:pPr>
              <w:pStyle w:val="TableParagraph"/>
              <w:spacing w:before="4"/>
              <w:ind w:left="281"/>
              <w:rPr>
                <w:rFonts w:ascii="黑体" w:eastAsia="黑体" w:hint="eastAsia"/>
                <w:sz w:val="18"/>
              </w:rPr>
            </w:pPr>
            <w:r>
              <w:rPr>
                <w:rFonts w:ascii="黑体" w:eastAsia="黑体" w:hint="eastAsia"/>
                <w:sz w:val="18"/>
              </w:rPr>
              <w:t>10.1 重大疾病的定义</w:t>
            </w:r>
          </w:p>
        </w:tc>
        <w:tc>
          <w:tcPr>
            <w:tcW w:w="812" w:type="dxa"/>
          </w:tcPr>
          <w:p>
            <w:pPr>
              <w:pStyle w:val="TableParagraph"/>
              <w:spacing w:before="4"/>
              <w:ind w:left="0" w:right="40"/>
              <w:jc w:val="right"/>
              <w:rPr>
                <w:rFonts w:ascii="黑体"/>
                <w:sz w:val="18"/>
              </w:rPr>
            </w:pPr>
            <w:r>
              <w:rPr>
                <w:rFonts w:ascii="黑体"/>
                <w:sz w:val="18"/>
              </w:rPr>
              <w:t>12.18</w:t>
            </w:r>
          </w:p>
        </w:tc>
        <w:tc>
          <w:tcPr>
            <w:tcW w:w="2558" w:type="dxa"/>
          </w:tcPr>
          <w:p>
            <w:pPr>
              <w:pStyle w:val="TableParagraph"/>
              <w:spacing w:before="4"/>
              <w:ind w:left="47"/>
              <w:rPr>
                <w:rFonts w:ascii="黑体" w:eastAsia="黑体" w:hint="eastAsia"/>
                <w:sz w:val="18"/>
              </w:rPr>
            </w:pPr>
            <w:r>
              <w:rPr>
                <w:rFonts w:ascii="黑体" w:eastAsia="黑体" w:hint="eastAsia"/>
                <w:sz w:val="18"/>
              </w:rPr>
              <w:t>肢体机能完全丧失</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4.1 保险费的支付</w:t>
            </w:r>
          </w:p>
        </w:tc>
        <w:tc>
          <w:tcPr>
            <w:tcW w:w="3028" w:type="dxa"/>
          </w:tcPr>
          <w:p>
            <w:pPr>
              <w:pStyle w:val="TableParagraph"/>
              <w:spacing w:before="4"/>
              <w:ind w:left="281"/>
              <w:rPr>
                <w:rFonts w:ascii="黑体" w:eastAsia="黑体" w:hint="eastAsia"/>
                <w:sz w:val="18"/>
              </w:rPr>
            </w:pPr>
            <w:r>
              <w:rPr>
                <w:rFonts w:ascii="黑体" w:eastAsia="黑体" w:hint="eastAsia"/>
                <w:sz w:val="18"/>
              </w:rPr>
              <w:t>10.2 定义来源及确诊医院范围</w:t>
            </w:r>
          </w:p>
        </w:tc>
        <w:tc>
          <w:tcPr>
            <w:tcW w:w="812" w:type="dxa"/>
          </w:tcPr>
          <w:p>
            <w:pPr>
              <w:pStyle w:val="TableParagraph"/>
              <w:spacing w:before="4"/>
              <w:ind w:left="0" w:right="40"/>
              <w:jc w:val="right"/>
              <w:rPr>
                <w:rFonts w:ascii="黑体"/>
                <w:sz w:val="18"/>
              </w:rPr>
            </w:pPr>
            <w:r>
              <w:rPr>
                <w:rFonts w:ascii="黑体"/>
                <w:sz w:val="18"/>
              </w:rPr>
              <w:t>12.19</w:t>
            </w:r>
          </w:p>
        </w:tc>
        <w:tc>
          <w:tcPr>
            <w:tcW w:w="2558" w:type="dxa"/>
          </w:tcPr>
          <w:p>
            <w:pPr>
              <w:pStyle w:val="TableParagraph"/>
              <w:spacing w:before="4"/>
              <w:ind w:left="56"/>
              <w:rPr>
                <w:rFonts w:ascii="黑体" w:eastAsia="黑体" w:hint="eastAsia"/>
                <w:sz w:val="18"/>
              </w:rPr>
            </w:pPr>
            <w:r>
              <w:rPr>
                <w:rFonts w:ascii="黑体" w:eastAsia="黑体" w:hint="eastAsia"/>
                <w:sz w:val="18"/>
              </w:rPr>
              <w:t>语言能力或咀嚼吞咽能力完全</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4.2 宽限期</w:t>
            </w:r>
          </w:p>
        </w:tc>
        <w:tc>
          <w:tcPr>
            <w:tcW w:w="3028" w:type="dxa"/>
          </w:tcPr>
          <w:p>
            <w:pPr>
              <w:pStyle w:val="TableParagraph"/>
              <w:tabs>
                <w:tab w:pos="2711" w:val="left" w:leader="none"/>
              </w:tabs>
              <w:spacing w:before="4"/>
              <w:ind w:left="281"/>
              <w:rPr>
                <w:rFonts w:ascii="黑体" w:eastAsia="黑体" w:hint="eastAsia"/>
                <w:sz w:val="18"/>
              </w:rPr>
            </w:pPr>
            <w:r>
              <w:rPr>
                <w:rFonts w:ascii="黑体" w:eastAsia="黑体" w:hint="eastAsia"/>
                <w:sz w:val="18"/>
                <w:shd w:fill="D3D3D3" w:color="auto" w:val="clear"/>
              </w:rPr>
              <w:t>11. 特定疾病的定义</w:t>
              <w:tab/>
            </w:r>
          </w:p>
        </w:tc>
        <w:tc>
          <w:tcPr>
            <w:tcW w:w="812" w:type="dxa"/>
          </w:tcPr>
          <w:p>
            <w:pPr>
              <w:pStyle w:val="TableParagraph"/>
              <w:spacing w:before="0"/>
              <w:ind w:left="0"/>
              <w:rPr>
                <w:rFonts w:ascii="Times New Roman"/>
                <w:sz w:val="18"/>
              </w:rPr>
            </w:pPr>
          </w:p>
        </w:tc>
        <w:tc>
          <w:tcPr>
            <w:tcW w:w="2558" w:type="dxa"/>
          </w:tcPr>
          <w:p>
            <w:pPr>
              <w:pStyle w:val="TableParagraph"/>
              <w:spacing w:before="4"/>
              <w:ind w:left="47"/>
              <w:rPr>
                <w:rFonts w:ascii="黑体" w:eastAsia="黑体" w:hint="eastAsia"/>
                <w:sz w:val="18"/>
              </w:rPr>
            </w:pPr>
            <w:r>
              <w:rPr>
                <w:rFonts w:ascii="黑体" w:eastAsia="黑体" w:hint="eastAsia"/>
                <w:sz w:val="18"/>
              </w:rPr>
              <w:t>丧失</w:t>
            </w:r>
          </w:p>
        </w:tc>
      </w:tr>
      <w:tr>
        <w:trPr>
          <w:trHeight w:val="300" w:hRule="atLeast"/>
        </w:trPr>
        <w:tc>
          <w:tcPr>
            <w:tcW w:w="2758" w:type="dxa"/>
          </w:tcPr>
          <w:p>
            <w:pPr>
              <w:pStyle w:val="TableParagraph"/>
              <w:spacing w:before="4"/>
              <w:rPr>
                <w:rFonts w:ascii="黑体" w:eastAsia="黑体" w:hint="eastAsia"/>
                <w:sz w:val="18"/>
              </w:rPr>
            </w:pPr>
            <w:r>
              <w:rPr>
                <w:rFonts w:ascii="黑体" w:eastAsia="黑体" w:hint="eastAsia"/>
                <w:sz w:val="18"/>
              </w:rPr>
              <w:t>4.3 保险费率的调整</w:t>
            </w:r>
          </w:p>
        </w:tc>
        <w:tc>
          <w:tcPr>
            <w:tcW w:w="3028" w:type="dxa"/>
          </w:tcPr>
          <w:p>
            <w:pPr>
              <w:pStyle w:val="TableParagraph"/>
              <w:spacing w:before="4"/>
              <w:ind w:left="278"/>
              <w:rPr>
                <w:rFonts w:ascii="黑体" w:eastAsia="黑体" w:hint="eastAsia"/>
                <w:sz w:val="18"/>
              </w:rPr>
            </w:pPr>
            <w:r>
              <w:rPr>
                <w:rFonts w:ascii="黑体" w:eastAsia="黑体" w:hint="eastAsia"/>
                <w:sz w:val="18"/>
              </w:rPr>
              <w:t>11.1 特定疾病的定义</w:t>
            </w:r>
          </w:p>
        </w:tc>
        <w:tc>
          <w:tcPr>
            <w:tcW w:w="812" w:type="dxa"/>
          </w:tcPr>
          <w:p>
            <w:pPr>
              <w:pStyle w:val="TableParagraph"/>
              <w:spacing w:before="4"/>
              <w:ind w:left="0" w:right="40"/>
              <w:jc w:val="right"/>
              <w:rPr>
                <w:rFonts w:ascii="黑体"/>
                <w:sz w:val="18"/>
              </w:rPr>
            </w:pPr>
            <w:r>
              <w:rPr>
                <w:rFonts w:ascii="黑体"/>
                <w:sz w:val="18"/>
              </w:rPr>
              <w:t>12.20</w:t>
            </w:r>
          </w:p>
        </w:tc>
        <w:tc>
          <w:tcPr>
            <w:tcW w:w="2558" w:type="dxa"/>
          </w:tcPr>
          <w:p>
            <w:pPr>
              <w:pStyle w:val="TableParagraph"/>
              <w:spacing w:before="4"/>
              <w:ind w:left="47"/>
              <w:rPr>
                <w:rFonts w:ascii="黑体" w:eastAsia="黑体" w:hint="eastAsia"/>
                <w:sz w:val="18"/>
              </w:rPr>
            </w:pPr>
            <w:r>
              <w:rPr>
                <w:rFonts w:ascii="黑体" w:eastAsia="黑体" w:hint="eastAsia"/>
                <w:sz w:val="18"/>
              </w:rPr>
              <w:t>六项基本日常Th活活动</w:t>
            </w:r>
          </w:p>
        </w:tc>
      </w:tr>
      <w:tr>
        <w:trPr>
          <w:trHeight w:val="300" w:hRule="atLeast"/>
        </w:trPr>
        <w:tc>
          <w:tcPr>
            <w:tcW w:w="2758" w:type="dxa"/>
          </w:tcPr>
          <w:p>
            <w:pPr>
              <w:pStyle w:val="TableParagraph"/>
              <w:tabs>
                <w:tab w:pos="2479" w:val="left" w:leader="none"/>
              </w:tabs>
              <w:spacing w:before="4"/>
              <w:rPr>
                <w:rFonts w:ascii="黑体" w:eastAsia="黑体" w:hint="eastAsia"/>
                <w:sz w:val="18"/>
              </w:rPr>
            </w:pPr>
            <w:r>
              <w:rPr>
                <w:rFonts w:ascii="黑体" w:eastAsia="黑体" w:hint="eastAsia"/>
                <w:sz w:val="18"/>
                <w:shd w:fill="D3D3D3" w:color="auto" w:val="clear"/>
              </w:rPr>
              <w:t>5．合同效力的中止及恢复</w:t>
              <w:tab/>
            </w:r>
          </w:p>
        </w:tc>
        <w:tc>
          <w:tcPr>
            <w:tcW w:w="3028" w:type="dxa"/>
          </w:tcPr>
          <w:p>
            <w:pPr>
              <w:pStyle w:val="TableParagraph"/>
              <w:spacing w:before="4"/>
              <w:ind w:left="281"/>
              <w:rPr>
                <w:rFonts w:ascii="黑体" w:eastAsia="黑体" w:hint="eastAsia"/>
                <w:sz w:val="18"/>
              </w:rPr>
            </w:pPr>
            <w:r>
              <w:rPr>
                <w:rFonts w:ascii="黑体" w:eastAsia="黑体" w:hint="eastAsia"/>
                <w:sz w:val="18"/>
              </w:rPr>
              <w:t>11.2 定义来源及确诊医院范围</w:t>
            </w:r>
          </w:p>
        </w:tc>
        <w:tc>
          <w:tcPr>
            <w:tcW w:w="812" w:type="dxa"/>
          </w:tcPr>
          <w:p>
            <w:pPr>
              <w:pStyle w:val="TableParagraph"/>
              <w:spacing w:before="4"/>
              <w:ind w:left="0" w:right="40"/>
              <w:jc w:val="right"/>
              <w:rPr>
                <w:rFonts w:ascii="黑体"/>
                <w:sz w:val="18"/>
              </w:rPr>
            </w:pPr>
            <w:r>
              <w:rPr>
                <w:rFonts w:ascii="黑体"/>
                <w:sz w:val="18"/>
              </w:rPr>
              <w:t>12.21</w:t>
            </w:r>
          </w:p>
        </w:tc>
        <w:tc>
          <w:tcPr>
            <w:tcW w:w="2558" w:type="dxa"/>
          </w:tcPr>
          <w:p>
            <w:pPr>
              <w:pStyle w:val="TableParagraph"/>
              <w:spacing w:before="4"/>
              <w:ind w:left="47"/>
              <w:rPr>
                <w:rFonts w:ascii="黑体" w:eastAsia="黑体" w:hint="eastAsia"/>
                <w:sz w:val="18"/>
              </w:rPr>
            </w:pPr>
            <w:r>
              <w:rPr>
                <w:rFonts w:ascii="黑体" w:eastAsia="黑体" w:hint="eastAsia"/>
                <w:sz w:val="18"/>
              </w:rPr>
              <w:t>永久不可逆</w:t>
            </w:r>
          </w:p>
        </w:tc>
      </w:tr>
      <w:tr>
        <w:trPr>
          <w:trHeight w:val="239" w:hRule="atLeast"/>
        </w:trPr>
        <w:tc>
          <w:tcPr>
            <w:tcW w:w="2758" w:type="dxa"/>
          </w:tcPr>
          <w:p>
            <w:pPr>
              <w:pStyle w:val="TableParagraph"/>
              <w:spacing w:line="216" w:lineRule="exact" w:before="4"/>
              <w:rPr>
                <w:rFonts w:ascii="黑体" w:eastAsia="黑体" w:hint="eastAsia"/>
                <w:sz w:val="18"/>
              </w:rPr>
            </w:pPr>
            <w:r>
              <w:rPr>
                <w:rFonts w:ascii="黑体" w:eastAsia="黑体" w:hint="eastAsia"/>
                <w:sz w:val="18"/>
              </w:rPr>
              <w:t>5.1 效力中止</w:t>
            </w:r>
          </w:p>
        </w:tc>
        <w:tc>
          <w:tcPr>
            <w:tcW w:w="3028" w:type="dxa"/>
          </w:tcPr>
          <w:p>
            <w:pPr>
              <w:pStyle w:val="TableParagraph"/>
              <w:tabs>
                <w:tab w:pos="2711" w:val="left" w:leader="none"/>
              </w:tabs>
              <w:spacing w:line="216" w:lineRule="exact" w:before="4"/>
              <w:ind w:left="281"/>
              <w:rPr>
                <w:rFonts w:ascii="黑体" w:eastAsia="黑体" w:hint="eastAsia"/>
                <w:sz w:val="18"/>
              </w:rPr>
            </w:pPr>
            <w:r>
              <w:rPr>
                <w:rFonts w:ascii="黑体" w:eastAsia="黑体" w:hint="eastAsia"/>
                <w:sz w:val="18"/>
                <w:shd w:fill="D3D3D3" w:color="auto" w:val="clear"/>
              </w:rPr>
              <w:t>12. 释义</w:t>
              <w:tab/>
            </w:r>
          </w:p>
        </w:tc>
        <w:tc>
          <w:tcPr>
            <w:tcW w:w="812" w:type="dxa"/>
          </w:tcPr>
          <w:p>
            <w:pPr>
              <w:pStyle w:val="TableParagraph"/>
              <w:spacing w:before="0"/>
              <w:ind w:left="0"/>
              <w:rPr>
                <w:rFonts w:ascii="Times New Roman"/>
                <w:sz w:val="16"/>
              </w:rPr>
            </w:pPr>
          </w:p>
        </w:tc>
        <w:tc>
          <w:tcPr>
            <w:tcW w:w="2558" w:type="dxa"/>
          </w:tcPr>
          <w:p>
            <w:pPr>
              <w:pStyle w:val="TableParagraph"/>
              <w:spacing w:before="0"/>
              <w:ind w:left="0"/>
              <w:rPr>
                <w:rFonts w:ascii="Times New Roman"/>
                <w:sz w:val="16"/>
              </w:rPr>
            </w:pPr>
          </w:p>
        </w:tc>
      </w:tr>
    </w:tbl>
    <w:p>
      <w:pPr>
        <w:spacing w:after="0"/>
        <w:rPr>
          <w:rFonts w:ascii="Times New Roman"/>
          <w:sz w:val="16"/>
        </w:rPr>
        <w:sectPr>
          <w:type w:val="continuous"/>
          <w:pgSz w:w="11910" w:h="16840"/>
          <w:pgMar w:top="1280" w:bottom="280" w:left="1140" w:right="1080"/>
        </w:sectPr>
      </w:pPr>
    </w:p>
    <w:p>
      <w:pPr>
        <w:pStyle w:val="Heading1"/>
        <w:spacing w:line="206" w:lineRule="auto"/>
        <w:ind w:left="3005" w:right="2500"/>
      </w:pPr>
      <w:r>
        <w:rPr/>
        <w:t>中国太平洋人寿保险股份有限公司</w:t>
      </w:r>
      <w:r>
        <w:rPr>
          <w:w w:val="95"/>
        </w:rPr>
        <w:t>福佑安康重大疾病保险条款</w:t>
      </w:r>
    </w:p>
    <w:p>
      <w:pPr>
        <w:pStyle w:val="BodyText"/>
        <w:spacing w:before="37"/>
        <w:ind w:left="2700"/>
      </w:pPr>
      <w:r>
        <w:rPr/>
        <w:t>（2013 年 8 月呈报中国保险监督管理委员会备案）</w:t>
      </w:r>
    </w:p>
    <w:p>
      <w:pPr>
        <w:pStyle w:val="BodyText"/>
        <w:spacing w:before="0"/>
        <w:rPr>
          <w:sz w:val="20"/>
        </w:rPr>
      </w:pPr>
    </w:p>
    <w:p>
      <w:pPr>
        <w:pStyle w:val="BodyText"/>
        <w:spacing w:line="280" w:lineRule="auto" w:before="142"/>
        <w:ind w:left="114" w:right="175" w:firstLine="420"/>
      </w:pPr>
      <w:r>
        <w:rPr>
          <w:spacing w:val="-13"/>
        </w:rPr>
        <w:t>“福佑安康重大疾病保险”简称“福佑安康”。在本保险条款中，“您”指投保人，“我们”指中国太</w:t>
      </w:r>
      <w:r>
        <w:rPr>
          <w:spacing w:val="-20"/>
        </w:rPr>
        <w:t>平洋人寿保险股份有限公司，“本合同”指您与我们之间订立的“福佑安康重大疾病保险合同”。</w:t>
      </w:r>
    </w:p>
    <w:p>
      <w:pPr>
        <w:pStyle w:val="BodyText"/>
        <w:spacing w:before="0"/>
        <w:rPr>
          <w:sz w:val="10"/>
        </w:rPr>
      </w:pPr>
      <w:r>
        <w:rPr/>
        <w:pict>
          <v:shape style="position:absolute;margin-left:57.360001pt;margin-top:7.747842pt;width:480.6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290" w:val="left" w:leader="none"/>
          <w:tab w:pos="1291" w:val="left" w:leader="none"/>
          <w:tab w:pos="2793" w:val="left" w:leader="none"/>
        </w:tabs>
        <w:spacing w:line="278" w:lineRule="auto" w:before="35" w:after="0"/>
        <w:ind w:left="2793" w:right="106" w:hanging="2558"/>
        <w:jc w:val="left"/>
        <w:rPr>
          <w:sz w:val="21"/>
        </w:rPr>
      </w:pPr>
      <w:r>
        <w:rPr>
          <w:rFonts w:ascii="黑体" w:eastAsia="黑体" w:hint="eastAsia"/>
          <w:sz w:val="21"/>
        </w:rPr>
        <w:t>合同构成</w:t>
        <w:tab/>
      </w:r>
      <w:r>
        <w:rPr>
          <w:spacing w:val="-1"/>
          <w:sz w:val="21"/>
        </w:rPr>
        <w:t>本合同</w:t>
      </w:r>
      <w:r>
        <w:rPr>
          <w:sz w:val="21"/>
        </w:rPr>
        <w:t>是您与我们约定保险权利义务关系的协议</w:t>
      </w:r>
      <w:r>
        <w:rPr>
          <w:spacing w:val="-99"/>
          <w:sz w:val="21"/>
        </w:rPr>
        <w:t>，</w:t>
      </w:r>
      <w:r>
        <w:rPr>
          <w:sz w:val="21"/>
        </w:rPr>
        <w:t>包括本保险条款</w:t>
      </w:r>
      <w:r>
        <w:rPr>
          <w:spacing w:val="-99"/>
          <w:sz w:val="21"/>
        </w:rPr>
        <w:t>、</w:t>
      </w:r>
      <w:r>
        <w:rPr>
          <w:sz w:val="21"/>
        </w:rPr>
        <w:t>保险单、投保单及其他投保文件</w:t>
      </w:r>
      <w:r>
        <w:rPr>
          <w:spacing w:val="-32"/>
          <w:sz w:val="21"/>
        </w:rPr>
        <w:t>、</w:t>
      </w:r>
      <w:r>
        <w:rPr>
          <w:sz w:val="21"/>
        </w:rPr>
        <w:t>合法有效的声明</w:t>
      </w:r>
      <w:r>
        <w:rPr>
          <w:spacing w:val="-32"/>
          <w:sz w:val="21"/>
        </w:rPr>
        <w:t>、</w:t>
      </w:r>
      <w:r>
        <w:rPr>
          <w:sz w:val="21"/>
        </w:rPr>
        <w:t>批注</w:t>
      </w:r>
      <w:r>
        <w:rPr>
          <w:spacing w:val="-32"/>
          <w:sz w:val="21"/>
        </w:rPr>
        <w:t>、</w:t>
      </w:r>
      <w:r>
        <w:rPr>
          <w:sz w:val="21"/>
        </w:rPr>
        <w:t>批单及其他您与我们共同认可的书面协议。</w:t>
      </w:r>
    </w:p>
    <w:p>
      <w:pPr>
        <w:pStyle w:val="BodyText"/>
        <w:spacing w:before="0"/>
        <w:rPr>
          <w:sz w:val="9"/>
        </w:rPr>
      </w:pPr>
    </w:p>
    <w:p>
      <w:pPr>
        <w:spacing w:after="0"/>
        <w:rPr>
          <w:sz w:val="9"/>
        </w:rPr>
        <w:sectPr>
          <w:pgSz w:w="11910" w:h="16840"/>
          <w:pgMar w:top="1360" w:bottom="280" w:left="1020" w:right="1040"/>
        </w:sectPr>
      </w:pPr>
    </w:p>
    <w:p>
      <w:pPr>
        <w:pStyle w:val="ListParagraph"/>
        <w:numPr>
          <w:ilvl w:val="1"/>
          <w:numId w:val="2"/>
        </w:numPr>
        <w:tabs>
          <w:tab w:pos="1291" w:val="left" w:leader="none"/>
          <w:tab w:pos="1292" w:val="left" w:leader="none"/>
        </w:tabs>
        <w:spacing w:line="280" w:lineRule="auto" w:before="35" w:after="0"/>
        <w:ind w:left="1291" w:right="0" w:hanging="1056"/>
        <w:jc w:val="left"/>
        <w:rPr>
          <w:rFonts w:ascii="黑体" w:eastAsia="黑体" w:hint="eastAsia"/>
          <w:sz w:val="21"/>
        </w:rPr>
      </w:pPr>
      <w:r>
        <w:rPr>
          <w:rFonts w:ascii="黑体" w:eastAsia="黑体" w:hint="eastAsia"/>
          <w:sz w:val="21"/>
        </w:rPr>
        <w:t>合同成立与Th效</w:t>
      </w:r>
    </w:p>
    <w:p>
      <w:pPr>
        <w:pStyle w:val="BodyText"/>
        <w:ind w:left="202"/>
      </w:pPr>
      <w:r>
        <w:rPr/>
        <w:br w:type="column"/>
      </w:r>
      <w:r>
        <w:rPr/>
        <w:t>您提出保险申请、我们同意承保，本合同成立。</w:t>
      </w:r>
    </w:p>
    <w:p>
      <w:pPr>
        <w:spacing w:line="218" w:lineRule="auto" w:before="70"/>
        <w:ind w:left="202" w:right="107" w:firstLine="0"/>
        <w:jc w:val="left"/>
        <w:rPr>
          <w:sz w:val="21"/>
        </w:rPr>
      </w:pPr>
      <w:r>
        <w:rPr>
          <w:sz w:val="21"/>
        </w:rPr>
        <w:t>本合同自我们收到首期保险费并同意承保后开始生效，我们签发保险单作为保险凭证。合同生效日期在保险单上载明，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18" w:lineRule="auto"/>
        <w:jc w:val="left"/>
        <w:rPr>
          <w:sz w:val="21"/>
        </w:rPr>
        <w:sectPr>
          <w:type w:val="continuous"/>
          <w:pgSz w:w="11910" w:h="16840"/>
          <w:pgMar w:top="1280" w:bottom="280" w:left="1020" w:right="1040"/>
          <w:cols w:num="2" w:equalWidth="0">
            <w:col w:w="2552" w:space="40"/>
            <w:col w:w="7258"/>
          </w:cols>
        </w:sectPr>
      </w:pPr>
    </w:p>
    <w:p>
      <w:pPr>
        <w:pStyle w:val="BodyText"/>
        <w:spacing w:before="8"/>
        <w:rPr>
          <w:sz w:val="9"/>
        </w:rPr>
      </w:pPr>
    </w:p>
    <w:p>
      <w:pPr>
        <w:pStyle w:val="ListParagraph"/>
        <w:numPr>
          <w:ilvl w:val="1"/>
          <w:numId w:val="2"/>
        </w:numPr>
        <w:tabs>
          <w:tab w:pos="1291" w:val="left" w:leader="none"/>
          <w:tab w:pos="1292" w:val="left" w:leader="none"/>
          <w:tab w:pos="2793" w:val="left" w:leader="none"/>
        </w:tabs>
        <w:spacing w:line="266" w:lineRule="exact" w:before="36" w:after="0"/>
        <w:ind w:left="1291" w:right="0" w:hanging="1056"/>
        <w:jc w:val="left"/>
        <w:rPr>
          <w:sz w:val="21"/>
        </w:rPr>
      </w:pPr>
      <w:r>
        <w:rPr>
          <w:rFonts w:ascii="黑体" w:eastAsia="黑体" w:hint="eastAsia"/>
          <w:sz w:val="21"/>
        </w:rPr>
        <w:t>投保年龄</w:t>
        <w:tab/>
      </w:r>
      <w:r>
        <w:rPr>
          <w:sz w:val="21"/>
        </w:rPr>
        <w:t>指您投保时被保险人的年龄，本合同接受的投保年龄范围为出生满</w:t>
      </w:r>
      <w:r>
        <w:rPr>
          <w:spacing w:val="-63"/>
          <w:sz w:val="21"/>
        </w:rPr>
        <w:t> </w:t>
      </w:r>
      <w:r>
        <w:rPr>
          <w:sz w:val="21"/>
        </w:rPr>
        <w:t>30</w:t>
      </w:r>
      <w:r>
        <w:rPr>
          <w:spacing w:val="-63"/>
          <w:sz w:val="21"/>
        </w:rPr>
        <w:t> </w:t>
      </w:r>
      <w:r>
        <w:rPr>
          <w:sz w:val="21"/>
        </w:rPr>
        <w:t>天至</w:t>
      </w:r>
    </w:p>
    <w:p>
      <w:pPr>
        <w:spacing w:line="354" w:lineRule="exact" w:before="0"/>
        <w:ind w:left="2793" w:right="0" w:firstLine="0"/>
        <w:jc w:val="left"/>
        <w:rPr>
          <w:sz w:val="21"/>
        </w:rPr>
      </w:pPr>
      <w:r>
        <w:rPr>
          <w:sz w:val="21"/>
        </w:rPr>
        <w:t>65</w:t>
      </w:r>
      <w:r>
        <w:rPr>
          <w:spacing w:val="-51"/>
          <w:sz w:val="21"/>
        </w:rPr>
        <w:t> </w:t>
      </w:r>
      <w:r>
        <w:rPr>
          <w:rFonts w:ascii="微软雅黑" w:eastAsia="微软雅黑" w:hint="eastAsia"/>
          <w:b/>
          <w:sz w:val="21"/>
        </w:rPr>
        <w:t>周岁</w:t>
      </w:r>
      <w:r>
        <w:rPr>
          <w:sz w:val="21"/>
        </w:rPr>
        <w:t>。</w:t>
      </w:r>
    </w:p>
    <w:p>
      <w:pPr>
        <w:pStyle w:val="ListParagraph"/>
        <w:numPr>
          <w:ilvl w:val="1"/>
          <w:numId w:val="2"/>
        </w:numPr>
        <w:tabs>
          <w:tab w:pos="1291" w:val="left" w:leader="none"/>
          <w:tab w:pos="1292" w:val="left" w:leader="none"/>
          <w:tab w:pos="2793" w:val="left" w:leader="none"/>
        </w:tabs>
        <w:spacing w:line="278" w:lineRule="auto" w:before="162" w:after="0"/>
        <w:ind w:left="2793" w:right="106" w:hanging="2558"/>
        <w:jc w:val="left"/>
        <w:rPr>
          <w:sz w:val="21"/>
        </w:rPr>
      </w:pPr>
      <w:r>
        <w:rPr>
          <w:rFonts w:ascii="黑体" w:eastAsia="黑体" w:hint="eastAsia"/>
          <w:sz w:val="21"/>
        </w:rPr>
        <w:t>犹豫期</w:t>
        <w:tab/>
      </w:r>
      <w:r>
        <w:rPr>
          <w:sz w:val="21"/>
        </w:rPr>
        <w:t>自您签收本合同之日起，有</w:t>
      </w:r>
      <w:r>
        <w:rPr>
          <w:spacing w:val="-63"/>
          <w:sz w:val="21"/>
        </w:rPr>
        <w:t> </w:t>
      </w:r>
      <w:r>
        <w:rPr>
          <w:sz w:val="21"/>
        </w:rPr>
        <w:t>10</w:t>
      </w:r>
      <w:r>
        <w:rPr>
          <w:spacing w:val="-63"/>
          <w:sz w:val="21"/>
        </w:rPr>
        <w:t> </w:t>
      </w:r>
      <w:r>
        <w:rPr>
          <w:sz w:val="21"/>
        </w:rPr>
        <w:t>日的犹豫期。在此期间，请您认真审视本合同</w:t>
      </w:r>
      <w:r>
        <w:rPr>
          <w:spacing w:val="-99"/>
          <w:sz w:val="21"/>
        </w:rPr>
        <w:t>，</w:t>
      </w:r>
      <w:r>
        <w:rPr>
          <w:sz w:val="21"/>
        </w:rPr>
        <w:t>如果您认为本合同与您的需求不相符</w:t>
      </w:r>
      <w:r>
        <w:rPr>
          <w:spacing w:val="-99"/>
          <w:sz w:val="21"/>
        </w:rPr>
        <w:t>，</w:t>
      </w:r>
      <w:r>
        <w:rPr>
          <w:sz w:val="21"/>
        </w:rPr>
        <w:t>您可以在此期间提出解除本合同， 我们将在扣除人民币</w:t>
      </w:r>
      <w:r>
        <w:rPr>
          <w:spacing w:val="-66"/>
          <w:sz w:val="21"/>
        </w:rPr>
        <w:t> </w:t>
      </w:r>
      <w:r>
        <w:rPr>
          <w:sz w:val="21"/>
        </w:rPr>
        <w:t>10</w:t>
      </w:r>
      <w:r>
        <w:rPr>
          <w:spacing w:val="-66"/>
          <w:sz w:val="21"/>
        </w:rPr>
        <w:t> </w:t>
      </w:r>
      <w:r>
        <w:rPr>
          <w:sz w:val="21"/>
        </w:rPr>
        <w:t>元的工本费后退还您所支付的保险费。</w:t>
      </w:r>
    </w:p>
    <w:p>
      <w:pPr>
        <w:pStyle w:val="BodyText"/>
        <w:spacing w:line="312" w:lineRule="exact" w:before="0"/>
        <w:ind w:left="2793"/>
      </w:pPr>
      <w:r>
        <w:rPr/>
        <w:t>解除合同时，您需要填写申请书，并提供您的保险合同及</w:t>
      </w:r>
      <w:r>
        <w:rPr>
          <w:rFonts w:ascii="微软雅黑" w:eastAsia="微软雅黑" w:hint="eastAsia"/>
          <w:b/>
        </w:rPr>
        <w:t>有效身份证件</w:t>
      </w:r>
      <w:r>
        <w:rPr/>
        <w:t>。自</w:t>
      </w:r>
    </w:p>
    <w:p>
      <w:pPr>
        <w:pStyle w:val="BodyText"/>
        <w:spacing w:line="278" w:lineRule="auto" w:before="20"/>
        <w:ind w:left="2793" w:right="212"/>
      </w:pPr>
      <w:r>
        <w:rPr>
          <w:spacing w:val="-5"/>
        </w:rPr>
        <w:t>我们收到您解除合同的书面申请时起，本合同即被解除，对于合同解除前发生的保险事故，我们不承担保险责任。</w:t>
      </w:r>
    </w:p>
    <w:p>
      <w:pPr>
        <w:pStyle w:val="BodyText"/>
        <w:spacing w:before="1"/>
        <w:rPr>
          <w:sz w:val="9"/>
        </w:rPr>
      </w:pPr>
      <w:r>
        <w:rPr/>
        <w:pict>
          <v:shape style="position:absolute;margin-left:57.360001pt;margin-top:7.159921pt;width:480.6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291" w:val="left" w:leader="none"/>
          <w:tab w:pos="1292" w:val="left" w:leader="none"/>
          <w:tab w:pos="2793" w:val="left" w:leader="none"/>
        </w:tabs>
        <w:spacing w:line="278" w:lineRule="auto" w:before="35" w:after="0"/>
        <w:ind w:left="2793" w:right="213" w:hanging="2558"/>
        <w:jc w:val="left"/>
        <w:rPr>
          <w:sz w:val="21"/>
        </w:rPr>
      </w:pPr>
      <w:r>
        <w:rPr>
          <w:rFonts w:ascii="黑体" w:eastAsia="黑体" w:hint="eastAsia"/>
          <w:sz w:val="21"/>
        </w:rPr>
        <w:t>保险金额</w:t>
        <w:tab/>
      </w:r>
      <w:r>
        <w:rPr>
          <w:sz w:val="21"/>
        </w:rPr>
        <w:t>本合同的保险金额按份计算，每份为人民币</w:t>
      </w:r>
      <w:r>
        <w:rPr>
          <w:spacing w:val="-64"/>
          <w:sz w:val="21"/>
        </w:rPr>
        <w:t> </w:t>
      </w:r>
      <w:r>
        <w:rPr>
          <w:sz w:val="21"/>
        </w:rPr>
        <w:t>10,000</w:t>
      </w:r>
      <w:r>
        <w:rPr>
          <w:spacing w:val="-64"/>
          <w:sz w:val="21"/>
        </w:rPr>
        <w:t> </w:t>
      </w:r>
      <w:r>
        <w:rPr>
          <w:sz w:val="21"/>
        </w:rPr>
        <w:t>元。若发生本合同约定的情形导致保险金额变更的，本合同的保险金额将相应调整。</w:t>
      </w:r>
    </w:p>
    <w:p>
      <w:pPr>
        <w:pStyle w:val="ListParagraph"/>
        <w:numPr>
          <w:ilvl w:val="1"/>
          <w:numId w:val="3"/>
        </w:numPr>
        <w:tabs>
          <w:tab w:pos="1291" w:val="left" w:leader="none"/>
          <w:tab w:pos="1292" w:val="left" w:leader="none"/>
          <w:tab w:pos="2793" w:val="left" w:leader="none"/>
        </w:tabs>
        <w:spacing w:line="240" w:lineRule="auto" w:before="153" w:after="0"/>
        <w:ind w:left="1291" w:right="0" w:hanging="1056"/>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291" w:val="left" w:leader="none"/>
          <w:tab w:pos="1292" w:val="left" w:leader="none"/>
          <w:tab w:pos="2793" w:val="left" w:leader="none"/>
        </w:tabs>
        <w:spacing w:line="280" w:lineRule="auto" w:before="1" w:after="0"/>
        <w:ind w:left="2793" w:right="212" w:hanging="2558"/>
        <w:jc w:val="left"/>
        <w:rPr>
          <w:sz w:val="21"/>
        </w:rPr>
      </w:pPr>
      <w:r>
        <w:rPr>
          <w:rFonts w:ascii="黑体" w:eastAsia="黑体" w:hint="eastAsia"/>
          <w:sz w:val="21"/>
        </w:rPr>
        <w:t>保险责任</w:t>
        <w:tab/>
      </w:r>
      <w:r>
        <w:rPr>
          <w:sz w:val="21"/>
        </w:rPr>
        <w:t>在本合同保险期间内</w:t>
      </w:r>
      <w:r>
        <w:rPr>
          <w:spacing w:val="-47"/>
          <w:sz w:val="21"/>
        </w:rPr>
        <w:t>，</w:t>
      </w:r>
      <w:r>
        <w:rPr>
          <w:sz w:val="21"/>
        </w:rPr>
        <w:t>且本合同有效的前提下</w:t>
      </w:r>
      <w:r>
        <w:rPr>
          <w:spacing w:val="-47"/>
          <w:sz w:val="21"/>
        </w:rPr>
        <w:t>，</w:t>
      </w:r>
      <w:r>
        <w:rPr>
          <w:sz w:val="21"/>
        </w:rPr>
        <w:t>我们按以下约定承担保险责任：</w:t>
      </w:r>
    </w:p>
    <w:p>
      <w:pPr>
        <w:pStyle w:val="BodyText"/>
        <w:spacing w:before="11"/>
        <w:rPr>
          <w:sz w:val="8"/>
        </w:rPr>
      </w:pPr>
    </w:p>
    <w:p>
      <w:pPr>
        <w:spacing w:after="0"/>
        <w:rPr>
          <w:sz w:val="8"/>
        </w:rPr>
        <w:sectPr>
          <w:type w:val="continuous"/>
          <w:pgSz w:w="11910" w:h="16840"/>
          <w:pgMar w:top="1280" w:bottom="280" w:left="1020" w:right="1040"/>
        </w:sectPr>
      </w:pPr>
    </w:p>
    <w:p>
      <w:pPr>
        <w:pStyle w:val="BodyText"/>
        <w:spacing w:line="280" w:lineRule="auto" w:before="36"/>
        <w:ind w:left="1291"/>
        <w:rPr>
          <w:rFonts w:ascii="黑体" w:eastAsia="黑体" w:hint="eastAsia"/>
        </w:rPr>
      </w:pPr>
      <w:r>
        <w:rPr>
          <w:rFonts w:ascii="黑体" w:eastAsia="黑体" w:hint="eastAsia"/>
        </w:rPr>
        <w:t>身故保险金或全残保险金</w:t>
      </w:r>
    </w:p>
    <w:p>
      <w:pPr>
        <w:pStyle w:val="BodyText"/>
        <w:spacing w:line="336" w:lineRule="exact" w:before="0"/>
        <w:ind w:left="486" w:hanging="316"/>
      </w:pPr>
      <w:r>
        <w:rPr/>
        <w:br w:type="column"/>
      </w:r>
      <w:r>
        <w:rPr/>
        <w:t>(1)若被保险人因遭受</w:t>
      </w:r>
      <w:r>
        <w:rPr>
          <w:rFonts w:ascii="微软雅黑" w:eastAsia="微软雅黑" w:hint="eastAsia"/>
          <w:b/>
        </w:rPr>
        <w:t>意外伤害</w:t>
      </w:r>
      <w:r>
        <w:rPr/>
        <w:t>导致身故或</w:t>
      </w:r>
      <w:r>
        <w:rPr>
          <w:rFonts w:ascii="微软雅黑" w:eastAsia="微软雅黑" w:hint="eastAsia"/>
          <w:b/>
        </w:rPr>
        <w:t>全残</w:t>
      </w:r>
      <w:r>
        <w:rPr/>
        <w:t>，或在本合同生效或最后一</w:t>
      </w:r>
    </w:p>
    <w:p>
      <w:pPr>
        <w:pStyle w:val="BodyText"/>
        <w:spacing w:line="278" w:lineRule="auto" w:before="20"/>
        <w:ind w:left="486" w:right="211"/>
      </w:pPr>
      <w:r>
        <w:rPr/>
        <w:t>次复效（以较迟者为准）</w:t>
      </w:r>
      <w:r>
        <w:rPr>
          <w:spacing w:val="-12"/>
        </w:rPr>
        <w:t>之日起 </w:t>
      </w:r>
      <w:r>
        <w:rPr/>
        <w:t>180</w:t>
      </w:r>
      <w:r>
        <w:rPr>
          <w:spacing w:val="-7"/>
        </w:rPr>
        <w:t> 日后因意外伤害以外的原因导致身故或全残：</w:t>
      </w:r>
    </w:p>
    <w:p>
      <w:pPr>
        <w:pStyle w:val="BodyText"/>
        <w:spacing w:line="280" w:lineRule="auto" w:before="12"/>
        <w:ind w:left="486" w:right="212"/>
      </w:pPr>
      <w:r>
        <w:rPr>
          <w:spacing w:val="-8"/>
          <w:shd w:fill="D9D9D9" w:color="auto" w:val="clear"/>
        </w:rPr>
        <w:t>①被保险人未满 </w:t>
      </w:r>
      <w:r>
        <w:rPr>
          <w:shd w:fill="D9D9D9" w:color="auto" w:val="clear"/>
        </w:rPr>
        <w:t>18</w:t>
      </w:r>
      <w:r>
        <w:rPr>
          <w:spacing w:val="-14"/>
          <w:shd w:fill="D9D9D9" w:color="auto" w:val="clear"/>
        </w:rPr>
        <w:t> 周岁的，我们按您根据本合同约定已支付的保险费金</w:t>
      </w:r>
      <w:r>
        <w:rPr>
          <w:spacing w:val="-206"/>
          <w:shd w:fill="D9D9D9" w:color="auto" w:val="clear"/>
        </w:rPr>
        <w:t>额</w:t>
      </w:r>
      <w:r>
        <w:rPr>
          <w:shd w:fill="D9D9D9" w:color="auto" w:val="clear"/>
        </w:rPr>
        <w:t>给付身故保险金或全残保险金，本合同终止。</w:t>
      </w:r>
    </w:p>
    <w:p>
      <w:pPr>
        <w:pStyle w:val="BodyText"/>
        <w:spacing w:line="280" w:lineRule="auto" w:before="9"/>
        <w:ind w:left="486" w:right="212"/>
      </w:pPr>
      <w:r>
        <w:rPr>
          <w:spacing w:val="-8"/>
        </w:rPr>
        <w:t>②被保险人年满 </w:t>
      </w:r>
      <w:r>
        <w:rPr/>
        <w:t>18</w:t>
      </w:r>
      <w:r>
        <w:rPr>
          <w:spacing w:val="-14"/>
        </w:rPr>
        <w:t> 周岁的，我们按本合同保险金额给付身故保险金或全残保险金，本合同终止。</w:t>
      </w:r>
    </w:p>
    <w:p>
      <w:pPr>
        <w:pStyle w:val="BodyText"/>
        <w:spacing w:line="278" w:lineRule="auto" w:before="10"/>
        <w:ind w:left="486" w:right="210" w:hanging="316"/>
        <w:jc w:val="both"/>
      </w:pPr>
      <w:r>
        <w:rPr>
          <w:shd w:fill="D9D9D9" w:color="auto" w:val="clear"/>
        </w:rPr>
        <w:t>(2)若被保险人在本合同生效或最后一次复效（以较迟者为准）</w:t>
      </w:r>
      <w:r>
        <w:rPr>
          <w:spacing w:val="0"/>
          <w:shd w:fill="D9D9D9" w:color="auto" w:val="clear"/>
        </w:rPr>
        <w:t>之日起 </w:t>
      </w:r>
      <w:r>
        <w:rPr>
          <w:shd w:fill="D9D9D9" w:color="auto" w:val="clear"/>
        </w:rPr>
        <w:t>180 日内因意外</w:t>
      </w:r>
      <w:r>
        <w:rPr>
          <w:spacing w:val="-16"/>
          <w:shd w:fill="D9D9D9" w:color="auto" w:val="clear"/>
        </w:rPr>
        <w:t>伤害以外的原因导致身故或全残，我们按您根据本合同约定已支付的保险费金额给付身故保险金或全残保险金，本合同终止。</w:t>
      </w:r>
    </w:p>
    <w:p>
      <w:pPr>
        <w:spacing w:after="0" w:line="278" w:lineRule="auto"/>
        <w:jc w:val="both"/>
        <w:sectPr>
          <w:type w:val="continuous"/>
          <w:pgSz w:w="11910" w:h="16840"/>
          <w:pgMar w:top="1280" w:bottom="280" w:left="1020" w:right="1040"/>
          <w:cols w:num="2" w:equalWidth="0">
            <w:col w:w="2583" w:space="40"/>
            <w:col w:w="7227"/>
          </w:cols>
        </w:sectPr>
      </w:pPr>
    </w:p>
    <w:p>
      <w:pPr>
        <w:pStyle w:val="BodyText"/>
        <w:spacing w:line="278" w:lineRule="auto" w:before="8"/>
        <w:ind w:left="1171"/>
        <w:rPr>
          <w:rFonts w:ascii="黑体" w:eastAsia="黑体" w:hint="eastAsia"/>
        </w:rPr>
      </w:pPr>
      <w:r>
        <w:rPr>
          <w:rFonts w:ascii="黑体" w:eastAsia="黑体" w:hint="eastAsia"/>
        </w:rPr>
        <w:t>重大疾病保险金</w:t>
      </w:r>
    </w:p>
    <w:p>
      <w:pPr>
        <w:pStyle w:val="BodyText"/>
        <w:spacing w:line="278" w:lineRule="auto" w:before="8"/>
        <w:ind w:left="486" w:right="106" w:hanging="316"/>
      </w:pPr>
      <w:r>
        <w:rPr/>
        <w:br w:type="column"/>
      </w:r>
      <w:r>
        <w:rPr/>
        <w:t>(1)若被保险人因遭受意外伤害被确诊初次发生本合同约定的重大疾病（无</w:t>
      </w:r>
      <w:r>
        <w:rPr>
          <w:spacing w:val="-8"/>
        </w:rPr>
        <w:t>论一种或多种，下同</w:t>
      </w:r>
      <w:r>
        <w:rPr>
          <w:spacing w:val="-87"/>
        </w:rPr>
        <w:t>）</w:t>
      </w:r>
      <w:r>
        <w:rPr>
          <w:spacing w:val="-14"/>
        </w:rPr>
        <w:t>，或在本合同生效或最后一次复效</w:t>
      </w:r>
      <w:r>
        <w:rPr/>
        <w:t>（以较迟者为准） </w:t>
      </w:r>
      <w:r>
        <w:rPr>
          <w:spacing w:val="-12"/>
        </w:rPr>
        <w:t>之日起 </w:t>
      </w:r>
      <w:r>
        <w:rPr/>
        <w:t>180</w:t>
      </w:r>
      <w:r>
        <w:rPr>
          <w:spacing w:val="-7"/>
        </w:rPr>
        <w:t> 日后因意外伤害以外的原因，被确诊初次发生本合同约定的重大疾病，我们按本合同保险金额给付重大疾病保险金，本合同终止。</w:t>
      </w:r>
    </w:p>
    <w:p>
      <w:pPr>
        <w:pStyle w:val="BodyText"/>
        <w:spacing w:line="278" w:lineRule="auto" w:before="10"/>
        <w:ind w:left="486" w:right="210" w:hanging="316"/>
        <w:jc w:val="both"/>
      </w:pPr>
      <w:r>
        <w:rPr>
          <w:shd w:fill="D9D9D9" w:color="auto" w:val="clear"/>
        </w:rPr>
        <w:t>(2)若被保险人在本合同生效或最后一次复效（以较迟者为准）之日起 180 日内因意外伤害以外的原因被确诊初次发生本合同约定的重大疾病，我们按您根据本合同约定已支付的保险费金额给付重大疾病保险金，本合同终止。</w:t>
      </w:r>
    </w:p>
    <w:p>
      <w:pPr>
        <w:pStyle w:val="BodyText"/>
        <w:spacing w:line="280" w:lineRule="auto" w:before="153"/>
        <w:ind w:left="171" w:right="212"/>
      </w:pPr>
      <w:r>
        <w:rPr>
          <w:spacing w:val="-9"/>
        </w:rPr>
        <w:t>在任何情况下，身故保险金、全残保险金或重大疾病保险金不可兼得，即我们给付其中一项保险金后，不再给付其他保险金。</w:t>
      </w:r>
    </w:p>
    <w:p>
      <w:pPr>
        <w:spacing w:after="0" w:line="280" w:lineRule="auto"/>
        <w:sectPr>
          <w:pgSz w:w="11910" w:h="16840"/>
          <w:pgMar w:top="1420" w:bottom="280" w:left="1140" w:right="1040"/>
          <w:cols w:num="2" w:equalWidth="0">
            <w:col w:w="2463" w:space="40"/>
            <w:col w:w="7227"/>
          </w:cols>
        </w:sectPr>
      </w:pPr>
    </w:p>
    <w:p>
      <w:pPr>
        <w:pStyle w:val="BodyText"/>
        <w:spacing w:before="11"/>
        <w:rPr>
          <w:sz w:val="8"/>
        </w:rPr>
      </w:pPr>
    </w:p>
    <w:p>
      <w:pPr>
        <w:spacing w:after="0"/>
        <w:rPr>
          <w:sz w:val="8"/>
        </w:rPr>
        <w:sectPr>
          <w:type w:val="continuous"/>
          <w:pgSz w:w="11910" w:h="16840"/>
          <w:pgMar w:top="1280" w:bottom="280" w:left="1140" w:right="1040"/>
        </w:sectPr>
      </w:pPr>
    </w:p>
    <w:p>
      <w:pPr>
        <w:pStyle w:val="BodyText"/>
        <w:spacing w:line="280" w:lineRule="auto"/>
        <w:ind w:left="1171"/>
        <w:rPr>
          <w:rFonts w:ascii="黑体" w:eastAsia="黑体" w:hint="eastAsia"/>
        </w:rPr>
      </w:pPr>
      <w:r>
        <w:rPr/>
        <w:drawing>
          <wp:anchor distT="0" distB="0" distL="0" distR="0" allowOverlap="1" layoutInCell="1" locked="0" behindDoc="1" simplePos="0" relativeHeight="268401047">
            <wp:simplePos x="0" y="0"/>
            <wp:positionH relativeFrom="page">
              <wp:posOffset>4299151</wp:posOffset>
            </wp:positionH>
            <wp:positionV relativeFrom="paragraph">
              <wp:posOffset>685975</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01071">
            <wp:simplePos x="0" y="0"/>
            <wp:positionH relativeFrom="page">
              <wp:posOffset>4712123</wp:posOffset>
            </wp:positionH>
            <wp:positionV relativeFrom="paragraph">
              <wp:posOffset>889429</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rFonts w:ascii="黑体" w:eastAsia="黑体" w:hint="eastAsia"/>
        </w:rPr>
        <w:t>特定疾病提前给付保险金</w:t>
      </w:r>
    </w:p>
    <w:p>
      <w:pPr>
        <w:pStyle w:val="BodyText"/>
        <w:spacing w:line="278" w:lineRule="auto"/>
        <w:ind w:left="171" w:right="106"/>
      </w:pPr>
      <w:r>
        <w:rPr/>
        <w:br w:type="column"/>
      </w:r>
      <w:r>
        <w:rPr>
          <w:spacing w:val="-4"/>
        </w:rPr>
        <w:t>若被保险人因遭受意外伤害被确诊初次发生本合同约定的特定疾病</w:t>
      </w:r>
      <w:r>
        <w:rPr/>
        <w:t>（无论一种或多种，下同</w:t>
      </w:r>
      <w:r>
        <w:rPr>
          <w:spacing w:val="-105"/>
        </w:rPr>
        <w:t>）</w:t>
      </w:r>
      <w:r>
        <w:rPr/>
        <w:t>，</w:t>
      </w:r>
      <w:r>
        <w:rPr>
          <w:shd w:fill="D9D9D9" w:color="auto" w:val="clear"/>
        </w:rPr>
        <w:t>或在本合同生效或最后一次复效（以较迟者为准）之日</w:t>
      </w:r>
      <w:r>
        <w:rPr>
          <w:spacing w:val="-2"/>
          <w:shd w:fill="D9D9D9" w:color="auto" w:val="clear"/>
        </w:rPr>
        <w:t>起 </w:t>
      </w:r>
      <w:r>
        <w:rPr>
          <w:shd w:fill="D9D9D9" w:color="auto" w:val="clear"/>
        </w:rPr>
        <w:t>180</w:t>
      </w:r>
      <w:r>
        <w:rPr>
          <w:spacing w:val="-2"/>
          <w:shd w:fill="D9D9D9" w:color="auto" w:val="clear"/>
        </w:rPr>
        <w:t> 日后因意外伤害以外的原因，</w:t>
      </w:r>
      <w:r>
        <w:rPr/>
        <w:t>被确诊初次发生本合同约定的特定疾</w:t>
      </w:r>
      <w:r>
        <w:rPr>
          <w:spacing w:val="-21"/>
        </w:rPr>
        <w:t>病，</w:t>
      </w:r>
      <w:r>
        <w:rPr>
          <w:spacing w:val="-5"/>
          <w:shd w:fill="D9D9D9" w:color="auto" w:val="clear"/>
        </w:rPr>
        <w:t>我们按本合同保险金额的 </w:t>
      </w:r>
      <w:r>
        <w:rPr>
          <w:shd w:fill="D9D9D9" w:color="auto" w:val="clear"/>
        </w:rPr>
        <w:t>20</w:t>
      </w:r>
      <w:r>
        <w:rPr>
          <w:spacing w:val="-3"/>
          <w:shd w:fill="D9D9D9" w:color="auto" w:val="clear"/>
        </w:rPr>
        <w:t> 给付特定疾病提前给付保险金予重大疾病</w:t>
      </w:r>
      <w:r>
        <w:rPr>
          <w:spacing w:val="-9"/>
          <w:shd w:fill="D9D9D9" w:color="auto" w:val="clear"/>
        </w:rPr>
        <w:t>保险金受益人，若本合同保险金额的 </w:t>
      </w:r>
      <w:r>
        <w:rPr>
          <w:shd w:fill="D9D9D9" w:color="auto" w:val="clear"/>
        </w:rPr>
        <w:t>20</w:t>
      </w:r>
      <w:r>
        <w:rPr>
          <w:spacing w:val="-11"/>
          <w:shd w:fill="D9D9D9" w:color="auto" w:val="clear"/>
        </w:rPr>
        <w:t> 超过人民币 </w:t>
      </w:r>
      <w:r>
        <w:rPr>
          <w:shd w:fill="D9D9D9" w:color="auto" w:val="clear"/>
        </w:rPr>
        <w:t>100,000</w:t>
      </w:r>
      <w:r>
        <w:rPr>
          <w:spacing w:val="-13"/>
          <w:shd w:fill="D9D9D9" w:color="auto" w:val="clear"/>
        </w:rPr>
        <w:t> 元，则仅给付</w:t>
      </w:r>
      <w:r>
        <w:rPr>
          <w:spacing w:val="-24"/>
          <w:shd w:fill="D9D9D9" w:color="auto" w:val="clear"/>
        </w:rPr>
        <w:t>人民币 </w:t>
      </w:r>
      <w:r>
        <w:rPr>
          <w:shd w:fill="D9D9D9" w:color="auto" w:val="clear"/>
        </w:rPr>
        <w:t>100,000</w:t>
      </w:r>
      <w:r>
        <w:rPr>
          <w:spacing w:val="-51"/>
          <w:shd w:fill="D9D9D9" w:color="auto" w:val="clear"/>
        </w:rPr>
        <w:t> 元。</w:t>
      </w:r>
      <w:r>
        <w:rPr>
          <w:spacing w:val="-5"/>
        </w:rPr>
        <w:t>本合同特定疾病提前给付保险金给付仅限一次，给付后， 本合同继续有效，但该项责任终止，本合同的保险金额同比例下降。</w:t>
      </w:r>
    </w:p>
    <w:p>
      <w:pPr>
        <w:spacing w:after="0" w:line="278" w:lineRule="auto"/>
        <w:sectPr>
          <w:type w:val="continuous"/>
          <w:pgSz w:w="11910" w:h="16840"/>
          <w:pgMar w:top="1280" w:bottom="280" w:left="1140" w:right="1040"/>
          <w:cols w:num="2" w:equalWidth="0">
            <w:col w:w="2463" w:space="40"/>
            <w:col w:w="7227"/>
          </w:cols>
        </w:sectPr>
      </w:pPr>
    </w:p>
    <w:p>
      <w:pPr>
        <w:pStyle w:val="BodyText"/>
        <w:spacing w:before="0"/>
        <w:rPr>
          <w:sz w:val="9"/>
        </w:rPr>
      </w:pPr>
    </w:p>
    <w:p>
      <w:pPr>
        <w:pStyle w:val="ListParagraph"/>
        <w:numPr>
          <w:ilvl w:val="1"/>
          <w:numId w:val="3"/>
        </w:numPr>
        <w:tabs>
          <w:tab w:pos="1171" w:val="left" w:leader="none"/>
          <w:tab w:pos="1172" w:val="left" w:leader="none"/>
          <w:tab w:pos="2673" w:val="left" w:leader="none"/>
        </w:tabs>
        <w:spacing w:line="280" w:lineRule="auto" w:before="35" w:after="0"/>
        <w:ind w:left="2673" w:right="212" w:hanging="2558"/>
        <w:jc w:val="left"/>
        <w:rPr>
          <w:sz w:val="21"/>
        </w:rPr>
      </w:pPr>
      <w:r>
        <w:rPr>
          <w:rFonts w:ascii="黑体" w:eastAsia="黑体" w:hint="eastAsia"/>
          <w:sz w:val="21"/>
        </w:rPr>
        <w:t>责任免除</w:t>
        <w:tab/>
      </w:r>
      <w:r>
        <w:rPr>
          <w:spacing w:val="-1"/>
          <w:sz w:val="21"/>
          <w:shd w:fill="D9D9D9" w:color="auto" w:val="clear"/>
        </w:rPr>
        <w:t>因下</w:t>
      </w:r>
      <w:r>
        <w:rPr>
          <w:sz w:val="21"/>
          <w:shd w:fill="D9D9D9" w:color="auto" w:val="clear"/>
        </w:rPr>
        <w:t>列情形之一导致被保险人身故或全残的</w:t>
      </w:r>
      <w:r>
        <w:rPr>
          <w:spacing w:val="-93"/>
          <w:sz w:val="21"/>
          <w:shd w:fill="D9D9D9" w:color="auto" w:val="clear"/>
        </w:rPr>
        <w:t>，</w:t>
      </w:r>
      <w:r>
        <w:rPr>
          <w:sz w:val="21"/>
          <w:shd w:fill="D9D9D9" w:color="auto" w:val="clear"/>
        </w:rPr>
        <w:t>我们不承担给付身故或全残保险金的责任：</w:t>
      </w:r>
    </w:p>
    <w:p>
      <w:pPr>
        <w:pStyle w:val="BodyText"/>
        <w:spacing w:line="280" w:lineRule="auto" w:before="8"/>
        <w:ind w:left="2673" w:right="1801"/>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(2)被保险人故意犯罪或抗拒依法采取的刑事强制措施； </w:t>
      </w:r>
    </w:p>
    <w:p>
      <w:pPr>
        <w:pStyle w:val="BodyText"/>
        <w:spacing w:line="278" w:lineRule="auto" w:before="9"/>
        <w:ind w:left="2989" w:right="212" w:hanging="316"/>
      </w:pPr>
      <w:r>
        <w:rPr>
          <w:shd w:fill="D9D9D9" w:color="auto" w:val="clear"/>
        </w:rPr>
        <w:t>(3)</w:t>
      </w:r>
      <w:r>
        <w:rPr>
          <w:spacing w:val="-3"/>
          <w:shd w:fill="D9D9D9" w:color="auto" w:val="clear"/>
        </w:rPr>
        <w:t>被保险人自本合同成立或合同效力恢复之日起 </w:t>
      </w:r>
      <w:r>
        <w:rPr>
          <w:shd w:fill="D9D9D9" w:color="auto" w:val="clear"/>
        </w:rPr>
        <w:t>2</w:t>
      </w:r>
      <w:r>
        <w:rPr>
          <w:spacing w:val="-8"/>
          <w:shd w:fill="D9D9D9" w:color="auto" w:val="clear"/>
        </w:rPr>
        <w:t> 年内自杀，但被保险人自杀时为无民事行为能力人的除外；</w:t>
      </w:r>
    </w:p>
    <w:p>
      <w:pPr>
        <w:pStyle w:val="BodyText"/>
        <w:spacing w:line="291" w:lineRule="exact" w:before="0"/>
        <w:ind w:left="2673"/>
      </w:pPr>
      <w:r>
        <w:rPr>
          <w:shd w:fill="D9D9D9" w:color="auto" w:val="clear"/>
        </w:rPr>
        <w:t>(4)被保险人主动吸食或注射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2989" w:right="213" w:hanging="316"/>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280" w:lineRule="auto" w:before="20"/>
        <w:ind w:left="2673" w:right="3374"/>
      </w:pPr>
      <w:r>
        <w:rPr>
          <w:shd w:fill="D9D9D9" w:color="auto" w:val="clear"/>
        </w:rPr>
        <w:t>(6)战争、军事冲突、暴乱或武装叛乱；</w:t>
      </w:r>
      <w:r>
        <w:rPr/>
        <w:t> </w:t>
      </w:r>
      <w:r>
        <w:rPr>
          <w:shd w:fill="D9D9D9" w:color="auto" w:val="clear"/>
        </w:rPr>
        <w:t>(7)核爆炸、核辐射或核污染。</w:t>
      </w:r>
    </w:p>
    <w:p>
      <w:pPr>
        <w:pStyle w:val="BodyText"/>
        <w:spacing w:line="280" w:lineRule="auto" w:before="8"/>
        <w:ind w:left="2673" w:right="212"/>
      </w:pPr>
      <w:r>
        <w:rPr>
          <w:shd w:fill="D9D9D9" w:color="auto" w:val="clear"/>
        </w:rPr>
        <w:t>发生上述第(1)</w:t>
      </w:r>
      <w:r>
        <w:rPr>
          <w:spacing w:val="-3"/>
          <w:shd w:fill="D9D9D9" w:color="auto" w:val="clear"/>
        </w:rPr>
        <w:t>项情形导致被保险人身故的，本合同终止，您已交足 </w:t>
      </w:r>
      <w:r>
        <w:rPr>
          <w:shd w:fill="D9D9D9" w:color="auto" w:val="clear"/>
        </w:rPr>
        <w:t>2</w:t>
      </w:r>
      <w:r>
        <w:rPr>
          <w:spacing w:val="-21"/>
          <w:shd w:fill="D9D9D9" w:color="auto" w:val="clear"/>
        </w:rPr>
        <w:t> 年以</w:t>
      </w:r>
      <w:r>
        <w:rPr>
          <w:spacing w:val="-187"/>
          <w:shd w:fill="D9D9D9" w:color="auto" w:val="clear"/>
        </w:rPr>
        <w:t>上</w:t>
      </w:r>
      <w:r>
        <w:rPr>
          <w:shd w:fill="D9D9D9" w:color="auto" w:val="clear"/>
        </w:rPr>
        <w:t>保险费的，我们向被保险人的继承人退还本合同保险单的现金价值。</w:t>
      </w:r>
    </w:p>
    <w:p>
      <w:pPr>
        <w:pStyle w:val="BodyText"/>
        <w:spacing w:line="278" w:lineRule="auto" w:before="9"/>
        <w:ind w:left="2673" w:right="212"/>
      </w:pPr>
      <w:r>
        <w:rPr>
          <w:shd w:fill="D9D9D9" w:color="auto" w:val="clear"/>
        </w:rPr>
        <w:t>发生上述第(1)</w:t>
      </w:r>
      <w:r>
        <w:rPr>
          <w:spacing w:val="-3"/>
          <w:shd w:fill="D9D9D9" w:color="auto" w:val="clear"/>
        </w:rPr>
        <w:t>项情形导致被保险人全残的，本合同终止，您已交足 </w:t>
      </w:r>
      <w:r>
        <w:rPr>
          <w:shd w:fill="D9D9D9" w:color="auto" w:val="clear"/>
        </w:rPr>
        <w:t>2</w:t>
      </w:r>
      <w:r>
        <w:rPr>
          <w:spacing w:val="-20"/>
          <w:shd w:fill="D9D9D9" w:color="auto" w:val="clear"/>
        </w:rPr>
        <w:t> 年以上保险费的，我们向被保险人退还本合同保险单的现金价值。</w:t>
      </w:r>
    </w:p>
    <w:p>
      <w:pPr>
        <w:pStyle w:val="BodyText"/>
        <w:spacing w:line="280" w:lineRule="auto" w:before="11"/>
        <w:ind w:left="2673" w:right="212"/>
      </w:pPr>
      <w:r>
        <w:rPr>
          <w:spacing w:val="-5"/>
          <w:shd w:fill="D9D9D9" w:color="auto" w:val="clear"/>
        </w:rPr>
        <w:t>发生上述其他情形导致被保险人身故或全残的，本合同终止，我们向您退还本合同保险单的现金价值。</w:t>
      </w:r>
    </w:p>
    <w:p>
      <w:pPr>
        <w:pStyle w:val="BodyText"/>
        <w:spacing w:line="278" w:lineRule="auto" w:before="8"/>
        <w:ind w:left="2673" w:right="212"/>
      </w:pPr>
      <w:r>
        <w:rPr>
          <w:spacing w:val="-7"/>
          <w:shd w:fill="D9D9D9" w:color="auto" w:val="clear"/>
        </w:rPr>
        <w:t>因下列情形之一，导致被保险人发生疾病、达到疾病状态或进行手术的，我</w:t>
      </w:r>
      <w:r>
        <w:rPr>
          <w:spacing w:val="-210"/>
          <w:shd w:fill="D9D9D9" w:color="auto" w:val="clear"/>
        </w:rPr>
        <w:t>们</w:t>
      </w:r>
      <w:r>
        <w:rPr>
          <w:shd w:fill="D9D9D9" w:color="auto" w:val="clear"/>
        </w:rPr>
        <w:t>不承担重大疾病保险金、特定疾病提前给付保险金的给付责任：</w:t>
      </w:r>
      <w:r>
        <w:rPr/>
        <w:t> </w:t>
      </w:r>
      <w:r>
        <w:rPr>
          <w:shd w:fill="D9D9D9" w:color="auto" w:val="clear"/>
        </w:rPr>
        <w:t>(1)投保人对被保险人的故意杀害、故意伤害；</w:t>
      </w:r>
      <w:r>
        <w:rPr/>
        <w:t> </w:t>
      </w:r>
      <w:r>
        <w:rPr>
          <w:shd w:fill="D9D9D9" w:color="auto" w:val="clear"/>
        </w:rPr>
        <w:t>(2)被保险人故意自伤、故意犯罪或抗拒依法采取的刑事强制措施；</w:t>
      </w:r>
      <w:r>
        <w:rPr/>
        <w:t> </w:t>
      </w:r>
      <w:r>
        <w:rPr>
          <w:shd w:fill="D9D9D9" w:color="auto" w:val="clear"/>
        </w:rPr>
        <w:t>(3)被保险人主动吸食或注射毒品；</w:t>
      </w:r>
    </w:p>
    <w:p>
      <w:pPr>
        <w:pStyle w:val="BodyText"/>
        <w:spacing w:line="278" w:lineRule="auto" w:before="12"/>
        <w:ind w:left="2989" w:right="286" w:hanging="316"/>
      </w:pPr>
      <w:r>
        <w:rPr>
          <w:spacing w:val="-1"/>
          <w:shd w:fill="D9D9D9" w:color="auto" w:val="clear"/>
        </w:rPr>
        <w:t>(4)</w:t>
      </w:r>
      <w:r>
        <w:rPr>
          <w:spacing w:val="-7"/>
          <w:shd w:fill="D9D9D9" w:color="auto" w:val="clear"/>
        </w:rPr>
        <w:t>被保险人酒后驾驶，无合法有效驾驶证驾驶，或驾驶无有效行驶证的机动车；</w:t>
      </w:r>
    </w:p>
    <w:p>
      <w:pPr>
        <w:spacing w:line="312" w:lineRule="exact" w:before="0"/>
        <w:ind w:left="2673" w:right="0" w:firstLine="0"/>
        <w:jc w:val="left"/>
        <w:rPr>
          <w:sz w:val="21"/>
        </w:rPr>
      </w:pPr>
      <w:r>
        <w:rPr>
          <w:sz w:val="21"/>
          <w:shd w:fill="D9D9D9" w:color="auto" w:val="clear"/>
        </w:rPr>
        <w:t>(5)被保险人</w:t>
      </w:r>
      <w:r>
        <w:rPr>
          <w:rFonts w:ascii="微软雅黑" w:hAnsi="微软雅黑" w:eastAsia="微软雅黑" w:hint="eastAsia"/>
          <w:b/>
          <w:sz w:val="21"/>
          <w:shd w:fill="D9D9D9" w:color="auto" w:val="clear"/>
        </w:rPr>
        <w:t>感染艾滋病病毒或患艾滋病</w:t>
      </w:r>
      <w:r>
        <w:rPr>
          <w:sz w:val="21"/>
          <w:shd w:fill="D9D9D9" w:color="auto" w:val="clear"/>
        </w:rPr>
        <w:t>，但若属于本合同所保障的“经输</w:t>
      </w:r>
    </w:p>
    <w:p>
      <w:pPr>
        <w:spacing w:after="0" w:line="312" w:lineRule="exact"/>
        <w:jc w:val="left"/>
        <w:rPr>
          <w:sz w:val="21"/>
        </w:rPr>
        <w:sectPr>
          <w:type w:val="continuous"/>
          <w:pgSz w:w="11910" w:h="16840"/>
          <w:pgMar w:top="1280" w:bottom="280" w:left="1140" w:right="1040"/>
        </w:sectPr>
      </w:pPr>
    </w:p>
    <w:p>
      <w:pPr>
        <w:pStyle w:val="BodyText"/>
        <w:spacing w:before="8" w:after="31"/>
        <w:ind w:left="3089"/>
      </w:pPr>
      <w:r>
        <w:rPr>
          <w:spacing w:val="-1"/>
          <w:shd w:fill="D9D9D9" w:color="auto" w:val="clear"/>
        </w:rPr>
        <w:t>血导致的人类免疫缺陷病毒（HIV）</w:t>
      </w:r>
      <w:r>
        <w:rPr>
          <w:spacing w:val="-13"/>
          <w:shd w:fill="D9D9D9" w:color="auto" w:val="clear"/>
        </w:rPr>
        <w:t>感染”，则不在此限；</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767"/>
        <w:gridCol w:w="7051"/>
      </w:tblGrid>
      <w:tr>
        <w:trPr>
          <w:trHeight w:val="2704" w:hRule="atLeast"/>
        </w:trPr>
        <w:tc>
          <w:tcPr>
            <w:tcW w:w="2561" w:type="dxa"/>
            <w:gridSpan w:val="2"/>
          </w:tcPr>
          <w:p>
            <w:pPr>
              <w:pStyle w:val="TableParagraph"/>
              <w:spacing w:before="0"/>
              <w:ind w:left="0"/>
              <w:rPr>
                <w:rFonts w:ascii="Times New Roman"/>
                <w:sz w:val="20"/>
              </w:rPr>
            </w:pPr>
          </w:p>
        </w:tc>
        <w:tc>
          <w:tcPr>
            <w:tcW w:w="7051" w:type="dxa"/>
          </w:tcPr>
          <w:p>
            <w:pPr>
              <w:pStyle w:val="TableParagraph"/>
              <w:spacing w:line="280" w:lineRule="auto" w:before="12"/>
              <w:ind w:left="105" w:right="3251"/>
              <w:rPr>
                <w:sz w:val="21"/>
              </w:rPr>
            </w:pPr>
            <w:r>
              <w:rPr>
                <w:sz w:val="21"/>
                <w:shd w:fill="D9D9D9" w:color="auto" w:val="clear"/>
              </w:rPr>
              <w:t>(6)战争、军事冲突、暴乱或武装叛乱；</w:t>
            </w:r>
            <w:r>
              <w:rPr>
                <w:sz w:val="21"/>
              </w:rPr>
              <w:t> </w:t>
            </w:r>
            <w:r>
              <w:rPr>
                <w:sz w:val="21"/>
                <w:shd w:fill="D9D9D9" w:color="auto" w:val="clear"/>
              </w:rPr>
              <w:t>(7)核爆炸、核辐射或核污染；</w:t>
            </w:r>
          </w:p>
          <w:p>
            <w:pPr>
              <w:pStyle w:val="TableParagraph"/>
              <w:spacing w:line="310" w:lineRule="exact" w:before="0"/>
              <w:ind w:left="105"/>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TableParagraph"/>
              <w:spacing w:line="280" w:lineRule="auto" w:before="19"/>
              <w:ind w:left="105" w:right="105"/>
              <w:jc w:val="both"/>
              <w:rPr>
                <w:sz w:val="21"/>
              </w:rPr>
            </w:pPr>
            <w:r>
              <w:rPr>
                <w:sz w:val="21"/>
                <w:shd w:fill="D9D9D9" w:color="auto" w:val="clear"/>
              </w:rPr>
              <w:t>因上述第(1)项情形导致被保险人被确诊发生本合同约定的重大疾病的，本</w:t>
            </w:r>
            <w:r>
              <w:rPr>
                <w:spacing w:val="-12"/>
                <w:sz w:val="21"/>
                <w:shd w:fill="D9D9D9" w:color="auto" w:val="clear"/>
              </w:rPr>
              <w:t>合同终止，您已交足 </w:t>
            </w:r>
            <w:r>
              <w:rPr>
                <w:sz w:val="21"/>
                <w:shd w:fill="D9D9D9" w:color="auto" w:val="clear"/>
              </w:rPr>
              <w:t>2</w:t>
            </w:r>
            <w:r>
              <w:rPr>
                <w:spacing w:val="-11"/>
                <w:sz w:val="21"/>
                <w:shd w:fill="D9D9D9" w:color="auto" w:val="clear"/>
              </w:rPr>
              <w:t> 年以上保险费的，我们向被保险人退还本合同保险单</w:t>
            </w:r>
            <w:r>
              <w:rPr>
                <w:spacing w:val="-210"/>
                <w:sz w:val="21"/>
                <w:shd w:fill="D9D9D9" w:color="auto" w:val="clear"/>
              </w:rPr>
              <w:t>的</w:t>
            </w:r>
            <w:r>
              <w:rPr>
                <w:sz w:val="21"/>
                <w:shd w:fill="D9D9D9" w:color="auto" w:val="clear"/>
              </w:rPr>
              <w:t>现金价值。</w:t>
            </w:r>
          </w:p>
          <w:p>
            <w:pPr>
              <w:pStyle w:val="TableParagraph"/>
              <w:spacing w:line="280" w:lineRule="auto" w:before="8"/>
              <w:ind w:left="105" w:right="107"/>
              <w:rPr>
                <w:sz w:val="21"/>
              </w:rPr>
            </w:pPr>
            <w:r>
              <w:rPr>
                <w:spacing w:val="-4"/>
                <w:sz w:val="21"/>
                <w:shd w:fill="D9D9D9" w:color="auto" w:val="clear"/>
              </w:rPr>
              <w:t>因上述其他情形导致被保险人被确诊发生本合同约定的重大疾病的，本合同终止，我们向您退还本合同保险单的现金价值。</w:t>
            </w:r>
          </w:p>
        </w:tc>
      </w:tr>
      <w:tr>
        <w:trPr>
          <w:trHeight w:val="311" w:hRule="atLeast"/>
        </w:trPr>
        <w:tc>
          <w:tcPr>
            <w:tcW w:w="79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3．</w:t>
            </w:r>
          </w:p>
        </w:tc>
        <w:tc>
          <w:tcPr>
            <w:tcW w:w="1767" w:type="dxa"/>
            <w:shd w:val="clear" w:color="auto" w:fill="D3D3D3"/>
          </w:tcPr>
          <w:p>
            <w:pPr>
              <w:pStyle w:val="TableParagraph"/>
              <w:spacing w:before="10"/>
              <w:ind w:left="370"/>
              <w:rPr>
                <w:rFonts w:ascii="黑体" w:eastAsia="黑体" w:hint="eastAsia"/>
                <w:b/>
                <w:sz w:val="21"/>
              </w:rPr>
            </w:pPr>
            <w:r>
              <w:rPr>
                <w:rFonts w:ascii="黑体" w:eastAsia="黑体" w:hint="eastAsia"/>
                <w:b/>
                <w:w w:val="95"/>
                <w:sz w:val="21"/>
              </w:rPr>
              <w:t>保险金的申请</w:t>
            </w:r>
          </w:p>
        </w:tc>
        <w:tc>
          <w:tcPr>
            <w:tcW w:w="7051" w:type="dxa"/>
            <w:shd w:val="clear" w:color="auto" w:fill="D3D3D3"/>
          </w:tcPr>
          <w:p>
            <w:pPr>
              <w:pStyle w:val="TableParagraph"/>
              <w:spacing w:before="0"/>
              <w:ind w:left="0"/>
              <w:rPr>
                <w:rFonts w:ascii="Times New Roman"/>
                <w:sz w:val="20"/>
              </w:rPr>
            </w:pPr>
          </w:p>
        </w:tc>
      </w:tr>
      <w:tr>
        <w:trPr>
          <w:trHeight w:val="5993" w:hRule="atLeast"/>
        </w:trPr>
        <w:tc>
          <w:tcPr>
            <w:tcW w:w="794" w:type="dxa"/>
          </w:tcPr>
          <w:p>
            <w:pPr>
              <w:pStyle w:val="TableParagraph"/>
              <w:spacing w:before="152"/>
              <w:ind w:left="108"/>
              <w:rPr>
                <w:rFonts w:ascii="黑体"/>
                <w:sz w:val="21"/>
              </w:rPr>
            </w:pPr>
            <w:r>
              <w:rPr>
                <w:rFonts w:ascii="黑体"/>
                <w:sz w:val="21"/>
              </w:rPr>
              <w:t>3.1</w:t>
            </w:r>
          </w:p>
        </w:tc>
        <w:tc>
          <w:tcPr>
            <w:tcW w:w="1767" w:type="dxa"/>
          </w:tcPr>
          <w:p>
            <w:pPr>
              <w:pStyle w:val="TableParagraph"/>
              <w:spacing w:before="152"/>
              <w:ind w:left="369"/>
              <w:rPr>
                <w:rFonts w:ascii="黑体" w:eastAsia="黑体" w:hint="eastAsia"/>
                <w:sz w:val="21"/>
              </w:rPr>
            </w:pPr>
            <w:r>
              <w:rPr>
                <w:rFonts w:ascii="黑体" w:eastAsia="黑体" w:hint="eastAsia"/>
                <w:sz w:val="21"/>
              </w:rPr>
              <w:t>受益人</w:t>
            </w:r>
          </w:p>
        </w:tc>
        <w:tc>
          <w:tcPr>
            <w:tcW w:w="7051" w:type="dxa"/>
          </w:tcPr>
          <w:p>
            <w:pPr>
              <w:pStyle w:val="TableParagraph"/>
              <w:spacing w:before="152"/>
              <w:ind w:left="105"/>
              <w:rPr>
                <w:sz w:val="21"/>
              </w:rPr>
            </w:pPr>
            <w:r>
              <w:rPr>
                <w:sz w:val="21"/>
              </w:rPr>
              <w:t>您或者被保险人可以指定一人或多人为身故保险金受益人。</w:t>
            </w:r>
          </w:p>
          <w:p>
            <w:pPr>
              <w:pStyle w:val="TableParagraph"/>
              <w:spacing w:line="280" w:lineRule="auto" w:before="45"/>
              <w:ind w:left="105" w:right="107"/>
              <w:rPr>
                <w:sz w:val="21"/>
              </w:rPr>
            </w:pPr>
            <w:r>
              <w:rPr>
                <w:spacing w:val="-6"/>
                <w:sz w:val="21"/>
              </w:rPr>
              <w:t>身故保险金受益人为多人时，可以确定受益顺序和受益份额；如果没有确定份额，各受益人按照相等份额享有受益权。</w:t>
            </w:r>
          </w:p>
          <w:p>
            <w:pPr>
              <w:pStyle w:val="TableParagraph"/>
              <w:spacing w:line="280" w:lineRule="auto" w:before="8"/>
              <w:ind w:left="105" w:right="107"/>
              <w:rPr>
                <w:sz w:val="21"/>
              </w:rPr>
            </w:pPr>
            <w:r>
              <w:rPr>
                <w:spacing w:val="-4"/>
                <w:sz w:val="21"/>
              </w:rPr>
              <w:t>被保险人为无民事行为能力人或限制民事行为能力人的，可以由其监护人指定受益人。</w:t>
            </w:r>
          </w:p>
          <w:p>
            <w:pPr>
              <w:pStyle w:val="TableParagraph"/>
              <w:spacing w:line="278" w:lineRule="auto" w:before="10"/>
              <w:ind w:left="105" w:right="107"/>
              <w:rPr>
                <w:sz w:val="21"/>
              </w:rPr>
            </w:pPr>
            <w:r>
              <w:rPr>
                <w:spacing w:val="-4"/>
                <w:sz w:val="21"/>
              </w:rPr>
              <w:t>您或者被保险人可以变更身故保险金受益人并书面通知我们。我们收到变更受益人的书面通知后，在保险单或其他保险凭证上批注或附贴批单。</w:t>
            </w:r>
          </w:p>
          <w:p>
            <w:pPr>
              <w:pStyle w:val="TableParagraph"/>
              <w:spacing w:before="12"/>
              <w:ind w:left="105"/>
              <w:rPr>
                <w:sz w:val="21"/>
              </w:rPr>
            </w:pPr>
            <w:r>
              <w:rPr>
                <w:sz w:val="21"/>
              </w:rPr>
              <w:t>您在指定和变更身故保险金受益人时，必须经过被保险人同意。</w:t>
            </w:r>
          </w:p>
          <w:p>
            <w:pPr>
              <w:pStyle w:val="TableParagraph"/>
              <w:spacing w:line="278" w:lineRule="auto" w:before="45"/>
              <w:ind w:left="105" w:right="107"/>
              <w:rPr>
                <w:sz w:val="21"/>
              </w:rPr>
            </w:pPr>
            <w:r>
              <w:rPr>
                <w:spacing w:val="-7"/>
                <w:sz w:val="21"/>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1"/>
              <w:ind w:left="105" w:right="107"/>
              <w:rPr>
                <w:sz w:val="21"/>
              </w:rPr>
            </w:pPr>
            <w:r>
              <w:rPr>
                <w:spacing w:val="-5"/>
                <w:sz w:val="21"/>
              </w:rPr>
              <w:t>受益人与被保险人在同一事件中身故，且不能确定身故先后顺序的，推定受益人身故在先。</w:t>
            </w:r>
          </w:p>
          <w:p>
            <w:pPr>
              <w:pStyle w:val="TableParagraph"/>
              <w:spacing w:line="280" w:lineRule="auto" w:before="8"/>
              <w:ind w:left="105" w:right="107"/>
              <w:rPr>
                <w:sz w:val="21"/>
              </w:rPr>
            </w:pPr>
            <w:r>
              <w:rPr>
                <w:spacing w:val="-7"/>
                <w:sz w:val="21"/>
              </w:rPr>
              <w:t>受益人故意造成被保险人身故、伤残、疾病的，或者故意杀害被保险人未遂的，该受益人丧失受益权。</w:t>
            </w:r>
          </w:p>
          <w:p>
            <w:pPr>
              <w:pStyle w:val="TableParagraph"/>
              <w:spacing w:before="9"/>
              <w:ind w:left="105"/>
              <w:rPr>
                <w:sz w:val="21"/>
              </w:rPr>
            </w:pPr>
            <w:r>
              <w:rPr>
                <w:sz w:val="21"/>
              </w:rPr>
              <w:t>除另有指定外，全残保险金、重大疾病保险金的受益人为被保险人本人。</w:t>
            </w:r>
          </w:p>
        </w:tc>
      </w:tr>
      <w:tr>
        <w:trPr>
          <w:trHeight w:val="2061" w:hRule="atLeast"/>
        </w:trPr>
        <w:tc>
          <w:tcPr>
            <w:tcW w:w="794" w:type="dxa"/>
          </w:tcPr>
          <w:p>
            <w:pPr>
              <w:pStyle w:val="TableParagraph"/>
              <w:ind w:left="108"/>
              <w:rPr>
                <w:rFonts w:ascii="黑体"/>
                <w:sz w:val="21"/>
              </w:rPr>
            </w:pPr>
            <w:r>
              <w:rPr>
                <w:rFonts w:ascii="黑体"/>
                <w:sz w:val="21"/>
              </w:rPr>
              <w:t>3.2</w:t>
            </w:r>
          </w:p>
        </w:tc>
        <w:tc>
          <w:tcPr>
            <w:tcW w:w="1767" w:type="dxa"/>
          </w:tcPr>
          <w:p>
            <w:pPr>
              <w:pStyle w:val="TableParagraph"/>
              <w:ind w:left="370"/>
              <w:rPr>
                <w:rFonts w:ascii="黑体" w:eastAsia="黑体" w:hint="eastAsia"/>
                <w:sz w:val="21"/>
              </w:rPr>
            </w:pPr>
            <w:r>
              <w:rPr>
                <w:rFonts w:ascii="黑体" w:eastAsia="黑体" w:hint="eastAsia"/>
                <w:sz w:val="21"/>
              </w:rPr>
              <w:t>保险事故通知</w:t>
            </w:r>
          </w:p>
        </w:tc>
        <w:tc>
          <w:tcPr>
            <w:tcW w:w="7051" w:type="dxa"/>
          </w:tcPr>
          <w:p>
            <w:pPr>
              <w:pStyle w:val="TableParagraph"/>
              <w:ind w:left="105"/>
              <w:rPr>
                <w:sz w:val="21"/>
              </w:rPr>
            </w:pPr>
            <w:r>
              <w:rPr>
                <w:sz w:val="21"/>
              </w:rPr>
              <w:t>您、被保险人或受益人知道保险事故后应当在 10 日内通知我们。</w:t>
            </w:r>
          </w:p>
          <w:p>
            <w:pPr>
              <w:pStyle w:val="TableParagraph"/>
              <w:spacing w:line="278" w:lineRule="auto" w:before="44"/>
              <w:ind w:left="105" w:right="104"/>
              <w:jc w:val="both"/>
              <w:rPr>
                <w:sz w:val="21"/>
              </w:rPr>
            </w:pPr>
            <w:r>
              <w:rPr>
                <w:spacing w:val="-9"/>
                <w:sz w:val="21"/>
                <w:shd w:fill="D9D9D9" w:color="auto" w:val="clear"/>
              </w:rPr>
              <w:t>如果您、被保险人或受益人故意或者因重大过失未及时通知，致使保险事故</w:t>
            </w:r>
            <w:r>
              <w:rPr>
                <w:spacing w:val="-210"/>
                <w:sz w:val="21"/>
                <w:shd w:fill="D9D9D9" w:color="auto" w:val="clear"/>
              </w:rPr>
              <w:t>的</w:t>
            </w:r>
            <w:r>
              <w:rPr>
                <w:spacing w:val="-9"/>
                <w:sz w:val="21"/>
                <w:shd w:fill="D9D9D9" w:color="auto" w:val="clear"/>
              </w:rPr>
              <w:t>性质、原因、损失程度等难以确定的，我们对无法确定的部分，不承担给付</w:t>
            </w:r>
            <w:r>
              <w:rPr>
                <w:spacing w:val="-21"/>
                <w:sz w:val="21"/>
                <w:shd w:fill="D9D9D9" w:color="auto" w:val="clear"/>
              </w:rPr>
              <w:t>保险金的责任，</w:t>
            </w:r>
            <w:r>
              <w:rPr>
                <w:sz w:val="21"/>
              </w:rPr>
              <w:t>但我们通过其他途径已经及时知道或者应当及时知道保险事</w:t>
            </w:r>
            <w:r>
              <w:rPr>
                <w:spacing w:val="-4"/>
                <w:sz w:val="21"/>
              </w:rPr>
              <w:t>故发生或者虽未及时通知但不影响我们确定保险事故的性质、原因、损失程度的除外。</w:t>
            </w:r>
          </w:p>
        </w:tc>
      </w:tr>
      <w:tr>
        <w:trPr>
          <w:trHeight w:val="462" w:hRule="atLeast"/>
        </w:trPr>
        <w:tc>
          <w:tcPr>
            <w:tcW w:w="794" w:type="dxa"/>
          </w:tcPr>
          <w:p>
            <w:pPr>
              <w:pStyle w:val="TableParagraph"/>
              <w:ind w:left="107"/>
              <w:rPr>
                <w:rFonts w:ascii="黑体"/>
                <w:sz w:val="21"/>
              </w:rPr>
            </w:pPr>
            <w:r>
              <w:rPr>
                <w:rFonts w:ascii="黑体"/>
                <w:sz w:val="21"/>
              </w:rPr>
              <w:t>3.3</w:t>
            </w:r>
          </w:p>
        </w:tc>
        <w:tc>
          <w:tcPr>
            <w:tcW w:w="1767" w:type="dxa"/>
          </w:tcPr>
          <w:p>
            <w:pPr>
              <w:pStyle w:val="TableParagraph"/>
              <w:ind w:left="369"/>
              <w:rPr>
                <w:rFonts w:ascii="黑体" w:eastAsia="黑体" w:hint="eastAsia"/>
                <w:sz w:val="21"/>
              </w:rPr>
            </w:pPr>
            <w:r>
              <w:rPr>
                <w:rFonts w:ascii="黑体" w:eastAsia="黑体" w:hint="eastAsia"/>
                <w:sz w:val="21"/>
              </w:rPr>
              <w:t>保险金申请</w:t>
            </w:r>
          </w:p>
        </w:tc>
        <w:tc>
          <w:tcPr>
            <w:tcW w:w="7051" w:type="dxa"/>
          </w:tcPr>
          <w:p>
            <w:pPr>
              <w:pStyle w:val="TableParagraph"/>
              <w:ind w:left="105"/>
              <w:rPr>
                <w:sz w:val="21"/>
              </w:rPr>
            </w:pPr>
            <w:r>
              <w:rPr>
                <w:sz w:val="21"/>
              </w:rPr>
              <w:t>在申请保险金时，请按照下列方式办理：</w:t>
            </w:r>
          </w:p>
        </w:tc>
      </w:tr>
      <w:tr>
        <w:trPr>
          <w:trHeight w:val="1295" w:hRule="atLeast"/>
        </w:trPr>
        <w:tc>
          <w:tcPr>
            <w:tcW w:w="794" w:type="dxa"/>
          </w:tcPr>
          <w:p>
            <w:pPr>
              <w:pStyle w:val="TableParagraph"/>
              <w:spacing w:before="0"/>
              <w:ind w:left="0"/>
              <w:rPr>
                <w:rFonts w:ascii="Times New Roman"/>
                <w:sz w:val="20"/>
              </w:rPr>
            </w:pPr>
          </w:p>
        </w:tc>
        <w:tc>
          <w:tcPr>
            <w:tcW w:w="1767" w:type="dxa"/>
          </w:tcPr>
          <w:p>
            <w:pPr>
              <w:pStyle w:val="TableParagraph"/>
              <w:spacing w:line="280" w:lineRule="auto"/>
              <w:ind w:left="369" w:right="103"/>
              <w:rPr>
                <w:rFonts w:ascii="黑体" w:eastAsia="黑体" w:hint="eastAsia"/>
                <w:sz w:val="21"/>
              </w:rPr>
            </w:pPr>
            <w:r>
              <w:rPr>
                <w:rFonts w:ascii="黑体" w:eastAsia="黑体" w:hint="eastAsia"/>
                <w:sz w:val="21"/>
              </w:rPr>
              <w:t>身故保险金申请</w:t>
            </w:r>
          </w:p>
        </w:tc>
        <w:tc>
          <w:tcPr>
            <w:tcW w:w="7051" w:type="dxa"/>
          </w:tcPr>
          <w:p>
            <w:pPr>
              <w:pStyle w:val="TableParagraph"/>
              <w:spacing w:line="280" w:lineRule="auto"/>
              <w:ind w:left="105" w:right="1466"/>
              <w:rPr>
                <w:sz w:val="21"/>
              </w:rPr>
            </w:pPr>
            <w:r>
              <w:rPr>
                <w:sz w:val="21"/>
              </w:rPr>
              <w:t>申请人须填写保险金给付申请书，并提供下列证明和资料： (1)保险合同；</w:t>
            </w:r>
          </w:p>
          <w:p>
            <w:pPr>
              <w:pStyle w:val="TableParagraph"/>
              <w:spacing w:before="8"/>
              <w:ind w:left="105"/>
              <w:rPr>
                <w:sz w:val="21"/>
              </w:rPr>
            </w:pPr>
            <w:r>
              <w:rPr>
                <w:sz w:val="21"/>
              </w:rPr>
              <w:t>(2)申请人的有效身份证件；</w:t>
            </w:r>
          </w:p>
          <w:p>
            <w:pPr>
              <w:pStyle w:val="TableParagraph"/>
              <w:spacing w:line="255" w:lineRule="exact" w:before="45"/>
              <w:ind w:left="105"/>
              <w:rPr>
                <w:sz w:val="21"/>
              </w:rPr>
            </w:pPr>
            <w:r>
              <w:rPr>
                <w:sz w:val="21"/>
              </w:rPr>
              <w:t>(3)卫生行政部门认定的医疗机构、公安部门或其他相关机构出具的被保险</w:t>
            </w:r>
          </w:p>
        </w:tc>
      </w:tr>
    </w:tbl>
    <w:p>
      <w:pPr>
        <w:pStyle w:val="BodyText"/>
        <w:spacing w:line="278" w:lineRule="auto" w:before="45"/>
        <w:ind w:left="2773" w:right="434" w:firstLine="315"/>
      </w:pPr>
      <w:r>
        <w:rPr/>
        <w:t>人的死亡证明；                                            </w:t>
      </w:r>
      <w:r>
        <w:rPr>
          <w:spacing w:val="-1"/>
        </w:rPr>
        <w:t>(4)所能提供的与确认保险事故的性质、原因等有关的其他证明和资料。</w:t>
      </w:r>
    </w:p>
    <w:p>
      <w:pPr>
        <w:spacing w:after="0" w:line="278" w:lineRule="auto"/>
        <w:sectPr>
          <w:pgSz w:w="11910" w:h="16840"/>
          <w:pgMar w:top="1420" w:bottom="280" w:left="1040" w:right="1040"/>
        </w:sectPr>
      </w:pPr>
    </w:p>
    <w:p>
      <w:pPr>
        <w:pStyle w:val="BodyText"/>
        <w:spacing w:before="8"/>
        <w:ind w:left="2773"/>
      </w:pPr>
      <w:r>
        <w:rPr/>
        <w:t>保险金作为被保险人遗产时，必须提供可证明合法继承权的相关权利文件。</w:t>
      </w:r>
    </w:p>
    <w:p>
      <w:pPr>
        <w:pStyle w:val="BodyText"/>
        <w:spacing w:before="7"/>
        <w:rPr>
          <w:sz w:val="11"/>
        </w:rPr>
      </w:pPr>
    </w:p>
    <w:p>
      <w:pPr>
        <w:spacing w:after="0"/>
        <w:rPr>
          <w:sz w:val="11"/>
        </w:rPr>
        <w:sectPr>
          <w:pgSz w:w="11910" w:h="16840"/>
          <w:pgMar w:top="1420" w:bottom="280" w:left="1040" w:right="1040"/>
        </w:sectPr>
      </w:pPr>
    </w:p>
    <w:p>
      <w:pPr>
        <w:pStyle w:val="BodyText"/>
        <w:spacing w:line="278" w:lineRule="auto"/>
        <w:ind w:left="1271"/>
        <w:rPr>
          <w:rFonts w:ascii="黑体" w:eastAsia="黑体" w:hint="eastAsia"/>
        </w:rPr>
      </w:pPr>
      <w:r>
        <w:rPr>
          <w:rFonts w:ascii="黑体" w:eastAsia="黑体" w:hint="eastAsia"/>
        </w:rPr>
        <w:t>全残保险金申请</w:t>
      </w:r>
    </w:p>
    <w:p>
      <w:pPr>
        <w:pStyle w:val="BodyText"/>
        <w:spacing w:line="278" w:lineRule="auto"/>
        <w:ind w:left="171" w:right="1576"/>
      </w:pPr>
      <w:r>
        <w:rPr/>
        <w:br w:type="column"/>
      </w:r>
      <w:r>
        <w:rPr/>
        <w:t>申请人须填写保险金给付申请书，并提供下列证明和资料： (1)保险合同；</w:t>
      </w:r>
    </w:p>
    <w:p>
      <w:pPr>
        <w:pStyle w:val="BodyText"/>
        <w:spacing w:before="11"/>
        <w:ind w:left="171"/>
      </w:pPr>
      <w:r>
        <w:rPr/>
        <w:t>(2)申请人的有效身份证件；</w:t>
      </w:r>
    </w:p>
    <w:p>
      <w:pPr>
        <w:pStyle w:val="BodyText"/>
        <w:spacing w:line="278" w:lineRule="auto" w:before="45"/>
        <w:ind w:left="486" w:right="210" w:hanging="316"/>
        <w:jc w:val="both"/>
      </w:pPr>
      <w:r>
        <w:rPr/>
        <w:t>(3)卫生行政部门认定的二级以上（含二级）医院或者由双方认可的其他医疗机构（或鉴定机构）出具的被保险人残疾程度的资料或身体残疾程度鉴定书；</w:t>
      </w:r>
    </w:p>
    <w:p>
      <w:pPr>
        <w:pStyle w:val="BodyText"/>
        <w:spacing w:line="278" w:lineRule="auto" w:before="12"/>
        <w:ind w:left="486" w:right="210" w:hanging="316"/>
        <w:jc w:val="both"/>
      </w:pPr>
      <w:r>
        <w:rPr/>
        <w:t>(4)所能提供的与确认保险事故的性质、原因、伤害程度等有关的其他证明和资料。</w:t>
      </w:r>
    </w:p>
    <w:p>
      <w:pPr>
        <w:spacing w:after="0" w:line="278" w:lineRule="auto"/>
        <w:jc w:val="both"/>
        <w:sectPr>
          <w:type w:val="continuous"/>
          <w:pgSz w:w="11910" w:h="16840"/>
          <w:pgMar w:top="1280" w:bottom="280" w:left="1040" w:right="1040"/>
          <w:cols w:num="2" w:equalWidth="0">
            <w:col w:w="2563" w:space="40"/>
            <w:col w:w="7227"/>
          </w:cols>
        </w:sectPr>
      </w:pPr>
    </w:p>
    <w:p>
      <w:pPr>
        <w:pStyle w:val="BodyText"/>
        <w:spacing w:before="0"/>
        <w:rPr>
          <w:sz w:val="9"/>
        </w:rPr>
      </w:pPr>
    </w:p>
    <w:p>
      <w:pPr>
        <w:spacing w:after="0"/>
        <w:rPr>
          <w:sz w:val="9"/>
        </w:rPr>
        <w:sectPr>
          <w:type w:val="continuous"/>
          <w:pgSz w:w="11910" w:h="16840"/>
          <w:pgMar w:top="1280" w:bottom="280" w:left="1040" w:right="1040"/>
        </w:sectPr>
      </w:pPr>
    </w:p>
    <w:p>
      <w:pPr>
        <w:pStyle w:val="BodyText"/>
        <w:spacing w:line="278" w:lineRule="auto" w:before="36"/>
        <w:ind w:left="1271"/>
        <w:jc w:val="both"/>
        <w:rPr>
          <w:rFonts w:ascii="黑体" w:eastAsia="黑体" w:hint="eastAsia"/>
        </w:rPr>
      </w:pPr>
      <w:r>
        <w:rPr>
          <w:rFonts w:ascii="黑体" w:eastAsia="黑体" w:hint="eastAsia"/>
        </w:rPr>
        <w:t>重大疾病保险金或特定疾病提前给付保险金申请</w:t>
      </w:r>
    </w:p>
    <w:p>
      <w:pPr>
        <w:pStyle w:val="BodyText"/>
        <w:spacing w:line="280" w:lineRule="auto" w:before="36"/>
        <w:ind w:left="171" w:right="1576"/>
      </w:pPr>
      <w:r>
        <w:rPr/>
        <w:br w:type="column"/>
      </w:r>
      <w:r>
        <w:rPr/>
        <w:t>申请人须填写保险金给付申请书，并提供下列证明和资料： (1)保险合同；</w:t>
      </w:r>
    </w:p>
    <w:p>
      <w:pPr>
        <w:pStyle w:val="BodyText"/>
        <w:spacing w:before="10"/>
        <w:ind w:left="171"/>
      </w:pPr>
      <w:r>
        <w:rPr/>
        <w:t>(2)申请人的有效身份证件；</w:t>
      </w:r>
    </w:p>
    <w:p>
      <w:pPr>
        <w:pStyle w:val="BodyText"/>
        <w:spacing w:line="278" w:lineRule="auto" w:before="44"/>
        <w:ind w:left="486" w:right="210"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如有必要，我们有权对被保险人</w:t>
      </w:r>
      <w:r>
        <w:rPr>
          <w:spacing w:val="-18"/>
        </w:rPr>
        <w:t>进行复检，复检费用由我们承担；</w:t>
      </w:r>
    </w:p>
    <w:p>
      <w:pPr>
        <w:pStyle w:val="BodyText"/>
        <w:spacing w:before="11"/>
        <w:ind w:left="171"/>
      </w:pPr>
      <w:r>
        <w:rPr/>
        <w:t>(4)所能提供的与确认保险事故的性质、原因等有关的其他证明和资料。</w:t>
      </w:r>
    </w:p>
    <w:p>
      <w:pPr>
        <w:pStyle w:val="BodyText"/>
        <w:spacing w:before="3"/>
        <w:rPr>
          <w:sz w:val="14"/>
        </w:rPr>
      </w:pPr>
    </w:p>
    <w:p>
      <w:pPr>
        <w:pStyle w:val="BodyText"/>
        <w:spacing w:line="278" w:lineRule="auto" w:before="0"/>
        <w:ind w:left="171" w:right="212"/>
      </w:pPr>
      <w:r>
        <w:rPr>
          <w:spacing w:val="-5"/>
        </w:rPr>
        <w:t>以上各项保险金申请的证明和资料不完整的，我们将及时一次性通知申请人补充提供有关证明和资料。</w:t>
      </w:r>
    </w:p>
    <w:p>
      <w:pPr>
        <w:spacing w:after="0" w:line="278" w:lineRule="auto"/>
        <w:sectPr>
          <w:type w:val="continuous"/>
          <w:pgSz w:w="11910" w:h="16840"/>
          <w:pgMar w:top="1280" w:bottom="280" w:left="1040" w:right="1040"/>
          <w:cols w:num="2" w:equalWidth="0">
            <w:col w:w="2563" w:space="40"/>
            <w:col w:w="7227"/>
          </w:cols>
        </w:sectPr>
      </w:pPr>
    </w:p>
    <w:p>
      <w:pPr>
        <w:pStyle w:val="BodyText"/>
        <w:spacing w:before="0"/>
        <w:rPr>
          <w:sz w:val="9"/>
        </w:rPr>
      </w:pPr>
    </w:p>
    <w:p>
      <w:pPr>
        <w:pStyle w:val="ListParagraph"/>
        <w:numPr>
          <w:ilvl w:val="1"/>
          <w:numId w:val="4"/>
        </w:numPr>
        <w:tabs>
          <w:tab w:pos="1272" w:val="left" w:leader="none"/>
        </w:tabs>
        <w:spacing w:line="242" w:lineRule="auto" w:before="35" w:after="0"/>
        <w:ind w:left="2773" w:right="210" w:hanging="2558"/>
        <w:jc w:val="both"/>
        <w:rPr>
          <w:sz w:val="21"/>
        </w:rPr>
      </w:pPr>
      <w:r>
        <w:rPr>
          <w:rFonts w:ascii="黑体" w:eastAsia="黑体" w:hint="eastAsia"/>
          <w:spacing w:val="2"/>
          <w:sz w:val="21"/>
        </w:rPr>
        <w:t>保险金给付   </w:t>
      </w:r>
      <w:r>
        <w:rPr>
          <w:spacing w:val="-6"/>
          <w:sz w:val="21"/>
        </w:rPr>
        <w:t>我们在收到保险金给付申请书及合同约定的证明和资料后，将在 </w:t>
      </w:r>
      <w:r>
        <w:rPr>
          <w:sz w:val="21"/>
        </w:rPr>
        <w:t>5</w:t>
      </w:r>
      <w:r>
        <w:rPr>
          <w:spacing w:val="-12"/>
          <w:sz w:val="21"/>
        </w:rPr>
        <w:t> 个工作日内作出核定；</w:t>
      </w:r>
      <w:r>
        <w:rPr>
          <w:rFonts w:ascii="微软雅黑" w:eastAsia="微软雅黑" w:hint="eastAsia"/>
          <w:b/>
          <w:spacing w:val="-12"/>
          <w:sz w:val="21"/>
        </w:rPr>
        <w:t>情形复杂</w:t>
      </w:r>
      <w:r>
        <w:rPr>
          <w:spacing w:val="-21"/>
          <w:sz w:val="21"/>
        </w:rPr>
        <w:t>的，在 </w:t>
      </w:r>
      <w:r>
        <w:rPr>
          <w:sz w:val="21"/>
        </w:rPr>
        <w:t>30</w:t>
      </w:r>
      <w:r>
        <w:rPr>
          <w:spacing w:val="-8"/>
          <w:sz w:val="21"/>
        </w:rPr>
        <w:t> 日内作出核定。对属于保险责任的，我们</w:t>
      </w:r>
      <w:r>
        <w:rPr>
          <w:spacing w:val="-12"/>
          <w:sz w:val="21"/>
        </w:rPr>
        <w:t>在与受益人达成给付保险金的协议后 </w:t>
      </w:r>
      <w:r>
        <w:rPr>
          <w:sz w:val="21"/>
        </w:rPr>
        <w:t>10</w:t>
      </w:r>
      <w:r>
        <w:rPr>
          <w:spacing w:val="-9"/>
          <w:sz w:val="21"/>
        </w:rPr>
        <w:t> 日内，履行给付保险金义务。</w:t>
      </w:r>
    </w:p>
    <w:p>
      <w:pPr>
        <w:pStyle w:val="BodyText"/>
        <w:spacing w:line="280" w:lineRule="auto" w:before="42"/>
        <w:ind w:left="2773" w:right="212"/>
        <w:jc w:val="both"/>
      </w:pPr>
      <w:r>
        <w:rPr>
          <w:spacing w:val="-6"/>
        </w:rPr>
        <w:t>我们未及时履行前款规定义务的，除支付保险金外，应当赔偿受益人因此受</w:t>
      </w:r>
      <w:r>
        <w:rPr>
          <w:spacing w:val="-12"/>
        </w:rPr>
        <w:t>到的损失。前述“损失”是指根据中国人民银行公布的同时期的人民币活期存款基准利率计算的利息损失。</w:t>
      </w:r>
    </w:p>
    <w:p>
      <w:pPr>
        <w:pStyle w:val="BodyText"/>
        <w:spacing w:line="280" w:lineRule="auto" w:before="8"/>
        <w:ind w:left="2773" w:right="212"/>
        <w:jc w:val="both"/>
      </w:pPr>
      <w:r>
        <w:rPr>
          <w:spacing w:val="-13"/>
        </w:rPr>
        <w:t>对不属于保险责任的，我们自作出核定之日起 </w:t>
      </w:r>
      <w:r>
        <w:rPr/>
        <w:t>3</w:t>
      </w:r>
      <w:r>
        <w:rPr>
          <w:spacing w:val="-8"/>
        </w:rPr>
        <w:t> 日内向受益人发出拒绝给付保险金通知书并说明理由。</w:t>
      </w:r>
    </w:p>
    <w:p>
      <w:pPr>
        <w:pStyle w:val="BodyText"/>
        <w:spacing w:line="278" w:lineRule="auto" w:before="9"/>
        <w:ind w:left="2773" w:right="212"/>
        <w:jc w:val="both"/>
      </w:pPr>
      <w:r>
        <w:rPr>
          <w:spacing w:val="-3"/>
        </w:rPr>
        <w:t>我们在收到保险金给付申请书及有关证明和资料之日起 </w:t>
      </w:r>
      <w:r>
        <w:rPr/>
        <w:t>60</w:t>
      </w:r>
      <w:r>
        <w:rPr>
          <w:spacing w:val="-8"/>
        </w:rPr>
        <w:t> 日内，对给付保</w:t>
      </w:r>
      <w:r>
        <w:rPr>
          <w:spacing w:val="-13"/>
        </w:rPr>
        <w:t>险金的数额不能确定的，根据已有证明和资料可以确定的数额先予支付；我们最终确定给付保险金的数额后，将支付相应的差额。</w:t>
      </w:r>
    </w:p>
    <w:p>
      <w:pPr>
        <w:pStyle w:val="ListParagraph"/>
        <w:numPr>
          <w:ilvl w:val="1"/>
          <w:numId w:val="4"/>
        </w:numPr>
        <w:tabs>
          <w:tab w:pos="1272" w:val="left" w:leader="none"/>
        </w:tabs>
        <w:spacing w:line="278" w:lineRule="auto" w:before="153" w:after="0"/>
        <w:ind w:left="2773" w:right="212" w:hanging="2558"/>
        <w:jc w:val="both"/>
        <w:rPr>
          <w:sz w:val="21"/>
        </w:rPr>
      </w:pPr>
      <w:r>
        <w:rPr>
          <w:rFonts w:ascii="黑体" w:eastAsia="黑体" w:hint="eastAsia"/>
          <w:spacing w:val="2"/>
          <w:sz w:val="21"/>
        </w:rPr>
        <w:t>宣告死亡处理 </w:t>
      </w:r>
      <w:r>
        <w:rPr>
          <w:spacing w:val="-5"/>
          <w:sz w:val="21"/>
        </w:rPr>
        <w:t>如果被保险人在本合同有效期内失踪，而且被法院宣告死亡，我们以法院判</w:t>
      </w:r>
      <w:r>
        <w:rPr>
          <w:spacing w:val="-10"/>
          <w:sz w:val="21"/>
        </w:rPr>
        <w:t>决宣告死亡之日作为被保险人的死亡时间，符合本合同约定的身故保险金给</w:t>
      </w:r>
      <w:r>
        <w:rPr>
          <w:spacing w:val="-1"/>
          <w:sz w:val="21"/>
        </w:rPr>
        <w:t>付条件的，按本合同的约定给付身故保险金，本合同终止。</w:t>
      </w:r>
    </w:p>
    <w:p>
      <w:pPr>
        <w:pStyle w:val="BodyText"/>
        <w:spacing w:line="278" w:lineRule="auto" w:before="11"/>
        <w:ind w:left="2773" w:right="212"/>
        <w:jc w:val="both"/>
      </w:pPr>
      <w:r>
        <w:rPr>
          <w:spacing w:val="-4"/>
        </w:rPr>
        <w:t>如果被保险人在宣告死亡后重新出现或者确知其没有死亡，保险金申请人应</w:t>
      </w:r>
      <w:r>
        <w:rPr>
          <w:spacing w:val="-10"/>
        </w:rPr>
        <w:t>于知道或应当知道后 </w:t>
      </w:r>
      <w:r>
        <w:rPr/>
        <w:t>30</w:t>
      </w:r>
      <w:r>
        <w:rPr>
          <w:spacing w:val="-8"/>
        </w:rPr>
        <w:t> 日内向我们退还已给付的身故保险金，本合同的效力由双方依法确定。</w:t>
      </w:r>
    </w:p>
    <w:p>
      <w:pPr>
        <w:pStyle w:val="ListParagraph"/>
        <w:numPr>
          <w:ilvl w:val="1"/>
          <w:numId w:val="4"/>
        </w:numPr>
        <w:tabs>
          <w:tab w:pos="1272" w:val="left" w:leader="none"/>
        </w:tabs>
        <w:spacing w:line="280" w:lineRule="auto" w:before="153" w:after="0"/>
        <w:ind w:left="2773" w:right="212" w:hanging="2558"/>
        <w:jc w:val="both"/>
        <w:rPr>
          <w:sz w:val="21"/>
        </w:rPr>
      </w:pPr>
      <w:r>
        <w:rPr>
          <w:rFonts w:ascii="黑体" w:eastAsia="黑体" w:hint="eastAsia"/>
          <w:spacing w:val="1"/>
          <w:sz w:val="21"/>
        </w:rPr>
        <w:t>诉讼时效     </w:t>
      </w:r>
      <w:r>
        <w:rPr>
          <w:spacing w:val="-3"/>
          <w:sz w:val="21"/>
        </w:rPr>
        <w:t>受益人向我们请求给付保险金的诉讼时效期间为 </w:t>
      </w:r>
      <w:r>
        <w:rPr>
          <w:sz w:val="21"/>
        </w:rPr>
        <w:t>2</w:t>
      </w:r>
      <w:r>
        <w:rPr>
          <w:spacing w:val="-15"/>
          <w:sz w:val="21"/>
        </w:rPr>
        <w:t> 年，自其知道或者应当知道保险事故发生之日起计算。</w:t>
      </w:r>
    </w:p>
    <w:p>
      <w:pPr>
        <w:pStyle w:val="BodyText"/>
        <w:spacing w:before="12"/>
        <w:rPr>
          <w:sz w:val="8"/>
        </w:rPr>
      </w:pPr>
      <w:r>
        <w:rPr/>
        <w:pict>
          <v:shape style="position:absolute;margin-left:57.360001pt;margin-top:7.057395pt;width:480.6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spacing w:after="0"/>
        <w:rPr>
          <w:sz w:val="8"/>
        </w:rPr>
        <w:sectPr>
          <w:type w:val="continuous"/>
          <w:pgSz w:w="11910" w:h="16840"/>
          <w:pgMar w:top="1280" w:bottom="280" w:left="1040" w:right="1040"/>
        </w:sectPr>
      </w:pPr>
    </w:p>
    <w:p>
      <w:pPr>
        <w:pStyle w:val="ListParagraph"/>
        <w:numPr>
          <w:ilvl w:val="1"/>
          <w:numId w:val="5"/>
        </w:numPr>
        <w:tabs>
          <w:tab w:pos="1272" w:val="left" w:leader="none"/>
        </w:tabs>
        <w:spacing w:line="278" w:lineRule="auto" w:before="8" w:after="0"/>
        <w:ind w:left="2773" w:right="209" w:hanging="2558"/>
        <w:jc w:val="both"/>
        <w:rPr>
          <w:sz w:val="21"/>
        </w:rPr>
      </w:pPr>
      <w:r>
        <w:rPr>
          <w:rFonts w:ascii="黑体" w:eastAsia="黑体" w:hint="eastAsia"/>
          <w:spacing w:val="3"/>
          <w:sz w:val="21"/>
        </w:rPr>
        <w:t>保险费的支付 </w:t>
      </w:r>
      <w:r>
        <w:rPr>
          <w:spacing w:val="-3"/>
          <w:sz w:val="21"/>
        </w:rPr>
        <w:t>本合同的保险费采用趸交</w:t>
      </w:r>
      <w:r>
        <w:rPr>
          <w:sz w:val="21"/>
        </w:rPr>
        <w:t>（即一次性支付</w:t>
      </w:r>
      <w:r>
        <w:rPr>
          <w:spacing w:val="-32"/>
          <w:sz w:val="21"/>
        </w:rPr>
        <w:t>）</w:t>
      </w:r>
      <w:r>
        <w:rPr>
          <w:spacing w:val="-7"/>
          <w:sz w:val="21"/>
        </w:rPr>
        <w:t>或限期年交</w:t>
      </w:r>
      <w:r>
        <w:rPr>
          <w:sz w:val="21"/>
        </w:rPr>
        <w:t>（即在约定的交费期间内每年支付一次保险费）</w:t>
      </w:r>
      <w:r>
        <w:rPr>
          <w:spacing w:val="2"/>
          <w:sz w:val="21"/>
        </w:rPr>
        <w:t>的方式支付。限期年交方式下的交费期间有 </w:t>
      </w:r>
      <w:r>
        <w:rPr>
          <w:sz w:val="21"/>
        </w:rPr>
        <w:t>5 </w:t>
      </w:r>
      <w:r>
        <w:rPr>
          <w:spacing w:val="-16"/>
          <w:sz w:val="21"/>
        </w:rPr>
        <w:t>年、</w:t>
      </w:r>
      <w:r>
        <w:rPr>
          <w:sz w:val="21"/>
        </w:rPr>
        <w:t>10</w:t>
      </w:r>
      <w:r>
        <w:rPr>
          <w:spacing w:val="-31"/>
          <w:sz w:val="21"/>
        </w:rPr>
        <w:t> 年、</w:t>
      </w:r>
      <w:r>
        <w:rPr>
          <w:sz w:val="21"/>
        </w:rPr>
        <w:t>15</w:t>
      </w:r>
      <w:r>
        <w:rPr>
          <w:spacing w:val="-30"/>
          <w:sz w:val="21"/>
        </w:rPr>
        <w:t> 年和 </w:t>
      </w:r>
      <w:r>
        <w:rPr>
          <w:sz w:val="21"/>
        </w:rPr>
        <w:t>20</w:t>
      </w:r>
      <w:r>
        <w:rPr>
          <w:spacing w:val="-10"/>
          <w:sz w:val="21"/>
        </w:rPr>
        <w:t> 年四种。交费方式和交费期间由您在投保时与我们约定，并在保险单上载明。</w:t>
      </w:r>
    </w:p>
    <w:p>
      <w:pPr>
        <w:pStyle w:val="BodyText"/>
        <w:spacing w:line="280" w:lineRule="auto" w:before="10"/>
        <w:ind w:left="2773" w:right="212"/>
      </w:pPr>
      <w:r>
        <w:rPr>
          <w:spacing w:val="-6"/>
        </w:rPr>
        <w:t>选择限期年交交费方式的，在支付首期保险费后，您应当按照约定，在每个保险费约定支付日支付其余各期的保险费。</w:t>
      </w:r>
    </w:p>
    <w:p>
      <w:pPr>
        <w:pStyle w:val="ListParagraph"/>
        <w:numPr>
          <w:ilvl w:val="1"/>
          <w:numId w:val="5"/>
        </w:numPr>
        <w:tabs>
          <w:tab w:pos="1271" w:val="left" w:leader="none"/>
        </w:tabs>
        <w:spacing w:line="278" w:lineRule="auto" w:before="151" w:after="0"/>
        <w:ind w:left="2773" w:right="212" w:hanging="2558"/>
        <w:jc w:val="both"/>
        <w:rPr>
          <w:sz w:val="21"/>
        </w:rPr>
      </w:pPr>
      <w:r>
        <w:rPr>
          <w:rFonts w:ascii="黑体" w:eastAsia="黑体" w:hint="eastAsia"/>
          <w:spacing w:val="2"/>
          <w:sz w:val="21"/>
        </w:rPr>
        <w:t>宽限期       </w:t>
      </w:r>
      <w:r>
        <w:rPr>
          <w:spacing w:val="-7"/>
          <w:sz w:val="21"/>
        </w:rPr>
        <w:t>分期支付保险费的，您支付首期保险费后，除本合同另有约定外，如果您到</w:t>
      </w:r>
      <w:r>
        <w:rPr>
          <w:spacing w:val="-10"/>
          <w:sz w:val="21"/>
        </w:rPr>
        <w:t>期未支付保险费，自保险费约定支付日的次日零时起 </w:t>
      </w:r>
      <w:r>
        <w:rPr>
          <w:sz w:val="21"/>
        </w:rPr>
        <w:t>60</w:t>
      </w:r>
      <w:r>
        <w:rPr>
          <w:spacing w:val="-9"/>
          <w:sz w:val="21"/>
        </w:rPr>
        <w:t> 日为宽限期。宽限</w:t>
      </w:r>
      <w:r>
        <w:rPr>
          <w:spacing w:val="-13"/>
          <w:sz w:val="21"/>
        </w:rPr>
        <w:t>期内发生的保险事故，我们仍会承担保险责任，但在给付保险金时会扣减您欠交的保险费。</w:t>
      </w:r>
    </w:p>
    <w:p>
      <w:pPr>
        <w:pStyle w:val="BodyText"/>
        <w:spacing w:line="278" w:lineRule="auto" w:before="11"/>
        <w:ind w:left="2773" w:right="212"/>
      </w:pPr>
      <w:r>
        <w:rPr>
          <w:spacing w:val="-4"/>
        </w:rPr>
        <w:t>如果您宽限期结束之后仍未支付保险费且未选择保险费自动垫交，则本合同自宽限期满的次日零时起效力中止。</w:t>
      </w:r>
    </w:p>
    <w:p>
      <w:pPr>
        <w:pStyle w:val="BodyText"/>
        <w:spacing w:before="0"/>
        <w:rPr>
          <w:sz w:val="9"/>
        </w:rPr>
      </w:pPr>
    </w:p>
    <w:p>
      <w:pPr>
        <w:spacing w:after="0"/>
        <w:rPr>
          <w:sz w:val="9"/>
        </w:rPr>
        <w:sectPr>
          <w:pgSz w:w="11910" w:h="16840"/>
          <w:pgMar w:top="1420" w:bottom="280" w:left="1040" w:right="1040"/>
        </w:sectPr>
      </w:pPr>
    </w:p>
    <w:p>
      <w:pPr>
        <w:pStyle w:val="ListParagraph"/>
        <w:numPr>
          <w:ilvl w:val="1"/>
          <w:numId w:val="5"/>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pacing w:val="-1"/>
          <w:sz w:val="21"/>
        </w:rPr>
        <w:t>保险费率的调整</w:t>
      </w:r>
    </w:p>
    <w:p>
      <w:pPr>
        <w:pStyle w:val="BodyText"/>
        <w:spacing w:line="280" w:lineRule="auto"/>
        <w:ind w:left="202" w:right="212"/>
        <w:jc w:val="both"/>
      </w:pPr>
      <w:r>
        <w:rPr/>
        <w:br w:type="column"/>
      </w:r>
      <w:r>
        <w:rPr>
          <w:spacing w:val="-4"/>
          <w:shd w:fill="D9D9D9" w:color="auto" w:val="clear"/>
        </w:rPr>
        <w:t>当我们厘定费率时采用的预定疾病发生率与实际疾病发生率发生偏离，足以</w:t>
      </w:r>
      <w:r>
        <w:rPr>
          <w:spacing w:val="-11"/>
          <w:shd w:fill="D9D9D9" w:color="auto" w:val="clear"/>
        </w:rPr>
        <w:t>影响保险费率水平的，我们将调整保险费率。</w:t>
      </w:r>
      <w:r>
        <w:rPr/>
        <w:t>保险费率的调整针对所有被保险人或同一投保年龄的所有被保险人。</w:t>
      </w:r>
    </w:p>
    <w:p>
      <w:pPr>
        <w:pStyle w:val="BodyText"/>
        <w:spacing w:line="280" w:lineRule="auto" w:before="8"/>
        <w:ind w:left="202" w:right="212"/>
        <w:jc w:val="both"/>
      </w:pPr>
      <w:r>
        <w:rPr>
          <w:spacing w:val="-6"/>
        </w:rPr>
        <w:t>我们进行保险费率调整后，您应按调整后的保险费率支付续期保险费，保险费率调整前您已支付的保险费不受影响。</w:t>
      </w:r>
    </w:p>
    <w:p>
      <w:pPr>
        <w:pStyle w:val="BodyText"/>
        <w:spacing w:line="278" w:lineRule="auto" w:before="9"/>
        <w:ind w:left="202" w:right="212"/>
        <w:jc w:val="both"/>
      </w:pPr>
      <w:r>
        <w:rPr>
          <w:spacing w:val="-6"/>
        </w:rPr>
        <w:t>我们调整保险费率的，将及时通知您。</w:t>
      </w:r>
      <w:r>
        <w:rPr>
          <w:spacing w:val="-3"/>
          <w:shd w:fill="D9D9D9" w:color="auto" w:val="clear"/>
        </w:rPr>
        <w:t>您不接受保险费率调整的，可按本保险条款“7.1</w:t>
      </w:r>
      <w:r>
        <w:rPr>
          <w:spacing w:val="-10"/>
          <w:shd w:fill="D9D9D9" w:color="auto" w:val="clear"/>
        </w:rPr>
        <w:t> 您解除合同的手续及风险”的约定申请解除合同。</w:t>
      </w:r>
    </w:p>
    <w:p>
      <w:pPr>
        <w:spacing w:after="0" w:line="278" w:lineRule="auto"/>
        <w:jc w:val="both"/>
        <w:sectPr>
          <w:type w:val="continuous"/>
          <w:pgSz w:w="11910" w:h="16840"/>
          <w:pgMar w:top="1280" w:bottom="280" w:left="1040" w:right="1040"/>
          <w:cols w:num="2" w:equalWidth="0">
            <w:col w:w="2531" w:space="40"/>
            <w:col w:w="7259"/>
          </w:cols>
        </w:sectPr>
      </w:pPr>
    </w:p>
    <w:p>
      <w:pPr>
        <w:pStyle w:val="BodyText"/>
        <w:spacing w:before="11" w:after="1"/>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v:shape>
        </w:pict>
      </w:r>
      <w:r>
        <w:rPr>
          <w:sz w:val="20"/>
        </w:rPr>
      </w:r>
    </w:p>
    <w:p>
      <w:pPr>
        <w:pStyle w:val="BodyText"/>
        <w:spacing w:before="8"/>
        <w:rPr>
          <w:sz w:val="7"/>
        </w:rPr>
      </w:pPr>
    </w:p>
    <w:p>
      <w:pPr>
        <w:pStyle w:val="ListParagraph"/>
        <w:numPr>
          <w:ilvl w:val="1"/>
          <w:numId w:val="6"/>
        </w:numPr>
        <w:tabs>
          <w:tab w:pos="1270" w:val="left" w:leader="none"/>
          <w:tab w:pos="1271" w:val="left" w:leader="none"/>
          <w:tab w:pos="2773" w:val="left" w:leader="none"/>
        </w:tabs>
        <w:spacing w:line="240" w:lineRule="auto" w:before="35" w:after="0"/>
        <w:ind w:left="2773" w:right="0" w:hanging="2558"/>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BodyText"/>
        <w:spacing w:before="3"/>
        <w:rPr>
          <w:sz w:val="14"/>
        </w:rPr>
      </w:pPr>
    </w:p>
    <w:p>
      <w:pPr>
        <w:pStyle w:val="ListParagraph"/>
        <w:numPr>
          <w:ilvl w:val="1"/>
          <w:numId w:val="6"/>
        </w:numPr>
        <w:tabs>
          <w:tab w:pos="1271" w:val="left" w:leader="none"/>
        </w:tabs>
        <w:spacing w:line="278" w:lineRule="auto" w:before="0" w:after="0"/>
        <w:ind w:left="2773" w:right="212" w:hanging="2558"/>
        <w:jc w:val="both"/>
        <w:rPr>
          <w:sz w:val="21"/>
        </w:rPr>
      </w:pPr>
      <w:r>
        <w:rPr>
          <w:rFonts w:ascii="黑体" w:eastAsia="黑体" w:hint="eastAsia"/>
          <w:spacing w:val="1"/>
          <w:sz w:val="21"/>
        </w:rPr>
        <w:t>效力恢复     </w:t>
      </w:r>
      <w:r>
        <w:rPr>
          <w:spacing w:val="-6"/>
          <w:sz w:val="21"/>
        </w:rPr>
        <w:t>本合同效力中止后 </w:t>
      </w:r>
      <w:r>
        <w:rPr>
          <w:sz w:val="21"/>
        </w:rPr>
        <w:t>2</w:t>
      </w:r>
      <w:r>
        <w:rPr>
          <w:spacing w:val="-8"/>
          <w:sz w:val="21"/>
        </w:rPr>
        <w:t> 年内，您可以申请恢复合同效力</w:t>
      </w:r>
      <w:r>
        <w:rPr>
          <w:sz w:val="21"/>
        </w:rPr>
        <w:t>（即复效</w:t>
      </w:r>
      <w:r>
        <w:rPr>
          <w:spacing w:val="-105"/>
          <w:sz w:val="21"/>
        </w:rPr>
        <w:t>）</w:t>
      </w:r>
      <w:r>
        <w:rPr>
          <w:sz w:val="21"/>
        </w:rPr>
        <w:t>。经我们与</w:t>
      </w:r>
      <w:r>
        <w:rPr>
          <w:spacing w:val="-8"/>
          <w:sz w:val="21"/>
        </w:rPr>
        <w:t>您协商并达成协议，自您补交保险费及相应利息的次日零时起，合同效力恢</w:t>
      </w:r>
      <w:r>
        <w:rPr>
          <w:spacing w:val="-14"/>
          <w:sz w:val="21"/>
        </w:rPr>
        <w:t>复。前述补交保险费的利息按我们参照 </w:t>
      </w:r>
      <w:r>
        <w:rPr>
          <w:sz w:val="21"/>
        </w:rPr>
        <w:t>1</w:t>
      </w:r>
      <w:r>
        <w:rPr>
          <w:spacing w:val="-8"/>
          <w:sz w:val="21"/>
        </w:rPr>
        <w:t> 年期流动资金贷款基准利率作相应浮动后宣布的利率计算。</w:t>
      </w:r>
    </w:p>
    <w:p>
      <w:pPr>
        <w:pStyle w:val="BodyText"/>
        <w:spacing w:line="280" w:lineRule="auto" w:before="10"/>
        <w:ind w:left="2773" w:right="118"/>
      </w:pPr>
      <w:r>
        <w:rPr/>
        <w:t>自本合同效力中止之日起满 2 年您和我们未达成协议的，我们有权解除合同。我们解除合同的，向您退还合同效力中止时本合同保险单的现金价值。</w:t>
      </w:r>
    </w:p>
    <w:p>
      <w:pPr>
        <w:pStyle w:val="BodyText"/>
        <w:spacing w:before="12"/>
        <w:rPr>
          <w:sz w:val="8"/>
        </w:rPr>
      </w:pPr>
      <w:r>
        <w:rPr/>
        <w:pict>
          <v:shape style="position:absolute;margin-left:57.360001pt;margin-top:7.043408pt;width:480.6pt;height:15.6pt;mso-position-horizontal-relative:page;mso-position-vertical-relative:paragraph;z-index:124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现金价值权益</w:t>
                  </w:r>
                </w:p>
              </w:txbxContent>
            </v:textbox>
            <v:fill type="solid"/>
            <w10:wrap type="topAndBottom"/>
          </v:shape>
        </w:pict>
      </w:r>
    </w:p>
    <w:p>
      <w:pPr>
        <w:pStyle w:val="BodyText"/>
        <w:spacing w:before="10"/>
        <w:rPr>
          <w:sz w:val="7"/>
        </w:rPr>
      </w:pPr>
    </w:p>
    <w:p>
      <w:pPr>
        <w:pStyle w:val="ListParagraph"/>
        <w:numPr>
          <w:ilvl w:val="1"/>
          <w:numId w:val="7"/>
        </w:numPr>
        <w:tabs>
          <w:tab w:pos="1271" w:val="left" w:leader="none"/>
        </w:tabs>
        <w:spacing w:line="278" w:lineRule="auto" w:before="35" w:after="0"/>
        <w:ind w:left="2773" w:right="212" w:hanging="2558"/>
        <w:jc w:val="both"/>
        <w:rPr>
          <w:sz w:val="21"/>
        </w:rPr>
      </w:pPr>
      <w:r>
        <w:rPr>
          <w:rFonts w:ascii="黑体" w:eastAsia="黑体" w:hint="eastAsia"/>
          <w:spacing w:val="2"/>
          <w:sz w:val="21"/>
        </w:rPr>
        <w:t>现金价值     </w:t>
      </w:r>
      <w:r>
        <w:rPr>
          <w:spacing w:val="-6"/>
          <w:sz w:val="21"/>
        </w:rPr>
        <w:t>指保险单所具有的价值，通常体现为解除合同时，根据精算原理计算的，由</w:t>
      </w:r>
      <w:r>
        <w:rPr>
          <w:spacing w:val="-12"/>
          <w:sz w:val="21"/>
        </w:rPr>
        <w:t>我们退还的那部分金额。本合同保险单的现金价值见本合同相应栏目。在本</w:t>
      </w:r>
      <w:r>
        <w:rPr>
          <w:spacing w:val="-15"/>
          <w:sz w:val="21"/>
        </w:rPr>
        <w:t>合同相应栏目所载明的现金价值是未发生提前给付情况下的现金价值，若我</w:t>
      </w:r>
      <w:r>
        <w:rPr>
          <w:spacing w:val="-19"/>
          <w:sz w:val="21"/>
        </w:rPr>
        <w:t>们已按本合同的约定提前给付过保险金，本合同保险单的现金价值将按保险金额提前给付的比例相应减少。</w:t>
      </w:r>
    </w:p>
    <w:p>
      <w:pPr>
        <w:pStyle w:val="ListParagraph"/>
        <w:numPr>
          <w:ilvl w:val="1"/>
          <w:numId w:val="7"/>
        </w:numPr>
        <w:tabs>
          <w:tab w:pos="1271" w:val="left" w:leader="none"/>
        </w:tabs>
        <w:spacing w:line="278" w:lineRule="auto" w:before="153" w:after="0"/>
        <w:ind w:left="2773" w:right="212" w:hanging="2558"/>
        <w:jc w:val="both"/>
        <w:rPr>
          <w:sz w:val="21"/>
        </w:rPr>
      </w:pPr>
      <w:r>
        <w:rPr>
          <w:rFonts w:ascii="黑体" w:eastAsia="黑体" w:hint="eastAsia"/>
          <w:spacing w:val="2"/>
          <w:sz w:val="21"/>
        </w:rPr>
        <w:t>保单贷款     </w:t>
      </w:r>
      <w:r>
        <w:rPr>
          <w:spacing w:val="-8"/>
          <w:sz w:val="21"/>
        </w:rPr>
        <w:t>在本合同有效期内，您可以申请并经我们审核同意后办理保单贷款。对于以</w:t>
      </w:r>
      <w:r>
        <w:rPr>
          <w:spacing w:val="-14"/>
          <w:sz w:val="21"/>
        </w:rPr>
        <w:t>身故为保险金给付条件的保单，您申请保单贷款必须取得被保险人的书面同</w:t>
      </w:r>
      <w:r>
        <w:rPr>
          <w:spacing w:val="8"/>
          <w:sz w:val="21"/>
        </w:rPr>
        <w:t>意。贷款金额不得超过本合同保险单的现金价值扣除各项欠款后余额的</w:t>
      </w:r>
    </w:p>
    <w:p>
      <w:pPr>
        <w:pStyle w:val="BodyText"/>
        <w:spacing w:line="280" w:lineRule="auto" w:before="11"/>
        <w:ind w:left="2773" w:right="212"/>
      </w:pPr>
      <w:r>
        <w:rPr>
          <w:spacing w:val="-12"/>
        </w:rPr>
        <w:t>80％</w:t>
      </w:r>
      <w:r>
        <w:rPr>
          <w:spacing w:val="-7"/>
        </w:rPr>
        <w:t>，每次贷款期限最长不超过 </w:t>
      </w:r>
      <w:r>
        <w:rPr/>
        <w:t>6</w:t>
      </w:r>
      <w:r>
        <w:rPr>
          <w:spacing w:val="-11"/>
        </w:rPr>
        <w:t> 个月，贷款利率按您与我们签订的贷款协议中约定的利率执行。</w:t>
      </w:r>
    </w:p>
    <w:p>
      <w:pPr>
        <w:pStyle w:val="BodyText"/>
        <w:spacing w:line="280" w:lineRule="auto" w:before="8"/>
        <w:ind w:left="2773" w:right="212"/>
      </w:pPr>
      <w:r>
        <w:rPr>
          <w:spacing w:val="-10"/>
        </w:rPr>
        <w:t>逾期未还，自贷款本金及利息加上其他各项欠款达到本合同保险单的现金价</w:t>
      </w:r>
      <w:r>
        <w:rPr>
          <w:spacing w:val="-20"/>
        </w:rPr>
        <w:t>值的当日 </w:t>
      </w:r>
      <w:r>
        <w:rPr/>
        <w:t>24</w:t>
      </w:r>
      <w:r>
        <w:rPr>
          <w:spacing w:val="-8"/>
        </w:rPr>
        <w:t> 时，本合同效力终止。</w:t>
      </w:r>
    </w:p>
    <w:p>
      <w:pPr>
        <w:spacing w:after="0" w:line="280" w:lineRule="auto"/>
        <w:sectPr>
          <w:type w:val="continuous"/>
          <w:pgSz w:w="11910" w:h="16840"/>
          <w:pgMar w:top="1280" w:bottom="280" w:left="1040" w:right="1040"/>
        </w:sectPr>
      </w:pPr>
    </w:p>
    <w:p>
      <w:pPr>
        <w:pStyle w:val="ListParagraph"/>
        <w:numPr>
          <w:ilvl w:val="1"/>
          <w:numId w:val="7"/>
        </w:numPr>
        <w:tabs>
          <w:tab w:pos="1271" w:val="left" w:leader="none"/>
          <w:tab w:pos="1272" w:val="left" w:leader="none"/>
        </w:tabs>
        <w:spacing w:line="280" w:lineRule="auto" w:before="10" w:after="0"/>
        <w:ind w:left="1271" w:right="0" w:hanging="1056"/>
        <w:jc w:val="left"/>
        <w:rPr>
          <w:rFonts w:ascii="黑体" w:eastAsia="黑体" w:hint="eastAsia"/>
          <w:sz w:val="21"/>
        </w:rPr>
      </w:pPr>
      <w:r>
        <w:rPr>
          <w:rFonts w:ascii="黑体" w:eastAsia="黑体" w:hint="eastAsia"/>
          <w:spacing w:val="-1"/>
          <w:sz w:val="21"/>
        </w:rPr>
        <w:t>保险费自动垫交</w:t>
      </w:r>
    </w:p>
    <w:p>
      <w:pPr>
        <w:pStyle w:val="BodyText"/>
        <w:spacing w:line="278" w:lineRule="auto" w:before="10"/>
        <w:ind w:left="202" w:right="212"/>
        <w:jc w:val="both"/>
      </w:pPr>
      <w:r>
        <w:rPr/>
        <w:br w:type="column"/>
      </w:r>
      <w:r>
        <w:rPr>
          <w:spacing w:val="-6"/>
        </w:rPr>
        <w:t>投保时明确选择保险费垫交方式的，分期支付的保险费在超过宽限期仍未支</w:t>
      </w:r>
      <w:r>
        <w:rPr>
          <w:spacing w:val="-11"/>
        </w:rPr>
        <w:t>付时，若本合同保险单的现金价值扣除各项欠款后的余额足以垫交当期应支</w:t>
      </w:r>
      <w:r>
        <w:rPr>
          <w:spacing w:val="-14"/>
        </w:rPr>
        <w:t>付的保险费及利息，我们将以本合同保险单的现金价值的余额垫交当期应支</w:t>
      </w:r>
      <w:r>
        <w:rPr>
          <w:spacing w:val="-15"/>
        </w:rPr>
        <w:t>付的保险费及利息，本合同继续有效；若本合同保险单的现金价值扣除各项</w:t>
      </w:r>
      <w:r>
        <w:rPr>
          <w:spacing w:val="-19"/>
        </w:rPr>
        <w:t>欠款后的余额不足以垫交当期应支付的保险费及利息，我们将折算可垫交天</w:t>
      </w:r>
      <w:r>
        <w:rPr>
          <w:spacing w:val="-11"/>
        </w:rPr>
        <w:t>数，本合同在可垫交天数内继续有效；当垫交的保险费及利息、各项欠款之</w:t>
      </w:r>
      <w:r>
        <w:rPr>
          <w:spacing w:val="-15"/>
        </w:rPr>
        <w:t>和达到本合同保险单的现金价值时，本合同中止。在保险费垫交期间，如发</w:t>
      </w:r>
      <w:r>
        <w:rPr>
          <w:spacing w:val="-17"/>
        </w:rPr>
        <w:t>生合同解除或保险金给付，我们在给付的现金价值或保险金中扣除垫交的保</w:t>
      </w:r>
      <w:r>
        <w:rPr>
          <w:spacing w:val="-16"/>
        </w:rPr>
        <w:t>险费及利息。前述垫交保险费的利息按我们参照 </w:t>
      </w:r>
      <w:r>
        <w:rPr/>
        <w:t>1</w:t>
      </w:r>
      <w:r>
        <w:rPr>
          <w:spacing w:val="-8"/>
        </w:rPr>
        <w:t> 年期流动资金贷款基准利率作相应浮动后宣布的利率计算。</w:t>
      </w:r>
    </w:p>
    <w:p>
      <w:pPr>
        <w:spacing w:after="0" w:line="278" w:lineRule="auto"/>
        <w:jc w:val="both"/>
        <w:sectPr>
          <w:pgSz w:w="11910" w:h="16840"/>
          <w:pgMar w:top="1560" w:bottom="280" w:left="1040" w:right="1040"/>
          <w:cols w:num="2" w:equalWidth="0">
            <w:col w:w="2531" w:space="40"/>
            <w:col w:w="7259"/>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t>合同解除</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40" w:right="1040"/>
        </w:sectPr>
      </w:pPr>
    </w:p>
    <w:p>
      <w:pPr>
        <w:pStyle w:val="BodyText"/>
        <w:tabs>
          <w:tab w:pos="1271" w:val="left" w:leader="none"/>
        </w:tabs>
        <w:spacing w:line="280" w:lineRule="auto"/>
        <w:ind w:left="1271" w:hanging="1057"/>
        <w:rPr>
          <w:rFonts w:ascii="黑体" w:eastAsia="黑体" w:hint="eastAsia"/>
        </w:rPr>
      </w:pPr>
      <w:r>
        <w:rPr>
          <w:rFonts w:ascii="黑体" w:eastAsia="黑体" w:hint="eastAsia"/>
        </w:rPr>
        <w:t>7.1</w:t>
        <w:tab/>
        <w:t>您解除合同的手续及风险</w:t>
      </w:r>
    </w:p>
    <w:p>
      <w:pPr>
        <w:pStyle w:val="BodyText"/>
        <w:spacing w:line="280" w:lineRule="auto"/>
        <w:ind w:left="202" w:right="212"/>
      </w:pPr>
      <w:r>
        <w:rPr/>
        <w:br w:type="column"/>
      </w:r>
      <w:r>
        <w:rPr>
          <w:spacing w:val="-7"/>
        </w:rPr>
        <w:t>如您在犹豫期后申请解除本合同，请填写解除合同申请书并向我们提供下列资料：</w:t>
      </w:r>
    </w:p>
    <w:p>
      <w:pPr>
        <w:pStyle w:val="BodyText"/>
        <w:spacing w:line="278" w:lineRule="auto" w:before="9"/>
        <w:ind w:left="202" w:right="4844"/>
      </w:pPr>
      <w:r>
        <w:rPr/>
        <w:t>(1)保险合同；      </w:t>
      </w:r>
      <w:r>
        <w:rPr>
          <w:spacing w:val="-1"/>
        </w:rPr>
        <w:t>(2)您的有效身份证件。</w:t>
      </w:r>
    </w:p>
    <w:p>
      <w:pPr>
        <w:pStyle w:val="BodyText"/>
        <w:spacing w:line="280" w:lineRule="auto" w:before="11"/>
        <w:ind w:left="202" w:right="212"/>
      </w:pPr>
      <w:r>
        <w:rPr>
          <w:spacing w:val="-7"/>
        </w:rPr>
        <w:t>自我们收到解除合同申请书时起，本合同终止。我们自收到解除合同申请书</w:t>
      </w:r>
      <w:r>
        <w:rPr>
          <w:spacing w:val="-22"/>
        </w:rPr>
        <w:t>之日起 </w:t>
      </w:r>
      <w:r>
        <w:rPr/>
        <w:t>30</w:t>
      </w:r>
      <w:r>
        <w:rPr>
          <w:spacing w:val="-9"/>
        </w:rPr>
        <w:t> 日内向您退还本合同保险单的现金价值。</w:t>
      </w:r>
    </w:p>
    <w:p>
      <w:pPr>
        <w:pStyle w:val="BodyText"/>
        <w:spacing w:before="8"/>
        <w:ind w:left="202"/>
      </w:pPr>
      <w:r>
        <w:rPr>
          <w:shd w:fill="D9D9D9" w:color="auto" w:val="clear"/>
        </w:rPr>
        <w:t>您犹豫期后解除合同会遭受一定损失。</w:t>
      </w:r>
    </w:p>
    <w:p>
      <w:pPr>
        <w:spacing w:after="0"/>
        <w:sectPr>
          <w:type w:val="continuous"/>
          <w:pgSz w:w="11910" w:h="16840"/>
          <w:pgMar w:top="1280" w:bottom="280" w:left="1040" w:right="1040"/>
          <w:cols w:num="2" w:equalWidth="0">
            <w:col w:w="2532" w:space="40"/>
            <w:col w:w="7258"/>
          </w:cols>
        </w:sectPr>
      </w:pPr>
    </w:p>
    <w:p>
      <w:pPr>
        <w:pStyle w:val="BodyText"/>
        <w:spacing w:before="6"/>
        <w:rPr>
          <w:sz w:val="13"/>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v:shape>
        </w:pict>
      </w:r>
      <w:r>
        <w:rPr>
          <w:sz w:val="20"/>
        </w:rPr>
      </w:r>
    </w:p>
    <w:p>
      <w:pPr>
        <w:pStyle w:val="BodyText"/>
        <w:spacing w:before="8"/>
        <w:rPr>
          <w:sz w:val="7"/>
        </w:rPr>
      </w:pPr>
    </w:p>
    <w:p>
      <w:pPr>
        <w:spacing w:after="0"/>
        <w:rPr>
          <w:sz w:val="7"/>
        </w:rPr>
        <w:sectPr>
          <w:type w:val="continuous"/>
          <w:pgSz w:w="11910" w:h="16840"/>
          <w:pgMar w:top="1280" w:bottom="280" w:left="1040" w:right="1040"/>
        </w:sectPr>
      </w:pPr>
    </w:p>
    <w:p>
      <w:pPr>
        <w:pStyle w:val="ListParagraph"/>
        <w:numPr>
          <w:ilvl w:val="1"/>
          <w:numId w:val="8"/>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ind w:left="202"/>
      </w:pPr>
      <w:r>
        <w:rPr/>
        <w:br w:type="column"/>
      </w:r>
      <w:r>
        <w:rPr/>
        <w:t>订立本合同时，我们应向您说明本合同的内容。</w:t>
      </w:r>
    </w:p>
    <w:p>
      <w:pPr>
        <w:pStyle w:val="BodyText"/>
        <w:spacing w:line="278" w:lineRule="auto" w:before="44"/>
        <w:ind w:left="202" w:right="212"/>
        <w:jc w:val="both"/>
      </w:pPr>
      <w:r>
        <w:rPr>
          <w:spacing w:val="-5"/>
        </w:rPr>
        <w:t>对保险条款中免除我们责任的条款，我们在订立合同时应当在投保单、保险</w:t>
      </w:r>
      <w:r>
        <w:rPr>
          <w:spacing w:val="-9"/>
        </w:rPr>
        <w:t>单或者其他保险凭证上作出足以引起您注意的提示，并对该条款的内容以书</w:t>
      </w:r>
      <w:r>
        <w:rPr>
          <w:spacing w:val="-14"/>
        </w:rPr>
        <w:t>面或者口头形式向您作出明确说明，未作提示或者明确说明的，该条款不产生效力。</w:t>
      </w:r>
    </w:p>
    <w:p>
      <w:pPr>
        <w:pStyle w:val="BodyText"/>
        <w:spacing w:before="12"/>
        <w:ind w:left="202"/>
      </w:pPr>
      <w:r>
        <w:rPr/>
        <w:t>我们就您和被保险人的有关情况提出询问，您应当如实告知。</w:t>
      </w:r>
    </w:p>
    <w:p>
      <w:pPr>
        <w:pStyle w:val="BodyText"/>
        <w:spacing w:line="278" w:lineRule="auto" w:before="45"/>
        <w:ind w:left="202" w:right="212"/>
      </w:pPr>
      <w:r>
        <w:rPr>
          <w:spacing w:val="-4"/>
        </w:rPr>
        <w:t>如果您故意或者因重大过失未履行前款规定的如实告知义务，足以影响我们决定是否同意承保或者提高保险费率的，我们有权解除本合同。</w:t>
      </w:r>
    </w:p>
    <w:p>
      <w:pPr>
        <w:pStyle w:val="BodyText"/>
        <w:spacing w:line="280" w:lineRule="auto" w:before="11"/>
        <w:ind w:left="202" w:right="212"/>
      </w:pPr>
      <w:r>
        <w:rPr>
          <w:spacing w:val="-6"/>
        </w:rPr>
        <w:t>如果您故意不履行如实告知义务，对于本合同解除前发生的保险事故，我们不承担给付保险金的责任，并不退还保险费。</w:t>
      </w:r>
    </w:p>
    <w:p>
      <w:pPr>
        <w:pStyle w:val="BodyText"/>
        <w:spacing w:line="280" w:lineRule="auto" w:before="8"/>
        <w:ind w:left="202" w:right="118"/>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8"/>
        <w:ind w:left="202" w:right="212"/>
      </w:pPr>
      <w:r>
        <w:rPr>
          <w:spacing w:val="-5"/>
        </w:rPr>
        <w:t>我们在合同订立时已经知道您未如实告知的情况的，我们不得解除合同；发生保险事故的，我们承担给付保险金的责任。</w:t>
      </w:r>
    </w:p>
    <w:p>
      <w:pPr>
        <w:spacing w:after="0" w:line="280" w:lineRule="auto"/>
        <w:sectPr>
          <w:type w:val="continuous"/>
          <w:pgSz w:w="11910" w:h="16840"/>
          <w:pgMar w:top="1280" w:bottom="280" w:left="1040" w:right="1040"/>
          <w:cols w:num="2" w:equalWidth="0">
            <w:col w:w="2532" w:space="40"/>
            <w:col w:w="7258"/>
          </w:cols>
        </w:sectPr>
      </w:pPr>
    </w:p>
    <w:p>
      <w:pPr>
        <w:pStyle w:val="BodyText"/>
        <w:spacing w:before="11"/>
        <w:rPr>
          <w:sz w:val="8"/>
        </w:rPr>
      </w:pPr>
    </w:p>
    <w:p>
      <w:pPr>
        <w:spacing w:after="0"/>
        <w:rPr>
          <w:sz w:val="8"/>
        </w:rPr>
        <w:sectPr>
          <w:type w:val="continuous"/>
          <w:pgSz w:w="11910" w:h="16840"/>
          <w:pgMar w:top="1280" w:bottom="280" w:left="1040" w:right="1040"/>
        </w:sectPr>
      </w:pPr>
    </w:p>
    <w:p>
      <w:pPr>
        <w:pStyle w:val="ListParagraph"/>
        <w:numPr>
          <w:ilvl w:val="1"/>
          <w:numId w:val="8"/>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pacing w:val="-1"/>
          <w:sz w:val="21"/>
        </w:rPr>
        <w:t>我们合同解除权的限制</w:t>
      </w:r>
    </w:p>
    <w:p>
      <w:pPr>
        <w:pStyle w:val="BodyText"/>
        <w:spacing w:line="278" w:lineRule="auto"/>
        <w:ind w:left="202" w:right="211"/>
        <w:jc w:val="both"/>
      </w:pPr>
      <w:r>
        <w:rPr/>
        <w:br w:type="column"/>
      </w:r>
      <w:r>
        <w:rPr>
          <w:spacing w:val="-3"/>
        </w:rPr>
        <w:t>本保险条款</w:t>
      </w:r>
      <w:r>
        <w:rPr/>
        <w:t>“8.1</w:t>
      </w:r>
      <w:r>
        <w:rPr>
          <w:spacing w:val="-11"/>
        </w:rPr>
        <w:t> 明确说明与如实告知”规定的合同解除权，自我们知道有</w:t>
      </w:r>
      <w:r>
        <w:rPr>
          <w:spacing w:val="-16"/>
        </w:rPr>
        <w:t>解除事由之日起，超过 </w:t>
      </w:r>
      <w:r>
        <w:rPr/>
        <w:t>30</w:t>
      </w:r>
      <w:r>
        <w:rPr>
          <w:spacing w:val="-11"/>
        </w:rPr>
        <w:t> 日不行使而消灭。自本合同成立之日起超过 </w:t>
      </w:r>
      <w:r>
        <w:rPr/>
        <w:t>2</w:t>
      </w:r>
      <w:r>
        <w:rPr>
          <w:spacing w:val="-30"/>
        </w:rPr>
        <w:t> 年的，我们不得解除合同；发生保险事故的，我们承担给付保险金的责任。</w:t>
      </w:r>
    </w:p>
    <w:p>
      <w:pPr>
        <w:spacing w:after="0" w:line="278" w:lineRule="auto"/>
        <w:jc w:val="both"/>
        <w:sectPr>
          <w:type w:val="continuous"/>
          <w:pgSz w:w="11910" w:h="16840"/>
          <w:pgMar w:top="1280" w:bottom="280" w:left="1040" w:right="1040"/>
          <w:cols w:num="2" w:equalWidth="0">
            <w:col w:w="2531" w:space="40"/>
            <w:col w:w="7259"/>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ListParagraph"/>
        <w:numPr>
          <w:ilvl w:val="1"/>
          <w:numId w:val="9"/>
        </w:numPr>
        <w:tabs>
          <w:tab w:pos="1271" w:val="left" w:leader="none"/>
          <w:tab w:pos="1272" w:val="left" w:leader="none"/>
          <w:tab w:pos="2775" w:val="left" w:leader="none"/>
        </w:tabs>
        <w:spacing w:line="278" w:lineRule="auto" w:before="35" w:after="0"/>
        <w:ind w:left="2773" w:right="211" w:hanging="2558"/>
        <w:jc w:val="left"/>
        <w:rPr>
          <w:sz w:val="21"/>
        </w:rPr>
      </w:pPr>
      <w:r>
        <w:rPr>
          <w:rFonts w:ascii="黑体" w:eastAsia="黑体" w:hint="eastAsia"/>
          <w:sz w:val="21"/>
        </w:rPr>
        <w:t>年龄错误</w:t>
        <w:tab/>
        <w:tab/>
      </w:r>
      <w:r>
        <w:rPr>
          <w:sz w:val="21"/>
        </w:rPr>
        <w:t>您在申请投保时</w:t>
      </w:r>
      <w:r>
        <w:rPr>
          <w:spacing w:val="-95"/>
          <w:sz w:val="21"/>
        </w:rPr>
        <w:t>，</w:t>
      </w:r>
      <w:r>
        <w:rPr>
          <w:sz w:val="21"/>
        </w:rPr>
        <w:t>应将与有效身份证件相符的被保险人的出生日期在投保单上填明，如果发生错误按照下列方式办理：</w:t>
      </w:r>
    </w:p>
    <w:p>
      <w:pPr>
        <w:spacing w:after="0" w:line="278" w:lineRule="auto"/>
        <w:jc w:val="left"/>
        <w:rPr>
          <w:sz w:val="21"/>
        </w:rPr>
        <w:sectPr>
          <w:type w:val="continuous"/>
          <w:pgSz w:w="11910" w:h="16840"/>
          <w:pgMar w:top="1280" w:bottom="280" w:left="1040" w:right="1040"/>
        </w:sectPr>
      </w:pPr>
    </w:p>
    <w:p>
      <w:pPr>
        <w:pStyle w:val="BodyText"/>
        <w:spacing w:line="278" w:lineRule="auto" w:before="8"/>
        <w:ind w:left="3089" w:right="223" w:hanging="316"/>
        <w:jc w:val="both"/>
      </w:pPr>
      <w:r>
        <w:rPr/>
        <w:t>(1)您申报的被保险人年龄不真实，并且其真实年龄不符合本合同约定投保年龄限制的，在保险事故发生之前我们有权解除合同，并向您退还本合同保险单的现金价值。我们行使合同解除权适用本保险条款“8.2 我们合同解除权的限制”的规定。</w:t>
      </w:r>
    </w:p>
    <w:p>
      <w:pPr>
        <w:pStyle w:val="BodyText"/>
        <w:spacing w:line="280" w:lineRule="auto" w:before="10"/>
        <w:ind w:left="3089" w:right="223"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80" w:lineRule="auto" w:before="8"/>
        <w:ind w:left="3089" w:right="210" w:hanging="316"/>
        <w:jc w:val="both"/>
      </w:pPr>
      <w:r>
        <w:rPr/>
        <w:t>(3)您申报的被保险人年龄不真实，致使您实付保险费多于应付保险费的， 我们会将多收的保险费退还给您。</w:t>
      </w:r>
    </w:p>
    <w:p>
      <w:pPr>
        <w:pStyle w:val="BodyText"/>
        <w:spacing w:line="278" w:lineRule="auto" w:before="9"/>
        <w:ind w:left="3089" w:right="210" w:hanging="316"/>
        <w:jc w:val="both"/>
      </w:pPr>
      <w:r>
        <w:rPr/>
        <w:t>(4)您申报的被保险人年龄不真实，致使本合同保险单的现金价值与实际不符的，我们有权根据被保险人的实际年龄调整。</w:t>
      </w:r>
    </w:p>
    <w:p>
      <w:pPr>
        <w:pStyle w:val="ListParagraph"/>
        <w:numPr>
          <w:ilvl w:val="1"/>
          <w:numId w:val="9"/>
        </w:numPr>
        <w:tabs>
          <w:tab w:pos="1272" w:val="left" w:leader="none"/>
        </w:tabs>
        <w:spacing w:line="280" w:lineRule="auto" w:before="153" w:after="0"/>
        <w:ind w:left="2773" w:right="212" w:hanging="2558"/>
        <w:jc w:val="both"/>
        <w:rPr>
          <w:sz w:val="21"/>
        </w:rPr>
      </w:pPr>
      <w:r>
        <w:rPr>
          <w:rFonts w:ascii="黑体" w:eastAsia="黑体" w:hint="eastAsia"/>
          <w:spacing w:val="2"/>
          <w:sz w:val="21"/>
        </w:rPr>
        <w:t>未还款项     </w:t>
      </w:r>
      <w:r>
        <w:rPr>
          <w:spacing w:val="-7"/>
          <w:sz w:val="21"/>
        </w:rPr>
        <w:t>我们在给付各项保险金、退还本合同保险单的现金价值或退还保险费时，若</w:t>
      </w:r>
      <w:r>
        <w:rPr>
          <w:spacing w:val="-12"/>
          <w:sz w:val="21"/>
        </w:rPr>
        <w:t>存在欠交保险费、保单贷款或其他未还款项及相应利息，我们会在扣除上述欠款后给付。</w:t>
      </w:r>
    </w:p>
    <w:p>
      <w:pPr>
        <w:pStyle w:val="ListParagraph"/>
        <w:numPr>
          <w:ilvl w:val="1"/>
          <w:numId w:val="9"/>
        </w:numPr>
        <w:tabs>
          <w:tab w:pos="1272" w:val="left" w:leader="none"/>
        </w:tabs>
        <w:spacing w:line="278" w:lineRule="auto" w:before="151" w:after="0"/>
        <w:ind w:left="2773" w:right="212" w:hanging="2558"/>
        <w:jc w:val="both"/>
        <w:rPr>
          <w:sz w:val="21"/>
        </w:rPr>
      </w:pPr>
      <w:r>
        <w:rPr>
          <w:rFonts w:ascii="黑体" w:eastAsia="黑体" w:hint="eastAsia"/>
          <w:spacing w:val="2"/>
          <w:sz w:val="21"/>
        </w:rPr>
        <w:t>合同内容变更 </w:t>
      </w:r>
      <w:r>
        <w:rPr>
          <w:spacing w:val="-7"/>
          <w:sz w:val="21"/>
        </w:rPr>
        <w:t>在本合同有效期内，经您与我们协商一致，可以变更本合同的有关内容。变</w:t>
      </w:r>
      <w:r>
        <w:rPr>
          <w:spacing w:val="-11"/>
          <w:sz w:val="21"/>
        </w:rPr>
        <w:t>更本合同的，应当由我们在保险单上批注或者附贴批单，或者由您与我们订立书面的变更协议。</w:t>
      </w:r>
    </w:p>
    <w:p>
      <w:pPr>
        <w:pStyle w:val="ListParagraph"/>
        <w:numPr>
          <w:ilvl w:val="1"/>
          <w:numId w:val="9"/>
        </w:numPr>
        <w:tabs>
          <w:tab w:pos="1272" w:val="left" w:leader="none"/>
        </w:tabs>
        <w:spacing w:line="278" w:lineRule="auto" w:before="153" w:after="0"/>
        <w:ind w:left="2773" w:right="212" w:hanging="2558"/>
        <w:jc w:val="both"/>
        <w:rPr>
          <w:sz w:val="21"/>
        </w:rPr>
      </w:pPr>
      <w:r>
        <w:rPr>
          <w:rFonts w:ascii="黑体" w:eastAsia="黑体" w:hint="eastAsia"/>
          <w:spacing w:val="2"/>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5"/>
          <w:sz w:val="21"/>
        </w:rPr>
        <w:t>认可的其他形式通知我们，我们按本合同载明的最后住所、通讯地址或电话等联系方式发送的有关通知，均视为已送达给您。</w:t>
      </w:r>
    </w:p>
    <w:p>
      <w:pPr>
        <w:pStyle w:val="ListParagraph"/>
        <w:numPr>
          <w:ilvl w:val="1"/>
          <w:numId w:val="9"/>
        </w:numPr>
        <w:tabs>
          <w:tab w:pos="1272" w:val="left" w:leader="none"/>
        </w:tabs>
        <w:spacing w:line="280" w:lineRule="auto" w:before="153" w:after="0"/>
        <w:ind w:left="2773" w:right="212" w:hanging="2558"/>
        <w:jc w:val="both"/>
        <w:rPr>
          <w:sz w:val="21"/>
        </w:rPr>
      </w:pPr>
      <w:r>
        <w:rPr>
          <w:rFonts w:ascii="黑体" w:eastAsia="黑体" w:hint="eastAsia"/>
          <w:spacing w:val="2"/>
          <w:sz w:val="21"/>
        </w:rPr>
        <w:t>争议处理     </w:t>
      </w:r>
      <w:r>
        <w:rPr>
          <w:spacing w:val="-9"/>
          <w:sz w:val="21"/>
        </w:rPr>
        <w:t>本合同履行过程中，双方发生争议时，可以从下列两种方式中选择一种争议处理方式：</w:t>
      </w:r>
    </w:p>
    <w:p>
      <w:pPr>
        <w:pStyle w:val="BodyText"/>
        <w:spacing w:line="280" w:lineRule="auto" w:before="8"/>
        <w:ind w:left="3089" w:right="210" w:hanging="316"/>
        <w:jc w:val="both"/>
      </w:pPr>
      <w:r>
        <w:rPr/>
        <w:t>(1)因履行本合同发生的争议，由双方协商解决，协商不成的，提交本合同约定的仲裁委员会仲裁；</w:t>
      </w:r>
    </w:p>
    <w:p>
      <w:pPr>
        <w:pStyle w:val="BodyText"/>
        <w:spacing w:line="278" w:lineRule="auto" w:before="9"/>
        <w:ind w:left="3089" w:right="210" w:hanging="316"/>
        <w:jc w:val="both"/>
      </w:pPr>
      <w:r>
        <w:rPr/>
        <w:t>(2)因履行本合同发生的争议，由双方协商解决，协商不成的，依法向人民法院起诉。</w:t>
      </w:r>
    </w:p>
    <w:p>
      <w:pPr>
        <w:pStyle w:val="BodyText"/>
        <w:spacing w:before="1"/>
        <w:rPr>
          <w:sz w:val="9"/>
        </w:rPr>
      </w:pPr>
      <w:r>
        <w:rPr/>
        <w:pict>
          <v:shape style="position:absolute;margin-left:57.360001pt;margin-top:7.146737pt;width:480.6pt;height:15.6pt;mso-position-horizontal-relative:page;mso-position-vertical-relative:paragraph;z-index:133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40" w:right="1040"/>
        </w:sectPr>
      </w:pPr>
    </w:p>
    <w:p>
      <w:pPr>
        <w:pStyle w:val="ListParagraph"/>
        <w:numPr>
          <w:ilvl w:val="1"/>
          <w:numId w:val="10"/>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z w:val="21"/>
        </w:rPr>
        <w:t>重大疾病的定义</w:t>
      </w:r>
    </w:p>
    <w:p>
      <w:pPr>
        <w:pStyle w:val="BodyText"/>
        <w:spacing w:line="320" w:lineRule="exact" w:before="24"/>
        <w:ind w:left="202" w:right="206"/>
      </w:pPr>
      <w:r>
        <w:rPr/>
        <w:br w:type="column"/>
      </w:r>
      <w:r>
        <w:rPr>
          <w:spacing w:val="-8"/>
        </w:rPr>
        <w:t>本合同所保障的重大疾病，是指被保险人在本合同有效期间内经</w:t>
      </w:r>
      <w:r>
        <w:rPr>
          <w:rFonts w:ascii="微软雅黑" w:eastAsia="微软雅黑" w:hint="eastAsia"/>
          <w:b/>
        </w:rPr>
        <w:t>专科医生</w:t>
      </w:r>
      <w:r>
        <w:rPr/>
        <w:t>明确诊断初次患下列疾病或初次达到下列疾病状态或在医院初次接受下列手</w:t>
      </w:r>
    </w:p>
    <w:p>
      <w:pPr>
        <w:pStyle w:val="BodyText"/>
        <w:spacing w:before="10"/>
        <w:ind w:left="202"/>
      </w:pPr>
      <w:r>
        <w:rPr/>
        <w:t>术：</w:t>
      </w:r>
    </w:p>
    <w:p>
      <w:pPr>
        <w:spacing w:after="0"/>
        <w:sectPr>
          <w:type w:val="continuous"/>
          <w:pgSz w:w="11910" w:h="16840"/>
          <w:pgMar w:top="1280" w:bottom="280" w:left="1040" w:right="1040"/>
          <w:cols w:num="2" w:equalWidth="0">
            <w:col w:w="2532" w:space="40"/>
            <w:col w:w="7258"/>
          </w:cols>
        </w:sectPr>
      </w:pPr>
    </w:p>
    <w:p>
      <w:pPr>
        <w:pStyle w:val="BodyText"/>
        <w:spacing w:before="7"/>
        <w:rPr>
          <w:sz w:val="11"/>
        </w:rPr>
      </w:pPr>
    </w:p>
    <w:p>
      <w:pPr>
        <w:pStyle w:val="ListParagraph"/>
        <w:numPr>
          <w:ilvl w:val="2"/>
          <w:numId w:val="10"/>
        </w:numPr>
        <w:tabs>
          <w:tab w:pos="1272" w:val="left" w:leader="none"/>
        </w:tabs>
        <w:spacing w:line="278" w:lineRule="auto" w:before="36" w:after="0"/>
        <w:ind w:left="2773" w:right="212" w:hanging="2558"/>
        <w:jc w:val="both"/>
        <w:rPr>
          <w:sz w:val="21"/>
        </w:rPr>
      </w:pPr>
      <w:r>
        <w:rPr>
          <w:rFonts w:ascii="黑体" w:eastAsia="黑体" w:hint="eastAsia"/>
          <w:spacing w:val="2"/>
          <w:sz w:val="21"/>
        </w:rPr>
        <w:t>恶性肿瘤     </w:t>
      </w:r>
      <w:r>
        <w:rPr>
          <w:spacing w:val="-5"/>
          <w:sz w:val="21"/>
        </w:rPr>
        <w:t>指恶性细胞不受控制的进行性增长和扩散，浸润和破坏周围正常组织，可以</w:t>
      </w: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78" w:lineRule="auto" w:before="12"/>
        <w:ind w:left="2773" w:right="4517"/>
      </w:pPr>
      <w:r>
        <w:rPr>
          <w:shd w:fill="D9D9D9" w:color="auto" w:val="clear"/>
        </w:rPr>
        <w:t>下列疾病不在保障范围内：</w:t>
      </w:r>
      <w:r>
        <w:rPr/>
        <w:t> </w:t>
      </w:r>
      <w:r>
        <w:rPr>
          <w:shd w:fill="D9D9D9" w:color="auto" w:val="clear"/>
        </w:rPr>
        <w:t>(1)原位癌；</w:t>
      </w:r>
    </w:p>
    <w:p>
      <w:pPr>
        <w:pStyle w:val="BodyText"/>
        <w:spacing w:before="12"/>
        <w:ind w:left="2773"/>
      </w:pPr>
      <w:r>
        <w:rPr>
          <w:shd w:fill="D9D9D9" w:color="auto" w:val="clear"/>
        </w:rPr>
        <w:t>(2)相当于 Binet 分期方案 A 期程度的慢性淋巴细胞白血病；</w:t>
      </w:r>
    </w:p>
    <w:p>
      <w:pPr>
        <w:pStyle w:val="BodyText"/>
        <w:spacing w:line="278" w:lineRule="auto" w:before="45"/>
        <w:ind w:left="2773" w:right="1588"/>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p>
    <w:p>
      <w:pPr>
        <w:spacing w:after="0" w:line="278" w:lineRule="auto"/>
        <w:sectPr>
          <w:type w:val="continuous"/>
          <w:pgSz w:w="11910" w:h="16840"/>
          <w:pgMar w:top="1280" w:bottom="280" w:left="1040" w:right="1040"/>
        </w:sectPr>
      </w:pPr>
    </w:p>
    <w:p>
      <w:pPr>
        <w:pStyle w:val="BodyText"/>
        <w:spacing w:line="278" w:lineRule="auto" w:before="8"/>
        <w:ind w:left="2713" w:right="2324"/>
      </w:pPr>
      <w:r>
        <w:rPr>
          <w:position w:val="1"/>
          <w:shd w:fill="D9D9D9" w:color="auto" w:val="clear"/>
        </w:rPr>
        <w:t>(5)TNM</w:t>
      </w:r>
      <w:r>
        <w:rPr>
          <w:spacing w:val="-17"/>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28"/>
          <w:position w:val="1"/>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10"/>
        </w:numPr>
        <w:tabs>
          <w:tab w:pos="1212" w:val="left" w:leader="none"/>
        </w:tabs>
        <w:spacing w:line="280" w:lineRule="auto" w:before="153" w:after="0"/>
        <w:ind w:left="2713" w:right="212" w:hanging="2558"/>
        <w:jc w:val="both"/>
        <w:rPr>
          <w:sz w:val="21"/>
        </w:rPr>
      </w:pPr>
      <w:r>
        <w:rPr>
          <w:rFonts w:ascii="黑体" w:eastAsia="黑体" w:hint="eastAsia"/>
          <w:spacing w:val="3"/>
          <w:sz w:val="21"/>
        </w:rPr>
        <w:t>急性心肌梗塞 </w:t>
      </w:r>
      <w:r>
        <w:rPr>
          <w:spacing w:val="-4"/>
          <w:sz w:val="21"/>
        </w:rPr>
        <w:t>指因冠状动脉阻塞导致的相应区域供血不足造成部分心肌坏死。须满足下列至少三项条件：</w:t>
      </w:r>
    </w:p>
    <w:p>
      <w:pPr>
        <w:pStyle w:val="BodyText"/>
        <w:spacing w:line="278" w:lineRule="auto" w:before="9"/>
        <w:ind w:left="2713" w:right="3164"/>
      </w:pPr>
      <w:r>
        <w:rPr/>
        <w:t>(1)典型临床表现，例如急性胸痛等；  </w:t>
      </w:r>
      <w:r>
        <w:rPr>
          <w:spacing w:val="-1"/>
        </w:rPr>
        <w:t>(2)新近的心电图改变提示急性心肌梗塞；</w:t>
      </w:r>
    </w:p>
    <w:p>
      <w:pPr>
        <w:pStyle w:val="BodyText"/>
        <w:spacing w:line="280" w:lineRule="auto" w:before="11"/>
        <w:ind w:left="3029" w:right="210" w:hanging="316"/>
      </w:pPr>
      <w:r>
        <w:rPr/>
        <w:t>(3)心肌酶或肌钙蛋白有诊断意义的升高，或呈符合急性心肌梗塞的动态性变化；</w:t>
      </w:r>
    </w:p>
    <w:p>
      <w:pPr>
        <w:pStyle w:val="BodyText"/>
        <w:spacing w:before="3"/>
        <w:ind w:left="2713"/>
      </w:pPr>
      <w:r>
        <w:rPr>
          <w:position w:val="1"/>
        </w:rPr>
        <w:t>(4)发病</w:t>
      </w:r>
      <w:r>
        <w:rPr>
          <w:spacing w:val="-55"/>
          <w:position w:val="1"/>
        </w:rPr>
        <w:t> </w:t>
      </w:r>
      <w:r>
        <w:rPr>
          <w:position w:val="1"/>
        </w:rPr>
        <w:t>90</w:t>
      </w:r>
      <w:r>
        <w:rPr>
          <w:spacing w:val="-56"/>
          <w:position w:val="1"/>
        </w:rPr>
        <w:t> </w:t>
      </w:r>
      <w:r>
        <w:rPr>
          <w:position w:val="1"/>
        </w:rPr>
        <w:t>天后</w:t>
      </w:r>
      <w:r>
        <w:rPr>
          <w:spacing w:val="-74"/>
          <w:position w:val="1"/>
        </w:rPr>
        <w:t>，</w:t>
      </w:r>
      <w:r>
        <w:rPr>
          <w:position w:val="1"/>
        </w:rPr>
        <w:t>经检查证实左心室功能降低</w:t>
      </w:r>
      <w:r>
        <w:rPr>
          <w:spacing w:val="-74"/>
          <w:position w:val="1"/>
        </w:rPr>
        <w:t>，</w:t>
      </w:r>
      <w:r>
        <w:rPr>
          <w:position w:val="1"/>
        </w:rPr>
        <w:t>如左心室射血分数低于</w:t>
      </w:r>
      <w:r>
        <w:rPr>
          <w:spacing w:val="-53"/>
          <w:position w:val="1"/>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8"/>
        <w:rPr>
          <w:sz w:val="14"/>
        </w:rPr>
      </w:pPr>
    </w:p>
    <w:p>
      <w:pPr>
        <w:pStyle w:val="ListParagraph"/>
        <w:numPr>
          <w:ilvl w:val="2"/>
          <w:numId w:val="10"/>
        </w:numPr>
        <w:tabs>
          <w:tab w:pos="1212" w:val="left" w:leader="none"/>
        </w:tabs>
        <w:spacing w:line="280" w:lineRule="auto" w:before="0" w:after="0"/>
        <w:ind w:left="2713" w:right="212" w:hanging="2558"/>
        <w:jc w:val="both"/>
        <w:rPr>
          <w:sz w:val="21"/>
        </w:rPr>
      </w:pPr>
      <w:r>
        <w:rPr>
          <w:rFonts w:ascii="黑体" w:eastAsia="黑体" w:hint="eastAsia"/>
          <w:spacing w:val="3"/>
          <w:sz w:val="21"/>
        </w:rPr>
        <w:t>脑中风后遗症 </w:t>
      </w:r>
      <w:r>
        <w:rPr>
          <w:spacing w:val="-5"/>
          <w:sz w:val="21"/>
        </w:rPr>
        <w:t>指因脑血管的突发病变引起脑血管出血、栓塞或梗塞，并导致神经系统永久</w:t>
      </w:r>
      <w:r>
        <w:rPr>
          <w:spacing w:val="-12"/>
          <w:sz w:val="21"/>
        </w:rPr>
        <w:t>性的功能障碍。神经系统永久性的功能障碍，指疾病确诊 </w:t>
      </w:r>
      <w:r>
        <w:rPr>
          <w:sz w:val="21"/>
        </w:rPr>
        <w:t>180</w:t>
      </w:r>
      <w:r>
        <w:rPr>
          <w:spacing w:val="-13"/>
          <w:sz w:val="21"/>
        </w:rPr>
        <w:t> 天后，仍遗留下列一种或一种以上障碍：</w:t>
      </w:r>
    </w:p>
    <w:p>
      <w:pPr>
        <w:spacing w:line="288" w:lineRule="exact" w:before="0"/>
        <w:ind w:left="2713"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13"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29" w:right="217"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37"/>
        <w:gridCol w:w="6968"/>
      </w:tblGrid>
      <w:tr>
        <w:trPr>
          <w:trHeight w:val="1616" w:hRule="atLeast"/>
        </w:trPr>
        <w:tc>
          <w:tcPr>
            <w:tcW w:w="894" w:type="dxa"/>
          </w:tcPr>
          <w:p>
            <w:pPr>
              <w:pStyle w:val="TableParagraph"/>
              <w:spacing w:line="210" w:lineRule="exact" w:before="0"/>
              <w:rPr>
                <w:rFonts w:ascii="黑体"/>
                <w:sz w:val="21"/>
              </w:rPr>
            </w:pPr>
            <w:r>
              <w:rPr>
                <w:rFonts w:ascii="黑体"/>
                <w:sz w:val="21"/>
              </w:rPr>
              <w:t>10.1.4</w:t>
            </w:r>
          </w:p>
        </w:tc>
        <w:tc>
          <w:tcPr>
            <w:tcW w:w="1637" w:type="dxa"/>
          </w:tcPr>
          <w:p>
            <w:pPr>
              <w:pStyle w:val="TableParagraph"/>
              <w:spacing w:line="210" w:lineRule="exact" w:before="0"/>
              <w:ind w:left="212"/>
              <w:rPr>
                <w:rFonts w:ascii="黑体" w:eastAsia="黑体" w:hint="eastAsia"/>
                <w:sz w:val="21"/>
              </w:rPr>
            </w:pPr>
            <w:r>
              <w:rPr>
                <w:rFonts w:ascii="黑体" w:eastAsia="黑体" w:hint="eastAsia"/>
                <w:sz w:val="21"/>
              </w:rPr>
              <w:t>重大器官移植</w:t>
            </w:r>
          </w:p>
          <w:p>
            <w:pPr>
              <w:pStyle w:val="TableParagraph"/>
              <w:spacing w:line="280" w:lineRule="auto" w:before="45"/>
              <w:ind w:left="212" w:right="136"/>
              <w:rPr>
                <w:rFonts w:ascii="黑体" w:eastAsia="黑体" w:hint="eastAsia"/>
                <w:sz w:val="21"/>
              </w:rPr>
            </w:pPr>
            <w:r>
              <w:rPr>
                <w:rFonts w:ascii="黑体" w:eastAsia="黑体" w:hint="eastAsia"/>
                <w:sz w:val="21"/>
              </w:rPr>
              <w:t>术或造血干细胞移植术</w:t>
            </w:r>
          </w:p>
        </w:tc>
        <w:tc>
          <w:tcPr>
            <w:tcW w:w="6968" w:type="dxa"/>
          </w:tcPr>
          <w:p>
            <w:pPr>
              <w:pStyle w:val="TableParagraph"/>
              <w:spacing w:line="210" w:lineRule="exact" w:before="0"/>
              <w:ind w:left="77"/>
              <w:rPr>
                <w:sz w:val="21"/>
              </w:rPr>
            </w:pPr>
            <w:r>
              <w:rPr>
                <w:spacing w:val="-7"/>
                <w:sz w:val="21"/>
              </w:rPr>
              <w:t>重大器官移植术，指因相应器官功能衰竭，已经实施了肾脏、肝脏、心脏或</w:t>
            </w:r>
          </w:p>
          <w:p>
            <w:pPr>
              <w:pStyle w:val="TableParagraph"/>
              <w:spacing w:before="45"/>
              <w:ind w:left="77"/>
              <w:rPr>
                <w:sz w:val="21"/>
              </w:rPr>
            </w:pPr>
            <w:r>
              <w:rPr>
                <w:sz w:val="21"/>
              </w:rPr>
              <w:t>肺脏的异体移植手术。</w:t>
            </w:r>
          </w:p>
          <w:p>
            <w:pPr>
              <w:pStyle w:val="TableParagraph"/>
              <w:spacing w:line="278" w:lineRule="auto" w:before="45"/>
              <w:ind w:left="77" w:right="52"/>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4"/>
                <w:sz w:val="21"/>
              </w:rPr>
              <w:t>包括骨髓造血干细胞、外周血造血干细胞和脐血造血干细胞</w:t>
            </w:r>
            <w:r>
              <w:rPr>
                <w:spacing w:val="-32"/>
                <w:sz w:val="21"/>
              </w:rPr>
              <w:t>）</w:t>
            </w:r>
            <w:r>
              <w:rPr>
                <w:sz w:val="21"/>
              </w:rPr>
              <w:t>的异体移植手术。</w:t>
            </w:r>
          </w:p>
        </w:tc>
      </w:tr>
      <w:tr>
        <w:trPr>
          <w:trHeight w:val="1422" w:hRule="atLeast"/>
        </w:trPr>
        <w:tc>
          <w:tcPr>
            <w:tcW w:w="894" w:type="dxa"/>
          </w:tcPr>
          <w:p>
            <w:pPr>
              <w:pStyle w:val="TableParagraph"/>
              <w:rPr>
                <w:rFonts w:ascii="黑体"/>
                <w:sz w:val="21"/>
              </w:rPr>
            </w:pPr>
            <w:r>
              <w:rPr>
                <w:rFonts w:ascii="黑体"/>
                <w:sz w:val="21"/>
              </w:rPr>
              <w:t>10.1.5</w:t>
            </w:r>
          </w:p>
        </w:tc>
        <w:tc>
          <w:tcPr>
            <w:tcW w:w="1637" w:type="dxa"/>
          </w:tcPr>
          <w:p>
            <w:pPr>
              <w:pStyle w:val="TableParagraph"/>
              <w:spacing w:line="278" w:lineRule="auto"/>
              <w:ind w:left="212" w:right="136"/>
              <w:jc w:val="both"/>
              <w:rPr>
                <w:rFonts w:ascii="黑体" w:eastAsia="黑体" w:hint="eastAsia"/>
                <w:sz w:val="21"/>
              </w:rPr>
            </w:pPr>
            <w:r>
              <w:rPr>
                <w:rFonts w:ascii="黑体" w:eastAsia="黑体" w:hint="eastAsia"/>
                <w:sz w:val="21"/>
              </w:rPr>
              <w:t>冠状动脉搭桥术（或称冠状动脉旁路移植术）</w:t>
            </w:r>
          </w:p>
        </w:tc>
        <w:tc>
          <w:tcPr>
            <w:tcW w:w="6968" w:type="dxa"/>
          </w:tcPr>
          <w:p>
            <w:pPr>
              <w:pStyle w:val="TableParagraph"/>
              <w:spacing w:line="280" w:lineRule="auto"/>
              <w:ind w:left="77" w:right="52"/>
              <w:rPr>
                <w:sz w:val="21"/>
              </w:rPr>
            </w:pPr>
            <w:r>
              <w:rPr>
                <w:spacing w:val="-9"/>
                <w:sz w:val="21"/>
              </w:rPr>
              <w:t>指为治疗严重的冠心病，实际实施了开胸进行的冠状动脉血管旁路移植的手术。</w:t>
            </w:r>
          </w:p>
          <w:p>
            <w:pPr>
              <w:pStyle w:val="TableParagraph"/>
              <w:spacing w:line="280" w:lineRule="auto" w:before="8"/>
              <w:ind w:left="77" w:right="52"/>
              <w:rPr>
                <w:sz w:val="21"/>
              </w:rPr>
            </w:pPr>
            <w:r>
              <w:rPr>
                <w:spacing w:val="-8"/>
                <w:sz w:val="21"/>
                <w:shd w:fill="D9D9D9" w:color="auto" w:val="clear"/>
              </w:rPr>
              <w:t>冠状动脉支架植入术、心导管球囊扩张术、激光射频技术及其他非开胸的介入手术、腔镜手术不在保障范围内。</w:t>
            </w:r>
          </w:p>
        </w:tc>
      </w:tr>
      <w:tr>
        <w:trPr>
          <w:trHeight w:val="1421" w:hRule="atLeast"/>
        </w:trPr>
        <w:tc>
          <w:tcPr>
            <w:tcW w:w="894" w:type="dxa"/>
          </w:tcPr>
          <w:p>
            <w:pPr>
              <w:pStyle w:val="TableParagraph"/>
              <w:rPr>
                <w:rFonts w:ascii="黑体"/>
                <w:sz w:val="21"/>
              </w:rPr>
            </w:pPr>
            <w:r>
              <w:rPr>
                <w:rFonts w:ascii="黑体"/>
                <w:sz w:val="21"/>
              </w:rPr>
              <w:t>10.1.6</w:t>
            </w:r>
          </w:p>
        </w:tc>
        <w:tc>
          <w:tcPr>
            <w:tcW w:w="1637" w:type="dxa"/>
          </w:tcPr>
          <w:p>
            <w:pPr>
              <w:pStyle w:val="TableParagraph"/>
              <w:ind w:left="212"/>
              <w:rPr>
                <w:rFonts w:ascii="黑体" w:eastAsia="黑体" w:hint="eastAsia"/>
                <w:sz w:val="21"/>
              </w:rPr>
            </w:pPr>
            <w:r>
              <w:rPr>
                <w:rFonts w:ascii="黑体" w:eastAsia="黑体" w:hint="eastAsia"/>
                <w:sz w:val="21"/>
              </w:rPr>
              <w:t>终 末期肾病 </w:t>
            </w:r>
          </w:p>
          <w:p>
            <w:pPr>
              <w:pStyle w:val="TableParagraph"/>
              <w:spacing w:line="278" w:lineRule="auto" w:before="45"/>
              <w:ind w:left="212" w:right="136"/>
              <w:jc w:val="both"/>
              <w:rPr>
                <w:rFonts w:ascii="黑体" w:eastAsia="黑体" w:hint="eastAsia"/>
                <w:sz w:val="21"/>
              </w:rPr>
            </w:pPr>
            <w:r>
              <w:rPr>
                <w:rFonts w:ascii="黑体" w:eastAsia="黑体" w:hint="eastAsia"/>
                <w:sz w:val="21"/>
              </w:rPr>
              <w:t>（或称慢性肾功能衰竭尿毒症期）</w:t>
            </w:r>
          </w:p>
        </w:tc>
        <w:tc>
          <w:tcPr>
            <w:tcW w:w="6968" w:type="dxa"/>
          </w:tcPr>
          <w:p>
            <w:pPr>
              <w:pStyle w:val="TableParagraph"/>
              <w:ind w:left="77"/>
              <w:rPr>
                <w:sz w:val="21"/>
              </w:rPr>
            </w:pPr>
            <w:r>
              <w:rPr>
                <w:sz w:val="21"/>
              </w:rPr>
              <w:t>指双肾功能慢性不可逆性衰竭，达到尿毒症期，经诊断后已经进行了至少</w:t>
            </w:r>
          </w:p>
          <w:p>
            <w:pPr>
              <w:pStyle w:val="TableParagraph"/>
              <w:spacing w:before="45"/>
              <w:ind w:left="77"/>
              <w:rPr>
                <w:sz w:val="21"/>
              </w:rPr>
            </w:pPr>
            <w:r>
              <w:rPr>
                <w:sz w:val="21"/>
              </w:rPr>
              <w:t>90 天的规律性透析治疗或实施了肾脏移植手术。</w:t>
            </w:r>
          </w:p>
        </w:tc>
      </w:tr>
      <w:tr>
        <w:trPr>
          <w:trHeight w:val="782" w:hRule="atLeast"/>
        </w:trPr>
        <w:tc>
          <w:tcPr>
            <w:tcW w:w="894" w:type="dxa"/>
          </w:tcPr>
          <w:p>
            <w:pPr>
              <w:pStyle w:val="TableParagraph"/>
              <w:rPr>
                <w:rFonts w:ascii="黑体"/>
                <w:sz w:val="21"/>
              </w:rPr>
            </w:pPr>
            <w:r>
              <w:rPr>
                <w:rFonts w:ascii="黑体"/>
                <w:sz w:val="21"/>
              </w:rPr>
              <w:t>10.1.7</w:t>
            </w:r>
          </w:p>
        </w:tc>
        <w:tc>
          <w:tcPr>
            <w:tcW w:w="1637" w:type="dxa"/>
          </w:tcPr>
          <w:p>
            <w:pPr>
              <w:pStyle w:val="TableParagraph"/>
              <w:ind w:left="212"/>
              <w:rPr>
                <w:rFonts w:ascii="黑体" w:eastAsia="黑体" w:hint="eastAsia"/>
                <w:sz w:val="21"/>
              </w:rPr>
            </w:pPr>
            <w:r>
              <w:rPr>
                <w:rFonts w:ascii="黑体" w:eastAsia="黑体" w:hint="eastAsia"/>
                <w:sz w:val="21"/>
              </w:rPr>
              <w:t>多个肢体缺失</w:t>
            </w:r>
          </w:p>
        </w:tc>
        <w:tc>
          <w:tcPr>
            <w:tcW w:w="6968" w:type="dxa"/>
          </w:tcPr>
          <w:p>
            <w:pPr>
              <w:pStyle w:val="TableParagraph"/>
              <w:spacing w:line="280" w:lineRule="auto"/>
              <w:ind w:left="77" w:right="52"/>
              <w:rPr>
                <w:sz w:val="21"/>
              </w:rPr>
            </w:pPr>
            <w:r>
              <w:rPr>
                <w:spacing w:val="-4"/>
                <w:sz w:val="21"/>
              </w:rPr>
              <w:t>指因疾病或意外伤害导致两个或两个以上肢体自腕关节或踝关节近端</w:t>
            </w:r>
            <w:r>
              <w:rPr>
                <w:sz w:val="21"/>
              </w:rPr>
              <w:t>（靠近躯干端）以上完全性断离。</w:t>
            </w:r>
          </w:p>
        </w:tc>
      </w:tr>
      <w:tr>
        <w:trPr>
          <w:trHeight w:val="2061" w:hRule="atLeast"/>
        </w:trPr>
        <w:tc>
          <w:tcPr>
            <w:tcW w:w="894" w:type="dxa"/>
          </w:tcPr>
          <w:p>
            <w:pPr>
              <w:pStyle w:val="TableParagraph"/>
              <w:rPr>
                <w:rFonts w:ascii="黑体"/>
                <w:sz w:val="21"/>
              </w:rPr>
            </w:pPr>
            <w:r>
              <w:rPr>
                <w:rFonts w:ascii="黑体"/>
                <w:sz w:val="21"/>
              </w:rPr>
              <w:t>10.1.8</w:t>
            </w:r>
          </w:p>
        </w:tc>
        <w:tc>
          <w:tcPr>
            <w:tcW w:w="1637" w:type="dxa"/>
          </w:tcPr>
          <w:p>
            <w:pPr>
              <w:pStyle w:val="TableParagraph"/>
              <w:spacing w:line="278" w:lineRule="auto"/>
              <w:ind w:left="212" w:right="136"/>
              <w:rPr>
                <w:rFonts w:ascii="黑体" w:eastAsia="黑体" w:hint="eastAsia"/>
                <w:sz w:val="21"/>
              </w:rPr>
            </w:pPr>
            <w:r>
              <w:rPr>
                <w:rFonts w:ascii="黑体" w:eastAsia="黑体" w:hint="eastAsia"/>
                <w:sz w:val="21"/>
              </w:rPr>
              <w:t>急性或亚急性重症肝炎</w:t>
            </w:r>
          </w:p>
        </w:tc>
        <w:tc>
          <w:tcPr>
            <w:tcW w:w="6968" w:type="dxa"/>
          </w:tcPr>
          <w:p>
            <w:pPr>
              <w:pStyle w:val="TableParagraph"/>
              <w:spacing w:line="278" w:lineRule="auto"/>
              <w:ind w:left="77" w:right="52"/>
              <w:rPr>
                <w:sz w:val="21"/>
              </w:rPr>
            </w:pPr>
            <w:r>
              <w:rPr>
                <w:spacing w:val="-5"/>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77"/>
              <w:rPr>
                <w:sz w:val="21"/>
              </w:rPr>
            </w:pPr>
            <w:r>
              <w:rPr>
                <w:sz w:val="21"/>
              </w:rPr>
              <w:t>(2)肝性脑病；</w:t>
            </w:r>
          </w:p>
          <w:p>
            <w:pPr>
              <w:pStyle w:val="TableParagraph"/>
              <w:spacing w:line="280" w:lineRule="auto" w:before="43"/>
              <w:ind w:left="77" w:right="2150"/>
              <w:rPr>
                <w:sz w:val="21"/>
              </w:rPr>
            </w:pPr>
            <w:r>
              <w:rPr>
                <w:sz w:val="21"/>
              </w:rPr>
              <w:t>(3)B 超或其他影像学检查显示肝脏体积急速萎缩； (4)肝功能指标进行性恶化。</w:t>
            </w:r>
          </w:p>
        </w:tc>
      </w:tr>
      <w:tr>
        <w:trPr>
          <w:trHeight w:val="975" w:hRule="atLeast"/>
        </w:trPr>
        <w:tc>
          <w:tcPr>
            <w:tcW w:w="894" w:type="dxa"/>
          </w:tcPr>
          <w:p>
            <w:pPr>
              <w:pStyle w:val="TableParagraph"/>
              <w:rPr>
                <w:rFonts w:ascii="黑体"/>
                <w:sz w:val="21"/>
              </w:rPr>
            </w:pPr>
            <w:r>
              <w:rPr>
                <w:rFonts w:ascii="黑体"/>
                <w:sz w:val="21"/>
              </w:rPr>
              <w:t>10.1.9</w:t>
            </w:r>
          </w:p>
        </w:tc>
        <w:tc>
          <w:tcPr>
            <w:tcW w:w="1637" w:type="dxa"/>
          </w:tcPr>
          <w:p>
            <w:pPr>
              <w:pStyle w:val="TableParagraph"/>
              <w:ind w:left="212"/>
              <w:rPr>
                <w:rFonts w:ascii="黑体" w:eastAsia="黑体" w:hint="eastAsia"/>
                <w:sz w:val="21"/>
              </w:rPr>
            </w:pPr>
            <w:r>
              <w:rPr>
                <w:rFonts w:ascii="黑体" w:eastAsia="黑体" w:hint="eastAsia"/>
                <w:sz w:val="21"/>
              </w:rPr>
              <w:t>良性脑肿瘤</w:t>
            </w:r>
          </w:p>
        </w:tc>
        <w:tc>
          <w:tcPr>
            <w:tcW w:w="6968" w:type="dxa"/>
          </w:tcPr>
          <w:p>
            <w:pPr>
              <w:pStyle w:val="TableParagraph"/>
              <w:ind w:left="77"/>
              <w:rPr>
                <w:sz w:val="21"/>
              </w:rPr>
            </w:pPr>
            <w:r>
              <w:rPr>
                <w:spacing w:val="-7"/>
                <w:sz w:val="21"/>
              </w:rPr>
              <w:t>指脑的良性肿瘤，已经引起颅内压增高，临床表现为视神经乳头水肿、精神</w:t>
            </w:r>
          </w:p>
          <w:p>
            <w:pPr>
              <w:pStyle w:val="TableParagraph"/>
              <w:spacing w:line="320" w:lineRule="atLeast" w:before="0"/>
              <w:ind w:left="77" w:right="49"/>
              <w:rPr>
                <w:sz w:val="21"/>
              </w:rPr>
            </w:pPr>
            <w:r>
              <w:rPr>
                <w:sz w:val="21"/>
              </w:rPr>
              <w:t>症状、癫痫及运动感觉障碍等，并危及生命。须由头颅断层扫描</w:t>
            </w:r>
            <w:r>
              <w:rPr>
                <w:spacing w:val="0"/>
                <w:sz w:val="21"/>
              </w:rPr>
              <w:t>（</w:t>
            </w:r>
            <w:r>
              <w:rPr>
                <w:sz w:val="21"/>
              </w:rPr>
              <w:t>CT</w:t>
            </w:r>
            <w:r>
              <w:rPr>
                <w:spacing w:val="-106"/>
                <w:sz w:val="21"/>
              </w:rPr>
              <w:t>）</w:t>
            </w:r>
            <w:r>
              <w:rPr>
                <w:sz w:val="21"/>
              </w:rPr>
              <w:t>、核</w:t>
            </w:r>
            <w:r>
              <w:rPr>
                <w:spacing w:val="-5"/>
                <w:sz w:val="21"/>
              </w:rPr>
              <w:t>磁共振检查（MRI）</w:t>
            </w:r>
            <w:r>
              <w:rPr>
                <w:spacing w:val="-3"/>
                <w:sz w:val="21"/>
              </w:rPr>
              <w:t>或正电子发射断层扫描</w:t>
            </w:r>
            <w:r>
              <w:rPr>
                <w:spacing w:val="-5"/>
                <w:sz w:val="21"/>
              </w:rPr>
              <w:t>（PET）</w:t>
            </w:r>
            <w:r>
              <w:rPr>
                <w:spacing w:val="-3"/>
                <w:sz w:val="21"/>
              </w:rPr>
              <w:t>等影像学检查证实，并须</w:t>
            </w:r>
          </w:p>
        </w:tc>
      </w:tr>
    </w:tbl>
    <w:p>
      <w:pPr>
        <w:spacing w:after="0" w:line="320" w:lineRule="atLeast"/>
        <w:rPr>
          <w:sz w:val="21"/>
        </w:rPr>
        <w:sectPr>
          <w:pgSz w:w="11910" w:h="16840"/>
          <w:pgMar w:top="1420" w:bottom="280" w:left="110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54"/>
        <w:gridCol w:w="6993"/>
      </w:tblGrid>
      <w:tr>
        <w:trPr>
          <w:trHeight w:val="1296" w:hRule="atLeast"/>
        </w:trPr>
        <w:tc>
          <w:tcPr>
            <w:tcW w:w="945" w:type="dxa"/>
          </w:tcPr>
          <w:p>
            <w:pPr>
              <w:pStyle w:val="TableParagraph"/>
              <w:spacing w:before="0"/>
              <w:ind w:left="0"/>
              <w:rPr>
                <w:rFonts w:ascii="Times New Roman"/>
                <w:sz w:val="20"/>
              </w:rPr>
            </w:pPr>
          </w:p>
        </w:tc>
        <w:tc>
          <w:tcPr>
            <w:tcW w:w="1554" w:type="dxa"/>
          </w:tcPr>
          <w:p>
            <w:pPr>
              <w:pStyle w:val="TableParagraph"/>
              <w:spacing w:before="0"/>
              <w:ind w:left="0"/>
              <w:rPr>
                <w:rFonts w:ascii="Times New Roman"/>
                <w:sz w:val="20"/>
              </w:rPr>
            </w:pPr>
          </w:p>
        </w:tc>
        <w:tc>
          <w:tcPr>
            <w:tcW w:w="6993" w:type="dxa"/>
          </w:tcPr>
          <w:p>
            <w:pPr>
              <w:pStyle w:val="TableParagraph"/>
              <w:spacing w:line="204" w:lineRule="exact" w:before="0"/>
              <w:ind w:left="109"/>
              <w:rPr>
                <w:sz w:val="21"/>
              </w:rPr>
            </w:pPr>
            <w:r>
              <w:rPr>
                <w:sz w:val="21"/>
              </w:rPr>
              <w:t>满足下列至少一项条件：</w:t>
            </w:r>
          </w:p>
          <w:p>
            <w:pPr>
              <w:pStyle w:val="TableParagraph"/>
              <w:spacing w:line="280" w:lineRule="auto" w:before="44"/>
              <w:ind w:left="109" w:right="1107"/>
              <w:rPr>
                <w:sz w:val="21"/>
              </w:rPr>
            </w:pPr>
            <w:r>
              <w:rPr>
                <w:sz w:val="21"/>
              </w:rPr>
              <w:t>(1)实际实施了开颅进行的脑肿瘤完全切除或部分切除的手术； (2)实际实施了对脑肿瘤进行的放射治疗。</w:t>
            </w:r>
          </w:p>
          <w:p>
            <w:pPr>
              <w:pStyle w:val="TableParagraph"/>
              <w:spacing w:before="9"/>
              <w:ind w:left="109"/>
              <w:rPr>
                <w:sz w:val="21"/>
              </w:rPr>
            </w:pPr>
            <w:r>
              <w:rPr>
                <w:sz w:val="21"/>
                <w:shd w:fill="D9D9D9" w:color="auto" w:val="clear"/>
              </w:rPr>
              <w:t>脑垂体瘤、脑囊肿、脑血管性疾病不在保障范围内。</w:t>
            </w:r>
          </w:p>
        </w:tc>
      </w:tr>
      <w:tr>
        <w:trPr>
          <w:trHeight w:val="2061" w:hRule="atLeast"/>
        </w:trPr>
        <w:tc>
          <w:tcPr>
            <w:tcW w:w="945" w:type="dxa"/>
          </w:tcPr>
          <w:p>
            <w:pPr>
              <w:pStyle w:val="TableParagraph"/>
              <w:spacing w:before="54"/>
              <w:rPr>
                <w:rFonts w:ascii="黑体"/>
                <w:sz w:val="21"/>
              </w:rPr>
            </w:pPr>
            <w:r>
              <w:rPr>
                <w:rFonts w:ascii="黑体"/>
                <w:sz w:val="21"/>
              </w:rPr>
              <w:t>10.1.10</w:t>
            </w:r>
          </w:p>
        </w:tc>
        <w:tc>
          <w:tcPr>
            <w:tcW w:w="1554" w:type="dxa"/>
          </w:tcPr>
          <w:p>
            <w:pPr>
              <w:pStyle w:val="TableParagraph"/>
              <w:spacing w:line="278" w:lineRule="auto" w:before="54"/>
              <w:ind w:left="161" w:right="104" w:hanging="1"/>
              <w:rPr>
                <w:rFonts w:ascii="黑体" w:eastAsia="黑体" w:hint="eastAsia"/>
                <w:sz w:val="21"/>
              </w:rPr>
            </w:pPr>
            <w:r>
              <w:rPr>
                <w:rFonts w:ascii="黑体" w:eastAsia="黑体" w:hint="eastAsia"/>
                <w:sz w:val="21"/>
              </w:rPr>
              <w:t>慢性肝功能衰竭失代偿期</w:t>
            </w:r>
          </w:p>
        </w:tc>
        <w:tc>
          <w:tcPr>
            <w:tcW w:w="6993" w:type="dxa"/>
          </w:tcPr>
          <w:p>
            <w:pPr>
              <w:pStyle w:val="TableParagraph"/>
              <w:spacing w:line="278" w:lineRule="auto" w:before="54"/>
              <w:ind w:left="109" w:right="1404"/>
              <w:rPr>
                <w:sz w:val="21"/>
              </w:rPr>
            </w:pPr>
            <w:r>
              <w:rPr>
                <w:sz w:val="21"/>
              </w:rPr>
              <w:t>指因慢性肝脏疾病导致肝功能衰竭。须满足下列全部条件： (1)持续性黄疸；</w:t>
            </w:r>
          </w:p>
          <w:p>
            <w:pPr>
              <w:pStyle w:val="TableParagraph"/>
              <w:spacing w:line="280" w:lineRule="auto" w:before="11"/>
              <w:ind w:left="109" w:right="5517"/>
              <w:rPr>
                <w:sz w:val="21"/>
              </w:rPr>
            </w:pPr>
            <w:r>
              <w:rPr>
                <w:sz w:val="21"/>
              </w:rPr>
              <w:t>(2)腹水；  </w:t>
            </w:r>
            <w:r>
              <w:rPr>
                <w:spacing w:val="-1"/>
                <w:sz w:val="21"/>
              </w:rPr>
              <w:t>(3)肝性脑病；</w:t>
            </w:r>
          </w:p>
          <w:p>
            <w:pPr>
              <w:pStyle w:val="TableParagraph"/>
              <w:spacing w:line="280" w:lineRule="auto" w:before="8"/>
              <w:ind w:left="109" w:right="1841"/>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945" w:type="dxa"/>
          </w:tcPr>
          <w:p>
            <w:pPr>
              <w:pStyle w:val="TableParagraph"/>
              <w:spacing w:before="54"/>
              <w:rPr>
                <w:rFonts w:ascii="黑体"/>
                <w:sz w:val="21"/>
              </w:rPr>
            </w:pPr>
            <w:r>
              <w:rPr>
                <w:rFonts w:ascii="黑体"/>
                <w:sz w:val="21"/>
              </w:rPr>
              <w:t>10.1.11</w:t>
            </w:r>
          </w:p>
        </w:tc>
        <w:tc>
          <w:tcPr>
            <w:tcW w:w="1554" w:type="dxa"/>
          </w:tcPr>
          <w:p>
            <w:pPr>
              <w:pStyle w:val="TableParagraph"/>
              <w:spacing w:line="280" w:lineRule="auto" w:before="54"/>
              <w:ind w:left="161" w:right="104" w:hanging="1"/>
              <w:rPr>
                <w:rFonts w:ascii="黑体" w:eastAsia="黑体" w:hint="eastAsia"/>
                <w:sz w:val="21"/>
              </w:rPr>
            </w:pPr>
            <w:r>
              <w:rPr>
                <w:rFonts w:ascii="黑体" w:eastAsia="黑体" w:hint="eastAsia"/>
                <w:sz w:val="21"/>
              </w:rPr>
              <w:t>脑炎后遗症或脑膜炎后遗症</w:t>
            </w:r>
          </w:p>
        </w:tc>
        <w:tc>
          <w:tcPr>
            <w:tcW w:w="6993" w:type="dxa"/>
          </w:tcPr>
          <w:p>
            <w:pPr>
              <w:pStyle w:val="TableParagraph"/>
              <w:spacing w:line="278" w:lineRule="auto" w:before="54"/>
              <w:ind w:left="109" w:right="45"/>
              <w:rPr>
                <w:sz w:val="21"/>
              </w:rPr>
            </w:pPr>
            <w:r>
              <w:rPr>
                <w:spacing w:val="-4"/>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09"/>
              <w:rPr>
                <w:sz w:val="21"/>
              </w:rPr>
            </w:pPr>
            <w:r>
              <w:rPr>
                <w:sz w:val="21"/>
              </w:rPr>
              <w:t>(3)自主生活能力完全丧失，无法独立完成六项基本日常生活活动中的三项</w:t>
            </w:r>
          </w:p>
        </w:tc>
      </w:tr>
    </w:tbl>
    <w:p>
      <w:pPr>
        <w:pStyle w:val="BodyText"/>
        <w:spacing w:before="38"/>
        <w:ind w:left="3029"/>
      </w:pPr>
      <w:r>
        <w:rPr/>
        <w:t>或三项以上。</w:t>
      </w:r>
    </w:p>
    <w:p>
      <w:pPr>
        <w:pStyle w:val="BodyText"/>
        <w:spacing w:before="4"/>
        <w:rPr>
          <w:sz w:val="14"/>
        </w:rPr>
      </w:pPr>
    </w:p>
    <w:p>
      <w:pPr>
        <w:pStyle w:val="ListParagraph"/>
        <w:numPr>
          <w:ilvl w:val="2"/>
          <w:numId w:val="11"/>
        </w:numPr>
        <w:tabs>
          <w:tab w:pos="1211" w:val="left" w:leader="none"/>
          <w:tab w:pos="1212" w:val="left" w:leader="none"/>
          <w:tab w:pos="2713" w:val="left" w:leader="none"/>
        </w:tabs>
        <w:spacing w:line="280" w:lineRule="auto" w:before="0" w:after="0"/>
        <w:ind w:left="2713" w:right="107" w:hanging="2558"/>
        <w:jc w:val="left"/>
        <w:rPr>
          <w:sz w:val="21"/>
        </w:rPr>
      </w:pPr>
      <w:r>
        <w:rPr>
          <w:rFonts w:ascii="黑体" w:eastAsia="黑体" w:hint="eastAsia"/>
          <w:sz w:val="21"/>
        </w:rPr>
        <w:t>深度昏迷</w:t>
        <w:tab/>
      </w:r>
      <w:r>
        <w:rPr>
          <w:sz w:val="21"/>
        </w:rPr>
        <w:t>指因疾病或意外伤害导致意识丧</w:t>
      </w:r>
      <w:r>
        <w:rPr>
          <w:spacing w:val="2"/>
          <w:sz w:val="21"/>
        </w:rPr>
        <w:t>失</w:t>
      </w:r>
      <w:r>
        <w:rPr>
          <w:sz w:val="21"/>
        </w:rPr>
        <w:t>,对外界刺激和体内需求均无反</w:t>
      </w:r>
      <w:r>
        <w:rPr>
          <w:spacing w:val="2"/>
          <w:sz w:val="21"/>
        </w:rPr>
        <w:t>应</w:t>
      </w:r>
      <w:r>
        <w:rPr>
          <w:sz w:val="21"/>
        </w:rPr>
        <w:t>,昏迷 程度按照格拉斯哥昏迷分</w:t>
      </w:r>
      <w:r>
        <w:rPr>
          <w:spacing w:val="-47"/>
          <w:sz w:val="21"/>
        </w:rPr>
        <w:t>级</w:t>
      </w:r>
      <w:r>
        <w:rPr>
          <w:sz w:val="21"/>
        </w:rPr>
        <w:t>（Glasgow</w:t>
      </w:r>
      <w:r>
        <w:rPr>
          <w:spacing w:val="-54"/>
          <w:sz w:val="21"/>
        </w:rPr>
        <w:t> </w:t>
      </w:r>
      <w:r>
        <w:rPr>
          <w:sz w:val="21"/>
        </w:rPr>
        <w:t>coma</w:t>
      </w:r>
      <w:r>
        <w:rPr>
          <w:spacing w:val="-55"/>
          <w:sz w:val="21"/>
        </w:rPr>
        <w:t> </w:t>
      </w:r>
      <w:r>
        <w:rPr>
          <w:spacing w:val="-9"/>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713"/>
      </w:pPr>
      <w:r>
        <w:rPr>
          <w:shd w:fill="D9D9D9" w:color="auto" w:val="clear"/>
        </w:rPr>
        <w:t>因酗酒或药物滥用导致的深度昏迷不在保障范围内。</w:t>
      </w:r>
    </w:p>
    <w:p>
      <w:pPr>
        <w:pStyle w:val="ListParagraph"/>
        <w:numPr>
          <w:ilvl w:val="2"/>
          <w:numId w:val="11"/>
        </w:numPr>
        <w:tabs>
          <w:tab w:pos="1211" w:val="left" w:leader="none"/>
          <w:tab w:pos="1212" w:val="left" w:leader="none"/>
          <w:tab w:pos="2713" w:val="left" w:leader="none"/>
        </w:tabs>
        <w:spacing w:line="264" w:lineRule="auto" w:before="124" w:after="0"/>
        <w:ind w:left="2713" w:right="119" w:hanging="255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
          <w:sz w:val="21"/>
        </w:rPr>
        <w:t> </w:t>
      </w:r>
      <w:r>
        <w:rPr>
          <w:sz w:val="21"/>
        </w:rPr>
        <w:t>500</w:t>
      </w:r>
      <w:r>
        <w:rPr>
          <w:spacing w:val="-1"/>
          <w:sz w:val="21"/>
        </w:rPr>
        <w:t> </w:t>
      </w:r>
      <w:r>
        <w:rPr>
          <w:sz w:val="21"/>
        </w:rPr>
        <w:t>赫兹、1000赫兹和</w:t>
      </w:r>
      <w:r>
        <w:rPr>
          <w:spacing w:val="-59"/>
          <w:sz w:val="21"/>
        </w:rPr>
        <w:t> </w:t>
      </w:r>
      <w:r>
        <w:rPr>
          <w:sz w:val="21"/>
        </w:rPr>
        <w:t>2000</w:t>
      </w:r>
      <w:r>
        <w:rPr>
          <w:spacing w:val="-59"/>
          <w:sz w:val="21"/>
        </w:rPr>
        <w:t> </w:t>
      </w:r>
      <w:r>
        <w:rPr>
          <w:sz w:val="21"/>
        </w:rPr>
        <w:t>赫兹语音频率下，平均听阈大于</w:t>
      </w:r>
      <w:r>
        <w:rPr>
          <w:spacing w:val="-59"/>
          <w:sz w:val="21"/>
        </w:rPr>
        <w:t> </w:t>
      </w:r>
      <w:r>
        <w:rPr>
          <w:sz w:val="21"/>
        </w:rPr>
        <w:t>90</w:t>
      </w:r>
      <w:r>
        <w:rPr>
          <w:spacing w:val="-59"/>
          <w:sz w:val="21"/>
        </w:rPr>
        <w:t> </w:t>
      </w:r>
      <w:r>
        <w:rPr>
          <w:sz w:val="21"/>
        </w:rPr>
        <w:t>分贝，且经纯音听力测试、声导抗检测或听觉诱发电位检测等证实。</w:t>
      </w:r>
    </w:p>
    <w:p>
      <w:pPr>
        <w:pStyle w:val="BodyText"/>
        <w:spacing w:line="280" w:lineRule="auto" w:before="23"/>
        <w:ind w:left="2713" w:right="212"/>
      </w:pPr>
      <w:r>
        <w:rPr>
          <w:spacing w:val="-10"/>
          <w:shd w:fill="D9D9D9" w:color="auto" w:val="clear"/>
        </w:rPr>
        <w:t>申请理赔时，被保险人年龄必须在 </w:t>
      </w:r>
      <w:r>
        <w:rPr>
          <w:shd w:fill="D9D9D9" w:color="auto" w:val="clear"/>
        </w:rPr>
        <w:t>3</w:t>
      </w:r>
      <w:r>
        <w:rPr>
          <w:spacing w:val="-11"/>
          <w:shd w:fill="D9D9D9" w:color="auto" w:val="clear"/>
        </w:rPr>
        <w:t> 周岁以上，并且须提供理赔当时的听力丧失诊断及检查证据。</w:t>
      </w:r>
    </w:p>
    <w:p>
      <w:pPr>
        <w:pStyle w:val="ListParagraph"/>
        <w:numPr>
          <w:ilvl w:val="2"/>
          <w:numId w:val="11"/>
        </w:numPr>
        <w:tabs>
          <w:tab w:pos="1211" w:val="left" w:leader="none"/>
          <w:tab w:pos="1212" w:val="left" w:leader="none"/>
          <w:tab w:pos="2713" w:val="left" w:leader="none"/>
        </w:tabs>
        <w:spacing w:line="280" w:lineRule="auto" w:before="151" w:after="0"/>
        <w:ind w:left="2713" w:right="212" w:hanging="2558"/>
        <w:jc w:val="left"/>
        <w:rPr>
          <w:sz w:val="21"/>
        </w:rPr>
      </w:pPr>
      <w:r>
        <w:rPr>
          <w:rFonts w:ascii="黑体" w:eastAsia="黑体" w:hint="eastAsia"/>
          <w:sz w:val="21"/>
        </w:rPr>
        <w:t>双目失明</w:t>
        <w:tab/>
      </w:r>
      <w:r>
        <w:rPr>
          <w:spacing w:val="-1"/>
          <w:sz w:val="21"/>
        </w:rPr>
        <w:t>指因</w:t>
      </w:r>
      <w:r>
        <w:rPr>
          <w:sz w:val="21"/>
        </w:rPr>
        <w:t>疾病或意外伤害导致双眼视力永久不可逆性丧失</w:t>
      </w:r>
      <w:r>
        <w:rPr>
          <w:spacing w:val="-93"/>
          <w:sz w:val="21"/>
        </w:rPr>
        <w:t>，</w:t>
      </w:r>
      <w:r>
        <w:rPr>
          <w:sz w:val="21"/>
        </w:rPr>
        <w:t>双眼中较好眼须满足下列至少一项条件：</w:t>
      </w:r>
    </w:p>
    <w:p>
      <w:pPr>
        <w:pStyle w:val="BodyText"/>
        <w:spacing w:before="8"/>
        <w:ind w:left="2713"/>
      </w:pPr>
      <w:r>
        <w:rPr/>
        <w:t>(1)眼球缺失或摘除；</w:t>
      </w:r>
    </w:p>
    <w:p>
      <w:pPr>
        <w:pStyle w:val="BodyText"/>
        <w:spacing w:line="280" w:lineRule="auto" w:before="45"/>
        <w:ind w:left="3029" w:right="211" w:hanging="316"/>
      </w:pPr>
      <w:r>
        <w:rPr/>
        <w:t>(2)</w:t>
      </w:r>
      <w:r>
        <w:rPr>
          <w:spacing w:val="-8"/>
        </w:rPr>
        <w:t>矫正视力低于 </w:t>
      </w:r>
      <w:r>
        <w:rPr>
          <w:spacing w:val="-5"/>
        </w:rPr>
        <w:t>0.02（</w:t>
      </w:r>
      <w:r>
        <w:rPr>
          <w:spacing w:val="-3"/>
        </w:rPr>
        <w:t>采用国际标准视力表，如果使用其他视力表应进行换算</w:t>
      </w:r>
      <w:r>
        <w:rPr>
          <w:spacing w:val="-105"/>
        </w:rPr>
        <w:t>）</w:t>
      </w:r>
      <w:r>
        <w:rPr/>
        <w:t>；</w:t>
      </w:r>
    </w:p>
    <w:p>
      <w:pPr>
        <w:pStyle w:val="BodyText"/>
        <w:spacing w:before="8"/>
        <w:ind w:left="2713"/>
      </w:pPr>
      <w:r>
        <w:rPr/>
        <w:t>(3)视野半径小于 5 度。</w:t>
      </w:r>
    </w:p>
    <w:p>
      <w:pPr>
        <w:pStyle w:val="BodyText"/>
        <w:spacing w:line="280" w:lineRule="auto" w:before="45"/>
        <w:ind w:left="2713" w:right="212"/>
      </w:pPr>
      <w:r>
        <w:rPr>
          <w:spacing w:val="-10"/>
          <w:shd w:fill="D9D9D9" w:color="auto" w:val="clear"/>
        </w:rPr>
        <w:t>申请理赔时，被保险人年龄必须在 </w:t>
      </w:r>
      <w:r>
        <w:rPr>
          <w:shd w:fill="D9D9D9" w:color="auto" w:val="clear"/>
        </w:rPr>
        <w:t>3</w:t>
      </w:r>
      <w:r>
        <w:rPr>
          <w:spacing w:val="-11"/>
          <w:shd w:fill="D9D9D9" w:color="auto" w:val="clear"/>
        </w:rPr>
        <w:t> 周岁以上，并且须提供理赔当时的视力丧失诊断及检查证据。</w:t>
      </w:r>
    </w:p>
    <w:p>
      <w:pPr>
        <w:pStyle w:val="ListParagraph"/>
        <w:numPr>
          <w:ilvl w:val="2"/>
          <w:numId w:val="11"/>
        </w:numPr>
        <w:tabs>
          <w:tab w:pos="1211" w:val="left" w:leader="none"/>
        </w:tabs>
        <w:spacing w:line="278" w:lineRule="auto" w:before="151" w:after="0"/>
        <w:ind w:left="2713" w:right="212" w:hanging="2558"/>
        <w:jc w:val="both"/>
        <w:rPr>
          <w:sz w:val="21"/>
        </w:rPr>
      </w:pPr>
      <w:r>
        <w:rPr>
          <w:rFonts w:ascii="黑体" w:eastAsia="黑体" w:hint="eastAsia"/>
          <w:spacing w:val="1"/>
          <w:sz w:val="21"/>
        </w:rPr>
        <w:t>瘫痪         </w:t>
      </w:r>
      <w:r>
        <w:rPr>
          <w:spacing w:val="-4"/>
          <w:sz w:val="21"/>
        </w:rPr>
        <w:t>指因疾病或意外伤害导致两肢或两肢以上肢体机能永久完全丧失。肢体机能</w:t>
      </w:r>
      <w:r>
        <w:rPr>
          <w:spacing w:val="-13"/>
          <w:sz w:val="21"/>
        </w:rPr>
        <w:t>永久完全丧失，指疾病确诊 </w:t>
      </w:r>
      <w:r>
        <w:rPr>
          <w:sz w:val="21"/>
        </w:rPr>
        <w:t>180</w:t>
      </w:r>
      <w:r>
        <w:rPr>
          <w:spacing w:val="-13"/>
          <w:sz w:val="21"/>
        </w:rPr>
        <w:t> 天后或意外伤害发生 </w:t>
      </w:r>
      <w:r>
        <w:rPr>
          <w:sz w:val="21"/>
        </w:rPr>
        <w:t>180</w:t>
      </w:r>
      <w:r>
        <w:rPr>
          <w:spacing w:val="-13"/>
          <w:sz w:val="21"/>
        </w:rPr>
        <w:t> 天后，每肢三大关节中的两大关节仍然完全僵硬，或不能随意识活动。</w:t>
      </w:r>
    </w:p>
    <w:p>
      <w:pPr>
        <w:pStyle w:val="ListParagraph"/>
        <w:numPr>
          <w:ilvl w:val="2"/>
          <w:numId w:val="11"/>
        </w:numPr>
        <w:tabs>
          <w:tab w:pos="1211" w:val="left" w:leader="none"/>
          <w:tab w:pos="1212" w:val="left" w:leader="none"/>
          <w:tab w:pos="2713" w:val="left" w:leader="none"/>
        </w:tabs>
        <w:spacing w:line="280" w:lineRule="auto" w:before="153" w:after="0"/>
        <w:ind w:left="2713" w:right="328" w:hanging="2558"/>
        <w:jc w:val="left"/>
        <w:rPr>
          <w:sz w:val="21"/>
        </w:rPr>
      </w:pPr>
      <w:r>
        <w:rPr>
          <w:rFonts w:ascii="黑体" w:eastAsia="黑体" w:hint="eastAsia"/>
          <w:sz w:val="21"/>
        </w:rPr>
        <w:t>心脏瓣膜手术</w:t>
        <w:tab/>
      </w:r>
      <w:r>
        <w:rPr>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00" w:bottom="280" w:left="1100" w:right="1040"/>
        </w:sectPr>
      </w:pPr>
    </w:p>
    <w:p>
      <w:pPr>
        <w:pStyle w:val="ListParagraph"/>
        <w:numPr>
          <w:ilvl w:val="2"/>
          <w:numId w:val="11"/>
        </w:numPr>
        <w:tabs>
          <w:tab w:pos="1211" w:val="left" w:leader="none"/>
          <w:tab w:pos="1212" w:val="left" w:leader="none"/>
        </w:tabs>
        <w:spacing w:line="278" w:lineRule="auto" w:before="35" w:after="0"/>
        <w:ind w:left="1211" w:right="0" w:hanging="1056"/>
        <w:jc w:val="left"/>
        <w:rPr>
          <w:rFonts w:ascii="黑体" w:eastAsia="黑体" w:hint="eastAsia"/>
          <w:sz w:val="21"/>
        </w:rPr>
      </w:pPr>
      <w:r>
        <w:rPr>
          <w:rFonts w:ascii="黑体" w:eastAsia="黑体" w:hint="eastAsia"/>
          <w:spacing w:val="1"/>
          <w:sz w:val="21"/>
        </w:rPr>
        <w:t>严重阿尔茨海默病</w:t>
      </w:r>
    </w:p>
    <w:p>
      <w:pPr>
        <w:pStyle w:val="BodyText"/>
        <w:spacing w:line="278" w:lineRule="auto"/>
        <w:ind w:left="155" w:right="212"/>
      </w:pPr>
      <w:r>
        <w:rPr/>
        <w:br w:type="column"/>
      </w:r>
      <w:r>
        <w:rPr>
          <w:spacing w:val="-8"/>
        </w:rPr>
        <w:t>指因大脑进行性、不可逆性改变导致智能严重衰退或丧失，临床表现为明显</w:t>
      </w:r>
      <w:r>
        <w:rPr>
          <w:spacing w:val="-12"/>
        </w:rPr>
        <w:t>的认知能力障碍、行为异常和社交能力减退，其日常生活必须持续受到他人</w:t>
      </w:r>
    </w:p>
    <w:p>
      <w:pPr>
        <w:spacing w:after="0" w:line="278" w:lineRule="auto"/>
        <w:sectPr>
          <w:type w:val="continuous"/>
          <w:pgSz w:w="11910" w:h="16840"/>
          <w:pgMar w:top="1280" w:bottom="280" w:left="1100" w:right="1040"/>
          <w:cols w:num="2" w:equalWidth="0">
            <w:col w:w="2498" w:space="60"/>
            <w:col w:w="7212"/>
          </w:cols>
        </w:sectPr>
      </w:pPr>
    </w:p>
    <w:p>
      <w:pPr>
        <w:pStyle w:val="BodyText"/>
        <w:spacing w:line="278" w:lineRule="auto" w:before="8"/>
        <w:ind w:left="2673" w:right="110"/>
        <w:jc w:val="both"/>
      </w:pPr>
      <w:r>
        <w:rPr>
          <w:spacing w:val="-8"/>
        </w:rPr>
        <w:t>监护。须由头颅断层扫描</w:t>
      </w:r>
      <w:r>
        <w:rPr>
          <w:spacing w:val="-1"/>
        </w:rPr>
        <w:t>（CT</w:t>
      </w:r>
      <w:r>
        <w:rPr>
          <w:spacing w:val="-105"/>
        </w:rPr>
        <w:t>）</w:t>
      </w:r>
      <w:r>
        <w:rPr>
          <w:spacing w:val="-7"/>
        </w:rPr>
        <w:t>、核磁共振检查</w:t>
      </w:r>
      <w:r>
        <w:rPr>
          <w:spacing w:val="-1"/>
        </w:rPr>
        <w:t>（MRI</w:t>
      </w:r>
      <w:r>
        <w:rPr>
          <w:spacing w:val="-18"/>
        </w:rPr>
        <w:t>）</w:t>
      </w:r>
      <w:r>
        <w:rPr>
          <w:spacing w:val="-1"/>
        </w:rPr>
        <w:t>或正电子发射断层扫描（PET）等影像学检查证实，且自主生活能力完全丧失，无法独立完成六项基本日常生活活动中的三项或三项以上。</w:t>
      </w:r>
    </w:p>
    <w:p>
      <w:pPr>
        <w:pStyle w:val="BodyText"/>
        <w:spacing w:before="11"/>
        <w:ind w:left="2673"/>
      </w:pPr>
      <w:r>
        <w:rPr>
          <w:shd w:fill="D9D9D9" w:color="auto" w:val="clear"/>
        </w:rPr>
        <w:t>神经官能症和精神疾病不在保障范围内。</w:t>
      </w:r>
    </w:p>
    <w:p>
      <w:pPr>
        <w:pStyle w:val="BodyText"/>
        <w:spacing w:before="3"/>
        <w:rPr>
          <w:sz w:val="14"/>
        </w:rPr>
      </w:pPr>
    </w:p>
    <w:p>
      <w:pPr>
        <w:pStyle w:val="ListParagraph"/>
        <w:numPr>
          <w:ilvl w:val="2"/>
          <w:numId w:val="11"/>
        </w:numPr>
        <w:tabs>
          <w:tab w:pos="1171" w:val="left" w:leader="none"/>
          <w:tab w:pos="1172" w:val="left" w:leader="none"/>
          <w:tab w:pos="2673" w:val="left" w:leader="none"/>
        </w:tabs>
        <w:spacing w:line="278" w:lineRule="auto" w:before="0" w:after="0"/>
        <w:ind w:left="2673" w:right="111" w:hanging="2558"/>
        <w:jc w:val="left"/>
        <w:rPr>
          <w:sz w:val="21"/>
        </w:rPr>
      </w:pPr>
      <w:r>
        <w:rPr>
          <w:rFonts w:ascii="黑体" w:eastAsia="黑体" w:hint="eastAsia"/>
          <w:sz w:val="21"/>
        </w:rPr>
        <w:t>严重脑损伤</w:t>
        <w:tab/>
      </w:r>
      <w:r>
        <w:rPr>
          <w:sz w:val="21"/>
        </w:rPr>
        <w:t>指因头部遭受机械性外力</w:t>
      </w:r>
      <w:r>
        <w:rPr>
          <w:spacing w:val="-47"/>
          <w:sz w:val="21"/>
        </w:rPr>
        <w:t>，</w:t>
      </w:r>
      <w:r>
        <w:rPr>
          <w:sz w:val="21"/>
        </w:rPr>
        <w:t>引起脑重要部位损伤</w:t>
      </w:r>
      <w:r>
        <w:rPr>
          <w:spacing w:val="-47"/>
          <w:sz w:val="21"/>
        </w:rPr>
        <w:t>，</w:t>
      </w:r>
      <w:r>
        <w:rPr>
          <w:sz w:val="21"/>
        </w:rPr>
        <w:t>导致神经系统永久性的功</w:t>
      </w:r>
      <w:r>
        <w:rPr>
          <w:spacing w:val="-1"/>
          <w:sz w:val="21"/>
        </w:rPr>
        <w:t>能障碍</w:t>
      </w:r>
      <w:r>
        <w:rPr>
          <w:spacing w:val="-20"/>
          <w:sz w:val="21"/>
        </w:rPr>
        <w:t>。</w:t>
      </w:r>
      <w:r>
        <w:rPr>
          <w:spacing w:val="-1"/>
          <w:sz w:val="21"/>
        </w:rPr>
        <w:t>须由头颅断层扫</w:t>
      </w:r>
      <w:r>
        <w:rPr>
          <w:spacing w:val="-18"/>
          <w:sz w:val="21"/>
        </w:rPr>
        <w:t>描</w:t>
      </w:r>
      <w:r>
        <w:rPr>
          <w:spacing w:val="-1"/>
          <w:sz w:val="21"/>
        </w:rPr>
        <w:t>（CT</w:t>
      </w:r>
      <w:r>
        <w:rPr>
          <w:spacing w:val="-105"/>
          <w:sz w:val="21"/>
        </w:rPr>
        <w:t>）</w:t>
      </w:r>
      <w:r>
        <w:rPr>
          <w:spacing w:val="-20"/>
          <w:sz w:val="21"/>
        </w:rPr>
        <w:t>、</w:t>
      </w:r>
      <w:r>
        <w:rPr>
          <w:spacing w:val="-1"/>
          <w:sz w:val="21"/>
        </w:rPr>
        <w:t>核磁共振检</w:t>
      </w:r>
      <w:r>
        <w:rPr>
          <w:spacing w:val="-18"/>
          <w:sz w:val="21"/>
        </w:rPr>
        <w:t>查</w:t>
      </w:r>
      <w:r>
        <w:rPr>
          <w:spacing w:val="-1"/>
          <w:sz w:val="21"/>
        </w:rPr>
        <w:t>（MRI</w:t>
      </w:r>
      <w:r>
        <w:rPr>
          <w:spacing w:val="-18"/>
          <w:sz w:val="21"/>
        </w:rPr>
        <w:t>）</w:t>
      </w:r>
      <w:r>
        <w:rPr>
          <w:spacing w:val="-2"/>
          <w:sz w:val="21"/>
        </w:rPr>
        <w:t>或</w:t>
      </w:r>
      <w:r>
        <w:rPr>
          <w:spacing w:val="-1"/>
          <w:sz w:val="21"/>
        </w:rPr>
        <w:t>正电子发射</w:t>
      </w:r>
      <w:r>
        <w:rPr>
          <w:spacing w:val="0"/>
          <w:sz w:val="21"/>
        </w:rPr>
        <w:t>断</w:t>
      </w:r>
      <w:r>
        <w:rPr>
          <w:sz w:val="21"/>
        </w:rPr>
        <w:t>层扫</w:t>
      </w:r>
      <w:r>
        <w:rPr>
          <w:spacing w:val="-36"/>
          <w:sz w:val="21"/>
        </w:rPr>
        <w:t>描</w:t>
      </w:r>
      <w:r>
        <w:rPr>
          <w:spacing w:val="-8"/>
          <w:sz w:val="21"/>
        </w:rPr>
        <w:t>（PET）</w:t>
      </w:r>
      <w:r>
        <w:rPr>
          <w:sz w:val="21"/>
        </w:rPr>
        <w:t>等影像学检查证实</w:t>
      </w:r>
      <w:r>
        <w:rPr>
          <w:spacing w:val="-36"/>
          <w:sz w:val="21"/>
        </w:rPr>
        <w:t>。</w:t>
      </w:r>
      <w:r>
        <w:rPr>
          <w:sz w:val="21"/>
        </w:rPr>
        <w:t>神经系统永久性的功能障碍</w:t>
      </w:r>
      <w:r>
        <w:rPr>
          <w:spacing w:val="-36"/>
          <w:sz w:val="21"/>
        </w:rPr>
        <w:t>，</w:t>
      </w:r>
      <w:r>
        <w:rPr>
          <w:sz w:val="21"/>
        </w:rPr>
        <w:t>指脑损伤</w:t>
      </w:r>
      <w:r>
        <w:rPr>
          <w:spacing w:val="-69"/>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spacing w:before="10"/>
        <w:ind w:left="2989"/>
      </w:pPr>
      <w:r>
        <w:rPr/>
        <w:t>或三项以上。</w:t>
      </w:r>
    </w:p>
    <w:p>
      <w:pPr>
        <w:pStyle w:val="BodyText"/>
        <w:spacing w:before="3"/>
        <w:rPr>
          <w:sz w:val="14"/>
        </w:rPr>
      </w:pPr>
    </w:p>
    <w:p>
      <w:pPr>
        <w:pStyle w:val="ListParagraph"/>
        <w:numPr>
          <w:ilvl w:val="2"/>
          <w:numId w:val="11"/>
        </w:numPr>
        <w:tabs>
          <w:tab w:pos="1171" w:val="left" w:leader="none"/>
          <w:tab w:pos="1172" w:val="left" w:leader="none"/>
          <w:tab w:pos="2673" w:val="left" w:leader="none"/>
        </w:tabs>
        <w:spacing w:line="280" w:lineRule="auto" w:before="1" w:after="0"/>
        <w:ind w:left="2673" w:right="112" w:hanging="2558"/>
        <w:jc w:val="left"/>
        <w:rPr>
          <w:sz w:val="21"/>
        </w:rPr>
      </w:pPr>
      <w:r>
        <w:rPr>
          <w:rFonts w:ascii="黑体" w:eastAsia="黑体" w:hint="eastAsia"/>
          <w:sz w:val="21"/>
        </w:rPr>
        <w:t>严重帕金森病</w:t>
        <w:tab/>
      </w:r>
      <w:r>
        <w:rPr>
          <w:sz w:val="21"/>
        </w:rPr>
        <w:t>是一种中枢神经系统的退行性疾病</w:t>
      </w:r>
      <w:r>
        <w:rPr>
          <w:spacing w:val="-32"/>
          <w:sz w:val="21"/>
        </w:rPr>
        <w:t>，</w:t>
      </w:r>
      <w:r>
        <w:rPr>
          <w:sz w:val="21"/>
        </w:rPr>
        <w:t>临床表现为震颤麻痹</w:t>
      </w:r>
      <w:r>
        <w:rPr>
          <w:spacing w:val="-32"/>
          <w:sz w:val="21"/>
        </w:rPr>
        <w:t>、</w:t>
      </w:r>
      <w:r>
        <w:rPr>
          <w:sz w:val="21"/>
        </w:rPr>
        <w:t>共济失调等</w:t>
      </w:r>
      <w:r>
        <w:rPr>
          <w:spacing w:val="-32"/>
          <w:sz w:val="21"/>
        </w:rPr>
        <w:t>。</w:t>
      </w:r>
      <w:r>
        <w:rPr>
          <w:sz w:val="21"/>
        </w:rPr>
        <w:t>须满足下列全部条件：</w:t>
      </w:r>
    </w:p>
    <w:p>
      <w:pPr>
        <w:pStyle w:val="BodyText"/>
        <w:spacing w:before="10"/>
        <w:ind w:left="2673"/>
      </w:pPr>
      <w:r>
        <w:rPr/>
        <w:t>(1)药物治疗无法控制病情；</w:t>
      </w:r>
    </w:p>
    <w:p>
      <w:pPr>
        <w:pStyle w:val="BodyText"/>
        <w:spacing w:line="280" w:lineRule="auto" w:before="44"/>
        <w:ind w:left="2989" w:right="110" w:hanging="316"/>
      </w:pPr>
      <w:r>
        <w:rPr/>
        <w:t>(2)自主生活能力完全丧失，无法独立完成六项基本日常生活活动中的三项或三项以上。</w:t>
      </w:r>
    </w:p>
    <w:p>
      <w:pPr>
        <w:pStyle w:val="BodyText"/>
        <w:spacing w:before="9"/>
        <w:ind w:left="2673"/>
      </w:pPr>
      <w:r>
        <w:rPr>
          <w:shd w:fill="D9D9D9" w:color="auto" w:val="clear"/>
        </w:rPr>
        <w:t>继发性帕金森综合征不在保障范围内。</w:t>
      </w:r>
    </w:p>
    <w:p>
      <w:pPr>
        <w:pStyle w:val="BodyText"/>
        <w:spacing w:before="3"/>
        <w:rPr>
          <w:sz w:val="14"/>
        </w:rPr>
      </w:pPr>
    </w:p>
    <w:p>
      <w:pPr>
        <w:pStyle w:val="ListParagraph"/>
        <w:numPr>
          <w:ilvl w:val="2"/>
          <w:numId w:val="11"/>
        </w:numPr>
        <w:tabs>
          <w:tab w:pos="1171" w:val="left" w:leader="none"/>
          <w:tab w:pos="1172" w:val="left" w:leader="none"/>
          <w:tab w:pos="2673" w:val="left" w:leader="none"/>
        </w:tabs>
        <w:spacing w:line="278" w:lineRule="auto" w:before="0" w:after="0"/>
        <w:ind w:left="2673" w:right="124" w:hanging="255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spacing w:before="0"/>
        <w:rPr>
          <w:sz w:val="9"/>
        </w:rPr>
      </w:pPr>
    </w:p>
    <w:p>
      <w:pPr>
        <w:spacing w:after="0"/>
        <w:rPr>
          <w:sz w:val="9"/>
        </w:rPr>
        <w:sectPr>
          <w:pgSz w:w="11910" w:h="16840"/>
          <w:pgMar w:top="1420" w:bottom="280" w:left="1140" w:right="1140"/>
        </w:sectPr>
      </w:pPr>
    </w:p>
    <w:p>
      <w:pPr>
        <w:pStyle w:val="ListParagraph"/>
        <w:numPr>
          <w:ilvl w:val="2"/>
          <w:numId w:val="11"/>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pacing w:val="1"/>
          <w:sz w:val="21"/>
        </w:rPr>
        <w:t>严重原发性肺</w:t>
      </w:r>
    </w:p>
    <w:p>
      <w:pPr>
        <w:pStyle w:val="BodyText"/>
        <w:spacing w:before="45"/>
        <w:ind w:left="1171"/>
        <w:rPr>
          <w:rFonts w:ascii="黑体" w:eastAsia="黑体" w:hint="eastAsia"/>
        </w:rPr>
      </w:pPr>
      <w:r>
        <w:rPr>
          <w:rFonts w:ascii="黑体" w:eastAsia="黑体" w:hint="eastAsia"/>
        </w:rPr>
        <w:t>动脉高压</w:t>
      </w:r>
    </w:p>
    <w:p>
      <w:pPr>
        <w:pStyle w:val="BodyText"/>
        <w:spacing w:line="280" w:lineRule="auto"/>
        <w:ind w:left="115" w:right="112"/>
        <w:jc w:val="both"/>
      </w:pPr>
      <w:r>
        <w:rPr/>
        <w:br w:type="column"/>
      </w:r>
      <w:r>
        <w:rPr>
          <w:spacing w:val="-5"/>
        </w:rPr>
        <w:t>指不明原因的肺动脉压力持续性增高，进行性发展而导致的慢性疾病，已经</w:t>
      </w:r>
      <w:r>
        <w:rPr>
          <w:spacing w:val="-10"/>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80" w:lineRule="auto"/>
        <w:jc w:val="both"/>
        <w:sectPr>
          <w:type w:val="continuous"/>
          <w:pgSz w:w="11910" w:h="16840"/>
          <w:pgMar w:top="1280" w:bottom="280" w:left="1140" w:right="1140"/>
          <w:cols w:num="2" w:equalWidth="0">
            <w:col w:w="2458" w:space="100"/>
            <w:col w:w="7072"/>
          </w:cols>
        </w:sectPr>
      </w:pPr>
    </w:p>
    <w:p>
      <w:pPr>
        <w:pStyle w:val="BodyText"/>
        <w:spacing w:before="11"/>
        <w:rPr>
          <w:sz w:val="8"/>
        </w:rPr>
      </w:pPr>
    </w:p>
    <w:p>
      <w:pPr>
        <w:spacing w:after="0"/>
        <w:rPr>
          <w:sz w:val="8"/>
        </w:rPr>
        <w:sectPr>
          <w:type w:val="continuous"/>
          <w:pgSz w:w="11910" w:h="16840"/>
          <w:pgMar w:top="1280" w:bottom="280" w:left="1140" w:right="1140"/>
        </w:sectPr>
      </w:pPr>
    </w:p>
    <w:p>
      <w:pPr>
        <w:pStyle w:val="ListParagraph"/>
        <w:numPr>
          <w:ilvl w:val="2"/>
          <w:numId w:val="11"/>
        </w:numPr>
        <w:tabs>
          <w:tab w:pos="1171" w:val="left" w:leader="none"/>
          <w:tab w:pos="1172" w:val="left" w:leader="none"/>
        </w:tabs>
        <w:spacing w:line="278" w:lineRule="auto" w:before="35" w:after="0"/>
        <w:ind w:left="1171" w:right="0" w:hanging="1056"/>
        <w:jc w:val="left"/>
        <w:rPr>
          <w:rFonts w:ascii="黑体" w:eastAsia="黑体" w:hint="eastAsia"/>
          <w:sz w:val="21"/>
        </w:rPr>
      </w:pPr>
      <w:r>
        <w:rPr>
          <w:rFonts w:ascii="黑体" w:eastAsia="黑体" w:hint="eastAsia"/>
          <w:spacing w:val="1"/>
          <w:sz w:val="21"/>
        </w:rPr>
        <w:t>严重运动神经元病</w:t>
      </w:r>
    </w:p>
    <w:p>
      <w:pPr>
        <w:pStyle w:val="BodyText"/>
        <w:spacing w:line="278" w:lineRule="auto"/>
        <w:ind w:left="115" w:right="110"/>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4"/>
        </w:rPr>
        <w:t>自主生活能力完全丧失，无法独立完成六项基本日常生活活动中的三项或三项以上的条件。</w:t>
      </w:r>
    </w:p>
    <w:p>
      <w:pPr>
        <w:spacing w:after="0" w:line="278" w:lineRule="auto"/>
        <w:sectPr>
          <w:type w:val="continuous"/>
          <w:pgSz w:w="11910" w:h="16840"/>
          <w:pgMar w:top="1280" w:bottom="280" w:left="1140" w:right="1140"/>
          <w:cols w:num="2" w:equalWidth="0">
            <w:col w:w="2458" w:space="100"/>
            <w:col w:w="7072"/>
          </w:cols>
        </w:sectPr>
      </w:pPr>
    </w:p>
    <w:p>
      <w:pPr>
        <w:pStyle w:val="BodyText"/>
        <w:spacing w:before="0"/>
        <w:rPr>
          <w:sz w:val="9"/>
        </w:rPr>
      </w:pPr>
    </w:p>
    <w:p>
      <w:pPr>
        <w:pStyle w:val="ListParagraph"/>
        <w:numPr>
          <w:ilvl w:val="2"/>
          <w:numId w:val="11"/>
        </w:numPr>
        <w:tabs>
          <w:tab w:pos="1171" w:val="left" w:leader="none"/>
          <w:tab w:pos="1172" w:val="left" w:leader="none"/>
          <w:tab w:pos="2673" w:val="left" w:leader="none"/>
        </w:tabs>
        <w:spacing w:line="278" w:lineRule="auto" w:before="35" w:after="0"/>
        <w:ind w:left="2673" w:right="110" w:hanging="2558"/>
        <w:jc w:val="left"/>
        <w:rPr>
          <w:sz w:val="21"/>
        </w:rPr>
      </w:pPr>
      <w:r>
        <w:rPr>
          <w:rFonts w:ascii="黑体" w:eastAsia="黑体" w:hint="eastAsia"/>
          <w:sz w:val="21"/>
        </w:rPr>
        <w:t>语言能力丧失</w:t>
        <w:tab/>
      </w:r>
      <w:r>
        <w:rPr>
          <w:sz w:val="21"/>
        </w:rPr>
        <w:t>指因疾病或意外伤害导致完全丧失语言能力</w:t>
      </w:r>
      <w:r>
        <w:rPr>
          <w:spacing w:val="-99"/>
          <w:sz w:val="21"/>
        </w:rPr>
        <w:t>，</w:t>
      </w:r>
      <w:r>
        <w:rPr>
          <w:sz w:val="21"/>
        </w:rPr>
        <w:t>经过积极治疗至少</w:t>
      </w:r>
      <w:r>
        <w:rPr>
          <w:spacing w:val="-57"/>
          <w:sz w:val="21"/>
        </w:rPr>
        <w:t> </w:t>
      </w:r>
      <w:r>
        <w:rPr>
          <w:sz w:val="21"/>
        </w:rPr>
        <w:t>12</w:t>
      </w:r>
      <w:r>
        <w:rPr>
          <w:spacing w:val="-57"/>
          <w:sz w:val="21"/>
        </w:rPr>
        <w:t> </w:t>
      </w:r>
      <w:r>
        <w:rPr>
          <w:sz w:val="21"/>
        </w:rPr>
        <w:t>个</w:t>
      </w:r>
      <w:r>
        <w:rPr>
          <w:spacing w:val="-99"/>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73"/>
      </w:pPr>
      <w:r>
        <w:rPr>
          <w:shd w:fill="D9D9D9" w:color="auto" w:val="clea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40" w:right="1140"/>
        </w:sectPr>
      </w:pPr>
    </w:p>
    <w:p>
      <w:pPr>
        <w:pStyle w:val="ListParagraph"/>
        <w:numPr>
          <w:ilvl w:val="2"/>
          <w:numId w:val="11"/>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pacing w:val="2"/>
          <w:sz w:val="21"/>
        </w:rPr>
        <w:t>重型再</w:t>
      </w:r>
      <w:r>
        <w:rPr>
          <w:rFonts w:ascii="黑体" w:eastAsia="黑体" w:hint="eastAsia"/>
          <w:sz w:val="21"/>
        </w:rPr>
        <w:t>Th</w:t>
      </w:r>
      <w:r>
        <w:rPr>
          <w:rFonts w:ascii="黑体" w:eastAsia="黑体" w:hint="eastAsia"/>
          <w:spacing w:val="0"/>
          <w:sz w:val="21"/>
        </w:rPr>
        <w:t>障碍</w:t>
      </w:r>
    </w:p>
    <w:p>
      <w:pPr>
        <w:pStyle w:val="BodyText"/>
        <w:spacing w:before="45"/>
        <w:ind w:left="1171"/>
        <w:rPr>
          <w:rFonts w:ascii="黑体" w:eastAsia="黑体" w:hint="eastAsia"/>
        </w:rPr>
      </w:pPr>
      <w:r>
        <w:rPr>
          <w:rFonts w:ascii="黑体" w:eastAsia="黑体" w:hint="eastAsia"/>
        </w:rPr>
        <w:t>性贫血</w:t>
      </w:r>
    </w:p>
    <w:p>
      <w:pPr>
        <w:pStyle w:val="BodyText"/>
        <w:spacing w:line="280" w:lineRule="auto"/>
        <w:ind w:left="115" w:right="112"/>
      </w:pPr>
      <w:r>
        <w:rPr/>
        <w:br w:type="column"/>
      </w:r>
      <w:r>
        <w:rPr>
          <w:spacing w:val="-5"/>
        </w:rPr>
        <w:t>指因骨髓造血功能慢性持续性衰竭导致的贫血、中性粒细胞减少及血小板减少。须满足下列全部条件：</w:t>
      </w:r>
    </w:p>
    <w:p>
      <w:pPr>
        <w:pStyle w:val="BodyText"/>
        <w:spacing w:line="280" w:lineRule="auto" w:before="8"/>
        <w:ind w:left="115" w:right="2842"/>
      </w:pPr>
      <w:r>
        <w:rPr/>
        <w:t>(1)骨髓穿刺检查或骨髓活检结果支持诊断； (2)外周血象须具备以下三项条件：</w:t>
      </w:r>
    </w:p>
    <w:p>
      <w:pPr>
        <w:pStyle w:val="BodyText"/>
        <w:spacing w:before="9"/>
        <w:ind w:left="430"/>
      </w:pPr>
      <w:r>
        <w:rPr/>
        <w:t>①中性粒细胞绝对值≤0.5×10</w:t>
      </w:r>
      <w:r>
        <w:rPr>
          <w:position w:val="11"/>
          <w:sz w:val="11"/>
        </w:rPr>
        <w:t>9</w:t>
      </w:r>
      <w:r>
        <w:rPr/>
        <w:t>/L ；</w:t>
      </w:r>
    </w:p>
    <w:p>
      <w:pPr>
        <w:pStyle w:val="BodyText"/>
        <w:spacing w:before="38"/>
        <w:ind w:left="430"/>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30"/>
      </w:pPr>
      <w:r>
        <w:rPr/>
        <w:t>③血小板绝对值≤20×10</w:t>
      </w:r>
      <w:r>
        <w:rPr>
          <w:position w:val="11"/>
          <w:sz w:val="11"/>
        </w:rPr>
        <w:t>9</w:t>
      </w:r>
      <w:r>
        <w:rPr/>
        <w:t>/L。</w:t>
      </w:r>
    </w:p>
    <w:p>
      <w:pPr>
        <w:spacing w:after="0"/>
        <w:sectPr>
          <w:type w:val="continuous"/>
          <w:pgSz w:w="11910" w:h="16840"/>
          <w:pgMar w:top="1280" w:bottom="280" w:left="1140" w:right="1140"/>
          <w:cols w:num="2" w:equalWidth="0">
            <w:col w:w="2458" w:space="100"/>
            <w:col w:w="7072"/>
          </w:cols>
        </w:sectPr>
      </w:pPr>
    </w:p>
    <w:p>
      <w:pPr>
        <w:pStyle w:val="BodyText"/>
        <w:spacing w:before="8"/>
        <w:rPr>
          <w:sz w:val="11"/>
        </w:rPr>
      </w:pPr>
    </w:p>
    <w:p>
      <w:pPr>
        <w:pStyle w:val="ListParagraph"/>
        <w:numPr>
          <w:ilvl w:val="2"/>
          <w:numId w:val="11"/>
        </w:numPr>
        <w:tabs>
          <w:tab w:pos="1172" w:val="left" w:leader="none"/>
        </w:tabs>
        <w:spacing w:line="278" w:lineRule="auto" w:before="35" w:after="0"/>
        <w:ind w:left="2673" w:right="112" w:hanging="2558"/>
        <w:jc w:val="both"/>
        <w:rPr>
          <w:sz w:val="21"/>
        </w:rPr>
      </w:pPr>
      <w:r>
        <w:rPr>
          <w:rFonts w:ascii="黑体" w:eastAsia="黑体" w:hint="eastAsia"/>
          <w:spacing w:val="2"/>
          <w:sz w:val="21"/>
        </w:rPr>
        <w:t>主动脉手术   </w:t>
      </w:r>
      <w:r>
        <w:rPr>
          <w:spacing w:val="-7"/>
          <w:sz w:val="21"/>
        </w:rPr>
        <w:t>指为治疗主动脉疾病，实际实施了开胸或开腹进行的切除、置换、修补病损</w:t>
      </w:r>
      <w:r>
        <w:rPr>
          <w:spacing w:val="-12"/>
          <w:sz w:val="21"/>
        </w:rPr>
        <w:t>主动脉血管的手术。主动脉指胸主动脉和腹主动脉，不包括胸主动脉和腹主动脉的分支血管。</w:t>
      </w:r>
    </w:p>
    <w:p>
      <w:pPr>
        <w:spacing w:after="0" w:line="278" w:lineRule="auto"/>
        <w:jc w:val="both"/>
        <w:rPr>
          <w:sz w:val="21"/>
        </w:rPr>
        <w:sectPr>
          <w:type w:val="continuous"/>
          <w:pgSz w:w="11910" w:h="16840"/>
          <w:pgMar w:top="1280" w:bottom="280" w:left="1140" w:right="11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54"/>
        <w:gridCol w:w="6996"/>
      </w:tblGrid>
      <w:tr>
        <w:trPr>
          <w:trHeight w:val="336" w:hRule="atLeast"/>
        </w:trPr>
        <w:tc>
          <w:tcPr>
            <w:tcW w:w="2499" w:type="dxa"/>
            <w:gridSpan w:val="2"/>
          </w:tcPr>
          <w:p>
            <w:pPr>
              <w:pStyle w:val="TableParagraph"/>
              <w:spacing w:before="0"/>
              <w:ind w:left="0"/>
              <w:rPr>
                <w:rFonts w:ascii="Times New Roman"/>
                <w:sz w:val="20"/>
              </w:rPr>
            </w:pPr>
          </w:p>
        </w:tc>
        <w:tc>
          <w:tcPr>
            <w:tcW w:w="6996" w:type="dxa"/>
          </w:tcPr>
          <w:p>
            <w:pPr>
              <w:pStyle w:val="TableParagraph"/>
              <w:spacing w:line="204" w:lineRule="exact" w:before="0"/>
              <w:ind w:left="109"/>
              <w:rPr>
                <w:sz w:val="21"/>
              </w:rPr>
            </w:pPr>
            <w:r>
              <w:rPr>
                <w:sz w:val="21"/>
                <w:shd w:fill="D9D9D9" w:color="auto" w:val="clear"/>
              </w:rPr>
              <w:t>动脉内血管成形术不在保障范围内。</w:t>
            </w:r>
          </w:p>
        </w:tc>
      </w:tr>
      <w:tr>
        <w:trPr>
          <w:trHeight w:val="1421" w:hRule="atLeast"/>
        </w:trPr>
        <w:tc>
          <w:tcPr>
            <w:tcW w:w="945" w:type="dxa"/>
          </w:tcPr>
          <w:p>
            <w:pPr>
              <w:pStyle w:val="TableParagraph"/>
              <w:spacing w:before="54"/>
              <w:rPr>
                <w:rFonts w:ascii="黑体"/>
                <w:sz w:val="21"/>
              </w:rPr>
            </w:pPr>
            <w:r>
              <w:rPr>
                <w:rFonts w:ascii="黑体"/>
                <w:sz w:val="21"/>
              </w:rPr>
              <w:t>10.1.26</w:t>
            </w:r>
          </w:p>
        </w:tc>
        <w:tc>
          <w:tcPr>
            <w:tcW w:w="1554" w:type="dxa"/>
          </w:tcPr>
          <w:p>
            <w:pPr>
              <w:pStyle w:val="TableParagraph"/>
              <w:spacing w:before="54"/>
              <w:ind w:left="0" w:right="131"/>
              <w:jc w:val="right"/>
              <w:rPr>
                <w:rFonts w:ascii="黑体" w:eastAsia="黑体" w:hint="eastAsia"/>
                <w:sz w:val="21"/>
              </w:rPr>
            </w:pPr>
            <w:r>
              <w:rPr>
                <w:rFonts w:ascii="黑体" w:eastAsia="黑体" w:hint="eastAsia"/>
                <w:sz w:val="21"/>
              </w:rPr>
              <w:t>肾髓质囊性病</w:t>
            </w:r>
          </w:p>
        </w:tc>
        <w:tc>
          <w:tcPr>
            <w:tcW w:w="6996" w:type="dxa"/>
          </w:tcPr>
          <w:p>
            <w:pPr>
              <w:pStyle w:val="TableParagraph"/>
              <w:spacing w:line="278" w:lineRule="auto" w:before="54"/>
              <w:ind w:left="109" w:right="1530"/>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945" w:type="dxa"/>
          </w:tcPr>
          <w:p>
            <w:pPr>
              <w:pStyle w:val="TableParagraph"/>
              <w:spacing w:before="54"/>
              <w:rPr>
                <w:rFonts w:ascii="黑体"/>
                <w:sz w:val="21"/>
              </w:rPr>
            </w:pPr>
            <w:r>
              <w:rPr>
                <w:rFonts w:ascii="黑体"/>
                <w:sz w:val="21"/>
              </w:rPr>
              <w:t>10.1.27</w:t>
            </w:r>
          </w:p>
        </w:tc>
        <w:tc>
          <w:tcPr>
            <w:tcW w:w="1554" w:type="dxa"/>
          </w:tcPr>
          <w:p>
            <w:pPr>
              <w:pStyle w:val="TableParagraph"/>
              <w:spacing w:before="54"/>
              <w:ind w:left="0" w:right="131"/>
              <w:jc w:val="right"/>
              <w:rPr>
                <w:rFonts w:ascii="黑体" w:eastAsia="黑体" w:hint="eastAsia"/>
                <w:sz w:val="21"/>
              </w:rPr>
            </w:pPr>
            <w:r>
              <w:rPr>
                <w:rFonts w:ascii="黑体" w:eastAsia="黑体" w:hint="eastAsia"/>
                <w:sz w:val="21"/>
              </w:rPr>
              <w:t>原发性心肌病</w:t>
            </w:r>
          </w:p>
        </w:tc>
        <w:tc>
          <w:tcPr>
            <w:tcW w:w="6996" w:type="dxa"/>
          </w:tcPr>
          <w:p>
            <w:pPr>
              <w:pStyle w:val="TableParagraph"/>
              <w:spacing w:line="278" w:lineRule="auto" w:before="54"/>
              <w:ind w:left="109" w:right="46"/>
              <w:jc w:val="both"/>
              <w:rPr>
                <w:sz w:val="21"/>
              </w:rPr>
            </w:pP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10"/>
                <w:sz w:val="21"/>
              </w:rPr>
              <w:t> 级。被保险人永久不可逆性的体力活动能力受限，不能从事任何体力活动。</w:t>
            </w:r>
          </w:p>
        </w:tc>
      </w:tr>
      <w:tr>
        <w:trPr>
          <w:trHeight w:val="1421" w:hRule="atLeast"/>
        </w:trPr>
        <w:tc>
          <w:tcPr>
            <w:tcW w:w="945" w:type="dxa"/>
          </w:tcPr>
          <w:p>
            <w:pPr>
              <w:pStyle w:val="TableParagraph"/>
              <w:spacing w:before="54"/>
              <w:rPr>
                <w:rFonts w:ascii="黑体"/>
                <w:sz w:val="21"/>
              </w:rPr>
            </w:pPr>
            <w:r>
              <w:rPr>
                <w:rFonts w:ascii="黑体"/>
                <w:sz w:val="21"/>
              </w:rPr>
              <w:t>10.1.28</w:t>
            </w:r>
          </w:p>
        </w:tc>
        <w:tc>
          <w:tcPr>
            <w:tcW w:w="1554" w:type="dxa"/>
          </w:tcPr>
          <w:p>
            <w:pPr>
              <w:pStyle w:val="TableParagraph"/>
              <w:spacing w:line="280" w:lineRule="auto" w:before="54"/>
              <w:ind w:left="161" w:right="104" w:hanging="1"/>
              <w:rPr>
                <w:rFonts w:ascii="黑体" w:eastAsia="黑体" w:hint="eastAsia"/>
                <w:sz w:val="21"/>
              </w:rPr>
            </w:pPr>
            <w:r>
              <w:rPr>
                <w:rFonts w:ascii="黑体" w:eastAsia="黑体" w:hint="eastAsia"/>
                <w:sz w:val="21"/>
              </w:rPr>
              <w:t>持续植物人状态</w:t>
            </w:r>
          </w:p>
        </w:tc>
        <w:tc>
          <w:tcPr>
            <w:tcW w:w="6996" w:type="dxa"/>
          </w:tcPr>
          <w:p>
            <w:pPr>
              <w:pStyle w:val="TableParagraph"/>
              <w:spacing w:line="278" w:lineRule="auto" w:before="54"/>
              <w:ind w:left="109" w:right="48"/>
              <w:jc w:val="both"/>
              <w:rPr>
                <w:sz w:val="21"/>
              </w:rPr>
            </w:pPr>
            <w:r>
              <w:rPr>
                <w:spacing w:val="-10"/>
                <w:sz w:val="21"/>
              </w:rPr>
              <w:t>是指由脑外伤、缺氧持续状态、严重的脑炎或者某种神经毒素造成大脑皮层</w:t>
            </w:r>
            <w:r>
              <w:rPr>
                <w:spacing w:val="-13"/>
                <w:sz w:val="21"/>
              </w:rPr>
              <w:t>广泛性损害，而脑干功能相对保留所致的一种丧失生理、意识和交流功能后</w:t>
            </w:r>
            <w:r>
              <w:rPr>
                <w:spacing w:val="-17"/>
                <w:sz w:val="21"/>
              </w:rPr>
              <w:t>的临床状态，并且该状态已持续 </w:t>
            </w:r>
            <w:r>
              <w:rPr>
                <w:sz w:val="21"/>
              </w:rPr>
              <w:t>30</w:t>
            </w:r>
            <w:r>
              <w:rPr>
                <w:spacing w:val="-9"/>
                <w:sz w:val="21"/>
              </w:rPr>
              <w:t> 天以上。患者无法从事主动或者有目的的活动，但保留了躯体生存的基本功能，如新陈代谢、生长发育等。</w:t>
            </w:r>
          </w:p>
        </w:tc>
      </w:tr>
      <w:tr>
        <w:trPr>
          <w:trHeight w:val="1616" w:hRule="atLeast"/>
        </w:trPr>
        <w:tc>
          <w:tcPr>
            <w:tcW w:w="945" w:type="dxa"/>
          </w:tcPr>
          <w:p>
            <w:pPr>
              <w:pStyle w:val="TableParagraph"/>
              <w:spacing w:before="54"/>
              <w:rPr>
                <w:rFonts w:ascii="黑体"/>
                <w:sz w:val="21"/>
              </w:rPr>
            </w:pPr>
            <w:r>
              <w:rPr>
                <w:rFonts w:ascii="黑体"/>
                <w:sz w:val="21"/>
              </w:rPr>
              <w:t>10.1.29</w:t>
            </w:r>
          </w:p>
        </w:tc>
        <w:tc>
          <w:tcPr>
            <w:tcW w:w="1554" w:type="dxa"/>
          </w:tcPr>
          <w:p>
            <w:pPr>
              <w:pStyle w:val="TableParagraph"/>
              <w:spacing w:line="280" w:lineRule="auto" w:before="54"/>
              <w:ind w:left="161" w:right="104" w:hanging="1"/>
              <w:rPr>
                <w:rFonts w:ascii="黑体" w:eastAsia="黑体" w:hint="eastAsia"/>
                <w:sz w:val="21"/>
              </w:rPr>
            </w:pPr>
            <w:r>
              <w:rPr>
                <w:rFonts w:ascii="黑体" w:eastAsia="黑体" w:hint="eastAsia"/>
                <w:sz w:val="21"/>
              </w:rPr>
              <w:t>全身性重症肌无力</w:t>
            </w:r>
          </w:p>
        </w:tc>
        <w:tc>
          <w:tcPr>
            <w:tcW w:w="6996" w:type="dxa"/>
          </w:tcPr>
          <w:p>
            <w:pPr>
              <w:pStyle w:val="TableParagraph"/>
              <w:spacing w:line="278" w:lineRule="auto" w:before="54"/>
              <w:ind w:left="109" w:right="45"/>
              <w:rPr>
                <w:sz w:val="21"/>
              </w:rPr>
            </w:pPr>
            <w:r>
              <w:rPr>
                <w:spacing w:val="-4"/>
                <w:sz w:val="21"/>
              </w:rPr>
              <w:t>重症肌无力是一种神经肌肉接头传递障碍所致的疾病，表现为局部或全身骨</w:t>
            </w:r>
            <w:r>
              <w:rPr>
                <w:spacing w:val="-14"/>
                <w:sz w:val="21"/>
              </w:rPr>
              <w:t>骼肌</w:t>
            </w:r>
            <w:r>
              <w:rPr>
                <w:sz w:val="21"/>
              </w:rPr>
              <w:t>（特别是眼外肌</w:t>
            </w:r>
            <w:r>
              <w:rPr>
                <w:spacing w:val="-23"/>
                <w:sz w:val="21"/>
              </w:rPr>
              <w:t>）</w:t>
            </w:r>
            <w:r>
              <w:rPr>
                <w:spacing w:val="-7"/>
                <w:sz w:val="21"/>
              </w:rPr>
              <w:t>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61" w:lineRule="exact" w:before="11"/>
              <w:ind w:left="109"/>
              <w:rPr>
                <w:sz w:val="21"/>
              </w:rPr>
            </w:pPr>
            <w:r>
              <w:rPr>
                <w:sz w:val="21"/>
              </w:rPr>
              <w:t>(2)自主生活能力完全丧失，无法独立完成六项基本日常生活活动中的三项</w:t>
            </w:r>
          </w:p>
        </w:tc>
      </w:tr>
    </w:tbl>
    <w:p>
      <w:pPr>
        <w:pStyle w:val="BodyText"/>
        <w:spacing w:before="38"/>
        <w:ind w:left="3029"/>
      </w:pPr>
      <w:r>
        <w:rPr/>
        <w:t>或三项以上。</w:t>
      </w:r>
    </w:p>
    <w:p>
      <w:pPr>
        <w:pStyle w:val="BodyText"/>
        <w:spacing w:before="4"/>
        <w:rPr>
          <w:sz w:val="14"/>
        </w:rPr>
      </w:pPr>
    </w:p>
    <w:p>
      <w:pPr>
        <w:pStyle w:val="BodyText"/>
        <w:tabs>
          <w:tab w:pos="1211" w:val="left" w:leader="none"/>
          <w:tab w:pos="2713" w:val="left" w:leader="none"/>
        </w:tabs>
        <w:spacing w:before="0"/>
        <w:ind w:left="155"/>
      </w:pPr>
      <w:r>
        <w:rPr>
          <w:rFonts w:ascii="黑体" w:eastAsia="黑体" w:hint="eastAsia"/>
        </w:rPr>
        <w:t>10.1.30</w:t>
        <w:tab/>
        <w:t>坏死性筋膜炎</w:t>
        <w:tab/>
      </w:r>
      <w:r>
        <w:rPr/>
        <w:t>坏死性筋膜炎的诊断须同时符合下列要求：</w:t>
      </w:r>
    </w:p>
    <w:p>
      <w:pPr>
        <w:pStyle w:val="BodyText"/>
        <w:spacing w:line="280" w:lineRule="auto" w:before="45"/>
        <w:ind w:left="2713" w:right="3302"/>
      </w:pPr>
      <w:r>
        <w:rPr/>
        <w:t>(1)符合坏死性筋膜炎的一般临床表现； (2)细菌培养检出致病菌；</w:t>
      </w:r>
    </w:p>
    <w:p>
      <w:pPr>
        <w:pStyle w:val="BodyText"/>
        <w:spacing w:line="280" w:lineRule="auto" w:before="8"/>
        <w:ind w:left="3029" w:right="150" w:hanging="316"/>
      </w:pPr>
      <w:r>
        <w:rPr/>
        <w:t>(3)出现广泛性肌肉及软组织坏死，并导致身体受影响部位的功能永久不可逆性丧失。</w:t>
      </w:r>
    </w:p>
    <w:p>
      <w:pPr>
        <w:pStyle w:val="BodyText"/>
        <w:spacing w:before="6"/>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55"/>
        <w:gridCol w:w="6997"/>
      </w:tblGrid>
      <w:tr>
        <w:trPr>
          <w:trHeight w:val="1616" w:hRule="atLeast"/>
        </w:trPr>
        <w:tc>
          <w:tcPr>
            <w:tcW w:w="946" w:type="dxa"/>
          </w:tcPr>
          <w:p>
            <w:pPr>
              <w:pStyle w:val="TableParagraph"/>
              <w:spacing w:line="210" w:lineRule="exact" w:before="0"/>
              <w:rPr>
                <w:rFonts w:ascii="黑体"/>
                <w:sz w:val="21"/>
              </w:rPr>
            </w:pPr>
            <w:r>
              <w:rPr>
                <w:rFonts w:ascii="黑体"/>
                <w:sz w:val="21"/>
              </w:rPr>
              <w:t>10.1.31</w:t>
            </w:r>
          </w:p>
        </w:tc>
        <w:tc>
          <w:tcPr>
            <w:tcW w:w="1555" w:type="dxa"/>
          </w:tcPr>
          <w:p>
            <w:pPr>
              <w:pStyle w:val="TableParagraph"/>
              <w:spacing w:line="210" w:lineRule="exact" w:before="0"/>
              <w:ind w:left="160"/>
              <w:rPr>
                <w:rFonts w:ascii="黑体" w:eastAsia="黑体" w:hint="eastAsia"/>
                <w:sz w:val="21"/>
              </w:rPr>
            </w:pPr>
            <w:r>
              <w:rPr>
                <w:rFonts w:ascii="黑体" w:eastAsia="黑体" w:hint="eastAsia"/>
                <w:sz w:val="21"/>
              </w:rPr>
              <w:t>终末期肺病</w:t>
            </w:r>
          </w:p>
        </w:tc>
        <w:tc>
          <w:tcPr>
            <w:tcW w:w="6997" w:type="dxa"/>
          </w:tcPr>
          <w:p>
            <w:pPr>
              <w:pStyle w:val="TableParagraph"/>
              <w:spacing w:line="210" w:lineRule="exact" w:before="0"/>
              <w:ind w:left="107"/>
              <w:rPr>
                <w:sz w:val="21"/>
              </w:rPr>
            </w:pPr>
            <w:r>
              <w:rPr>
                <w:sz w:val="21"/>
              </w:rPr>
              <w:t>指患有终末期肺病而出现慢性呼吸功能衰竭。须满足下列全部条件：</w:t>
            </w:r>
          </w:p>
          <w:p>
            <w:pPr>
              <w:pStyle w:val="TableParagraph"/>
              <w:spacing w:line="278" w:lineRule="auto" w:before="45"/>
              <w:ind w:left="107" w:right="2741"/>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1" w:hRule="atLeast"/>
        </w:trPr>
        <w:tc>
          <w:tcPr>
            <w:tcW w:w="946" w:type="dxa"/>
          </w:tcPr>
          <w:p>
            <w:pPr>
              <w:pStyle w:val="TableParagraph"/>
              <w:rPr>
                <w:rFonts w:ascii="黑体"/>
                <w:sz w:val="21"/>
              </w:rPr>
            </w:pPr>
            <w:r>
              <w:rPr>
                <w:rFonts w:ascii="黑体"/>
                <w:sz w:val="21"/>
              </w:rPr>
              <w:t>10.1.32</w:t>
            </w:r>
          </w:p>
        </w:tc>
        <w:tc>
          <w:tcPr>
            <w:tcW w:w="1555" w:type="dxa"/>
          </w:tcPr>
          <w:p>
            <w:pPr>
              <w:pStyle w:val="TableParagraph"/>
              <w:spacing w:line="278" w:lineRule="auto"/>
              <w:ind w:left="160" w:right="106" w:hanging="1"/>
              <w:jc w:val="both"/>
              <w:rPr>
                <w:rFonts w:ascii="黑体" w:eastAsia="黑体" w:hint="eastAsia"/>
                <w:sz w:val="21"/>
              </w:rPr>
            </w:pPr>
            <w:r>
              <w:rPr>
                <w:rFonts w:ascii="黑体" w:eastAsia="黑体" w:hint="eastAsia"/>
                <w:spacing w:val="1"/>
                <w:sz w:val="21"/>
              </w:rPr>
              <w:t>经输血导致的人类免疫缺陷</w:t>
            </w:r>
            <w:r>
              <w:rPr>
                <w:rFonts w:ascii="黑体" w:eastAsia="黑体" w:hint="eastAsia"/>
                <w:spacing w:val="-19"/>
                <w:sz w:val="21"/>
              </w:rPr>
              <w:t>病毒</w:t>
            </w:r>
            <w:r>
              <w:rPr>
                <w:rFonts w:ascii="黑体" w:eastAsia="黑体" w:hint="eastAsia"/>
                <w:spacing w:val="-9"/>
                <w:sz w:val="21"/>
              </w:rPr>
              <w:t>（HIV）</w:t>
            </w:r>
            <w:r>
              <w:rPr>
                <w:rFonts w:ascii="黑体" w:eastAsia="黑体" w:hint="eastAsia"/>
                <w:sz w:val="21"/>
              </w:rPr>
              <w:t>感染</w:t>
            </w:r>
          </w:p>
        </w:tc>
        <w:tc>
          <w:tcPr>
            <w:tcW w:w="6997" w:type="dxa"/>
          </w:tcPr>
          <w:p>
            <w:pPr>
              <w:pStyle w:val="TableParagraph"/>
              <w:spacing w:line="278" w:lineRule="auto"/>
              <w:ind w:left="107" w:right="116"/>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80" w:lineRule="auto" w:before="11"/>
              <w:ind w:left="423" w:right="48" w:hanging="316"/>
              <w:rPr>
                <w:sz w:val="21"/>
              </w:rPr>
            </w:pPr>
            <w:r>
              <w:rPr>
                <w:sz w:val="21"/>
              </w:rPr>
              <w:t>(2)提供输血治疗的输血中心或医院出具该项输血感染属医疗责任事故的报告，或者法院终审裁判为医疗责任；</w:t>
            </w:r>
          </w:p>
          <w:p>
            <w:pPr>
              <w:pStyle w:val="TableParagraph"/>
              <w:spacing w:before="8"/>
              <w:ind w:left="107"/>
              <w:rPr>
                <w:sz w:val="21"/>
              </w:rPr>
            </w:pPr>
            <w:r>
              <w:rPr>
                <w:sz w:val="21"/>
              </w:rPr>
              <w:t>(3)受感染的被保险人不是血友病患者。</w:t>
            </w:r>
          </w:p>
          <w:p>
            <w:pPr>
              <w:pStyle w:val="TableParagraph"/>
              <w:spacing w:line="280" w:lineRule="auto" w:before="45"/>
              <w:ind w:left="107" w:right="51"/>
              <w:rPr>
                <w:sz w:val="21"/>
              </w:rPr>
            </w:pPr>
            <w:r>
              <w:rPr>
                <w:spacing w:val="-4"/>
                <w:sz w:val="21"/>
                <w:shd w:fill="D9D9D9" w:color="auto" w:val="clear"/>
              </w:rPr>
              <w:t>在任何治愈艾滋病</w:t>
            </w:r>
            <w:r>
              <w:rPr>
                <w:spacing w:val="-6"/>
                <w:sz w:val="21"/>
                <w:shd w:fill="D9D9D9" w:color="auto" w:val="clear"/>
              </w:rPr>
              <w:t>（AIDS）</w:t>
            </w:r>
            <w:r>
              <w:rPr>
                <w:spacing w:val="-16"/>
                <w:sz w:val="21"/>
                <w:shd w:fill="D9D9D9" w:color="auto" w:val="clear"/>
              </w:rPr>
              <w:t>或阻止 </w:t>
            </w:r>
            <w:r>
              <w:rPr>
                <w:sz w:val="21"/>
                <w:shd w:fill="D9D9D9" w:color="auto" w:val="clear"/>
              </w:rPr>
              <w:t>HIV</w:t>
            </w:r>
            <w:r>
              <w:rPr>
                <w:spacing w:val="-11"/>
                <w:sz w:val="21"/>
                <w:shd w:fill="D9D9D9" w:color="auto" w:val="clear"/>
              </w:rPr>
              <w:t> 病毒作用的疗法被发现以后，或能防</w:t>
            </w:r>
            <w:r>
              <w:rPr>
                <w:spacing w:val="-39"/>
                <w:sz w:val="21"/>
                <w:shd w:fill="D9D9D9" w:color="auto" w:val="clear"/>
              </w:rPr>
              <w:t>止 </w:t>
            </w:r>
            <w:r>
              <w:rPr>
                <w:sz w:val="21"/>
                <w:shd w:fill="D9D9D9" w:color="auto" w:val="clear"/>
              </w:rPr>
              <w:t>AIDS</w:t>
            </w:r>
            <w:r>
              <w:rPr>
                <w:spacing w:val="-9"/>
                <w:sz w:val="21"/>
                <w:shd w:fill="D9D9D9" w:color="auto" w:val="clear"/>
              </w:rPr>
              <w:t> 发生的医疗方法被研究出来以后，本保障将不再予以赔付。</w:t>
            </w:r>
          </w:p>
          <w:p>
            <w:pPr>
              <w:pStyle w:val="TableParagraph"/>
              <w:spacing w:line="280" w:lineRule="auto" w:before="8"/>
              <w:ind w:left="107" w:right="154"/>
              <w:rPr>
                <w:sz w:val="21"/>
              </w:rPr>
            </w:pPr>
            <w:r>
              <w:rPr>
                <w:sz w:val="21"/>
                <w:shd w:fill="D9D9D9" w:color="auto" w:val="clear"/>
              </w:rPr>
              <w:t>任何因其他传播方式（包括但不限于性传播或静脉注射毒品）导致的 HIV 感染不在保障范围内。</w:t>
            </w:r>
          </w:p>
        </w:tc>
      </w:tr>
      <w:tr>
        <w:trPr>
          <w:trHeight w:val="975" w:hRule="atLeast"/>
        </w:trPr>
        <w:tc>
          <w:tcPr>
            <w:tcW w:w="946" w:type="dxa"/>
          </w:tcPr>
          <w:p>
            <w:pPr>
              <w:pStyle w:val="TableParagraph"/>
              <w:rPr>
                <w:rFonts w:ascii="黑体"/>
                <w:sz w:val="21"/>
              </w:rPr>
            </w:pPr>
            <w:r>
              <w:rPr>
                <w:rFonts w:ascii="黑体"/>
                <w:sz w:val="21"/>
              </w:rPr>
              <w:t>10.1.33</w:t>
            </w:r>
          </w:p>
        </w:tc>
        <w:tc>
          <w:tcPr>
            <w:tcW w:w="1555" w:type="dxa"/>
          </w:tcPr>
          <w:p>
            <w:pPr>
              <w:pStyle w:val="TableParagraph"/>
              <w:ind w:left="160"/>
              <w:rPr>
                <w:rFonts w:ascii="黑体" w:eastAsia="黑体" w:hint="eastAsia"/>
                <w:sz w:val="21"/>
              </w:rPr>
            </w:pPr>
            <w:r>
              <w:rPr>
                <w:rFonts w:ascii="黑体" w:eastAsia="黑体" w:hint="eastAsia"/>
                <w:sz w:val="21"/>
              </w:rPr>
              <w:t>肌营养不良症</w:t>
            </w:r>
          </w:p>
        </w:tc>
        <w:tc>
          <w:tcPr>
            <w:tcW w:w="6997" w:type="dxa"/>
          </w:tcPr>
          <w:p>
            <w:pPr>
              <w:pStyle w:val="TableParagraph"/>
              <w:ind w:left="107"/>
              <w:rPr>
                <w:sz w:val="21"/>
              </w:rPr>
            </w:pPr>
            <w:r>
              <w:rPr>
                <w:spacing w:val="-5"/>
                <w:sz w:val="21"/>
              </w:rPr>
              <w:t>由专科医师确认的诊断为 </w:t>
            </w:r>
            <w:r>
              <w:rPr>
                <w:sz w:val="21"/>
              </w:rPr>
              <w:t>Duchenne，Becker，</w:t>
            </w:r>
            <w:r>
              <w:rPr>
                <w:spacing w:val="-27"/>
                <w:sz w:val="21"/>
              </w:rPr>
              <w:t>或 </w:t>
            </w:r>
            <w:r>
              <w:rPr>
                <w:sz w:val="21"/>
              </w:rPr>
              <w:t>Limb Girdle</w:t>
            </w:r>
            <w:r>
              <w:rPr>
                <w:spacing w:val="-4"/>
                <w:sz w:val="21"/>
              </w:rPr>
              <w:t> 肌营养不良</w:t>
            </w:r>
          </w:p>
          <w:p>
            <w:pPr>
              <w:pStyle w:val="TableParagraph"/>
              <w:spacing w:line="320" w:lineRule="atLeast" w:before="0"/>
              <w:ind w:left="107" w:right="49"/>
              <w:rPr>
                <w:sz w:val="21"/>
              </w:rPr>
            </w:pPr>
            <w:r>
              <w:rPr>
                <w:spacing w:val="2"/>
                <w:sz w:val="21"/>
              </w:rPr>
              <w:t>症（</w:t>
            </w:r>
            <w:r>
              <w:rPr>
                <w:sz w:val="21"/>
              </w:rPr>
              <w:t>所有其他类型的肌营养不良症均不在保障范围内</w:t>
            </w:r>
            <w:r>
              <w:rPr>
                <w:spacing w:val="-101"/>
                <w:sz w:val="21"/>
              </w:rPr>
              <w:t>）</w:t>
            </w:r>
            <w:r>
              <w:rPr>
                <w:spacing w:val="1"/>
                <w:sz w:val="21"/>
              </w:rPr>
              <w:t>，已进行了至少 </w:t>
            </w:r>
            <w:r>
              <w:rPr>
                <w:sz w:val="21"/>
              </w:rPr>
              <w:t>90</w:t>
            </w:r>
            <w:r>
              <w:rPr>
                <w:spacing w:val="-4"/>
                <w:sz w:val="21"/>
              </w:rPr>
              <w:t>天的治疗，并提供肌肉活检和血 </w:t>
            </w:r>
            <w:r>
              <w:rPr>
                <w:sz w:val="21"/>
              </w:rPr>
              <w:t>CPK</w:t>
            </w:r>
            <w:r>
              <w:rPr>
                <w:spacing w:val="-10"/>
                <w:sz w:val="21"/>
              </w:rPr>
              <w:t> 检测证实。</w:t>
            </w:r>
          </w:p>
        </w:tc>
      </w:tr>
    </w:tbl>
    <w:p>
      <w:pPr>
        <w:spacing w:after="0" w:line="320" w:lineRule="atLeast"/>
        <w:rPr>
          <w:sz w:val="21"/>
        </w:rPr>
        <w:sectPr>
          <w:pgSz w:w="11910" w:h="16840"/>
          <w:pgMar w:top="1500" w:bottom="280" w:left="1100" w:right="11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54"/>
        <w:gridCol w:w="7099"/>
      </w:tblGrid>
      <w:tr>
        <w:trPr>
          <w:trHeight w:val="975" w:hRule="atLeast"/>
        </w:trPr>
        <w:tc>
          <w:tcPr>
            <w:tcW w:w="945" w:type="dxa"/>
          </w:tcPr>
          <w:p>
            <w:pPr>
              <w:pStyle w:val="TableParagraph"/>
              <w:spacing w:before="0"/>
              <w:ind w:left="0"/>
              <w:rPr>
                <w:rFonts w:ascii="Times New Roman"/>
                <w:sz w:val="20"/>
              </w:rPr>
            </w:pPr>
          </w:p>
        </w:tc>
        <w:tc>
          <w:tcPr>
            <w:tcW w:w="1554" w:type="dxa"/>
          </w:tcPr>
          <w:p>
            <w:pPr>
              <w:pStyle w:val="TableParagraph"/>
              <w:spacing w:before="0"/>
              <w:ind w:left="0"/>
              <w:rPr>
                <w:rFonts w:ascii="Times New Roman"/>
                <w:sz w:val="20"/>
              </w:rPr>
            </w:pPr>
          </w:p>
        </w:tc>
        <w:tc>
          <w:tcPr>
            <w:tcW w:w="7099" w:type="dxa"/>
          </w:tcPr>
          <w:p>
            <w:pPr>
              <w:pStyle w:val="TableParagraph"/>
              <w:spacing w:line="204" w:lineRule="exact" w:before="0"/>
              <w:ind w:left="109"/>
              <w:rPr>
                <w:sz w:val="21"/>
              </w:rPr>
            </w:pPr>
            <w:r>
              <w:rPr>
                <w:sz w:val="21"/>
              </w:rPr>
              <w:t>该疾病须导致被保险人自主生活能力完全丧失，无法独立完成六项基本日常</w:t>
            </w:r>
          </w:p>
          <w:p>
            <w:pPr>
              <w:pStyle w:val="TableParagraph"/>
              <w:spacing w:line="280" w:lineRule="auto" w:before="44"/>
              <w:ind w:left="109" w:right="151"/>
              <w:rPr>
                <w:sz w:val="21"/>
              </w:rPr>
            </w:pPr>
            <w:r>
              <w:rPr>
                <w:spacing w:val="-6"/>
                <w:sz w:val="21"/>
              </w:rPr>
              <w:t>生活活动中的三项或三项以上，或者导致被保险人永久性的卧床，没有外部帮助无法起床。</w:t>
            </w:r>
          </w:p>
        </w:tc>
      </w:tr>
      <w:tr>
        <w:trPr>
          <w:trHeight w:val="2061" w:hRule="atLeast"/>
        </w:trPr>
        <w:tc>
          <w:tcPr>
            <w:tcW w:w="945" w:type="dxa"/>
          </w:tcPr>
          <w:p>
            <w:pPr>
              <w:pStyle w:val="TableParagraph"/>
              <w:spacing w:before="54"/>
              <w:rPr>
                <w:rFonts w:ascii="黑体"/>
                <w:sz w:val="21"/>
              </w:rPr>
            </w:pPr>
            <w:r>
              <w:rPr>
                <w:rFonts w:ascii="黑体"/>
                <w:sz w:val="21"/>
              </w:rPr>
              <w:t>10.1.34</w:t>
            </w:r>
          </w:p>
        </w:tc>
        <w:tc>
          <w:tcPr>
            <w:tcW w:w="1554" w:type="dxa"/>
          </w:tcPr>
          <w:p>
            <w:pPr>
              <w:pStyle w:val="TableParagraph"/>
              <w:spacing w:line="280" w:lineRule="auto" w:before="54"/>
              <w:ind w:left="161" w:right="104" w:hanging="1"/>
              <w:rPr>
                <w:rFonts w:ascii="黑体" w:eastAsia="黑体" w:hint="eastAsia"/>
                <w:sz w:val="21"/>
              </w:rPr>
            </w:pPr>
            <w:r>
              <w:rPr>
                <w:rFonts w:ascii="黑体" w:eastAsia="黑体" w:hint="eastAsia"/>
                <w:sz w:val="21"/>
              </w:rPr>
              <w:t>严重多发性硬化</w:t>
            </w:r>
          </w:p>
        </w:tc>
        <w:tc>
          <w:tcPr>
            <w:tcW w:w="7099" w:type="dxa"/>
          </w:tcPr>
          <w:p>
            <w:pPr>
              <w:pStyle w:val="TableParagraph"/>
              <w:spacing w:line="278" w:lineRule="auto" w:before="54"/>
              <w:ind w:left="109" w:right="148"/>
              <w:jc w:val="both"/>
              <w:rPr>
                <w:sz w:val="21"/>
              </w:rPr>
            </w:pPr>
            <w:r>
              <w:rPr>
                <w:spacing w:val="-5"/>
                <w:sz w:val="21"/>
              </w:rPr>
              <w:t>多发性硬化为中枢神经系统白质多灶性脱髓鞘病变，病变有时累及灰质。多发性硬化必须明确诊断并由核磁共振（MRI）等影像学检验证实，而且已经</w:t>
            </w:r>
            <w:r>
              <w:rPr>
                <w:spacing w:val="-14"/>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78" w:lineRule="auto" w:before="11"/>
              <w:ind w:left="109" w:right="1843"/>
              <w:rPr>
                <w:sz w:val="21"/>
              </w:rPr>
            </w:pPr>
            <w:r>
              <w:rPr>
                <w:sz w:val="21"/>
              </w:rPr>
              <w:t>(1)移动：自己从一个房间到另一个房间；          </w:t>
            </w:r>
            <w:r>
              <w:rPr>
                <w:spacing w:val="-1"/>
                <w:sz w:val="21"/>
              </w:rPr>
              <w:t>(2)进食：自己从已准备好的碗或碟中取食物放入口中。</w:t>
            </w:r>
          </w:p>
        </w:tc>
      </w:tr>
      <w:tr>
        <w:trPr>
          <w:trHeight w:val="1102" w:hRule="atLeast"/>
        </w:trPr>
        <w:tc>
          <w:tcPr>
            <w:tcW w:w="945" w:type="dxa"/>
          </w:tcPr>
          <w:p>
            <w:pPr>
              <w:pStyle w:val="TableParagraph"/>
              <w:spacing w:before="54"/>
              <w:rPr>
                <w:rFonts w:ascii="黑体"/>
                <w:sz w:val="21"/>
              </w:rPr>
            </w:pPr>
            <w:r>
              <w:rPr>
                <w:rFonts w:ascii="黑体"/>
                <w:sz w:val="21"/>
              </w:rPr>
              <w:t>10.1.35</w:t>
            </w:r>
          </w:p>
        </w:tc>
        <w:tc>
          <w:tcPr>
            <w:tcW w:w="1554" w:type="dxa"/>
          </w:tcPr>
          <w:p>
            <w:pPr>
              <w:pStyle w:val="TableParagraph"/>
              <w:spacing w:before="54"/>
              <w:ind w:left="161"/>
              <w:rPr>
                <w:rFonts w:ascii="黑体" w:eastAsia="黑体" w:hint="eastAsia"/>
                <w:sz w:val="21"/>
              </w:rPr>
            </w:pPr>
            <w:r>
              <w:rPr>
                <w:rFonts w:ascii="黑体" w:eastAsia="黑体" w:hint="eastAsia"/>
                <w:sz w:val="21"/>
              </w:rPr>
              <w:t>严重克隆病</w:t>
            </w:r>
          </w:p>
        </w:tc>
        <w:tc>
          <w:tcPr>
            <w:tcW w:w="7099" w:type="dxa"/>
          </w:tcPr>
          <w:p>
            <w:pPr>
              <w:pStyle w:val="TableParagraph"/>
              <w:spacing w:line="280" w:lineRule="auto" w:before="54"/>
              <w:ind w:left="109" w:right="151"/>
              <w:jc w:val="both"/>
              <w:rPr>
                <w:sz w:val="21"/>
              </w:rPr>
            </w:pPr>
            <w:r>
              <w:rPr>
                <w:spacing w:val="-6"/>
                <w:sz w:val="21"/>
              </w:rPr>
              <w:t>克隆病是一种慢性肉芽肿性肠炎，具有特征性的克隆病病理组织学变化。诊</w:t>
            </w:r>
            <w:r>
              <w:rPr>
                <w:spacing w:val="-13"/>
                <w:sz w:val="21"/>
              </w:rPr>
              <w:t>断必须由病理检查结果证实。被保险人所患的克隆病必须已经造成瘘管形成并伴有肠梗阻或肠穿孔。</w:t>
            </w:r>
          </w:p>
        </w:tc>
      </w:tr>
      <w:tr>
        <w:trPr>
          <w:trHeight w:val="2061" w:hRule="atLeast"/>
        </w:trPr>
        <w:tc>
          <w:tcPr>
            <w:tcW w:w="945" w:type="dxa"/>
          </w:tcPr>
          <w:p>
            <w:pPr>
              <w:pStyle w:val="TableParagraph"/>
              <w:spacing w:before="54"/>
              <w:rPr>
                <w:rFonts w:ascii="黑体"/>
                <w:sz w:val="21"/>
              </w:rPr>
            </w:pPr>
            <w:r>
              <w:rPr>
                <w:rFonts w:ascii="黑体"/>
                <w:sz w:val="21"/>
              </w:rPr>
              <w:t>10.1.36</w:t>
            </w:r>
          </w:p>
        </w:tc>
        <w:tc>
          <w:tcPr>
            <w:tcW w:w="1554" w:type="dxa"/>
          </w:tcPr>
          <w:p>
            <w:pPr>
              <w:pStyle w:val="TableParagraph"/>
              <w:spacing w:before="54"/>
              <w:ind w:left="161"/>
              <w:rPr>
                <w:rFonts w:ascii="黑体" w:eastAsia="黑体" w:hint="eastAsia"/>
                <w:sz w:val="21"/>
              </w:rPr>
            </w:pPr>
            <w:r>
              <w:rPr>
                <w:rFonts w:ascii="黑体" w:eastAsia="黑体" w:hint="eastAsia"/>
                <w:sz w:val="21"/>
              </w:rPr>
              <w:t>严重哮喘</w:t>
            </w:r>
          </w:p>
        </w:tc>
        <w:tc>
          <w:tcPr>
            <w:tcW w:w="7099" w:type="dxa"/>
          </w:tcPr>
          <w:p>
            <w:pPr>
              <w:pStyle w:val="TableParagraph"/>
              <w:spacing w:line="278" w:lineRule="auto" w:before="54"/>
              <w:ind w:left="109" w:right="151"/>
              <w:rPr>
                <w:sz w:val="21"/>
              </w:rPr>
            </w:pPr>
            <w:r>
              <w:rPr>
                <w:spacing w:val="-5"/>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w:t>
            </w:r>
            <w:r>
              <w:rPr>
                <w:spacing w:val="-9"/>
                <w:sz w:val="21"/>
              </w:rPr>
              <w:t>持续的每天服用类固醇药物(至少持续 </w:t>
            </w:r>
            <w:r>
              <w:rPr>
                <w:sz w:val="21"/>
              </w:rPr>
              <w:t>6</w:t>
            </w:r>
            <w:r>
              <w:rPr>
                <w:spacing w:val="-11"/>
                <w:sz w:val="21"/>
              </w:rPr>
              <w:t> 个月以上)。</w:t>
            </w:r>
          </w:p>
        </w:tc>
      </w:tr>
      <w:tr>
        <w:trPr>
          <w:trHeight w:val="782" w:hRule="atLeast"/>
        </w:trPr>
        <w:tc>
          <w:tcPr>
            <w:tcW w:w="945" w:type="dxa"/>
          </w:tcPr>
          <w:p>
            <w:pPr>
              <w:pStyle w:val="TableParagraph"/>
              <w:spacing w:before="54"/>
              <w:rPr>
                <w:rFonts w:ascii="黑体"/>
                <w:sz w:val="21"/>
              </w:rPr>
            </w:pPr>
            <w:r>
              <w:rPr>
                <w:rFonts w:ascii="黑体"/>
                <w:sz w:val="21"/>
              </w:rPr>
              <w:t>10.1.37</w:t>
            </w:r>
          </w:p>
        </w:tc>
        <w:tc>
          <w:tcPr>
            <w:tcW w:w="1554" w:type="dxa"/>
          </w:tcPr>
          <w:p>
            <w:pPr>
              <w:pStyle w:val="TableParagraph"/>
              <w:spacing w:before="54"/>
              <w:ind w:left="161"/>
              <w:rPr>
                <w:rFonts w:ascii="黑体" w:eastAsia="黑体" w:hint="eastAsia"/>
                <w:sz w:val="21"/>
              </w:rPr>
            </w:pPr>
            <w:r>
              <w:rPr>
                <w:rFonts w:ascii="黑体" w:eastAsia="黑体" w:hint="eastAsia"/>
                <w:sz w:val="21"/>
              </w:rPr>
              <w:t>严重心肌炎</w:t>
            </w:r>
          </w:p>
        </w:tc>
        <w:tc>
          <w:tcPr>
            <w:tcW w:w="7099" w:type="dxa"/>
          </w:tcPr>
          <w:p>
            <w:pPr>
              <w:pStyle w:val="TableParagraph"/>
              <w:spacing w:line="280" w:lineRule="auto" w:before="54"/>
              <w:ind w:left="109" w:right="151"/>
              <w:rPr>
                <w:sz w:val="21"/>
              </w:rPr>
            </w:pPr>
            <w:r>
              <w:rPr>
                <w:spacing w:val="-5"/>
                <w:sz w:val="21"/>
              </w:rPr>
              <w:t>指心肌局限性或弥漫性的急性或慢性炎症病变，导致心脏功能障碍，达到纽</w:t>
            </w:r>
            <w:r>
              <w:rPr>
                <w:spacing w:val="-9"/>
                <w:sz w:val="21"/>
              </w:rPr>
              <w:t>约心脏病学会心功能分级状态分级 </w:t>
            </w:r>
            <w:r>
              <w:rPr>
                <w:sz w:val="21"/>
              </w:rPr>
              <w:t>IV</w:t>
            </w:r>
            <w:r>
              <w:rPr>
                <w:spacing w:val="-14"/>
                <w:sz w:val="21"/>
              </w:rPr>
              <w:t> 级，且持续至少 </w:t>
            </w:r>
            <w:r>
              <w:rPr>
                <w:sz w:val="21"/>
              </w:rPr>
              <w:t>90</w:t>
            </w:r>
            <w:r>
              <w:rPr>
                <w:spacing w:val="-20"/>
                <w:sz w:val="21"/>
              </w:rPr>
              <w:t> 天。</w:t>
            </w:r>
          </w:p>
        </w:tc>
      </w:tr>
      <w:tr>
        <w:trPr>
          <w:trHeight w:val="1421" w:hRule="atLeast"/>
        </w:trPr>
        <w:tc>
          <w:tcPr>
            <w:tcW w:w="945" w:type="dxa"/>
          </w:tcPr>
          <w:p>
            <w:pPr>
              <w:pStyle w:val="TableParagraph"/>
              <w:spacing w:before="54"/>
              <w:rPr>
                <w:rFonts w:ascii="黑体"/>
                <w:sz w:val="21"/>
              </w:rPr>
            </w:pPr>
            <w:r>
              <w:rPr>
                <w:rFonts w:ascii="黑体"/>
                <w:sz w:val="21"/>
              </w:rPr>
              <w:t>10.1.38</w:t>
            </w:r>
          </w:p>
        </w:tc>
        <w:tc>
          <w:tcPr>
            <w:tcW w:w="1554" w:type="dxa"/>
          </w:tcPr>
          <w:p>
            <w:pPr>
              <w:pStyle w:val="TableParagraph"/>
              <w:spacing w:line="278" w:lineRule="auto" w:before="54"/>
              <w:ind w:left="161" w:right="104" w:hanging="1"/>
              <w:rPr>
                <w:rFonts w:ascii="黑体" w:eastAsia="黑体" w:hint="eastAsia"/>
                <w:sz w:val="21"/>
              </w:rPr>
            </w:pPr>
            <w:r>
              <w:rPr>
                <w:rFonts w:ascii="黑体" w:eastAsia="黑体" w:hint="eastAsia"/>
                <w:sz w:val="21"/>
              </w:rPr>
              <w:t>严重溃疡性结肠炎</w:t>
            </w:r>
          </w:p>
        </w:tc>
        <w:tc>
          <w:tcPr>
            <w:tcW w:w="7099" w:type="dxa"/>
          </w:tcPr>
          <w:p>
            <w:pPr>
              <w:pStyle w:val="TableParagraph"/>
              <w:spacing w:line="278" w:lineRule="auto" w:before="54"/>
              <w:ind w:left="109" w:right="145"/>
              <w:jc w:val="both"/>
              <w:rPr>
                <w:sz w:val="21"/>
              </w:rPr>
            </w:pPr>
            <w:r>
              <w:rPr>
                <w:spacing w:val="-4"/>
                <w:sz w:val="21"/>
              </w:rPr>
              <w:t>指伴有致命性电解质紊乱的急性暴发性溃疡性结肠炎，病变累及全结肠，表</w:t>
            </w:r>
            <w:r>
              <w:rPr>
                <w:spacing w:val="-2"/>
                <w:sz w:val="21"/>
              </w:rPr>
              <w:t>现为严重的血便和系统性症状体征，治疗通常采取全结肠切除和回肠造瘘</w:t>
            </w:r>
            <w:r>
              <w:rPr>
                <w:spacing w:val="-10"/>
                <w:sz w:val="21"/>
              </w:rPr>
              <w:t>术。溃疡性结肠炎必须根据组织病理学特点诊断，并且被保险人已经接受了结肠切除和回肠造瘘术。</w:t>
            </w:r>
          </w:p>
        </w:tc>
      </w:tr>
      <w:tr>
        <w:trPr>
          <w:trHeight w:val="2382" w:hRule="atLeast"/>
        </w:trPr>
        <w:tc>
          <w:tcPr>
            <w:tcW w:w="945" w:type="dxa"/>
          </w:tcPr>
          <w:p>
            <w:pPr>
              <w:pStyle w:val="TableParagraph"/>
              <w:spacing w:before="54"/>
              <w:rPr>
                <w:rFonts w:ascii="黑体"/>
                <w:sz w:val="21"/>
              </w:rPr>
            </w:pPr>
            <w:r>
              <w:rPr>
                <w:rFonts w:ascii="黑体"/>
                <w:sz w:val="21"/>
              </w:rPr>
              <w:t>10.1.39</w:t>
            </w:r>
          </w:p>
        </w:tc>
        <w:tc>
          <w:tcPr>
            <w:tcW w:w="1554" w:type="dxa"/>
          </w:tcPr>
          <w:p>
            <w:pPr>
              <w:pStyle w:val="TableParagraph"/>
              <w:spacing w:line="278" w:lineRule="auto" w:before="54"/>
              <w:ind w:left="161" w:right="104" w:hanging="1"/>
              <w:rPr>
                <w:rFonts w:ascii="黑体" w:eastAsia="黑体" w:hint="eastAsia"/>
                <w:sz w:val="21"/>
              </w:rPr>
            </w:pPr>
            <w:r>
              <w:rPr>
                <w:rFonts w:ascii="黑体" w:eastAsia="黑体" w:hint="eastAsia"/>
                <w:sz w:val="21"/>
              </w:rPr>
              <w:t>原发性硬化性胆管炎</w:t>
            </w:r>
          </w:p>
        </w:tc>
        <w:tc>
          <w:tcPr>
            <w:tcW w:w="7099" w:type="dxa"/>
          </w:tcPr>
          <w:p>
            <w:pPr>
              <w:pStyle w:val="TableParagraph"/>
              <w:spacing w:line="278" w:lineRule="auto" w:before="54"/>
              <w:ind w:left="109" w:right="45"/>
              <w:rPr>
                <w:sz w:val="21"/>
              </w:rPr>
            </w:pPr>
            <w:r>
              <w:rPr>
                <w:spacing w:val="-15"/>
                <w:sz w:val="21"/>
              </w:rPr>
              <w:t>指一种胆汁淤积综合征，其特征是肝内、肝外胆道因纤维化性炎症逐渐狭窄， </w:t>
            </w:r>
            <w:r>
              <w:rPr>
                <w:spacing w:val="-18"/>
                <w:sz w:val="21"/>
              </w:rPr>
              <w:t>并最终导致完全阻塞而发展为肝硬化。本病须经内镜逆行胰胆管造影等影像学检查证实，并须满足下列全部条件：                              (1)</w:t>
            </w:r>
            <w:r>
              <w:rPr>
                <w:spacing w:val="-17"/>
                <w:sz w:val="21"/>
              </w:rPr>
              <w:t>总胆红素和直接胆红素同时升高，血清              </w:t>
            </w:r>
            <w:r>
              <w:rPr>
                <w:sz w:val="21"/>
              </w:rPr>
              <w:t>ALP&gt;200U/L； </w:t>
            </w:r>
            <w:r>
              <w:rPr>
                <w:spacing w:val="-1"/>
                <w:sz w:val="21"/>
              </w:rPr>
              <w:t>(2)持续性黄疸病史；</w:t>
            </w:r>
          </w:p>
          <w:p>
            <w:pPr>
              <w:pStyle w:val="TableParagraph"/>
              <w:spacing w:before="11"/>
              <w:ind w:left="109"/>
              <w:rPr>
                <w:sz w:val="21"/>
              </w:rPr>
            </w:pPr>
            <w:r>
              <w:rPr>
                <w:sz w:val="21"/>
              </w:rPr>
              <w:t>(3)出现胆汁性肝硬化或门脉高压。</w:t>
            </w:r>
          </w:p>
          <w:p>
            <w:pPr>
              <w:pStyle w:val="TableParagraph"/>
              <w:spacing w:before="45"/>
              <w:ind w:left="109"/>
              <w:rPr>
                <w:sz w:val="21"/>
              </w:rPr>
            </w:pPr>
            <w:r>
              <w:rPr>
                <w:sz w:val="21"/>
                <w:shd w:fill="D9D9D9" w:color="auto" w:val="clear"/>
              </w:rPr>
              <w:t>因肿瘤或胆管损伤等继发性的硬化性胆管炎不在保障范围内。</w:t>
            </w:r>
          </w:p>
        </w:tc>
      </w:tr>
      <w:tr>
        <w:trPr>
          <w:trHeight w:val="1422" w:hRule="atLeast"/>
        </w:trPr>
        <w:tc>
          <w:tcPr>
            <w:tcW w:w="945" w:type="dxa"/>
          </w:tcPr>
          <w:p>
            <w:pPr>
              <w:pStyle w:val="TableParagraph"/>
              <w:spacing w:before="54"/>
              <w:rPr>
                <w:rFonts w:ascii="黑体"/>
                <w:sz w:val="21"/>
              </w:rPr>
            </w:pPr>
            <w:r>
              <w:rPr>
                <w:rFonts w:ascii="黑体"/>
                <w:sz w:val="21"/>
              </w:rPr>
              <w:t>10.1.40</w:t>
            </w:r>
          </w:p>
        </w:tc>
        <w:tc>
          <w:tcPr>
            <w:tcW w:w="1554" w:type="dxa"/>
          </w:tcPr>
          <w:p>
            <w:pPr>
              <w:pStyle w:val="TableParagraph"/>
              <w:spacing w:line="278" w:lineRule="auto" w:before="54"/>
              <w:ind w:left="161" w:right="104" w:hanging="1"/>
              <w:rPr>
                <w:rFonts w:ascii="黑体" w:eastAsia="黑体" w:hint="eastAsia"/>
                <w:sz w:val="21"/>
              </w:rPr>
            </w:pPr>
            <w:r>
              <w:rPr>
                <w:rFonts w:ascii="黑体" w:eastAsia="黑体" w:hint="eastAsia"/>
                <w:sz w:val="21"/>
              </w:rPr>
              <w:t>急性坏死性胰腺炎</w:t>
            </w:r>
          </w:p>
        </w:tc>
        <w:tc>
          <w:tcPr>
            <w:tcW w:w="7099" w:type="dxa"/>
          </w:tcPr>
          <w:p>
            <w:pPr>
              <w:pStyle w:val="TableParagraph"/>
              <w:spacing w:line="278" w:lineRule="auto" w:before="54"/>
              <w:ind w:left="109" w:right="151"/>
              <w:jc w:val="both"/>
              <w:rPr>
                <w:sz w:val="21"/>
              </w:rPr>
            </w:pPr>
            <w:r>
              <w:rPr>
                <w:spacing w:val="-4"/>
                <w:sz w:val="21"/>
              </w:rPr>
              <w:t>指胰酶在胰腺内激活后引起胰腺组织自身消化的急性化学性炎症。本病须经</w:t>
            </w:r>
            <w:r>
              <w:rPr>
                <w:spacing w:val="-11"/>
                <w:sz w:val="21"/>
              </w:rPr>
              <w:t>专科医生明确诊断，并已经实际实施了坏死组织清除、病灶切除或胰腺部分切除的手术治疗。</w:t>
            </w:r>
          </w:p>
          <w:p>
            <w:pPr>
              <w:pStyle w:val="TableParagraph"/>
              <w:spacing w:before="11"/>
              <w:ind w:left="109"/>
              <w:jc w:val="both"/>
              <w:rPr>
                <w:sz w:val="21"/>
              </w:rPr>
            </w:pPr>
            <w:r>
              <w:rPr>
                <w:sz w:val="21"/>
                <w:shd w:fill="D9D9D9" w:color="auto" w:val="clear"/>
              </w:rPr>
              <w:t>因酒精作用所致的急性胰腺炎不在保障范围内。</w:t>
            </w:r>
          </w:p>
        </w:tc>
      </w:tr>
      <w:tr>
        <w:trPr>
          <w:trHeight w:val="1615" w:hRule="atLeast"/>
        </w:trPr>
        <w:tc>
          <w:tcPr>
            <w:tcW w:w="945" w:type="dxa"/>
          </w:tcPr>
          <w:p>
            <w:pPr>
              <w:pStyle w:val="TableParagraph"/>
              <w:spacing w:before="54"/>
              <w:rPr>
                <w:rFonts w:ascii="黑体"/>
                <w:sz w:val="21"/>
              </w:rPr>
            </w:pPr>
            <w:r>
              <w:rPr>
                <w:rFonts w:ascii="黑体"/>
                <w:sz w:val="21"/>
              </w:rPr>
              <w:t>10.1.41</w:t>
            </w:r>
          </w:p>
        </w:tc>
        <w:tc>
          <w:tcPr>
            <w:tcW w:w="1554" w:type="dxa"/>
          </w:tcPr>
          <w:p>
            <w:pPr>
              <w:pStyle w:val="TableParagraph"/>
              <w:spacing w:line="278" w:lineRule="auto" w:before="54"/>
              <w:ind w:left="161" w:right="104" w:hanging="1"/>
              <w:rPr>
                <w:rFonts w:ascii="黑体" w:hAnsi="黑体" w:eastAsia="黑体" w:hint="eastAsia"/>
                <w:sz w:val="21"/>
              </w:rPr>
            </w:pPr>
            <w:r>
              <w:rPr>
                <w:rFonts w:ascii="黑体" w:hAnsi="黑体" w:eastAsia="黑体" w:hint="eastAsia"/>
                <w:sz w:val="21"/>
              </w:rPr>
              <w:t>Ⅲ度房室传导阻滞</w:t>
            </w:r>
          </w:p>
        </w:tc>
        <w:tc>
          <w:tcPr>
            <w:tcW w:w="7099" w:type="dxa"/>
          </w:tcPr>
          <w:p>
            <w:pPr>
              <w:pStyle w:val="TableParagraph"/>
              <w:spacing w:line="278" w:lineRule="auto" w:before="54"/>
              <w:ind w:left="109" w:right="151"/>
              <w:rPr>
                <w:sz w:val="21"/>
              </w:rPr>
            </w:pPr>
            <w:r>
              <w:rPr>
                <w:spacing w:val="-6"/>
                <w:sz w:val="21"/>
              </w:rPr>
              <w:t>指心房激动在房室交界区、房室束及其分支内发生阻滞，不能正常地传到心室的心脏传导性疾病，须满足下列所有条件：</w:t>
            </w:r>
          </w:p>
          <w:p>
            <w:pPr>
              <w:pStyle w:val="TableParagraph"/>
              <w:spacing w:line="280" w:lineRule="auto" w:before="11"/>
              <w:ind w:left="109" w:right="1720"/>
              <w:rPr>
                <w:sz w:val="21"/>
              </w:rPr>
            </w:pPr>
            <w:r>
              <w:rPr>
                <w:sz w:val="21"/>
              </w:rPr>
              <w:t>(1)心电图显示房室搏动彼此独立，心室率&lt;50 次/分钟； (2)出现阿-斯综合征或心力衰竭的表现；</w:t>
            </w:r>
          </w:p>
          <w:p>
            <w:pPr>
              <w:pStyle w:val="TableParagraph"/>
              <w:spacing w:line="261" w:lineRule="exact" w:before="8"/>
              <w:ind w:left="109"/>
              <w:rPr>
                <w:sz w:val="21"/>
              </w:rPr>
            </w:pPr>
            <w:r>
              <w:rPr>
                <w:spacing w:val="-1"/>
                <w:sz w:val="21"/>
              </w:rPr>
              <w:t>(3)</w:t>
            </w:r>
            <w:r>
              <w:rPr>
                <w:spacing w:val="-6"/>
                <w:sz w:val="21"/>
              </w:rPr>
              <w:t>必须持续性依赖心脏起搏器维持心脏正常功能，且已经放置心脏起搏器。</w:t>
            </w:r>
          </w:p>
        </w:tc>
      </w:tr>
    </w:tbl>
    <w:p>
      <w:pPr>
        <w:spacing w:after="0" w:line="261" w:lineRule="exact"/>
        <w:rPr>
          <w:sz w:val="21"/>
        </w:rPr>
        <w:sectPr>
          <w:pgSz w:w="11910" w:h="16840"/>
          <w:pgMar w:top="1500" w:bottom="280" w:left="1100" w:right="980"/>
        </w:sectPr>
      </w:pPr>
    </w:p>
    <w:p>
      <w:pPr>
        <w:pStyle w:val="BodyText"/>
        <w:spacing w:before="8"/>
        <w:rPr>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8"/>
        <w:gridCol w:w="6959"/>
      </w:tblGrid>
      <w:tr>
        <w:trPr>
          <w:trHeight w:val="1935" w:hRule="atLeast"/>
        </w:trPr>
        <w:tc>
          <w:tcPr>
            <w:tcW w:w="1003" w:type="dxa"/>
          </w:tcPr>
          <w:p>
            <w:pPr>
              <w:pStyle w:val="TableParagraph"/>
              <w:spacing w:line="210" w:lineRule="exact" w:before="0"/>
              <w:ind w:left="107"/>
              <w:rPr>
                <w:rFonts w:ascii="黑体"/>
                <w:sz w:val="21"/>
              </w:rPr>
            </w:pPr>
            <w:r>
              <w:rPr>
                <w:rFonts w:ascii="黑体"/>
                <w:sz w:val="21"/>
              </w:rPr>
              <w:t>10.1.42</w:t>
            </w:r>
          </w:p>
        </w:tc>
        <w:tc>
          <w:tcPr>
            <w:tcW w:w="1648" w:type="dxa"/>
          </w:tcPr>
          <w:p>
            <w:pPr>
              <w:pStyle w:val="TableParagraph"/>
              <w:spacing w:line="210" w:lineRule="exact" w:before="0"/>
              <w:ind w:left="160"/>
              <w:rPr>
                <w:rFonts w:ascii="黑体" w:eastAsia="黑体" w:hint="eastAsia"/>
                <w:sz w:val="21"/>
              </w:rPr>
            </w:pPr>
            <w:r>
              <w:rPr>
                <w:rFonts w:ascii="黑体" w:eastAsia="黑体" w:hint="eastAsia"/>
                <w:sz w:val="21"/>
              </w:rPr>
              <w:t>肝豆状核变性</w:t>
            </w:r>
          </w:p>
          <w:p>
            <w:pPr>
              <w:pStyle w:val="TableParagraph"/>
              <w:spacing w:line="278" w:lineRule="auto" w:before="45"/>
              <w:ind w:left="161" w:right="198"/>
              <w:rPr>
                <w:rFonts w:ascii="黑体" w:eastAsia="黑体" w:hint="eastAsia"/>
                <w:sz w:val="21"/>
              </w:rPr>
            </w:pPr>
            <w:r>
              <w:rPr>
                <w:rFonts w:ascii="黑体" w:eastAsia="黑体" w:hint="eastAsia"/>
                <w:sz w:val="21"/>
              </w:rPr>
              <w:t>（或称Wilson 病）</w:t>
            </w:r>
          </w:p>
        </w:tc>
        <w:tc>
          <w:tcPr>
            <w:tcW w:w="6959" w:type="dxa"/>
          </w:tcPr>
          <w:p>
            <w:pPr>
              <w:pStyle w:val="TableParagraph"/>
              <w:spacing w:line="210" w:lineRule="exact" w:before="0"/>
              <w:ind w:left="15"/>
              <w:rPr>
                <w:sz w:val="21"/>
              </w:rPr>
            </w:pPr>
            <w:r>
              <w:rPr>
                <w:sz w:val="21"/>
              </w:rPr>
              <w:t>指一种常染色体隐性遗传的铜代谢缺陷病，以不同程度的肝细胞损害、脑退</w:t>
            </w:r>
          </w:p>
          <w:p>
            <w:pPr>
              <w:pStyle w:val="TableParagraph"/>
              <w:spacing w:line="278" w:lineRule="auto" w:before="45"/>
              <w:ind w:left="15" w:right="-6"/>
              <w:rPr>
                <w:sz w:val="21"/>
              </w:rPr>
            </w:pPr>
            <w:r>
              <w:rPr>
                <w:sz w:val="21"/>
              </w:rPr>
              <w:t>行性病变和角膜边缘有铜盐沉着环为其临床特征，并须满足下列全部条件： (1)典型症状；</w:t>
            </w:r>
          </w:p>
          <w:p>
            <w:pPr>
              <w:pStyle w:val="TableParagraph"/>
              <w:spacing w:line="278" w:lineRule="auto" w:before="11"/>
              <w:ind w:left="15" w:right="2637"/>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2113" w:hRule="atLeast"/>
        </w:trPr>
        <w:tc>
          <w:tcPr>
            <w:tcW w:w="1003" w:type="dxa"/>
          </w:tcPr>
          <w:p>
            <w:pPr>
              <w:pStyle w:val="TableParagraph"/>
              <w:ind w:left="108"/>
              <w:rPr>
                <w:rFonts w:ascii="黑体"/>
                <w:sz w:val="21"/>
              </w:rPr>
            </w:pPr>
            <w:r>
              <w:rPr>
                <w:rFonts w:ascii="黑体"/>
                <w:sz w:val="21"/>
              </w:rPr>
              <w:t>10.2</w:t>
            </w:r>
          </w:p>
        </w:tc>
        <w:tc>
          <w:tcPr>
            <w:tcW w:w="1648" w:type="dxa"/>
          </w:tcPr>
          <w:p>
            <w:pPr>
              <w:pStyle w:val="TableParagraph"/>
              <w:spacing w:line="280" w:lineRule="auto"/>
              <w:ind w:left="161" w:right="193"/>
              <w:rPr>
                <w:rFonts w:ascii="黑体" w:eastAsia="黑体" w:hint="eastAsia"/>
                <w:sz w:val="21"/>
              </w:rPr>
            </w:pPr>
            <w:r>
              <w:rPr>
                <w:rFonts w:ascii="黑体" w:eastAsia="黑体" w:hint="eastAsia"/>
                <w:sz w:val="21"/>
              </w:rPr>
              <w:t>定义来源及确诊医院范围</w:t>
            </w:r>
          </w:p>
        </w:tc>
        <w:tc>
          <w:tcPr>
            <w:tcW w:w="6959" w:type="dxa"/>
          </w:tcPr>
          <w:p>
            <w:pPr>
              <w:pStyle w:val="TableParagraph"/>
              <w:spacing w:line="280" w:lineRule="auto"/>
              <w:ind w:left="15" w:right="1"/>
              <w:rPr>
                <w:sz w:val="21"/>
              </w:rPr>
            </w:pPr>
            <w:r>
              <w:rPr>
                <w:spacing w:val="-12"/>
                <w:sz w:val="21"/>
              </w:rPr>
              <w:t>以上</w:t>
            </w:r>
            <w:r>
              <w:rPr>
                <w:sz w:val="21"/>
              </w:rPr>
              <w:t>“10.1.1</w:t>
            </w:r>
            <w:r>
              <w:rPr>
                <w:spacing w:val="-14"/>
                <w:sz w:val="21"/>
              </w:rPr>
              <w:t> 恶性肿瘤”至“</w:t>
            </w:r>
            <w:r>
              <w:rPr>
                <w:sz w:val="21"/>
              </w:rPr>
              <w:t>10.1.25</w:t>
            </w:r>
            <w:r>
              <w:rPr>
                <w:spacing w:val="-9"/>
                <w:sz w:val="21"/>
              </w:rPr>
              <w:t> 主动脉手术”所列重大疾病定义根据</w:t>
            </w:r>
            <w:r>
              <w:rPr>
                <w:spacing w:val="-15"/>
                <w:sz w:val="21"/>
              </w:rPr>
              <w:t>中国保险行业协会 </w:t>
            </w:r>
            <w:r>
              <w:rPr>
                <w:sz w:val="21"/>
              </w:rPr>
              <w:t>2007</w:t>
            </w:r>
            <w:r>
              <w:rPr>
                <w:spacing w:val="-8"/>
                <w:sz w:val="21"/>
              </w:rPr>
              <w:t> 年公布的《重大疾病保险的疾病定义使用规范》作出，其他重大疾病由我们增加，其定义由我们根据通行的医学标准制定。 </w:t>
            </w:r>
            <w:r>
              <w:rPr>
                <w:spacing w:val="-15"/>
                <w:sz w:val="21"/>
              </w:rPr>
              <w:t>以上重大疾病，</w:t>
            </w:r>
            <w:r>
              <w:rPr>
                <w:spacing w:val="-5"/>
                <w:sz w:val="21"/>
                <w:shd w:fill="D9D9D9" w:color="auto" w:val="clear"/>
              </w:rPr>
              <w:t>除原发性心肌病须在卫生行政部门认定的三级以上</w:t>
            </w:r>
            <w:r>
              <w:rPr>
                <w:sz w:val="21"/>
                <w:shd w:fill="D9D9D9" w:color="auto" w:val="clear"/>
              </w:rPr>
              <w:t>（含三级）</w:t>
            </w:r>
            <w:r>
              <w:rPr>
                <w:spacing w:val="-6"/>
                <w:sz w:val="21"/>
                <w:shd w:fill="D9D9D9" w:color="auto" w:val="clear"/>
              </w:rPr>
              <w:t>医院确诊外，</w:t>
            </w:r>
            <w:r>
              <w:rPr>
                <w:spacing w:val="-2"/>
                <w:sz w:val="21"/>
              </w:rPr>
              <w:t>其他疾病均须在卫生行政部门认定的二级以上</w:t>
            </w:r>
            <w:r>
              <w:rPr>
                <w:sz w:val="21"/>
              </w:rPr>
              <w:t>（含二级</w:t>
            </w:r>
            <w:r>
              <w:rPr>
                <w:spacing w:val="-32"/>
                <w:sz w:val="21"/>
              </w:rPr>
              <w:t>）</w:t>
            </w:r>
            <w:r>
              <w:rPr>
                <w:sz w:val="21"/>
              </w:rPr>
              <w:t>医院确诊。</w:t>
            </w:r>
          </w:p>
        </w:tc>
      </w:tr>
      <w:tr>
        <w:trPr>
          <w:trHeight w:val="311" w:hRule="atLeast"/>
        </w:trPr>
        <w:tc>
          <w:tcPr>
            <w:tcW w:w="10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11．</w:t>
            </w:r>
          </w:p>
        </w:tc>
        <w:tc>
          <w:tcPr>
            <w:tcW w:w="1648" w:type="dxa"/>
            <w:shd w:val="clear" w:color="auto" w:fill="D3D3D3"/>
          </w:tcPr>
          <w:p>
            <w:pPr>
              <w:pStyle w:val="TableParagraph"/>
              <w:spacing w:before="10"/>
              <w:ind w:left="161"/>
              <w:rPr>
                <w:rFonts w:ascii="黑体" w:eastAsia="黑体" w:hint="eastAsia"/>
                <w:b/>
                <w:sz w:val="21"/>
              </w:rPr>
            </w:pPr>
            <w:r>
              <w:rPr>
                <w:rFonts w:ascii="黑体" w:eastAsia="黑体" w:hint="eastAsia"/>
                <w:b/>
                <w:w w:val="95"/>
                <w:sz w:val="21"/>
              </w:rPr>
              <w:t>特定疾病的定义</w:t>
            </w:r>
          </w:p>
        </w:tc>
        <w:tc>
          <w:tcPr>
            <w:tcW w:w="6959" w:type="dxa"/>
            <w:shd w:val="clear" w:color="auto" w:fill="D3D3D3"/>
          </w:tcPr>
          <w:p>
            <w:pPr>
              <w:pStyle w:val="TableParagraph"/>
              <w:spacing w:before="0"/>
              <w:ind w:left="0"/>
              <w:rPr>
                <w:rFonts w:ascii="Times New Roman"/>
                <w:sz w:val="20"/>
              </w:rPr>
            </w:pPr>
          </w:p>
        </w:tc>
      </w:tr>
      <w:tr>
        <w:trPr>
          <w:trHeight w:val="1192" w:hRule="atLeast"/>
        </w:trPr>
        <w:tc>
          <w:tcPr>
            <w:tcW w:w="1003" w:type="dxa"/>
          </w:tcPr>
          <w:p>
            <w:pPr>
              <w:pStyle w:val="TableParagraph"/>
              <w:spacing w:before="152"/>
              <w:ind w:left="107"/>
              <w:rPr>
                <w:rFonts w:ascii="黑体"/>
                <w:sz w:val="21"/>
              </w:rPr>
            </w:pPr>
            <w:r>
              <w:rPr>
                <w:rFonts w:ascii="黑体"/>
                <w:sz w:val="21"/>
              </w:rPr>
              <w:t>11.1</w:t>
            </w:r>
          </w:p>
        </w:tc>
        <w:tc>
          <w:tcPr>
            <w:tcW w:w="1648" w:type="dxa"/>
          </w:tcPr>
          <w:p>
            <w:pPr>
              <w:pStyle w:val="TableParagraph"/>
              <w:spacing w:line="280" w:lineRule="auto" w:before="152"/>
              <w:ind w:left="161" w:right="226"/>
              <w:rPr>
                <w:rFonts w:ascii="黑体" w:eastAsia="黑体" w:hint="eastAsia"/>
                <w:sz w:val="21"/>
              </w:rPr>
            </w:pPr>
            <w:r>
              <w:rPr>
                <w:rFonts w:ascii="黑体" w:eastAsia="黑体" w:hint="eastAsia"/>
                <w:sz w:val="21"/>
              </w:rPr>
              <w:t>特定疾病的定义</w:t>
            </w:r>
          </w:p>
        </w:tc>
        <w:tc>
          <w:tcPr>
            <w:tcW w:w="6959" w:type="dxa"/>
          </w:tcPr>
          <w:p>
            <w:pPr>
              <w:pStyle w:val="TableParagraph"/>
              <w:spacing w:line="278" w:lineRule="auto" w:before="152"/>
              <w:ind w:left="15" w:right="105"/>
              <w:rPr>
                <w:sz w:val="21"/>
              </w:rPr>
            </w:pPr>
            <w:r>
              <w:rPr>
                <w:spacing w:val="-8"/>
                <w:sz w:val="21"/>
              </w:rPr>
              <w:t>本合同所保障的特定疾病，是指被保险人在本合同有效期间内经专科医生明确诊断初次患下列疾病或初次达到下列疾病状态或在医院初次接受下列手术：</w:t>
            </w:r>
          </w:p>
        </w:tc>
      </w:tr>
      <w:tr>
        <w:trPr>
          <w:trHeight w:val="2062" w:hRule="atLeast"/>
        </w:trPr>
        <w:tc>
          <w:tcPr>
            <w:tcW w:w="1003" w:type="dxa"/>
          </w:tcPr>
          <w:p>
            <w:pPr>
              <w:pStyle w:val="TableParagraph"/>
              <w:ind w:left="107"/>
              <w:rPr>
                <w:rFonts w:ascii="黑体"/>
                <w:sz w:val="21"/>
              </w:rPr>
            </w:pPr>
            <w:r>
              <w:rPr>
                <w:rFonts w:ascii="黑体"/>
                <w:sz w:val="21"/>
              </w:rPr>
              <w:t>11.1.1</w:t>
            </w:r>
          </w:p>
        </w:tc>
        <w:tc>
          <w:tcPr>
            <w:tcW w:w="1648" w:type="dxa"/>
          </w:tcPr>
          <w:p>
            <w:pPr>
              <w:pStyle w:val="TableParagraph"/>
              <w:spacing w:line="280" w:lineRule="auto"/>
              <w:ind w:left="161" w:right="198"/>
              <w:rPr>
                <w:rFonts w:ascii="黑体" w:eastAsia="黑体" w:hint="eastAsia"/>
                <w:sz w:val="21"/>
              </w:rPr>
            </w:pPr>
            <w:r>
              <w:rPr>
                <w:rFonts w:ascii="黑体" w:eastAsia="黑体" w:hint="eastAsia"/>
                <w:sz w:val="21"/>
              </w:rPr>
              <w:t>非危及Th命的恶性病变</w:t>
            </w:r>
          </w:p>
        </w:tc>
        <w:tc>
          <w:tcPr>
            <w:tcW w:w="6959" w:type="dxa"/>
          </w:tcPr>
          <w:p>
            <w:pPr>
              <w:pStyle w:val="TableParagraph"/>
              <w:spacing w:line="280" w:lineRule="auto"/>
              <w:ind w:left="15" w:right="11"/>
              <w:rPr>
                <w:sz w:val="21"/>
              </w:rPr>
            </w:pPr>
            <w:r>
              <w:rPr>
                <w:sz w:val="21"/>
              </w:rPr>
              <w:t>指经组织病理学检查被明确诊断为下列恶性病变，并且接受了相应的治疗。(1)原位癌；</w:t>
            </w:r>
          </w:p>
          <w:p>
            <w:pPr>
              <w:pStyle w:val="TableParagraph"/>
              <w:spacing w:line="278" w:lineRule="auto" w:before="9"/>
              <w:ind w:left="15" w:right="1400"/>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1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421" w:hRule="atLeast"/>
        </w:trPr>
        <w:tc>
          <w:tcPr>
            <w:tcW w:w="1003" w:type="dxa"/>
          </w:tcPr>
          <w:p>
            <w:pPr>
              <w:pStyle w:val="TableParagraph"/>
              <w:ind w:left="107"/>
              <w:rPr>
                <w:rFonts w:ascii="黑体"/>
                <w:sz w:val="21"/>
              </w:rPr>
            </w:pPr>
            <w:r>
              <w:rPr>
                <w:rFonts w:ascii="黑体"/>
                <w:sz w:val="21"/>
              </w:rPr>
              <w:t>11.1.2</w:t>
            </w:r>
          </w:p>
        </w:tc>
        <w:tc>
          <w:tcPr>
            <w:tcW w:w="1648" w:type="dxa"/>
          </w:tcPr>
          <w:p>
            <w:pPr>
              <w:pStyle w:val="TableParagraph"/>
              <w:spacing w:line="278" w:lineRule="auto"/>
              <w:ind w:left="160" w:right="198"/>
              <w:rPr>
                <w:rFonts w:ascii="黑体" w:eastAsia="黑体" w:hint="eastAsia"/>
                <w:sz w:val="21"/>
              </w:rPr>
            </w:pPr>
            <w:r>
              <w:rPr>
                <w:rFonts w:ascii="黑体" w:eastAsia="黑体" w:hint="eastAsia"/>
                <w:sz w:val="21"/>
              </w:rPr>
              <w:t>不典型的急性心肌梗塞</w:t>
            </w:r>
          </w:p>
        </w:tc>
        <w:tc>
          <w:tcPr>
            <w:tcW w:w="6959" w:type="dxa"/>
          </w:tcPr>
          <w:p>
            <w:pPr>
              <w:pStyle w:val="TableParagraph"/>
              <w:spacing w:line="278" w:lineRule="auto"/>
              <w:ind w:left="15" w:right="105"/>
              <w:rPr>
                <w:sz w:val="21"/>
              </w:rPr>
            </w:pPr>
            <w:r>
              <w:rPr>
                <w:spacing w:val="-4"/>
                <w:sz w:val="21"/>
              </w:rPr>
              <w:t>指被临床诊断为急性心肌梗塞并接受了急性心肌梗塞治疗，虽然未达到重大疾病“急性心肌梗塞”的给付标准，但满足下列全部条件：           </w:t>
            </w:r>
            <w:r>
              <w:rPr>
                <w:spacing w:val="-1"/>
                <w:sz w:val="21"/>
              </w:rPr>
              <w:t>(1)肌钙蛋白有诊断意义的升高；</w:t>
            </w:r>
          </w:p>
          <w:p>
            <w:pPr>
              <w:pStyle w:val="TableParagraph"/>
              <w:spacing w:before="11"/>
              <w:ind w:left="15"/>
              <w:rPr>
                <w:sz w:val="21"/>
              </w:rPr>
            </w:pPr>
            <w:r>
              <w:rPr>
                <w:sz w:val="21"/>
              </w:rPr>
              <w:t>(2)心电图有损伤性的 ST 段改变但未出现病理 Q 波。</w:t>
            </w:r>
          </w:p>
        </w:tc>
      </w:tr>
      <w:tr>
        <w:trPr>
          <w:trHeight w:val="1421" w:hRule="atLeast"/>
        </w:trPr>
        <w:tc>
          <w:tcPr>
            <w:tcW w:w="1003" w:type="dxa"/>
          </w:tcPr>
          <w:p>
            <w:pPr>
              <w:pStyle w:val="TableParagraph"/>
              <w:ind w:left="107"/>
              <w:rPr>
                <w:rFonts w:ascii="黑体"/>
                <w:sz w:val="21"/>
              </w:rPr>
            </w:pPr>
            <w:r>
              <w:rPr>
                <w:rFonts w:ascii="黑体"/>
                <w:sz w:val="21"/>
              </w:rPr>
              <w:t>11.1.3</w:t>
            </w:r>
          </w:p>
        </w:tc>
        <w:tc>
          <w:tcPr>
            <w:tcW w:w="1648" w:type="dxa"/>
          </w:tcPr>
          <w:p>
            <w:pPr>
              <w:pStyle w:val="TableParagraph"/>
              <w:ind w:left="160"/>
              <w:rPr>
                <w:rFonts w:ascii="黑体" w:eastAsia="黑体" w:hint="eastAsia"/>
                <w:sz w:val="21"/>
              </w:rPr>
            </w:pPr>
            <w:r>
              <w:rPr>
                <w:rFonts w:ascii="黑体" w:eastAsia="黑体" w:hint="eastAsia"/>
                <w:sz w:val="21"/>
              </w:rPr>
              <w:t>轻微脑中风</w:t>
            </w:r>
          </w:p>
        </w:tc>
        <w:tc>
          <w:tcPr>
            <w:tcW w:w="6959" w:type="dxa"/>
          </w:tcPr>
          <w:p>
            <w:pPr>
              <w:pStyle w:val="TableParagraph"/>
              <w:ind w:left="15"/>
              <w:rPr>
                <w:sz w:val="21"/>
              </w:rPr>
            </w:pPr>
            <w:r>
              <w:rPr>
                <w:sz w:val="21"/>
              </w:rPr>
              <w:t>指实际发生了脑血管的突发病变出现神经系统功能障碍表现，头颅断层扫描</w:t>
            </w:r>
          </w:p>
          <w:p>
            <w:pPr>
              <w:pStyle w:val="TableParagraph"/>
              <w:spacing w:line="280" w:lineRule="auto" w:before="44"/>
              <w:ind w:left="15" w:right="11"/>
              <w:rPr>
                <w:sz w:val="21"/>
              </w:rPr>
            </w:pPr>
            <w:r>
              <w:rPr>
                <w:spacing w:val="-1"/>
                <w:sz w:val="21"/>
              </w:rPr>
              <w:t>（CT</w:t>
            </w:r>
            <w:r>
              <w:rPr>
                <w:spacing w:val="-104"/>
                <w:sz w:val="21"/>
              </w:rPr>
              <w:t>）</w:t>
            </w:r>
            <w:r>
              <w:rPr>
                <w:spacing w:val="-2"/>
                <w:sz w:val="21"/>
              </w:rPr>
              <w:t>、核磁共振</w:t>
            </w:r>
            <w:r>
              <w:rPr>
                <w:spacing w:val="-1"/>
                <w:sz w:val="21"/>
              </w:rPr>
              <w:t>（MRI）等影像学检查证实存在对应病灶，确诊为脑出血、</w:t>
            </w:r>
            <w:r>
              <w:rPr>
                <w:spacing w:val="-14"/>
                <w:sz w:val="21"/>
              </w:rPr>
              <w:t>脑栓塞或脑梗塞，在确诊 </w:t>
            </w:r>
            <w:r>
              <w:rPr>
                <w:sz w:val="21"/>
              </w:rPr>
              <w:t>180</w:t>
            </w:r>
            <w:r>
              <w:rPr>
                <w:spacing w:val="-8"/>
                <w:sz w:val="21"/>
              </w:rPr>
              <w:t> 天后未遗留神经系统功能障碍或后遗的神经系统功能障碍程度未达到重大疾病“脑中风后遗症”的给付标准。</w:t>
            </w:r>
          </w:p>
        </w:tc>
      </w:tr>
      <w:tr>
        <w:trPr>
          <w:trHeight w:val="781" w:hRule="atLeast"/>
        </w:trPr>
        <w:tc>
          <w:tcPr>
            <w:tcW w:w="1003" w:type="dxa"/>
          </w:tcPr>
          <w:p>
            <w:pPr>
              <w:pStyle w:val="TableParagraph"/>
              <w:ind w:left="107"/>
              <w:rPr>
                <w:rFonts w:ascii="黑体"/>
                <w:sz w:val="21"/>
              </w:rPr>
            </w:pPr>
            <w:r>
              <w:rPr>
                <w:rFonts w:ascii="黑体"/>
                <w:sz w:val="21"/>
              </w:rPr>
              <w:t>11.1.4</w:t>
            </w:r>
          </w:p>
        </w:tc>
        <w:tc>
          <w:tcPr>
            <w:tcW w:w="1648" w:type="dxa"/>
          </w:tcPr>
          <w:p>
            <w:pPr>
              <w:pStyle w:val="TableParagraph"/>
              <w:spacing w:line="278" w:lineRule="auto"/>
              <w:ind w:left="160" w:right="198"/>
              <w:rPr>
                <w:rFonts w:ascii="黑体" w:eastAsia="黑体" w:hint="eastAsia"/>
                <w:sz w:val="21"/>
              </w:rPr>
            </w:pPr>
            <w:r>
              <w:rPr>
                <w:rFonts w:ascii="黑体" w:eastAsia="黑体" w:hint="eastAsia"/>
                <w:sz w:val="21"/>
              </w:rPr>
              <w:t>冠状动脉介入手术</w:t>
            </w:r>
          </w:p>
        </w:tc>
        <w:tc>
          <w:tcPr>
            <w:tcW w:w="6959" w:type="dxa"/>
          </w:tcPr>
          <w:p>
            <w:pPr>
              <w:pStyle w:val="TableParagraph"/>
              <w:spacing w:line="278" w:lineRule="auto"/>
              <w:ind w:left="15" w:right="105"/>
              <w:rPr>
                <w:sz w:val="21"/>
              </w:rPr>
            </w:pPr>
            <w:r>
              <w:rPr>
                <w:spacing w:val="-6"/>
                <w:sz w:val="21"/>
              </w:rPr>
              <w:t>为了治疗明显的冠状动脉狭窄性疾病，首次实际实施了冠状动脉球囊扩张成形术、冠状动脉支架植入术或激光冠状动脉成形术。</w:t>
            </w:r>
          </w:p>
        </w:tc>
      </w:tr>
      <w:tr>
        <w:trPr>
          <w:trHeight w:val="782" w:hRule="atLeast"/>
        </w:trPr>
        <w:tc>
          <w:tcPr>
            <w:tcW w:w="1003" w:type="dxa"/>
          </w:tcPr>
          <w:p>
            <w:pPr>
              <w:pStyle w:val="TableParagraph"/>
              <w:ind w:left="107"/>
              <w:rPr>
                <w:rFonts w:ascii="黑体"/>
                <w:sz w:val="21"/>
              </w:rPr>
            </w:pPr>
            <w:r>
              <w:rPr>
                <w:rFonts w:ascii="黑体"/>
                <w:sz w:val="21"/>
              </w:rPr>
              <w:t>11.1.5</w:t>
            </w:r>
          </w:p>
        </w:tc>
        <w:tc>
          <w:tcPr>
            <w:tcW w:w="1648" w:type="dxa"/>
          </w:tcPr>
          <w:p>
            <w:pPr>
              <w:pStyle w:val="TableParagraph"/>
              <w:spacing w:line="280" w:lineRule="auto"/>
              <w:ind w:left="160" w:right="198"/>
              <w:rPr>
                <w:rFonts w:ascii="黑体" w:eastAsia="黑体" w:hint="eastAsia"/>
                <w:sz w:val="21"/>
              </w:rPr>
            </w:pPr>
            <w:r>
              <w:rPr>
                <w:rFonts w:ascii="黑体" w:eastAsia="黑体" w:hint="eastAsia"/>
                <w:sz w:val="21"/>
              </w:rPr>
              <w:t>心脏瓣膜介入手术</w:t>
            </w:r>
          </w:p>
        </w:tc>
        <w:tc>
          <w:tcPr>
            <w:tcW w:w="6959" w:type="dxa"/>
          </w:tcPr>
          <w:p>
            <w:pPr>
              <w:pStyle w:val="TableParagraph"/>
              <w:spacing w:line="280" w:lineRule="auto"/>
              <w:ind w:left="15" w:right="105"/>
              <w:rPr>
                <w:sz w:val="21"/>
              </w:rPr>
            </w:pPr>
            <w:r>
              <w:rPr>
                <w:spacing w:val="-9"/>
                <w:sz w:val="21"/>
              </w:rPr>
              <w:t>为了治疗心脏瓣膜疾病，实际实施了非开胸的经胸壁打孔内镜手术或经皮经导管介入手术进行的心脏瓣膜置换或修复手术。</w:t>
            </w:r>
          </w:p>
        </w:tc>
      </w:tr>
      <w:tr>
        <w:trPr>
          <w:trHeight w:val="975" w:hRule="atLeast"/>
        </w:trPr>
        <w:tc>
          <w:tcPr>
            <w:tcW w:w="1003" w:type="dxa"/>
          </w:tcPr>
          <w:p>
            <w:pPr>
              <w:pStyle w:val="TableParagraph"/>
              <w:ind w:left="107"/>
              <w:rPr>
                <w:rFonts w:ascii="黑体"/>
                <w:sz w:val="21"/>
              </w:rPr>
            </w:pPr>
            <w:r>
              <w:rPr>
                <w:rFonts w:ascii="黑体"/>
                <w:sz w:val="21"/>
              </w:rPr>
              <w:t>11.1.6</w:t>
            </w:r>
          </w:p>
        </w:tc>
        <w:tc>
          <w:tcPr>
            <w:tcW w:w="1648" w:type="dxa"/>
          </w:tcPr>
          <w:p>
            <w:pPr>
              <w:pStyle w:val="TableParagraph"/>
              <w:ind w:left="160"/>
              <w:rPr>
                <w:rFonts w:ascii="黑体" w:eastAsia="黑体" w:hint="eastAsia"/>
                <w:sz w:val="21"/>
              </w:rPr>
            </w:pPr>
            <w:r>
              <w:rPr>
                <w:rFonts w:ascii="黑体" w:eastAsia="黑体" w:hint="eastAsia"/>
                <w:sz w:val="21"/>
              </w:rPr>
              <w:t>视力严重受损</w:t>
            </w:r>
          </w:p>
        </w:tc>
        <w:tc>
          <w:tcPr>
            <w:tcW w:w="6959" w:type="dxa"/>
          </w:tcPr>
          <w:p>
            <w:pPr>
              <w:pStyle w:val="TableParagraph"/>
              <w:spacing w:line="280" w:lineRule="auto"/>
              <w:ind w:left="15" w:right="105"/>
              <w:rPr>
                <w:sz w:val="21"/>
              </w:rPr>
            </w:pPr>
            <w:r>
              <w:rPr>
                <w:spacing w:val="-4"/>
                <w:sz w:val="21"/>
              </w:rPr>
              <w:t>指因疾病或意外伤害导致双目视力永久不可逆性丧失，虽然未达到重大疾病 “双目失明”的给付标准，但满足下列全部条件：</w:t>
            </w:r>
          </w:p>
          <w:p>
            <w:pPr>
              <w:pStyle w:val="TableParagraph"/>
              <w:spacing w:line="255" w:lineRule="exact" w:before="8"/>
              <w:ind w:left="15"/>
              <w:rPr>
                <w:sz w:val="21"/>
              </w:rPr>
            </w:pPr>
            <w:r>
              <w:rPr>
                <w:sz w:val="21"/>
              </w:rPr>
              <w:t>(1)双眼中较好眼矫正视力低于 0.1（采用国际标准视力表，如果使用其他</w:t>
            </w:r>
          </w:p>
        </w:tc>
      </w:tr>
    </w:tbl>
    <w:p>
      <w:pPr>
        <w:pStyle w:val="BodyText"/>
        <w:spacing w:line="280" w:lineRule="auto" w:before="46"/>
        <w:ind w:left="2773" w:right="4737" w:firstLine="315"/>
      </w:pPr>
      <w:r>
        <w:rPr/>
        <w:t>视力表应进行换算</w:t>
      </w:r>
      <w:r>
        <w:rPr>
          <w:spacing w:val="-105"/>
        </w:rPr>
        <w:t>）</w:t>
      </w:r>
      <w:r>
        <w:rPr/>
        <w:t>； (2)</w:t>
      </w:r>
      <w:r>
        <w:rPr>
          <w:spacing w:val="-9"/>
        </w:rPr>
        <w:t>视野半径小于 </w:t>
      </w:r>
      <w:r>
        <w:rPr/>
        <w:t>20</w:t>
      </w:r>
      <w:r>
        <w:rPr>
          <w:spacing w:val="-20"/>
        </w:rPr>
        <w:t> 度。</w:t>
      </w:r>
    </w:p>
    <w:p>
      <w:pPr>
        <w:spacing w:after="0" w:line="280" w:lineRule="auto"/>
        <w:sectPr>
          <w:pgSz w:w="11910" w:h="16840"/>
          <w:pgMar w:top="1600" w:bottom="280" w:left="1040" w:right="1040"/>
        </w:sect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55"/>
        <w:gridCol w:w="6995"/>
      </w:tblGrid>
      <w:tr>
        <w:trPr>
          <w:trHeight w:val="655" w:hRule="atLeast"/>
        </w:trPr>
        <w:tc>
          <w:tcPr>
            <w:tcW w:w="2500" w:type="dxa"/>
            <w:gridSpan w:val="2"/>
          </w:tcPr>
          <w:p>
            <w:pPr>
              <w:pStyle w:val="TableParagraph"/>
              <w:spacing w:before="0"/>
              <w:ind w:left="0"/>
              <w:rPr>
                <w:rFonts w:ascii="Times New Roman"/>
                <w:sz w:val="20"/>
              </w:rPr>
            </w:pPr>
          </w:p>
        </w:tc>
        <w:tc>
          <w:tcPr>
            <w:tcW w:w="6995" w:type="dxa"/>
          </w:tcPr>
          <w:p>
            <w:pPr>
              <w:pStyle w:val="TableParagraph"/>
              <w:spacing w:line="204" w:lineRule="exact" w:before="0"/>
              <w:ind w:left="108"/>
              <w:rPr>
                <w:sz w:val="21"/>
              </w:rPr>
            </w:pPr>
            <w:r>
              <w:rPr>
                <w:spacing w:val="-10"/>
                <w:sz w:val="21"/>
                <w:shd w:fill="D9D9D9" w:color="auto" w:val="clear"/>
              </w:rPr>
              <w:t>申请理赔时，被保险人年龄必须在 </w:t>
            </w:r>
            <w:r>
              <w:rPr>
                <w:sz w:val="21"/>
                <w:shd w:fill="D9D9D9" w:color="auto" w:val="clear"/>
              </w:rPr>
              <w:t>3</w:t>
            </w:r>
            <w:r>
              <w:rPr>
                <w:spacing w:val="-11"/>
                <w:sz w:val="21"/>
                <w:shd w:fill="D9D9D9" w:color="auto" w:val="clear"/>
              </w:rPr>
              <w:t> 周岁以上，并且须提供理赔当时的视力</w:t>
            </w:r>
          </w:p>
          <w:p>
            <w:pPr>
              <w:pStyle w:val="TableParagraph"/>
              <w:spacing w:before="44"/>
              <w:ind w:left="108"/>
              <w:rPr>
                <w:sz w:val="21"/>
              </w:rPr>
            </w:pPr>
            <w:r>
              <w:rPr>
                <w:sz w:val="21"/>
                <w:shd w:fill="D9D9D9" w:color="auto" w:val="clear"/>
              </w:rPr>
              <w:t>严重受损诊断及检查证据。</w:t>
            </w:r>
          </w:p>
        </w:tc>
      </w:tr>
      <w:tr>
        <w:trPr>
          <w:trHeight w:val="782" w:hRule="atLeast"/>
        </w:trPr>
        <w:tc>
          <w:tcPr>
            <w:tcW w:w="945" w:type="dxa"/>
          </w:tcPr>
          <w:p>
            <w:pPr>
              <w:pStyle w:val="TableParagraph"/>
              <w:spacing w:before="54"/>
              <w:rPr>
                <w:rFonts w:ascii="黑体"/>
                <w:sz w:val="21"/>
              </w:rPr>
            </w:pPr>
            <w:r>
              <w:rPr>
                <w:rFonts w:ascii="黑体"/>
                <w:sz w:val="21"/>
              </w:rPr>
              <w:t>11.1.7</w:t>
            </w:r>
          </w:p>
        </w:tc>
        <w:tc>
          <w:tcPr>
            <w:tcW w:w="1555" w:type="dxa"/>
          </w:tcPr>
          <w:p>
            <w:pPr>
              <w:pStyle w:val="TableParagraph"/>
              <w:spacing w:before="54"/>
              <w:ind w:left="0" w:right="131"/>
              <w:jc w:val="right"/>
              <w:rPr>
                <w:rFonts w:ascii="黑体" w:eastAsia="黑体" w:hint="eastAsia"/>
                <w:sz w:val="21"/>
              </w:rPr>
            </w:pPr>
            <w:r>
              <w:rPr>
                <w:rFonts w:ascii="黑体" w:eastAsia="黑体" w:hint="eastAsia"/>
                <w:sz w:val="21"/>
              </w:rPr>
              <w:t>主动脉内手术</w:t>
            </w:r>
          </w:p>
        </w:tc>
        <w:tc>
          <w:tcPr>
            <w:tcW w:w="6995" w:type="dxa"/>
          </w:tcPr>
          <w:p>
            <w:pPr>
              <w:pStyle w:val="TableParagraph"/>
              <w:spacing w:line="280" w:lineRule="auto" w:before="54"/>
              <w:ind w:left="108" w:right="48"/>
              <w:rPr>
                <w:sz w:val="21"/>
              </w:rPr>
            </w:pPr>
            <w:r>
              <w:rPr>
                <w:spacing w:val="-4"/>
                <w:sz w:val="21"/>
              </w:rPr>
              <w:t>为了治疗主动脉疾病实际实施了经皮经导管进行的动脉内手术。主动脉指胸主动脉和腹主动脉，不包括胸主动脉和腹主动脉的分支血管。</w:t>
            </w:r>
          </w:p>
        </w:tc>
      </w:tr>
      <w:tr>
        <w:trPr>
          <w:trHeight w:val="1742" w:hRule="atLeast"/>
        </w:trPr>
        <w:tc>
          <w:tcPr>
            <w:tcW w:w="945" w:type="dxa"/>
          </w:tcPr>
          <w:p>
            <w:pPr>
              <w:pStyle w:val="TableParagraph"/>
              <w:spacing w:before="54"/>
              <w:rPr>
                <w:rFonts w:ascii="黑体"/>
                <w:sz w:val="21"/>
              </w:rPr>
            </w:pPr>
            <w:r>
              <w:rPr>
                <w:rFonts w:ascii="黑体"/>
                <w:sz w:val="21"/>
              </w:rPr>
              <w:t>11.1.8</w:t>
            </w:r>
          </w:p>
        </w:tc>
        <w:tc>
          <w:tcPr>
            <w:tcW w:w="1555" w:type="dxa"/>
          </w:tcPr>
          <w:p>
            <w:pPr>
              <w:pStyle w:val="TableParagraph"/>
              <w:spacing w:line="278" w:lineRule="auto" w:before="54"/>
              <w:ind w:left="161" w:right="105"/>
              <w:jc w:val="both"/>
              <w:rPr>
                <w:rFonts w:ascii="黑体" w:eastAsia="黑体" w:hint="eastAsia"/>
                <w:sz w:val="21"/>
              </w:rPr>
            </w:pPr>
            <w:r>
              <w:rPr>
                <w:rFonts w:ascii="黑体" w:eastAsia="黑体" w:hint="eastAsia"/>
                <w:sz w:val="21"/>
              </w:rPr>
              <w:t>脑垂体瘤、脑囊肿、脑动脉瘤及脑血管瘤</w:t>
            </w:r>
          </w:p>
        </w:tc>
        <w:tc>
          <w:tcPr>
            <w:tcW w:w="6995" w:type="dxa"/>
          </w:tcPr>
          <w:p>
            <w:pPr>
              <w:pStyle w:val="TableParagraph"/>
              <w:spacing w:line="280" w:lineRule="auto" w:before="54"/>
              <w:ind w:left="108" w:right="48"/>
              <w:rPr>
                <w:sz w:val="21"/>
              </w:rPr>
            </w:pPr>
            <w:r>
              <w:rPr>
                <w:spacing w:val="-4"/>
                <w:sz w:val="21"/>
              </w:rPr>
              <w:t>指经头颅断层扫描</w:t>
            </w:r>
            <w:r>
              <w:rPr>
                <w:spacing w:val="-1"/>
                <w:sz w:val="21"/>
              </w:rPr>
              <w:t>（CT</w:t>
            </w:r>
            <w:r>
              <w:rPr>
                <w:spacing w:val="-106"/>
                <w:sz w:val="21"/>
              </w:rPr>
              <w:t>）</w:t>
            </w:r>
            <w:r>
              <w:rPr>
                <w:spacing w:val="-11"/>
                <w:sz w:val="21"/>
              </w:rPr>
              <w:t>、核磁共振</w:t>
            </w:r>
            <w:r>
              <w:rPr>
                <w:spacing w:val="-2"/>
                <w:sz w:val="21"/>
              </w:rPr>
              <w:t>（</w:t>
            </w:r>
            <w:r>
              <w:rPr>
                <w:sz w:val="21"/>
              </w:rPr>
              <w:t>M</w:t>
            </w:r>
            <w:r>
              <w:rPr>
                <w:spacing w:val="-1"/>
                <w:sz w:val="21"/>
              </w:rPr>
              <w:t>RI</w:t>
            </w:r>
            <w:r>
              <w:rPr>
                <w:spacing w:val="-23"/>
                <w:sz w:val="21"/>
              </w:rPr>
              <w:t>）</w:t>
            </w:r>
            <w:r>
              <w:rPr>
                <w:spacing w:val="-1"/>
                <w:sz w:val="21"/>
              </w:rPr>
              <w:t>或其他影像学检查被确诊为下列</w:t>
            </w:r>
            <w:r>
              <w:rPr>
                <w:sz w:val="21"/>
              </w:rPr>
              <w:t>病变，并实际接受了手术或放射治疗。</w:t>
            </w:r>
          </w:p>
          <w:p>
            <w:pPr>
              <w:pStyle w:val="TableParagraph"/>
              <w:spacing w:line="280" w:lineRule="auto" w:before="8"/>
              <w:ind w:left="108" w:right="4470"/>
              <w:rPr>
                <w:sz w:val="21"/>
              </w:rPr>
            </w:pPr>
            <w:r>
              <w:rPr>
                <w:sz w:val="21"/>
              </w:rPr>
              <w:t>(1)脑垂体瘤；        (2)脑囊肿；          </w:t>
            </w:r>
            <w:r>
              <w:rPr>
                <w:spacing w:val="-1"/>
                <w:sz w:val="21"/>
              </w:rPr>
              <w:t>(3)脑动脉瘤、脑血管瘤。</w:t>
            </w:r>
          </w:p>
        </w:tc>
      </w:tr>
      <w:tr>
        <w:trPr>
          <w:trHeight w:val="781" w:hRule="atLeast"/>
        </w:trPr>
        <w:tc>
          <w:tcPr>
            <w:tcW w:w="945" w:type="dxa"/>
          </w:tcPr>
          <w:p>
            <w:pPr>
              <w:pStyle w:val="TableParagraph"/>
              <w:spacing w:before="54"/>
              <w:rPr>
                <w:rFonts w:ascii="黑体"/>
                <w:sz w:val="21"/>
              </w:rPr>
            </w:pPr>
            <w:r>
              <w:rPr>
                <w:rFonts w:ascii="黑体"/>
                <w:sz w:val="21"/>
              </w:rPr>
              <w:t>11.1.9</w:t>
            </w:r>
          </w:p>
        </w:tc>
        <w:tc>
          <w:tcPr>
            <w:tcW w:w="1555" w:type="dxa"/>
          </w:tcPr>
          <w:p>
            <w:pPr>
              <w:pStyle w:val="TableParagraph"/>
              <w:spacing w:line="278" w:lineRule="auto" w:before="54"/>
              <w:ind w:left="161" w:right="105"/>
              <w:rPr>
                <w:rFonts w:ascii="黑体" w:hAnsi="黑体" w:eastAsia="黑体" w:hint="eastAsia"/>
                <w:sz w:val="21"/>
              </w:rPr>
            </w:pPr>
            <w:r>
              <w:rPr>
                <w:rFonts w:ascii="黑体" w:hAnsi="黑体" w:eastAsia="黑体" w:hint="eastAsia"/>
                <w:sz w:val="21"/>
              </w:rPr>
              <w:t>特定面积Ⅲ度烧伤</w:t>
            </w:r>
          </w:p>
        </w:tc>
        <w:tc>
          <w:tcPr>
            <w:tcW w:w="6995" w:type="dxa"/>
          </w:tcPr>
          <w:p>
            <w:pPr>
              <w:pStyle w:val="TableParagraph"/>
              <w:spacing w:before="58"/>
              <w:ind w:left="108"/>
              <w:rPr>
                <w:sz w:val="21"/>
              </w:rPr>
            </w:pPr>
            <w:r>
              <w:rPr>
                <w:spacing w:val="-1"/>
                <w:sz w:val="21"/>
              </w:rPr>
              <w:t>指烧伤程度为Ⅲ度，且Ⅲ度烧伤面积为全身体表面积</w:t>
            </w:r>
            <w:r>
              <w:rPr>
                <w:sz w:val="21"/>
              </w:rPr>
              <w:t>的</w:t>
            </w:r>
            <w:r>
              <w:rPr>
                <w:spacing w:val="-53"/>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以上，但</w:t>
            </w:r>
          </w:p>
          <w:p>
            <w:pPr>
              <w:pStyle w:val="TableParagraph"/>
              <w:spacing w:before="44"/>
              <w:ind w:left="108"/>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6" w:hRule="atLeast"/>
        </w:trPr>
        <w:tc>
          <w:tcPr>
            <w:tcW w:w="945" w:type="dxa"/>
          </w:tcPr>
          <w:p>
            <w:pPr>
              <w:pStyle w:val="TableParagraph"/>
              <w:spacing w:before="54"/>
              <w:rPr>
                <w:rFonts w:ascii="黑体"/>
                <w:sz w:val="21"/>
              </w:rPr>
            </w:pPr>
            <w:r>
              <w:rPr>
                <w:rFonts w:ascii="黑体"/>
                <w:sz w:val="21"/>
              </w:rPr>
              <w:t>11.1.10</w:t>
            </w:r>
          </w:p>
        </w:tc>
        <w:tc>
          <w:tcPr>
            <w:tcW w:w="1555" w:type="dxa"/>
          </w:tcPr>
          <w:p>
            <w:pPr>
              <w:pStyle w:val="TableParagraph"/>
              <w:spacing w:before="54"/>
              <w:ind w:left="0" w:right="132"/>
              <w:jc w:val="right"/>
              <w:rPr>
                <w:rFonts w:ascii="黑体" w:eastAsia="黑体" w:hint="eastAsia"/>
                <w:sz w:val="21"/>
              </w:rPr>
            </w:pPr>
            <w:r>
              <w:rPr>
                <w:rFonts w:ascii="黑体" w:eastAsia="黑体" w:hint="eastAsia"/>
                <w:sz w:val="21"/>
              </w:rPr>
              <w:t>严重头部外伤</w:t>
            </w:r>
          </w:p>
        </w:tc>
        <w:tc>
          <w:tcPr>
            <w:tcW w:w="6995" w:type="dxa"/>
          </w:tcPr>
          <w:p>
            <w:pPr>
              <w:pStyle w:val="TableParagraph"/>
              <w:spacing w:before="54"/>
              <w:ind w:left="108"/>
              <w:rPr>
                <w:sz w:val="21"/>
              </w:rPr>
            </w:pPr>
            <w:r>
              <w:rPr>
                <w:spacing w:val="-6"/>
                <w:sz w:val="21"/>
              </w:rPr>
              <w:t>指因头部遭受机械性外力伤害，引起脑重要部位损伤，并且由头颅断层扫描</w:t>
            </w:r>
          </w:p>
          <w:p>
            <w:pPr>
              <w:pStyle w:val="TableParagraph"/>
              <w:spacing w:line="278" w:lineRule="auto" w:before="45"/>
              <w:ind w:left="108" w:right="46"/>
              <w:rPr>
                <w:sz w:val="21"/>
              </w:rPr>
            </w:pPr>
            <w:r>
              <w:rPr>
                <w:sz w:val="21"/>
              </w:rPr>
              <w:t>（C</w:t>
            </w:r>
            <w:r>
              <w:rPr>
                <w:spacing w:val="-1"/>
                <w:sz w:val="21"/>
              </w:rPr>
              <w:t>T</w:t>
            </w:r>
            <w:r>
              <w:rPr>
                <w:spacing w:val="-105"/>
                <w:sz w:val="21"/>
              </w:rPr>
              <w:t>）</w:t>
            </w:r>
            <w:r>
              <w:rPr>
                <w:sz w:val="21"/>
              </w:rPr>
              <w:t>、核磁共振检查（MRI）或正电子发射断层扫描（PET）等影像学检查</w:t>
            </w:r>
            <w:r>
              <w:rPr>
                <w:spacing w:val="-19"/>
                <w:sz w:val="21"/>
              </w:rPr>
              <w:t>证实。头部外伤导致神经系统功能障碍，虽然未达到本合同所指重大疾病“严重 脑 损 伤 ” 的 给 付 标 准 ， 但 须 满 足 下 列 条 件 之 一 ： </w:t>
            </w:r>
            <w:r>
              <w:rPr>
                <w:spacing w:val="-1"/>
                <w:sz w:val="21"/>
              </w:rPr>
              <w:t>(1)已接受全麻下颅骨切开颅内血肿清除术（颅骨钻孔术除外</w:t>
            </w:r>
            <w:r>
              <w:rPr>
                <w:spacing w:val="-105"/>
                <w:sz w:val="21"/>
              </w:rPr>
              <w:t>）</w:t>
            </w:r>
            <w:r>
              <w:rPr>
                <w:sz w:val="21"/>
              </w:rPr>
              <w:t>；</w:t>
            </w:r>
          </w:p>
          <w:p>
            <w:pPr>
              <w:pStyle w:val="TableParagraph"/>
              <w:spacing w:line="261" w:lineRule="exact" w:before="12"/>
              <w:ind w:left="108"/>
              <w:rPr>
                <w:sz w:val="21"/>
              </w:rPr>
            </w:pPr>
            <w:r>
              <w:rPr>
                <w:sz w:val="21"/>
              </w:rPr>
              <w:t>(2)</w:t>
            </w:r>
            <w:r>
              <w:rPr>
                <w:spacing w:val="-12"/>
                <w:sz w:val="21"/>
              </w:rPr>
              <w:t>在遭受外伤 </w:t>
            </w:r>
            <w:r>
              <w:rPr>
                <w:sz w:val="21"/>
              </w:rPr>
              <w:t>180</w:t>
            </w:r>
            <w:r>
              <w:rPr>
                <w:spacing w:val="-9"/>
                <w:sz w:val="21"/>
              </w:rPr>
              <w:t> 天后一肢或一肢以上肢体机能部分丧失，其肢体肌力为</w:t>
            </w:r>
          </w:p>
        </w:tc>
      </w:tr>
    </w:tbl>
    <w:p>
      <w:pPr>
        <w:pStyle w:val="BodyText"/>
        <w:spacing w:before="38"/>
        <w:ind w:left="3089"/>
      </w:pPr>
      <w:r>
        <w:rPr/>
        <w:t>Ⅲ级,或小于Ⅲ级。</w:t>
      </w:r>
    </w:p>
    <w:p>
      <w:pPr>
        <w:pStyle w:val="BodyText"/>
        <w:spacing w:before="8"/>
        <w:rPr>
          <w:sz w:val="11"/>
        </w:rPr>
      </w:pPr>
    </w:p>
    <w:p>
      <w:pPr>
        <w:spacing w:after="0"/>
        <w:rPr>
          <w:sz w:val="11"/>
        </w:rPr>
        <w:sectPr>
          <w:pgSz w:w="11910" w:h="16840"/>
          <w:pgMar w:top="1500" w:bottom="280" w:left="1040" w:right="1040"/>
        </w:sectPr>
      </w:pPr>
    </w:p>
    <w:p>
      <w:pPr>
        <w:pStyle w:val="BodyText"/>
        <w:tabs>
          <w:tab w:pos="1271" w:val="left" w:leader="none"/>
        </w:tabs>
        <w:spacing w:line="280" w:lineRule="auto"/>
        <w:ind w:left="1271" w:hanging="1057"/>
        <w:rPr>
          <w:rFonts w:ascii="黑体" w:eastAsia="黑体" w:hint="eastAsia"/>
        </w:rPr>
      </w:pPr>
      <w:r>
        <w:rPr>
          <w:rFonts w:ascii="黑体" w:eastAsia="黑体" w:hint="eastAsia"/>
        </w:rPr>
        <w:t>11.2</w:t>
        <w:tab/>
        <w:t>定义来源及确诊医院范围</w:t>
      </w:r>
    </w:p>
    <w:p>
      <w:pPr>
        <w:pStyle w:val="BodyText"/>
        <w:ind w:left="202"/>
      </w:pPr>
      <w:r>
        <w:rPr/>
        <w:br w:type="column"/>
      </w:r>
      <w:r>
        <w:rPr/>
        <w:t>以上特定疾病定义由我们根据通行的医学标准制定。</w:t>
      </w:r>
    </w:p>
    <w:p>
      <w:pPr>
        <w:pStyle w:val="BodyText"/>
        <w:spacing w:before="45"/>
        <w:ind w:left="202"/>
      </w:pPr>
      <w:r>
        <w:rPr/>
        <w:t>以上特定疾病须在卫生行政部门认定的二级以上（含二级）医院确诊。</w:t>
      </w:r>
    </w:p>
    <w:p>
      <w:pPr>
        <w:spacing w:after="0"/>
        <w:sectPr>
          <w:type w:val="continuous"/>
          <w:pgSz w:w="11910" w:h="16840"/>
          <w:pgMar w:top="1280" w:bottom="280" w:left="1040" w:right="1040"/>
          <w:cols w:num="2" w:equalWidth="0">
            <w:col w:w="2532" w:space="40"/>
            <w:col w:w="7258"/>
          </w:cols>
        </w:sectPr>
      </w:pPr>
    </w:p>
    <w:p>
      <w:pPr>
        <w:pStyle w:val="BodyText"/>
        <w:spacing w:before="10"/>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12．</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ListParagraph"/>
        <w:numPr>
          <w:ilvl w:val="1"/>
          <w:numId w:val="12"/>
        </w:numPr>
        <w:tabs>
          <w:tab w:pos="1271" w:val="left" w:leader="none"/>
          <w:tab w:pos="1272" w:val="left" w:leader="none"/>
          <w:tab w:pos="2773" w:val="left" w:leader="none"/>
        </w:tabs>
        <w:spacing w:line="280" w:lineRule="auto" w:before="35" w:after="0"/>
        <w:ind w:left="2773" w:right="206" w:hanging="2558"/>
        <w:jc w:val="left"/>
        <w:rPr>
          <w:sz w:val="21"/>
        </w:rPr>
      </w:pPr>
      <w:r>
        <w:rPr>
          <w:rFonts w:ascii="黑体" w:eastAsia="黑体" w:hint="eastAsia"/>
          <w:sz w:val="21"/>
        </w:rPr>
        <w:t>保单年度</w:t>
        <w:tab/>
      </w:r>
      <w:r>
        <w:rPr>
          <w:sz w:val="21"/>
        </w:rPr>
        <w:t>从本</w:t>
      </w:r>
      <w:r>
        <w:rPr>
          <w:spacing w:val="2"/>
          <w:sz w:val="21"/>
        </w:rPr>
        <w:t>合</w:t>
      </w:r>
      <w:r>
        <w:rPr>
          <w:sz w:val="21"/>
        </w:rPr>
        <w:t>同生效日</w:t>
      </w:r>
      <w:r>
        <w:rPr>
          <w:spacing w:val="2"/>
          <w:sz w:val="21"/>
        </w:rPr>
        <w:t>或</w:t>
      </w:r>
      <w:r>
        <w:rPr>
          <w:sz w:val="21"/>
        </w:rPr>
        <w:t>合同生效</w:t>
      </w:r>
      <w:r>
        <w:rPr>
          <w:spacing w:val="2"/>
          <w:sz w:val="21"/>
        </w:rPr>
        <w:t>日</w:t>
      </w:r>
      <w:r>
        <w:rPr>
          <w:sz w:val="21"/>
        </w:rPr>
        <w:t>对应日的</w:t>
      </w:r>
      <w:r>
        <w:rPr>
          <w:spacing w:val="2"/>
          <w:sz w:val="21"/>
        </w:rPr>
        <w:t>零</w:t>
      </w:r>
      <w:r>
        <w:rPr>
          <w:sz w:val="21"/>
        </w:rPr>
        <w:t>时起至下</w:t>
      </w:r>
      <w:r>
        <w:rPr>
          <w:spacing w:val="2"/>
          <w:sz w:val="21"/>
        </w:rPr>
        <w:t>一</w:t>
      </w:r>
      <w:r>
        <w:rPr>
          <w:sz w:val="21"/>
        </w:rPr>
        <w:t>个合同生</w:t>
      </w:r>
      <w:r>
        <w:rPr>
          <w:spacing w:val="2"/>
          <w:sz w:val="21"/>
        </w:rPr>
        <w:t>效</w:t>
      </w:r>
      <w:r>
        <w:rPr>
          <w:sz w:val="21"/>
        </w:rPr>
        <w:t>日对应日 前一日的</w:t>
      </w:r>
      <w:r>
        <w:rPr>
          <w:spacing w:val="-60"/>
          <w:sz w:val="21"/>
        </w:rPr>
        <w:t> </w:t>
      </w:r>
      <w:r>
        <w:rPr>
          <w:sz w:val="21"/>
        </w:rPr>
        <w:t>24</w:t>
      </w:r>
      <w:r>
        <w:rPr>
          <w:spacing w:val="-60"/>
          <w:sz w:val="21"/>
        </w:rPr>
        <w:t> </w:t>
      </w:r>
      <w:r>
        <w:rPr>
          <w:sz w:val="21"/>
        </w:rPr>
        <w:t>时止为一个保单年度。</w:t>
      </w:r>
    </w:p>
    <w:p>
      <w:pPr>
        <w:pStyle w:val="BodyText"/>
        <w:spacing w:before="11"/>
        <w:rPr>
          <w:sz w:val="8"/>
        </w:rPr>
      </w:pPr>
    </w:p>
    <w:p>
      <w:pPr>
        <w:spacing w:after="0"/>
        <w:rPr>
          <w:sz w:val="8"/>
        </w:rPr>
        <w:sectPr>
          <w:type w:val="continuous"/>
          <w:pgSz w:w="11910" w:h="16840"/>
          <w:pgMar w:top="1280" w:bottom="280" w:left="1040" w:right="1040"/>
        </w:sectPr>
      </w:pPr>
    </w:p>
    <w:p>
      <w:pPr>
        <w:pStyle w:val="ListParagraph"/>
        <w:numPr>
          <w:ilvl w:val="1"/>
          <w:numId w:val="12"/>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z w:val="21"/>
        </w:rPr>
        <w:t>合同Th效日对应日</w:t>
      </w:r>
    </w:p>
    <w:p>
      <w:pPr>
        <w:pStyle w:val="BodyText"/>
        <w:spacing w:line="280" w:lineRule="auto"/>
        <w:ind w:left="202" w:right="212"/>
      </w:pPr>
      <w:r>
        <w:rPr/>
        <w:br w:type="column"/>
      </w:r>
      <w:r>
        <w:rPr>
          <w:spacing w:val="-5"/>
        </w:rPr>
        <w:t>指本合同生效日在合同生效后每年的对应日，不含合同生效日当日。如果当月没有对应的同一日，则以该月最后一日为对应日。</w:t>
      </w:r>
    </w:p>
    <w:p>
      <w:pPr>
        <w:spacing w:after="0" w:line="280" w:lineRule="auto"/>
        <w:sectPr>
          <w:type w:val="continuous"/>
          <w:pgSz w:w="11910" w:h="16840"/>
          <w:pgMar w:top="1280" w:bottom="280" w:left="1040" w:right="1040"/>
          <w:cols w:num="2" w:equalWidth="0">
            <w:col w:w="2532" w:space="40"/>
            <w:col w:w="7258"/>
          </w:cols>
        </w:sectPr>
      </w:pPr>
    </w:p>
    <w:p>
      <w:pPr>
        <w:pStyle w:val="BodyText"/>
        <w:spacing w:before="11"/>
        <w:rPr>
          <w:sz w:val="8"/>
        </w:rPr>
      </w:pPr>
    </w:p>
    <w:p>
      <w:pPr>
        <w:spacing w:after="0"/>
        <w:rPr>
          <w:sz w:val="8"/>
        </w:rPr>
        <w:sectPr>
          <w:type w:val="continuous"/>
          <w:pgSz w:w="11910" w:h="16840"/>
          <w:pgMar w:top="1280" w:bottom="280" w:left="1040" w:right="1040"/>
        </w:sectPr>
      </w:pPr>
    </w:p>
    <w:p>
      <w:pPr>
        <w:pStyle w:val="ListParagraph"/>
        <w:numPr>
          <w:ilvl w:val="1"/>
          <w:numId w:val="12"/>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z w:val="21"/>
        </w:rPr>
        <w:t>保险费约定支付日</w:t>
      </w:r>
    </w:p>
    <w:p>
      <w:pPr>
        <w:pStyle w:val="BodyText"/>
        <w:ind w:left="202"/>
      </w:pPr>
      <w:r>
        <w:rPr/>
        <w:br w:type="column"/>
      </w:r>
      <w:r>
        <w:rPr/>
        <w:t>指保险费交费期间内每个合同生效日对应日的前一日。</w:t>
      </w:r>
    </w:p>
    <w:p>
      <w:pPr>
        <w:spacing w:after="0"/>
        <w:sectPr>
          <w:type w:val="continuous"/>
          <w:pgSz w:w="11910" w:h="16840"/>
          <w:pgMar w:top="1280" w:bottom="280" w:left="1040" w:right="1040"/>
          <w:cols w:num="2" w:equalWidth="0">
            <w:col w:w="2532" w:space="40"/>
            <w:col w:w="7258"/>
          </w:cols>
        </w:sectPr>
      </w:pPr>
    </w:p>
    <w:p>
      <w:pPr>
        <w:pStyle w:val="BodyText"/>
        <w:spacing w:before="0"/>
        <w:rPr>
          <w:sz w:val="9"/>
        </w:rPr>
      </w:pPr>
    </w:p>
    <w:p>
      <w:pPr>
        <w:pStyle w:val="ListParagraph"/>
        <w:numPr>
          <w:ilvl w:val="1"/>
          <w:numId w:val="12"/>
        </w:numPr>
        <w:tabs>
          <w:tab w:pos="1270" w:val="left" w:leader="none"/>
          <w:tab w:pos="1271" w:val="left" w:leader="none"/>
          <w:tab w:pos="2773" w:val="left" w:leader="none"/>
        </w:tabs>
        <w:spacing w:line="280" w:lineRule="auto" w:before="35" w:after="0"/>
        <w:ind w:left="2773" w:right="118" w:hanging="2558"/>
        <w:jc w:val="left"/>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12"/>
        </w:numPr>
        <w:tabs>
          <w:tab w:pos="1271" w:val="left" w:leader="none"/>
          <w:tab w:pos="1272" w:val="left" w:leader="none"/>
          <w:tab w:pos="2773" w:val="left" w:leader="none"/>
        </w:tabs>
        <w:spacing w:line="280" w:lineRule="auto" w:before="151" w:after="0"/>
        <w:ind w:left="2773" w:right="212" w:hanging="2558"/>
        <w:jc w:val="left"/>
        <w:rPr>
          <w:sz w:val="21"/>
        </w:rPr>
      </w:pPr>
      <w:r>
        <w:rPr>
          <w:rFonts w:ascii="黑体" w:eastAsia="黑体" w:hint="eastAsia"/>
          <w:sz w:val="21"/>
        </w:rPr>
        <w:t>有效身份证件</w:t>
        <w:tab/>
      </w:r>
      <w:r>
        <w:rPr>
          <w:sz w:val="21"/>
        </w:rPr>
        <w:t>指由政府主管部门规定的证明其身份的证件</w:t>
      </w:r>
      <w:r>
        <w:rPr>
          <w:spacing w:val="-32"/>
          <w:sz w:val="21"/>
        </w:rPr>
        <w:t>，</w:t>
      </w:r>
      <w:r>
        <w:rPr>
          <w:sz w:val="21"/>
        </w:rPr>
        <w:t>如</w:t>
      </w:r>
      <w:r>
        <w:rPr>
          <w:spacing w:val="-32"/>
          <w:sz w:val="21"/>
        </w:rPr>
        <w:t>：</w:t>
      </w:r>
      <w:r>
        <w:rPr>
          <w:sz w:val="21"/>
        </w:rPr>
        <w:t>居民身份证</w:t>
      </w:r>
      <w:r>
        <w:rPr>
          <w:spacing w:val="-32"/>
          <w:sz w:val="21"/>
        </w:rPr>
        <w:t>、</w:t>
      </w:r>
      <w:r>
        <w:rPr>
          <w:sz w:val="21"/>
        </w:rPr>
        <w:t>按规定可使用的有效护照、军官证、警官证、士兵证、户口簿等证件。</w:t>
      </w:r>
    </w:p>
    <w:p>
      <w:pPr>
        <w:pStyle w:val="ListParagraph"/>
        <w:numPr>
          <w:ilvl w:val="1"/>
          <w:numId w:val="12"/>
        </w:numPr>
        <w:tabs>
          <w:tab w:pos="1271" w:val="left" w:leader="none"/>
          <w:tab w:pos="1272" w:val="left" w:leader="none"/>
          <w:tab w:pos="2773" w:val="left" w:leader="none"/>
        </w:tabs>
        <w:spacing w:line="278" w:lineRule="auto" w:before="151" w:after="0"/>
        <w:ind w:left="2773" w:right="212" w:hanging="2558"/>
        <w:jc w:val="left"/>
        <w:rPr>
          <w:sz w:val="21"/>
        </w:rPr>
      </w:pPr>
      <w:r>
        <w:rPr>
          <w:rFonts w:ascii="黑体" w:eastAsia="黑体" w:hint="eastAsia"/>
          <w:sz w:val="21"/>
        </w:rPr>
        <w:t>意外伤害</w:t>
        <w:tab/>
      </w:r>
      <w:r>
        <w:rPr>
          <w:sz w:val="21"/>
        </w:rPr>
        <w:t>指遭受外来的</w:t>
      </w:r>
      <w:r>
        <w:rPr>
          <w:spacing w:val="-32"/>
          <w:sz w:val="21"/>
        </w:rPr>
        <w:t>、</w:t>
      </w:r>
      <w:r>
        <w:rPr>
          <w:sz w:val="21"/>
        </w:rPr>
        <w:t>突发的</w:t>
      </w:r>
      <w:r>
        <w:rPr>
          <w:spacing w:val="-32"/>
          <w:sz w:val="21"/>
        </w:rPr>
        <w:t>、</w:t>
      </w:r>
      <w:r>
        <w:rPr>
          <w:sz w:val="21"/>
        </w:rPr>
        <w:t>非本意的</w:t>
      </w:r>
      <w:r>
        <w:rPr>
          <w:spacing w:val="-32"/>
          <w:sz w:val="21"/>
        </w:rPr>
        <w:t>、</w:t>
      </w:r>
      <w:r>
        <w:rPr>
          <w:sz w:val="21"/>
        </w:rPr>
        <w:t>非疾病的客观事件直接致使身体受到的伤害。</w:t>
      </w:r>
    </w:p>
    <w:p>
      <w:pPr>
        <w:pStyle w:val="BodyText"/>
        <w:spacing w:line="278" w:lineRule="auto" w:before="11"/>
        <w:ind w:left="2773" w:right="210"/>
        <w:jc w:val="both"/>
      </w:pPr>
      <w:r>
        <w:rPr>
          <w:spacing w:val="-5"/>
          <w:shd w:fill="D9D9D9" w:color="auto" w:val="clear"/>
        </w:rPr>
        <w:t>本合同所述的意外伤害导致的身故，不包括猝死。</w:t>
      </w:r>
      <w:r>
        <w:rPr/>
        <w:t>猝死是指貌似健康的人因</w:t>
      </w:r>
      <w:r>
        <w:rPr>
          <w:spacing w:val="-3"/>
        </w:rPr>
        <w:t>潜在疾病、机能障碍或其他原因在出现症状后 </w:t>
      </w:r>
      <w:r>
        <w:rPr/>
        <w:t>24</w:t>
      </w:r>
      <w:r>
        <w:rPr>
          <w:spacing w:val="-8"/>
        </w:rPr>
        <w:t> 小时内发生的非暴力性突</w:t>
      </w:r>
      <w:r>
        <w:rPr>
          <w:spacing w:val="-11"/>
        </w:rPr>
        <w:t>然死亡。猝死的认定，如有司法机关的法律文件、医疗机构的诊断书等，则以上述法律文件、诊断书等为准。</w:t>
      </w:r>
    </w:p>
    <w:p>
      <w:pPr>
        <w:pStyle w:val="ListParagraph"/>
        <w:numPr>
          <w:ilvl w:val="1"/>
          <w:numId w:val="12"/>
        </w:numPr>
        <w:tabs>
          <w:tab w:pos="1270" w:val="left" w:leader="none"/>
          <w:tab w:pos="1271" w:val="left" w:leader="none"/>
          <w:tab w:pos="2773" w:val="left" w:leader="none"/>
        </w:tabs>
        <w:spacing w:line="240" w:lineRule="auto" w:before="153" w:after="0"/>
        <w:ind w:left="1270" w:right="0" w:hanging="1055"/>
        <w:jc w:val="left"/>
        <w:rPr>
          <w:sz w:val="21"/>
        </w:rPr>
      </w:pPr>
      <w:r>
        <w:rPr>
          <w:rFonts w:ascii="黑体" w:eastAsia="黑体" w:hint="eastAsia"/>
          <w:sz w:val="21"/>
        </w:rPr>
        <w:t>全残</w:t>
        <w:tab/>
      </w:r>
      <w:r>
        <w:rPr>
          <w:sz w:val="21"/>
        </w:rPr>
        <w:t>本合同所定义的全残是指至少满足下列情形之一者：</w:t>
      </w:r>
    </w:p>
    <w:p>
      <w:pPr>
        <w:spacing w:after="0" w:line="240" w:lineRule="auto"/>
        <w:jc w:val="left"/>
        <w:rPr>
          <w:sz w:val="21"/>
        </w:rPr>
        <w:sectPr>
          <w:type w:val="continuous"/>
          <w:pgSz w:w="11910" w:h="16840"/>
          <w:pgMar w:top="1280" w:bottom="280" w:left="1040" w:right="1040"/>
        </w:sectPr>
      </w:pPr>
    </w:p>
    <w:p>
      <w:pPr>
        <w:pStyle w:val="BodyText"/>
        <w:spacing w:line="278" w:lineRule="auto" w:before="8"/>
        <w:ind w:left="2713" w:right="2384"/>
      </w:pPr>
      <w:r>
        <w:rPr>
          <w:spacing w:val="-1"/>
        </w:rPr>
        <w:t>(1)双目永久完全失明的（注①</w:t>
      </w:r>
      <w:r>
        <w:rPr>
          <w:spacing w:val="-105"/>
        </w:rPr>
        <w:t>）</w:t>
      </w:r>
      <w:r>
        <w:rPr/>
        <w:t>； </w:t>
      </w:r>
      <w:r>
        <w:rPr>
          <w:spacing w:val="-1"/>
        </w:rPr>
        <w:t>            (2)</w:t>
      </w:r>
      <w:r>
        <w:rPr/>
        <w:t>两上肢腕关节以上或两下肢踝关节以上缺失的； </w:t>
      </w:r>
      <w:r>
        <w:rPr>
          <w:spacing w:val="-1"/>
        </w:rPr>
        <w:t>(3)</w:t>
      </w:r>
      <w:r>
        <w:rPr/>
        <w:t>一上肢腕关节以上及一下肢踝关节以上缺失的； </w:t>
      </w:r>
      <w:r>
        <w:rPr>
          <w:spacing w:val="-1"/>
        </w:rPr>
        <w:t>(4)</w:t>
      </w:r>
      <w:r>
        <w:rPr/>
        <w:t>一目永久完全失明及一上肢腕关节以上缺失的； </w:t>
      </w:r>
      <w:r>
        <w:rPr>
          <w:spacing w:val="-1"/>
        </w:rPr>
        <w:t>(5)</w:t>
      </w:r>
      <w:r>
        <w:rPr/>
        <w:t>一目永久完全失明及一下肢踝关节以上缺失的； </w:t>
      </w:r>
      <w:r>
        <w:rPr>
          <w:spacing w:val="-1"/>
        </w:rPr>
        <w:t>(6)四肢关节机能永久完全丧失的（注②</w:t>
      </w:r>
      <w:r>
        <w:rPr>
          <w:spacing w:val="-105"/>
        </w:rPr>
        <w:t>）</w:t>
      </w:r>
      <w:r>
        <w:rPr/>
        <w:t>； </w:t>
      </w:r>
      <w:r>
        <w:rPr>
          <w:spacing w:val="-1"/>
        </w:rPr>
        <w:t>    (7)咀嚼、吞咽机能永久完全丧失的（注③</w:t>
      </w:r>
      <w:r>
        <w:rPr>
          <w:spacing w:val="-105"/>
        </w:rPr>
        <w:t>）</w:t>
      </w:r>
      <w:r>
        <w:rPr/>
        <w:t>；</w:t>
      </w:r>
    </w:p>
    <w:p>
      <w:pPr>
        <w:pStyle w:val="BodyText"/>
        <w:spacing w:line="280" w:lineRule="auto" w:before="10"/>
        <w:ind w:left="3029" w:right="270" w:hanging="316"/>
      </w:pPr>
      <w:r>
        <w:rPr/>
        <w:t>(8)中枢神经系统机能或胸、腹部脏器机能极度障碍，终身不能从事任何工作，为维持生命必要的日常生活活动，全需他人扶助的（注④</w:t>
      </w:r>
      <w:r>
        <w:rPr>
          <w:spacing w:val="-105"/>
        </w:rPr>
        <w:t>）</w:t>
      </w:r>
      <w:r>
        <w:rPr/>
        <w:t>。</w:t>
      </w:r>
    </w:p>
    <w:p>
      <w:pPr>
        <w:pStyle w:val="BodyText"/>
        <w:spacing w:before="9"/>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113"/>
      </w:tblGrid>
      <w:tr>
        <w:trPr>
          <w:trHeight w:val="3855" w:hRule="atLeast"/>
        </w:trPr>
        <w:tc>
          <w:tcPr>
            <w:tcW w:w="840" w:type="dxa"/>
          </w:tcPr>
          <w:p>
            <w:pPr>
              <w:pStyle w:val="TableParagraph"/>
              <w:spacing w:before="0"/>
              <w:ind w:left="0"/>
              <w:rPr>
                <w:rFonts w:ascii="Times New Roman"/>
                <w:sz w:val="20"/>
              </w:rPr>
            </w:pPr>
          </w:p>
        </w:tc>
        <w:tc>
          <w:tcPr>
            <w:tcW w:w="1647" w:type="dxa"/>
          </w:tcPr>
          <w:p>
            <w:pPr>
              <w:pStyle w:val="TableParagraph"/>
              <w:spacing w:before="0"/>
              <w:ind w:left="0"/>
              <w:rPr>
                <w:rFonts w:ascii="Times New Roman"/>
                <w:sz w:val="20"/>
              </w:rPr>
            </w:pPr>
          </w:p>
        </w:tc>
        <w:tc>
          <w:tcPr>
            <w:tcW w:w="7113" w:type="dxa"/>
          </w:tcPr>
          <w:p>
            <w:pPr>
              <w:pStyle w:val="TableParagraph"/>
              <w:spacing w:line="210" w:lineRule="exact" w:before="0"/>
              <w:ind w:left="121"/>
              <w:rPr>
                <w:sz w:val="21"/>
              </w:rPr>
            </w:pPr>
            <w:r>
              <w:rPr>
                <w:sz w:val="21"/>
              </w:rPr>
              <w:t>全残的鉴定应在治疗结束之后，由二级以上医院或者由双方认可的医疗机构</w:t>
            </w:r>
          </w:p>
          <w:p>
            <w:pPr>
              <w:pStyle w:val="TableParagraph"/>
              <w:spacing w:before="44"/>
              <w:ind w:left="121"/>
              <w:rPr>
                <w:sz w:val="21"/>
              </w:rPr>
            </w:pPr>
            <w:r>
              <w:rPr>
                <w:sz w:val="21"/>
              </w:rPr>
              <w:t>（或鉴定机构</w:t>
            </w:r>
            <w:r>
              <w:rPr>
                <w:spacing w:val="-47"/>
                <w:sz w:val="21"/>
              </w:rPr>
              <w:t>）</w:t>
            </w:r>
            <w:r>
              <w:rPr>
                <w:spacing w:val="-10"/>
                <w:sz w:val="21"/>
              </w:rPr>
              <w:t>进行。如果自被保险人遭受意外伤害之日起 </w:t>
            </w:r>
            <w:r>
              <w:rPr>
                <w:sz w:val="21"/>
              </w:rPr>
              <w:t>180</w:t>
            </w:r>
            <w:r>
              <w:rPr>
                <w:spacing w:val="-10"/>
                <w:sz w:val="21"/>
              </w:rPr>
              <w:t> 日后治疗仍</w:t>
            </w:r>
          </w:p>
          <w:p>
            <w:pPr>
              <w:pStyle w:val="TableParagraph"/>
              <w:spacing w:line="280" w:lineRule="auto" w:before="45"/>
              <w:ind w:left="121" w:right="2999"/>
              <w:rPr>
                <w:sz w:val="21"/>
              </w:rPr>
            </w:pPr>
            <w:r>
              <w:rPr>
                <w:spacing w:val="-8"/>
                <w:sz w:val="21"/>
              </w:rPr>
              <w:t>未结束，按第 </w:t>
            </w:r>
            <w:r>
              <w:rPr>
                <w:sz w:val="21"/>
              </w:rPr>
              <w:t>180</w:t>
            </w:r>
            <w:r>
              <w:rPr>
                <w:spacing w:val="-8"/>
                <w:sz w:val="21"/>
              </w:rPr>
              <w:t> 日的身体情况进行鉴定。注：</w:t>
            </w:r>
          </w:p>
          <w:p>
            <w:pPr>
              <w:pStyle w:val="TableParagraph"/>
              <w:spacing w:line="280" w:lineRule="auto" w:before="8"/>
              <w:ind w:left="121" w:right="151"/>
              <w:jc w:val="both"/>
              <w:rPr>
                <w:sz w:val="21"/>
              </w:rPr>
            </w:pPr>
            <w:r>
              <w:rPr>
                <w:spacing w:val="-6"/>
                <w:sz w:val="21"/>
              </w:rPr>
              <w:t>①失明包括眼球缺失或摘除、或不能辨别明暗、或仅能辨别眼前手动者，最</w:t>
            </w:r>
            <w:r>
              <w:rPr>
                <w:spacing w:val="-8"/>
                <w:sz w:val="21"/>
              </w:rPr>
              <w:t>佳矫正视力低于国际标准视力表 </w:t>
            </w:r>
            <w:r>
              <w:rPr>
                <w:sz w:val="21"/>
              </w:rPr>
              <w:t>0.02，</w:t>
            </w:r>
            <w:r>
              <w:rPr>
                <w:spacing w:val="-4"/>
                <w:sz w:val="21"/>
              </w:rPr>
              <w:t>或视野半径小于 </w:t>
            </w:r>
            <w:r>
              <w:rPr>
                <w:sz w:val="21"/>
              </w:rPr>
              <w:t>5</w:t>
            </w:r>
            <w:r>
              <w:rPr>
                <w:spacing w:val="-6"/>
                <w:sz w:val="21"/>
              </w:rPr>
              <w:t> 度，并由有资格的眼科医生出具医疗诊断证明。</w:t>
            </w:r>
          </w:p>
          <w:p>
            <w:pPr>
              <w:pStyle w:val="TableParagraph"/>
              <w:spacing w:before="8"/>
              <w:ind w:left="121"/>
              <w:rPr>
                <w:sz w:val="21"/>
              </w:rPr>
            </w:pPr>
            <w:r>
              <w:rPr>
                <w:spacing w:val="-11"/>
                <w:sz w:val="21"/>
              </w:rPr>
              <w:t>②关节机能的丧失系指关节永久完全僵硬、或麻痹、或关节不能随意识活动。</w:t>
            </w:r>
          </w:p>
          <w:p>
            <w:pPr>
              <w:pStyle w:val="TableParagraph"/>
              <w:spacing w:line="280" w:lineRule="auto" w:before="45"/>
              <w:ind w:left="121" w:right="147"/>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80" w:lineRule="auto" w:before="8"/>
              <w:ind w:left="121" w:right="153"/>
              <w:rPr>
                <w:sz w:val="21"/>
              </w:rPr>
            </w:pPr>
            <w:r>
              <w:rPr>
                <w:spacing w:val="-5"/>
                <w:sz w:val="21"/>
              </w:rPr>
              <w:t>④为维持生命必要之日常生活活动，全需他人扶助系指食物摄取、大小便始末、穿脱衣服、起居、步行、入浴等，皆不能自己为之，需要他人帮助。</w:t>
            </w:r>
          </w:p>
        </w:tc>
      </w:tr>
      <w:tr>
        <w:trPr>
          <w:trHeight w:val="1421" w:hRule="atLeast"/>
        </w:trPr>
        <w:tc>
          <w:tcPr>
            <w:tcW w:w="840" w:type="dxa"/>
          </w:tcPr>
          <w:p>
            <w:pPr>
              <w:pStyle w:val="TableParagraph"/>
              <w:rPr>
                <w:rFonts w:ascii="黑体"/>
                <w:sz w:val="21"/>
              </w:rPr>
            </w:pPr>
            <w:r>
              <w:rPr>
                <w:rFonts w:ascii="黑体"/>
                <w:sz w:val="21"/>
              </w:rPr>
              <w:t>12.8</w:t>
            </w:r>
          </w:p>
        </w:tc>
        <w:tc>
          <w:tcPr>
            <w:tcW w:w="1647" w:type="dxa"/>
          </w:tcPr>
          <w:p>
            <w:pPr>
              <w:pStyle w:val="TableParagraph"/>
              <w:ind w:left="265"/>
              <w:rPr>
                <w:rFonts w:ascii="黑体" w:eastAsia="黑体" w:hint="eastAsia"/>
                <w:sz w:val="21"/>
              </w:rPr>
            </w:pPr>
            <w:r>
              <w:rPr>
                <w:rFonts w:ascii="黑体" w:eastAsia="黑体" w:hint="eastAsia"/>
                <w:sz w:val="21"/>
              </w:rPr>
              <w:t>毒品</w:t>
            </w:r>
          </w:p>
        </w:tc>
        <w:tc>
          <w:tcPr>
            <w:tcW w:w="7113" w:type="dxa"/>
          </w:tcPr>
          <w:p>
            <w:pPr>
              <w:pStyle w:val="TableParagraph"/>
              <w:spacing w:line="278" w:lineRule="auto"/>
              <w:ind w:left="121" w:right="150"/>
              <w:jc w:val="both"/>
              <w:rPr>
                <w:sz w:val="21"/>
              </w:rPr>
            </w:pPr>
            <w:r>
              <w:rPr>
                <w:sz w:val="21"/>
              </w:rPr>
              <w:t>指中华人民共和国刑法规定的鸦片、海洛因、甲基苯丙胺（冰毒</w:t>
            </w:r>
            <w:r>
              <w:rPr>
                <w:spacing w:val="-105"/>
                <w:sz w:val="21"/>
              </w:rPr>
              <w:t>）</w:t>
            </w:r>
            <w:r>
              <w:rPr>
                <w:sz w:val="21"/>
              </w:rPr>
              <w:t>、吗啡、</w:t>
            </w:r>
            <w:r>
              <w:rPr>
                <w:spacing w:val="-11"/>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101" w:hRule="atLeast"/>
        </w:trPr>
        <w:tc>
          <w:tcPr>
            <w:tcW w:w="840" w:type="dxa"/>
          </w:tcPr>
          <w:p>
            <w:pPr>
              <w:pStyle w:val="TableParagraph"/>
              <w:rPr>
                <w:rFonts w:ascii="黑体"/>
                <w:sz w:val="21"/>
              </w:rPr>
            </w:pPr>
            <w:r>
              <w:rPr>
                <w:rFonts w:ascii="黑体"/>
                <w:sz w:val="21"/>
              </w:rPr>
              <w:t>12.9</w:t>
            </w:r>
          </w:p>
        </w:tc>
        <w:tc>
          <w:tcPr>
            <w:tcW w:w="1647" w:type="dxa"/>
          </w:tcPr>
          <w:p>
            <w:pPr>
              <w:pStyle w:val="TableParagraph"/>
              <w:ind w:left="266"/>
              <w:rPr>
                <w:rFonts w:ascii="黑体" w:eastAsia="黑体" w:hint="eastAsia"/>
                <w:sz w:val="21"/>
              </w:rPr>
            </w:pPr>
            <w:r>
              <w:rPr>
                <w:rFonts w:ascii="黑体" w:eastAsia="黑体" w:hint="eastAsia"/>
                <w:sz w:val="21"/>
              </w:rPr>
              <w:t>酒后驾驶</w:t>
            </w:r>
          </w:p>
        </w:tc>
        <w:tc>
          <w:tcPr>
            <w:tcW w:w="7113" w:type="dxa"/>
          </w:tcPr>
          <w:p>
            <w:pPr>
              <w:pStyle w:val="TableParagraph"/>
              <w:spacing w:line="278" w:lineRule="auto"/>
              <w:ind w:left="121" w:right="153"/>
              <w:jc w:val="both"/>
              <w:rPr>
                <w:sz w:val="21"/>
              </w:rPr>
            </w:pP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tc>
      </w:tr>
      <w:tr>
        <w:trPr>
          <w:trHeight w:val="2062" w:hRule="atLeast"/>
        </w:trPr>
        <w:tc>
          <w:tcPr>
            <w:tcW w:w="840" w:type="dxa"/>
          </w:tcPr>
          <w:p>
            <w:pPr>
              <w:pStyle w:val="TableParagraph"/>
              <w:rPr>
                <w:rFonts w:ascii="黑体"/>
                <w:sz w:val="21"/>
              </w:rPr>
            </w:pPr>
            <w:r>
              <w:rPr>
                <w:rFonts w:ascii="黑体"/>
                <w:sz w:val="21"/>
              </w:rPr>
              <w:t>12.10</w:t>
            </w:r>
          </w:p>
        </w:tc>
        <w:tc>
          <w:tcPr>
            <w:tcW w:w="1647" w:type="dxa"/>
          </w:tcPr>
          <w:p>
            <w:pPr>
              <w:pStyle w:val="TableParagraph"/>
              <w:spacing w:line="280" w:lineRule="auto"/>
              <w:ind w:left="266" w:right="119"/>
              <w:rPr>
                <w:rFonts w:ascii="黑体" w:eastAsia="黑体" w:hint="eastAsia"/>
                <w:sz w:val="21"/>
              </w:rPr>
            </w:pPr>
            <w:r>
              <w:rPr>
                <w:rFonts w:ascii="黑体" w:eastAsia="黑体" w:hint="eastAsia"/>
                <w:sz w:val="21"/>
              </w:rPr>
              <w:t>无合法有效驾驶证驾驶</w:t>
            </w:r>
          </w:p>
        </w:tc>
        <w:tc>
          <w:tcPr>
            <w:tcW w:w="7113" w:type="dxa"/>
          </w:tcPr>
          <w:p>
            <w:pPr>
              <w:pStyle w:val="TableParagraph"/>
              <w:spacing w:line="280" w:lineRule="auto"/>
              <w:ind w:left="121" w:right="4785"/>
              <w:rPr>
                <w:sz w:val="21"/>
              </w:rPr>
            </w:pPr>
            <w:r>
              <w:rPr>
                <w:sz w:val="21"/>
              </w:rPr>
              <w:t>指下列情形之一：   </w:t>
            </w:r>
            <w:r>
              <w:rPr>
                <w:spacing w:val="-1"/>
                <w:sz w:val="21"/>
              </w:rPr>
              <w:t>(1)没有取得驾驶资格；</w:t>
            </w:r>
          </w:p>
          <w:p>
            <w:pPr>
              <w:pStyle w:val="TableParagraph"/>
              <w:spacing w:line="278" w:lineRule="auto" w:before="9"/>
              <w:ind w:left="121" w:right="2877"/>
              <w:rPr>
                <w:sz w:val="21"/>
              </w:rPr>
            </w:pPr>
            <w:r>
              <w:rPr>
                <w:sz w:val="21"/>
              </w:rPr>
              <w:t>(2)驾驶与驾驶证准驾车型不相符合的车辆； (3)持审验不合格的驾驶证驾驶；</w:t>
            </w:r>
          </w:p>
          <w:p>
            <w:pPr>
              <w:pStyle w:val="TableParagraph"/>
              <w:spacing w:line="280" w:lineRule="auto" w:before="11"/>
              <w:ind w:left="437" w:right="150" w:hanging="316"/>
              <w:rPr>
                <w:sz w:val="21"/>
              </w:rPr>
            </w:pPr>
            <w:r>
              <w:rPr>
                <w:sz w:val="21"/>
              </w:rPr>
              <w:t>(4)持学习驾驶证学习驾车时，无教练员随车指导，或不按指定时间、路线学习驾车。</w:t>
            </w:r>
          </w:p>
        </w:tc>
      </w:tr>
      <w:tr>
        <w:trPr>
          <w:trHeight w:val="1101" w:hRule="atLeast"/>
        </w:trPr>
        <w:tc>
          <w:tcPr>
            <w:tcW w:w="840" w:type="dxa"/>
          </w:tcPr>
          <w:p>
            <w:pPr>
              <w:pStyle w:val="TableParagraph"/>
              <w:rPr>
                <w:rFonts w:ascii="黑体"/>
                <w:sz w:val="21"/>
              </w:rPr>
            </w:pPr>
            <w:r>
              <w:rPr>
                <w:rFonts w:ascii="黑体"/>
                <w:sz w:val="21"/>
              </w:rPr>
              <w:t>12.11</w:t>
            </w:r>
          </w:p>
        </w:tc>
        <w:tc>
          <w:tcPr>
            <w:tcW w:w="1647" w:type="dxa"/>
          </w:tcPr>
          <w:p>
            <w:pPr>
              <w:pStyle w:val="TableParagraph"/>
              <w:ind w:left="266"/>
              <w:rPr>
                <w:rFonts w:ascii="黑体" w:eastAsia="黑体" w:hint="eastAsia"/>
                <w:sz w:val="21"/>
              </w:rPr>
            </w:pPr>
            <w:r>
              <w:rPr>
                <w:rFonts w:ascii="黑体" w:eastAsia="黑体" w:hint="eastAsia"/>
                <w:sz w:val="21"/>
              </w:rPr>
              <w:t>无有效行驶证</w:t>
            </w:r>
          </w:p>
        </w:tc>
        <w:tc>
          <w:tcPr>
            <w:tcW w:w="7113" w:type="dxa"/>
          </w:tcPr>
          <w:p>
            <w:pPr>
              <w:pStyle w:val="TableParagraph"/>
              <w:spacing w:line="278" w:lineRule="auto"/>
              <w:ind w:left="121" w:right="2475"/>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840" w:type="dxa"/>
          </w:tcPr>
          <w:p>
            <w:pPr>
              <w:pStyle w:val="TableParagraph"/>
              <w:rPr>
                <w:rFonts w:ascii="黑体"/>
                <w:sz w:val="21"/>
              </w:rPr>
            </w:pPr>
            <w:r>
              <w:rPr>
                <w:rFonts w:ascii="黑体"/>
                <w:sz w:val="21"/>
              </w:rPr>
              <w:t>12.12</w:t>
            </w:r>
          </w:p>
        </w:tc>
        <w:tc>
          <w:tcPr>
            <w:tcW w:w="1647" w:type="dxa"/>
          </w:tcPr>
          <w:p>
            <w:pPr>
              <w:pStyle w:val="TableParagraph"/>
              <w:ind w:left="265"/>
              <w:rPr>
                <w:rFonts w:ascii="黑体" w:eastAsia="黑体" w:hint="eastAsia"/>
                <w:sz w:val="21"/>
              </w:rPr>
            </w:pPr>
            <w:r>
              <w:rPr>
                <w:rFonts w:ascii="黑体" w:eastAsia="黑体" w:hint="eastAsia"/>
                <w:sz w:val="21"/>
              </w:rPr>
              <w:t>机动车</w:t>
            </w:r>
          </w:p>
        </w:tc>
        <w:tc>
          <w:tcPr>
            <w:tcW w:w="7113" w:type="dxa"/>
          </w:tcPr>
          <w:p>
            <w:pPr>
              <w:pStyle w:val="TableParagraph"/>
              <w:spacing w:line="280" w:lineRule="auto"/>
              <w:ind w:left="121" w:right="153"/>
              <w:rPr>
                <w:sz w:val="21"/>
              </w:rPr>
            </w:pPr>
            <w:r>
              <w:rPr>
                <w:spacing w:val="-8"/>
                <w:sz w:val="21"/>
              </w:rPr>
              <w:t>指以动力装置驱动或者牵引，上道路行驶的供人员乘用或者用于运送物品以及进行工程专项作业的轮式车辆。</w:t>
            </w:r>
          </w:p>
        </w:tc>
      </w:tr>
      <w:tr>
        <w:trPr>
          <w:trHeight w:val="655" w:hRule="atLeast"/>
        </w:trPr>
        <w:tc>
          <w:tcPr>
            <w:tcW w:w="840" w:type="dxa"/>
          </w:tcPr>
          <w:p>
            <w:pPr>
              <w:pStyle w:val="TableParagraph"/>
              <w:rPr>
                <w:rFonts w:ascii="黑体"/>
                <w:sz w:val="21"/>
              </w:rPr>
            </w:pPr>
            <w:r>
              <w:rPr>
                <w:rFonts w:ascii="黑体"/>
                <w:sz w:val="21"/>
              </w:rPr>
              <w:t>12.13</w:t>
            </w:r>
          </w:p>
        </w:tc>
        <w:tc>
          <w:tcPr>
            <w:tcW w:w="1647" w:type="dxa"/>
          </w:tcPr>
          <w:p>
            <w:pPr>
              <w:pStyle w:val="TableParagraph"/>
              <w:spacing w:line="320" w:lineRule="atLeast" w:before="16"/>
              <w:ind w:left="266" w:right="118"/>
              <w:rPr>
                <w:rFonts w:ascii="黑体" w:eastAsia="黑体" w:hint="eastAsia"/>
                <w:sz w:val="21"/>
              </w:rPr>
            </w:pPr>
            <w:r>
              <w:rPr>
                <w:rFonts w:ascii="黑体" w:eastAsia="黑体" w:hint="eastAsia"/>
                <w:sz w:val="21"/>
              </w:rPr>
              <w:t>感染艾滋病病毒或患艾滋病</w:t>
            </w:r>
          </w:p>
        </w:tc>
        <w:tc>
          <w:tcPr>
            <w:tcW w:w="7113" w:type="dxa"/>
          </w:tcPr>
          <w:p>
            <w:pPr>
              <w:pStyle w:val="TableParagraph"/>
              <w:spacing w:line="320" w:lineRule="atLeast" w:before="16"/>
              <w:ind w:left="121" w:right="153"/>
              <w:rPr>
                <w:sz w:val="21"/>
              </w:rPr>
            </w:pPr>
            <w:r>
              <w:rPr>
                <w:spacing w:val="-6"/>
                <w:sz w:val="21"/>
              </w:rPr>
              <w:t>艾滋病病毒指人类免疫缺陷病毒，英文缩写为 </w:t>
            </w:r>
            <w:r>
              <w:rPr>
                <w:sz w:val="21"/>
              </w:rPr>
              <w:t>HIV</w:t>
            </w:r>
            <w:r>
              <w:rPr>
                <w:spacing w:val="-5"/>
                <w:sz w:val="21"/>
              </w:rPr>
              <w:t>。艾滋病指人类免疫缺陷</w:t>
            </w:r>
            <w:r>
              <w:rPr>
                <w:spacing w:val="-8"/>
                <w:sz w:val="21"/>
              </w:rPr>
              <w:t>病毒引起的获得性免疫缺陷综合征，英文缩写为 </w:t>
            </w:r>
            <w:r>
              <w:rPr>
                <w:sz w:val="21"/>
              </w:rPr>
              <w:t>AIDS。</w:t>
            </w:r>
          </w:p>
        </w:tc>
      </w:tr>
    </w:tbl>
    <w:p>
      <w:pPr>
        <w:spacing w:after="0" w:line="320" w:lineRule="atLeast"/>
        <w:rPr>
          <w:sz w:val="21"/>
        </w:rPr>
        <w:sectPr>
          <w:pgSz w:w="11910" w:h="16840"/>
          <w:pgMar w:top="142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128"/>
      </w:tblGrid>
      <w:tr>
        <w:trPr>
          <w:trHeight w:val="975" w:hRule="atLeast"/>
        </w:trPr>
        <w:tc>
          <w:tcPr>
            <w:tcW w:w="840" w:type="dxa"/>
          </w:tcPr>
          <w:p>
            <w:pPr>
              <w:pStyle w:val="TableParagraph"/>
              <w:spacing w:before="0"/>
              <w:ind w:left="0"/>
              <w:rPr>
                <w:rFonts w:ascii="Times New Roman"/>
                <w:sz w:val="20"/>
              </w:rPr>
            </w:pPr>
          </w:p>
        </w:tc>
        <w:tc>
          <w:tcPr>
            <w:tcW w:w="1647" w:type="dxa"/>
          </w:tcPr>
          <w:p>
            <w:pPr>
              <w:pStyle w:val="TableParagraph"/>
              <w:spacing w:before="0"/>
              <w:ind w:left="0"/>
              <w:rPr>
                <w:rFonts w:ascii="Times New Roman"/>
                <w:sz w:val="20"/>
              </w:rPr>
            </w:pPr>
          </w:p>
        </w:tc>
        <w:tc>
          <w:tcPr>
            <w:tcW w:w="7128" w:type="dxa"/>
          </w:tcPr>
          <w:p>
            <w:pPr>
              <w:pStyle w:val="TableParagraph"/>
              <w:spacing w:line="204" w:lineRule="exact" w:before="0"/>
              <w:ind w:left="121"/>
              <w:rPr>
                <w:sz w:val="21"/>
              </w:rPr>
            </w:pPr>
            <w:r>
              <w:rPr>
                <w:sz w:val="21"/>
              </w:rPr>
              <w:t>在人体血液或其他样本中检测到艾滋病病毒或其抗体呈阳性，没有出现临床</w:t>
            </w:r>
          </w:p>
          <w:p>
            <w:pPr>
              <w:pStyle w:val="TableParagraph"/>
              <w:spacing w:line="280" w:lineRule="auto" w:before="44"/>
              <w:ind w:left="121" w:right="62"/>
              <w:rPr>
                <w:sz w:val="21"/>
              </w:rPr>
            </w:pPr>
            <w:r>
              <w:rPr>
                <w:spacing w:val="-16"/>
                <w:sz w:val="21"/>
              </w:rPr>
              <w:t>症状或体征的，为感染艾滋病病毒；如果同时出现了明显临床症状或体征的， 为患艾滋病。</w:t>
            </w:r>
          </w:p>
        </w:tc>
      </w:tr>
      <w:tr>
        <w:trPr>
          <w:trHeight w:val="782" w:hRule="atLeast"/>
        </w:trPr>
        <w:tc>
          <w:tcPr>
            <w:tcW w:w="840" w:type="dxa"/>
          </w:tcPr>
          <w:p>
            <w:pPr>
              <w:pStyle w:val="TableParagraph"/>
              <w:spacing w:before="54"/>
              <w:rPr>
                <w:rFonts w:ascii="黑体"/>
                <w:sz w:val="21"/>
              </w:rPr>
            </w:pPr>
            <w:r>
              <w:rPr>
                <w:rFonts w:ascii="黑体"/>
                <w:sz w:val="21"/>
              </w:rPr>
              <w:t>12.14</w:t>
            </w:r>
          </w:p>
        </w:tc>
        <w:tc>
          <w:tcPr>
            <w:tcW w:w="1647" w:type="dxa"/>
          </w:tcPr>
          <w:p>
            <w:pPr>
              <w:pStyle w:val="TableParagraph"/>
              <w:spacing w:before="54"/>
              <w:ind w:left="266"/>
              <w:rPr>
                <w:rFonts w:ascii="黑体" w:eastAsia="黑体" w:hint="eastAsia"/>
                <w:sz w:val="21"/>
              </w:rPr>
            </w:pPr>
            <w:r>
              <w:rPr>
                <w:rFonts w:ascii="黑体" w:eastAsia="黑体" w:hint="eastAsia"/>
                <w:sz w:val="21"/>
              </w:rPr>
              <w:t>遗传性疾病</w:t>
            </w:r>
          </w:p>
        </w:tc>
        <w:tc>
          <w:tcPr>
            <w:tcW w:w="7128" w:type="dxa"/>
          </w:tcPr>
          <w:p>
            <w:pPr>
              <w:pStyle w:val="TableParagraph"/>
              <w:spacing w:line="280" w:lineRule="auto" w:before="54"/>
              <w:ind w:left="121" w:right="168"/>
              <w:rPr>
                <w:sz w:val="21"/>
              </w:rPr>
            </w:pPr>
            <w:r>
              <w:rPr>
                <w:spacing w:val="-4"/>
                <w:sz w:val="21"/>
              </w:rPr>
              <w:t>指生殖细胞或受精卵的遗传物质</w:t>
            </w:r>
            <w:r>
              <w:rPr>
                <w:sz w:val="21"/>
              </w:rPr>
              <w:t>（染色体和基因</w:t>
            </w:r>
            <w:r>
              <w:rPr>
                <w:spacing w:val="-47"/>
                <w:sz w:val="21"/>
              </w:rPr>
              <w:t>）</w:t>
            </w:r>
            <w:r>
              <w:rPr>
                <w:sz w:val="21"/>
              </w:rPr>
              <w:t>发生突变或畸变所引起的疾病，通常具有由亲代传至后代的垂直传递的特征。</w:t>
            </w:r>
          </w:p>
        </w:tc>
      </w:tr>
      <w:tr>
        <w:trPr>
          <w:trHeight w:val="1101" w:hRule="atLeast"/>
        </w:trPr>
        <w:tc>
          <w:tcPr>
            <w:tcW w:w="840" w:type="dxa"/>
          </w:tcPr>
          <w:p>
            <w:pPr>
              <w:pStyle w:val="TableParagraph"/>
              <w:spacing w:before="54"/>
              <w:rPr>
                <w:rFonts w:ascii="黑体"/>
                <w:sz w:val="21"/>
              </w:rPr>
            </w:pPr>
            <w:r>
              <w:rPr>
                <w:rFonts w:ascii="黑体"/>
                <w:sz w:val="21"/>
              </w:rPr>
              <w:t>12.15</w:t>
            </w:r>
          </w:p>
        </w:tc>
        <w:tc>
          <w:tcPr>
            <w:tcW w:w="1647" w:type="dxa"/>
          </w:tcPr>
          <w:p>
            <w:pPr>
              <w:pStyle w:val="TableParagraph"/>
              <w:spacing w:line="278" w:lineRule="auto" w:before="54"/>
              <w:ind w:left="266" w:right="118"/>
              <w:jc w:val="both"/>
              <w:rPr>
                <w:rFonts w:ascii="黑体" w:eastAsia="黑体" w:hint="eastAsia"/>
                <w:sz w:val="21"/>
              </w:rPr>
            </w:pPr>
            <w:r>
              <w:rPr>
                <w:rFonts w:ascii="黑体" w:eastAsia="黑体" w:hint="eastAsia"/>
                <w:sz w:val="21"/>
              </w:rPr>
              <w:t>先天性畸形、变形或染色体异常</w:t>
            </w:r>
          </w:p>
        </w:tc>
        <w:tc>
          <w:tcPr>
            <w:tcW w:w="7128" w:type="dxa"/>
          </w:tcPr>
          <w:p>
            <w:pPr>
              <w:pStyle w:val="TableParagraph"/>
              <w:spacing w:line="278" w:lineRule="auto" w:before="54"/>
              <w:ind w:left="121" w:right="48"/>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1"/>
              <w:ind w:left="121"/>
              <w:rPr>
                <w:sz w:val="21"/>
              </w:rPr>
            </w:pPr>
            <w:r>
              <w:rPr>
                <w:sz w:val="21"/>
              </w:rPr>
              <w:t>（ICD-10）确定。</w:t>
            </w:r>
          </w:p>
        </w:tc>
      </w:tr>
      <w:tr>
        <w:trPr>
          <w:trHeight w:val="782" w:hRule="atLeast"/>
        </w:trPr>
        <w:tc>
          <w:tcPr>
            <w:tcW w:w="840" w:type="dxa"/>
          </w:tcPr>
          <w:p>
            <w:pPr>
              <w:pStyle w:val="TableParagraph"/>
              <w:spacing w:before="54"/>
              <w:rPr>
                <w:rFonts w:ascii="黑体"/>
                <w:sz w:val="21"/>
              </w:rPr>
            </w:pPr>
            <w:r>
              <w:rPr>
                <w:rFonts w:ascii="黑体"/>
                <w:sz w:val="21"/>
              </w:rPr>
              <w:t>12.16</w:t>
            </w:r>
          </w:p>
        </w:tc>
        <w:tc>
          <w:tcPr>
            <w:tcW w:w="1647" w:type="dxa"/>
          </w:tcPr>
          <w:p>
            <w:pPr>
              <w:pStyle w:val="TableParagraph"/>
              <w:spacing w:before="54"/>
              <w:ind w:left="266"/>
              <w:rPr>
                <w:rFonts w:ascii="黑体" w:eastAsia="黑体" w:hint="eastAsia"/>
                <w:sz w:val="21"/>
              </w:rPr>
            </w:pPr>
            <w:r>
              <w:rPr>
                <w:rFonts w:ascii="黑体" w:eastAsia="黑体" w:hint="eastAsia"/>
                <w:sz w:val="21"/>
              </w:rPr>
              <w:t>情形复杂</w:t>
            </w:r>
          </w:p>
        </w:tc>
        <w:tc>
          <w:tcPr>
            <w:tcW w:w="7128" w:type="dxa"/>
          </w:tcPr>
          <w:p>
            <w:pPr>
              <w:pStyle w:val="TableParagraph"/>
              <w:spacing w:line="280" w:lineRule="auto" w:before="54"/>
              <w:ind w:left="121" w:right="168"/>
              <w:rPr>
                <w:sz w:val="21"/>
              </w:rPr>
            </w:pPr>
            <w:r>
              <w:rPr>
                <w:spacing w:val="-10"/>
                <w:sz w:val="21"/>
              </w:rPr>
              <w:t>指保险事故的性质、原因、伤害或损失程度等在我们收到保险金给付申请书</w:t>
            </w:r>
            <w:r>
              <w:rPr>
                <w:spacing w:val="-14"/>
                <w:sz w:val="21"/>
              </w:rPr>
              <w:t>及合同约定的证明和资料后 </w:t>
            </w:r>
            <w:r>
              <w:rPr>
                <w:sz w:val="21"/>
              </w:rPr>
              <w:t>5</w:t>
            </w:r>
            <w:r>
              <w:rPr>
                <w:spacing w:val="-8"/>
                <w:sz w:val="21"/>
              </w:rPr>
              <w:t> 个工作日内无法确定，需要进一步核实。</w:t>
            </w:r>
          </w:p>
        </w:tc>
      </w:tr>
      <w:tr>
        <w:trPr>
          <w:trHeight w:val="975" w:hRule="atLeast"/>
        </w:trPr>
        <w:tc>
          <w:tcPr>
            <w:tcW w:w="840" w:type="dxa"/>
          </w:tcPr>
          <w:p>
            <w:pPr>
              <w:pStyle w:val="TableParagraph"/>
              <w:spacing w:before="54"/>
              <w:rPr>
                <w:rFonts w:ascii="黑体"/>
                <w:sz w:val="21"/>
              </w:rPr>
            </w:pPr>
            <w:r>
              <w:rPr>
                <w:rFonts w:ascii="黑体"/>
                <w:sz w:val="21"/>
              </w:rPr>
              <w:t>12.17</w:t>
            </w:r>
          </w:p>
        </w:tc>
        <w:tc>
          <w:tcPr>
            <w:tcW w:w="1647" w:type="dxa"/>
          </w:tcPr>
          <w:p>
            <w:pPr>
              <w:pStyle w:val="TableParagraph"/>
              <w:spacing w:before="54"/>
              <w:ind w:left="266"/>
              <w:rPr>
                <w:rFonts w:ascii="黑体" w:eastAsia="黑体" w:hint="eastAsia"/>
                <w:sz w:val="21"/>
              </w:rPr>
            </w:pPr>
            <w:r>
              <w:rPr>
                <w:rFonts w:ascii="黑体" w:eastAsia="黑体" w:hint="eastAsia"/>
                <w:sz w:val="21"/>
              </w:rPr>
              <w:t>专科医Th</w:t>
            </w:r>
          </w:p>
        </w:tc>
        <w:tc>
          <w:tcPr>
            <w:tcW w:w="7128" w:type="dxa"/>
          </w:tcPr>
          <w:p>
            <w:pPr>
              <w:pStyle w:val="TableParagraph"/>
              <w:spacing w:before="54"/>
              <w:ind w:left="121"/>
              <w:rPr>
                <w:sz w:val="21"/>
              </w:rPr>
            </w:pPr>
            <w:r>
              <w:rPr>
                <w:sz w:val="21"/>
              </w:rPr>
              <w:t>专科医生应当同时满足以下四项资格条件：</w:t>
            </w:r>
          </w:p>
          <w:p>
            <w:pPr>
              <w:pStyle w:val="TableParagraph"/>
              <w:spacing w:before="43"/>
              <w:ind w:left="121"/>
              <w:rPr>
                <w:sz w:val="21"/>
              </w:rPr>
            </w:pPr>
            <w:r>
              <w:rPr>
                <w:sz w:val="21"/>
              </w:rPr>
              <w:t>(1)具有有效的中华人民共和国《医师资格证书》；</w:t>
            </w:r>
          </w:p>
          <w:p>
            <w:pPr>
              <w:pStyle w:val="TableParagraph"/>
              <w:spacing w:line="261" w:lineRule="exact" w:before="45"/>
              <w:ind w:left="121"/>
              <w:rPr>
                <w:sz w:val="21"/>
              </w:rPr>
            </w:pPr>
            <w:r>
              <w:rPr>
                <w:spacing w:val="-1"/>
                <w:sz w:val="21"/>
              </w:rPr>
              <w:t>(2)</w:t>
            </w:r>
            <w:r>
              <w:rPr>
                <w:spacing w:val="-12"/>
                <w:sz w:val="21"/>
              </w:rPr>
              <w:t>具有有效的中华人民共和国《医师执业证书》，并按期到相关部门登记注</w:t>
            </w:r>
          </w:p>
        </w:tc>
      </w:tr>
    </w:tbl>
    <w:p>
      <w:pPr>
        <w:pStyle w:val="BodyText"/>
        <w:spacing w:before="39"/>
        <w:ind w:left="3029"/>
      </w:pPr>
      <w:r>
        <w:rPr/>
        <w:t>册；</w:t>
      </w:r>
    </w:p>
    <w:p>
      <w:pPr>
        <w:pStyle w:val="BodyText"/>
        <w:spacing w:line="280" w:lineRule="auto" w:before="44"/>
        <w:ind w:left="3029" w:right="270" w:hanging="316"/>
      </w:pPr>
      <w:r>
        <w:rPr/>
        <w:t>(3)具有有效的中华人民共和国主治医师或主治医师以上职称的《医师职称证书》；</w:t>
      </w:r>
    </w:p>
    <w:p>
      <w:pPr>
        <w:pStyle w:val="BodyText"/>
        <w:spacing w:before="8"/>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010"/>
      </w:tblGrid>
      <w:tr>
        <w:trPr>
          <w:trHeight w:val="336" w:hRule="atLeast"/>
        </w:trPr>
        <w:tc>
          <w:tcPr>
            <w:tcW w:w="2487" w:type="dxa"/>
            <w:gridSpan w:val="2"/>
          </w:tcPr>
          <w:p>
            <w:pPr>
              <w:pStyle w:val="TableParagraph"/>
              <w:spacing w:before="0"/>
              <w:ind w:left="0"/>
              <w:rPr>
                <w:rFonts w:ascii="Times New Roman"/>
                <w:sz w:val="20"/>
              </w:rPr>
            </w:pPr>
          </w:p>
        </w:tc>
        <w:tc>
          <w:tcPr>
            <w:tcW w:w="7010" w:type="dxa"/>
          </w:tcPr>
          <w:p>
            <w:pPr>
              <w:pStyle w:val="TableParagraph"/>
              <w:spacing w:line="210" w:lineRule="exact" w:before="0"/>
              <w:ind w:left="121"/>
              <w:rPr>
                <w:sz w:val="21"/>
              </w:rPr>
            </w:pPr>
            <w:r>
              <w:rPr>
                <w:sz w:val="21"/>
              </w:rPr>
              <w:t>(4)在二级或二级以上医院的相应科室从事临床工作三年以上。</w:t>
            </w:r>
          </w:p>
        </w:tc>
      </w:tr>
      <w:tr>
        <w:trPr>
          <w:trHeight w:val="781" w:hRule="atLeast"/>
        </w:trPr>
        <w:tc>
          <w:tcPr>
            <w:tcW w:w="840" w:type="dxa"/>
          </w:tcPr>
          <w:p>
            <w:pPr>
              <w:pStyle w:val="TableParagraph"/>
              <w:rPr>
                <w:rFonts w:ascii="黑体"/>
                <w:sz w:val="21"/>
              </w:rPr>
            </w:pPr>
            <w:r>
              <w:rPr>
                <w:rFonts w:ascii="黑体"/>
                <w:sz w:val="21"/>
              </w:rPr>
              <w:t>12.18</w:t>
            </w:r>
          </w:p>
        </w:tc>
        <w:tc>
          <w:tcPr>
            <w:tcW w:w="1647" w:type="dxa"/>
          </w:tcPr>
          <w:p>
            <w:pPr>
              <w:pStyle w:val="TableParagraph"/>
              <w:spacing w:line="278" w:lineRule="auto"/>
              <w:ind w:left="266" w:right="119"/>
              <w:rPr>
                <w:rFonts w:ascii="黑体" w:eastAsia="黑体" w:hint="eastAsia"/>
                <w:sz w:val="21"/>
              </w:rPr>
            </w:pPr>
            <w:r>
              <w:rPr>
                <w:rFonts w:ascii="黑体" w:eastAsia="黑体" w:hint="eastAsia"/>
                <w:sz w:val="21"/>
              </w:rPr>
              <w:t>肢体机能完全丧失</w:t>
            </w:r>
          </w:p>
        </w:tc>
        <w:tc>
          <w:tcPr>
            <w:tcW w:w="7010" w:type="dxa"/>
          </w:tcPr>
          <w:p>
            <w:pPr>
              <w:pStyle w:val="TableParagraph"/>
              <w:spacing w:line="278" w:lineRule="auto"/>
              <w:ind w:left="121" w:right="50"/>
              <w:rPr>
                <w:sz w:val="21"/>
              </w:rPr>
            </w:pPr>
            <w:r>
              <w:rPr>
                <w:spacing w:val="-5"/>
                <w:sz w:val="21"/>
              </w:rPr>
              <w:t>指肢体的三大关节中的两大关节僵硬，或不能随意识活动。肢体是指包括肩关节的整个上肢或包括髋关节的整个下肢。</w:t>
            </w:r>
          </w:p>
        </w:tc>
      </w:tr>
      <w:tr>
        <w:trPr>
          <w:trHeight w:val="1742" w:hRule="atLeast"/>
        </w:trPr>
        <w:tc>
          <w:tcPr>
            <w:tcW w:w="840" w:type="dxa"/>
          </w:tcPr>
          <w:p>
            <w:pPr>
              <w:pStyle w:val="TableParagraph"/>
              <w:rPr>
                <w:rFonts w:ascii="黑体"/>
                <w:sz w:val="21"/>
              </w:rPr>
            </w:pPr>
            <w:r>
              <w:rPr>
                <w:rFonts w:ascii="黑体"/>
                <w:sz w:val="21"/>
              </w:rPr>
              <w:t>12.19</w:t>
            </w:r>
          </w:p>
        </w:tc>
        <w:tc>
          <w:tcPr>
            <w:tcW w:w="1647" w:type="dxa"/>
          </w:tcPr>
          <w:p>
            <w:pPr>
              <w:pStyle w:val="TableParagraph"/>
              <w:spacing w:line="280" w:lineRule="auto"/>
              <w:ind w:left="266" w:right="118"/>
              <w:jc w:val="both"/>
              <w:rPr>
                <w:rFonts w:ascii="黑体" w:eastAsia="黑体" w:hint="eastAsia"/>
                <w:sz w:val="21"/>
              </w:rPr>
            </w:pPr>
            <w:r>
              <w:rPr>
                <w:rFonts w:ascii="黑体" w:eastAsia="黑体" w:hint="eastAsia"/>
                <w:sz w:val="21"/>
              </w:rPr>
              <w:t>语言能力或咀嚼吞咽能力完全丧失</w:t>
            </w:r>
          </w:p>
        </w:tc>
        <w:tc>
          <w:tcPr>
            <w:tcW w:w="7010" w:type="dxa"/>
          </w:tcPr>
          <w:p>
            <w:pPr>
              <w:pStyle w:val="TableParagraph"/>
              <w:spacing w:line="280" w:lineRule="auto"/>
              <w:ind w:left="121" w:right="47"/>
              <w:jc w:val="both"/>
              <w:rPr>
                <w:sz w:val="21"/>
              </w:rPr>
            </w:pPr>
            <w:r>
              <w:rPr>
                <w:spacing w:val="-5"/>
                <w:sz w:val="21"/>
              </w:rPr>
              <w:t>语言能力完全丧失，指无法发出四种语音</w:t>
            </w:r>
            <w:r>
              <w:rPr>
                <w:sz w:val="21"/>
              </w:rPr>
              <w:t>（</w:t>
            </w:r>
            <w:r>
              <w:rPr>
                <w:spacing w:val="-6"/>
                <w:sz w:val="21"/>
              </w:rPr>
              <w:t>包括口唇音、齿舌音、口盖音和喉头音</w:t>
            </w:r>
            <w:r>
              <w:rPr>
                <w:spacing w:val="-32"/>
                <w:sz w:val="21"/>
              </w:rPr>
              <w:t>）</w:t>
            </w:r>
            <w:r>
              <w:rPr>
                <w:spacing w:val="-7"/>
                <w:sz w:val="21"/>
              </w:rPr>
              <w:t>中的任何三种、或声带全部切除，或因大脑语言中枢受伤害而患失语症。</w:t>
            </w:r>
          </w:p>
          <w:p>
            <w:pPr>
              <w:pStyle w:val="TableParagraph"/>
              <w:spacing w:line="280" w:lineRule="auto" w:before="8"/>
              <w:ind w:left="121" w:right="50"/>
              <w:jc w:val="both"/>
              <w:rPr>
                <w:sz w:val="21"/>
              </w:rPr>
            </w:pPr>
            <w:r>
              <w:rPr>
                <w:spacing w:val="-7"/>
                <w:sz w:val="21"/>
              </w:rPr>
              <w:t>咀嚼吞咽能力完全丧失，指因牙齿以外的原因导致器质障碍或机能障碍，以致不能作咀嚼吞咽运动，除流质食物外不能摄取或吞咽的状态。</w:t>
            </w:r>
          </w:p>
        </w:tc>
      </w:tr>
      <w:tr>
        <w:trPr>
          <w:trHeight w:val="2381" w:hRule="atLeast"/>
        </w:trPr>
        <w:tc>
          <w:tcPr>
            <w:tcW w:w="840" w:type="dxa"/>
          </w:tcPr>
          <w:p>
            <w:pPr>
              <w:pStyle w:val="TableParagraph"/>
              <w:rPr>
                <w:rFonts w:ascii="黑体"/>
                <w:sz w:val="21"/>
              </w:rPr>
            </w:pPr>
            <w:r>
              <w:rPr>
                <w:rFonts w:ascii="黑体"/>
                <w:sz w:val="21"/>
              </w:rPr>
              <w:t>12.20</w:t>
            </w:r>
          </w:p>
        </w:tc>
        <w:tc>
          <w:tcPr>
            <w:tcW w:w="1647" w:type="dxa"/>
          </w:tcPr>
          <w:p>
            <w:pPr>
              <w:pStyle w:val="TableParagraph"/>
              <w:spacing w:line="280" w:lineRule="auto"/>
              <w:ind w:left="266" w:right="119"/>
              <w:rPr>
                <w:rFonts w:ascii="黑体" w:eastAsia="黑体" w:hint="eastAsia"/>
                <w:sz w:val="21"/>
              </w:rPr>
            </w:pPr>
            <w:r>
              <w:rPr>
                <w:rFonts w:ascii="黑体" w:eastAsia="黑体" w:hint="eastAsia"/>
                <w:sz w:val="21"/>
              </w:rPr>
              <w:t>六项基本日常Th活活动</w:t>
            </w:r>
          </w:p>
        </w:tc>
        <w:tc>
          <w:tcPr>
            <w:tcW w:w="7010" w:type="dxa"/>
          </w:tcPr>
          <w:p>
            <w:pPr>
              <w:pStyle w:val="TableParagraph"/>
              <w:spacing w:line="278" w:lineRule="auto"/>
              <w:ind w:left="121" w:right="174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40" w:type="dxa"/>
          </w:tcPr>
          <w:p>
            <w:pPr>
              <w:pStyle w:val="TableParagraph"/>
              <w:rPr>
                <w:rFonts w:ascii="黑体"/>
                <w:sz w:val="21"/>
              </w:rPr>
            </w:pPr>
            <w:r>
              <w:rPr>
                <w:rFonts w:ascii="黑体"/>
                <w:sz w:val="21"/>
              </w:rPr>
              <w:t>12.21</w:t>
            </w:r>
          </w:p>
        </w:tc>
        <w:tc>
          <w:tcPr>
            <w:tcW w:w="1647" w:type="dxa"/>
          </w:tcPr>
          <w:p>
            <w:pPr>
              <w:pStyle w:val="TableParagraph"/>
              <w:ind w:left="266"/>
              <w:rPr>
                <w:rFonts w:ascii="黑体" w:eastAsia="黑体" w:hint="eastAsia"/>
                <w:sz w:val="21"/>
              </w:rPr>
            </w:pPr>
            <w:r>
              <w:rPr>
                <w:rFonts w:ascii="黑体" w:eastAsia="黑体" w:hint="eastAsia"/>
                <w:sz w:val="21"/>
              </w:rPr>
              <w:t>永久不可逆</w:t>
            </w:r>
          </w:p>
        </w:tc>
        <w:tc>
          <w:tcPr>
            <w:tcW w:w="7010" w:type="dxa"/>
          </w:tcPr>
          <w:p>
            <w:pPr>
              <w:pStyle w:val="TableParagraph"/>
              <w:spacing w:line="320" w:lineRule="atLeast" w:before="16"/>
              <w:ind w:left="121" w:right="50"/>
              <w:rPr>
                <w:sz w:val="21"/>
              </w:rPr>
            </w:pPr>
            <w:r>
              <w:rPr>
                <w:spacing w:val="-6"/>
                <w:sz w:val="21"/>
              </w:rPr>
              <w:t>指自疾病确诊或意外伤害发生之日起，经过积极治疗 </w:t>
            </w:r>
            <w:r>
              <w:rPr>
                <w:sz w:val="21"/>
              </w:rPr>
              <w:t>180</w:t>
            </w:r>
            <w:r>
              <w:rPr>
                <w:spacing w:val="-13"/>
                <w:sz w:val="21"/>
              </w:rPr>
              <w:t> 天后，仍无法通过现有医疗手段恢复。</w:t>
            </w:r>
          </w:p>
        </w:tc>
      </w:tr>
    </w:tbl>
    <w:sectPr>
      <w:pgSz w:w="11910" w:h="16840"/>
      <w:pgMar w:top="1500" w:bottom="28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2"/>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53"/>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10">
    <w:multiLevelType w:val="hybridMultilevel"/>
    <w:lvl w:ilvl="0">
      <w:start w:val="10"/>
      <w:numFmt w:val="decimal"/>
      <w:lvlText w:val="%1"/>
      <w:lvlJc w:val="left"/>
      <w:pPr>
        <w:ind w:left="2713" w:hanging="1057"/>
        <w:jc w:val="left"/>
      </w:pPr>
      <w:rPr>
        <w:rFonts w:hint="default"/>
      </w:rPr>
    </w:lvl>
    <w:lvl w:ilvl="1">
      <w:start w:val="1"/>
      <w:numFmt w:val="decimal"/>
      <w:lvlText w:val="%1.%2"/>
      <w:lvlJc w:val="left"/>
      <w:pPr>
        <w:ind w:left="2713" w:hanging="1057"/>
        <w:jc w:val="left"/>
      </w:pPr>
      <w:rPr>
        <w:rFonts w:hint="default"/>
      </w:rPr>
    </w:lvl>
    <w:lvl w:ilvl="2">
      <w:start w:val="12"/>
      <w:numFmt w:val="decimal"/>
      <w:lvlText w:val="%1.%2.%3"/>
      <w:lvlJc w:val="left"/>
      <w:pPr>
        <w:ind w:left="2713" w:hanging="1057"/>
        <w:jc w:val="left"/>
      </w:pPr>
      <w:rPr>
        <w:rFonts w:hint="default" w:ascii="黑体" w:hAnsi="黑体" w:eastAsia="黑体" w:cs="黑体"/>
        <w:spacing w:val="-54"/>
        <w:w w:val="100"/>
        <w:sz w:val="21"/>
        <w:szCs w:val="21"/>
      </w:rPr>
    </w:lvl>
    <w:lvl w:ilvl="3">
      <w:start w:val="0"/>
      <w:numFmt w:val="bullet"/>
      <w:lvlText w:val="•"/>
      <w:lvlJc w:val="left"/>
      <w:pPr>
        <w:ind w:left="4833" w:hanging="1057"/>
      </w:pPr>
      <w:rPr>
        <w:rFonts w:hint="default"/>
      </w:rPr>
    </w:lvl>
    <w:lvl w:ilvl="4">
      <w:start w:val="0"/>
      <w:numFmt w:val="bullet"/>
      <w:lvlText w:val="•"/>
      <w:lvlJc w:val="left"/>
      <w:pPr>
        <w:ind w:left="5537" w:hanging="1057"/>
      </w:pPr>
      <w:rPr>
        <w:rFonts w:hint="default"/>
      </w:rPr>
    </w:lvl>
    <w:lvl w:ilvl="5">
      <w:start w:val="0"/>
      <w:numFmt w:val="bullet"/>
      <w:lvlText w:val="•"/>
      <w:lvlJc w:val="left"/>
      <w:pPr>
        <w:ind w:left="6242" w:hanging="1057"/>
      </w:pPr>
      <w:rPr>
        <w:rFonts w:hint="default"/>
      </w:rPr>
    </w:lvl>
    <w:lvl w:ilvl="6">
      <w:start w:val="0"/>
      <w:numFmt w:val="bullet"/>
      <w:lvlText w:val="•"/>
      <w:lvlJc w:val="left"/>
      <w:pPr>
        <w:ind w:left="6946" w:hanging="1057"/>
      </w:pPr>
      <w:rPr>
        <w:rFonts w:hint="default"/>
      </w:rPr>
    </w:lvl>
    <w:lvl w:ilvl="7">
      <w:start w:val="0"/>
      <w:numFmt w:val="bullet"/>
      <w:lvlText w:val="•"/>
      <w:lvlJc w:val="left"/>
      <w:pPr>
        <w:ind w:left="7651" w:hanging="1057"/>
      </w:pPr>
      <w:rPr>
        <w:rFonts w:hint="default"/>
      </w:rPr>
    </w:lvl>
    <w:lvl w:ilvl="8">
      <w:start w:val="0"/>
      <w:numFmt w:val="bullet"/>
      <w:lvlText w:val="•"/>
      <w:lvlJc w:val="left"/>
      <w:pPr>
        <w:ind w:left="8355" w:hanging="1057"/>
      </w:pPr>
      <w:rPr>
        <w:rFonts w:hint="default"/>
      </w:rPr>
    </w:lvl>
  </w:abstractNum>
  <w:abstractNum w:abstractNumId="9">
    <w:multiLevelType w:val="hybridMultilevel"/>
    <w:lvl w:ilvl="0">
      <w:start w:val="10"/>
      <w:numFmt w:val="decimal"/>
      <w:lvlText w:val="%1"/>
      <w:lvlJc w:val="left"/>
      <w:pPr>
        <w:ind w:left="1271" w:hanging="1057"/>
        <w:jc w:val="left"/>
      </w:pPr>
      <w:rPr>
        <w:rFonts w:hint="default"/>
      </w:rPr>
    </w:lvl>
    <w:lvl w:ilvl="1">
      <w:start w:val="1"/>
      <w:numFmt w:val="decimal"/>
      <w:lvlText w:val="%1.%2"/>
      <w:lvlJc w:val="left"/>
      <w:pPr>
        <w:ind w:left="1271" w:hanging="1057"/>
        <w:jc w:val="left"/>
      </w:pPr>
      <w:rPr>
        <w:rFonts w:hint="default" w:ascii="黑体" w:hAnsi="黑体" w:eastAsia="黑体" w:cs="黑体"/>
        <w:w w:val="100"/>
        <w:sz w:val="21"/>
        <w:szCs w:val="21"/>
      </w:rPr>
    </w:lvl>
    <w:lvl w:ilvl="2">
      <w:start w:val="1"/>
      <w:numFmt w:val="decimal"/>
      <w:lvlText w:val="%1.%2.%3"/>
      <w:lvlJc w:val="left"/>
      <w:pPr>
        <w:ind w:left="2773" w:hanging="1057"/>
        <w:jc w:val="right"/>
      </w:pPr>
      <w:rPr>
        <w:rFonts w:hint="default" w:ascii="黑体" w:hAnsi="黑体" w:eastAsia="黑体" w:cs="黑体"/>
        <w:spacing w:val="-105"/>
        <w:w w:val="100"/>
        <w:sz w:val="21"/>
        <w:szCs w:val="21"/>
      </w:rPr>
    </w:lvl>
    <w:lvl w:ilvl="3">
      <w:start w:val="0"/>
      <w:numFmt w:val="bullet"/>
      <w:lvlText w:val="•"/>
      <w:lvlJc w:val="left"/>
      <w:pPr>
        <w:ind w:left="2741" w:hanging="1057"/>
      </w:pPr>
      <w:rPr>
        <w:rFonts w:hint="default"/>
      </w:rPr>
    </w:lvl>
    <w:lvl w:ilvl="4">
      <w:start w:val="0"/>
      <w:numFmt w:val="bullet"/>
      <w:lvlText w:val="•"/>
      <w:lvlJc w:val="left"/>
      <w:pPr>
        <w:ind w:left="2702" w:hanging="1057"/>
      </w:pPr>
      <w:rPr>
        <w:rFonts w:hint="default"/>
      </w:rPr>
    </w:lvl>
    <w:lvl w:ilvl="5">
      <w:start w:val="0"/>
      <w:numFmt w:val="bullet"/>
      <w:lvlText w:val="•"/>
      <w:lvlJc w:val="left"/>
      <w:pPr>
        <w:ind w:left="2664" w:hanging="1057"/>
      </w:pPr>
      <w:rPr>
        <w:rFonts w:hint="default"/>
      </w:rPr>
    </w:lvl>
    <w:lvl w:ilvl="6">
      <w:start w:val="0"/>
      <w:numFmt w:val="bullet"/>
      <w:lvlText w:val="•"/>
      <w:lvlJc w:val="left"/>
      <w:pPr>
        <w:ind w:left="2625" w:hanging="1057"/>
      </w:pPr>
      <w:rPr>
        <w:rFonts w:hint="default"/>
      </w:rPr>
    </w:lvl>
    <w:lvl w:ilvl="7">
      <w:start w:val="0"/>
      <w:numFmt w:val="bullet"/>
      <w:lvlText w:val="•"/>
      <w:lvlJc w:val="left"/>
      <w:pPr>
        <w:ind w:left="2587" w:hanging="1057"/>
      </w:pPr>
      <w:rPr>
        <w:rFonts w:hint="default"/>
      </w:rPr>
    </w:lvl>
    <w:lvl w:ilvl="8">
      <w:start w:val="0"/>
      <w:numFmt w:val="bullet"/>
      <w:lvlText w:val="•"/>
      <w:lvlJc w:val="left"/>
      <w:pPr>
        <w:ind w:left="2548" w:hanging="1057"/>
      </w:pPr>
      <w:rPr>
        <w:rFonts w:hint="default"/>
      </w:rPr>
    </w:lvl>
  </w:abstractNum>
  <w:abstractNum w:abstractNumId="8">
    <w:multiLevelType w:val="hybridMultilevel"/>
    <w:lvl w:ilvl="0">
      <w:start w:val="9"/>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95"/>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7">
    <w:multiLevelType w:val="hybridMultilevel"/>
    <w:lvl w:ilvl="0">
      <w:start w:val="8"/>
      <w:numFmt w:val="decimal"/>
      <w:lvlText w:val="%1"/>
      <w:lvlJc w:val="left"/>
      <w:pPr>
        <w:ind w:left="1271" w:hanging="1057"/>
        <w:jc w:val="left"/>
      </w:pPr>
      <w:rPr>
        <w:rFonts w:hint="default"/>
      </w:rPr>
    </w:lvl>
    <w:lvl w:ilvl="1">
      <w:start w:val="1"/>
      <w:numFmt w:val="decimal"/>
      <w:lvlText w:val="%1.%2"/>
      <w:lvlJc w:val="left"/>
      <w:pPr>
        <w:ind w:left="1271" w:hanging="1057"/>
        <w:jc w:val="left"/>
      </w:pPr>
      <w:rPr>
        <w:rFonts w:hint="default" w:ascii="黑体" w:hAnsi="黑体" w:eastAsia="黑体" w:cs="黑体"/>
        <w:spacing w:val="-1"/>
        <w:w w:val="100"/>
        <w:sz w:val="21"/>
        <w:szCs w:val="21"/>
      </w:rPr>
    </w:lvl>
    <w:lvl w:ilvl="2">
      <w:start w:val="0"/>
      <w:numFmt w:val="bullet"/>
      <w:lvlText w:val="•"/>
      <w:lvlJc w:val="left"/>
      <w:pPr>
        <w:ind w:left="1530" w:hanging="1057"/>
      </w:pPr>
      <w:rPr>
        <w:rFonts w:hint="default"/>
      </w:rPr>
    </w:lvl>
    <w:lvl w:ilvl="3">
      <w:start w:val="0"/>
      <w:numFmt w:val="bullet"/>
      <w:lvlText w:val="•"/>
      <w:lvlJc w:val="left"/>
      <w:pPr>
        <w:ind w:left="1655" w:hanging="1057"/>
      </w:pPr>
      <w:rPr>
        <w:rFonts w:hint="default"/>
      </w:rPr>
    </w:lvl>
    <w:lvl w:ilvl="4">
      <w:start w:val="0"/>
      <w:numFmt w:val="bullet"/>
      <w:lvlText w:val="•"/>
      <w:lvlJc w:val="left"/>
      <w:pPr>
        <w:ind w:left="1780" w:hanging="1057"/>
      </w:pPr>
      <w:rPr>
        <w:rFonts w:hint="default"/>
      </w:rPr>
    </w:lvl>
    <w:lvl w:ilvl="5">
      <w:start w:val="0"/>
      <w:numFmt w:val="bullet"/>
      <w:lvlText w:val="•"/>
      <w:lvlJc w:val="left"/>
      <w:pPr>
        <w:ind w:left="1905" w:hanging="1057"/>
      </w:pPr>
      <w:rPr>
        <w:rFonts w:hint="default"/>
      </w:rPr>
    </w:lvl>
    <w:lvl w:ilvl="6">
      <w:start w:val="0"/>
      <w:numFmt w:val="bullet"/>
      <w:lvlText w:val="•"/>
      <w:lvlJc w:val="left"/>
      <w:pPr>
        <w:ind w:left="2030" w:hanging="1057"/>
      </w:pPr>
      <w:rPr>
        <w:rFonts w:hint="default"/>
      </w:rPr>
    </w:lvl>
    <w:lvl w:ilvl="7">
      <w:start w:val="0"/>
      <w:numFmt w:val="bullet"/>
      <w:lvlText w:val="•"/>
      <w:lvlJc w:val="left"/>
      <w:pPr>
        <w:ind w:left="2155" w:hanging="1057"/>
      </w:pPr>
      <w:rPr>
        <w:rFonts w:hint="default"/>
      </w:rPr>
    </w:lvl>
    <w:lvl w:ilvl="8">
      <w:start w:val="0"/>
      <w:numFmt w:val="bullet"/>
      <w:lvlText w:val="•"/>
      <w:lvlJc w:val="left"/>
      <w:pPr>
        <w:ind w:left="2280" w:hanging="1057"/>
      </w:pPr>
      <w:rPr>
        <w:rFonts w:hint="default"/>
      </w:rPr>
    </w:lvl>
  </w:abstractNum>
  <w:abstractNum w:abstractNumId="6">
    <w:multiLevelType w:val="hybridMultilevel"/>
    <w:lvl w:ilvl="0">
      <w:start w:val="6"/>
      <w:numFmt w:val="decimal"/>
      <w:lvlText w:val="%1"/>
      <w:lvlJc w:val="left"/>
      <w:pPr>
        <w:ind w:left="2773" w:hanging="1056"/>
        <w:jc w:val="left"/>
      </w:pPr>
      <w:rPr>
        <w:rFonts w:hint="default"/>
      </w:rPr>
    </w:lvl>
    <w:lvl w:ilvl="1">
      <w:start w:val="1"/>
      <w:numFmt w:val="decimal"/>
      <w:lvlText w:val="%1.%2"/>
      <w:lvlJc w:val="left"/>
      <w:pPr>
        <w:ind w:left="2773" w:hanging="1056"/>
        <w:jc w:val="left"/>
      </w:pPr>
      <w:rPr>
        <w:rFonts w:hint="default" w:ascii="黑体" w:hAnsi="黑体" w:eastAsia="黑体" w:cs="黑体"/>
        <w:spacing w:val="-94"/>
        <w:w w:val="100"/>
        <w:sz w:val="21"/>
        <w:szCs w:val="21"/>
      </w:rPr>
    </w:lvl>
    <w:lvl w:ilvl="2">
      <w:start w:val="0"/>
      <w:numFmt w:val="bullet"/>
      <w:lvlText w:val="•"/>
      <w:lvlJc w:val="left"/>
      <w:pPr>
        <w:ind w:left="4188" w:hanging="1056"/>
      </w:pPr>
      <w:rPr>
        <w:rFonts w:hint="default"/>
      </w:rPr>
    </w:lvl>
    <w:lvl w:ilvl="3">
      <w:start w:val="0"/>
      <w:numFmt w:val="bullet"/>
      <w:lvlText w:val="•"/>
      <w:lvlJc w:val="left"/>
      <w:pPr>
        <w:ind w:left="4893" w:hanging="1056"/>
      </w:pPr>
      <w:rPr>
        <w:rFonts w:hint="default"/>
      </w:rPr>
    </w:lvl>
    <w:lvl w:ilvl="4">
      <w:start w:val="0"/>
      <w:numFmt w:val="bullet"/>
      <w:lvlText w:val="•"/>
      <w:lvlJc w:val="left"/>
      <w:pPr>
        <w:ind w:left="5597" w:hanging="1056"/>
      </w:pPr>
      <w:rPr>
        <w:rFonts w:hint="default"/>
      </w:rPr>
    </w:lvl>
    <w:lvl w:ilvl="5">
      <w:start w:val="0"/>
      <w:numFmt w:val="bullet"/>
      <w:lvlText w:val="•"/>
      <w:lvlJc w:val="left"/>
      <w:pPr>
        <w:ind w:left="6302" w:hanging="1056"/>
      </w:pPr>
      <w:rPr>
        <w:rFonts w:hint="default"/>
      </w:rPr>
    </w:lvl>
    <w:lvl w:ilvl="6">
      <w:start w:val="0"/>
      <w:numFmt w:val="bullet"/>
      <w:lvlText w:val="•"/>
      <w:lvlJc w:val="left"/>
      <w:pPr>
        <w:ind w:left="7006" w:hanging="1056"/>
      </w:pPr>
      <w:rPr>
        <w:rFonts w:hint="default"/>
      </w:rPr>
    </w:lvl>
    <w:lvl w:ilvl="7">
      <w:start w:val="0"/>
      <w:numFmt w:val="bullet"/>
      <w:lvlText w:val="•"/>
      <w:lvlJc w:val="left"/>
      <w:pPr>
        <w:ind w:left="7711" w:hanging="1056"/>
      </w:pPr>
      <w:rPr>
        <w:rFonts w:hint="default"/>
      </w:rPr>
    </w:lvl>
    <w:lvl w:ilvl="8">
      <w:start w:val="0"/>
      <w:numFmt w:val="bullet"/>
      <w:lvlText w:val="•"/>
      <w:lvlJc w:val="left"/>
      <w:pPr>
        <w:ind w:left="8415" w:hanging="1056"/>
      </w:pPr>
      <w:rPr>
        <w:rFonts w:hint="default"/>
      </w:rPr>
    </w:lvl>
  </w:abstractNum>
  <w:abstractNum w:abstractNumId="5">
    <w:multiLevelType w:val="hybridMultilevel"/>
    <w:lvl w:ilvl="0">
      <w:start w:val="5"/>
      <w:numFmt w:val="decimal"/>
      <w:lvlText w:val="%1"/>
      <w:lvlJc w:val="left"/>
      <w:pPr>
        <w:ind w:left="2773" w:hanging="1056"/>
        <w:jc w:val="left"/>
      </w:pPr>
      <w:rPr>
        <w:rFonts w:hint="default"/>
      </w:rPr>
    </w:lvl>
    <w:lvl w:ilvl="1">
      <w:start w:val="1"/>
      <w:numFmt w:val="decimal"/>
      <w:lvlText w:val="%1.%2"/>
      <w:lvlJc w:val="left"/>
      <w:pPr>
        <w:ind w:left="2773" w:hanging="1056"/>
        <w:jc w:val="left"/>
      </w:pPr>
      <w:rPr>
        <w:rFonts w:hint="default" w:ascii="黑体" w:hAnsi="黑体" w:eastAsia="黑体" w:cs="黑体"/>
        <w:spacing w:val="-1"/>
        <w:w w:val="100"/>
        <w:sz w:val="21"/>
        <w:szCs w:val="21"/>
      </w:rPr>
    </w:lvl>
    <w:lvl w:ilvl="2">
      <w:start w:val="0"/>
      <w:numFmt w:val="bullet"/>
      <w:lvlText w:val="•"/>
      <w:lvlJc w:val="left"/>
      <w:pPr>
        <w:ind w:left="4188" w:hanging="1056"/>
      </w:pPr>
      <w:rPr>
        <w:rFonts w:hint="default"/>
      </w:rPr>
    </w:lvl>
    <w:lvl w:ilvl="3">
      <w:start w:val="0"/>
      <w:numFmt w:val="bullet"/>
      <w:lvlText w:val="•"/>
      <w:lvlJc w:val="left"/>
      <w:pPr>
        <w:ind w:left="4893" w:hanging="1056"/>
      </w:pPr>
      <w:rPr>
        <w:rFonts w:hint="default"/>
      </w:rPr>
    </w:lvl>
    <w:lvl w:ilvl="4">
      <w:start w:val="0"/>
      <w:numFmt w:val="bullet"/>
      <w:lvlText w:val="•"/>
      <w:lvlJc w:val="left"/>
      <w:pPr>
        <w:ind w:left="5597" w:hanging="1056"/>
      </w:pPr>
      <w:rPr>
        <w:rFonts w:hint="default"/>
      </w:rPr>
    </w:lvl>
    <w:lvl w:ilvl="5">
      <w:start w:val="0"/>
      <w:numFmt w:val="bullet"/>
      <w:lvlText w:val="•"/>
      <w:lvlJc w:val="left"/>
      <w:pPr>
        <w:ind w:left="6302" w:hanging="1056"/>
      </w:pPr>
      <w:rPr>
        <w:rFonts w:hint="default"/>
      </w:rPr>
    </w:lvl>
    <w:lvl w:ilvl="6">
      <w:start w:val="0"/>
      <w:numFmt w:val="bullet"/>
      <w:lvlText w:val="•"/>
      <w:lvlJc w:val="left"/>
      <w:pPr>
        <w:ind w:left="7006" w:hanging="1056"/>
      </w:pPr>
      <w:rPr>
        <w:rFonts w:hint="default"/>
      </w:rPr>
    </w:lvl>
    <w:lvl w:ilvl="7">
      <w:start w:val="0"/>
      <w:numFmt w:val="bullet"/>
      <w:lvlText w:val="•"/>
      <w:lvlJc w:val="left"/>
      <w:pPr>
        <w:ind w:left="7711" w:hanging="1056"/>
      </w:pPr>
      <w:rPr>
        <w:rFonts w:hint="default"/>
      </w:rPr>
    </w:lvl>
    <w:lvl w:ilvl="8">
      <w:start w:val="0"/>
      <w:numFmt w:val="bullet"/>
      <w:lvlText w:val="•"/>
      <w:lvlJc w:val="left"/>
      <w:pPr>
        <w:ind w:left="8415" w:hanging="1056"/>
      </w:pPr>
      <w:rPr>
        <w:rFonts w:hint="default"/>
      </w:rPr>
    </w:lvl>
  </w:abstractNum>
  <w:abstractNum w:abstractNumId="4">
    <w:multiLevelType w:val="hybridMultilevel"/>
    <w:lvl w:ilvl="0">
      <w:start w:val="4"/>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53"/>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3">
    <w:multiLevelType w:val="hybridMultilevel"/>
    <w:lvl w:ilvl="0">
      <w:start w:val="3"/>
      <w:numFmt w:val="decimal"/>
      <w:lvlText w:val="%1"/>
      <w:lvlJc w:val="left"/>
      <w:pPr>
        <w:ind w:left="2773" w:hanging="1056"/>
        <w:jc w:val="left"/>
      </w:pPr>
      <w:rPr>
        <w:rFonts w:hint="default"/>
      </w:rPr>
    </w:lvl>
    <w:lvl w:ilvl="1">
      <w:start w:val="4"/>
      <w:numFmt w:val="decimal"/>
      <w:lvlText w:val="%1.%2"/>
      <w:lvlJc w:val="left"/>
      <w:pPr>
        <w:ind w:left="2773" w:hanging="1056"/>
        <w:jc w:val="left"/>
      </w:pPr>
      <w:rPr>
        <w:rFonts w:hint="default" w:ascii="黑体" w:hAnsi="黑体" w:eastAsia="黑体" w:cs="黑体"/>
        <w:spacing w:val="-94"/>
        <w:w w:val="100"/>
        <w:sz w:val="21"/>
        <w:szCs w:val="21"/>
      </w:rPr>
    </w:lvl>
    <w:lvl w:ilvl="2">
      <w:start w:val="0"/>
      <w:numFmt w:val="bullet"/>
      <w:lvlText w:val="•"/>
      <w:lvlJc w:val="left"/>
      <w:pPr>
        <w:ind w:left="4188" w:hanging="1056"/>
      </w:pPr>
      <w:rPr>
        <w:rFonts w:hint="default"/>
      </w:rPr>
    </w:lvl>
    <w:lvl w:ilvl="3">
      <w:start w:val="0"/>
      <w:numFmt w:val="bullet"/>
      <w:lvlText w:val="•"/>
      <w:lvlJc w:val="left"/>
      <w:pPr>
        <w:ind w:left="4893" w:hanging="1056"/>
      </w:pPr>
      <w:rPr>
        <w:rFonts w:hint="default"/>
      </w:rPr>
    </w:lvl>
    <w:lvl w:ilvl="4">
      <w:start w:val="0"/>
      <w:numFmt w:val="bullet"/>
      <w:lvlText w:val="•"/>
      <w:lvlJc w:val="left"/>
      <w:pPr>
        <w:ind w:left="5597" w:hanging="1056"/>
      </w:pPr>
      <w:rPr>
        <w:rFonts w:hint="default"/>
      </w:rPr>
    </w:lvl>
    <w:lvl w:ilvl="5">
      <w:start w:val="0"/>
      <w:numFmt w:val="bullet"/>
      <w:lvlText w:val="•"/>
      <w:lvlJc w:val="left"/>
      <w:pPr>
        <w:ind w:left="6302" w:hanging="1056"/>
      </w:pPr>
      <w:rPr>
        <w:rFonts w:hint="default"/>
      </w:rPr>
    </w:lvl>
    <w:lvl w:ilvl="6">
      <w:start w:val="0"/>
      <w:numFmt w:val="bullet"/>
      <w:lvlText w:val="•"/>
      <w:lvlJc w:val="left"/>
      <w:pPr>
        <w:ind w:left="7006" w:hanging="1056"/>
      </w:pPr>
      <w:rPr>
        <w:rFonts w:hint="default"/>
      </w:rPr>
    </w:lvl>
    <w:lvl w:ilvl="7">
      <w:start w:val="0"/>
      <w:numFmt w:val="bullet"/>
      <w:lvlText w:val="•"/>
      <w:lvlJc w:val="left"/>
      <w:pPr>
        <w:ind w:left="7711" w:hanging="1056"/>
      </w:pPr>
      <w:rPr>
        <w:rFonts w:hint="default"/>
      </w:rPr>
    </w:lvl>
    <w:lvl w:ilvl="8">
      <w:start w:val="0"/>
      <w:numFmt w:val="bullet"/>
      <w:lvlText w:val="•"/>
      <w:lvlJc w:val="left"/>
      <w:pPr>
        <w:ind w:left="8415" w:hanging="1056"/>
      </w:pPr>
      <w:rPr>
        <w:rFonts w:hint="default"/>
      </w:rPr>
    </w:lvl>
  </w:abstractNum>
  <w:abstractNum w:abstractNumId="2">
    <w:multiLevelType w:val="hybridMultilevel"/>
    <w:lvl w:ilvl="0">
      <w:start w:val="2"/>
      <w:numFmt w:val="decimal"/>
      <w:lvlText w:val="%1"/>
      <w:lvlJc w:val="left"/>
      <w:pPr>
        <w:ind w:left="2793" w:hanging="1057"/>
        <w:jc w:val="left"/>
      </w:pPr>
      <w:rPr>
        <w:rFonts w:hint="default"/>
      </w:rPr>
    </w:lvl>
    <w:lvl w:ilvl="1">
      <w:start w:val="1"/>
      <w:numFmt w:val="decimal"/>
      <w:lvlText w:val="%1.%2"/>
      <w:lvlJc w:val="left"/>
      <w:pPr>
        <w:ind w:left="2793" w:hanging="1057"/>
        <w:jc w:val="right"/>
      </w:pPr>
      <w:rPr>
        <w:rFonts w:hint="default" w:ascii="黑体" w:hAnsi="黑体" w:eastAsia="黑体" w:cs="黑体"/>
        <w:spacing w:val="-47"/>
        <w:w w:val="100"/>
        <w:sz w:val="21"/>
        <w:szCs w:val="21"/>
      </w:rPr>
    </w:lvl>
    <w:lvl w:ilvl="2">
      <w:start w:val="0"/>
      <w:numFmt w:val="bullet"/>
      <w:lvlText w:val="•"/>
      <w:lvlJc w:val="left"/>
      <w:pPr>
        <w:ind w:left="4208" w:hanging="1057"/>
      </w:pPr>
      <w:rPr>
        <w:rFonts w:hint="default"/>
      </w:rPr>
    </w:lvl>
    <w:lvl w:ilvl="3">
      <w:start w:val="0"/>
      <w:numFmt w:val="bullet"/>
      <w:lvlText w:val="•"/>
      <w:lvlJc w:val="left"/>
      <w:pPr>
        <w:ind w:left="4913" w:hanging="1057"/>
      </w:pPr>
      <w:rPr>
        <w:rFonts w:hint="default"/>
      </w:rPr>
    </w:lvl>
    <w:lvl w:ilvl="4">
      <w:start w:val="0"/>
      <w:numFmt w:val="bullet"/>
      <w:lvlText w:val="•"/>
      <w:lvlJc w:val="left"/>
      <w:pPr>
        <w:ind w:left="5617"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26" w:hanging="1057"/>
      </w:pPr>
      <w:rPr>
        <w:rFonts w:hint="default"/>
      </w:rPr>
    </w:lvl>
    <w:lvl w:ilvl="7">
      <w:start w:val="0"/>
      <w:numFmt w:val="bullet"/>
      <w:lvlText w:val="•"/>
      <w:lvlJc w:val="left"/>
      <w:pPr>
        <w:ind w:left="7731" w:hanging="1057"/>
      </w:pPr>
      <w:rPr>
        <w:rFonts w:hint="default"/>
      </w:rPr>
    </w:lvl>
    <w:lvl w:ilvl="8">
      <w:start w:val="0"/>
      <w:numFmt w:val="bullet"/>
      <w:lvlText w:val="•"/>
      <w:lvlJc w:val="left"/>
      <w:pPr>
        <w:ind w:left="8435" w:hanging="1057"/>
      </w:pPr>
      <w:rPr>
        <w:rFonts w:hint="default"/>
      </w:rPr>
    </w:lvl>
  </w:abstractNum>
  <w:abstractNum w:abstractNumId="1">
    <w:multiLevelType w:val="hybridMultilevel"/>
    <w:lvl w:ilvl="0">
      <w:start w:val="1"/>
      <w:numFmt w:val="decimal"/>
      <w:lvlText w:val="%1"/>
      <w:lvlJc w:val="left"/>
      <w:pPr>
        <w:ind w:left="2793" w:hanging="1056"/>
        <w:jc w:val="left"/>
      </w:pPr>
      <w:rPr>
        <w:rFonts w:hint="default"/>
      </w:rPr>
    </w:lvl>
    <w:lvl w:ilvl="1">
      <w:start w:val="1"/>
      <w:numFmt w:val="decimal"/>
      <w:lvlText w:val="%1.%2"/>
      <w:lvlJc w:val="left"/>
      <w:pPr>
        <w:ind w:left="2793" w:hanging="1056"/>
        <w:jc w:val="left"/>
      </w:pPr>
      <w:rPr>
        <w:rFonts w:hint="default" w:ascii="黑体" w:hAnsi="黑体" w:eastAsia="黑体" w:cs="黑体"/>
        <w:spacing w:val="-99"/>
        <w:w w:val="100"/>
        <w:sz w:val="21"/>
        <w:szCs w:val="21"/>
      </w:rPr>
    </w:lvl>
    <w:lvl w:ilvl="2">
      <w:start w:val="0"/>
      <w:numFmt w:val="bullet"/>
      <w:lvlText w:val="•"/>
      <w:lvlJc w:val="left"/>
      <w:pPr>
        <w:ind w:left="4208" w:hanging="1056"/>
      </w:pPr>
      <w:rPr>
        <w:rFonts w:hint="default"/>
      </w:rPr>
    </w:lvl>
    <w:lvl w:ilvl="3">
      <w:start w:val="0"/>
      <w:numFmt w:val="bullet"/>
      <w:lvlText w:val="•"/>
      <w:lvlJc w:val="left"/>
      <w:pPr>
        <w:ind w:left="4913" w:hanging="1056"/>
      </w:pPr>
      <w:rPr>
        <w:rFonts w:hint="default"/>
      </w:rPr>
    </w:lvl>
    <w:lvl w:ilvl="4">
      <w:start w:val="0"/>
      <w:numFmt w:val="bullet"/>
      <w:lvlText w:val="•"/>
      <w:lvlJc w:val="left"/>
      <w:pPr>
        <w:ind w:left="5617" w:hanging="1056"/>
      </w:pPr>
      <w:rPr>
        <w:rFonts w:hint="default"/>
      </w:rPr>
    </w:lvl>
    <w:lvl w:ilvl="5">
      <w:start w:val="0"/>
      <w:numFmt w:val="bullet"/>
      <w:lvlText w:val="•"/>
      <w:lvlJc w:val="left"/>
      <w:pPr>
        <w:ind w:left="6322" w:hanging="1056"/>
      </w:pPr>
      <w:rPr>
        <w:rFonts w:hint="default"/>
      </w:rPr>
    </w:lvl>
    <w:lvl w:ilvl="6">
      <w:start w:val="0"/>
      <w:numFmt w:val="bullet"/>
      <w:lvlText w:val="•"/>
      <w:lvlJc w:val="left"/>
      <w:pPr>
        <w:ind w:left="7026" w:hanging="1056"/>
      </w:pPr>
      <w:rPr>
        <w:rFonts w:hint="default"/>
      </w:rPr>
    </w:lvl>
    <w:lvl w:ilvl="7">
      <w:start w:val="0"/>
      <w:numFmt w:val="bullet"/>
      <w:lvlText w:val="•"/>
      <w:lvlJc w:val="left"/>
      <w:pPr>
        <w:ind w:left="7731" w:hanging="1056"/>
      </w:pPr>
      <w:rPr>
        <w:rFonts w:hint="default"/>
      </w:rPr>
    </w:lvl>
    <w:lvl w:ilvl="8">
      <w:start w:val="0"/>
      <w:numFmt w:val="bullet"/>
      <w:lvlText w:val="•"/>
      <w:lvlJc w:val="left"/>
      <w:pPr>
        <w:ind w:left="8435" w:hanging="1056"/>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485" w:hanging="360"/>
      </w:pPr>
      <w:rPr>
        <w:rFonts w:hint="default"/>
      </w:rPr>
    </w:lvl>
    <w:lvl w:ilvl="5">
      <w:start w:val="0"/>
      <w:numFmt w:val="bullet"/>
      <w:lvlText w:val="•"/>
      <w:lvlJc w:val="left"/>
      <w:pPr>
        <w:ind w:left="5352" w:hanging="360"/>
      </w:pPr>
      <w:rPr>
        <w:rFonts w:hint="default"/>
      </w:rPr>
    </w:lvl>
    <w:lvl w:ilvl="6">
      <w:start w:val="0"/>
      <w:numFmt w:val="bullet"/>
      <w:lvlText w:val="•"/>
      <w:lvlJc w:val="left"/>
      <w:pPr>
        <w:ind w:left="6218" w:hanging="360"/>
      </w:pPr>
      <w:rPr>
        <w:rFonts w:hint="default"/>
      </w:rPr>
    </w:lvl>
    <w:lvl w:ilvl="7">
      <w:start w:val="0"/>
      <w:numFmt w:val="bullet"/>
      <w:lvlText w:val="•"/>
      <w:lvlJc w:val="left"/>
      <w:pPr>
        <w:ind w:left="7085" w:hanging="360"/>
      </w:pPr>
      <w:rPr>
        <w:rFonts w:hint="default"/>
      </w:rPr>
    </w:lvl>
    <w:lvl w:ilvl="8">
      <w:start w:val="0"/>
      <w:numFmt w:val="bullet"/>
      <w:lvlText w:val="•"/>
      <w:lvlJc w:val="left"/>
      <w:pPr>
        <w:ind w:left="7951" w:hanging="3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39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73" w:hanging="2558"/>
    </w:pPr>
    <w:rPr>
      <w:rFonts w:ascii="宋体" w:hAnsi="宋体" w:eastAsia="宋体" w:cs="宋体"/>
    </w:rPr>
  </w:style>
  <w:style w:styleId="TableParagraph" w:type="paragraph">
    <w:name w:val="Table Paragraph"/>
    <w:basedOn w:val="Normal"/>
    <w:uiPriority w:val="1"/>
    <w:qFormat/>
    <w:pPr>
      <w:spacing w:before="61"/>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&lt;4D6963726F736F667420576F7264202D20CCABB1A3CAD9A1B232303133A1B3313431BAC5B8BDBCFE3032B8A3D3D3B0B2BFB5D6D8B4F3BCB2B2A1B1A3CFD5CCF5BFEE2E646F63&gt;</dc:title>
  <dcterms:created xsi:type="dcterms:W3CDTF">2018-10-20T00:14:55Z</dcterms:created>
  <dcterms:modified xsi:type="dcterms:W3CDTF">2018-10-20T00:14:55Z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