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40"/>
      </w:pPr>
      <w:r>
        <w:rPr>
          <w:w w:val="95"/>
        </w:rPr>
        <w:t>中国太平洋人寿保险股份有限公司</w:t>
      </w:r>
    </w:p>
    <w:p>
      <w:pPr>
        <w:spacing w:line="369" w:lineRule="exact" w:before="0"/>
        <w:ind w:left="501" w:right="0" w:firstLine="0"/>
        <w:jc w:val="left"/>
        <w:rPr>
          <w:rFonts w:ascii="黑体" w:eastAsia="黑体" w:hint="eastAsia"/>
          <w:b/>
          <w:sz w:val="32"/>
        </w:rPr>
      </w:pPr>
      <w:r>
        <w:rPr>
          <w:rFonts w:ascii="黑体" w:eastAsia="黑体" w:hint="eastAsia"/>
          <w:b/>
          <w:w w:val="95"/>
          <w:sz w:val="32"/>
        </w:rPr>
        <w:t>贝贝爱少儿重大疾病保险（H2015）条款</w:t>
      </w:r>
    </w:p>
    <w:p>
      <w:pPr>
        <w:spacing w:before="139"/>
        <w:ind w:left="534" w:right="0" w:firstLine="0"/>
        <w:jc w:val="left"/>
        <w:rPr>
          <w:rFonts w:ascii="黑体" w:eastAsia="黑体" w:hint="eastAsia"/>
          <w:sz w:val="24"/>
        </w:rPr>
      </w:pPr>
      <w:r>
        <w:rPr>
          <w:rFonts w:ascii="黑体" w:eastAsia="黑体" w:hint="eastAsia"/>
          <w:sz w:val="24"/>
        </w:rPr>
        <w:t>阅 读 指 引</w:t>
      </w:r>
    </w:p>
    <w:p>
      <w:pPr>
        <w:spacing w:before="18"/>
        <w:ind w:left="474" w:right="0" w:firstLine="0"/>
        <w:jc w:val="left"/>
        <w:rPr>
          <w:sz w:val="18"/>
        </w:rPr>
      </w:pPr>
      <w:r>
        <w:rPr>
          <w:spacing w:val="-126"/>
          <w:sz w:val="18"/>
        </w:rPr>
        <w:t>本</w:t>
      </w:r>
      <w:r>
        <w:rPr>
          <w:rFonts w:ascii="宋体" w:eastAsia="宋体" w:hint="eastAsia"/>
          <w:spacing w:val="-54"/>
          <w:position w:val="-6"/>
          <w:sz w:val="18"/>
        </w:rPr>
        <w:t>．</w:t>
      </w:r>
      <w:r>
        <w:rPr>
          <w:spacing w:val="-126"/>
          <w:sz w:val="18"/>
        </w:rPr>
        <w:t>阅</w:t>
      </w:r>
      <w:r>
        <w:rPr>
          <w:rFonts w:ascii="宋体" w:eastAsia="宋体" w:hint="eastAsia"/>
          <w:spacing w:val="-54"/>
          <w:position w:val="-6"/>
          <w:sz w:val="18"/>
        </w:rPr>
        <w:t>．</w:t>
      </w:r>
      <w:r>
        <w:rPr>
          <w:spacing w:val="-126"/>
          <w:sz w:val="18"/>
        </w:rPr>
        <w:t>读</w:t>
      </w:r>
      <w:r>
        <w:rPr>
          <w:rFonts w:ascii="宋体" w:eastAsia="宋体" w:hint="eastAsia"/>
          <w:spacing w:val="-54"/>
          <w:position w:val="-6"/>
          <w:sz w:val="18"/>
        </w:rPr>
        <w:t>．</w:t>
      </w:r>
      <w:r>
        <w:rPr>
          <w:spacing w:val="-126"/>
          <w:sz w:val="18"/>
        </w:rPr>
        <w:t>指</w:t>
      </w:r>
      <w:r>
        <w:rPr>
          <w:rFonts w:ascii="宋体" w:eastAsia="宋体" w:hint="eastAsia"/>
          <w:spacing w:val="-54"/>
          <w:position w:val="-6"/>
          <w:sz w:val="18"/>
        </w:rPr>
        <w:t>．</w:t>
      </w:r>
      <w:r>
        <w:rPr>
          <w:spacing w:val="-126"/>
          <w:sz w:val="18"/>
        </w:rPr>
        <w:t>引</w:t>
      </w:r>
      <w:r>
        <w:rPr>
          <w:rFonts w:ascii="宋体" w:eastAsia="宋体" w:hint="eastAsia"/>
          <w:spacing w:val="-54"/>
          <w:position w:val="-6"/>
          <w:sz w:val="18"/>
        </w:rPr>
        <w:t>．</w:t>
      </w:r>
      <w:r>
        <w:rPr>
          <w:spacing w:val="-126"/>
          <w:sz w:val="18"/>
        </w:rPr>
        <w:t>有</w:t>
      </w:r>
      <w:r>
        <w:rPr>
          <w:rFonts w:ascii="宋体" w:eastAsia="宋体" w:hint="eastAsia"/>
          <w:spacing w:val="-54"/>
          <w:position w:val="-6"/>
          <w:sz w:val="18"/>
        </w:rPr>
        <w:t>．</w:t>
      </w:r>
      <w:r>
        <w:rPr>
          <w:spacing w:val="-126"/>
          <w:sz w:val="18"/>
        </w:rPr>
        <w:t>助</w:t>
      </w:r>
      <w:r>
        <w:rPr>
          <w:rFonts w:ascii="宋体" w:eastAsia="宋体" w:hint="eastAsia"/>
          <w:spacing w:val="-54"/>
          <w:position w:val="-6"/>
          <w:sz w:val="18"/>
        </w:rPr>
        <w:t>．</w:t>
      </w:r>
      <w:r>
        <w:rPr>
          <w:spacing w:val="-126"/>
          <w:sz w:val="18"/>
        </w:rPr>
        <w:t>于</w:t>
      </w:r>
      <w:r>
        <w:rPr>
          <w:rFonts w:ascii="宋体" w:eastAsia="宋体" w:hint="eastAsia"/>
          <w:spacing w:val="-54"/>
          <w:position w:val="-6"/>
          <w:sz w:val="18"/>
        </w:rPr>
        <w:t>．</w:t>
      </w:r>
      <w:r>
        <w:rPr>
          <w:spacing w:val="-126"/>
          <w:sz w:val="18"/>
        </w:rPr>
        <w:t>您</w:t>
      </w:r>
      <w:r>
        <w:rPr>
          <w:rFonts w:ascii="宋体" w:eastAsia="宋体" w:hint="eastAsia"/>
          <w:spacing w:val="-54"/>
          <w:position w:val="-6"/>
          <w:sz w:val="18"/>
        </w:rPr>
        <w:t>．</w:t>
      </w:r>
      <w:r>
        <w:rPr>
          <w:spacing w:val="-126"/>
          <w:sz w:val="18"/>
        </w:rPr>
        <w:t>理</w:t>
      </w:r>
      <w:r>
        <w:rPr>
          <w:rFonts w:ascii="宋体" w:eastAsia="宋体" w:hint="eastAsia"/>
          <w:spacing w:val="-54"/>
          <w:position w:val="-6"/>
          <w:sz w:val="18"/>
        </w:rPr>
        <w:t>．</w:t>
      </w:r>
      <w:r>
        <w:rPr>
          <w:spacing w:val="-126"/>
          <w:sz w:val="18"/>
        </w:rPr>
        <w:t>解</w:t>
      </w:r>
      <w:r>
        <w:rPr>
          <w:rFonts w:ascii="宋体" w:eastAsia="宋体" w:hint="eastAsia"/>
          <w:spacing w:val="-54"/>
          <w:position w:val="-6"/>
          <w:sz w:val="18"/>
        </w:rPr>
        <w:t>．</w:t>
      </w:r>
      <w:r>
        <w:rPr>
          <w:spacing w:val="-126"/>
          <w:sz w:val="18"/>
        </w:rPr>
        <w:t>条</w:t>
      </w:r>
      <w:r>
        <w:rPr>
          <w:rFonts w:ascii="宋体" w:eastAsia="宋体" w:hint="eastAsia"/>
          <w:spacing w:val="-54"/>
          <w:position w:val="-6"/>
          <w:sz w:val="18"/>
        </w:rPr>
        <w:t>．</w:t>
      </w:r>
      <w:r>
        <w:rPr>
          <w:spacing w:val="-126"/>
          <w:sz w:val="18"/>
        </w:rPr>
        <w:t>款</w:t>
      </w:r>
      <w:r>
        <w:rPr>
          <w:rFonts w:ascii="宋体" w:eastAsia="宋体" w:hint="eastAsia"/>
          <w:spacing w:val="-78"/>
          <w:position w:val="-6"/>
          <w:sz w:val="18"/>
        </w:rPr>
        <w:t>．</w:t>
      </w:r>
      <w:r>
        <w:rPr>
          <w:spacing w:val="-78"/>
          <w:sz w:val="18"/>
        </w:rPr>
        <w:t>，</w:t>
      </w:r>
      <w:r>
        <w:rPr>
          <w:rFonts w:ascii="宋体" w:eastAsia="宋体" w:hint="eastAsia"/>
          <w:spacing w:val="-78"/>
          <w:position w:val="-6"/>
          <w:sz w:val="18"/>
        </w:rPr>
        <w:t>．</w:t>
      </w:r>
      <w:r>
        <w:rPr>
          <w:spacing w:val="-126"/>
          <w:sz w:val="18"/>
        </w:rPr>
        <w:t>对</w:t>
      </w:r>
      <w:r>
        <w:rPr>
          <w:rFonts w:ascii="宋体" w:eastAsia="宋体" w:hint="eastAsia"/>
          <w:spacing w:val="-54"/>
          <w:position w:val="-6"/>
          <w:sz w:val="18"/>
        </w:rPr>
        <w:t>．</w:t>
      </w:r>
      <w:r>
        <w:rPr>
          <w:spacing w:val="-126"/>
          <w:sz w:val="18"/>
        </w:rPr>
        <w:t>本</w:t>
      </w:r>
      <w:r>
        <w:rPr>
          <w:rFonts w:ascii="宋体" w:eastAsia="宋体" w:hint="eastAsia"/>
          <w:spacing w:val="-54"/>
          <w:position w:val="-6"/>
          <w:sz w:val="18"/>
        </w:rPr>
        <w:t>．</w:t>
      </w:r>
      <w:r>
        <w:rPr>
          <w:spacing w:val="-126"/>
          <w:sz w:val="18"/>
        </w:rPr>
        <w:t>合</w:t>
      </w:r>
      <w:r>
        <w:rPr>
          <w:rFonts w:ascii="宋体" w:eastAsia="宋体" w:hint="eastAsia"/>
          <w:spacing w:val="-54"/>
          <w:position w:val="-6"/>
          <w:sz w:val="18"/>
        </w:rPr>
        <w:t>．</w:t>
      </w:r>
      <w:r>
        <w:rPr>
          <w:spacing w:val="-126"/>
          <w:sz w:val="18"/>
        </w:rPr>
        <w:t>同</w:t>
      </w:r>
      <w:r>
        <w:rPr>
          <w:rFonts w:ascii="宋体" w:eastAsia="宋体" w:hint="eastAsia"/>
          <w:spacing w:val="-54"/>
          <w:position w:val="-6"/>
          <w:sz w:val="18"/>
        </w:rPr>
        <w:t>．</w:t>
      </w:r>
      <w:r>
        <w:rPr>
          <w:spacing w:val="-126"/>
          <w:sz w:val="18"/>
        </w:rPr>
        <w:t>内</w:t>
      </w:r>
      <w:r>
        <w:rPr>
          <w:rFonts w:ascii="宋体" w:eastAsia="宋体" w:hint="eastAsia"/>
          <w:spacing w:val="-54"/>
          <w:position w:val="-6"/>
          <w:sz w:val="18"/>
        </w:rPr>
        <w:t>．</w:t>
      </w:r>
      <w:r>
        <w:rPr>
          <w:spacing w:val="-126"/>
          <w:sz w:val="18"/>
        </w:rPr>
        <w:t>容</w:t>
      </w:r>
      <w:r>
        <w:rPr>
          <w:rFonts w:ascii="宋体" w:eastAsia="宋体" w:hint="eastAsia"/>
          <w:spacing w:val="-54"/>
          <w:position w:val="-6"/>
          <w:sz w:val="18"/>
        </w:rPr>
        <w:t>．</w:t>
      </w:r>
      <w:r>
        <w:rPr>
          <w:spacing w:val="-126"/>
          <w:sz w:val="18"/>
        </w:rPr>
        <w:t>的</w:t>
      </w:r>
      <w:r>
        <w:rPr>
          <w:rFonts w:ascii="宋体" w:eastAsia="宋体" w:hint="eastAsia"/>
          <w:spacing w:val="-54"/>
          <w:position w:val="-6"/>
          <w:sz w:val="18"/>
        </w:rPr>
        <w:t>．</w:t>
      </w:r>
      <w:r>
        <w:rPr>
          <w:spacing w:val="-126"/>
          <w:sz w:val="18"/>
        </w:rPr>
        <w:t>解</w:t>
      </w:r>
      <w:r>
        <w:rPr>
          <w:rFonts w:ascii="宋体" w:eastAsia="宋体" w:hint="eastAsia"/>
          <w:spacing w:val="-54"/>
          <w:position w:val="-6"/>
          <w:sz w:val="18"/>
        </w:rPr>
        <w:t>．</w:t>
      </w:r>
      <w:r>
        <w:rPr>
          <w:spacing w:val="-126"/>
          <w:sz w:val="18"/>
        </w:rPr>
        <w:t>释</w:t>
      </w:r>
      <w:r>
        <w:rPr>
          <w:rFonts w:ascii="宋体" w:eastAsia="宋体" w:hint="eastAsia"/>
          <w:spacing w:val="-54"/>
          <w:position w:val="-6"/>
          <w:sz w:val="18"/>
        </w:rPr>
        <w:t>．</w:t>
      </w:r>
      <w:r>
        <w:rPr>
          <w:spacing w:val="-126"/>
          <w:sz w:val="18"/>
        </w:rPr>
        <w:t>以</w:t>
      </w:r>
      <w:r>
        <w:rPr>
          <w:rFonts w:ascii="宋体" w:eastAsia="宋体" w:hint="eastAsia"/>
          <w:spacing w:val="-54"/>
          <w:position w:val="-6"/>
          <w:sz w:val="18"/>
        </w:rPr>
        <w:t>．</w:t>
      </w:r>
      <w:r>
        <w:rPr>
          <w:spacing w:val="-126"/>
          <w:sz w:val="18"/>
        </w:rPr>
        <w:t>条</w:t>
      </w:r>
      <w:r>
        <w:rPr>
          <w:rFonts w:ascii="宋体" w:eastAsia="宋体" w:hint="eastAsia"/>
          <w:spacing w:val="-54"/>
          <w:position w:val="-6"/>
          <w:sz w:val="18"/>
        </w:rPr>
        <w:t>．</w:t>
      </w:r>
      <w:r>
        <w:rPr>
          <w:spacing w:val="-126"/>
          <w:sz w:val="18"/>
        </w:rPr>
        <w:t>款</w:t>
      </w:r>
      <w:r>
        <w:rPr>
          <w:rFonts w:ascii="宋体" w:eastAsia="宋体" w:hint="eastAsia"/>
          <w:spacing w:val="-54"/>
          <w:position w:val="-6"/>
          <w:sz w:val="18"/>
        </w:rPr>
        <w:t>．</w:t>
      </w:r>
      <w:r>
        <w:rPr>
          <w:spacing w:val="-126"/>
          <w:sz w:val="18"/>
        </w:rPr>
        <w:t>为</w:t>
      </w:r>
      <w:r>
        <w:rPr>
          <w:rFonts w:ascii="宋体" w:eastAsia="宋体" w:hint="eastAsia"/>
          <w:spacing w:val="-54"/>
          <w:position w:val="-6"/>
          <w:sz w:val="18"/>
        </w:rPr>
        <w:t>．</w:t>
      </w:r>
      <w:r>
        <w:rPr>
          <w:spacing w:val="-126"/>
          <w:sz w:val="18"/>
        </w:rPr>
        <w:t>准</w:t>
      </w:r>
      <w:r>
        <w:rPr>
          <w:rFonts w:ascii="宋体" w:eastAsia="宋体" w:hint="eastAsia"/>
          <w:spacing w:val="-54"/>
          <w:position w:val="-6"/>
          <w:sz w:val="18"/>
        </w:rPr>
        <w:t>．</w:t>
      </w:r>
      <w:r>
        <w:rPr>
          <w:sz w:val="18"/>
        </w:rPr>
        <w:t>。</w:t>
      </w:r>
    </w:p>
    <w:p>
      <w:pPr>
        <w:pStyle w:val="Heading2"/>
        <w:tabs>
          <w:tab w:pos="788" w:val="left" w:leader="none"/>
        </w:tabs>
        <w:spacing w:line="528" w:lineRule="exact" w:before="12"/>
        <w:ind w:left="127"/>
      </w:pPr>
      <w:r>
        <w:rPr>
          <w:rFonts w:ascii="Arial" w:hAnsi="Arial" w:eastAsia="Arial"/>
          <w:b w:val="0"/>
          <w:w w:val="150"/>
          <w:position w:val="-11"/>
          <w:sz w:val="48"/>
        </w:rPr>
        <w:t>¤</w:t>
        <w:tab/>
      </w:r>
      <w:r>
        <w:rPr>
          <w:w w:val="95"/>
        </w:rPr>
        <w:t>您拥有的重要权益</w:t>
      </w:r>
    </w:p>
    <w:p>
      <w:pPr>
        <w:spacing w:before="42"/>
        <w:ind w:left="74" w:right="154" w:firstLine="0"/>
        <w:jc w:val="center"/>
        <w:rPr>
          <w:rFonts w:ascii="宋体" w:eastAsia="宋体" w:hint="eastAsia"/>
          <w:sz w:val="15"/>
        </w:rPr>
      </w:pPr>
      <w:r>
        <w:rPr/>
        <w:br w:type="column"/>
      </w:r>
      <w:r>
        <w:rPr>
          <w:rFonts w:ascii="宋体" w:eastAsia="宋体" w:hint="eastAsia"/>
          <w:sz w:val="15"/>
        </w:rPr>
        <w:t>太平洋人寿[2015]疾病保险 035 号</w:t>
      </w:r>
    </w:p>
    <w:p>
      <w:pPr>
        <w:pStyle w:val="BodyText"/>
        <w:spacing w:before="4"/>
        <w:rPr>
          <w:rFonts w:ascii="宋体"/>
          <w:sz w:val="10"/>
        </w:rPr>
      </w:pPr>
    </w:p>
    <w:p>
      <w:pPr>
        <w:pStyle w:val="BodyText"/>
        <w:spacing w:before="0"/>
        <w:ind w:left="681"/>
        <w:rPr>
          <w:rFonts w:ascii="宋体"/>
          <w:sz w:val="20"/>
        </w:rPr>
      </w:pPr>
      <w:r>
        <w:rPr>
          <w:rFonts w:ascii="宋体"/>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宋体"/>
          <w:sz w:val="20"/>
        </w:rPr>
      </w:r>
    </w:p>
    <w:p>
      <w:pPr>
        <w:spacing w:before="73"/>
        <w:ind w:left="51" w:right="154" w:firstLine="0"/>
        <w:jc w:val="center"/>
        <w:rPr>
          <w:rFonts w:ascii="宋体" w:eastAsia="宋体" w:hint="eastAsia"/>
          <w:sz w:val="15"/>
        </w:rPr>
      </w:pPr>
      <w:r>
        <w:rPr>
          <w:rFonts w:ascii="宋体" w:eastAsia="宋体" w:hint="eastAsia"/>
          <w:sz w:val="15"/>
        </w:rPr>
        <w:t>请扫描以查询验证条款</w:t>
      </w:r>
    </w:p>
    <w:p>
      <w:pPr>
        <w:spacing w:after="0"/>
        <w:jc w:val="center"/>
        <w:rPr>
          <w:rFonts w:ascii="宋体" w:eastAsia="宋体" w:hint="eastAsia"/>
          <w:sz w:val="15"/>
        </w:rPr>
        <w:sectPr>
          <w:type w:val="continuous"/>
          <w:pgSz w:w="11910" w:h="16840"/>
          <w:pgMar w:top="1260" w:bottom="280" w:left="1200" w:right="1120"/>
          <w:cols w:num="2" w:equalWidth="0">
            <w:col w:w="6125" w:space="872"/>
            <w:col w:w="2593"/>
          </w:cols>
        </w:sectPr>
      </w:pPr>
    </w:p>
    <w:p>
      <w:pPr>
        <w:pStyle w:val="ListParagraph"/>
        <w:numPr>
          <w:ilvl w:val="0"/>
          <w:numId w:val="1"/>
        </w:numPr>
        <w:tabs>
          <w:tab w:pos="850" w:val="left" w:leader="none"/>
          <w:tab w:pos="9219" w:val="right" w:leader="dot"/>
        </w:tabs>
        <w:spacing w:line="187" w:lineRule="exact" w:before="0" w:after="0"/>
        <w:ind w:left="849" w:right="0" w:hanging="360"/>
        <w:jc w:val="left"/>
        <w:rPr>
          <w:sz w:val="18"/>
        </w:rPr>
      </w:pPr>
      <w:r>
        <w:rPr>
          <w:sz w:val="18"/>
        </w:rPr>
        <w:t>您有退保的权利…</w:t>
        <w:tab/>
        <w:t>1.5</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本合同提供的保障在保险责任条款中列明</w:t>
        <w:tab/>
        <w:t>2.5</w:t>
      </w:r>
    </w:p>
    <w:p>
      <w:pPr>
        <w:pStyle w:val="Heading2"/>
        <w:tabs>
          <w:tab w:pos="788" w:val="left" w:leader="none"/>
        </w:tabs>
        <w:spacing w:line="516" w:lineRule="exact" w:before="4"/>
        <w:ind w:left="127"/>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50" w:val="left" w:leader="none"/>
          <w:tab w:pos="9219" w:val="right" w:leader="dot"/>
        </w:tabs>
        <w:spacing w:line="200" w:lineRule="exact" w:before="0" w:after="0"/>
        <w:ind w:left="849" w:right="0" w:hanging="360"/>
        <w:jc w:val="left"/>
        <w:rPr>
          <w:sz w:val="18"/>
        </w:rPr>
      </w:pPr>
      <w:r>
        <w:rPr>
          <w:sz w:val="18"/>
        </w:rPr>
        <w:t>退保会给您造成一定的损失，请您慎重决策…</w:t>
        <w:tab/>
        <w:t>1.5</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您有如实告知的义务…</w:t>
        <w:tab/>
        <w:t>1.6</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本合同有疾病观察期条款，请您注意…</w:t>
        <w:tab/>
        <w:t>2.4</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本合同有比例给付的约定，请您注意…</w:t>
        <w:tab/>
        <w:t>2.5</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本合同有责任免除条款，请您注意…</w:t>
        <w:tab/>
        <w:t>2.6</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保险事故发生后，请及时通知我们…</w:t>
        <w:tab/>
        <w:t>3.2</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我们对一些重要术语进行了解释，并作了显著标识，请您注意…</w:t>
        <w:tab/>
        <w:t>6</w:t>
      </w:r>
    </w:p>
    <w:p>
      <w:pPr>
        <w:pStyle w:val="Heading2"/>
        <w:tabs>
          <w:tab w:pos="789" w:val="left" w:leader="none"/>
        </w:tabs>
        <w:spacing w:line="456" w:lineRule="exact" w:before="4"/>
        <w:ind w:left="127"/>
      </w:pPr>
      <w:r>
        <w:rPr>
          <w:rFonts w:ascii="Arial" w:hAnsi="Arial" w:eastAsia="Arial"/>
          <w:b w:val="0"/>
          <w:w w:val="150"/>
          <w:position w:val="-11"/>
          <w:sz w:val="48"/>
        </w:rPr>
        <w:t>¤</w:t>
        <w:tab/>
      </w:r>
      <w:r>
        <w:rPr>
          <w:w w:val="95"/>
        </w:rPr>
        <w:t>保险条款是保险合同的重要内容，为充分保障您的权益，请您仔细阅读本保险条款。</w:t>
      </w:r>
    </w:p>
    <w:p>
      <w:pPr>
        <w:tabs>
          <w:tab w:pos="772" w:val="left" w:leader="none"/>
        </w:tabs>
        <w:spacing w:line="440" w:lineRule="exact" w:before="0"/>
        <w:ind w:left="111" w:right="0" w:firstLine="0"/>
        <w:jc w:val="left"/>
        <w:rPr>
          <w:rFonts w:ascii="黑体" w:hAnsi="黑体" w:eastAsia="黑体" w:hint="eastAsia"/>
          <w:b/>
          <w:sz w:val="21"/>
        </w:rPr>
      </w:pP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0" w:lineRule="exact"/>
        <w:jc w:val="left"/>
        <w:rPr>
          <w:rFonts w:ascii="黑体" w:hAnsi="黑体" w:eastAsia="黑体" w:hint="eastAsia"/>
          <w:sz w:val="21"/>
        </w:rPr>
        <w:sectPr>
          <w:type w:val="continuous"/>
          <w:pgSz w:w="11910" w:h="16840"/>
          <w:pgMar w:top="1260" w:bottom="280" w:left="1200" w:right="1120"/>
        </w:sectPr>
      </w:pPr>
    </w:p>
    <w:p>
      <w:pPr>
        <w:tabs>
          <w:tab w:pos="2633" w:val="left" w:leader="none"/>
        </w:tabs>
        <w:spacing w:line="180" w:lineRule="exact" w:before="0"/>
        <w:ind w:left="294" w:right="0" w:firstLine="0"/>
        <w:jc w:val="left"/>
        <w:rPr>
          <w:rFonts w:ascii="黑体" w:eastAsia="黑体" w:hint="eastAsia"/>
          <w:sz w:val="18"/>
        </w:rPr>
      </w:pPr>
      <w:r>
        <w:rPr>
          <w:rFonts w:ascii="黑体" w:eastAsia="黑体" w:hint="eastAsia"/>
          <w:sz w:val="18"/>
          <w:shd w:fill="D3D3D3" w:color="auto" w:val="clear"/>
        </w:rPr>
        <w:t>1．基本条款</w:t>
        <w:tab/>
      </w:r>
    </w:p>
    <w:p>
      <w:pPr>
        <w:spacing w:line="180" w:lineRule="exact" w:before="0"/>
        <w:ind w:left="294" w:right="0" w:firstLine="0"/>
        <w:jc w:val="left"/>
        <w:rPr>
          <w:rFonts w:ascii="黑体" w:eastAsia="黑体" w:hint="eastAsia"/>
          <w:sz w:val="18"/>
        </w:rPr>
      </w:pPr>
      <w:r>
        <w:rPr/>
        <w:br w:type="column"/>
      </w:r>
      <w:r>
        <w:rPr>
          <w:rFonts w:ascii="黑体" w:eastAsia="黑体" w:hint="eastAsia"/>
          <w:sz w:val="18"/>
        </w:rPr>
        <w:t>2.6 责任免除</w:t>
      </w:r>
    </w:p>
    <w:p>
      <w:pPr>
        <w:spacing w:line="180" w:lineRule="exact" w:before="0"/>
        <w:ind w:left="293" w:right="0" w:firstLine="0"/>
        <w:jc w:val="left"/>
        <w:rPr>
          <w:rFonts w:ascii="黑体" w:eastAsia="黑体" w:hint="eastAsia"/>
          <w:sz w:val="18"/>
        </w:rPr>
      </w:pPr>
      <w:r>
        <w:rPr/>
        <w:br w:type="column"/>
      </w:r>
      <w:r>
        <w:rPr>
          <w:rFonts w:ascii="黑体" w:eastAsia="黑体" w:hint="eastAsia"/>
          <w:sz w:val="18"/>
        </w:rPr>
        <w:t>6.5 毒品</w:t>
      </w:r>
    </w:p>
    <w:p>
      <w:pPr>
        <w:spacing w:after="0" w:line="180" w:lineRule="exact"/>
        <w:jc w:val="left"/>
        <w:rPr>
          <w:rFonts w:ascii="黑体" w:eastAsia="黑体" w:hint="eastAsia"/>
          <w:sz w:val="18"/>
        </w:rPr>
        <w:sectPr>
          <w:type w:val="continuous"/>
          <w:pgSz w:w="11910" w:h="16840"/>
          <w:pgMar w:top="1260" w:bottom="280" w:left="1200" w:right="1120"/>
          <w:cols w:num="3" w:equalWidth="0">
            <w:col w:w="2634" w:space="718"/>
            <w:col w:w="1375" w:space="1981"/>
            <w:col w:w="2882"/>
          </w:cols>
        </w:sectPr>
      </w:pPr>
    </w:p>
    <w:p>
      <w:pPr>
        <w:pStyle w:val="BodyText"/>
        <w:spacing w:before="9" w:after="1"/>
        <w:rPr>
          <w:rFonts w:ascii="黑体"/>
          <w:sz w:val="13"/>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2533"/>
        <w:gridCol w:w="3469"/>
        <w:gridCol w:w="798"/>
        <w:gridCol w:w="2076"/>
      </w:tblGrid>
      <w:tr>
        <w:trPr>
          <w:trHeight w:val="270" w:hRule="atLeast"/>
        </w:trPr>
        <w:tc>
          <w:tcPr>
            <w:tcW w:w="365" w:type="dxa"/>
          </w:tcPr>
          <w:p>
            <w:pPr>
              <w:pStyle w:val="TableParagraph"/>
              <w:spacing w:line="180" w:lineRule="exact" w:before="0"/>
              <w:ind w:left="30" w:right="25"/>
              <w:jc w:val="center"/>
              <w:rPr>
                <w:rFonts w:ascii="黑体"/>
                <w:sz w:val="18"/>
              </w:rPr>
            </w:pPr>
            <w:r>
              <w:rPr>
                <w:rFonts w:ascii="黑体"/>
                <w:sz w:val="18"/>
              </w:rPr>
              <w:t>1.1</w:t>
            </w:r>
          </w:p>
        </w:tc>
        <w:tc>
          <w:tcPr>
            <w:tcW w:w="2533" w:type="dxa"/>
          </w:tcPr>
          <w:p>
            <w:pPr>
              <w:pStyle w:val="TableParagraph"/>
              <w:spacing w:line="180" w:lineRule="exact" w:before="0"/>
              <w:ind w:left="45"/>
              <w:rPr>
                <w:rFonts w:ascii="黑体" w:eastAsia="黑体" w:hint="eastAsia"/>
                <w:sz w:val="18"/>
              </w:rPr>
            </w:pPr>
            <w:r>
              <w:rPr>
                <w:rFonts w:ascii="黑体" w:eastAsia="黑体" w:hint="eastAsia"/>
                <w:sz w:val="18"/>
              </w:rPr>
              <w:t>合同构成</w:t>
            </w:r>
          </w:p>
        </w:tc>
        <w:tc>
          <w:tcPr>
            <w:tcW w:w="3469" w:type="dxa"/>
          </w:tcPr>
          <w:p>
            <w:pPr>
              <w:pStyle w:val="TableParagraph"/>
              <w:tabs>
                <w:tab w:pos="3076" w:val="left" w:leader="none"/>
              </w:tabs>
              <w:spacing w:line="180" w:lineRule="exact" w:before="0"/>
              <w:ind w:left="506"/>
              <w:rPr>
                <w:rFonts w:ascii="黑体" w:eastAsia="黑体" w:hint="eastAsia"/>
                <w:sz w:val="18"/>
              </w:rPr>
            </w:pPr>
            <w:r>
              <w:rPr>
                <w:rFonts w:ascii="黑体" w:eastAsia="黑体" w:hint="eastAsia"/>
                <w:sz w:val="18"/>
                <w:shd w:fill="D3D3D3" w:color="auto" w:val="clear"/>
              </w:rPr>
              <w:t>3．理赔服务条款</w:t>
              <w:tab/>
            </w:r>
          </w:p>
        </w:tc>
        <w:tc>
          <w:tcPr>
            <w:tcW w:w="2874" w:type="dxa"/>
            <w:gridSpan w:val="2"/>
          </w:tcPr>
          <w:p>
            <w:pPr>
              <w:pStyle w:val="TableParagraph"/>
              <w:spacing w:line="180" w:lineRule="exact" w:before="0"/>
              <w:ind w:left="392"/>
              <w:rPr>
                <w:rFonts w:ascii="黑体" w:eastAsia="黑体" w:hint="eastAsia"/>
                <w:sz w:val="18"/>
              </w:rPr>
            </w:pPr>
            <w:r>
              <w:rPr>
                <w:rFonts w:ascii="黑体" w:eastAsia="黑体" w:hint="eastAsia"/>
                <w:sz w:val="18"/>
              </w:rPr>
              <w:t>6.6 酒后驾驶</w:t>
            </w:r>
          </w:p>
        </w:tc>
      </w:tr>
      <w:tr>
        <w:trPr>
          <w:trHeight w:val="360" w:hRule="atLeast"/>
        </w:trPr>
        <w:tc>
          <w:tcPr>
            <w:tcW w:w="365" w:type="dxa"/>
          </w:tcPr>
          <w:p>
            <w:pPr>
              <w:pStyle w:val="TableParagraph"/>
              <w:ind w:left="30" w:right="25"/>
              <w:jc w:val="center"/>
              <w:rPr>
                <w:rFonts w:ascii="黑体"/>
                <w:sz w:val="18"/>
              </w:rPr>
            </w:pPr>
            <w:r>
              <w:rPr>
                <w:rFonts w:ascii="黑体"/>
                <w:sz w:val="18"/>
              </w:rPr>
              <w:t>1.2</w:t>
            </w:r>
          </w:p>
        </w:tc>
        <w:tc>
          <w:tcPr>
            <w:tcW w:w="2533" w:type="dxa"/>
          </w:tcPr>
          <w:p>
            <w:pPr>
              <w:pStyle w:val="TableParagraph"/>
              <w:ind w:left="45"/>
              <w:rPr>
                <w:rFonts w:ascii="黑体" w:eastAsia="黑体" w:hint="eastAsia"/>
                <w:sz w:val="18"/>
              </w:rPr>
            </w:pPr>
            <w:r>
              <w:rPr>
                <w:rFonts w:ascii="黑体" w:eastAsia="黑体" w:hint="eastAsia"/>
                <w:sz w:val="18"/>
              </w:rPr>
              <w:t>合同成立与Th效</w:t>
            </w:r>
          </w:p>
        </w:tc>
        <w:tc>
          <w:tcPr>
            <w:tcW w:w="3469" w:type="dxa"/>
          </w:tcPr>
          <w:p>
            <w:pPr>
              <w:pStyle w:val="TableParagraph"/>
              <w:ind w:left="506"/>
              <w:rPr>
                <w:rFonts w:ascii="黑体" w:eastAsia="黑体" w:hint="eastAsia"/>
                <w:sz w:val="18"/>
              </w:rPr>
            </w:pPr>
            <w:r>
              <w:rPr>
                <w:rFonts w:ascii="黑体" w:eastAsia="黑体" w:hint="eastAsia"/>
                <w:sz w:val="18"/>
              </w:rPr>
              <w:t>3.1 受益人</w:t>
            </w:r>
          </w:p>
        </w:tc>
        <w:tc>
          <w:tcPr>
            <w:tcW w:w="2874" w:type="dxa"/>
            <w:gridSpan w:val="2"/>
          </w:tcPr>
          <w:p>
            <w:pPr>
              <w:pStyle w:val="TableParagraph"/>
              <w:ind w:left="392"/>
              <w:rPr>
                <w:rFonts w:ascii="黑体" w:eastAsia="黑体" w:hint="eastAsia"/>
                <w:sz w:val="18"/>
              </w:rPr>
            </w:pPr>
            <w:r>
              <w:rPr>
                <w:rFonts w:ascii="黑体" w:eastAsia="黑体" w:hint="eastAsia"/>
                <w:sz w:val="18"/>
              </w:rPr>
              <w:t>6.7 无合法有效驾驶证驾驶</w:t>
            </w:r>
          </w:p>
        </w:tc>
      </w:tr>
      <w:tr>
        <w:trPr>
          <w:trHeight w:val="360" w:hRule="atLeast"/>
        </w:trPr>
        <w:tc>
          <w:tcPr>
            <w:tcW w:w="365" w:type="dxa"/>
          </w:tcPr>
          <w:p>
            <w:pPr>
              <w:pStyle w:val="TableParagraph"/>
              <w:ind w:left="30" w:right="25"/>
              <w:jc w:val="center"/>
              <w:rPr>
                <w:rFonts w:ascii="黑体"/>
                <w:sz w:val="18"/>
              </w:rPr>
            </w:pPr>
            <w:r>
              <w:rPr>
                <w:rFonts w:ascii="黑体"/>
                <w:sz w:val="18"/>
              </w:rPr>
              <w:t>1.3</w:t>
            </w:r>
          </w:p>
        </w:tc>
        <w:tc>
          <w:tcPr>
            <w:tcW w:w="2533" w:type="dxa"/>
          </w:tcPr>
          <w:p>
            <w:pPr>
              <w:pStyle w:val="TableParagraph"/>
              <w:ind w:left="45"/>
              <w:rPr>
                <w:rFonts w:ascii="黑体" w:eastAsia="黑体" w:hint="eastAsia"/>
                <w:sz w:val="18"/>
              </w:rPr>
            </w:pPr>
            <w:r>
              <w:rPr>
                <w:rFonts w:ascii="黑体" w:eastAsia="黑体" w:hint="eastAsia"/>
                <w:sz w:val="18"/>
              </w:rPr>
              <w:t>投保年龄</w:t>
            </w:r>
          </w:p>
        </w:tc>
        <w:tc>
          <w:tcPr>
            <w:tcW w:w="3469" w:type="dxa"/>
          </w:tcPr>
          <w:p>
            <w:pPr>
              <w:pStyle w:val="TableParagraph"/>
              <w:ind w:left="506"/>
              <w:rPr>
                <w:rFonts w:ascii="黑体" w:eastAsia="黑体" w:hint="eastAsia"/>
                <w:sz w:val="18"/>
              </w:rPr>
            </w:pPr>
            <w:r>
              <w:rPr>
                <w:rFonts w:ascii="黑体" w:eastAsia="黑体" w:hint="eastAsia"/>
                <w:sz w:val="18"/>
              </w:rPr>
              <w:t>3.2 保险事故通知</w:t>
            </w:r>
          </w:p>
        </w:tc>
        <w:tc>
          <w:tcPr>
            <w:tcW w:w="2874" w:type="dxa"/>
            <w:gridSpan w:val="2"/>
          </w:tcPr>
          <w:p>
            <w:pPr>
              <w:pStyle w:val="TableParagraph"/>
              <w:ind w:left="392"/>
              <w:rPr>
                <w:rFonts w:ascii="黑体" w:eastAsia="黑体" w:hint="eastAsia"/>
                <w:sz w:val="18"/>
              </w:rPr>
            </w:pPr>
            <w:r>
              <w:rPr>
                <w:rFonts w:ascii="黑体" w:eastAsia="黑体" w:hint="eastAsia"/>
                <w:sz w:val="18"/>
              </w:rPr>
              <w:t>6.8 无有效行驶证</w:t>
            </w:r>
          </w:p>
        </w:tc>
      </w:tr>
      <w:tr>
        <w:trPr>
          <w:trHeight w:val="360" w:hRule="atLeast"/>
        </w:trPr>
        <w:tc>
          <w:tcPr>
            <w:tcW w:w="365" w:type="dxa"/>
          </w:tcPr>
          <w:p>
            <w:pPr>
              <w:pStyle w:val="TableParagraph"/>
              <w:ind w:left="30" w:right="25"/>
              <w:jc w:val="center"/>
              <w:rPr>
                <w:rFonts w:ascii="黑体"/>
                <w:sz w:val="18"/>
              </w:rPr>
            </w:pPr>
            <w:r>
              <w:rPr>
                <w:rFonts w:ascii="黑体"/>
                <w:sz w:val="18"/>
              </w:rPr>
              <w:t>1.4</w:t>
            </w:r>
          </w:p>
        </w:tc>
        <w:tc>
          <w:tcPr>
            <w:tcW w:w="2533" w:type="dxa"/>
          </w:tcPr>
          <w:p>
            <w:pPr>
              <w:pStyle w:val="TableParagraph"/>
              <w:ind w:left="45"/>
              <w:rPr>
                <w:rFonts w:ascii="黑体" w:eastAsia="黑体" w:hint="eastAsia"/>
                <w:sz w:val="18"/>
              </w:rPr>
            </w:pPr>
            <w:r>
              <w:rPr>
                <w:rFonts w:ascii="黑体" w:eastAsia="黑体" w:hint="eastAsia"/>
                <w:sz w:val="18"/>
              </w:rPr>
              <w:t>保险费的支付</w:t>
            </w:r>
          </w:p>
        </w:tc>
        <w:tc>
          <w:tcPr>
            <w:tcW w:w="3469" w:type="dxa"/>
          </w:tcPr>
          <w:p>
            <w:pPr>
              <w:pStyle w:val="TableParagraph"/>
              <w:ind w:left="506"/>
              <w:rPr>
                <w:rFonts w:ascii="黑体" w:eastAsia="黑体" w:hint="eastAsia"/>
                <w:sz w:val="18"/>
              </w:rPr>
            </w:pPr>
            <w:r>
              <w:rPr>
                <w:rFonts w:ascii="黑体" w:eastAsia="黑体" w:hint="eastAsia"/>
                <w:sz w:val="18"/>
              </w:rPr>
              <w:t>3.3 保险金申请</w:t>
            </w:r>
          </w:p>
        </w:tc>
        <w:tc>
          <w:tcPr>
            <w:tcW w:w="2874" w:type="dxa"/>
            <w:gridSpan w:val="2"/>
          </w:tcPr>
          <w:p>
            <w:pPr>
              <w:pStyle w:val="TableParagraph"/>
              <w:ind w:left="392"/>
              <w:rPr>
                <w:rFonts w:ascii="黑体" w:eastAsia="黑体" w:hint="eastAsia"/>
                <w:sz w:val="18"/>
              </w:rPr>
            </w:pPr>
            <w:r>
              <w:rPr>
                <w:rFonts w:ascii="黑体" w:eastAsia="黑体" w:hint="eastAsia"/>
                <w:sz w:val="18"/>
              </w:rPr>
              <w:t>6.9 机动车</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1.5 您解除合同的手续及风险</w:t>
            </w:r>
          </w:p>
        </w:tc>
        <w:tc>
          <w:tcPr>
            <w:tcW w:w="3469" w:type="dxa"/>
          </w:tcPr>
          <w:p>
            <w:pPr>
              <w:pStyle w:val="TableParagraph"/>
              <w:ind w:left="506"/>
              <w:rPr>
                <w:rFonts w:ascii="黑体" w:eastAsia="黑体" w:hint="eastAsia"/>
                <w:sz w:val="18"/>
              </w:rPr>
            </w:pPr>
            <w:r>
              <w:rPr>
                <w:rFonts w:ascii="黑体" w:eastAsia="黑体" w:hint="eastAsia"/>
                <w:sz w:val="18"/>
              </w:rPr>
              <w:t>3.4 保险金给付</w:t>
            </w:r>
          </w:p>
        </w:tc>
        <w:tc>
          <w:tcPr>
            <w:tcW w:w="798" w:type="dxa"/>
          </w:tcPr>
          <w:p>
            <w:pPr>
              <w:pStyle w:val="TableParagraph"/>
              <w:ind w:left="0" w:right="43"/>
              <w:jc w:val="right"/>
              <w:rPr>
                <w:rFonts w:ascii="黑体"/>
                <w:sz w:val="18"/>
              </w:rPr>
            </w:pPr>
            <w:r>
              <w:rPr>
                <w:rFonts w:ascii="黑体"/>
                <w:sz w:val="18"/>
              </w:rPr>
              <w:t>6.10</w:t>
            </w:r>
          </w:p>
        </w:tc>
        <w:tc>
          <w:tcPr>
            <w:tcW w:w="2076" w:type="dxa"/>
          </w:tcPr>
          <w:p>
            <w:pPr>
              <w:pStyle w:val="TableParagraph"/>
              <w:ind w:left="44"/>
              <w:rPr>
                <w:rFonts w:ascii="黑体" w:eastAsia="黑体" w:hint="eastAsia"/>
                <w:sz w:val="18"/>
              </w:rPr>
            </w:pPr>
            <w:r>
              <w:rPr>
                <w:rFonts w:ascii="黑体" w:eastAsia="黑体" w:hint="eastAsia"/>
                <w:sz w:val="18"/>
              </w:rPr>
              <w:t>感染艾滋病病毒或患艾</w:t>
            </w:r>
          </w:p>
        </w:tc>
      </w:tr>
      <w:tr>
        <w:trPr>
          <w:trHeight w:val="359" w:hRule="atLeast"/>
        </w:trPr>
        <w:tc>
          <w:tcPr>
            <w:tcW w:w="2898" w:type="dxa"/>
            <w:gridSpan w:val="2"/>
          </w:tcPr>
          <w:p>
            <w:pPr>
              <w:pStyle w:val="TableParagraph"/>
              <w:rPr>
                <w:rFonts w:ascii="黑体" w:eastAsia="黑体" w:hint="eastAsia"/>
                <w:sz w:val="18"/>
              </w:rPr>
            </w:pPr>
            <w:r>
              <w:rPr>
                <w:rFonts w:ascii="黑体" w:eastAsia="黑体" w:hint="eastAsia"/>
                <w:sz w:val="18"/>
              </w:rPr>
              <w:t>1.6 明确说明与如实告知</w:t>
            </w:r>
          </w:p>
        </w:tc>
        <w:tc>
          <w:tcPr>
            <w:tcW w:w="3469" w:type="dxa"/>
          </w:tcPr>
          <w:p>
            <w:pPr>
              <w:pStyle w:val="TableParagraph"/>
              <w:ind w:left="506"/>
              <w:rPr>
                <w:rFonts w:ascii="黑体" w:eastAsia="黑体" w:hint="eastAsia"/>
                <w:sz w:val="18"/>
              </w:rPr>
            </w:pPr>
            <w:r>
              <w:rPr>
                <w:rFonts w:ascii="黑体" w:eastAsia="黑体" w:hint="eastAsia"/>
                <w:sz w:val="18"/>
              </w:rPr>
              <w:t>3.5 诉讼时效</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滋病</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1.7 我们合同解除权的限制</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4．重大疾病的定义</w:t>
              <w:tab/>
            </w:r>
          </w:p>
        </w:tc>
        <w:tc>
          <w:tcPr>
            <w:tcW w:w="798" w:type="dxa"/>
          </w:tcPr>
          <w:p>
            <w:pPr>
              <w:pStyle w:val="TableParagraph"/>
              <w:ind w:left="0" w:right="43"/>
              <w:jc w:val="right"/>
              <w:rPr>
                <w:rFonts w:ascii="黑体"/>
                <w:sz w:val="18"/>
              </w:rPr>
            </w:pPr>
            <w:r>
              <w:rPr>
                <w:rFonts w:ascii="黑体"/>
                <w:sz w:val="18"/>
              </w:rPr>
              <w:t>6.11</w:t>
            </w:r>
          </w:p>
        </w:tc>
        <w:tc>
          <w:tcPr>
            <w:tcW w:w="2076" w:type="dxa"/>
          </w:tcPr>
          <w:p>
            <w:pPr>
              <w:pStyle w:val="TableParagraph"/>
              <w:ind w:left="44"/>
              <w:rPr>
                <w:rFonts w:ascii="黑体" w:eastAsia="黑体" w:hint="eastAsia"/>
                <w:sz w:val="18"/>
              </w:rPr>
            </w:pPr>
            <w:r>
              <w:rPr>
                <w:rFonts w:ascii="黑体" w:eastAsia="黑体" w:hint="eastAsia"/>
                <w:sz w:val="18"/>
              </w:rPr>
              <w:t>遗传性疾病</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1.8 年龄错误</w:t>
            </w:r>
          </w:p>
        </w:tc>
        <w:tc>
          <w:tcPr>
            <w:tcW w:w="3469" w:type="dxa"/>
          </w:tcPr>
          <w:p>
            <w:pPr>
              <w:pStyle w:val="TableParagraph"/>
              <w:ind w:left="506"/>
              <w:rPr>
                <w:rFonts w:ascii="黑体" w:eastAsia="黑体" w:hint="eastAsia"/>
                <w:sz w:val="18"/>
              </w:rPr>
            </w:pPr>
            <w:r>
              <w:rPr>
                <w:rFonts w:ascii="黑体" w:eastAsia="黑体" w:hint="eastAsia"/>
                <w:sz w:val="18"/>
              </w:rPr>
              <w:t>4.1 重大疾病的定义</w:t>
            </w:r>
          </w:p>
        </w:tc>
        <w:tc>
          <w:tcPr>
            <w:tcW w:w="798" w:type="dxa"/>
          </w:tcPr>
          <w:p>
            <w:pPr>
              <w:pStyle w:val="TableParagraph"/>
              <w:ind w:left="0" w:right="43"/>
              <w:jc w:val="right"/>
              <w:rPr>
                <w:rFonts w:ascii="黑体"/>
                <w:sz w:val="18"/>
              </w:rPr>
            </w:pPr>
            <w:r>
              <w:rPr>
                <w:rFonts w:ascii="黑体"/>
                <w:sz w:val="18"/>
              </w:rPr>
              <w:t>6.12</w:t>
            </w:r>
          </w:p>
        </w:tc>
        <w:tc>
          <w:tcPr>
            <w:tcW w:w="2076" w:type="dxa"/>
          </w:tcPr>
          <w:p>
            <w:pPr>
              <w:pStyle w:val="TableParagraph"/>
              <w:ind w:left="44"/>
              <w:rPr>
                <w:rFonts w:ascii="黑体" w:eastAsia="黑体" w:hint="eastAsia"/>
                <w:sz w:val="18"/>
              </w:rPr>
            </w:pPr>
            <w:r>
              <w:rPr>
                <w:rFonts w:ascii="黑体" w:eastAsia="黑体" w:hint="eastAsia"/>
                <w:sz w:val="18"/>
              </w:rPr>
              <w:t>先天性畸形、变形或染色</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1.9 合同内容变更</w:t>
            </w:r>
          </w:p>
        </w:tc>
        <w:tc>
          <w:tcPr>
            <w:tcW w:w="3469" w:type="dxa"/>
          </w:tcPr>
          <w:p>
            <w:pPr>
              <w:pStyle w:val="TableParagraph"/>
              <w:ind w:left="506"/>
              <w:rPr>
                <w:rFonts w:ascii="黑体" w:eastAsia="黑体" w:hint="eastAsia"/>
                <w:sz w:val="18"/>
              </w:rPr>
            </w:pPr>
            <w:r>
              <w:rPr>
                <w:rFonts w:ascii="黑体" w:eastAsia="黑体" w:hint="eastAsia"/>
                <w:sz w:val="18"/>
              </w:rPr>
              <w:t>4.2 定义来源及确诊医院范围</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体异常</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1.10 联系方式变更</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5．特定疾病的定义</w:t>
              <w:tab/>
            </w:r>
          </w:p>
        </w:tc>
        <w:tc>
          <w:tcPr>
            <w:tcW w:w="798" w:type="dxa"/>
          </w:tcPr>
          <w:p>
            <w:pPr>
              <w:pStyle w:val="TableParagraph"/>
              <w:ind w:left="0" w:right="43"/>
              <w:jc w:val="right"/>
              <w:rPr>
                <w:rFonts w:ascii="黑体"/>
                <w:sz w:val="18"/>
              </w:rPr>
            </w:pPr>
            <w:r>
              <w:rPr>
                <w:rFonts w:ascii="黑体"/>
                <w:sz w:val="18"/>
              </w:rPr>
              <w:t>6.13</w:t>
            </w:r>
          </w:p>
        </w:tc>
        <w:tc>
          <w:tcPr>
            <w:tcW w:w="2076" w:type="dxa"/>
          </w:tcPr>
          <w:p>
            <w:pPr>
              <w:pStyle w:val="TableParagraph"/>
              <w:ind w:left="44"/>
              <w:rPr>
                <w:rFonts w:ascii="黑体" w:eastAsia="黑体" w:hint="eastAsia"/>
                <w:sz w:val="18"/>
              </w:rPr>
            </w:pPr>
            <w:r>
              <w:rPr>
                <w:rFonts w:ascii="黑体" w:eastAsia="黑体" w:hint="eastAsia"/>
                <w:sz w:val="18"/>
              </w:rPr>
              <w:t>情形复杂</w:t>
            </w:r>
          </w:p>
        </w:tc>
      </w:tr>
      <w:tr>
        <w:trPr>
          <w:trHeight w:val="359" w:hRule="atLeast"/>
        </w:trPr>
        <w:tc>
          <w:tcPr>
            <w:tcW w:w="2898" w:type="dxa"/>
            <w:gridSpan w:val="2"/>
          </w:tcPr>
          <w:p>
            <w:pPr>
              <w:pStyle w:val="TableParagraph"/>
              <w:rPr>
                <w:rFonts w:ascii="黑体" w:eastAsia="黑体" w:hint="eastAsia"/>
                <w:sz w:val="18"/>
              </w:rPr>
            </w:pPr>
            <w:r>
              <w:rPr>
                <w:rFonts w:ascii="黑体" w:eastAsia="黑体" w:hint="eastAsia"/>
                <w:sz w:val="18"/>
              </w:rPr>
              <w:t>1.11 争议处理</w:t>
            </w:r>
          </w:p>
        </w:tc>
        <w:tc>
          <w:tcPr>
            <w:tcW w:w="3469" w:type="dxa"/>
          </w:tcPr>
          <w:p>
            <w:pPr>
              <w:pStyle w:val="TableParagraph"/>
              <w:ind w:left="506"/>
              <w:rPr>
                <w:rFonts w:ascii="黑体" w:eastAsia="黑体" w:hint="eastAsia"/>
                <w:sz w:val="18"/>
              </w:rPr>
            </w:pPr>
            <w:r>
              <w:rPr>
                <w:rFonts w:ascii="黑体" w:eastAsia="黑体" w:hint="eastAsia"/>
                <w:sz w:val="18"/>
              </w:rPr>
              <w:t>5.1 特定疾病的定义</w:t>
            </w:r>
          </w:p>
        </w:tc>
        <w:tc>
          <w:tcPr>
            <w:tcW w:w="798" w:type="dxa"/>
          </w:tcPr>
          <w:p>
            <w:pPr>
              <w:pStyle w:val="TableParagraph"/>
              <w:ind w:left="0" w:right="43"/>
              <w:jc w:val="right"/>
              <w:rPr>
                <w:rFonts w:ascii="黑体"/>
                <w:sz w:val="18"/>
              </w:rPr>
            </w:pPr>
            <w:r>
              <w:rPr>
                <w:rFonts w:ascii="黑体"/>
                <w:sz w:val="18"/>
              </w:rPr>
              <w:t>6.14</w:t>
            </w:r>
          </w:p>
        </w:tc>
        <w:tc>
          <w:tcPr>
            <w:tcW w:w="2076" w:type="dxa"/>
          </w:tcPr>
          <w:p>
            <w:pPr>
              <w:pStyle w:val="TableParagraph"/>
              <w:ind w:left="44"/>
              <w:rPr>
                <w:rFonts w:ascii="黑体" w:eastAsia="黑体" w:hint="eastAsia"/>
                <w:sz w:val="18"/>
              </w:rPr>
            </w:pPr>
            <w:r>
              <w:rPr>
                <w:rFonts w:ascii="黑体" w:eastAsia="黑体" w:hint="eastAsia"/>
                <w:sz w:val="18"/>
              </w:rPr>
              <w:t>专科医Th</w:t>
            </w:r>
          </w:p>
        </w:tc>
      </w:tr>
      <w:tr>
        <w:trPr>
          <w:trHeight w:val="360" w:hRule="atLeast"/>
        </w:trPr>
        <w:tc>
          <w:tcPr>
            <w:tcW w:w="2898" w:type="dxa"/>
            <w:gridSpan w:val="2"/>
          </w:tcPr>
          <w:p>
            <w:pPr>
              <w:pStyle w:val="TableParagraph"/>
              <w:tabs>
                <w:tab w:pos="2391" w:val="left" w:leader="none"/>
              </w:tabs>
              <w:ind w:left="51"/>
              <w:rPr>
                <w:rFonts w:ascii="黑体" w:eastAsia="黑体" w:hint="eastAsia"/>
                <w:sz w:val="18"/>
              </w:rPr>
            </w:pPr>
            <w:r>
              <w:rPr>
                <w:rFonts w:ascii="黑体" w:eastAsia="黑体" w:hint="eastAsia"/>
                <w:sz w:val="18"/>
                <w:shd w:fill="D3D3D3" w:color="auto" w:val="clear"/>
              </w:rPr>
              <w:t>2．保险保障条款</w:t>
              <w:tab/>
            </w:r>
          </w:p>
        </w:tc>
        <w:tc>
          <w:tcPr>
            <w:tcW w:w="3469" w:type="dxa"/>
          </w:tcPr>
          <w:p>
            <w:pPr>
              <w:pStyle w:val="TableParagraph"/>
              <w:ind w:left="506"/>
              <w:rPr>
                <w:rFonts w:ascii="黑体" w:eastAsia="黑体" w:hint="eastAsia"/>
                <w:sz w:val="18"/>
              </w:rPr>
            </w:pPr>
            <w:r>
              <w:rPr>
                <w:rFonts w:ascii="黑体" w:eastAsia="黑体" w:hint="eastAsia"/>
                <w:sz w:val="18"/>
              </w:rPr>
              <w:t>5.2 定义来源及确诊医院范围</w:t>
            </w:r>
          </w:p>
        </w:tc>
        <w:tc>
          <w:tcPr>
            <w:tcW w:w="798" w:type="dxa"/>
          </w:tcPr>
          <w:p>
            <w:pPr>
              <w:pStyle w:val="TableParagraph"/>
              <w:ind w:left="0" w:right="43"/>
              <w:jc w:val="right"/>
              <w:rPr>
                <w:rFonts w:ascii="黑体"/>
                <w:sz w:val="18"/>
              </w:rPr>
            </w:pPr>
            <w:r>
              <w:rPr>
                <w:rFonts w:ascii="黑体"/>
                <w:sz w:val="18"/>
              </w:rPr>
              <w:t>6.15</w:t>
            </w:r>
          </w:p>
        </w:tc>
        <w:tc>
          <w:tcPr>
            <w:tcW w:w="2076"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2.1 基本保险金额</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6．释义</w:t>
              <w:tab/>
            </w:r>
          </w:p>
        </w:tc>
        <w:tc>
          <w:tcPr>
            <w:tcW w:w="798" w:type="dxa"/>
          </w:tcPr>
          <w:p>
            <w:pPr>
              <w:pStyle w:val="TableParagraph"/>
              <w:ind w:left="0" w:right="43"/>
              <w:jc w:val="right"/>
              <w:rPr>
                <w:rFonts w:ascii="黑体"/>
                <w:sz w:val="18"/>
              </w:rPr>
            </w:pPr>
            <w:r>
              <w:rPr>
                <w:rFonts w:ascii="黑体"/>
                <w:sz w:val="18"/>
              </w:rPr>
              <w:t>6.16</w:t>
            </w:r>
          </w:p>
        </w:tc>
        <w:tc>
          <w:tcPr>
            <w:tcW w:w="2076"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2.2 保险期间</w:t>
            </w:r>
          </w:p>
        </w:tc>
        <w:tc>
          <w:tcPr>
            <w:tcW w:w="3469" w:type="dxa"/>
          </w:tcPr>
          <w:p>
            <w:pPr>
              <w:pStyle w:val="TableParagraph"/>
              <w:ind w:left="506"/>
              <w:rPr>
                <w:rFonts w:ascii="黑体" w:eastAsia="黑体" w:hint="eastAsia"/>
                <w:sz w:val="18"/>
              </w:rPr>
            </w:pPr>
            <w:r>
              <w:rPr>
                <w:rFonts w:ascii="黑体" w:eastAsia="黑体" w:hint="eastAsia"/>
                <w:sz w:val="18"/>
              </w:rPr>
              <w:t>6.1 周岁</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力完全丧失</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2.3 续保</w:t>
            </w:r>
          </w:p>
        </w:tc>
        <w:tc>
          <w:tcPr>
            <w:tcW w:w="3469" w:type="dxa"/>
          </w:tcPr>
          <w:p>
            <w:pPr>
              <w:pStyle w:val="TableParagraph"/>
              <w:ind w:left="506"/>
              <w:rPr>
                <w:rFonts w:ascii="黑体" w:eastAsia="黑体" w:hint="eastAsia"/>
                <w:sz w:val="18"/>
              </w:rPr>
            </w:pPr>
            <w:r>
              <w:rPr>
                <w:rFonts w:ascii="黑体" w:eastAsia="黑体" w:hint="eastAsia"/>
                <w:sz w:val="18"/>
              </w:rPr>
              <w:t>6.2 有效身份证件</w:t>
            </w:r>
          </w:p>
        </w:tc>
        <w:tc>
          <w:tcPr>
            <w:tcW w:w="798" w:type="dxa"/>
          </w:tcPr>
          <w:p>
            <w:pPr>
              <w:pStyle w:val="TableParagraph"/>
              <w:ind w:left="0" w:right="43"/>
              <w:jc w:val="right"/>
              <w:rPr>
                <w:rFonts w:ascii="黑体"/>
                <w:sz w:val="18"/>
              </w:rPr>
            </w:pPr>
            <w:r>
              <w:rPr>
                <w:rFonts w:ascii="黑体"/>
                <w:sz w:val="18"/>
              </w:rPr>
              <w:t>6.17</w:t>
            </w:r>
          </w:p>
        </w:tc>
        <w:tc>
          <w:tcPr>
            <w:tcW w:w="2076"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2.4 疾病观察期</w:t>
            </w:r>
          </w:p>
        </w:tc>
        <w:tc>
          <w:tcPr>
            <w:tcW w:w="3469" w:type="dxa"/>
          </w:tcPr>
          <w:p>
            <w:pPr>
              <w:pStyle w:val="TableParagraph"/>
              <w:ind w:left="506"/>
              <w:rPr>
                <w:rFonts w:ascii="黑体" w:eastAsia="黑体" w:hint="eastAsia"/>
                <w:sz w:val="18"/>
              </w:rPr>
            </w:pPr>
            <w:r>
              <w:rPr>
                <w:rFonts w:ascii="黑体" w:eastAsia="黑体" w:hint="eastAsia"/>
                <w:sz w:val="18"/>
              </w:rPr>
              <w:t>6.3 现金价值</w:t>
            </w:r>
          </w:p>
        </w:tc>
        <w:tc>
          <w:tcPr>
            <w:tcW w:w="798" w:type="dxa"/>
          </w:tcPr>
          <w:p>
            <w:pPr>
              <w:pStyle w:val="TableParagraph"/>
              <w:ind w:left="0" w:right="46"/>
              <w:jc w:val="right"/>
              <w:rPr>
                <w:rFonts w:ascii="黑体"/>
                <w:sz w:val="18"/>
              </w:rPr>
            </w:pPr>
            <w:r>
              <w:rPr>
                <w:rFonts w:ascii="黑体"/>
                <w:sz w:val="18"/>
              </w:rPr>
              <w:t>6.18</w:t>
            </w:r>
          </w:p>
        </w:tc>
        <w:tc>
          <w:tcPr>
            <w:tcW w:w="2076" w:type="dxa"/>
          </w:tcPr>
          <w:p>
            <w:pPr>
              <w:pStyle w:val="TableParagraph"/>
              <w:ind w:left="43"/>
              <w:rPr>
                <w:rFonts w:ascii="黑体" w:eastAsia="黑体" w:hint="eastAsia"/>
                <w:sz w:val="18"/>
              </w:rPr>
            </w:pPr>
            <w:r>
              <w:rPr>
                <w:rFonts w:ascii="黑体" w:eastAsia="黑体" w:hint="eastAsia"/>
                <w:sz w:val="18"/>
              </w:rPr>
              <w:t>永久不可逆</w:t>
            </w:r>
          </w:p>
        </w:tc>
      </w:tr>
      <w:tr>
        <w:trPr>
          <w:trHeight w:val="269" w:hRule="atLeast"/>
        </w:trPr>
        <w:tc>
          <w:tcPr>
            <w:tcW w:w="2898" w:type="dxa"/>
            <w:gridSpan w:val="2"/>
          </w:tcPr>
          <w:p>
            <w:pPr>
              <w:pStyle w:val="TableParagraph"/>
              <w:spacing w:line="216" w:lineRule="exact"/>
              <w:rPr>
                <w:rFonts w:ascii="黑体" w:eastAsia="黑体" w:hint="eastAsia"/>
                <w:sz w:val="18"/>
              </w:rPr>
            </w:pPr>
            <w:r>
              <w:rPr>
                <w:rFonts w:ascii="黑体" w:eastAsia="黑体" w:hint="eastAsia"/>
                <w:sz w:val="18"/>
              </w:rPr>
              <w:t>2.5 保险责任</w:t>
            </w:r>
          </w:p>
        </w:tc>
        <w:tc>
          <w:tcPr>
            <w:tcW w:w="3469" w:type="dxa"/>
          </w:tcPr>
          <w:p>
            <w:pPr>
              <w:pStyle w:val="TableParagraph"/>
              <w:spacing w:line="216" w:lineRule="exact"/>
              <w:ind w:left="506"/>
              <w:rPr>
                <w:rFonts w:ascii="黑体" w:eastAsia="黑体" w:hint="eastAsia"/>
                <w:sz w:val="18"/>
              </w:rPr>
            </w:pPr>
            <w:r>
              <w:rPr>
                <w:rFonts w:ascii="黑体" w:eastAsia="黑体" w:hint="eastAsia"/>
                <w:sz w:val="18"/>
              </w:rPr>
              <w:t>6.4 意外伤害</w:t>
            </w:r>
          </w:p>
        </w:tc>
        <w:tc>
          <w:tcPr>
            <w:tcW w:w="798" w:type="dxa"/>
          </w:tcPr>
          <w:p>
            <w:pPr>
              <w:pStyle w:val="TableParagraph"/>
              <w:spacing w:before="0"/>
              <w:ind w:left="0"/>
              <w:rPr>
                <w:rFonts w:ascii="Times New Roman"/>
                <w:sz w:val="18"/>
              </w:rPr>
            </w:pPr>
          </w:p>
        </w:tc>
        <w:tc>
          <w:tcPr>
            <w:tcW w:w="2076"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60" w:bottom="280" w:left="1200" w:right="1120"/>
        </w:sectPr>
      </w:pPr>
    </w:p>
    <w:p>
      <w:pPr>
        <w:pStyle w:val="Heading1"/>
        <w:spacing w:line="182" w:lineRule="auto" w:before="80"/>
        <w:ind w:left="2404" w:right="1834" w:firstLine="403"/>
      </w:pPr>
      <w:r>
        <w:rPr/>
        <w:t>中国太平洋人寿保险股份有限公司 </w:t>
      </w:r>
      <w:r>
        <w:rPr>
          <w:w w:val="95"/>
        </w:rPr>
        <w:t>贝贝爱少儿重大疾病保险（H2015）条款</w:t>
      </w:r>
    </w:p>
    <w:p>
      <w:pPr>
        <w:pStyle w:val="BodyText"/>
        <w:spacing w:before="9"/>
        <w:rPr>
          <w:rFonts w:ascii="黑体"/>
          <w:b/>
          <w:sz w:val="29"/>
        </w:rPr>
      </w:pPr>
    </w:p>
    <w:p>
      <w:pPr>
        <w:pStyle w:val="BodyText"/>
        <w:spacing w:line="278" w:lineRule="auto" w:before="1"/>
        <w:ind w:left="113" w:right="111" w:firstLine="420"/>
        <w:jc w:val="both"/>
      </w:pPr>
      <w:r>
        <w:rPr>
          <w:spacing w:val="-1"/>
        </w:rPr>
        <w:t>“贝贝爱少儿重大疾病保险</w:t>
      </w:r>
      <w:r>
        <w:rPr>
          <w:spacing w:val="0"/>
        </w:rPr>
        <w:t>（</w:t>
      </w:r>
      <w:r>
        <w:rPr>
          <w:spacing w:val="-1"/>
        </w:rPr>
        <w:t>H</w:t>
      </w:r>
      <w:r>
        <w:rPr/>
        <w:t>2015</w:t>
      </w:r>
      <w:r>
        <w:rPr>
          <w:spacing w:val="-105"/>
        </w:rPr>
        <w:t>）</w:t>
      </w:r>
      <w:r>
        <w:rPr>
          <w:spacing w:val="-4"/>
        </w:rPr>
        <w:t>”简称“贝贝爱少儿重疾</w:t>
      </w:r>
      <w:r>
        <w:rPr>
          <w:spacing w:val="0"/>
        </w:rPr>
        <w:t>（</w:t>
      </w:r>
      <w:r>
        <w:rPr>
          <w:spacing w:val="-1"/>
        </w:rPr>
        <w:t>H</w:t>
      </w:r>
      <w:r>
        <w:rPr/>
        <w:t>2015</w:t>
      </w:r>
      <w:r>
        <w:rPr>
          <w:spacing w:val="-105"/>
        </w:rPr>
        <w:t>）</w:t>
      </w:r>
      <w:r>
        <w:rPr>
          <w:spacing w:val="-20"/>
        </w:rPr>
        <w:t>”。在本保险条款中，“您”指</w:t>
      </w:r>
      <w:r>
        <w:rPr>
          <w:spacing w:val="-19"/>
        </w:rPr>
        <w:t>投保人，“我们”指中国太平洋人寿保险股份有限公司，“本合同”指您与我们之间订立的“贝贝爱少儿重</w:t>
      </w:r>
      <w:r>
        <w:rPr>
          <w:spacing w:val="-1"/>
        </w:rPr>
        <w:t>大疾病保险（H2015）</w:t>
      </w:r>
      <w:r>
        <w:rPr>
          <w:spacing w:val="-27"/>
        </w:rPr>
        <w:t>合同”。</w:t>
      </w:r>
    </w:p>
    <w:p>
      <w:pPr>
        <w:pStyle w:val="BodyText"/>
        <w:spacing w:before="2"/>
        <w:rPr>
          <w:sz w:val="10"/>
        </w:rPr>
      </w:pPr>
      <w:r>
        <w:rPr/>
        <w:pict>
          <v:shapetype id="_x0000_t202" o:spt="202" coordsize="21600,21600" path="m,l,21600r21600,l21600,xe">
            <v:stroke joinstyle="miter"/>
            <v:path gradientshapeok="t" o:connecttype="rect"/>
          </v:shapetype>
          <v:shape style="position:absolute;margin-left:59.16pt;margin-top:7.890093pt;width:477pt;height:15.6pt;mso-position-horizontal-relative:page;mso-position-vertical-relative:paragraph;z-index:0;mso-wrap-distance-left:0;mso-wrap-distance-right:0" type="#_x0000_t202" filled="true" fillcolor="#d3d3d3"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基本条款</w:t>
                  </w:r>
                </w:p>
              </w:txbxContent>
            </v:textbox>
            <v:fill type="solid"/>
            <w10:wrap type="topAndBottom"/>
          </v:shape>
        </w:pict>
      </w:r>
    </w:p>
    <w:p>
      <w:pPr>
        <w:pStyle w:val="BodyText"/>
        <w:spacing w:before="10"/>
        <w:rPr>
          <w:sz w:val="7"/>
        </w:rPr>
      </w:pPr>
    </w:p>
    <w:p>
      <w:pPr>
        <w:pStyle w:val="ListParagraph"/>
        <w:numPr>
          <w:ilvl w:val="1"/>
          <w:numId w:val="2"/>
        </w:numPr>
        <w:tabs>
          <w:tab w:pos="1171" w:val="left" w:leader="none"/>
          <w:tab w:pos="1172" w:val="left" w:leader="none"/>
          <w:tab w:pos="2741" w:val="left" w:leader="none"/>
        </w:tabs>
        <w:spacing w:line="280" w:lineRule="auto" w:before="35" w:after="0"/>
        <w:ind w:left="2742" w:right="162" w:hanging="2471"/>
        <w:jc w:val="left"/>
        <w:rPr>
          <w:sz w:val="21"/>
        </w:rPr>
      </w:pPr>
      <w:r>
        <w:rPr>
          <w:rFonts w:ascii="黑体" w:eastAsia="黑体" w:hint="eastAsia"/>
          <w:sz w:val="21"/>
        </w:rPr>
        <w:t>合同构成</w:t>
        <w:tab/>
      </w:r>
      <w:r>
        <w:rPr>
          <w:sz w:val="21"/>
        </w:rPr>
        <w:t>本合同是您与我们约定保险权利义务关系的协议</w:t>
      </w:r>
      <w:r>
        <w:rPr>
          <w:spacing w:val="-92"/>
          <w:sz w:val="21"/>
        </w:rPr>
        <w:t>，</w:t>
      </w:r>
      <w:r>
        <w:rPr>
          <w:sz w:val="21"/>
        </w:rPr>
        <w:t>包括本保险条款</w:t>
      </w:r>
      <w:r>
        <w:rPr>
          <w:spacing w:val="-92"/>
          <w:sz w:val="21"/>
        </w:rPr>
        <w:t>、</w:t>
      </w:r>
      <w:r>
        <w:rPr>
          <w:sz w:val="21"/>
        </w:rPr>
        <w:t>保险单、投保单及其他投保文件</w:t>
      </w:r>
      <w:r>
        <w:rPr>
          <w:spacing w:val="-26"/>
          <w:sz w:val="21"/>
        </w:rPr>
        <w:t>、</w:t>
      </w:r>
      <w:r>
        <w:rPr>
          <w:sz w:val="21"/>
        </w:rPr>
        <w:t>合法有效的声明</w:t>
      </w:r>
      <w:r>
        <w:rPr>
          <w:spacing w:val="-26"/>
          <w:sz w:val="21"/>
        </w:rPr>
        <w:t>、</w:t>
      </w:r>
      <w:r>
        <w:rPr>
          <w:sz w:val="21"/>
        </w:rPr>
        <w:t>批注</w:t>
      </w:r>
      <w:r>
        <w:rPr>
          <w:spacing w:val="-26"/>
          <w:sz w:val="21"/>
        </w:rPr>
        <w:t>、</w:t>
      </w:r>
      <w:r>
        <w:rPr>
          <w:sz w:val="21"/>
        </w:rPr>
        <w:t>批单及其他您与我们共同认可的书面协议。</w:t>
      </w:r>
    </w:p>
    <w:p>
      <w:pPr>
        <w:pStyle w:val="BodyText"/>
        <w:spacing w:before="11"/>
        <w:rPr>
          <w:sz w:val="8"/>
        </w:rPr>
      </w:pPr>
    </w:p>
    <w:p>
      <w:pPr>
        <w:spacing w:after="0"/>
        <w:rPr>
          <w:sz w:val="8"/>
        </w:rPr>
        <w:sectPr>
          <w:pgSz w:w="11910" w:h="16840"/>
          <w:pgMar w:top="1320" w:bottom="280" w:left="1020" w:right="1020"/>
        </w:sectPr>
      </w:pPr>
    </w:p>
    <w:p>
      <w:pPr>
        <w:pStyle w:val="ListParagraph"/>
        <w:numPr>
          <w:ilvl w:val="1"/>
          <w:numId w:val="2"/>
        </w:numPr>
        <w:tabs>
          <w:tab w:pos="1171" w:val="left" w:leader="none"/>
          <w:tab w:pos="1172" w:val="left" w:leader="none"/>
        </w:tabs>
        <w:spacing w:line="278" w:lineRule="auto" w:before="35" w:after="0"/>
        <w:ind w:left="1171"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78" w:lineRule="auto"/>
        <w:ind w:left="271" w:right="2710"/>
      </w:pPr>
      <w:r>
        <w:rPr/>
        <w:br w:type="column"/>
      </w:r>
      <w:r>
        <w:rPr/>
        <w:t>您提出保险申请、我们同意承保，本合同成立。合同生效日期在保险单上载明。</w:t>
      </w:r>
    </w:p>
    <w:p>
      <w:pPr>
        <w:spacing w:after="0" w:line="278" w:lineRule="auto"/>
        <w:sectPr>
          <w:type w:val="continuous"/>
          <w:pgSz w:w="11910" w:h="16840"/>
          <w:pgMar w:top="1260" w:bottom="280" w:left="1020" w:right="1020"/>
          <w:cols w:num="2" w:equalWidth="0">
            <w:col w:w="2431" w:space="40"/>
            <w:col w:w="7399"/>
          </w:cols>
        </w:sectPr>
      </w:pPr>
    </w:p>
    <w:p>
      <w:pPr>
        <w:pStyle w:val="BodyText"/>
        <w:spacing w:before="0"/>
        <w:rPr>
          <w:sz w:val="9"/>
        </w:rPr>
      </w:pPr>
    </w:p>
    <w:p>
      <w:pPr>
        <w:pStyle w:val="ListParagraph"/>
        <w:numPr>
          <w:ilvl w:val="1"/>
          <w:numId w:val="2"/>
        </w:numPr>
        <w:tabs>
          <w:tab w:pos="1171" w:val="left" w:leader="none"/>
          <w:tab w:pos="1172" w:val="left" w:leader="none"/>
          <w:tab w:pos="2741" w:val="left" w:leader="none"/>
        </w:tabs>
        <w:spacing w:line="240" w:lineRule="auto" w:before="35" w:after="0"/>
        <w:ind w:left="1171" w:right="0" w:hanging="900"/>
        <w:jc w:val="left"/>
        <w:rPr>
          <w:sz w:val="21"/>
        </w:rPr>
      </w:pPr>
      <w:r>
        <w:rPr>
          <w:rFonts w:ascii="黑体" w:eastAsia="黑体" w:hint="eastAsia"/>
          <w:sz w:val="21"/>
        </w:rPr>
        <w:t>投保年龄</w:t>
        <w:tab/>
      </w:r>
      <w:r>
        <w:rPr>
          <w:sz w:val="21"/>
        </w:rPr>
        <w:t>指您投保时被保险人的年龄，本合同接受的投保年龄范围为出生满</w:t>
      </w:r>
      <w:r>
        <w:rPr>
          <w:spacing w:val="-69"/>
          <w:sz w:val="21"/>
        </w:rPr>
        <w:t> </w:t>
      </w:r>
      <w:r>
        <w:rPr>
          <w:sz w:val="21"/>
        </w:rPr>
        <w:t>30</w:t>
      </w:r>
      <w:r>
        <w:rPr>
          <w:spacing w:val="-69"/>
          <w:sz w:val="21"/>
        </w:rPr>
        <w:t> </w:t>
      </w:r>
      <w:r>
        <w:rPr>
          <w:sz w:val="21"/>
        </w:rPr>
        <w:t>天至</w:t>
      </w:r>
    </w:p>
    <w:p>
      <w:pPr>
        <w:spacing w:before="45"/>
        <w:ind w:left="2741" w:right="0" w:firstLine="0"/>
        <w:jc w:val="left"/>
        <w:rPr>
          <w:sz w:val="21"/>
        </w:rPr>
      </w:pPr>
      <w:r>
        <w:rPr>
          <w:sz w:val="21"/>
        </w:rPr>
        <w:t>17</w:t>
      </w:r>
      <w:r>
        <w:rPr>
          <w:spacing w:val="-53"/>
          <w:sz w:val="21"/>
        </w:rPr>
        <w:t> </w:t>
      </w:r>
      <w:r>
        <w:rPr>
          <w:b/>
          <w:sz w:val="21"/>
        </w:rPr>
        <w:t>周岁</w:t>
      </w:r>
      <w:r>
        <w:rPr>
          <w:sz w:val="21"/>
        </w:rPr>
        <w:t>。</w:t>
      </w:r>
    </w:p>
    <w:p>
      <w:pPr>
        <w:pStyle w:val="BodyText"/>
        <w:spacing w:before="3"/>
        <w:rPr>
          <w:sz w:val="14"/>
        </w:rPr>
      </w:pPr>
    </w:p>
    <w:p>
      <w:pPr>
        <w:pStyle w:val="ListParagraph"/>
        <w:numPr>
          <w:ilvl w:val="1"/>
          <w:numId w:val="2"/>
        </w:numPr>
        <w:tabs>
          <w:tab w:pos="1171" w:val="left" w:leader="none"/>
          <w:tab w:pos="1172" w:val="left" w:leader="none"/>
          <w:tab w:pos="2741" w:val="left" w:leader="none"/>
        </w:tabs>
        <w:spacing w:line="280" w:lineRule="auto" w:before="0" w:after="0"/>
        <w:ind w:left="2741" w:right="267" w:hanging="2470"/>
        <w:jc w:val="left"/>
        <w:rPr>
          <w:sz w:val="21"/>
        </w:rPr>
      </w:pPr>
      <w:r>
        <w:rPr>
          <w:rFonts w:ascii="黑体" w:eastAsia="黑体" w:hint="eastAsia"/>
          <w:sz w:val="21"/>
        </w:rPr>
        <w:t>保险费的支付</w:t>
        <w:tab/>
      </w:r>
      <w:r>
        <w:rPr>
          <w:sz w:val="21"/>
        </w:rPr>
        <w:t>本合同保险费根据约定的基本保险金额</w:t>
      </w:r>
      <w:r>
        <w:rPr>
          <w:spacing w:val="-39"/>
          <w:sz w:val="21"/>
        </w:rPr>
        <w:t>、</w:t>
      </w:r>
      <w:r>
        <w:rPr>
          <w:sz w:val="21"/>
        </w:rPr>
        <w:t>投保年龄等情况确定</w:t>
      </w:r>
      <w:r>
        <w:rPr>
          <w:spacing w:val="-39"/>
          <w:sz w:val="21"/>
        </w:rPr>
        <w:t>。</w:t>
      </w:r>
      <w:r>
        <w:rPr>
          <w:sz w:val="21"/>
        </w:rPr>
        <w:t>您应于投保时一次性支付全部保险费。</w:t>
      </w:r>
    </w:p>
    <w:p>
      <w:pPr>
        <w:pStyle w:val="BodyText"/>
        <w:spacing w:line="280" w:lineRule="auto" w:before="8"/>
        <w:ind w:left="2742" w:right="190"/>
      </w:pPr>
      <w:r>
        <w:rPr>
          <w:shd w:fill="D9D9D9" w:color="auto" w:val="clear"/>
        </w:rPr>
        <w:t>续保时，我们可能调整本合同的保险费费率</w:t>
      </w:r>
      <w:r>
        <w:rPr/>
        <w:t>，如果我们调整保险费费率的， </w:t>
      </w:r>
      <w:r>
        <w:rPr>
          <w:spacing w:val="-5"/>
        </w:rPr>
        <w:t>我们将提前通知您。</w:t>
      </w:r>
      <w:r>
        <w:rPr>
          <w:spacing w:val="-4"/>
          <w:shd w:fill="D9D9D9" w:color="auto" w:val="clear"/>
        </w:rPr>
        <w:t>您接受保险费费率调整的，我们按新的保险费费率标准</w:t>
      </w:r>
      <w:r>
        <w:rPr>
          <w:spacing w:val="-140"/>
          <w:shd w:fill="D9D9D9" w:color="auto" w:val="clear"/>
        </w:rPr>
        <w:t>收</w:t>
      </w:r>
      <w:r>
        <w:rPr>
          <w:shd w:fill="D9D9D9" w:color="auto" w:val="clear"/>
        </w:rPr>
        <w:t>取续保保险费；您不接受保险费费率调整的，可不申请续保本合同</w:t>
      </w:r>
      <w:r>
        <w:rPr/>
        <w:t>。</w:t>
      </w:r>
    </w:p>
    <w:p>
      <w:pPr>
        <w:pStyle w:val="BodyText"/>
        <w:spacing w:before="11"/>
        <w:rPr>
          <w:sz w:val="8"/>
        </w:rPr>
      </w:pPr>
    </w:p>
    <w:p>
      <w:pPr>
        <w:spacing w:after="0"/>
        <w:rPr>
          <w:sz w:val="8"/>
        </w:rPr>
        <w:sectPr>
          <w:type w:val="continuous"/>
          <w:pgSz w:w="11910" w:h="16840"/>
          <w:pgMar w:top="1260" w:bottom="280" w:left="1020" w:right="1020"/>
        </w:sectPr>
      </w:pPr>
    </w:p>
    <w:p>
      <w:pPr>
        <w:pStyle w:val="ListParagraph"/>
        <w:numPr>
          <w:ilvl w:val="1"/>
          <w:numId w:val="2"/>
        </w:numPr>
        <w:tabs>
          <w:tab w:pos="1171" w:val="left" w:leader="none"/>
          <w:tab w:pos="1172" w:val="left" w:leader="none"/>
        </w:tabs>
        <w:spacing w:line="278" w:lineRule="auto" w:before="36" w:after="0"/>
        <w:ind w:left="1171" w:right="0" w:hanging="900"/>
        <w:jc w:val="left"/>
        <w:rPr>
          <w:rFonts w:ascii="黑体" w:eastAsia="黑体" w:hint="eastAsia"/>
          <w:sz w:val="21"/>
        </w:rPr>
      </w:pPr>
      <w:r>
        <w:rPr>
          <w:rFonts w:ascii="黑体" w:eastAsia="黑体" w:hint="eastAsia"/>
          <w:spacing w:val="-1"/>
          <w:sz w:val="21"/>
        </w:rPr>
        <w:t>您解除合同的手续及风险</w:t>
      </w:r>
    </w:p>
    <w:p>
      <w:pPr>
        <w:pStyle w:val="BodyText"/>
        <w:spacing w:line="278" w:lineRule="auto" w:before="36"/>
        <w:ind w:left="271" w:right="598"/>
      </w:pPr>
      <w:r>
        <w:rPr/>
        <w:br w:type="column"/>
      </w:r>
      <w:r>
        <w:rPr/>
        <w:t>如您申请解除本合同，请填写解除合同申请书并向我们提供下列资料： (1)保险合同或电子保险单号；</w:t>
      </w:r>
    </w:p>
    <w:p>
      <w:pPr>
        <w:spacing w:before="12"/>
        <w:ind w:left="271" w:right="0" w:firstLine="0"/>
        <w:jc w:val="left"/>
        <w:rPr>
          <w:sz w:val="21"/>
        </w:rPr>
      </w:pPr>
      <w:r>
        <w:rPr>
          <w:w w:val="95"/>
          <w:sz w:val="21"/>
        </w:rPr>
        <w:t>(2)您的</w:t>
      </w:r>
      <w:r>
        <w:rPr>
          <w:b/>
          <w:w w:val="95"/>
          <w:sz w:val="21"/>
        </w:rPr>
        <w:t>有效身份证件</w:t>
      </w:r>
      <w:r>
        <w:rPr>
          <w:w w:val="95"/>
          <w:sz w:val="21"/>
        </w:rPr>
        <w:t>。</w:t>
      </w:r>
    </w:p>
    <w:p>
      <w:pPr>
        <w:pStyle w:val="BodyText"/>
        <w:spacing w:line="278" w:lineRule="auto" w:before="45"/>
        <w:ind w:left="271" w:right="192"/>
      </w:pPr>
      <w:r>
        <w:rPr/>
        <w:t>自我们收到解除合同申请书时起，本合同终止。我们自收到解除合同申请书之日起 30 日内向您退还本合同保险单的</w:t>
      </w:r>
      <w:r>
        <w:rPr>
          <w:b/>
        </w:rPr>
        <w:t>现金价值</w:t>
      </w:r>
      <w:r>
        <w:rPr/>
        <w:t>。</w:t>
      </w:r>
    </w:p>
    <w:p>
      <w:pPr>
        <w:pStyle w:val="BodyText"/>
        <w:spacing w:line="280" w:lineRule="auto" w:before="11"/>
        <w:ind w:left="271" w:right="1240"/>
      </w:pPr>
      <w:r>
        <w:rPr>
          <w:shd w:fill="D9D9D9" w:color="auto" w:val="clear"/>
        </w:rPr>
        <w:t>如已发生过保险金给付，我们不退还本合同保险单的现金价值</w:t>
      </w:r>
      <w:r>
        <w:rPr/>
        <w:t>。</w:t>
      </w:r>
      <w:r>
        <w:rPr>
          <w:shd w:fill="D9D9D9" w:color="auto" w:val="clear"/>
        </w:rPr>
        <w:t>您解除合同会遭受一定损失</w:t>
      </w:r>
      <w:r>
        <w:rPr/>
        <w:t>。</w:t>
      </w:r>
    </w:p>
    <w:p>
      <w:pPr>
        <w:spacing w:after="0" w:line="280" w:lineRule="auto"/>
        <w:sectPr>
          <w:type w:val="continuous"/>
          <w:pgSz w:w="11910" w:h="16840"/>
          <w:pgMar w:top="1260" w:bottom="280" w:left="1020" w:right="1020"/>
          <w:cols w:num="2" w:equalWidth="0">
            <w:col w:w="2431" w:space="40"/>
            <w:col w:w="7399"/>
          </w:cols>
        </w:sectPr>
      </w:pPr>
    </w:p>
    <w:p>
      <w:pPr>
        <w:pStyle w:val="BodyText"/>
        <w:spacing w:before="11"/>
        <w:rPr>
          <w:sz w:val="8"/>
        </w:rPr>
      </w:pPr>
    </w:p>
    <w:p>
      <w:pPr>
        <w:spacing w:after="0"/>
        <w:rPr>
          <w:sz w:val="8"/>
        </w:rPr>
        <w:sectPr>
          <w:type w:val="continuous"/>
          <w:pgSz w:w="11910" w:h="16840"/>
          <w:pgMar w:top="1260" w:bottom="280" w:left="1020" w:right="1020"/>
        </w:sectPr>
      </w:pPr>
    </w:p>
    <w:p>
      <w:pPr>
        <w:pStyle w:val="ListParagraph"/>
        <w:numPr>
          <w:ilvl w:val="1"/>
          <w:numId w:val="2"/>
        </w:numPr>
        <w:tabs>
          <w:tab w:pos="1171" w:val="left" w:leader="none"/>
          <w:tab w:pos="1172" w:val="left" w:leader="none"/>
        </w:tabs>
        <w:spacing w:line="278" w:lineRule="auto" w:before="35" w:after="0"/>
        <w:ind w:left="1171" w:right="0" w:hanging="900"/>
        <w:jc w:val="left"/>
        <w:rPr>
          <w:rFonts w:ascii="黑体" w:eastAsia="黑体" w:hint="eastAsia"/>
          <w:sz w:val="21"/>
        </w:rPr>
      </w:pPr>
      <w:r>
        <w:rPr>
          <w:rFonts w:ascii="黑体" w:eastAsia="黑体" w:hint="eastAsia"/>
          <w:sz w:val="21"/>
        </w:rPr>
        <w:t>明确说明与如实告知</w:t>
      </w:r>
    </w:p>
    <w:p>
      <w:pPr>
        <w:pStyle w:val="BodyText"/>
        <w:ind w:left="270"/>
      </w:pPr>
      <w:r>
        <w:rPr/>
        <w:br w:type="column"/>
      </w:r>
      <w:r>
        <w:rPr/>
        <w:t>订立本合同时，我们应向您说明本合同的内容。</w:t>
      </w:r>
    </w:p>
    <w:p>
      <w:pPr>
        <w:pStyle w:val="BodyText"/>
        <w:spacing w:line="278" w:lineRule="auto" w:before="44"/>
        <w:ind w:left="270" w:right="267"/>
        <w:jc w:val="both"/>
      </w:pPr>
      <w:r>
        <w:rPr>
          <w:spacing w:val="-5"/>
        </w:rPr>
        <w:t>对保险条款中免除我们责任的条款，我们在订立合同时应当在投保单、保险</w:t>
      </w:r>
      <w:r>
        <w:rPr>
          <w:spacing w:val="-9"/>
        </w:rPr>
        <w:t>单或者其他保险凭证上作出足以引起您注意的提示，并对该条款的内容以书</w:t>
      </w:r>
      <w:r>
        <w:rPr>
          <w:spacing w:val="-12"/>
        </w:rPr>
        <w:t>面或者口头形式向您作出明确说明，未作提示或者明确说明的，该条款不产生效力。</w:t>
      </w:r>
    </w:p>
    <w:p>
      <w:pPr>
        <w:pStyle w:val="BodyText"/>
        <w:spacing w:before="12"/>
        <w:ind w:left="270"/>
      </w:pPr>
      <w:r>
        <w:rPr/>
        <w:t>我们就您和被保险人的有关情况提出询问，您应当如实告知。</w:t>
      </w:r>
    </w:p>
    <w:p>
      <w:pPr>
        <w:pStyle w:val="BodyText"/>
        <w:spacing w:line="278" w:lineRule="auto" w:before="45"/>
        <w:ind w:left="270" w:right="192"/>
      </w:pPr>
      <w:r>
        <w:rPr/>
        <w:t>如果您故意或者因重大过失未履行前款规定的如实告知义务，足以影响我们决定是否同意承保或者提高保险费率的，我们有权解除本合同。</w:t>
      </w:r>
    </w:p>
    <w:p>
      <w:pPr>
        <w:pStyle w:val="BodyText"/>
        <w:spacing w:line="280" w:lineRule="auto" w:before="11"/>
        <w:ind w:left="270" w:right="192"/>
      </w:pPr>
      <w:r>
        <w:rPr/>
        <w:t>如果您故意不履行如实告知义务，对于本合同解除前发生的保险事故，我们不承担给付保险金的责任，并不退还保险费。</w:t>
      </w:r>
    </w:p>
    <w:p>
      <w:pPr>
        <w:pStyle w:val="BodyText"/>
        <w:spacing w:line="280" w:lineRule="auto" w:before="8"/>
        <w:ind w:left="270" w:right="190"/>
      </w:pPr>
      <w:r>
        <w:rPr/>
        <w:t>如果您因重大过失未履行如实告知义务，对保险事故的发生有严重影响的， 对于本合同解除前发生的保险事故，我们不承担给付保险金的责任，但应当退还保险费。</w:t>
      </w:r>
    </w:p>
    <w:p>
      <w:pPr>
        <w:pStyle w:val="BodyText"/>
        <w:spacing w:before="8"/>
        <w:ind w:left="270"/>
      </w:pPr>
      <w:r>
        <w:rPr/>
        <w:t>我们在合同订立时已经知道您未如实告知的情况的，我们不得解除合同；发</w:t>
      </w:r>
    </w:p>
    <w:p>
      <w:pPr>
        <w:spacing w:after="0"/>
        <w:sectPr>
          <w:type w:val="continuous"/>
          <w:pgSz w:w="11910" w:h="16840"/>
          <w:pgMar w:top="1260" w:bottom="280" w:left="1020" w:right="1020"/>
          <w:cols w:num="2" w:equalWidth="0">
            <w:col w:w="2432" w:space="40"/>
            <w:col w:w="7398"/>
          </w:cols>
        </w:sectPr>
      </w:pPr>
    </w:p>
    <w:p>
      <w:pPr>
        <w:pStyle w:val="BodyText"/>
        <w:spacing w:before="8"/>
        <w:ind w:left="2682"/>
      </w:pPr>
      <w:r>
        <w:rPr/>
        <w:t>生保险事故的，我们承担给付保险金的责任。</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2"/>
        </w:numPr>
        <w:tabs>
          <w:tab w:pos="1111" w:val="left" w:leader="none"/>
          <w:tab w:pos="1112" w:val="left" w:leader="none"/>
        </w:tabs>
        <w:spacing w:line="278" w:lineRule="auto" w:before="35" w:after="0"/>
        <w:ind w:left="1111" w:right="0" w:hanging="900"/>
        <w:jc w:val="left"/>
        <w:rPr>
          <w:rFonts w:ascii="黑体" w:eastAsia="黑体" w:hint="eastAsia"/>
          <w:sz w:val="21"/>
        </w:rPr>
      </w:pPr>
      <w:r>
        <w:rPr>
          <w:rFonts w:ascii="黑体" w:eastAsia="黑体" w:hint="eastAsia"/>
          <w:sz w:val="21"/>
        </w:rPr>
        <w:t>我们合同解除权的限制</w:t>
      </w:r>
    </w:p>
    <w:p>
      <w:pPr>
        <w:pStyle w:val="BodyText"/>
        <w:spacing w:line="278" w:lineRule="auto"/>
        <w:ind w:left="211" w:right="209"/>
      </w:pPr>
      <w:r>
        <w:rPr/>
        <w:br w:type="column"/>
      </w:r>
      <w:r>
        <w:rPr>
          <w:spacing w:val="-2"/>
        </w:rPr>
        <w:t>本保险条款“</w:t>
      </w:r>
      <w:r>
        <w:rPr/>
        <w:t>1.6</w:t>
      </w:r>
      <w:r>
        <w:rPr>
          <w:spacing w:val="-9"/>
        </w:rPr>
        <w:t> 明确说明与如实告知”规定的合同解除权，自我们知道有</w:t>
      </w:r>
      <w:r>
        <w:rPr>
          <w:spacing w:val="-14"/>
        </w:rPr>
        <w:t>解除事由之日起，超过 </w:t>
      </w:r>
      <w:r>
        <w:rPr/>
        <w:t>30</w:t>
      </w:r>
      <w:r>
        <w:rPr>
          <w:spacing w:val="-8"/>
        </w:rPr>
        <w:t> 日不行使而消灭。</w:t>
      </w:r>
    </w:p>
    <w:p>
      <w:pPr>
        <w:spacing w:after="0" w:line="278" w:lineRule="auto"/>
        <w:sectPr>
          <w:type w:val="continuous"/>
          <w:pgSz w:w="11910" w:h="16840"/>
          <w:pgMar w:top="1260" w:bottom="280" w:left="1080" w:right="1080"/>
          <w:cols w:num="2" w:equalWidth="0">
            <w:col w:w="2372" w:space="99"/>
            <w:col w:w="7279"/>
          </w:cols>
        </w:sectPr>
      </w:pPr>
    </w:p>
    <w:p>
      <w:pPr>
        <w:pStyle w:val="BodyText"/>
        <w:spacing w:before="0"/>
        <w:rPr>
          <w:sz w:val="9"/>
        </w:rPr>
      </w:pPr>
    </w:p>
    <w:p>
      <w:pPr>
        <w:pStyle w:val="ListParagraph"/>
        <w:numPr>
          <w:ilvl w:val="1"/>
          <w:numId w:val="2"/>
        </w:numPr>
        <w:tabs>
          <w:tab w:pos="1112" w:val="left" w:leader="none"/>
        </w:tabs>
        <w:spacing w:line="280" w:lineRule="auto" w:before="35" w:after="0"/>
        <w:ind w:left="2682" w:right="207" w:hanging="2471"/>
        <w:jc w:val="both"/>
        <w:rPr>
          <w:sz w:val="21"/>
        </w:rPr>
      </w:pPr>
      <w:r>
        <w:rPr>
          <w:rFonts w:ascii="黑体" w:eastAsia="黑体" w:hint="eastAsia"/>
          <w:spacing w:val="10"/>
          <w:sz w:val="21"/>
        </w:rPr>
        <w:t>年龄错误     </w:t>
      </w:r>
      <w:r>
        <w:rPr>
          <w:spacing w:val="-9"/>
          <w:sz w:val="21"/>
        </w:rPr>
        <w:t>您在申请投保时，应将与有效身份证件相符的被保险人的出生日期在投保单上填明，如果发生错误按照下列方式办理：</w:t>
      </w:r>
    </w:p>
    <w:p>
      <w:pPr>
        <w:pStyle w:val="BodyText"/>
        <w:spacing w:line="278" w:lineRule="auto" w:before="9"/>
        <w:ind w:left="2997" w:right="204" w:hanging="316"/>
        <w:jc w:val="both"/>
      </w:pPr>
      <w:r>
        <w:rPr/>
        <w:t>(1)您申报的被保险人年龄不真实，并且其真实年龄不符合本合同约定投保年龄限制的，在保险事故发生之前我们有权解除合同，并向您退还本合同保险单的现金价值。我们行使合同解除权适用本保险条款“1.7 我们合同解除权的限制”的规定。</w:t>
      </w:r>
    </w:p>
    <w:p>
      <w:pPr>
        <w:pStyle w:val="BodyText"/>
        <w:spacing w:line="280" w:lineRule="auto" w:before="10"/>
        <w:ind w:left="2997" w:right="204"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r>
        <w:rPr>
          <w:spacing w:val="-210"/>
        </w:rPr>
        <w:t>。</w:t>
      </w:r>
    </w:p>
    <w:p>
      <w:pPr>
        <w:pStyle w:val="BodyText"/>
        <w:spacing w:line="280" w:lineRule="auto" w:before="8"/>
        <w:ind w:left="2997" w:right="204" w:hanging="316"/>
        <w:jc w:val="both"/>
      </w:pPr>
      <w:r>
        <w:rPr/>
        <w:t>(3)您申报的被保险人年龄不真实，致使您实付保险费多于应付保险费的， 我们会将多收的保险费退还给您。</w:t>
      </w:r>
    </w:p>
    <w:p>
      <w:pPr>
        <w:pStyle w:val="BodyText"/>
        <w:spacing w:line="278" w:lineRule="auto" w:before="9"/>
        <w:ind w:left="2997" w:right="204" w:hanging="316"/>
        <w:jc w:val="both"/>
      </w:pPr>
      <w:r>
        <w:rPr/>
        <w:t>(4)您申报的被保险人年龄不真实，致使本合同保险单的现金价值与实际不符的，我们有权根据被保险人的实际年龄调整。</w:t>
      </w:r>
    </w:p>
    <w:p>
      <w:pPr>
        <w:pStyle w:val="ListParagraph"/>
        <w:numPr>
          <w:ilvl w:val="1"/>
          <w:numId w:val="2"/>
        </w:numPr>
        <w:tabs>
          <w:tab w:pos="1112" w:val="left" w:leader="none"/>
        </w:tabs>
        <w:spacing w:line="280" w:lineRule="auto" w:before="153" w:after="0"/>
        <w:ind w:left="2681" w:right="206" w:hanging="2470"/>
        <w:jc w:val="both"/>
        <w:rPr>
          <w:sz w:val="21"/>
        </w:rPr>
      </w:pPr>
      <w:r>
        <w:rPr>
          <w:rFonts w:ascii="黑体" w:eastAsia="黑体" w:hint="eastAsia"/>
          <w:spacing w:val="12"/>
          <w:sz w:val="21"/>
        </w:rPr>
        <w:t>合同内容变更 </w:t>
      </w:r>
      <w:r>
        <w:rPr>
          <w:spacing w:val="-6"/>
          <w:sz w:val="21"/>
        </w:rPr>
        <w:t>在本合同有效期内，经您与我们协商一致，可以变更本合同的有关内容。变</w:t>
      </w:r>
      <w:r>
        <w:rPr>
          <w:spacing w:val="-11"/>
          <w:sz w:val="21"/>
        </w:rPr>
        <w:t>更本合同的，应当由我们在保险单上批注或者附贴批单，或者由您与我们订立书面的变更协议。</w:t>
      </w:r>
    </w:p>
    <w:p>
      <w:pPr>
        <w:pStyle w:val="BodyText"/>
        <w:spacing w:line="280" w:lineRule="auto" w:before="8"/>
        <w:ind w:left="2681" w:right="132"/>
      </w:pPr>
      <w:r>
        <w:rPr/>
        <w:t>您通过我们同意或认可的网站提交的合同变更申请，视为您的书面申请，并与书面申请文件具有同等法律效力。</w:t>
      </w:r>
    </w:p>
    <w:p>
      <w:pPr>
        <w:pStyle w:val="ListParagraph"/>
        <w:numPr>
          <w:ilvl w:val="1"/>
          <w:numId w:val="2"/>
        </w:numPr>
        <w:tabs>
          <w:tab w:pos="1112" w:val="left" w:leader="none"/>
        </w:tabs>
        <w:spacing w:line="278" w:lineRule="auto" w:before="151" w:after="0"/>
        <w:ind w:left="2681" w:right="207" w:hanging="2470"/>
        <w:jc w:val="both"/>
        <w:rPr>
          <w:sz w:val="21"/>
        </w:rPr>
      </w:pPr>
      <w:r>
        <w:rPr>
          <w:rFonts w:ascii="黑体" w:eastAsia="黑体" w:hint="eastAsia"/>
          <w:spacing w:val="13"/>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4"/>
          <w:sz w:val="21"/>
        </w:rPr>
        <w:t>认可的其他形式通知我们，我们按本合同载明的最后住所、通讯地址或电话等联系方式发送的有关通知，均视为已送达给您。</w:t>
      </w:r>
    </w:p>
    <w:p>
      <w:pPr>
        <w:pStyle w:val="ListParagraph"/>
        <w:numPr>
          <w:ilvl w:val="1"/>
          <w:numId w:val="2"/>
        </w:numPr>
        <w:tabs>
          <w:tab w:pos="1112" w:val="left" w:leader="none"/>
        </w:tabs>
        <w:spacing w:line="280" w:lineRule="auto" w:before="153" w:after="0"/>
        <w:ind w:left="2681" w:right="207" w:hanging="2470"/>
        <w:jc w:val="both"/>
        <w:rPr>
          <w:sz w:val="21"/>
        </w:rPr>
      </w:pPr>
      <w:r>
        <w:rPr>
          <w:rFonts w:ascii="黑体" w:eastAsia="黑体" w:hint="eastAsia"/>
          <w:spacing w:val="10"/>
          <w:sz w:val="21"/>
        </w:rPr>
        <w:t>争议处理     </w:t>
      </w:r>
      <w:r>
        <w:rPr>
          <w:spacing w:val="-7"/>
          <w:sz w:val="21"/>
        </w:rPr>
        <w:t>本合同履行过程中，双方发生争议时，可以从下列两种方式中选择一种争议处理方式：</w:t>
      </w:r>
    </w:p>
    <w:p>
      <w:pPr>
        <w:pStyle w:val="BodyText"/>
        <w:spacing w:line="280" w:lineRule="auto" w:before="8"/>
        <w:ind w:left="2997" w:right="204" w:hanging="316"/>
        <w:jc w:val="both"/>
      </w:pPr>
      <w:r>
        <w:rPr/>
        <w:t>(1)因履行本合同发生的争议，由双方协商解决，协商不成的，提交本合同约定的仲裁委员会仲裁；</w:t>
      </w:r>
    </w:p>
    <w:p>
      <w:pPr>
        <w:pStyle w:val="BodyText"/>
        <w:spacing w:before="9"/>
        <w:ind w:left="2679"/>
      </w:pPr>
      <w:r>
        <w:rPr/>
        <w:t>(2)因履行本合同发生的争议，由双方协商解决，协商不成的，依法向人民</w:t>
      </w:r>
    </w:p>
    <w:p>
      <w:pPr>
        <w:pStyle w:val="BodyText"/>
        <w:spacing w:before="3"/>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708"/>
        <w:gridCol w:w="7114"/>
      </w:tblGrid>
      <w:tr>
        <w:trPr>
          <w:trHeight w:val="386" w:hRule="atLeast"/>
        </w:trPr>
        <w:tc>
          <w:tcPr>
            <w:tcW w:w="2424" w:type="dxa"/>
            <w:gridSpan w:val="2"/>
          </w:tcPr>
          <w:p>
            <w:pPr>
              <w:pStyle w:val="TableParagraph"/>
              <w:spacing w:before="0"/>
              <w:ind w:left="0"/>
              <w:rPr>
                <w:rFonts w:ascii="Times New Roman"/>
                <w:sz w:val="20"/>
              </w:rPr>
            </w:pPr>
          </w:p>
        </w:tc>
        <w:tc>
          <w:tcPr>
            <w:tcW w:w="7114" w:type="dxa"/>
          </w:tcPr>
          <w:p>
            <w:pPr>
              <w:pStyle w:val="TableParagraph"/>
              <w:spacing w:line="210" w:lineRule="exact" w:before="0"/>
              <w:ind w:left="468"/>
              <w:rPr>
                <w:sz w:val="21"/>
              </w:rPr>
            </w:pPr>
            <w:r>
              <w:rPr>
                <w:sz w:val="21"/>
              </w:rPr>
              <w:t>法院起诉。</w:t>
            </w:r>
          </w:p>
        </w:tc>
      </w:tr>
      <w:tr>
        <w:trPr>
          <w:trHeight w:val="312" w:hRule="atLeast"/>
        </w:trPr>
        <w:tc>
          <w:tcPr>
            <w:tcW w:w="716"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2．</w:t>
            </w:r>
          </w:p>
        </w:tc>
        <w:tc>
          <w:tcPr>
            <w:tcW w:w="1708"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保险保障条款</w:t>
            </w:r>
          </w:p>
        </w:tc>
        <w:tc>
          <w:tcPr>
            <w:tcW w:w="7114" w:type="dxa"/>
            <w:shd w:val="clear" w:color="auto" w:fill="D3D3D3"/>
          </w:tcPr>
          <w:p>
            <w:pPr>
              <w:pStyle w:val="TableParagraph"/>
              <w:spacing w:before="0"/>
              <w:ind w:left="0"/>
              <w:rPr>
                <w:rFonts w:ascii="Times New Roman"/>
                <w:sz w:val="20"/>
              </w:rPr>
            </w:pPr>
          </w:p>
        </w:tc>
      </w:tr>
      <w:tr>
        <w:trPr>
          <w:trHeight w:val="553" w:hRule="atLeast"/>
        </w:trPr>
        <w:tc>
          <w:tcPr>
            <w:tcW w:w="716" w:type="dxa"/>
          </w:tcPr>
          <w:p>
            <w:pPr>
              <w:pStyle w:val="TableParagraph"/>
              <w:spacing w:before="153"/>
              <w:ind w:left="108"/>
              <w:rPr>
                <w:rFonts w:ascii="黑体"/>
                <w:sz w:val="21"/>
              </w:rPr>
            </w:pPr>
            <w:r>
              <w:rPr>
                <w:rFonts w:ascii="黑体"/>
                <w:sz w:val="21"/>
              </w:rPr>
              <w:t>2.1</w:t>
            </w:r>
          </w:p>
        </w:tc>
        <w:tc>
          <w:tcPr>
            <w:tcW w:w="1708" w:type="dxa"/>
          </w:tcPr>
          <w:p>
            <w:pPr>
              <w:pStyle w:val="TableParagraph"/>
              <w:spacing w:before="153"/>
              <w:ind w:left="292"/>
              <w:rPr>
                <w:rFonts w:ascii="黑体" w:eastAsia="黑体" w:hint="eastAsia"/>
                <w:sz w:val="21"/>
              </w:rPr>
            </w:pPr>
            <w:r>
              <w:rPr>
                <w:rFonts w:ascii="黑体" w:eastAsia="黑体" w:hint="eastAsia"/>
                <w:sz w:val="21"/>
              </w:rPr>
              <w:t>基本保险金额</w:t>
            </w:r>
          </w:p>
        </w:tc>
        <w:tc>
          <w:tcPr>
            <w:tcW w:w="7114" w:type="dxa"/>
          </w:tcPr>
          <w:p>
            <w:pPr>
              <w:pStyle w:val="TableParagraph"/>
              <w:spacing w:before="153"/>
              <w:ind w:left="154"/>
              <w:rPr>
                <w:sz w:val="21"/>
              </w:rPr>
            </w:pPr>
            <w:r>
              <w:rPr>
                <w:sz w:val="21"/>
              </w:rPr>
              <w:t>本合同的基本保险金额按份计算，每份为人民币 100,000 元。</w:t>
            </w:r>
          </w:p>
        </w:tc>
      </w:tr>
      <w:tr>
        <w:trPr>
          <w:trHeight w:val="461" w:hRule="atLeast"/>
        </w:trPr>
        <w:tc>
          <w:tcPr>
            <w:tcW w:w="716" w:type="dxa"/>
          </w:tcPr>
          <w:p>
            <w:pPr>
              <w:pStyle w:val="TableParagraph"/>
              <w:spacing w:before="61"/>
              <w:ind w:left="108"/>
              <w:rPr>
                <w:rFonts w:ascii="黑体"/>
                <w:sz w:val="21"/>
              </w:rPr>
            </w:pPr>
            <w:r>
              <w:rPr>
                <w:rFonts w:ascii="黑体"/>
                <w:sz w:val="21"/>
              </w:rPr>
              <w:t>2.2</w:t>
            </w:r>
          </w:p>
        </w:tc>
        <w:tc>
          <w:tcPr>
            <w:tcW w:w="1708" w:type="dxa"/>
          </w:tcPr>
          <w:p>
            <w:pPr>
              <w:pStyle w:val="TableParagraph"/>
              <w:spacing w:before="61"/>
              <w:ind w:left="292"/>
              <w:rPr>
                <w:rFonts w:ascii="黑体" w:eastAsia="黑体" w:hint="eastAsia"/>
                <w:sz w:val="21"/>
              </w:rPr>
            </w:pPr>
            <w:r>
              <w:rPr>
                <w:rFonts w:ascii="黑体" w:eastAsia="黑体" w:hint="eastAsia"/>
                <w:sz w:val="21"/>
              </w:rPr>
              <w:t>保险期间</w:t>
            </w:r>
          </w:p>
        </w:tc>
        <w:tc>
          <w:tcPr>
            <w:tcW w:w="7114" w:type="dxa"/>
          </w:tcPr>
          <w:p>
            <w:pPr>
              <w:pStyle w:val="TableParagraph"/>
              <w:spacing w:before="61"/>
              <w:ind w:left="154"/>
              <w:rPr>
                <w:sz w:val="21"/>
              </w:rPr>
            </w:pPr>
            <w:r>
              <w:rPr>
                <w:sz w:val="21"/>
              </w:rPr>
              <w:t>本合同的保险期间为 1 年，保险期间在保险单上载明。</w:t>
            </w:r>
          </w:p>
        </w:tc>
      </w:tr>
      <w:tr>
        <w:trPr>
          <w:trHeight w:val="1615" w:hRule="atLeast"/>
        </w:trPr>
        <w:tc>
          <w:tcPr>
            <w:tcW w:w="716" w:type="dxa"/>
          </w:tcPr>
          <w:p>
            <w:pPr>
              <w:pStyle w:val="TableParagraph"/>
              <w:spacing w:before="61"/>
              <w:ind w:left="108"/>
              <w:rPr>
                <w:rFonts w:ascii="黑体"/>
                <w:sz w:val="21"/>
              </w:rPr>
            </w:pPr>
            <w:r>
              <w:rPr>
                <w:rFonts w:ascii="黑体"/>
                <w:sz w:val="21"/>
              </w:rPr>
              <w:t>2.3</w:t>
            </w:r>
          </w:p>
        </w:tc>
        <w:tc>
          <w:tcPr>
            <w:tcW w:w="1708" w:type="dxa"/>
          </w:tcPr>
          <w:p>
            <w:pPr>
              <w:pStyle w:val="TableParagraph"/>
              <w:spacing w:before="61"/>
              <w:ind w:left="292"/>
              <w:rPr>
                <w:rFonts w:ascii="黑体" w:eastAsia="黑体" w:hint="eastAsia"/>
                <w:sz w:val="21"/>
              </w:rPr>
            </w:pPr>
            <w:r>
              <w:rPr>
                <w:rFonts w:ascii="黑体" w:eastAsia="黑体" w:hint="eastAsia"/>
                <w:sz w:val="21"/>
              </w:rPr>
              <w:t>续保</w:t>
            </w:r>
          </w:p>
        </w:tc>
        <w:tc>
          <w:tcPr>
            <w:tcW w:w="7114" w:type="dxa"/>
          </w:tcPr>
          <w:p>
            <w:pPr>
              <w:pStyle w:val="TableParagraph"/>
              <w:spacing w:before="61"/>
              <w:ind w:left="154"/>
              <w:rPr>
                <w:sz w:val="21"/>
              </w:rPr>
            </w:pPr>
            <w:r>
              <w:rPr>
                <w:spacing w:val="-8"/>
                <w:sz w:val="21"/>
              </w:rPr>
              <w:t>您可在本合同 </w:t>
            </w:r>
            <w:r>
              <w:rPr>
                <w:sz w:val="21"/>
              </w:rPr>
              <w:t>1</w:t>
            </w:r>
            <w:r>
              <w:rPr>
                <w:spacing w:val="-12"/>
                <w:sz w:val="21"/>
              </w:rPr>
              <w:t> 年保险期间届满时提出书面续保申请。在我们收到保险费并</w:t>
            </w:r>
          </w:p>
          <w:p>
            <w:pPr>
              <w:pStyle w:val="TableParagraph"/>
              <w:spacing w:before="44"/>
              <w:ind w:left="154"/>
              <w:rPr>
                <w:sz w:val="21"/>
              </w:rPr>
            </w:pPr>
            <w:r>
              <w:rPr>
                <w:sz w:val="21"/>
              </w:rPr>
              <w:t>同意承保后，本合同将自 1 年保险期间届满之时起续保 1 年。</w:t>
            </w:r>
          </w:p>
          <w:p>
            <w:pPr>
              <w:pStyle w:val="TableParagraph"/>
              <w:spacing w:line="280" w:lineRule="auto" w:before="45"/>
              <w:ind w:left="154" w:right="26"/>
              <w:rPr>
                <w:sz w:val="21"/>
              </w:rPr>
            </w:pPr>
            <w:r>
              <w:rPr>
                <w:sz w:val="21"/>
                <w:shd w:fill="D9D9D9" w:color="auto" w:val="clear"/>
              </w:rPr>
              <w:t>若您在本合同保险期间届满后 30 日内未提出书面续保申请，以后则按重新投保处理，疾病观察期重新计算</w:t>
            </w:r>
            <w:r>
              <w:rPr>
                <w:sz w:val="21"/>
              </w:rPr>
              <w:t>。</w:t>
            </w:r>
          </w:p>
          <w:p>
            <w:pPr>
              <w:pStyle w:val="TableParagraph"/>
              <w:spacing w:line="255" w:lineRule="exact" w:before="8"/>
              <w:ind w:left="154"/>
              <w:rPr>
                <w:sz w:val="21"/>
              </w:rPr>
            </w:pPr>
            <w:r>
              <w:rPr>
                <w:sz w:val="21"/>
                <w:shd w:fill="D9D9D9" w:color="auto" w:val="clear"/>
              </w:rPr>
              <w:t>若我们停止本保险的销售，将及时通知您，自停止销售时起我们不再接受续</w:t>
            </w:r>
          </w:p>
        </w:tc>
      </w:tr>
    </w:tbl>
    <w:p>
      <w:pPr>
        <w:spacing w:after="0" w:line="255" w:lineRule="exact"/>
        <w:rPr>
          <w:sz w:val="21"/>
        </w:rPr>
        <w:sectPr>
          <w:type w:val="continuous"/>
          <w:pgSz w:w="11910" w:h="16840"/>
          <w:pgMar w:top="1260" w:bottom="280" w:left="1080" w:right="1080"/>
        </w:sectPr>
      </w:pPr>
    </w:p>
    <w:p>
      <w:pPr>
        <w:pStyle w:val="BodyText"/>
        <w:spacing w:before="8"/>
        <w:ind w:left="2682"/>
      </w:pPr>
      <w:r>
        <w:rPr>
          <w:shd w:fill="D9D9D9" w:color="auto" w:val="clear"/>
        </w:rPr>
        <w:t>保申请</w:t>
      </w:r>
      <w:r>
        <w:rPr/>
        <w:t>。</w:t>
      </w:r>
    </w:p>
    <w:p>
      <w:pPr>
        <w:pStyle w:val="BodyText"/>
        <w:spacing w:before="3"/>
        <w:rPr>
          <w:sz w:val="14"/>
        </w:rPr>
      </w:pPr>
    </w:p>
    <w:p>
      <w:pPr>
        <w:pStyle w:val="ListParagraph"/>
        <w:numPr>
          <w:ilvl w:val="1"/>
          <w:numId w:val="3"/>
        </w:numPr>
        <w:tabs>
          <w:tab w:pos="1111" w:val="left" w:leader="none"/>
          <w:tab w:pos="1112" w:val="left" w:leader="none"/>
          <w:tab w:pos="2681" w:val="left" w:leader="none"/>
        </w:tabs>
        <w:spacing w:line="240" w:lineRule="auto" w:before="0" w:after="0"/>
        <w:ind w:left="2682" w:right="0" w:hanging="2471"/>
        <w:jc w:val="left"/>
        <w:rPr>
          <w:sz w:val="21"/>
        </w:rPr>
      </w:pPr>
      <w:r>
        <w:rPr>
          <w:rFonts w:ascii="黑体" w:eastAsia="黑体" w:hint="eastAsia"/>
          <w:sz w:val="21"/>
        </w:rPr>
        <w:t>疾病观察期</w:t>
        <w:tab/>
      </w:r>
      <w:r>
        <w:rPr>
          <w:sz w:val="21"/>
          <w:shd w:fill="D9D9D9" w:color="auto" w:val="clear"/>
        </w:rPr>
        <w:t>自合同生效之日起</w:t>
      </w:r>
      <w:r>
        <w:rPr>
          <w:spacing w:val="-66"/>
          <w:sz w:val="21"/>
          <w:shd w:fill="D9D9D9" w:color="auto" w:val="clear"/>
        </w:rPr>
        <w:t> </w:t>
      </w:r>
      <w:r>
        <w:rPr>
          <w:sz w:val="21"/>
          <w:shd w:fill="D9D9D9" w:color="auto" w:val="clear"/>
        </w:rPr>
        <w:t>60</w:t>
      </w:r>
      <w:r>
        <w:rPr>
          <w:spacing w:val="-66"/>
          <w:sz w:val="21"/>
          <w:shd w:fill="D9D9D9" w:color="auto" w:val="clear"/>
        </w:rPr>
        <w:t> </w:t>
      </w:r>
      <w:r>
        <w:rPr>
          <w:sz w:val="21"/>
          <w:shd w:fill="D9D9D9" w:color="auto" w:val="clear"/>
        </w:rPr>
        <w:t>日内为疾病观察期，</w:t>
      </w:r>
      <w:r>
        <w:rPr>
          <w:sz w:val="21"/>
        </w:rPr>
        <w:t>续保无疾病观察期。</w:t>
      </w:r>
    </w:p>
    <w:p>
      <w:pPr>
        <w:pStyle w:val="BodyText"/>
        <w:spacing w:before="3"/>
        <w:rPr>
          <w:sz w:val="14"/>
        </w:rPr>
      </w:pPr>
    </w:p>
    <w:p>
      <w:pPr>
        <w:pStyle w:val="ListParagraph"/>
        <w:numPr>
          <w:ilvl w:val="1"/>
          <w:numId w:val="3"/>
        </w:numPr>
        <w:tabs>
          <w:tab w:pos="1111" w:val="left" w:leader="none"/>
          <w:tab w:pos="1112" w:val="left" w:leader="none"/>
          <w:tab w:pos="2681" w:val="left" w:leader="none"/>
        </w:tabs>
        <w:spacing w:line="278" w:lineRule="auto" w:before="0" w:after="0"/>
        <w:ind w:left="2682" w:right="207" w:hanging="2471"/>
        <w:jc w:val="left"/>
        <w:rPr>
          <w:sz w:val="21"/>
        </w:rPr>
      </w:pPr>
      <w:r>
        <w:rPr>
          <w:rFonts w:ascii="黑体" w:eastAsia="黑体" w:hint="eastAsia"/>
          <w:sz w:val="21"/>
        </w:rPr>
        <w:t>保险责任</w:t>
        <w:tab/>
      </w:r>
      <w:r>
        <w:rPr>
          <w:sz w:val="21"/>
        </w:rPr>
        <w:t>在本合同保险期间内</w:t>
      </w:r>
      <w:r>
        <w:rPr>
          <w:spacing w:val="-39"/>
          <w:sz w:val="21"/>
        </w:rPr>
        <w:t>，</w:t>
      </w:r>
      <w:r>
        <w:rPr>
          <w:sz w:val="21"/>
        </w:rPr>
        <w:t>且在本合同有效的前提下</w:t>
      </w:r>
      <w:r>
        <w:rPr>
          <w:spacing w:val="-39"/>
          <w:sz w:val="21"/>
        </w:rPr>
        <w:t>，</w:t>
      </w:r>
      <w:r>
        <w:rPr>
          <w:sz w:val="21"/>
        </w:rPr>
        <w:t>我们按以下约定承担保险责任：</w:t>
      </w:r>
    </w:p>
    <w:p>
      <w:pPr>
        <w:pStyle w:val="BodyText"/>
        <w:spacing w:before="12"/>
        <w:rPr>
          <w:sz w:val="8"/>
        </w:rPr>
      </w:pPr>
    </w:p>
    <w:p>
      <w:pPr>
        <w:spacing w:after="0"/>
        <w:rPr>
          <w:sz w:val="8"/>
        </w:rPr>
        <w:sectPr>
          <w:pgSz w:w="11910" w:h="16840"/>
          <w:pgMar w:top="1420" w:bottom="280" w:left="1080" w:right="1080"/>
        </w:sectPr>
      </w:pPr>
    </w:p>
    <w:p>
      <w:pPr>
        <w:pStyle w:val="BodyText"/>
        <w:spacing w:line="280" w:lineRule="auto" w:before="36"/>
        <w:ind w:left="1111"/>
        <w:rPr>
          <w:rFonts w:ascii="黑体" w:eastAsia="黑体" w:hint="eastAsia"/>
        </w:rPr>
      </w:pPr>
      <w:r>
        <w:rPr>
          <w:rFonts w:ascii="黑体" w:eastAsia="黑体" w:hint="eastAsia"/>
        </w:rPr>
        <w:t>重大疾病保险金</w:t>
      </w:r>
    </w:p>
    <w:p>
      <w:pPr>
        <w:pStyle w:val="BodyText"/>
        <w:spacing w:before="0"/>
        <w:rPr>
          <w:rFonts w:ascii="黑体"/>
          <w:sz w:val="20"/>
        </w:rPr>
      </w:pPr>
    </w:p>
    <w:p>
      <w:pPr>
        <w:pStyle w:val="BodyText"/>
        <w:spacing w:before="0"/>
        <w:rPr>
          <w:rFonts w:ascii="黑体"/>
          <w:sz w:val="20"/>
        </w:rPr>
      </w:pPr>
    </w:p>
    <w:p>
      <w:pPr>
        <w:pStyle w:val="BodyText"/>
        <w:spacing w:before="5"/>
        <w:rPr>
          <w:rFonts w:ascii="黑体"/>
          <w:sz w:val="20"/>
        </w:rPr>
      </w:pPr>
    </w:p>
    <w:p>
      <w:pPr>
        <w:pStyle w:val="BodyText"/>
        <w:spacing w:line="280" w:lineRule="auto" w:before="0"/>
        <w:ind w:left="1111"/>
        <w:rPr>
          <w:rFonts w:ascii="黑体" w:eastAsia="黑体" w:hint="eastAsia"/>
        </w:rPr>
      </w:pPr>
      <w:r>
        <w:rPr>
          <w:rFonts w:ascii="黑体" w:eastAsia="黑体" w:hint="eastAsia"/>
        </w:rPr>
        <w:t>特定疾病保险金</w:t>
      </w:r>
    </w:p>
    <w:p>
      <w:pPr>
        <w:pStyle w:val="BodyText"/>
        <w:spacing w:line="278" w:lineRule="auto" w:before="36"/>
        <w:ind w:left="270" w:right="201"/>
        <w:jc w:val="both"/>
      </w:pPr>
      <w:r>
        <w:rPr/>
        <w:br w:type="column"/>
      </w:r>
      <w:r>
        <w:rPr/>
        <w:t>若被保险人因遭受</w:t>
      </w:r>
      <w:r>
        <w:rPr>
          <w:b/>
        </w:rPr>
        <w:t>意外伤害</w:t>
      </w:r>
      <w:r>
        <w:rPr>
          <w:spacing w:val="-5"/>
        </w:rPr>
        <w:t>被确诊初次发生本合同约定的重大疾病</w:t>
      </w:r>
      <w:r>
        <w:rPr/>
        <w:t>（无论一种或多种，下同</w:t>
      </w:r>
      <w:r>
        <w:rPr>
          <w:spacing w:val="-105"/>
        </w:rPr>
        <w:t>）</w:t>
      </w:r>
      <w:r>
        <w:rPr/>
        <w:t>，或在疾病观察期后因意外伤害以外的原因被确诊初次发生本合同约定的重大疾病，我们按本合同基本保险金额给付重大疾病保险金，本合同终止。</w:t>
      </w:r>
    </w:p>
    <w:p>
      <w:pPr>
        <w:pStyle w:val="BodyText"/>
        <w:spacing w:line="278" w:lineRule="auto" w:before="130"/>
        <w:ind w:left="270" w:right="203"/>
        <w:jc w:val="both"/>
      </w:pPr>
      <w:r>
        <w:rPr/>
        <w:drawing>
          <wp:anchor distT="0" distB="0" distL="0" distR="0" allowOverlap="1" layoutInCell="1" locked="0" behindDoc="1" simplePos="0" relativeHeight="268413431">
            <wp:simplePos x="0" y="0"/>
            <wp:positionH relativeFrom="page">
              <wp:posOffset>3889097</wp:posOffset>
            </wp:positionH>
            <wp:positionV relativeFrom="paragraph">
              <wp:posOffset>752655</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3"/>
        </w:rPr>
        <w:t>若被保险人因遭受意外伤害被确诊初次发生本合同约定的特定疾病</w:t>
      </w:r>
      <w:r>
        <w:rPr/>
        <w:t>（无论一种或多种，下同</w:t>
      </w:r>
      <w:r>
        <w:rPr>
          <w:spacing w:val="-105"/>
        </w:rPr>
        <w:t>）</w:t>
      </w:r>
      <w:r>
        <w:rPr/>
        <w:t>，或在疾病观察期后因意外伤害以外的原因被确诊初次发</w:t>
      </w:r>
      <w:r>
        <w:rPr>
          <w:spacing w:val="-6"/>
        </w:rPr>
        <w:t>生本合同约定的特定疾病，我们除按前款约定给付重大疾病保险金外，</w:t>
      </w:r>
      <w:r>
        <w:rPr>
          <w:shd w:fill="D9D9D9" w:color="auto" w:val="clear"/>
        </w:rPr>
        <w:t>另按</w:t>
      </w:r>
      <w:r>
        <w:rPr>
          <w:spacing w:val="-6"/>
          <w:shd w:fill="D9D9D9" w:color="auto" w:val="clear"/>
        </w:rPr>
        <w:t>本合同基本保险金额的 </w:t>
      </w:r>
      <w:r>
        <w:rPr>
          <w:shd w:fill="D9D9D9" w:color="auto" w:val="clear"/>
        </w:rPr>
        <w:t>50</w:t>
      </w:r>
      <w:r>
        <w:rPr>
          <w:spacing w:val="-5"/>
          <w:shd w:fill="D9D9D9" w:color="auto" w:val="clear"/>
        </w:rPr>
        <w:t> 给付特定疾病保险金</w:t>
      </w:r>
      <w:r>
        <w:rPr/>
        <w:t>，本合同终止。</w:t>
      </w:r>
    </w:p>
    <w:p>
      <w:pPr>
        <w:pStyle w:val="BodyText"/>
        <w:spacing w:line="280" w:lineRule="auto" w:before="175"/>
        <w:ind w:left="270" w:right="207"/>
      </w:pPr>
      <w:r>
        <w:rPr/>
        <w:t>若被保险人在疾病观察期内因意外伤害以外的原因被确诊初次发生本合同</w:t>
      </w:r>
      <w:r>
        <w:rPr>
          <w:spacing w:val="-9"/>
        </w:rPr>
        <w:t>约定的重大疾病，我们按您根据本合同约定最后一次已支付的保险费金额给付重大疾病保险金，本合同终止。</w:t>
      </w:r>
    </w:p>
    <w:p>
      <w:pPr>
        <w:spacing w:after="0" w:line="280" w:lineRule="auto"/>
        <w:sectPr>
          <w:type w:val="continuous"/>
          <w:pgSz w:w="11910" w:h="16840"/>
          <w:pgMar w:top="1260" w:bottom="280" w:left="1080" w:right="1080"/>
          <w:cols w:num="2" w:equalWidth="0">
            <w:col w:w="2372" w:space="40"/>
            <w:col w:w="7338"/>
          </w:cols>
        </w:sectPr>
      </w:pPr>
    </w:p>
    <w:p>
      <w:pPr>
        <w:pStyle w:val="BodyText"/>
        <w:spacing w:before="10"/>
        <w:rPr>
          <w:sz w:val="8"/>
        </w:rPr>
      </w:pPr>
    </w:p>
    <w:p>
      <w:pPr>
        <w:pStyle w:val="ListParagraph"/>
        <w:numPr>
          <w:ilvl w:val="1"/>
          <w:numId w:val="3"/>
        </w:numPr>
        <w:tabs>
          <w:tab w:pos="1111" w:val="left" w:leader="none"/>
          <w:tab w:pos="1112" w:val="left" w:leader="none"/>
          <w:tab w:pos="2681" w:val="left" w:leader="none"/>
        </w:tabs>
        <w:spacing w:line="278" w:lineRule="auto" w:before="36" w:after="0"/>
        <w:ind w:left="2682" w:right="207" w:hanging="2471"/>
        <w:jc w:val="left"/>
        <w:rPr>
          <w:sz w:val="21"/>
        </w:rPr>
      </w:pPr>
      <w:r>
        <w:rPr>
          <w:rFonts w:ascii="黑体" w:eastAsia="黑体" w:hint="eastAsia"/>
          <w:sz w:val="21"/>
        </w:rPr>
        <w:t>责任免除</w:t>
        <w:tab/>
      </w:r>
      <w:r>
        <w:rPr>
          <w:sz w:val="21"/>
          <w:shd w:fill="D9D9D9" w:color="auto" w:val="clear"/>
        </w:rPr>
        <w:t>因下列情形之一导致被保险人发生疾病</w:t>
      </w:r>
      <w:r>
        <w:rPr>
          <w:spacing w:val="-39"/>
          <w:sz w:val="21"/>
          <w:shd w:fill="D9D9D9" w:color="auto" w:val="clear"/>
        </w:rPr>
        <w:t>、</w:t>
      </w:r>
      <w:r>
        <w:rPr>
          <w:sz w:val="21"/>
          <w:shd w:fill="D9D9D9" w:color="auto" w:val="clear"/>
        </w:rPr>
        <w:t>达到疾病状态或进行手术的</w:t>
      </w:r>
      <w:r>
        <w:rPr>
          <w:spacing w:val="-39"/>
          <w:sz w:val="21"/>
          <w:shd w:fill="D9D9D9" w:color="auto" w:val="clear"/>
        </w:rPr>
        <w:t>，</w:t>
      </w:r>
      <w:r>
        <w:rPr>
          <w:sz w:val="21"/>
          <w:shd w:fill="D9D9D9" w:color="auto" w:val="clear"/>
        </w:rPr>
        <w:t>我们不承担保险责任：</w:t>
      </w:r>
    </w:p>
    <w:p>
      <w:pPr>
        <w:pStyle w:val="BodyText"/>
        <w:spacing w:line="280" w:lineRule="auto" w:before="12"/>
        <w:ind w:left="2682" w:right="656"/>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(2)被保险人故意自伤、故意犯罪或者抗拒依法采取的刑事强制措施；</w:t>
      </w:r>
    </w:p>
    <w:p>
      <w:pPr>
        <w:pStyle w:val="BodyText"/>
        <w:spacing w:before="8"/>
        <w:ind w:left="2682"/>
      </w:pPr>
      <w:r>
        <w:rPr>
          <w:w w:val="95"/>
          <w:shd w:fill="D9D9D9" w:color="auto" w:val="clear"/>
        </w:rPr>
        <w:t>(3)被保险人主动吸食或注射</w:t>
      </w:r>
      <w:r>
        <w:rPr>
          <w:b/>
          <w:w w:val="95"/>
          <w:shd w:fill="D9D9D9" w:color="auto" w:val="clear"/>
        </w:rPr>
        <w:t>毒品</w:t>
      </w:r>
      <w:r>
        <w:rPr>
          <w:w w:val="95"/>
          <w:shd w:fill="D9D9D9" w:color="auto" w:val="clear"/>
        </w:rPr>
        <w:t>；</w:t>
      </w:r>
    </w:p>
    <w:p>
      <w:pPr>
        <w:spacing w:line="280" w:lineRule="auto" w:before="45"/>
        <w:ind w:left="2997" w:right="208" w:hanging="316"/>
        <w:jc w:val="left"/>
        <w:rPr>
          <w:sz w:val="21"/>
        </w:rPr>
      </w:pPr>
      <w:r>
        <w:rPr>
          <w:sz w:val="21"/>
          <w:shd w:fill="D9D9D9" w:color="auto" w:val="clear"/>
        </w:rPr>
        <w:t>(4)被保险人</w:t>
      </w:r>
      <w:r>
        <w:rPr>
          <w:b/>
          <w:sz w:val="21"/>
          <w:shd w:fill="D9D9D9" w:color="auto" w:val="clear"/>
        </w:rPr>
        <w:t>酒后驾驶</w:t>
      </w:r>
      <w:r>
        <w:rPr>
          <w:sz w:val="21"/>
          <w:shd w:fill="D9D9D9" w:color="auto" w:val="clear"/>
        </w:rPr>
        <w:t>，</w:t>
      </w:r>
      <w:r>
        <w:rPr>
          <w:b/>
          <w:sz w:val="21"/>
          <w:shd w:fill="D9D9D9" w:color="auto" w:val="clear"/>
        </w:rPr>
        <w:t>无合法有效驾驶证驾驶</w:t>
      </w:r>
      <w:r>
        <w:rPr>
          <w:sz w:val="21"/>
          <w:shd w:fill="D9D9D9" w:color="auto" w:val="clear"/>
        </w:rPr>
        <w:t>，或驾驶</w:t>
      </w:r>
      <w:r>
        <w:rPr>
          <w:b/>
          <w:sz w:val="21"/>
          <w:shd w:fill="D9D9D9" w:color="auto" w:val="clear"/>
        </w:rPr>
        <w:t>无有效行驶证</w:t>
      </w:r>
      <w:r>
        <w:rPr>
          <w:sz w:val="21"/>
          <w:shd w:fill="D9D9D9" w:color="auto" w:val="clear"/>
        </w:rPr>
        <w:t>的</w:t>
      </w:r>
      <w:r>
        <w:rPr>
          <w:b/>
          <w:sz w:val="21"/>
          <w:shd w:fill="D9D9D9" w:color="auto" w:val="clear"/>
        </w:rPr>
        <w:t>机动车</w:t>
      </w:r>
      <w:r>
        <w:rPr>
          <w:sz w:val="21"/>
          <w:shd w:fill="D9D9D9" w:color="auto" w:val="clear"/>
        </w:rPr>
        <w:t>；</w:t>
      </w:r>
    </w:p>
    <w:p>
      <w:pPr>
        <w:spacing w:line="280" w:lineRule="auto" w:before="9"/>
        <w:ind w:left="2682" w:right="3153" w:firstLine="0"/>
        <w:jc w:val="left"/>
        <w:rPr>
          <w:sz w:val="21"/>
        </w:rPr>
      </w:pPr>
      <w:r>
        <w:rPr>
          <w:sz w:val="21"/>
          <w:shd w:fill="D9D9D9" w:color="auto" w:val="clear"/>
        </w:rPr>
        <w:t>(5)被保险人</w:t>
      </w:r>
      <w:r>
        <w:rPr>
          <w:b/>
          <w:sz w:val="21"/>
          <w:shd w:fill="D9D9D9" w:color="auto" w:val="clear"/>
        </w:rPr>
        <w:t>感染艾滋病病毒或患艾滋病</w:t>
      </w:r>
      <w:r>
        <w:rPr>
          <w:sz w:val="21"/>
          <w:shd w:fill="D9D9D9" w:color="auto" w:val="clear"/>
        </w:rPr>
        <w:t>；</w:t>
      </w:r>
      <w:r>
        <w:rPr>
          <w:sz w:val="21"/>
        </w:rPr>
        <w:t> </w:t>
      </w:r>
      <w:r>
        <w:rPr>
          <w:sz w:val="21"/>
          <w:shd w:fill="D9D9D9" w:color="auto" w:val="clear"/>
        </w:rPr>
        <w:t>(6)战争、军事冲突、暴乱或武装叛乱；</w:t>
      </w:r>
      <w:r>
        <w:rPr>
          <w:sz w:val="21"/>
        </w:rPr>
        <w:t> </w:t>
      </w:r>
      <w:r>
        <w:rPr>
          <w:sz w:val="21"/>
          <w:shd w:fill="D9D9D9" w:color="auto" w:val="clear"/>
        </w:rPr>
        <w:t>(7)核爆炸、核辐射或核污染；</w:t>
      </w:r>
    </w:p>
    <w:p>
      <w:pPr>
        <w:spacing w:before="9"/>
        <w:ind w:left="2682" w:right="0" w:firstLine="0"/>
        <w:jc w:val="left"/>
        <w:rPr>
          <w:sz w:val="21"/>
        </w:rPr>
      </w:pPr>
      <w:r>
        <w:rPr>
          <w:w w:val="95"/>
          <w:sz w:val="21"/>
          <w:shd w:fill="D9D9D9" w:color="auto" w:val="clear"/>
        </w:rPr>
        <w:t>(8)</w:t>
      </w:r>
      <w:r>
        <w:rPr>
          <w:b/>
          <w:w w:val="95"/>
          <w:sz w:val="21"/>
          <w:shd w:fill="D9D9D9" w:color="auto" w:val="clear"/>
        </w:rPr>
        <w:t>遗传性疾病</w:t>
      </w:r>
      <w:r>
        <w:rPr>
          <w:w w:val="95"/>
          <w:sz w:val="21"/>
          <w:shd w:fill="D9D9D9" w:color="auto" w:val="clear"/>
        </w:rPr>
        <w:t>，</w:t>
      </w:r>
      <w:r>
        <w:rPr>
          <w:b/>
          <w:w w:val="95"/>
          <w:sz w:val="21"/>
          <w:shd w:fill="D9D9D9" w:color="auto" w:val="clear"/>
        </w:rPr>
        <w:t>先天性畸形、变形或染色体异常</w:t>
      </w:r>
      <w:r>
        <w:rPr>
          <w:w w:val="95"/>
          <w:sz w:val="21"/>
          <w:shd w:fill="D9D9D9" w:color="auto" w:val="clear"/>
        </w:rPr>
        <w:t>。</w:t>
      </w:r>
    </w:p>
    <w:p>
      <w:pPr>
        <w:pStyle w:val="BodyText"/>
        <w:spacing w:line="278" w:lineRule="auto" w:before="45"/>
        <w:ind w:left="2682" w:right="201"/>
        <w:jc w:val="both"/>
      </w:pPr>
      <w:r>
        <w:rPr>
          <w:shd w:fill="D9D9D9" w:color="auto" w:val="clear"/>
        </w:rPr>
        <w:t>发生上述第(1)项情形导致被保险人被确诊发生本合同约定的重大疾病或特定疾病的，本合同终止，我们向被保险人退还本合同保险单的现金价值。</w:t>
      </w:r>
      <w:r>
        <w:rPr>
          <w:spacing w:val="2"/>
          <w:shd w:fill="D9D9D9" w:color="auto" w:val="clear"/>
        </w:rPr>
        <w:t>发生</w:t>
      </w:r>
      <w:r>
        <w:rPr>
          <w:spacing w:val="-13"/>
          <w:shd w:fill="D9D9D9" w:color="auto" w:val="clear"/>
        </w:rPr>
        <w:t>上述其他情形导致被保险人被确诊发生本合同约定的重大疾病或特定疾病的，本合同终止，我们向您退还本合同保险单的现金价值。</w:t>
      </w:r>
    </w:p>
    <w:p>
      <w:pPr>
        <w:pStyle w:val="BodyText"/>
        <w:spacing w:before="0"/>
        <w:rPr>
          <w:sz w:val="9"/>
        </w:rPr>
      </w:pPr>
      <w:r>
        <w:rPr/>
        <w:pict>
          <v:shape style="position:absolute;margin-left:59.16pt;margin-top:7.128163pt;width:477pt;height:15.6pt;mso-position-horizontal-relative:page;mso-position-vertical-relative:paragraph;z-index:1048;mso-wrap-distance-left:0;mso-wrap-distance-right:0" type="#_x0000_t202" filled="true" fillcolor="#d3d3d3"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理赔服务条款</w:t>
                  </w:r>
                </w:p>
              </w:txbxContent>
            </v:textbox>
            <v:fill type="solid"/>
            <w10:wrap type="topAndBottom"/>
          </v:shape>
        </w:pict>
      </w:r>
    </w:p>
    <w:p>
      <w:pPr>
        <w:pStyle w:val="BodyText"/>
        <w:spacing w:before="10"/>
        <w:rPr>
          <w:sz w:val="7"/>
        </w:rPr>
      </w:pPr>
    </w:p>
    <w:p>
      <w:pPr>
        <w:pStyle w:val="ListParagraph"/>
        <w:numPr>
          <w:ilvl w:val="1"/>
          <w:numId w:val="4"/>
        </w:numPr>
        <w:tabs>
          <w:tab w:pos="1111" w:val="left" w:leader="none"/>
          <w:tab w:pos="1112" w:val="left" w:leader="none"/>
          <w:tab w:pos="2681" w:val="left" w:leader="none"/>
        </w:tabs>
        <w:spacing w:line="240" w:lineRule="auto" w:before="35" w:after="0"/>
        <w:ind w:left="2682" w:right="0" w:hanging="2471"/>
        <w:jc w:val="left"/>
        <w:rPr>
          <w:sz w:val="21"/>
        </w:rPr>
      </w:pPr>
      <w:r>
        <w:rPr>
          <w:rFonts w:ascii="黑体" w:eastAsia="黑体" w:hint="eastAsia"/>
          <w:sz w:val="21"/>
        </w:rPr>
        <w:t>受益人</w:t>
        <w:tab/>
      </w:r>
      <w:r>
        <w:rPr>
          <w:sz w:val="21"/>
        </w:rPr>
        <w:t>除另有指定外</w:t>
      </w:r>
      <w:r>
        <w:rPr>
          <w:spacing w:val="-92"/>
          <w:sz w:val="21"/>
        </w:rPr>
        <w:t>，</w:t>
      </w:r>
      <w:r>
        <w:rPr>
          <w:sz w:val="21"/>
        </w:rPr>
        <w:t>重大疾病保险金</w:t>
      </w:r>
      <w:r>
        <w:rPr>
          <w:spacing w:val="-92"/>
          <w:sz w:val="21"/>
        </w:rPr>
        <w:t>、</w:t>
      </w:r>
      <w:r>
        <w:rPr>
          <w:sz w:val="21"/>
        </w:rPr>
        <w:t>特定疾病保险金的受益人为被保险人本人。</w:t>
      </w:r>
    </w:p>
    <w:p>
      <w:pPr>
        <w:pStyle w:val="BodyText"/>
        <w:spacing w:before="3"/>
        <w:rPr>
          <w:sz w:val="14"/>
        </w:rPr>
      </w:pPr>
    </w:p>
    <w:p>
      <w:pPr>
        <w:pStyle w:val="ListParagraph"/>
        <w:numPr>
          <w:ilvl w:val="1"/>
          <w:numId w:val="4"/>
        </w:numPr>
        <w:tabs>
          <w:tab w:pos="1111" w:val="left" w:leader="none"/>
          <w:tab w:pos="1112" w:val="left" w:leader="none"/>
          <w:tab w:pos="2681" w:val="left" w:leader="none"/>
        </w:tabs>
        <w:spacing w:line="240" w:lineRule="auto" w:before="0" w:after="0"/>
        <w:ind w:left="1111" w:right="0" w:hanging="900"/>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5"/>
        <w:ind w:left="2682" w:right="207"/>
        <w:jc w:val="both"/>
      </w:pPr>
      <w:r>
        <w:rPr>
          <w:spacing w:val="-8"/>
          <w:shd w:fill="D9D9D9" w:color="auto" w:val="clear"/>
        </w:rPr>
        <w:t>如果您、被保险人或受益人故意或者因重大过失未及时通知，致使保险事故的性质</w:t>
      </w:r>
      <w:r>
        <w:rPr>
          <w:spacing w:val="-18"/>
          <w:shd w:fill="D9D9D9" w:color="auto" w:val="clear"/>
        </w:rPr>
        <w:t>、原因、损失程度等难以确定的，我们对无法确定的部分，不承担给付保险金的责任</w:t>
      </w:r>
      <w:r>
        <w:rPr>
          <w:spacing w:val="-9"/>
        </w:rPr>
        <w:t>，但我们通过其他途径已经及时知道或者应当及时知道保险</w:t>
      </w:r>
      <w:r>
        <w:rPr>
          <w:spacing w:val="-12"/>
        </w:rPr>
        <w:t>事故发生或者虽未及时通知但不影响我们确定保险事故的性质、原因、损失程度的除外。</w:t>
      </w:r>
    </w:p>
    <w:p>
      <w:pPr>
        <w:pStyle w:val="BodyText"/>
        <w:spacing w:before="11"/>
        <w:ind w:left="2682"/>
        <w:jc w:val="both"/>
      </w:pPr>
      <w:r>
        <w:rPr>
          <w:shd w:fill="D9D9D9" w:color="auto" w:val="clear"/>
        </w:rPr>
        <w:t>若您、被保险人或受益人未及时将保险事故通知我们，而该保险事故的发生</w:t>
      </w:r>
    </w:p>
    <w:p>
      <w:pPr>
        <w:spacing w:after="0"/>
        <w:jc w:val="both"/>
        <w:sectPr>
          <w:type w:val="continuous"/>
          <w:pgSz w:w="11910" w:h="16840"/>
          <w:pgMar w:top="1260" w:bottom="280" w:left="1080" w:right="1080"/>
        </w:sectPr>
      </w:pPr>
    </w:p>
    <w:p>
      <w:pPr>
        <w:pStyle w:val="BodyText"/>
        <w:spacing w:line="278" w:lineRule="auto" w:before="8"/>
        <w:ind w:left="2682" w:right="207"/>
        <w:jc w:val="both"/>
      </w:pPr>
      <w:r>
        <w:rPr>
          <w:spacing w:val="-5"/>
          <w:shd w:fill="D9D9D9" w:color="auto" w:val="clear"/>
        </w:rPr>
        <w:t>足以影响我们决定是否同意续保的，我们对续保生效后发生的任何保险事故不承担保险责任，但向您无息退还续保的保险费</w:t>
      </w:r>
      <w:r>
        <w:rPr>
          <w:spacing w:val="-5"/>
        </w:rPr>
        <w:t>。</w:t>
      </w:r>
    </w:p>
    <w:p>
      <w:pPr>
        <w:pStyle w:val="ListParagraph"/>
        <w:numPr>
          <w:ilvl w:val="1"/>
          <w:numId w:val="4"/>
        </w:numPr>
        <w:tabs>
          <w:tab w:pos="1111" w:val="left" w:leader="none"/>
          <w:tab w:pos="1112" w:val="left" w:leader="none"/>
          <w:tab w:pos="2681" w:val="left" w:leader="none"/>
        </w:tabs>
        <w:spacing w:line="280" w:lineRule="auto" w:before="153" w:after="0"/>
        <w:ind w:left="2682" w:right="1600" w:hanging="2471"/>
        <w:jc w:val="left"/>
        <w:rPr>
          <w:sz w:val="21"/>
        </w:rPr>
      </w:pPr>
      <w:r>
        <w:rPr>
          <w:rFonts w:ascii="黑体" w:eastAsia="黑体" w:hint="eastAsia"/>
          <w:sz w:val="21"/>
        </w:rPr>
        <w:t>保险金申请</w:t>
        <w:tab/>
      </w:r>
      <w:r>
        <w:rPr>
          <w:sz w:val="21"/>
        </w:rPr>
        <w:t>申请人须填写保险金给付申请书，并提供下列证明和资料： (1)保险合同或电子保险单号；                       </w:t>
      </w:r>
      <w:r>
        <w:rPr>
          <w:spacing w:val="-1"/>
          <w:sz w:val="21"/>
        </w:rPr>
        <w:t>(2)申请人的有效身份证件；</w:t>
      </w:r>
    </w:p>
    <w:p>
      <w:pPr>
        <w:pStyle w:val="BodyText"/>
        <w:spacing w:line="278" w:lineRule="auto" w:before="9"/>
        <w:ind w:left="2997" w:right="204"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如有必要，我们有权对被保险人进行复检，复检费用由我们承担；</w:t>
      </w:r>
    </w:p>
    <w:p>
      <w:pPr>
        <w:pStyle w:val="BodyText"/>
        <w:spacing w:line="278" w:lineRule="auto" w:before="12"/>
        <w:ind w:left="2681" w:right="207"/>
      </w:pPr>
      <w:r>
        <w:rPr/>
        <w:t>(4)所能提供的与确认保险事故的性质、原因等有关的其他证明和资料。 </w:t>
      </w:r>
      <w:r>
        <w:rPr>
          <w:spacing w:val="-5"/>
        </w:rPr>
        <w:t>以上保险金申请的证明和资料不完整的，我们将及时一次性通知申请人补充提供有关证明和资料。</w:t>
      </w:r>
    </w:p>
    <w:p>
      <w:pPr>
        <w:pStyle w:val="ListParagraph"/>
        <w:numPr>
          <w:ilvl w:val="1"/>
          <w:numId w:val="4"/>
        </w:numPr>
        <w:tabs>
          <w:tab w:pos="1112" w:val="left" w:leader="none"/>
        </w:tabs>
        <w:spacing w:line="278" w:lineRule="auto" w:before="153" w:after="0"/>
        <w:ind w:left="2681" w:right="207" w:hanging="2470"/>
        <w:jc w:val="both"/>
        <w:rPr>
          <w:sz w:val="21"/>
        </w:rPr>
      </w:pPr>
      <w:r>
        <w:rPr>
          <w:rFonts w:ascii="黑体" w:eastAsia="黑体" w:hint="eastAsia"/>
          <w:spacing w:val="11"/>
          <w:sz w:val="21"/>
        </w:rPr>
        <w:t>保险金给付   </w:t>
      </w:r>
      <w:r>
        <w:rPr>
          <w:spacing w:val="-5"/>
          <w:sz w:val="21"/>
        </w:rPr>
        <w:t>我们在收到保险金给付申请书及合同约定的证明和资料后，将在 </w:t>
      </w:r>
      <w:r>
        <w:rPr>
          <w:sz w:val="21"/>
        </w:rPr>
        <w:t>5</w:t>
      </w:r>
      <w:r>
        <w:rPr>
          <w:spacing w:val="-12"/>
          <w:sz w:val="21"/>
        </w:rPr>
        <w:t> 个工作日内作出核定；</w:t>
      </w:r>
      <w:r>
        <w:rPr>
          <w:b/>
          <w:spacing w:val="-12"/>
          <w:sz w:val="21"/>
        </w:rPr>
        <w:t>情形复杂</w:t>
      </w:r>
      <w:r>
        <w:rPr>
          <w:spacing w:val="-21"/>
          <w:sz w:val="21"/>
        </w:rPr>
        <w:t>的，在 </w:t>
      </w:r>
      <w:r>
        <w:rPr>
          <w:sz w:val="21"/>
        </w:rPr>
        <w:t>30</w:t>
      </w:r>
      <w:r>
        <w:rPr>
          <w:spacing w:val="-8"/>
          <w:sz w:val="21"/>
        </w:rPr>
        <w:t> 日内作出核定。对属于保险责任的，我们</w:t>
      </w:r>
      <w:r>
        <w:rPr>
          <w:spacing w:val="-12"/>
          <w:sz w:val="21"/>
        </w:rPr>
        <w:t>在与受益人达成给付保险金的协议后 </w:t>
      </w:r>
      <w:r>
        <w:rPr>
          <w:sz w:val="21"/>
        </w:rPr>
        <w:t>10</w:t>
      </w:r>
      <w:r>
        <w:rPr>
          <w:spacing w:val="-9"/>
          <w:sz w:val="21"/>
        </w:rPr>
        <w:t> 日内，履行给付保险金义务。</w:t>
      </w:r>
    </w:p>
    <w:p>
      <w:pPr>
        <w:pStyle w:val="BodyText"/>
        <w:spacing w:line="278" w:lineRule="auto" w:before="11"/>
        <w:ind w:left="2681" w:right="207"/>
        <w:jc w:val="both"/>
      </w:pPr>
      <w:r>
        <w:rPr>
          <w:spacing w:val="-5"/>
        </w:rPr>
        <w:t>我们未及时履行前款规定义务的，除支付保险金外，应当赔偿受益人因此受</w:t>
      </w:r>
      <w:r>
        <w:rPr>
          <w:spacing w:val="-11"/>
        </w:rPr>
        <w:t>到的损失。前述“损失”是指根据中国人民银行公布的同时期的人民币活期存款基准利率计算的利息损失。</w:t>
      </w:r>
    </w:p>
    <w:p>
      <w:pPr>
        <w:pStyle w:val="BodyText"/>
        <w:spacing w:line="280" w:lineRule="auto" w:before="11"/>
        <w:ind w:left="2681" w:right="207"/>
        <w:jc w:val="both"/>
      </w:pPr>
      <w:r>
        <w:rPr>
          <w:spacing w:val="-11"/>
        </w:rPr>
        <w:t>对不属于保险责任的，我们自作出核定之日起 </w:t>
      </w:r>
      <w:r>
        <w:rPr/>
        <w:t>3</w:t>
      </w:r>
      <w:r>
        <w:rPr>
          <w:spacing w:val="-8"/>
        </w:rPr>
        <w:t> 日内向受益人发出拒绝给付保险金通知书并说明理由。</w:t>
      </w:r>
    </w:p>
    <w:p>
      <w:pPr>
        <w:pStyle w:val="BodyText"/>
        <w:spacing w:line="280" w:lineRule="auto" w:before="8"/>
        <w:ind w:left="2681" w:right="206"/>
        <w:jc w:val="both"/>
      </w:pPr>
      <w:r>
        <w:rPr>
          <w:spacing w:val="-2"/>
        </w:rPr>
        <w:t>我们在收到保险金给付申请书及有关证明和资料之日起 </w:t>
      </w:r>
      <w:r>
        <w:rPr/>
        <w:t>60</w:t>
      </w:r>
      <w:r>
        <w:rPr>
          <w:spacing w:val="-7"/>
        </w:rPr>
        <w:t> 日内，对给付保</w:t>
      </w:r>
      <w:r>
        <w:rPr>
          <w:spacing w:val="-11"/>
        </w:rPr>
        <w:t>险金的数额不能确定的，根据已有证明和资料可以确定的数额先予支付；我们最终确定给付保险金的数额后，将支付相应的差额。</w:t>
      </w:r>
    </w:p>
    <w:p>
      <w:pPr>
        <w:pStyle w:val="ListParagraph"/>
        <w:numPr>
          <w:ilvl w:val="1"/>
          <w:numId w:val="4"/>
        </w:numPr>
        <w:tabs>
          <w:tab w:pos="1111" w:val="left" w:leader="none"/>
          <w:tab w:pos="1112" w:val="left" w:leader="none"/>
          <w:tab w:pos="2681" w:val="left" w:leader="none"/>
        </w:tabs>
        <w:spacing w:line="278" w:lineRule="auto" w:before="151" w:after="0"/>
        <w:ind w:left="2682" w:right="207" w:hanging="2471"/>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77"/>
          <w:sz w:val="21"/>
        </w:rPr>
        <w:t>，</w:t>
      </w:r>
      <w:r>
        <w:rPr>
          <w:sz w:val="21"/>
        </w:rPr>
        <w:t>自其知道或者应当知道保险事故发生之日起计算。</w:t>
      </w:r>
    </w:p>
    <w:p>
      <w:pPr>
        <w:pStyle w:val="BodyText"/>
        <w:spacing w:before="1"/>
        <w:rPr>
          <w:sz w:val="9"/>
        </w:rPr>
      </w:pPr>
      <w:r>
        <w:rPr/>
        <w:pict>
          <v:shape style="position:absolute;margin-left:59.16pt;margin-top:7.15392pt;width:477pt;height:16.05pt;mso-position-horizontal-relative:page;mso-position-vertical-relative:paragraph;z-index:1096;mso-wrap-distance-left:0;mso-wrap-distance-right:0" type="#_x0000_t202" filled="true" fillcolor="#d9d9d9"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BodyText"/>
        <w:tabs>
          <w:tab w:pos="1111" w:val="left" w:leader="none"/>
        </w:tabs>
        <w:spacing w:line="280" w:lineRule="auto"/>
        <w:ind w:left="1111" w:hanging="900"/>
        <w:rPr>
          <w:rFonts w:ascii="黑体" w:eastAsia="黑体" w:hint="eastAsia"/>
        </w:rPr>
      </w:pPr>
      <w:r>
        <w:rPr>
          <w:rFonts w:ascii="黑体" w:eastAsia="黑体" w:hint="eastAsia"/>
        </w:rPr>
        <w:t>4.1</w:t>
        <w:tab/>
      </w:r>
      <w:r>
        <w:rPr>
          <w:rFonts w:ascii="黑体" w:eastAsia="黑体" w:hint="eastAsia"/>
          <w:spacing w:val="-1"/>
        </w:rPr>
        <w:t>重大疾病的定</w:t>
      </w:r>
      <w:r>
        <w:rPr>
          <w:rFonts w:ascii="黑体" w:eastAsia="黑体" w:hint="eastAsia"/>
        </w:rPr>
        <w:t>义</w:t>
      </w:r>
    </w:p>
    <w:p>
      <w:pPr>
        <w:pStyle w:val="BodyText"/>
        <w:spacing w:line="280" w:lineRule="auto"/>
        <w:ind w:left="211" w:right="207"/>
        <w:jc w:val="both"/>
      </w:pPr>
      <w:r>
        <w:rPr/>
        <w:br w:type="column"/>
      </w:r>
      <w:r>
        <w:rPr>
          <w:spacing w:val="-7"/>
        </w:rPr>
        <w:t>本合同所保障的重大疾病，是指被保险人因遭受意外伤害或在疾病观察期后</w:t>
      </w:r>
      <w:r>
        <w:rPr>
          <w:spacing w:val="-13"/>
        </w:rPr>
        <w:t>因意外伤害以外的原因，被</w:t>
      </w:r>
      <w:r>
        <w:rPr>
          <w:b/>
        </w:rPr>
        <w:t>专科医生</w:t>
      </w:r>
      <w:r>
        <w:rPr/>
        <w:t>明确诊断初次患下列疾病或初次达到下列疾病状态或在医院初次接受下列手术：</w:t>
      </w:r>
    </w:p>
    <w:p>
      <w:pPr>
        <w:spacing w:after="0" w:line="280" w:lineRule="auto"/>
        <w:jc w:val="both"/>
        <w:sectPr>
          <w:type w:val="continuous"/>
          <w:pgSz w:w="11910" w:h="16840"/>
          <w:pgMar w:top="1260" w:bottom="280" w:left="1080" w:right="1080"/>
          <w:cols w:num="2" w:equalWidth="0">
            <w:col w:w="2371" w:space="100"/>
            <w:col w:w="7279"/>
          </w:cols>
        </w:sectPr>
      </w:pPr>
    </w:p>
    <w:p>
      <w:pPr>
        <w:pStyle w:val="BodyText"/>
        <w:spacing w:before="11"/>
        <w:rPr>
          <w:sz w:val="8"/>
        </w:rPr>
      </w:pPr>
    </w:p>
    <w:p>
      <w:pPr>
        <w:pStyle w:val="BodyText"/>
        <w:spacing w:line="278" w:lineRule="auto"/>
        <w:ind w:left="2681" w:right="207" w:hanging="2471"/>
        <w:jc w:val="both"/>
      </w:pPr>
      <w:r>
        <w:rPr>
          <w:rFonts w:ascii="黑体" w:eastAsia="黑体" w:hint="eastAsia"/>
        </w:rPr>
        <w:t>4.1.1</w:t>
      </w:r>
      <w:r>
        <w:rPr>
          <w:rFonts w:ascii="黑体" w:eastAsia="黑体" w:hint="eastAsia"/>
          <w:spacing w:val="10"/>
        </w:rPr>
        <w:t>   恶性肿瘤     </w:t>
      </w:r>
      <w:r>
        <w:rPr>
          <w:spacing w:val="-5"/>
        </w:rPr>
        <w:t>指恶性细胞不受控制的进行性增长和扩散，浸润和破坏周围正常组织，可以</w:t>
      </w:r>
      <w:r>
        <w:rPr>
          <w:spacing w:val="-10"/>
        </w:rPr>
        <w:t>经血管、淋巴管和体腔扩散转移到身体其他部位的疾病。经病理学检查结果</w:t>
      </w:r>
      <w:r>
        <w:rPr>
          <w:spacing w:val="-11"/>
        </w:rPr>
        <w:t>明确诊断，临床诊断属于世界卫生组织《疾病和有关健康问题的国际统计分</w:t>
      </w:r>
      <w:r>
        <w:rPr>
          <w:spacing w:val="-53"/>
        </w:rPr>
        <w:t>类》</w:t>
      </w:r>
      <w:r>
        <w:rPr>
          <w:spacing w:val="-1"/>
        </w:rPr>
        <w:t>（ICD-10）的恶性肿瘤范畴。</w:t>
      </w:r>
    </w:p>
    <w:p>
      <w:pPr>
        <w:pStyle w:val="BodyText"/>
        <w:spacing w:line="280" w:lineRule="auto" w:before="10"/>
        <w:ind w:left="2682" w:right="4528"/>
      </w:pPr>
      <w:r>
        <w:rPr>
          <w:shd w:fill="D9D9D9" w:color="auto" w:val="clear"/>
        </w:rPr>
        <w:t>下列疾病不在保障范围内：</w:t>
      </w:r>
      <w:r>
        <w:rPr/>
        <w:t> </w:t>
      </w:r>
      <w:r>
        <w:rPr>
          <w:shd w:fill="D9D9D9" w:color="auto" w:val="clear"/>
        </w:rPr>
        <w:t>(1)原位癌；</w:t>
      </w:r>
    </w:p>
    <w:p>
      <w:pPr>
        <w:pStyle w:val="BodyText"/>
        <w:spacing w:line="278" w:lineRule="auto" w:before="9"/>
        <w:ind w:left="2682" w:right="1600"/>
      </w:pPr>
      <w:r>
        <w:rPr>
          <w:shd w:fill="D9D9D9" w:color="auto" w:val="clear"/>
        </w:rPr>
        <w:t>(2)</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(3)皮肤癌（不包括恶性黑色素瘤及已发生转移的皮肤癌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(4)TNM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(5)感染艾滋病病毒或患艾滋病期间所患恶性肿瘤。</w:t>
      </w:r>
    </w:p>
    <w:p>
      <w:pPr>
        <w:spacing w:after="0" w:line="278" w:lineRule="auto"/>
        <w:sectPr>
          <w:type w:val="continuous"/>
          <w:pgSz w:w="11910" w:h="16840"/>
          <w:pgMar w:top="126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03"/>
        <w:gridCol w:w="7062"/>
      </w:tblGrid>
      <w:tr>
        <w:trPr>
          <w:trHeight w:val="1615" w:hRule="atLeast"/>
        </w:trPr>
        <w:tc>
          <w:tcPr>
            <w:tcW w:w="762" w:type="dxa"/>
          </w:tcPr>
          <w:p>
            <w:pPr>
              <w:pStyle w:val="TableParagraph"/>
              <w:spacing w:line="204" w:lineRule="exact" w:before="0"/>
              <w:rPr>
                <w:rFonts w:ascii="黑体"/>
                <w:sz w:val="21"/>
              </w:rPr>
            </w:pPr>
            <w:r>
              <w:rPr>
                <w:rFonts w:ascii="黑体"/>
                <w:sz w:val="21"/>
              </w:rPr>
              <w:t>4.1.2</w:t>
            </w:r>
          </w:p>
        </w:tc>
        <w:tc>
          <w:tcPr>
            <w:tcW w:w="1603" w:type="dxa"/>
          </w:tcPr>
          <w:p>
            <w:pPr>
              <w:pStyle w:val="TableParagraph"/>
              <w:spacing w:line="204" w:lineRule="exact" w:before="0"/>
              <w:ind w:left="188"/>
              <w:rPr>
                <w:rFonts w:ascii="黑体" w:eastAsia="黑体" w:hint="eastAsia"/>
                <w:sz w:val="21"/>
              </w:rPr>
            </w:pPr>
            <w:r>
              <w:rPr>
                <w:rFonts w:ascii="黑体" w:eastAsia="黑体" w:hint="eastAsia"/>
                <w:sz w:val="21"/>
              </w:rPr>
              <w:t>重大器官移植</w:t>
            </w:r>
          </w:p>
          <w:p>
            <w:pPr>
              <w:pStyle w:val="TableParagraph"/>
              <w:spacing w:line="280" w:lineRule="auto" w:before="44"/>
              <w:ind w:left="187" w:right="153"/>
              <w:rPr>
                <w:rFonts w:ascii="黑体" w:eastAsia="黑体" w:hint="eastAsia"/>
                <w:sz w:val="21"/>
              </w:rPr>
            </w:pPr>
            <w:r>
              <w:rPr>
                <w:rFonts w:ascii="黑体" w:eastAsia="黑体" w:hint="eastAsia"/>
                <w:sz w:val="21"/>
              </w:rPr>
              <w:t>术或造血干细胞移植术</w:t>
            </w:r>
          </w:p>
        </w:tc>
        <w:tc>
          <w:tcPr>
            <w:tcW w:w="7062" w:type="dxa"/>
          </w:tcPr>
          <w:p>
            <w:pPr>
              <w:pStyle w:val="TableParagraph"/>
              <w:spacing w:line="204" w:lineRule="exact" w:before="0"/>
              <w:ind w:left="155"/>
              <w:rPr>
                <w:sz w:val="21"/>
              </w:rPr>
            </w:pPr>
            <w:r>
              <w:rPr>
                <w:spacing w:val="-6"/>
                <w:sz w:val="21"/>
              </w:rPr>
              <w:t>重大器官移植术，指因相应器官功能衰竭，已经实施了肾脏、肝脏、心脏或</w:t>
            </w:r>
          </w:p>
          <w:p>
            <w:pPr>
              <w:pStyle w:val="TableParagraph"/>
              <w:spacing w:before="44"/>
              <w:ind w:left="155"/>
              <w:rPr>
                <w:sz w:val="21"/>
              </w:rPr>
            </w:pPr>
            <w:r>
              <w:rPr>
                <w:sz w:val="21"/>
              </w:rPr>
              <w:t>肺脏的异体移植手术。</w:t>
            </w:r>
          </w:p>
          <w:p>
            <w:pPr>
              <w:pStyle w:val="TableParagraph"/>
              <w:spacing w:line="278" w:lineRule="auto" w:before="45"/>
              <w:ind w:left="155" w:right="49"/>
              <w:jc w:val="both"/>
              <w:rPr>
                <w:sz w:val="21"/>
              </w:rPr>
            </w:pPr>
            <w:r>
              <w:rPr>
                <w:spacing w:val="-7"/>
                <w:sz w:val="21"/>
              </w:rPr>
              <w:t>造血干细胞移植术，指因造血功能损害或造血系统恶性肿瘤，已经实施了造</w:t>
            </w:r>
            <w:r>
              <w:rPr>
                <w:spacing w:val="-12"/>
                <w:sz w:val="21"/>
              </w:rPr>
              <w:t>血干细胞</w:t>
            </w:r>
            <w:r>
              <w:rPr>
                <w:sz w:val="21"/>
              </w:rPr>
              <w:t>（</w:t>
            </w:r>
            <w:r>
              <w:rPr>
                <w:spacing w:val="-3"/>
                <w:sz w:val="21"/>
              </w:rPr>
              <w:t>包括骨髓造血干细胞、外周血造血干细胞和脐血造血干细胞</w:t>
            </w:r>
            <w:r>
              <w:rPr>
                <w:spacing w:val="-26"/>
                <w:sz w:val="21"/>
              </w:rPr>
              <w:t>）</w:t>
            </w:r>
            <w:r>
              <w:rPr>
                <w:sz w:val="21"/>
              </w:rPr>
              <w:t>的异体移植手术。</w:t>
            </w:r>
          </w:p>
        </w:tc>
      </w:tr>
      <w:tr>
        <w:trPr>
          <w:trHeight w:val="1421" w:hRule="atLeast"/>
        </w:trPr>
        <w:tc>
          <w:tcPr>
            <w:tcW w:w="762" w:type="dxa"/>
          </w:tcPr>
          <w:p>
            <w:pPr>
              <w:pStyle w:val="TableParagraph"/>
              <w:spacing w:before="54"/>
              <w:rPr>
                <w:rFonts w:ascii="黑体"/>
                <w:sz w:val="21"/>
              </w:rPr>
            </w:pPr>
            <w:r>
              <w:rPr>
                <w:rFonts w:ascii="黑体"/>
                <w:sz w:val="21"/>
              </w:rPr>
              <w:t>4.1.3</w:t>
            </w:r>
          </w:p>
        </w:tc>
        <w:tc>
          <w:tcPr>
            <w:tcW w:w="1603" w:type="dxa"/>
          </w:tcPr>
          <w:p>
            <w:pPr>
              <w:pStyle w:val="TableParagraph"/>
              <w:spacing w:before="54"/>
              <w:ind w:left="188"/>
              <w:rPr>
                <w:rFonts w:ascii="黑体" w:eastAsia="黑体" w:hint="eastAsia"/>
                <w:sz w:val="21"/>
              </w:rPr>
            </w:pPr>
            <w:r>
              <w:rPr>
                <w:rFonts w:ascii="黑体" w:eastAsia="黑体" w:hint="eastAsia"/>
                <w:sz w:val="21"/>
              </w:rPr>
              <w:t>终末期肾病</w:t>
            </w:r>
          </w:p>
          <w:p>
            <w:pPr>
              <w:pStyle w:val="TableParagraph"/>
              <w:spacing w:line="278" w:lineRule="auto" w:before="45"/>
              <w:ind w:left="187" w:right="153"/>
              <w:jc w:val="both"/>
              <w:rPr>
                <w:rFonts w:ascii="黑体" w:eastAsia="黑体" w:hint="eastAsia"/>
                <w:sz w:val="21"/>
              </w:rPr>
            </w:pPr>
            <w:r>
              <w:rPr>
                <w:rFonts w:ascii="黑体" w:eastAsia="黑体" w:hint="eastAsia"/>
                <w:sz w:val="21"/>
              </w:rPr>
              <w:t>（或称慢性肾功能衰竭尿毒症期）</w:t>
            </w:r>
          </w:p>
        </w:tc>
        <w:tc>
          <w:tcPr>
            <w:tcW w:w="7062" w:type="dxa"/>
          </w:tcPr>
          <w:p>
            <w:pPr>
              <w:pStyle w:val="TableParagraph"/>
              <w:spacing w:before="54"/>
              <w:ind w:left="155"/>
              <w:rPr>
                <w:sz w:val="21"/>
              </w:rPr>
            </w:pPr>
            <w:r>
              <w:rPr>
                <w:sz w:val="21"/>
              </w:rPr>
              <w:t>指双肾功能慢性不可逆性衰竭，达到尿毒症期，经诊断后已经进行了至少</w:t>
            </w:r>
          </w:p>
          <w:p>
            <w:pPr>
              <w:pStyle w:val="TableParagraph"/>
              <w:spacing w:before="45"/>
              <w:ind w:left="155"/>
              <w:rPr>
                <w:sz w:val="21"/>
              </w:rPr>
            </w:pPr>
            <w:r>
              <w:rPr>
                <w:sz w:val="21"/>
              </w:rPr>
              <w:t>90 天的规律性透析治疗或实施了肾脏移植手术。</w:t>
            </w:r>
          </w:p>
        </w:tc>
      </w:tr>
      <w:tr>
        <w:trPr>
          <w:trHeight w:val="782" w:hRule="atLeast"/>
        </w:trPr>
        <w:tc>
          <w:tcPr>
            <w:tcW w:w="762" w:type="dxa"/>
          </w:tcPr>
          <w:p>
            <w:pPr>
              <w:pStyle w:val="TableParagraph"/>
              <w:spacing w:before="54"/>
              <w:rPr>
                <w:rFonts w:ascii="黑体"/>
                <w:sz w:val="21"/>
              </w:rPr>
            </w:pPr>
            <w:r>
              <w:rPr>
                <w:rFonts w:ascii="黑体"/>
                <w:sz w:val="21"/>
              </w:rPr>
              <w:t>4.1.4</w:t>
            </w:r>
          </w:p>
        </w:tc>
        <w:tc>
          <w:tcPr>
            <w:tcW w:w="1603" w:type="dxa"/>
          </w:tcPr>
          <w:p>
            <w:pPr>
              <w:pStyle w:val="TableParagraph"/>
              <w:spacing w:before="54"/>
              <w:ind w:left="188"/>
              <w:rPr>
                <w:rFonts w:ascii="黑体" w:eastAsia="黑体" w:hint="eastAsia"/>
                <w:sz w:val="21"/>
              </w:rPr>
            </w:pPr>
            <w:r>
              <w:rPr>
                <w:rFonts w:ascii="黑体" w:eastAsia="黑体" w:hint="eastAsia"/>
                <w:sz w:val="21"/>
              </w:rPr>
              <w:t>多个肢体缺失</w:t>
            </w:r>
          </w:p>
        </w:tc>
        <w:tc>
          <w:tcPr>
            <w:tcW w:w="7062" w:type="dxa"/>
          </w:tcPr>
          <w:p>
            <w:pPr>
              <w:pStyle w:val="TableParagraph"/>
              <w:spacing w:line="280" w:lineRule="auto" w:before="54"/>
              <w:ind w:left="155" w:right="52"/>
              <w:rPr>
                <w:sz w:val="21"/>
              </w:rPr>
            </w:pPr>
            <w:r>
              <w:rPr>
                <w:spacing w:val="-3"/>
                <w:sz w:val="21"/>
              </w:rPr>
              <w:t>指因疾病或意外伤害导致两个或两个以上肢体自腕关节或踝关节近端</w:t>
            </w:r>
            <w:r>
              <w:rPr>
                <w:sz w:val="21"/>
              </w:rPr>
              <w:t>（靠近躯干端）以上完全性断离。</w:t>
            </w:r>
          </w:p>
        </w:tc>
      </w:tr>
      <w:tr>
        <w:trPr>
          <w:trHeight w:val="2061" w:hRule="atLeast"/>
        </w:trPr>
        <w:tc>
          <w:tcPr>
            <w:tcW w:w="762" w:type="dxa"/>
          </w:tcPr>
          <w:p>
            <w:pPr>
              <w:pStyle w:val="TableParagraph"/>
              <w:spacing w:before="54"/>
              <w:rPr>
                <w:rFonts w:ascii="黑体"/>
                <w:sz w:val="21"/>
              </w:rPr>
            </w:pPr>
            <w:r>
              <w:rPr>
                <w:rFonts w:ascii="黑体"/>
                <w:sz w:val="21"/>
              </w:rPr>
              <w:t>4.1.5</w:t>
            </w:r>
          </w:p>
        </w:tc>
        <w:tc>
          <w:tcPr>
            <w:tcW w:w="1603" w:type="dxa"/>
          </w:tcPr>
          <w:p>
            <w:pPr>
              <w:pStyle w:val="TableParagraph"/>
              <w:spacing w:line="280" w:lineRule="auto" w:before="54"/>
              <w:ind w:left="187" w:right="153"/>
              <w:rPr>
                <w:rFonts w:ascii="黑体" w:eastAsia="黑体" w:hint="eastAsia"/>
                <w:sz w:val="21"/>
              </w:rPr>
            </w:pPr>
            <w:r>
              <w:rPr>
                <w:rFonts w:ascii="黑体" w:eastAsia="黑体" w:hint="eastAsia"/>
                <w:sz w:val="21"/>
              </w:rPr>
              <w:t>急性或亚急性重症肝炎</w:t>
            </w:r>
          </w:p>
        </w:tc>
        <w:tc>
          <w:tcPr>
            <w:tcW w:w="7062" w:type="dxa"/>
          </w:tcPr>
          <w:p>
            <w:pPr>
              <w:pStyle w:val="TableParagraph"/>
              <w:spacing w:line="278" w:lineRule="auto" w:before="54"/>
              <w:ind w:left="155" w:right="51"/>
              <w:rPr>
                <w:sz w:val="21"/>
              </w:rPr>
            </w:pPr>
            <w:r>
              <w:rPr>
                <w:spacing w:val="-4"/>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55"/>
              <w:rPr>
                <w:sz w:val="21"/>
              </w:rPr>
            </w:pPr>
            <w:r>
              <w:rPr>
                <w:sz w:val="21"/>
              </w:rPr>
              <w:t>(2)肝性脑病；</w:t>
            </w:r>
          </w:p>
          <w:p>
            <w:pPr>
              <w:pStyle w:val="TableParagraph"/>
              <w:spacing w:line="278" w:lineRule="auto" w:before="45"/>
              <w:ind w:left="155" w:right="2166"/>
              <w:rPr>
                <w:sz w:val="21"/>
              </w:rPr>
            </w:pPr>
            <w:r>
              <w:rPr>
                <w:sz w:val="21"/>
              </w:rPr>
              <w:t>(3)B 超或其他影像学检查显示肝脏体积急速萎缩； (4)肝功能指标进行性恶化。</w:t>
            </w:r>
          </w:p>
        </w:tc>
      </w:tr>
      <w:tr>
        <w:trPr>
          <w:trHeight w:val="2382" w:hRule="atLeast"/>
        </w:trPr>
        <w:tc>
          <w:tcPr>
            <w:tcW w:w="762" w:type="dxa"/>
          </w:tcPr>
          <w:p>
            <w:pPr>
              <w:pStyle w:val="TableParagraph"/>
              <w:spacing w:before="54"/>
              <w:rPr>
                <w:rFonts w:ascii="黑体"/>
                <w:sz w:val="21"/>
              </w:rPr>
            </w:pPr>
            <w:r>
              <w:rPr>
                <w:rFonts w:ascii="黑体"/>
                <w:sz w:val="21"/>
              </w:rPr>
              <w:t>4.1.6</w:t>
            </w:r>
          </w:p>
        </w:tc>
        <w:tc>
          <w:tcPr>
            <w:tcW w:w="1603" w:type="dxa"/>
          </w:tcPr>
          <w:p>
            <w:pPr>
              <w:pStyle w:val="TableParagraph"/>
              <w:spacing w:before="54"/>
              <w:ind w:left="188"/>
              <w:rPr>
                <w:rFonts w:ascii="黑体" w:eastAsia="黑体" w:hint="eastAsia"/>
                <w:sz w:val="21"/>
              </w:rPr>
            </w:pPr>
            <w:r>
              <w:rPr>
                <w:rFonts w:ascii="黑体" w:eastAsia="黑体" w:hint="eastAsia"/>
                <w:sz w:val="21"/>
              </w:rPr>
              <w:t>良性脑肿瘤</w:t>
            </w:r>
          </w:p>
        </w:tc>
        <w:tc>
          <w:tcPr>
            <w:tcW w:w="7062" w:type="dxa"/>
          </w:tcPr>
          <w:p>
            <w:pPr>
              <w:pStyle w:val="TableParagraph"/>
              <w:spacing w:line="280" w:lineRule="auto" w:before="54"/>
              <w:ind w:left="155" w:right="47"/>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pacing w:val="-1"/>
                <w:sz w:val="21"/>
              </w:rPr>
              <w:t>C</w:t>
            </w:r>
            <w:r>
              <w:rPr>
                <w:spacing w:val="0"/>
                <w:sz w:val="21"/>
              </w:rPr>
              <w:t>T</w:t>
            </w:r>
            <w:r>
              <w:rPr>
                <w:spacing w:val="-104"/>
                <w:sz w:val="21"/>
              </w:rPr>
              <w:t>）</w:t>
            </w:r>
            <w:r>
              <w:rPr>
                <w:sz w:val="21"/>
              </w:rPr>
              <w:t>、核</w:t>
            </w:r>
            <w:r>
              <w:rPr>
                <w:spacing w:val="-4"/>
                <w:sz w:val="21"/>
              </w:rPr>
              <w:t>磁共振检查（MRI）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55"/>
              <w:rPr>
                <w:sz w:val="21"/>
              </w:rPr>
            </w:pPr>
            <w:r>
              <w:rPr>
                <w:sz w:val="21"/>
                <w:shd w:fill="D9D9D9" w:color="auto" w:val="clear"/>
              </w:rPr>
              <w:t>脑垂体瘤、脑囊肿、脑血管性疾病不在保障范围内</w:t>
            </w:r>
            <w:r>
              <w:rPr>
                <w:sz w:val="21"/>
              </w:rPr>
              <w:t>。</w:t>
            </w:r>
          </w:p>
        </w:tc>
      </w:tr>
      <w:tr>
        <w:trPr>
          <w:trHeight w:val="1616" w:hRule="atLeast"/>
        </w:trPr>
        <w:tc>
          <w:tcPr>
            <w:tcW w:w="762" w:type="dxa"/>
          </w:tcPr>
          <w:p>
            <w:pPr>
              <w:pStyle w:val="TableParagraph"/>
              <w:spacing w:before="54"/>
              <w:rPr>
                <w:rFonts w:ascii="黑体"/>
                <w:sz w:val="21"/>
              </w:rPr>
            </w:pPr>
            <w:r>
              <w:rPr>
                <w:rFonts w:ascii="黑体"/>
                <w:sz w:val="21"/>
              </w:rPr>
              <w:t>4.1.7</w:t>
            </w:r>
          </w:p>
        </w:tc>
        <w:tc>
          <w:tcPr>
            <w:tcW w:w="1603" w:type="dxa"/>
          </w:tcPr>
          <w:p>
            <w:pPr>
              <w:pStyle w:val="TableParagraph"/>
              <w:spacing w:line="280" w:lineRule="auto" w:before="54"/>
              <w:ind w:left="188" w:right="154"/>
              <w:rPr>
                <w:rFonts w:ascii="黑体" w:eastAsia="黑体" w:hint="eastAsia"/>
                <w:sz w:val="21"/>
              </w:rPr>
            </w:pPr>
            <w:r>
              <w:rPr>
                <w:rFonts w:ascii="黑体" w:eastAsia="黑体" w:hint="eastAsia"/>
                <w:sz w:val="21"/>
              </w:rPr>
              <w:t>脑炎后遗症或脑膜炎后遗症</w:t>
            </w:r>
          </w:p>
        </w:tc>
        <w:tc>
          <w:tcPr>
            <w:tcW w:w="7062" w:type="dxa"/>
          </w:tcPr>
          <w:p>
            <w:pPr>
              <w:pStyle w:val="TableParagraph"/>
              <w:spacing w:line="280" w:lineRule="auto" w:before="54"/>
              <w:ind w:left="155" w:right="50"/>
              <w:rPr>
                <w:sz w:val="21"/>
              </w:rPr>
            </w:pPr>
            <w:r>
              <w:rPr>
                <w:spacing w:val="-4"/>
                <w:sz w:val="21"/>
              </w:rPr>
              <w:t>指因患脑炎或脑膜炎导致的神经系统永久性的功能障碍。神经系统永久性的</w:t>
            </w:r>
            <w:r>
              <w:rPr>
                <w:spacing w:val="-9"/>
                <w:sz w:val="21"/>
              </w:rPr>
              <w:t>功能障碍，指疾病确诊 </w:t>
            </w:r>
            <w:r>
              <w:rPr>
                <w:sz w:val="21"/>
              </w:rPr>
              <w:t>180</w:t>
            </w:r>
            <w:r>
              <w:rPr>
                <w:spacing w:val="-8"/>
                <w:sz w:val="21"/>
              </w:rPr>
              <w:t> 天后，仍遗留下列一种或一种以上障碍：</w:t>
            </w:r>
          </w:p>
          <w:p>
            <w:pPr>
              <w:pStyle w:val="TableParagraph"/>
              <w:spacing w:before="9"/>
              <w:ind w:left="155"/>
              <w:rPr>
                <w:sz w:val="21"/>
              </w:rPr>
            </w:pPr>
            <w:r>
              <w:rPr>
                <w:w w:val="95"/>
                <w:sz w:val="21"/>
              </w:rPr>
              <w:t>(1)一肢或一肢以上</w:t>
            </w:r>
            <w:r>
              <w:rPr>
                <w:b/>
                <w:w w:val="95"/>
                <w:sz w:val="21"/>
              </w:rPr>
              <w:t>肢体机能完全丧失</w:t>
            </w:r>
            <w:r>
              <w:rPr>
                <w:w w:val="95"/>
                <w:sz w:val="21"/>
              </w:rPr>
              <w:t>；</w:t>
            </w:r>
          </w:p>
          <w:p>
            <w:pPr>
              <w:pStyle w:val="TableParagraph"/>
              <w:spacing w:before="44"/>
              <w:ind w:left="155"/>
              <w:rPr>
                <w:sz w:val="21"/>
              </w:rPr>
            </w:pPr>
            <w:r>
              <w:rPr>
                <w:w w:val="95"/>
                <w:sz w:val="21"/>
              </w:rPr>
              <w:t>(2)</w:t>
            </w:r>
            <w:r>
              <w:rPr>
                <w:b/>
                <w:w w:val="95"/>
                <w:sz w:val="21"/>
              </w:rPr>
              <w:t>语言能力或咀嚼吞咽能力完全丧失</w:t>
            </w:r>
            <w:r>
              <w:rPr>
                <w:w w:val="95"/>
                <w:sz w:val="21"/>
              </w:rPr>
              <w:t>；</w:t>
            </w:r>
          </w:p>
          <w:p>
            <w:pPr>
              <w:pStyle w:val="TableParagraph"/>
              <w:spacing w:line="261" w:lineRule="exact" w:before="45"/>
              <w:ind w:left="155"/>
              <w:rPr>
                <w:sz w:val="21"/>
              </w:rPr>
            </w:pPr>
            <w:r>
              <w:rPr>
                <w:sz w:val="21"/>
              </w:rPr>
              <w:t>(3)自主生活能力完全丧失，无法独立完成</w:t>
            </w:r>
            <w:r>
              <w:rPr>
                <w:b/>
                <w:sz w:val="21"/>
              </w:rPr>
              <w:t>六项基本日常生活活动</w:t>
            </w:r>
            <w:r>
              <w:rPr>
                <w:sz w:val="21"/>
              </w:rPr>
              <w:t>中的三项</w:t>
            </w:r>
          </w:p>
        </w:tc>
      </w:tr>
    </w:tbl>
    <w:p>
      <w:pPr>
        <w:pStyle w:val="BodyText"/>
        <w:spacing w:before="39"/>
        <w:ind w:left="2937"/>
      </w:pPr>
      <w:r>
        <w:rPr/>
        <w:t>或三项以上。</w:t>
      </w:r>
    </w:p>
    <w:p>
      <w:pPr>
        <w:pStyle w:val="BodyText"/>
        <w:spacing w:before="3"/>
        <w:rPr>
          <w:sz w:val="14"/>
        </w:rPr>
      </w:pPr>
    </w:p>
    <w:p>
      <w:pPr>
        <w:pStyle w:val="ListParagraph"/>
        <w:numPr>
          <w:ilvl w:val="2"/>
          <w:numId w:val="5"/>
        </w:numPr>
        <w:tabs>
          <w:tab w:pos="1051" w:val="left" w:leader="none"/>
          <w:tab w:pos="1052" w:val="left" w:leader="none"/>
          <w:tab w:pos="2621" w:val="left" w:leader="none"/>
        </w:tabs>
        <w:spacing w:line="278" w:lineRule="auto" w:before="1" w:after="0"/>
        <w:ind w:left="2621" w:right="103" w:hanging="2470"/>
        <w:jc w:val="left"/>
        <w:rPr>
          <w:sz w:val="21"/>
        </w:rPr>
      </w:pPr>
      <w:r>
        <w:rPr>
          <w:rFonts w:ascii="黑体" w:eastAsia="黑体" w:hint="eastAsia"/>
          <w:sz w:val="21"/>
        </w:rPr>
        <w:t>深度昏迷</w:t>
        <w:tab/>
      </w:r>
      <w:r>
        <w:rPr>
          <w:spacing w:val="2"/>
          <w:sz w:val="21"/>
        </w:rPr>
        <w:t>指</w:t>
      </w:r>
      <w:r>
        <w:rPr>
          <w:sz w:val="21"/>
        </w:rPr>
        <w:t>因</w:t>
      </w:r>
      <w:r>
        <w:rPr>
          <w:spacing w:val="2"/>
          <w:sz w:val="21"/>
        </w:rPr>
        <w:t>疾</w:t>
      </w:r>
      <w:r>
        <w:rPr>
          <w:sz w:val="21"/>
        </w:rPr>
        <w:t>病或</w:t>
      </w:r>
      <w:r>
        <w:rPr>
          <w:spacing w:val="2"/>
          <w:sz w:val="21"/>
        </w:rPr>
        <w:t>意</w:t>
      </w:r>
      <w:r>
        <w:rPr>
          <w:sz w:val="21"/>
        </w:rPr>
        <w:t>外</w:t>
      </w:r>
      <w:r>
        <w:rPr>
          <w:spacing w:val="2"/>
          <w:sz w:val="21"/>
        </w:rPr>
        <w:t>伤</w:t>
      </w:r>
      <w:r>
        <w:rPr>
          <w:sz w:val="21"/>
        </w:rPr>
        <w:t>害导</w:t>
      </w:r>
      <w:r>
        <w:rPr>
          <w:spacing w:val="2"/>
          <w:sz w:val="21"/>
        </w:rPr>
        <w:t>致</w:t>
      </w:r>
      <w:r>
        <w:rPr>
          <w:sz w:val="21"/>
        </w:rPr>
        <w:t>意</w:t>
      </w:r>
      <w:r>
        <w:rPr>
          <w:spacing w:val="2"/>
          <w:sz w:val="21"/>
        </w:rPr>
        <w:t>识</w:t>
      </w:r>
      <w:r>
        <w:rPr>
          <w:sz w:val="21"/>
        </w:rPr>
        <w:t>丧</w:t>
      </w:r>
      <w:r>
        <w:rPr>
          <w:spacing w:val="2"/>
          <w:sz w:val="21"/>
        </w:rPr>
        <w:t>失</w:t>
      </w:r>
      <w:r>
        <w:rPr>
          <w:sz w:val="21"/>
        </w:rPr>
        <w:t>,</w:t>
      </w:r>
      <w:r>
        <w:rPr>
          <w:spacing w:val="2"/>
          <w:sz w:val="21"/>
        </w:rPr>
        <w:t>对</w:t>
      </w:r>
      <w:r>
        <w:rPr>
          <w:sz w:val="21"/>
        </w:rPr>
        <w:t>外</w:t>
      </w:r>
      <w:r>
        <w:rPr>
          <w:spacing w:val="2"/>
          <w:sz w:val="21"/>
        </w:rPr>
        <w:t>界</w:t>
      </w:r>
      <w:r>
        <w:rPr>
          <w:sz w:val="21"/>
        </w:rPr>
        <w:t>刺激</w:t>
      </w:r>
      <w:r>
        <w:rPr>
          <w:spacing w:val="2"/>
          <w:sz w:val="21"/>
        </w:rPr>
        <w:t>和</w:t>
      </w:r>
      <w:r>
        <w:rPr>
          <w:sz w:val="21"/>
        </w:rPr>
        <w:t>体</w:t>
      </w:r>
      <w:r>
        <w:rPr>
          <w:spacing w:val="2"/>
          <w:sz w:val="21"/>
        </w:rPr>
        <w:t>内</w:t>
      </w:r>
      <w:r>
        <w:rPr>
          <w:sz w:val="21"/>
        </w:rPr>
        <w:t>需求</w:t>
      </w:r>
      <w:r>
        <w:rPr>
          <w:spacing w:val="2"/>
          <w:sz w:val="21"/>
        </w:rPr>
        <w:t>均</w:t>
      </w:r>
      <w:r>
        <w:rPr>
          <w:sz w:val="21"/>
        </w:rPr>
        <w:t>无</w:t>
      </w:r>
      <w:r>
        <w:rPr>
          <w:spacing w:val="2"/>
          <w:sz w:val="21"/>
        </w:rPr>
        <w:t>反应</w:t>
      </w:r>
      <w:r>
        <w:rPr>
          <w:sz w:val="21"/>
        </w:rPr>
        <w:t>,</w:t>
      </w:r>
      <w:r>
        <w:rPr>
          <w:spacing w:val="2"/>
          <w:sz w:val="21"/>
        </w:rPr>
        <w:t>昏</w:t>
      </w:r>
      <w:r>
        <w:rPr>
          <w:sz w:val="21"/>
        </w:rPr>
        <w:t>迷 程度按照格拉斯哥昏迷分</w:t>
      </w:r>
      <w:r>
        <w:rPr>
          <w:spacing w:val="-39"/>
          <w:sz w:val="21"/>
        </w:rPr>
        <w:t>级</w:t>
      </w:r>
      <w:r>
        <w:rPr>
          <w:sz w:val="21"/>
        </w:rPr>
        <w:t>（Glasgow</w:t>
      </w:r>
      <w:r>
        <w:rPr>
          <w:spacing w:val="-54"/>
          <w:sz w:val="21"/>
        </w:rPr>
        <w:t> </w:t>
      </w:r>
      <w:r>
        <w:rPr>
          <w:sz w:val="21"/>
        </w:rPr>
        <w:t>coma</w:t>
      </w:r>
      <w:r>
        <w:rPr>
          <w:spacing w:val="-55"/>
          <w:sz w:val="21"/>
        </w:rPr>
        <w:t> </w:t>
      </w:r>
      <w:r>
        <w:rPr>
          <w:spacing w:val="-8"/>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622"/>
      </w:pPr>
      <w:r>
        <w:rPr>
          <w:shd w:fill="D9D9D9" w:color="auto" w:val="clear"/>
        </w:rPr>
        <w:t>因酗酒或药物滥用导致的深度昏迷不在保障范围内</w:t>
      </w:r>
      <w:r>
        <w:rPr/>
        <w:t>。</w:t>
      </w:r>
    </w:p>
    <w:p>
      <w:pPr>
        <w:pStyle w:val="BodyText"/>
        <w:spacing w:before="3"/>
        <w:rPr>
          <w:sz w:val="14"/>
        </w:rPr>
      </w:pPr>
    </w:p>
    <w:p>
      <w:pPr>
        <w:pStyle w:val="ListParagraph"/>
        <w:numPr>
          <w:ilvl w:val="2"/>
          <w:numId w:val="5"/>
        </w:numPr>
        <w:tabs>
          <w:tab w:pos="1051" w:val="left" w:leader="none"/>
          <w:tab w:pos="1052" w:val="left" w:leader="none"/>
          <w:tab w:pos="2621" w:val="left" w:leader="none"/>
        </w:tabs>
        <w:spacing w:line="278" w:lineRule="auto" w:before="1" w:after="0"/>
        <w:ind w:left="2622" w:right="133" w:hanging="2471"/>
        <w:jc w:val="left"/>
        <w:rPr>
          <w:sz w:val="21"/>
        </w:rPr>
      </w:pPr>
      <w:r>
        <w:rPr>
          <w:rFonts w:ascii="黑体" w:eastAsia="黑体" w:hint="eastAsia"/>
          <w:sz w:val="21"/>
        </w:rPr>
        <w:t>双耳失聪</w:t>
        <w:tab/>
      </w:r>
      <w:r>
        <w:rPr>
          <w:sz w:val="21"/>
        </w:rPr>
        <w:t>指因疾病或意外伤害导致双耳听力</w:t>
      </w:r>
      <w:r>
        <w:rPr>
          <w:b/>
          <w:sz w:val="21"/>
        </w:rPr>
        <w:t>永久不可逆</w:t>
      </w:r>
      <w:r>
        <w:rPr>
          <w:sz w:val="21"/>
        </w:rPr>
        <w:t>性丧失，在</w:t>
      </w:r>
      <w:r>
        <w:rPr>
          <w:spacing w:val="-61"/>
          <w:sz w:val="21"/>
        </w:rPr>
        <w:t> </w:t>
      </w:r>
      <w:r>
        <w:rPr>
          <w:sz w:val="21"/>
        </w:rPr>
        <w:t>500</w:t>
      </w:r>
      <w:r>
        <w:rPr>
          <w:spacing w:val="-61"/>
          <w:sz w:val="21"/>
        </w:rPr>
        <w:t> </w:t>
      </w:r>
      <w:r>
        <w:rPr>
          <w:sz w:val="21"/>
        </w:rPr>
        <w:t>赫兹、1000</w:t>
      </w:r>
      <w:r>
        <w:rPr>
          <w:spacing w:val="-1"/>
          <w:sz w:val="21"/>
        </w:rPr>
        <w:t> </w:t>
      </w:r>
      <w:r>
        <w:rPr>
          <w:sz w:val="21"/>
        </w:rPr>
        <w:t>赫兹和</w:t>
      </w:r>
      <w:r>
        <w:rPr>
          <w:spacing w:val="-60"/>
          <w:sz w:val="21"/>
        </w:rPr>
        <w:t> </w:t>
      </w:r>
      <w:r>
        <w:rPr>
          <w:sz w:val="21"/>
        </w:rPr>
        <w:t>2000</w:t>
      </w:r>
      <w:r>
        <w:rPr>
          <w:spacing w:val="-60"/>
          <w:sz w:val="21"/>
        </w:rPr>
        <w:t> </w:t>
      </w:r>
      <w:r>
        <w:rPr>
          <w:sz w:val="21"/>
        </w:rPr>
        <w:t>赫兹语音频率下，平均听阈大于</w:t>
      </w:r>
      <w:r>
        <w:rPr>
          <w:spacing w:val="-60"/>
          <w:sz w:val="21"/>
        </w:rPr>
        <w:t> </w:t>
      </w:r>
      <w:r>
        <w:rPr>
          <w:sz w:val="21"/>
        </w:rPr>
        <w:t>90</w:t>
      </w:r>
      <w:r>
        <w:rPr>
          <w:spacing w:val="-60"/>
          <w:sz w:val="21"/>
        </w:rPr>
        <w:t> </w:t>
      </w:r>
      <w:r>
        <w:rPr>
          <w:sz w:val="21"/>
        </w:rPr>
        <w:t>分贝，且经纯音听力测试、声导抗检测或听觉诱发电位检测等证实。</w:t>
      </w:r>
    </w:p>
    <w:p>
      <w:pPr>
        <w:pStyle w:val="BodyText"/>
        <w:spacing w:line="278" w:lineRule="auto" w:before="12"/>
        <w:ind w:left="2622" w:right="2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周岁以上，并且须提供理赔当时的听力丧失诊断及检查证据</w:t>
      </w:r>
      <w:r>
        <w:rPr>
          <w:spacing w:val="-11"/>
        </w:rPr>
        <w:t>。</w:t>
      </w:r>
    </w:p>
    <w:p>
      <w:pPr>
        <w:pStyle w:val="ListParagraph"/>
        <w:numPr>
          <w:ilvl w:val="2"/>
          <w:numId w:val="5"/>
        </w:numPr>
        <w:tabs>
          <w:tab w:pos="1051" w:val="left" w:leader="none"/>
          <w:tab w:pos="1052" w:val="left" w:leader="none"/>
          <w:tab w:pos="2621" w:val="left" w:leader="none"/>
        </w:tabs>
        <w:spacing w:line="240" w:lineRule="auto" w:before="153" w:after="0"/>
        <w:ind w:left="1051" w:right="0" w:hanging="900"/>
        <w:jc w:val="left"/>
        <w:rPr>
          <w:sz w:val="21"/>
        </w:rPr>
      </w:pPr>
      <w:r>
        <w:rPr>
          <w:rFonts w:ascii="黑体" w:eastAsia="黑体" w:hint="eastAsia"/>
          <w:sz w:val="21"/>
        </w:rPr>
        <w:t>双目失明</w:t>
        <w:tab/>
      </w:r>
      <w:r>
        <w:rPr>
          <w:sz w:val="21"/>
        </w:rPr>
        <w:t>指因疾病或意外伤害导致双眼视力永久不可逆性丧失</w:t>
      </w:r>
      <w:r>
        <w:rPr>
          <w:spacing w:val="-77"/>
          <w:sz w:val="21"/>
        </w:rPr>
        <w:t>，</w:t>
      </w:r>
      <w:r>
        <w:rPr>
          <w:sz w:val="21"/>
        </w:rPr>
        <w:t>双眼中较好眼须满足</w:t>
      </w:r>
    </w:p>
    <w:p>
      <w:pPr>
        <w:spacing w:after="0" w:line="240" w:lineRule="auto"/>
        <w:jc w:val="left"/>
        <w:rPr>
          <w:sz w:val="21"/>
        </w:rPr>
        <w:sectPr>
          <w:pgSz w:w="11910" w:h="16840"/>
          <w:pgMar w:top="1500" w:bottom="280" w:left="1140" w:right="1080"/>
        </w:sectPr>
      </w:pPr>
    </w:p>
    <w:p>
      <w:pPr>
        <w:pStyle w:val="BodyText"/>
        <w:spacing w:line="278" w:lineRule="auto" w:before="8"/>
        <w:ind w:left="2582" w:right="4953"/>
      </w:pPr>
      <w:r>
        <w:rPr/>
        <w:t>下列至少一项条件： (1)眼球缺失或摘除；</w:t>
      </w:r>
    </w:p>
    <w:p>
      <w:pPr>
        <w:pStyle w:val="BodyText"/>
        <w:spacing w:line="280" w:lineRule="auto" w:before="11"/>
        <w:ind w:left="2897" w:right="106" w:hanging="316"/>
      </w:pPr>
      <w:r>
        <w:rPr/>
        <w:t>(2)</w:t>
      </w:r>
      <w:r>
        <w:rPr>
          <w:spacing w:val="-8"/>
        </w:rPr>
        <w:t>矫正视力低于 </w:t>
      </w:r>
      <w:r>
        <w:rPr>
          <w:spacing w:val="-3"/>
        </w:rPr>
        <w:t>0.02（</w:t>
      </w:r>
      <w:r>
        <w:rPr>
          <w:spacing w:val="-2"/>
        </w:rPr>
        <w:t>采用国际标准视力表，如果使用其他视力表应进行换算</w:t>
      </w:r>
      <w:r>
        <w:rPr>
          <w:spacing w:val="-105"/>
        </w:rPr>
        <w:t>）</w:t>
      </w:r>
      <w:r>
        <w:rPr/>
        <w:t>；</w:t>
      </w:r>
    </w:p>
    <w:p>
      <w:pPr>
        <w:pStyle w:val="BodyText"/>
        <w:spacing w:before="8"/>
        <w:ind w:left="2582"/>
      </w:pPr>
      <w:r>
        <w:rPr/>
        <w:t>(3)视野半径小于 5 度。</w:t>
      </w:r>
    </w:p>
    <w:p>
      <w:pPr>
        <w:pStyle w:val="BodyText"/>
        <w:spacing w:line="280" w:lineRule="auto" w:before="45"/>
        <w:ind w:left="2582" w:right="1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周岁以上，并且须提供理赔当时的视力丧失诊断及检查证据</w:t>
      </w:r>
      <w:r>
        <w:rPr>
          <w:spacing w:val="-210"/>
        </w:rPr>
        <w:t>。</w:t>
      </w:r>
    </w:p>
    <w:p>
      <w:pPr>
        <w:pStyle w:val="ListParagraph"/>
        <w:numPr>
          <w:ilvl w:val="2"/>
          <w:numId w:val="5"/>
        </w:numPr>
        <w:tabs>
          <w:tab w:pos="1011" w:val="left" w:leader="none"/>
          <w:tab w:pos="2581" w:val="left" w:leader="none"/>
        </w:tabs>
        <w:spacing w:line="278" w:lineRule="auto" w:before="151" w:after="0"/>
        <w:ind w:left="2582" w:right="107" w:hanging="2471"/>
        <w:jc w:val="both"/>
        <w:rPr>
          <w:sz w:val="21"/>
        </w:rPr>
      </w:pPr>
      <w:r>
        <w:rPr>
          <w:rFonts w:ascii="黑体" w:eastAsia="黑体" w:hint="eastAsia"/>
          <w:sz w:val="21"/>
        </w:rPr>
        <w:t>瘫痪</w:t>
        <w:tab/>
      </w:r>
      <w:r>
        <w:rPr>
          <w:sz w:val="21"/>
        </w:rPr>
        <w:t>指因疾病或意外伤害导致两肢或两肢以上肢体机能永久完全丧失</w:t>
      </w:r>
      <w:r>
        <w:rPr>
          <w:spacing w:val="-77"/>
          <w:sz w:val="21"/>
        </w:rPr>
        <w:t>。</w:t>
      </w:r>
      <w:r>
        <w:rPr>
          <w:sz w:val="21"/>
        </w:rPr>
        <w:t>肢体机能永久完全丧失</w:t>
      </w:r>
      <w:r>
        <w:rPr>
          <w:spacing w:val="-39"/>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9"/>
          <w:sz w:val="21"/>
        </w:rPr>
        <w:t>，</w:t>
      </w:r>
      <w:r>
        <w:rPr>
          <w:sz w:val="21"/>
        </w:rPr>
        <w:t>每肢三大关节中的两大关节仍然完全僵硬，或不能随意识活动。</w:t>
      </w:r>
    </w:p>
    <w:p>
      <w:pPr>
        <w:pStyle w:val="ListParagraph"/>
        <w:numPr>
          <w:ilvl w:val="2"/>
          <w:numId w:val="5"/>
        </w:numPr>
        <w:tabs>
          <w:tab w:pos="1011" w:val="left" w:leader="none"/>
          <w:tab w:pos="1012" w:val="left" w:leader="none"/>
          <w:tab w:pos="2581" w:val="left" w:leader="none"/>
        </w:tabs>
        <w:spacing w:line="280" w:lineRule="auto" w:before="153" w:after="0"/>
        <w:ind w:left="2582" w:right="240" w:hanging="2471"/>
        <w:jc w:val="left"/>
        <w:rPr>
          <w:sz w:val="21"/>
        </w:rPr>
      </w:pPr>
      <w:r>
        <w:rPr>
          <w:rFonts w:ascii="黑体" w:eastAsia="黑体" w:hint="eastAsia"/>
          <w:sz w:val="21"/>
        </w:rPr>
        <w:t>心脏瓣膜手术</w:t>
        <w:tab/>
      </w:r>
      <w:r>
        <w:rPr>
          <w:sz w:val="21"/>
        </w:rPr>
        <w:t>指为治疗心脏瓣膜疾病，实际实施了开胸进行的心脏瓣膜置换或修复的手术。</w:t>
      </w:r>
    </w:p>
    <w:p>
      <w:pPr>
        <w:pStyle w:val="ListParagraph"/>
        <w:numPr>
          <w:ilvl w:val="2"/>
          <w:numId w:val="5"/>
        </w:numPr>
        <w:tabs>
          <w:tab w:pos="1011" w:val="left" w:leader="none"/>
          <w:tab w:pos="1012" w:val="left" w:leader="none"/>
          <w:tab w:pos="2581" w:val="left" w:leader="none"/>
        </w:tabs>
        <w:spacing w:line="278" w:lineRule="auto" w:before="151" w:after="0"/>
        <w:ind w:left="2582" w:right="106" w:hanging="2471"/>
        <w:jc w:val="left"/>
        <w:rPr>
          <w:sz w:val="21"/>
        </w:rPr>
      </w:pPr>
      <w:r>
        <w:rPr>
          <w:rFonts w:ascii="黑体" w:eastAsia="黑体" w:hint="eastAsia"/>
          <w:sz w:val="21"/>
        </w:rPr>
        <w:t>严重脑损伤</w:t>
        <w:tab/>
      </w:r>
      <w:r>
        <w:rPr>
          <w:sz w:val="21"/>
        </w:rPr>
        <w:t>指因头部遭受机械性外力</w:t>
      </w:r>
      <w:r>
        <w:rPr>
          <w:spacing w:val="-39"/>
          <w:sz w:val="21"/>
        </w:rPr>
        <w:t>，</w:t>
      </w:r>
      <w:r>
        <w:rPr>
          <w:sz w:val="21"/>
        </w:rPr>
        <w:t>引起脑重要部位损伤</w:t>
      </w:r>
      <w:r>
        <w:rPr>
          <w:spacing w:val="-39"/>
          <w:sz w:val="21"/>
        </w:rPr>
        <w:t>，</w:t>
      </w:r>
      <w:r>
        <w:rPr>
          <w:sz w:val="21"/>
        </w:rPr>
        <w:t>导致神经系统永久性的功</w:t>
      </w:r>
      <w:r>
        <w:rPr>
          <w:spacing w:val="-1"/>
          <w:sz w:val="21"/>
        </w:rPr>
        <w:t>能障碍</w:t>
      </w:r>
      <w:r>
        <w:rPr>
          <w:spacing w:val="-16"/>
          <w:sz w:val="21"/>
        </w:rPr>
        <w:t>。</w:t>
      </w:r>
      <w:r>
        <w:rPr>
          <w:spacing w:val="-1"/>
          <w:sz w:val="21"/>
        </w:rPr>
        <w:t>须由头颅断层扫</w:t>
      </w:r>
      <w:r>
        <w:rPr>
          <w:spacing w:val="-16"/>
          <w:sz w:val="21"/>
        </w:rPr>
        <w:t>描</w:t>
      </w:r>
      <w:r>
        <w:rPr>
          <w:spacing w:val="0"/>
          <w:sz w:val="21"/>
        </w:rPr>
        <w:t>（</w:t>
      </w:r>
      <w:r>
        <w:rPr>
          <w:spacing w:val="-1"/>
          <w:sz w:val="21"/>
        </w:rPr>
        <w:t>CT</w:t>
      </w:r>
      <w:r>
        <w:rPr>
          <w:spacing w:val="-105"/>
          <w:sz w:val="21"/>
        </w:rPr>
        <w:t>）</w:t>
      </w:r>
      <w:r>
        <w:rPr>
          <w:spacing w:val="-16"/>
          <w:sz w:val="21"/>
        </w:rPr>
        <w:t>、</w:t>
      </w:r>
      <w:r>
        <w:rPr>
          <w:sz w:val="21"/>
        </w:rPr>
        <w:t>核磁共振检</w:t>
      </w:r>
      <w:r>
        <w:rPr>
          <w:spacing w:val="-16"/>
          <w:sz w:val="21"/>
        </w:rPr>
        <w:t>查</w:t>
      </w:r>
      <w:r>
        <w:rPr>
          <w:spacing w:val="0"/>
          <w:sz w:val="21"/>
        </w:rPr>
        <w:t>（</w:t>
      </w:r>
      <w:r>
        <w:rPr>
          <w:spacing w:val="-1"/>
          <w:sz w:val="21"/>
        </w:rPr>
        <w:t>M</w:t>
      </w:r>
      <w:r>
        <w:rPr>
          <w:sz w:val="21"/>
        </w:rPr>
        <w:t>RI</w:t>
      </w:r>
      <w:r>
        <w:rPr>
          <w:spacing w:val="-16"/>
          <w:sz w:val="21"/>
        </w:rPr>
        <w:t>）</w:t>
      </w:r>
      <w:r>
        <w:rPr>
          <w:sz w:val="21"/>
        </w:rPr>
        <w:t>或正电子发射断层扫</w:t>
      </w:r>
      <w:r>
        <w:rPr>
          <w:spacing w:val="-33"/>
          <w:sz w:val="21"/>
        </w:rPr>
        <w:t>描</w:t>
      </w:r>
      <w:r>
        <w:rPr>
          <w:spacing w:val="-7"/>
          <w:sz w:val="21"/>
        </w:rPr>
        <w:t>（PET）</w:t>
      </w:r>
      <w:r>
        <w:rPr>
          <w:sz w:val="21"/>
        </w:rPr>
        <w:t>等影像学检查证实</w:t>
      </w:r>
      <w:r>
        <w:rPr>
          <w:spacing w:val="-33"/>
          <w:sz w:val="21"/>
        </w:rPr>
        <w:t>。</w:t>
      </w:r>
      <w:r>
        <w:rPr>
          <w:sz w:val="21"/>
        </w:rPr>
        <w:t>神经系统永久性的功能障碍</w:t>
      </w:r>
      <w:r>
        <w:rPr>
          <w:spacing w:val="-33"/>
          <w:sz w:val="21"/>
        </w:rPr>
        <w:t>，</w:t>
      </w:r>
      <w:r>
        <w:rPr>
          <w:sz w:val="21"/>
        </w:rPr>
        <w:t>指脑损伤</w:t>
      </w:r>
      <w:r>
        <w:rPr>
          <w:spacing w:val="-52"/>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spacing w:before="10"/>
        <w:ind w:left="2897"/>
      </w:pPr>
      <w:r>
        <w:rPr/>
        <w:t>或三项以上。</w:t>
      </w:r>
    </w:p>
    <w:p>
      <w:pPr>
        <w:pStyle w:val="BodyText"/>
        <w:spacing w:before="3"/>
        <w:rPr>
          <w:sz w:val="14"/>
        </w:rPr>
      </w:pPr>
    </w:p>
    <w:p>
      <w:pPr>
        <w:pStyle w:val="ListParagraph"/>
        <w:numPr>
          <w:ilvl w:val="2"/>
          <w:numId w:val="5"/>
        </w:numPr>
        <w:tabs>
          <w:tab w:pos="1011" w:val="left" w:leader="none"/>
          <w:tab w:pos="1012" w:val="left" w:leader="none"/>
          <w:tab w:pos="2581" w:val="left" w:leader="none"/>
        </w:tabs>
        <w:spacing w:line="280" w:lineRule="auto" w:before="0" w:after="0"/>
        <w:ind w:left="2582" w:right="107" w:hanging="2471"/>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53"/>
          <w:sz w:val="21"/>
        </w:rPr>
        <w:t> </w:t>
      </w:r>
      <w:r>
        <w:rPr>
          <w:sz w:val="21"/>
        </w:rPr>
        <w:t>20％或</w:t>
      </w:r>
      <w:r>
        <w:rPr>
          <w:spacing w:val="-54"/>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80" w:right="1180"/>
        </w:sectPr>
      </w:pPr>
    </w:p>
    <w:p>
      <w:pPr>
        <w:pStyle w:val="ListParagraph"/>
        <w:numPr>
          <w:ilvl w:val="2"/>
          <w:numId w:val="5"/>
        </w:numPr>
        <w:tabs>
          <w:tab w:pos="1011" w:val="left" w:leader="none"/>
          <w:tab w:pos="1012" w:val="left" w:leader="none"/>
        </w:tabs>
        <w:spacing w:line="280" w:lineRule="auto" w:before="35" w:after="0"/>
        <w:ind w:left="1011" w:right="0" w:hanging="900"/>
        <w:jc w:val="left"/>
        <w:rPr>
          <w:rFonts w:ascii="黑体" w:eastAsia="黑体" w:hint="eastAsia"/>
          <w:sz w:val="21"/>
        </w:rPr>
      </w:pPr>
      <w:r>
        <w:rPr>
          <w:rFonts w:ascii="黑体" w:eastAsia="黑体" w:hint="eastAsia"/>
          <w:spacing w:val="13"/>
          <w:sz w:val="21"/>
        </w:rPr>
        <w:t>严重运动神经元病</w:t>
      </w:r>
    </w:p>
    <w:p>
      <w:pPr>
        <w:pStyle w:val="BodyText"/>
        <w:spacing w:line="278" w:lineRule="auto"/>
        <w:ind w:left="111" w:right="101"/>
        <w:jc w:val="both"/>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3"/>
        </w:rPr>
        <w:t>自主生活能力完全丧失，无法独立完成六项基本日常生活活动中的三项或三项以上的条件。</w:t>
      </w:r>
    </w:p>
    <w:p>
      <w:pPr>
        <w:spacing w:after="0" w:line="278" w:lineRule="auto"/>
        <w:jc w:val="both"/>
        <w:sectPr>
          <w:type w:val="continuous"/>
          <w:pgSz w:w="11910" w:h="16840"/>
          <w:pgMar w:top="1260" w:bottom="280" w:left="1180" w:right="1180"/>
          <w:cols w:num="2" w:equalWidth="0">
            <w:col w:w="2366" w:space="104"/>
            <w:col w:w="7080"/>
          </w:cols>
        </w:sectPr>
      </w:pPr>
    </w:p>
    <w:p>
      <w:pPr>
        <w:pStyle w:val="BodyText"/>
        <w:spacing w:before="0"/>
        <w:rPr>
          <w:sz w:val="9"/>
        </w:rPr>
      </w:pPr>
    </w:p>
    <w:p>
      <w:pPr>
        <w:pStyle w:val="ListParagraph"/>
        <w:numPr>
          <w:ilvl w:val="2"/>
          <w:numId w:val="5"/>
        </w:numPr>
        <w:tabs>
          <w:tab w:pos="1011" w:val="left" w:leader="none"/>
          <w:tab w:pos="1012" w:val="left" w:leader="none"/>
          <w:tab w:pos="2581" w:val="left" w:leader="none"/>
        </w:tabs>
        <w:spacing w:line="280" w:lineRule="auto" w:before="35" w:after="0"/>
        <w:ind w:left="2582" w:right="108" w:hanging="2471"/>
        <w:jc w:val="left"/>
        <w:rPr>
          <w:sz w:val="21"/>
        </w:rPr>
      </w:pPr>
      <w:r>
        <w:rPr>
          <w:rFonts w:ascii="黑体" w:eastAsia="黑体" w:hint="eastAsia"/>
          <w:sz w:val="21"/>
        </w:rPr>
        <w:t>语言能力丧失</w:t>
        <w:tab/>
      </w:r>
      <w:r>
        <w:rPr>
          <w:sz w:val="21"/>
        </w:rPr>
        <w:t>指因疾病或意外伤害导致完全丧失语言能力</w:t>
      </w:r>
      <w:r>
        <w:rPr>
          <w:spacing w:val="-92"/>
          <w:sz w:val="21"/>
        </w:rPr>
        <w:t>，</w:t>
      </w:r>
      <w:r>
        <w:rPr>
          <w:sz w:val="21"/>
        </w:rPr>
        <w:t>经过积极治疗至少</w:t>
      </w:r>
      <w:r>
        <w:rPr>
          <w:spacing w:val="-58"/>
          <w:sz w:val="21"/>
        </w:rPr>
        <w:t> </w:t>
      </w:r>
      <w:r>
        <w:rPr>
          <w:sz w:val="21"/>
        </w:rPr>
        <w:t>12</w:t>
      </w:r>
      <w:r>
        <w:rPr>
          <w:spacing w:val="-58"/>
          <w:sz w:val="21"/>
        </w:rPr>
        <w:t> </w:t>
      </w:r>
      <w:r>
        <w:rPr>
          <w:sz w:val="21"/>
        </w:rPr>
        <w:t>个</w:t>
      </w:r>
      <w:r>
        <w:rPr>
          <w:spacing w:val="-91"/>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582"/>
      </w:pPr>
      <w:r>
        <w:rPr>
          <w:shd w:fill="D9D9D9" w:color="auto" w:val="clear"/>
        </w:rPr>
        <w:t>精神心理因素所致的语言能力丧失不在保障范围内</w:t>
      </w:r>
      <w:r>
        <w:rPr/>
        <w:t>。</w:t>
      </w:r>
    </w:p>
    <w:p>
      <w:pPr>
        <w:pStyle w:val="BodyText"/>
        <w:spacing w:line="280" w:lineRule="auto" w:before="45"/>
        <w:ind w:left="2582" w:right="1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周岁以上，并且须提供理赔当时的语言</w:t>
      </w:r>
      <w:r>
        <w:rPr>
          <w:spacing w:val="-210"/>
          <w:shd w:fill="D9D9D9" w:color="auto" w:val="clear"/>
        </w:rPr>
        <w:t>能</w:t>
      </w:r>
      <w:r>
        <w:rPr>
          <w:shd w:fill="D9D9D9" w:color="auto" w:val="clear"/>
        </w:rPr>
        <w:t>力丧失诊断及检查证据</w:t>
      </w:r>
      <w:r>
        <w:rPr/>
        <w:t>。</w:t>
      </w:r>
    </w:p>
    <w:p>
      <w:pPr>
        <w:pStyle w:val="BodyText"/>
        <w:spacing w:before="11"/>
        <w:rPr>
          <w:sz w:val="8"/>
        </w:rPr>
      </w:pPr>
    </w:p>
    <w:p>
      <w:pPr>
        <w:spacing w:after="0"/>
        <w:rPr>
          <w:sz w:val="8"/>
        </w:rPr>
        <w:sectPr>
          <w:type w:val="continuous"/>
          <w:pgSz w:w="11910" w:h="16840"/>
          <w:pgMar w:top="1260" w:bottom="280" w:left="1180" w:right="1180"/>
        </w:sectPr>
      </w:pPr>
    </w:p>
    <w:p>
      <w:pPr>
        <w:pStyle w:val="ListParagraph"/>
        <w:numPr>
          <w:ilvl w:val="2"/>
          <w:numId w:val="5"/>
        </w:numPr>
        <w:tabs>
          <w:tab w:pos="1011" w:val="left" w:leader="none"/>
          <w:tab w:pos="1012" w:val="left" w:leader="none"/>
        </w:tabs>
        <w:spacing w:line="240" w:lineRule="auto" w:before="35" w:after="0"/>
        <w:ind w:left="1011" w:right="0" w:hanging="900"/>
        <w:jc w:val="left"/>
        <w:rPr>
          <w:rFonts w:ascii="黑体" w:eastAsia="黑体" w:hint="eastAsia"/>
          <w:sz w:val="21"/>
        </w:rPr>
      </w:pPr>
      <w:r>
        <w:rPr>
          <w:rFonts w:ascii="黑体" w:eastAsia="黑体" w:hint="eastAsia"/>
          <w:sz w:val="21"/>
        </w:rPr>
        <w:t>重型再Th障碍</w:t>
      </w:r>
    </w:p>
    <w:p>
      <w:pPr>
        <w:pStyle w:val="BodyText"/>
        <w:spacing w:before="44"/>
        <w:ind w:left="1011"/>
        <w:rPr>
          <w:rFonts w:ascii="黑体" w:eastAsia="黑体" w:hint="eastAsia"/>
        </w:rPr>
      </w:pPr>
      <w:r>
        <w:rPr>
          <w:rFonts w:ascii="黑体" w:eastAsia="黑体" w:hint="eastAsia"/>
        </w:rPr>
        <w:t>性贫血</w:t>
      </w:r>
    </w:p>
    <w:p>
      <w:pPr>
        <w:pStyle w:val="BodyText"/>
        <w:spacing w:line="278" w:lineRule="auto"/>
        <w:ind w:left="111" w:right="32"/>
      </w:pPr>
      <w:r>
        <w:rPr/>
        <w:br w:type="column"/>
      </w:r>
      <w:r>
        <w:rPr/>
        <w:t>指因骨髓造血功能慢性持续性衰竭导致的贫血、中性粒细胞减少及血小板减少。须满足下列全部条件：</w:t>
      </w:r>
    </w:p>
    <w:p>
      <w:pPr>
        <w:pStyle w:val="BodyText"/>
        <w:spacing w:line="280" w:lineRule="auto" w:before="11"/>
        <w:ind w:left="111" w:right="2853"/>
      </w:pPr>
      <w:r>
        <w:rPr/>
        <w:t>(1)骨髓穿刺检查或骨髓活检结果支持诊断； (2)外周血象须具备以下三项条件：</w:t>
      </w:r>
    </w:p>
    <w:p>
      <w:pPr>
        <w:pStyle w:val="BodyText"/>
        <w:spacing w:before="8"/>
        <w:ind w:left="426"/>
      </w:pPr>
      <w:r>
        <w:rPr/>
        <w:t>①中性粒细胞绝对值≤0.5×10</w:t>
      </w:r>
      <w:r>
        <w:rPr>
          <w:position w:val="11"/>
          <w:sz w:val="11"/>
        </w:rPr>
        <w:t>9</w:t>
      </w:r>
      <w:r>
        <w:rPr/>
        <w:t>/L ；</w:t>
      </w:r>
    </w:p>
    <w:p>
      <w:pPr>
        <w:pStyle w:val="BodyText"/>
        <w:spacing w:before="45"/>
        <w:ind w:left="426"/>
      </w:pPr>
      <w:r>
        <w:rPr/>
        <w:t>②网织红细胞＜1％；</w:t>
      </w:r>
    </w:p>
    <w:p>
      <w:pPr>
        <w:pStyle w:val="BodyText"/>
        <w:spacing w:before="45"/>
        <w:ind w:left="426"/>
      </w:pPr>
      <w:r>
        <w:rPr/>
        <w:t>③血小板绝对值≤20×10</w:t>
      </w:r>
      <w:r>
        <w:rPr>
          <w:position w:val="11"/>
          <w:sz w:val="11"/>
        </w:rPr>
        <w:t>9</w:t>
      </w:r>
      <w:r>
        <w:rPr/>
        <w:t>/L。</w:t>
      </w:r>
    </w:p>
    <w:p>
      <w:pPr>
        <w:spacing w:after="0"/>
        <w:sectPr>
          <w:type w:val="continuous"/>
          <w:pgSz w:w="11910" w:h="16840"/>
          <w:pgMar w:top="1260" w:bottom="280" w:left="1180" w:right="1180"/>
          <w:cols w:num="2" w:equalWidth="0">
            <w:col w:w="2272" w:space="199"/>
            <w:col w:w="7079"/>
          </w:cols>
        </w:sectPr>
      </w:pPr>
    </w:p>
    <w:p>
      <w:pPr>
        <w:pStyle w:val="BodyText"/>
        <w:spacing w:before="7"/>
        <w:rPr>
          <w:sz w:val="11"/>
        </w:rPr>
      </w:pPr>
    </w:p>
    <w:p>
      <w:pPr>
        <w:pStyle w:val="ListParagraph"/>
        <w:numPr>
          <w:ilvl w:val="2"/>
          <w:numId w:val="5"/>
        </w:numPr>
        <w:tabs>
          <w:tab w:pos="1011" w:val="left" w:leader="none"/>
          <w:tab w:pos="1012" w:val="left" w:leader="none"/>
          <w:tab w:pos="2581" w:val="left" w:leader="none"/>
        </w:tabs>
        <w:spacing w:line="278" w:lineRule="auto" w:before="36" w:after="0"/>
        <w:ind w:left="2582" w:right="107" w:hanging="2471"/>
        <w:jc w:val="left"/>
        <w:rPr>
          <w:sz w:val="21"/>
        </w:rPr>
      </w:pPr>
      <w:r>
        <w:rPr>
          <w:rFonts w:ascii="黑体" w:eastAsia="黑体" w:hint="eastAsia"/>
          <w:sz w:val="21"/>
        </w:rPr>
        <w:t>主动脉手术</w:t>
        <w:tab/>
      </w:r>
      <w:r>
        <w:rPr>
          <w:spacing w:val="-1"/>
          <w:sz w:val="21"/>
        </w:rPr>
        <w:t>指为</w:t>
      </w:r>
      <w:r>
        <w:rPr>
          <w:sz w:val="21"/>
        </w:rPr>
        <w:t>治疗主动脉疾病</w:t>
      </w:r>
      <w:r>
        <w:rPr>
          <w:spacing w:val="-26"/>
          <w:sz w:val="21"/>
        </w:rPr>
        <w:t>，</w:t>
      </w:r>
      <w:r>
        <w:rPr>
          <w:sz w:val="21"/>
        </w:rPr>
        <w:t>实际实施了开胸或开腹进行的切除</w:t>
      </w:r>
      <w:r>
        <w:rPr>
          <w:spacing w:val="-26"/>
          <w:sz w:val="21"/>
        </w:rPr>
        <w:t>、</w:t>
      </w:r>
      <w:r>
        <w:rPr>
          <w:sz w:val="21"/>
        </w:rPr>
        <w:t>置换</w:t>
      </w:r>
      <w:r>
        <w:rPr>
          <w:spacing w:val="-26"/>
          <w:sz w:val="21"/>
        </w:rPr>
        <w:t>、</w:t>
      </w:r>
      <w:r>
        <w:rPr>
          <w:sz w:val="21"/>
        </w:rPr>
        <w:t>修补病损主动脉血管的手术</w:t>
      </w:r>
      <w:r>
        <w:rPr>
          <w:spacing w:val="-39"/>
          <w:sz w:val="21"/>
        </w:rPr>
        <w:t>。</w:t>
      </w:r>
      <w:r>
        <w:rPr>
          <w:sz w:val="21"/>
        </w:rPr>
        <w:t>主动脉指胸主动脉和腹主动脉</w:t>
      </w:r>
      <w:r>
        <w:rPr>
          <w:spacing w:val="-39"/>
          <w:sz w:val="21"/>
        </w:rPr>
        <w:t>，</w:t>
      </w:r>
      <w:r>
        <w:rPr>
          <w:sz w:val="21"/>
          <w:shd w:fill="D9D9D9" w:color="auto" w:val="clear"/>
        </w:rPr>
        <w:t>不包括胸主动脉和腹主</w:t>
      </w:r>
    </w:p>
    <w:p>
      <w:pPr>
        <w:spacing w:after="0" w:line="278" w:lineRule="auto"/>
        <w:jc w:val="left"/>
        <w:rPr>
          <w:sz w:val="21"/>
        </w:rPr>
        <w:sectPr>
          <w:type w:val="continuous"/>
          <w:pgSz w:w="11910" w:h="16840"/>
          <w:pgMar w:top="1260" w:bottom="280" w:left="1180" w:right="1180"/>
        </w:sectPr>
      </w:pPr>
    </w:p>
    <w:p>
      <w:pPr>
        <w:pStyle w:val="BodyText"/>
        <w:spacing w:before="8"/>
        <w:ind w:left="2582"/>
      </w:pPr>
      <w:r>
        <w:rPr>
          <w:shd w:fill="D9D9D9" w:color="auto" w:val="clear"/>
        </w:rPr>
        <w:t>动脉的分支血管</w:t>
      </w:r>
      <w:r>
        <w:rPr/>
        <w:t>。</w:t>
      </w:r>
    </w:p>
    <w:p>
      <w:pPr>
        <w:pStyle w:val="BodyText"/>
        <w:spacing w:before="43"/>
        <w:ind w:left="2582"/>
      </w:pPr>
      <w:r>
        <w:rPr>
          <w:shd w:fill="D9D9D9" w:color="auto" w:val="clear"/>
        </w:rPr>
        <w:t>动脉内血管成形术不在保障范围内</w:t>
      </w:r>
      <w:r>
        <w:rPr/>
        <w:t>。</w:t>
      </w:r>
    </w:p>
    <w:p>
      <w:pPr>
        <w:pStyle w:val="BodyText"/>
        <w:spacing w:before="3"/>
        <w:rPr>
          <w:sz w:val="14"/>
        </w:rPr>
      </w:pPr>
    </w:p>
    <w:p>
      <w:pPr>
        <w:pStyle w:val="ListParagraph"/>
        <w:numPr>
          <w:ilvl w:val="2"/>
          <w:numId w:val="5"/>
        </w:numPr>
        <w:tabs>
          <w:tab w:pos="1012" w:val="left" w:leader="none"/>
        </w:tabs>
        <w:spacing w:line="280" w:lineRule="auto" w:before="0" w:after="0"/>
        <w:ind w:left="2582" w:right="107" w:hanging="2471"/>
        <w:jc w:val="both"/>
        <w:rPr>
          <w:sz w:val="21"/>
        </w:rPr>
      </w:pPr>
      <w:r>
        <w:rPr>
          <w:rFonts w:ascii="黑体" w:eastAsia="黑体" w:hint="eastAsia"/>
          <w:spacing w:val="13"/>
          <w:sz w:val="21"/>
        </w:rPr>
        <w:t>原发性心肌病 </w:t>
      </w: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10"/>
          <w:sz w:val="21"/>
        </w:rPr>
        <w:t> 级。被保险人永久不可逆性的体力活动能力受限，不能从事任何体力活动。</w:t>
      </w:r>
    </w:p>
    <w:p>
      <w:pPr>
        <w:pStyle w:val="ListParagraph"/>
        <w:numPr>
          <w:ilvl w:val="2"/>
          <w:numId w:val="5"/>
        </w:numPr>
        <w:tabs>
          <w:tab w:pos="1012" w:val="left" w:leader="none"/>
        </w:tabs>
        <w:spacing w:line="278" w:lineRule="auto" w:before="151" w:after="0"/>
        <w:ind w:left="2582" w:right="108" w:hanging="2471"/>
        <w:jc w:val="both"/>
        <w:rPr>
          <w:sz w:val="21"/>
        </w:rPr>
      </w:pPr>
      <w:r>
        <w:rPr>
          <w:rFonts w:ascii="黑体" w:eastAsia="黑体" w:hint="eastAsia"/>
          <w:spacing w:val="12"/>
          <w:sz w:val="21"/>
        </w:rPr>
        <w:t>肌营养不良症 </w:t>
      </w:r>
      <w:r>
        <w:rPr>
          <w:spacing w:val="-4"/>
          <w:sz w:val="21"/>
        </w:rPr>
        <w:t>由专科医师确认的诊断为 </w:t>
      </w:r>
      <w:r>
        <w:rPr>
          <w:sz w:val="21"/>
        </w:rPr>
        <w:t>Duchenne，Becker</w:t>
      </w:r>
      <w:r>
        <w:rPr>
          <w:spacing w:val="-14"/>
          <w:sz w:val="21"/>
        </w:rPr>
        <w:t>，或 </w:t>
      </w:r>
      <w:r>
        <w:rPr>
          <w:sz w:val="21"/>
        </w:rPr>
        <w:t>Limb</w:t>
      </w:r>
      <w:r>
        <w:rPr>
          <w:spacing w:val="-4"/>
          <w:sz w:val="21"/>
        </w:rPr>
        <w:t> </w:t>
      </w:r>
      <w:r>
        <w:rPr>
          <w:sz w:val="21"/>
        </w:rPr>
        <w:t>Girdle</w:t>
      </w:r>
      <w:r>
        <w:rPr>
          <w:spacing w:val="-2"/>
          <w:sz w:val="21"/>
        </w:rPr>
        <w:t> 肌营养不良</w:t>
      </w:r>
      <w:r>
        <w:rPr>
          <w:spacing w:val="-39"/>
          <w:sz w:val="21"/>
        </w:rPr>
        <w:t>症</w:t>
      </w:r>
      <w:r>
        <w:rPr>
          <w:sz w:val="21"/>
        </w:rPr>
        <w:t>（</w:t>
      </w:r>
      <w:r>
        <w:rPr>
          <w:sz w:val="21"/>
          <w:shd w:fill="D9D9D9" w:color="auto" w:val="clear"/>
        </w:rPr>
        <w:t>所有其他类型的肌营养不良症均不在保障范围内</w:t>
      </w:r>
      <w:r>
        <w:rPr>
          <w:spacing w:val="-72"/>
          <w:sz w:val="21"/>
        </w:rPr>
        <w:t>）</w:t>
      </w:r>
      <w:r>
        <w:rPr>
          <w:spacing w:val="-18"/>
          <w:sz w:val="21"/>
        </w:rPr>
        <w:t>，已进行了至少 </w:t>
      </w:r>
      <w:r>
        <w:rPr>
          <w:sz w:val="21"/>
        </w:rPr>
        <w:t>90</w:t>
      </w:r>
      <w:r>
        <w:rPr>
          <w:spacing w:val="-28"/>
          <w:sz w:val="21"/>
        </w:rPr>
        <w:t> 天</w:t>
      </w:r>
      <w:r>
        <w:rPr>
          <w:spacing w:val="-30"/>
          <w:sz w:val="21"/>
        </w:rPr>
        <w:t>的治疗，并提供肌肉活检和血 </w:t>
      </w:r>
      <w:r>
        <w:rPr>
          <w:sz w:val="21"/>
        </w:rPr>
        <w:t>CPK</w:t>
      </w:r>
      <w:r>
        <w:rPr>
          <w:spacing w:val="-10"/>
          <w:sz w:val="21"/>
        </w:rPr>
        <w:t> 检测证实。</w:t>
      </w:r>
    </w:p>
    <w:p>
      <w:pPr>
        <w:pStyle w:val="BodyText"/>
        <w:spacing w:line="278" w:lineRule="auto" w:before="12"/>
        <w:ind w:left="2582" w:right="107"/>
        <w:jc w:val="both"/>
      </w:pPr>
      <w:r>
        <w:rPr>
          <w:spacing w:val="-4"/>
        </w:rPr>
        <w:t>该疾病须导致被保险人自主生活能力完全丧失，无法独立完成六项基本日常</w:t>
      </w:r>
      <w:r>
        <w:rPr>
          <w:spacing w:val="-9"/>
        </w:rPr>
        <w:t>生活活动中的三项或三项以上，或者导致被保险人永久性的卧床，没有外部帮助无法起床。</w:t>
      </w:r>
    </w:p>
    <w:p>
      <w:pPr>
        <w:pStyle w:val="ListParagraph"/>
        <w:numPr>
          <w:ilvl w:val="2"/>
          <w:numId w:val="5"/>
        </w:numPr>
        <w:tabs>
          <w:tab w:pos="1012" w:val="left" w:leader="none"/>
        </w:tabs>
        <w:spacing w:line="278" w:lineRule="auto" w:before="153" w:after="0"/>
        <w:ind w:left="2582" w:right="101" w:hanging="2471"/>
        <w:jc w:val="both"/>
        <w:rPr>
          <w:sz w:val="21"/>
        </w:rPr>
      </w:pPr>
      <w:r>
        <w:rPr>
          <w:rFonts w:ascii="黑体" w:eastAsia="黑体" w:hint="eastAsia"/>
          <w:spacing w:val="11"/>
          <w:sz w:val="21"/>
        </w:rPr>
        <w:t>脊髓灰质炎   </w:t>
      </w:r>
      <w:r>
        <w:rPr>
          <w:spacing w:val="-4"/>
          <w:sz w:val="21"/>
        </w:rPr>
        <w:t>指由于脊髓灰质炎病毒感染所致的瘫痪性疾病，临床表现为运动功能损害或</w:t>
      </w:r>
      <w:r>
        <w:rPr>
          <w:spacing w:val="-10"/>
          <w:sz w:val="21"/>
        </w:rPr>
        <w:t>呼吸无力。脊髓灰质炎必须明确诊断。</w:t>
      </w:r>
      <w:r>
        <w:rPr>
          <w:sz w:val="21"/>
          <w:shd w:fill="D9D9D9" w:color="auto" w:val="clear"/>
        </w:rPr>
        <w:t>本合同仅对脊髓灰质炎造成的神经系统功能损害导致被保险人一肢或一肢以上肢体机能永久完全丧失的情况予以理赔</w:t>
      </w:r>
      <w:r>
        <w:rPr>
          <w:spacing w:val="-10"/>
          <w:sz w:val="21"/>
        </w:rPr>
        <w:t>。肢体机能永久完全丧失，指疾病确诊 </w:t>
      </w:r>
      <w:r>
        <w:rPr>
          <w:sz w:val="21"/>
        </w:rPr>
        <w:t>180</w:t>
      </w:r>
      <w:r>
        <w:rPr>
          <w:spacing w:val="-9"/>
          <w:sz w:val="21"/>
        </w:rPr>
        <w:t> 天后，每肢三大关节中的两大关节仍然完全僵硬，或不能随意识活动。</w:t>
      </w:r>
    </w:p>
    <w:p>
      <w:pPr>
        <w:pStyle w:val="ListParagraph"/>
        <w:numPr>
          <w:ilvl w:val="2"/>
          <w:numId w:val="5"/>
        </w:numPr>
        <w:tabs>
          <w:tab w:pos="1012" w:val="left" w:leader="none"/>
        </w:tabs>
        <w:spacing w:line="278" w:lineRule="auto" w:before="153" w:after="0"/>
        <w:ind w:left="2582" w:right="107" w:hanging="2471"/>
        <w:jc w:val="both"/>
        <w:rPr>
          <w:sz w:val="21"/>
        </w:rPr>
      </w:pPr>
      <w:r>
        <w:rPr>
          <w:rFonts w:ascii="黑体" w:eastAsia="黑体" w:hint="eastAsia"/>
          <w:spacing w:val="11"/>
          <w:sz w:val="21"/>
        </w:rPr>
        <w:t>严重心肌炎   </w:t>
      </w:r>
      <w:r>
        <w:rPr>
          <w:spacing w:val="-4"/>
          <w:sz w:val="21"/>
        </w:rPr>
        <w:t>指心肌局限性或弥漫性的急性或慢性炎症病变，导致心脏功能障碍，达到纽</w:t>
      </w:r>
      <w:r>
        <w:rPr>
          <w:spacing w:val="-8"/>
          <w:sz w:val="21"/>
        </w:rPr>
        <w:t>约心脏病学会心功能分级状态分级 </w:t>
      </w:r>
      <w:r>
        <w:rPr>
          <w:sz w:val="21"/>
        </w:rPr>
        <w:t>IV</w:t>
      </w:r>
      <w:r>
        <w:rPr>
          <w:spacing w:val="-14"/>
          <w:sz w:val="21"/>
        </w:rPr>
        <w:t> 级，且持续至少 </w:t>
      </w:r>
      <w:r>
        <w:rPr>
          <w:sz w:val="21"/>
        </w:rPr>
        <w:t>90</w:t>
      </w:r>
      <w:r>
        <w:rPr>
          <w:spacing w:val="-20"/>
          <w:sz w:val="21"/>
        </w:rPr>
        <w:t> 天。</w:t>
      </w:r>
    </w:p>
    <w:p>
      <w:pPr>
        <w:pStyle w:val="BodyText"/>
        <w:spacing w:before="0"/>
        <w:rPr>
          <w:sz w:val="9"/>
        </w:rPr>
      </w:pPr>
    </w:p>
    <w:p>
      <w:pPr>
        <w:spacing w:after="0"/>
        <w:rPr>
          <w:sz w:val="9"/>
        </w:rPr>
        <w:sectPr>
          <w:pgSz w:w="11910" w:h="16840"/>
          <w:pgMar w:top="1420" w:bottom="280" w:left="1180" w:right="1180"/>
        </w:sectPr>
      </w:pPr>
    </w:p>
    <w:p>
      <w:pPr>
        <w:pStyle w:val="ListParagraph"/>
        <w:numPr>
          <w:ilvl w:val="2"/>
          <w:numId w:val="5"/>
        </w:numPr>
        <w:tabs>
          <w:tab w:pos="1011" w:val="left" w:leader="none"/>
          <w:tab w:pos="1012" w:val="left" w:leader="none"/>
        </w:tabs>
        <w:spacing w:line="280" w:lineRule="auto" w:before="36" w:after="0"/>
        <w:ind w:left="1011" w:right="0" w:hanging="900"/>
        <w:jc w:val="left"/>
        <w:rPr>
          <w:rFonts w:ascii="黑体" w:eastAsia="黑体" w:hint="eastAsia"/>
          <w:sz w:val="21"/>
        </w:rPr>
      </w:pPr>
      <w:r>
        <w:rPr>
          <w:rFonts w:ascii="黑体" w:eastAsia="黑体" w:hint="eastAsia"/>
          <w:sz w:val="21"/>
        </w:rPr>
        <w:t>持续植物人状态</w:t>
      </w:r>
    </w:p>
    <w:p>
      <w:pPr>
        <w:pStyle w:val="BodyText"/>
        <w:spacing w:line="278" w:lineRule="auto" w:before="36"/>
        <w:ind w:left="111" w:right="106"/>
        <w:jc w:val="both"/>
      </w:pPr>
      <w:r>
        <w:rPr/>
        <w:br w:type="column"/>
      </w:r>
      <w:r>
        <w:rPr>
          <w:spacing w:val="-9"/>
        </w:rPr>
        <w:t>指由脑外伤、缺氧持续状态、严重的脑炎或者某种神经毒素造成大脑皮层广</w:t>
      </w:r>
      <w:r>
        <w:rPr>
          <w:spacing w:val="-11"/>
        </w:rPr>
        <w:t>泛性损害，而脑干功能相对保留所致的一种丧失生理、意识和交流功能后的</w:t>
      </w:r>
      <w:r>
        <w:rPr>
          <w:spacing w:val="-13"/>
        </w:rPr>
        <w:t>临床状态，并且该状态已持续 </w:t>
      </w:r>
      <w:r>
        <w:rPr/>
        <w:t>30</w:t>
      </w:r>
      <w:r>
        <w:rPr>
          <w:spacing w:val="-7"/>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80" w:right="1180"/>
          <w:cols w:num="2" w:equalWidth="0">
            <w:col w:w="2272" w:space="199"/>
            <w:col w:w="7079"/>
          </w:cols>
        </w:sectPr>
      </w:pPr>
    </w:p>
    <w:p>
      <w:pPr>
        <w:pStyle w:val="BodyText"/>
        <w:spacing w:before="0"/>
        <w:rPr>
          <w:sz w:val="9"/>
        </w:rPr>
      </w:pPr>
    </w:p>
    <w:p>
      <w:pPr>
        <w:spacing w:after="0"/>
        <w:rPr>
          <w:sz w:val="9"/>
        </w:rPr>
        <w:sectPr>
          <w:type w:val="continuous"/>
          <w:pgSz w:w="11910" w:h="16840"/>
          <w:pgMar w:top="1260" w:bottom="280" w:left="1180" w:right="1180"/>
        </w:sectPr>
      </w:pPr>
    </w:p>
    <w:p>
      <w:pPr>
        <w:pStyle w:val="ListParagraph"/>
        <w:numPr>
          <w:ilvl w:val="2"/>
          <w:numId w:val="5"/>
        </w:numPr>
        <w:tabs>
          <w:tab w:pos="1011" w:val="left" w:leader="none"/>
          <w:tab w:pos="1012" w:val="left" w:leader="none"/>
        </w:tabs>
        <w:spacing w:line="240" w:lineRule="auto" w:before="36" w:after="0"/>
        <w:ind w:left="1011" w:right="0" w:hanging="900"/>
        <w:jc w:val="left"/>
        <w:rPr>
          <w:rFonts w:ascii="黑体" w:eastAsia="黑体" w:hint="eastAsia"/>
          <w:sz w:val="21"/>
        </w:rPr>
      </w:pPr>
      <w:r>
        <w:rPr>
          <w:rFonts w:ascii="黑体" w:eastAsia="黑体" w:hint="eastAsia"/>
          <w:sz w:val="21"/>
        </w:rPr>
        <w:t>严重幼年性类</w:t>
      </w:r>
    </w:p>
    <w:p>
      <w:pPr>
        <w:pStyle w:val="BodyText"/>
        <w:spacing w:before="45"/>
        <w:ind w:left="1011"/>
        <w:rPr>
          <w:rFonts w:ascii="黑体" w:eastAsia="黑体" w:hint="eastAsia"/>
        </w:rPr>
      </w:pPr>
      <w:r>
        <w:rPr>
          <w:rFonts w:ascii="黑体" w:eastAsia="黑体" w:hint="eastAsia"/>
        </w:rPr>
        <w:t>风湿关节炎</w:t>
      </w:r>
    </w:p>
    <w:p>
      <w:pPr>
        <w:pStyle w:val="BodyText"/>
        <w:spacing w:line="278" w:lineRule="auto" w:before="45"/>
        <w:ind w:left="1011"/>
        <w:rPr>
          <w:rFonts w:ascii="黑体" w:eastAsia="黑体" w:hint="eastAsia"/>
        </w:rPr>
      </w:pPr>
      <w:r>
        <w:rPr>
          <w:rFonts w:ascii="黑体" w:eastAsia="黑体" w:hint="eastAsia"/>
        </w:rPr>
        <w:t>（或称斯蒂尔病）</w:t>
      </w:r>
    </w:p>
    <w:p>
      <w:pPr>
        <w:pStyle w:val="BodyText"/>
        <w:spacing w:line="280" w:lineRule="auto" w:before="36"/>
        <w:ind w:left="111" w:right="107"/>
        <w:jc w:val="both"/>
      </w:pPr>
      <w:r>
        <w:rPr/>
        <w:br w:type="column"/>
      </w:r>
      <w:r>
        <w:rPr>
          <w:spacing w:val="-6"/>
        </w:rPr>
        <w:t>指一种少儿的结缔组织病，以慢性关节炎为其主要特点，并伴有全身多个系</w:t>
      </w:r>
      <w:r>
        <w:rPr>
          <w:spacing w:val="-11"/>
        </w:rPr>
        <w:t>统的受累，包括关节、肌肉、肝、脾、淋巴结等。斯蒂尔病须满足下列全部条件：</w:t>
      </w:r>
    </w:p>
    <w:p>
      <w:pPr>
        <w:pStyle w:val="BodyText"/>
        <w:spacing w:line="280" w:lineRule="auto" w:before="9"/>
        <w:ind w:left="111" w:right="976"/>
      </w:pPr>
      <w:r>
        <w:rPr/>
        <w:t>(1)因该病引致广泛性关节破坏，以致需要进行髋及膝关节置换； (2)由风湿病专科医生确定诊断。</w:t>
      </w:r>
    </w:p>
    <w:p>
      <w:pPr>
        <w:spacing w:after="0" w:line="280" w:lineRule="auto"/>
        <w:sectPr>
          <w:type w:val="continuous"/>
          <w:pgSz w:w="11910" w:h="16840"/>
          <w:pgMar w:top="1260" w:bottom="280" w:left="1180" w:right="1180"/>
          <w:cols w:num="2" w:equalWidth="0">
            <w:col w:w="2272" w:space="199"/>
            <w:col w:w="7079"/>
          </w:cols>
        </w:sectPr>
      </w:pPr>
    </w:p>
    <w:p>
      <w:pPr>
        <w:pStyle w:val="BodyText"/>
        <w:spacing w:before="11"/>
        <w:rPr>
          <w:sz w:val="8"/>
        </w:rPr>
      </w:pPr>
    </w:p>
    <w:p>
      <w:pPr>
        <w:pStyle w:val="ListParagraph"/>
        <w:numPr>
          <w:ilvl w:val="2"/>
          <w:numId w:val="5"/>
        </w:numPr>
        <w:tabs>
          <w:tab w:pos="1011" w:val="left" w:leader="none"/>
          <w:tab w:pos="1012" w:val="left" w:leader="none"/>
          <w:tab w:pos="2581" w:val="left" w:leader="none"/>
        </w:tabs>
        <w:spacing w:line="278" w:lineRule="auto" w:before="36" w:after="0"/>
        <w:ind w:left="2582" w:right="107" w:hanging="2471"/>
        <w:jc w:val="left"/>
        <w:rPr>
          <w:sz w:val="21"/>
        </w:rPr>
      </w:pPr>
      <w:r>
        <w:rPr>
          <w:rFonts w:ascii="黑体" w:eastAsia="黑体" w:hint="eastAsia"/>
          <w:sz w:val="21"/>
        </w:rPr>
        <w:t>川崎病</w:t>
        <w:tab/>
      </w:r>
      <w:r>
        <w:rPr>
          <w:sz w:val="21"/>
        </w:rPr>
        <w:t>指一种原因未明的血管炎综合征</w:t>
      </w:r>
      <w:r>
        <w:rPr>
          <w:spacing w:val="-39"/>
          <w:sz w:val="21"/>
        </w:rPr>
        <w:t>，</w:t>
      </w:r>
      <w:r>
        <w:rPr>
          <w:sz w:val="21"/>
        </w:rPr>
        <w:t>临床表现为急性发热</w:t>
      </w:r>
      <w:r>
        <w:rPr>
          <w:spacing w:val="-39"/>
          <w:sz w:val="21"/>
        </w:rPr>
        <w:t>，</w:t>
      </w:r>
      <w:r>
        <w:rPr>
          <w:sz w:val="21"/>
        </w:rPr>
        <w:t>皮肤粘膜病损和淋巴结肿大</w:t>
      </w:r>
      <w:r>
        <w:rPr>
          <w:spacing w:val="-39"/>
          <w:sz w:val="21"/>
        </w:rPr>
        <w:t>。</w:t>
      </w:r>
      <w:r>
        <w:rPr>
          <w:sz w:val="21"/>
        </w:rPr>
        <w:t>本病须经专科医生明确诊断</w:t>
      </w:r>
      <w:r>
        <w:rPr>
          <w:spacing w:val="-39"/>
          <w:sz w:val="21"/>
        </w:rPr>
        <w:t>，</w:t>
      </w:r>
      <w:r>
        <w:rPr>
          <w:sz w:val="21"/>
        </w:rPr>
        <w:t>同时须由血管造影或超声心动图检查证实，满足下列至少一项条件：                                 (1)伴有冠状动脉瘤，且冠状动脉瘤于最初急性发病后持续至少</w:t>
      </w:r>
      <w:r>
        <w:rPr>
          <w:spacing w:val="-58"/>
          <w:sz w:val="21"/>
        </w:rPr>
        <w:t> </w:t>
      </w:r>
      <w:r>
        <w:rPr>
          <w:sz w:val="21"/>
        </w:rPr>
        <w:t>180</w:t>
      </w:r>
      <w:r>
        <w:rPr>
          <w:spacing w:val="-58"/>
          <w:sz w:val="21"/>
        </w:rPr>
        <w:t> </w:t>
      </w:r>
      <w:r>
        <w:rPr>
          <w:sz w:val="21"/>
        </w:rPr>
        <w:t>天； </w:t>
      </w:r>
      <w:r>
        <w:rPr>
          <w:spacing w:val="-1"/>
          <w:sz w:val="21"/>
        </w:rPr>
        <w:t>(2)伴有冠状动脉瘤，且实际接受了对冠状动脉瘤进行的手术治疗。</w:t>
      </w:r>
    </w:p>
    <w:p>
      <w:pPr>
        <w:pStyle w:val="BodyText"/>
        <w:spacing w:before="0"/>
        <w:rPr>
          <w:sz w:val="9"/>
        </w:rPr>
      </w:pPr>
    </w:p>
    <w:p>
      <w:pPr>
        <w:spacing w:after="0"/>
        <w:rPr>
          <w:sz w:val="9"/>
        </w:rPr>
        <w:sectPr>
          <w:type w:val="continuous"/>
          <w:pgSz w:w="11910" w:h="16840"/>
          <w:pgMar w:top="1260" w:bottom="280" w:left="1180" w:right="1180"/>
        </w:sectPr>
      </w:pPr>
    </w:p>
    <w:p>
      <w:pPr>
        <w:pStyle w:val="ListParagraph"/>
        <w:numPr>
          <w:ilvl w:val="2"/>
          <w:numId w:val="5"/>
        </w:numPr>
        <w:tabs>
          <w:tab w:pos="1011" w:val="left" w:leader="none"/>
          <w:tab w:pos="1012" w:val="left" w:leader="none"/>
        </w:tabs>
        <w:spacing w:line="278" w:lineRule="auto" w:before="36" w:after="0"/>
        <w:ind w:left="1011" w:right="0" w:hanging="900"/>
        <w:jc w:val="left"/>
        <w:rPr>
          <w:rFonts w:ascii="黑体" w:eastAsia="黑体" w:hint="eastAsia"/>
          <w:sz w:val="21"/>
        </w:rPr>
      </w:pPr>
      <w:r>
        <w:rPr>
          <w:rFonts w:ascii="黑体" w:eastAsia="黑体" w:hint="eastAsia"/>
          <w:sz w:val="21"/>
        </w:rPr>
        <w:t>全身性重症肌无力</w:t>
      </w:r>
    </w:p>
    <w:p>
      <w:pPr>
        <w:pStyle w:val="BodyText"/>
        <w:spacing w:line="278" w:lineRule="auto" w:before="36"/>
        <w:ind w:left="111" w:right="107"/>
      </w:pPr>
      <w:r>
        <w:rPr/>
        <w:br w:type="column"/>
      </w:r>
      <w:r>
        <w:rPr>
          <w:spacing w:val="-4"/>
        </w:rPr>
        <w:t>重症肌无力是一种神经肌肉接头传递障碍所致的疾病，表现为局部或全身骨</w:t>
      </w:r>
      <w:r>
        <w:rPr>
          <w:spacing w:val="-12"/>
        </w:rPr>
        <w:t>骼肌</w:t>
      </w:r>
      <w:r>
        <w:rPr/>
        <w:t>（特别是眼外肌</w:t>
      </w:r>
      <w:r>
        <w:rPr>
          <w:spacing w:val="-20"/>
        </w:rPr>
        <w:t>）</w:t>
      </w:r>
      <w:r>
        <w:rPr>
          <w:spacing w:val="-6"/>
        </w:rPr>
        <w:t>极易疲劳。疾病可以累及呼吸肌、上肢或下肢的近端肌群或全身肌肉，必须满足下列全部条件：                         (1)经药物治疗和胸腺切除治疗一年以上仍无法控制病情；            </w:t>
      </w:r>
      <w:r>
        <w:rPr>
          <w:spacing w:val="-1"/>
        </w:rPr>
        <w:t>(2)自主生活能力完全丧失，无法独立完成六项基本日常生活活动中的三项</w:t>
      </w:r>
    </w:p>
    <w:p>
      <w:pPr>
        <w:pStyle w:val="BodyText"/>
        <w:spacing w:before="12"/>
        <w:ind w:left="426"/>
      </w:pPr>
      <w:r>
        <w:rPr/>
        <w:t>或三项以上。</w:t>
      </w:r>
    </w:p>
    <w:p>
      <w:pPr>
        <w:spacing w:after="0"/>
        <w:sectPr>
          <w:type w:val="continuous"/>
          <w:pgSz w:w="11910" w:h="16840"/>
          <w:pgMar w:top="1260" w:bottom="280" w:left="1180" w:right="1180"/>
          <w:cols w:num="2" w:equalWidth="0">
            <w:col w:w="2272" w:space="199"/>
            <w:col w:w="7079"/>
          </w:cols>
        </w:sectPr>
      </w:pPr>
    </w:p>
    <w:p>
      <w:pPr>
        <w:pStyle w:val="BodyText"/>
        <w:spacing w:before="7"/>
        <w:rPr>
          <w:sz w:val="11"/>
        </w:rPr>
      </w:pPr>
    </w:p>
    <w:p>
      <w:pPr>
        <w:pStyle w:val="ListParagraph"/>
        <w:numPr>
          <w:ilvl w:val="2"/>
          <w:numId w:val="5"/>
        </w:numPr>
        <w:tabs>
          <w:tab w:pos="1011" w:val="left" w:leader="none"/>
          <w:tab w:pos="1012" w:val="left" w:leader="none"/>
          <w:tab w:pos="2581" w:val="left" w:leader="none"/>
        </w:tabs>
        <w:spacing w:line="240" w:lineRule="auto" w:before="36" w:after="0"/>
        <w:ind w:left="1011" w:right="0" w:hanging="900"/>
        <w:jc w:val="left"/>
        <w:rPr>
          <w:sz w:val="21"/>
        </w:rPr>
      </w:pPr>
      <w:r>
        <w:rPr>
          <w:rFonts w:ascii="黑体" w:eastAsia="黑体" w:hint="eastAsia"/>
          <w:sz w:val="21"/>
        </w:rPr>
        <w:t>严重克隆病</w:t>
        <w:tab/>
      </w:r>
      <w:r>
        <w:rPr>
          <w:sz w:val="21"/>
        </w:rPr>
        <w:t>克隆病是一种慢性肉芽肿性肠炎</w:t>
      </w:r>
      <w:r>
        <w:rPr>
          <w:spacing w:val="-39"/>
          <w:sz w:val="21"/>
        </w:rPr>
        <w:t>，</w:t>
      </w:r>
      <w:r>
        <w:rPr>
          <w:sz w:val="21"/>
        </w:rPr>
        <w:t>具有特征性的克隆病病理组织学变化</w:t>
      </w:r>
      <w:r>
        <w:rPr>
          <w:spacing w:val="-39"/>
          <w:sz w:val="21"/>
        </w:rPr>
        <w:t>。</w:t>
      </w:r>
      <w:r>
        <w:rPr>
          <w:sz w:val="21"/>
        </w:rPr>
        <w:t>诊</w:t>
      </w:r>
    </w:p>
    <w:p>
      <w:pPr>
        <w:spacing w:after="0" w:line="240" w:lineRule="auto"/>
        <w:jc w:val="left"/>
        <w:rPr>
          <w:sz w:val="21"/>
        </w:rPr>
        <w:sectPr>
          <w:type w:val="continuous"/>
          <w:pgSz w:w="11910" w:h="16840"/>
          <w:pgMar w:top="1260" w:bottom="280" w:left="1180" w:right="11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58"/>
        <w:gridCol w:w="7009"/>
      </w:tblGrid>
      <w:tr>
        <w:trPr>
          <w:trHeight w:val="655" w:hRule="atLeast"/>
        </w:trPr>
        <w:tc>
          <w:tcPr>
            <w:tcW w:w="2531" w:type="dxa"/>
            <w:gridSpan w:val="2"/>
          </w:tcPr>
          <w:p>
            <w:pPr>
              <w:pStyle w:val="TableParagraph"/>
              <w:spacing w:before="0"/>
              <w:ind w:left="0"/>
              <w:rPr>
                <w:rFonts w:ascii="Times New Roman"/>
                <w:sz w:val="20"/>
              </w:rPr>
            </w:pPr>
          </w:p>
        </w:tc>
        <w:tc>
          <w:tcPr>
            <w:tcW w:w="7009" w:type="dxa"/>
          </w:tcPr>
          <w:p>
            <w:pPr>
              <w:pStyle w:val="TableParagraph"/>
              <w:spacing w:line="204" w:lineRule="exact" w:before="0"/>
              <w:ind w:left="47"/>
              <w:rPr>
                <w:sz w:val="21"/>
              </w:rPr>
            </w:pPr>
            <w:r>
              <w:rPr>
                <w:sz w:val="21"/>
              </w:rPr>
              <w:t>断必须由病理检查结果证实。被保险人所患的克隆病必须已经造成瘘管形成</w:t>
            </w:r>
          </w:p>
          <w:p>
            <w:pPr>
              <w:pStyle w:val="TableParagraph"/>
              <w:spacing w:before="44"/>
              <w:ind w:left="47"/>
              <w:rPr>
                <w:sz w:val="21"/>
              </w:rPr>
            </w:pPr>
            <w:r>
              <w:rPr>
                <w:sz w:val="21"/>
              </w:rPr>
              <w:t>并伴有肠梗阻或肠穿孔。</w:t>
            </w:r>
          </w:p>
        </w:tc>
      </w:tr>
      <w:tr>
        <w:trPr>
          <w:trHeight w:val="2062" w:hRule="atLeast"/>
        </w:trPr>
        <w:tc>
          <w:tcPr>
            <w:tcW w:w="873" w:type="dxa"/>
          </w:tcPr>
          <w:p>
            <w:pPr>
              <w:pStyle w:val="TableParagraph"/>
              <w:spacing w:before="54"/>
              <w:ind w:left="108"/>
              <w:rPr>
                <w:rFonts w:ascii="黑体"/>
                <w:sz w:val="21"/>
              </w:rPr>
            </w:pPr>
            <w:r>
              <w:rPr>
                <w:rFonts w:ascii="黑体"/>
                <w:sz w:val="21"/>
              </w:rPr>
              <w:t>4.1.28</w:t>
            </w:r>
          </w:p>
        </w:tc>
        <w:tc>
          <w:tcPr>
            <w:tcW w:w="1658" w:type="dxa"/>
          </w:tcPr>
          <w:p>
            <w:pPr>
              <w:pStyle w:val="TableParagraph"/>
              <w:spacing w:before="54"/>
              <w:ind w:left="135"/>
              <w:rPr>
                <w:rFonts w:ascii="黑体" w:eastAsia="黑体" w:hint="eastAsia"/>
                <w:sz w:val="21"/>
              </w:rPr>
            </w:pPr>
            <w:r>
              <w:rPr>
                <w:rFonts w:ascii="黑体" w:eastAsia="黑体" w:hint="eastAsia"/>
                <w:sz w:val="21"/>
              </w:rPr>
              <w:t>肝豆状核变性</w:t>
            </w:r>
          </w:p>
          <w:p>
            <w:pPr>
              <w:pStyle w:val="TableParagraph"/>
              <w:spacing w:line="280" w:lineRule="auto" w:before="45"/>
              <w:ind w:left="134" w:right="144"/>
              <w:rPr>
                <w:rFonts w:ascii="黑体" w:eastAsia="黑体" w:hint="eastAsia"/>
                <w:sz w:val="21"/>
              </w:rPr>
            </w:pPr>
            <w:r>
              <w:rPr>
                <w:rFonts w:ascii="黑体" w:eastAsia="黑体" w:hint="eastAsia"/>
                <w:sz w:val="21"/>
              </w:rPr>
              <w:t>（或称 Wilson 病）</w:t>
            </w:r>
          </w:p>
        </w:tc>
        <w:tc>
          <w:tcPr>
            <w:tcW w:w="7009" w:type="dxa"/>
          </w:tcPr>
          <w:p>
            <w:pPr>
              <w:pStyle w:val="TableParagraph"/>
              <w:spacing w:line="280" w:lineRule="auto" w:before="54"/>
              <w:ind w:left="47" w:right="29"/>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80" w:lineRule="auto" w:before="8"/>
              <w:ind w:left="47" w:right="2654"/>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2061" w:hRule="atLeast"/>
        </w:trPr>
        <w:tc>
          <w:tcPr>
            <w:tcW w:w="873" w:type="dxa"/>
          </w:tcPr>
          <w:p>
            <w:pPr>
              <w:pStyle w:val="TableParagraph"/>
              <w:spacing w:before="54"/>
              <w:ind w:left="108"/>
              <w:rPr>
                <w:rFonts w:ascii="黑体"/>
                <w:sz w:val="21"/>
              </w:rPr>
            </w:pPr>
            <w:r>
              <w:rPr>
                <w:rFonts w:ascii="黑体"/>
                <w:sz w:val="21"/>
              </w:rPr>
              <w:t>4.1.29</w:t>
            </w:r>
          </w:p>
        </w:tc>
        <w:tc>
          <w:tcPr>
            <w:tcW w:w="1658" w:type="dxa"/>
          </w:tcPr>
          <w:p>
            <w:pPr>
              <w:pStyle w:val="TableParagraph"/>
              <w:spacing w:before="54"/>
              <w:ind w:left="135"/>
              <w:rPr>
                <w:rFonts w:ascii="黑体" w:eastAsia="黑体" w:hint="eastAsia"/>
                <w:sz w:val="21"/>
              </w:rPr>
            </w:pPr>
            <w:r>
              <w:rPr>
                <w:rFonts w:ascii="黑体" w:eastAsia="黑体" w:hint="eastAsia"/>
                <w:sz w:val="21"/>
              </w:rPr>
              <w:t>严重哮喘</w:t>
            </w:r>
          </w:p>
        </w:tc>
        <w:tc>
          <w:tcPr>
            <w:tcW w:w="7009" w:type="dxa"/>
          </w:tcPr>
          <w:p>
            <w:pPr>
              <w:pStyle w:val="TableParagraph"/>
              <w:spacing w:line="278" w:lineRule="auto" w:before="54"/>
              <w:ind w:left="47" w:right="105"/>
              <w:rPr>
                <w:sz w:val="21"/>
              </w:rPr>
            </w:pPr>
            <w:r>
              <w:rPr>
                <w:spacing w:val="-4"/>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w:t>
            </w:r>
            <w:r>
              <w:rPr>
                <w:spacing w:val="-8"/>
                <w:sz w:val="21"/>
              </w:rPr>
              <w:t>持续的每天服用类固醇药物(至少持续 </w:t>
            </w:r>
            <w:r>
              <w:rPr>
                <w:sz w:val="21"/>
              </w:rPr>
              <w:t>6</w:t>
            </w:r>
            <w:r>
              <w:rPr>
                <w:spacing w:val="-11"/>
                <w:sz w:val="21"/>
              </w:rPr>
              <w:t> 个月以上)。</w:t>
            </w:r>
          </w:p>
        </w:tc>
      </w:tr>
      <w:tr>
        <w:trPr>
          <w:trHeight w:val="1742" w:hRule="atLeast"/>
        </w:trPr>
        <w:tc>
          <w:tcPr>
            <w:tcW w:w="873" w:type="dxa"/>
          </w:tcPr>
          <w:p>
            <w:pPr>
              <w:pStyle w:val="TableParagraph"/>
              <w:spacing w:before="54"/>
              <w:ind w:left="108"/>
              <w:rPr>
                <w:rFonts w:ascii="黑体"/>
                <w:sz w:val="21"/>
              </w:rPr>
            </w:pPr>
            <w:r>
              <w:rPr>
                <w:rFonts w:ascii="黑体"/>
                <w:sz w:val="21"/>
              </w:rPr>
              <w:t>4.1.30</w:t>
            </w:r>
          </w:p>
        </w:tc>
        <w:tc>
          <w:tcPr>
            <w:tcW w:w="1658" w:type="dxa"/>
          </w:tcPr>
          <w:p>
            <w:pPr>
              <w:pStyle w:val="TableParagraph"/>
              <w:spacing w:before="54"/>
              <w:ind w:left="135"/>
              <w:rPr>
                <w:rFonts w:ascii="黑体" w:eastAsia="黑体" w:hint="eastAsia"/>
                <w:sz w:val="21"/>
              </w:rPr>
            </w:pPr>
            <w:r>
              <w:rPr>
                <w:rFonts w:ascii="黑体" w:eastAsia="黑体" w:hint="eastAsia"/>
                <w:sz w:val="21"/>
              </w:rPr>
              <w:t>重症手足口病</w:t>
            </w:r>
          </w:p>
        </w:tc>
        <w:tc>
          <w:tcPr>
            <w:tcW w:w="7009" w:type="dxa"/>
          </w:tcPr>
          <w:p>
            <w:pPr>
              <w:pStyle w:val="TableParagraph"/>
              <w:spacing w:line="278" w:lineRule="auto" w:before="54"/>
              <w:ind w:left="47" w:right="28"/>
              <w:rPr>
                <w:sz w:val="21"/>
              </w:rPr>
            </w:pPr>
            <w:r>
              <w:rPr>
                <w:sz w:val="21"/>
              </w:rPr>
              <w:t>是由肠道病毒引起的急性传染病，主要症状表现为手、足、口腔等部位的斑丘疹、疱疹。重症手足口病必须符合下列全部条件：                 (1)经专科医生诊断为手足口病；</w:t>
            </w:r>
          </w:p>
          <w:p>
            <w:pPr>
              <w:pStyle w:val="TableParagraph"/>
              <w:spacing w:line="280" w:lineRule="auto" w:before="11"/>
              <w:ind w:left="47" w:right="1"/>
              <w:rPr>
                <w:sz w:val="21"/>
              </w:rPr>
            </w:pPr>
            <w:r>
              <w:rPr>
                <w:spacing w:val="-1"/>
                <w:sz w:val="21"/>
              </w:rPr>
              <w:t>(2)</w:t>
            </w:r>
            <w:r>
              <w:rPr>
                <w:spacing w:val="-7"/>
                <w:sz w:val="21"/>
              </w:rPr>
              <w:t>伴有所列危重并发症之一：脑膜炎、脑炎、脑脊髓炎、肺水肿或心肌炎； </w:t>
            </w:r>
            <w:r>
              <w:rPr>
                <w:spacing w:val="-1"/>
                <w:sz w:val="21"/>
              </w:rPr>
              <w:t>(3)接受了住院治疗。</w:t>
            </w:r>
          </w:p>
        </w:tc>
      </w:tr>
      <w:tr>
        <w:trPr>
          <w:trHeight w:val="2112" w:hRule="atLeast"/>
        </w:trPr>
        <w:tc>
          <w:tcPr>
            <w:tcW w:w="873" w:type="dxa"/>
          </w:tcPr>
          <w:p>
            <w:pPr>
              <w:pStyle w:val="TableParagraph"/>
              <w:spacing w:before="54"/>
              <w:ind w:left="108"/>
              <w:rPr>
                <w:rFonts w:ascii="黑体"/>
                <w:sz w:val="21"/>
              </w:rPr>
            </w:pPr>
            <w:r>
              <w:rPr>
                <w:rFonts w:ascii="黑体"/>
                <w:sz w:val="21"/>
              </w:rPr>
              <w:t>4.2</w:t>
            </w:r>
          </w:p>
        </w:tc>
        <w:tc>
          <w:tcPr>
            <w:tcW w:w="1658" w:type="dxa"/>
          </w:tcPr>
          <w:p>
            <w:pPr>
              <w:pStyle w:val="TableParagraph"/>
              <w:spacing w:line="278" w:lineRule="auto" w:before="54"/>
              <w:ind w:left="135" w:right="261"/>
              <w:rPr>
                <w:rFonts w:ascii="黑体" w:eastAsia="黑体" w:hint="eastAsia"/>
                <w:sz w:val="21"/>
              </w:rPr>
            </w:pPr>
            <w:r>
              <w:rPr>
                <w:rFonts w:ascii="黑体" w:eastAsia="黑体" w:hint="eastAsia"/>
                <w:sz w:val="21"/>
              </w:rPr>
              <w:t>定义来源及确诊医院范围</w:t>
            </w:r>
          </w:p>
        </w:tc>
        <w:tc>
          <w:tcPr>
            <w:tcW w:w="7009" w:type="dxa"/>
          </w:tcPr>
          <w:p>
            <w:pPr>
              <w:pStyle w:val="TableParagraph"/>
              <w:spacing w:before="54"/>
              <w:ind w:left="47"/>
              <w:rPr>
                <w:sz w:val="21"/>
              </w:rPr>
            </w:pPr>
            <w:r>
              <w:rPr>
                <w:spacing w:val="-24"/>
                <w:sz w:val="21"/>
              </w:rPr>
              <w:t>以上 </w:t>
            </w:r>
            <w:r>
              <w:rPr>
                <w:sz w:val="21"/>
              </w:rPr>
              <w:t>4.1.1</w:t>
            </w:r>
            <w:r>
              <w:rPr>
                <w:spacing w:val="-49"/>
                <w:sz w:val="21"/>
              </w:rPr>
              <w:t> 至 </w:t>
            </w:r>
            <w:r>
              <w:rPr>
                <w:sz w:val="21"/>
              </w:rPr>
              <w:t>4.1.18</w:t>
            </w:r>
            <w:r>
              <w:rPr>
                <w:spacing w:val="-13"/>
                <w:sz w:val="21"/>
              </w:rPr>
              <w:t> 所列重大疾病定义根据中国保险行业协会 </w:t>
            </w:r>
            <w:r>
              <w:rPr>
                <w:sz w:val="21"/>
              </w:rPr>
              <w:t>2007</w:t>
            </w:r>
            <w:r>
              <w:rPr>
                <w:spacing w:val="-19"/>
                <w:sz w:val="21"/>
              </w:rPr>
              <w:t> 年公布</w:t>
            </w:r>
          </w:p>
          <w:p>
            <w:pPr>
              <w:pStyle w:val="TableParagraph"/>
              <w:spacing w:line="280" w:lineRule="auto" w:before="43"/>
              <w:ind w:left="47" w:right="106"/>
              <w:rPr>
                <w:sz w:val="21"/>
              </w:rPr>
            </w:pPr>
            <w:r>
              <w:rPr>
                <w:spacing w:val="-11"/>
                <w:sz w:val="21"/>
              </w:rPr>
              <w:t>的《重大疾病保险的疾病定义使用规范》作出，第 </w:t>
            </w:r>
            <w:r>
              <w:rPr>
                <w:sz w:val="21"/>
              </w:rPr>
              <w:t>4.1.19</w:t>
            </w:r>
            <w:r>
              <w:rPr>
                <w:spacing w:val="-40"/>
                <w:sz w:val="21"/>
              </w:rPr>
              <w:t> 至 </w:t>
            </w:r>
            <w:r>
              <w:rPr>
                <w:sz w:val="21"/>
              </w:rPr>
              <w:t>4.1.30</w:t>
            </w:r>
            <w:r>
              <w:rPr>
                <w:spacing w:val="-15"/>
                <w:sz w:val="21"/>
              </w:rPr>
              <w:t> 所列重大疾病由我们自行增加，其定义由我们根据通行的医学标准制定。</w:t>
            </w:r>
          </w:p>
          <w:p>
            <w:pPr>
              <w:pStyle w:val="TableParagraph"/>
              <w:spacing w:line="278" w:lineRule="auto" w:before="9"/>
              <w:ind w:left="47" w:right="1"/>
              <w:jc w:val="both"/>
              <w:rPr>
                <w:sz w:val="21"/>
              </w:rPr>
            </w:pPr>
            <w:r>
              <w:rPr>
                <w:spacing w:val="-14"/>
                <w:sz w:val="21"/>
              </w:rPr>
              <w:t>以上重大疾病，</w:t>
            </w:r>
            <w:r>
              <w:rPr>
                <w:spacing w:val="-5"/>
                <w:sz w:val="21"/>
                <w:shd w:fill="D9D9D9" w:color="auto" w:val="clear"/>
              </w:rPr>
              <w:t>除原发性心肌病须在卫生行政部门认定的三级以上</w:t>
            </w:r>
            <w:r>
              <w:rPr>
                <w:sz w:val="21"/>
                <w:shd w:fill="D9D9D9" w:color="auto" w:val="clear"/>
              </w:rPr>
              <w:t>（含三级）</w:t>
            </w:r>
            <w:r>
              <w:rPr>
                <w:spacing w:val="-210"/>
                <w:sz w:val="21"/>
                <w:shd w:fill="D9D9D9" w:color="auto" w:val="clear"/>
              </w:rPr>
              <w:t>医</w:t>
            </w:r>
            <w:r>
              <w:rPr>
                <w:sz w:val="21"/>
                <w:shd w:fill="D9D9D9" w:color="auto" w:val="clear"/>
              </w:rPr>
              <w:t>院确诊外</w:t>
            </w:r>
            <w:r>
              <w:rPr>
                <w:sz w:val="21"/>
              </w:rPr>
              <w:t>，其他重大疾病均须在卫生行政部门认定的二级以上（含二级）医院确诊。</w:t>
            </w:r>
          </w:p>
        </w:tc>
      </w:tr>
      <w:tr>
        <w:trPr>
          <w:trHeight w:val="320" w:hRule="atLeast"/>
        </w:trPr>
        <w:tc>
          <w:tcPr>
            <w:tcW w:w="873" w:type="dxa"/>
            <w:shd w:val="clear" w:color="auto" w:fill="D9D9D9"/>
          </w:tcPr>
          <w:p>
            <w:pPr>
              <w:pStyle w:val="TableParagraph"/>
              <w:spacing w:before="4"/>
              <w:ind w:left="108"/>
              <w:rPr>
                <w:rFonts w:ascii="黑体" w:eastAsia="黑体" w:hint="eastAsia"/>
                <w:b/>
                <w:sz w:val="21"/>
              </w:rPr>
            </w:pPr>
            <w:r>
              <w:rPr>
                <w:rFonts w:ascii="黑体" w:eastAsia="黑体" w:hint="eastAsia"/>
                <w:b/>
                <w:sz w:val="21"/>
              </w:rPr>
              <w:t>5．</w:t>
            </w:r>
          </w:p>
        </w:tc>
        <w:tc>
          <w:tcPr>
            <w:tcW w:w="1658" w:type="dxa"/>
            <w:shd w:val="clear" w:color="auto" w:fill="D9D9D9"/>
          </w:tcPr>
          <w:p>
            <w:pPr>
              <w:pStyle w:val="TableParagraph"/>
              <w:spacing w:before="4"/>
              <w:ind w:left="135"/>
              <w:rPr>
                <w:rFonts w:ascii="黑体" w:eastAsia="黑体" w:hint="eastAsia"/>
                <w:b/>
                <w:sz w:val="21"/>
              </w:rPr>
            </w:pPr>
            <w:r>
              <w:rPr>
                <w:rFonts w:ascii="黑体" w:eastAsia="黑体" w:hint="eastAsia"/>
                <w:b/>
                <w:w w:val="95"/>
                <w:sz w:val="21"/>
              </w:rPr>
              <w:t>特定疾病的定义</w:t>
            </w:r>
          </w:p>
        </w:tc>
        <w:tc>
          <w:tcPr>
            <w:tcW w:w="7009" w:type="dxa"/>
            <w:shd w:val="clear" w:color="auto" w:fill="D9D9D9"/>
          </w:tcPr>
          <w:p>
            <w:pPr>
              <w:pStyle w:val="TableParagraph"/>
              <w:spacing w:before="0"/>
              <w:ind w:left="0"/>
              <w:rPr>
                <w:rFonts w:ascii="Times New Roman"/>
                <w:sz w:val="20"/>
              </w:rPr>
            </w:pPr>
          </w:p>
        </w:tc>
      </w:tr>
      <w:tr>
        <w:trPr>
          <w:trHeight w:val="1192" w:hRule="atLeast"/>
        </w:trPr>
        <w:tc>
          <w:tcPr>
            <w:tcW w:w="873" w:type="dxa"/>
          </w:tcPr>
          <w:p>
            <w:pPr>
              <w:pStyle w:val="TableParagraph"/>
              <w:spacing w:before="145"/>
              <w:ind w:left="108"/>
              <w:rPr>
                <w:rFonts w:ascii="黑体"/>
                <w:sz w:val="21"/>
              </w:rPr>
            </w:pPr>
            <w:r>
              <w:rPr>
                <w:rFonts w:ascii="黑体"/>
                <w:sz w:val="21"/>
              </w:rPr>
              <w:t>5.1</w:t>
            </w:r>
          </w:p>
        </w:tc>
        <w:tc>
          <w:tcPr>
            <w:tcW w:w="1658" w:type="dxa"/>
          </w:tcPr>
          <w:p>
            <w:pPr>
              <w:pStyle w:val="TableParagraph"/>
              <w:spacing w:line="280" w:lineRule="auto" w:before="145"/>
              <w:ind w:left="135" w:right="261"/>
              <w:rPr>
                <w:rFonts w:ascii="黑体" w:eastAsia="黑体" w:hint="eastAsia"/>
                <w:sz w:val="21"/>
              </w:rPr>
            </w:pPr>
            <w:r>
              <w:rPr>
                <w:rFonts w:ascii="黑体" w:eastAsia="黑体" w:hint="eastAsia"/>
                <w:sz w:val="21"/>
              </w:rPr>
              <w:t>特定疾病的定义</w:t>
            </w:r>
          </w:p>
        </w:tc>
        <w:tc>
          <w:tcPr>
            <w:tcW w:w="7009" w:type="dxa"/>
          </w:tcPr>
          <w:p>
            <w:pPr>
              <w:pStyle w:val="TableParagraph"/>
              <w:spacing w:line="278" w:lineRule="auto" w:before="145"/>
              <w:ind w:left="47" w:right="105"/>
              <w:jc w:val="both"/>
              <w:rPr>
                <w:sz w:val="21"/>
              </w:rPr>
            </w:pPr>
            <w:r>
              <w:rPr>
                <w:spacing w:val="-7"/>
                <w:sz w:val="21"/>
              </w:rPr>
              <w:t>本合同所保障的特定疾病，是指被保险人因遭受意外伤害或在疾病观察期后</w:t>
            </w:r>
            <w:r>
              <w:rPr>
                <w:spacing w:val="-12"/>
                <w:sz w:val="21"/>
              </w:rPr>
              <w:t>因意外伤害以外的原因，被专科医生明确诊断初次患下列疾病或初次达到下</w:t>
            </w:r>
            <w:r>
              <w:rPr>
                <w:spacing w:val="-1"/>
                <w:sz w:val="21"/>
              </w:rPr>
              <w:t>列疾病状态：</w:t>
            </w:r>
          </w:p>
        </w:tc>
      </w:tr>
      <w:tr>
        <w:trPr>
          <w:trHeight w:val="1742" w:hRule="atLeast"/>
        </w:trPr>
        <w:tc>
          <w:tcPr>
            <w:tcW w:w="873" w:type="dxa"/>
          </w:tcPr>
          <w:p>
            <w:pPr>
              <w:pStyle w:val="TableParagraph"/>
              <w:spacing w:before="54"/>
              <w:ind w:left="108"/>
              <w:rPr>
                <w:rFonts w:ascii="黑体"/>
                <w:sz w:val="21"/>
              </w:rPr>
            </w:pPr>
            <w:r>
              <w:rPr>
                <w:rFonts w:ascii="黑体"/>
                <w:sz w:val="21"/>
              </w:rPr>
              <w:t>5.1.1</w:t>
            </w:r>
          </w:p>
        </w:tc>
        <w:tc>
          <w:tcPr>
            <w:tcW w:w="1658" w:type="dxa"/>
          </w:tcPr>
          <w:p>
            <w:pPr>
              <w:pStyle w:val="TableParagraph"/>
              <w:spacing w:before="54"/>
              <w:ind w:left="135"/>
              <w:rPr>
                <w:rFonts w:ascii="黑体" w:eastAsia="黑体" w:hint="eastAsia"/>
                <w:sz w:val="21"/>
              </w:rPr>
            </w:pPr>
            <w:r>
              <w:rPr>
                <w:rFonts w:ascii="黑体" w:eastAsia="黑体" w:hint="eastAsia"/>
                <w:sz w:val="21"/>
              </w:rPr>
              <w:t>白血病</w:t>
            </w:r>
          </w:p>
        </w:tc>
        <w:tc>
          <w:tcPr>
            <w:tcW w:w="7009" w:type="dxa"/>
          </w:tcPr>
          <w:p>
            <w:pPr>
              <w:pStyle w:val="TableParagraph"/>
              <w:spacing w:line="280" w:lineRule="auto" w:before="54"/>
              <w:ind w:left="47" w:right="105"/>
              <w:jc w:val="both"/>
              <w:rPr>
                <w:sz w:val="21"/>
              </w:rPr>
            </w:pPr>
            <w:r>
              <w:rPr>
                <w:spacing w:val="-6"/>
                <w:sz w:val="21"/>
              </w:rPr>
              <w:t>是一种造血系统的恶性肿瘤，其主要表现为白血病细胞在骨髓或其他造血组</w:t>
            </w:r>
            <w:r>
              <w:rPr>
                <w:spacing w:val="-12"/>
                <w:sz w:val="21"/>
              </w:rPr>
              <w:t>织中大量克隆、异常增生，大量聚集的白细胞抑制正常造血并浸润全身器官和组织。周围白细胞有质和量的变化，出现相应临床表现。</w:t>
            </w:r>
          </w:p>
          <w:p>
            <w:pPr>
              <w:pStyle w:val="TableParagraph"/>
              <w:spacing w:line="280" w:lineRule="auto" w:before="8"/>
              <w:ind w:left="47" w:right="29"/>
              <w:jc w:val="both"/>
              <w:rPr>
                <w:sz w:val="21"/>
              </w:rPr>
            </w:pPr>
            <w:r>
              <w:rPr>
                <w:sz w:val="21"/>
              </w:rPr>
              <w:t>被保险人所患白血病必须根据骨髓的活组织检查和周围血象由专科（儿科、血液科或肿瘤科）医生确诊。</w:t>
            </w:r>
          </w:p>
        </w:tc>
      </w:tr>
      <w:tr>
        <w:trPr>
          <w:trHeight w:val="1616" w:hRule="atLeast"/>
        </w:trPr>
        <w:tc>
          <w:tcPr>
            <w:tcW w:w="873" w:type="dxa"/>
          </w:tcPr>
          <w:p>
            <w:pPr>
              <w:pStyle w:val="TableParagraph"/>
              <w:spacing w:before="54"/>
              <w:ind w:left="108"/>
              <w:rPr>
                <w:rFonts w:ascii="黑体"/>
                <w:sz w:val="21"/>
              </w:rPr>
            </w:pPr>
            <w:r>
              <w:rPr>
                <w:rFonts w:ascii="黑体"/>
                <w:sz w:val="21"/>
              </w:rPr>
              <w:t>5.1.2</w:t>
            </w:r>
          </w:p>
        </w:tc>
        <w:tc>
          <w:tcPr>
            <w:tcW w:w="1658" w:type="dxa"/>
          </w:tcPr>
          <w:p>
            <w:pPr>
              <w:pStyle w:val="TableParagraph"/>
              <w:spacing w:before="54"/>
              <w:ind w:left="135"/>
              <w:rPr>
                <w:rFonts w:ascii="黑体" w:eastAsia="黑体" w:hint="eastAsia"/>
                <w:sz w:val="21"/>
              </w:rPr>
            </w:pPr>
            <w:r>
              <w:rPr>
                <w:rFonts w:ascii="黑体" w:eastAsia="黑体" w:hint="eastAsia"/>
                <w:sz w:val="21"/>
              </w:rPr>
              <w:t>重症手足口病</w:t>
            </w:r>
          </w:p>
        </w:tc>
        <w:tc>
          <w:tcPr>
            <w:tcW w:w="7009" w:type="dxa"/>
          </w:tcPr>
          <w:p>
            <w:pPr>
              <w:pStyle w:val="TableParagraph"/>
              <w:spacing w:line="278" w:lineRule="auto" w:before="54"/>
              <w:ind w:left="47" w:right="28"/>
              <w:rPr>
                <w:sz w:val="21"/>
              </w:rPr>
            </w:pPr>
            <w:r>
              <w:rPr>
                <w:sz w:val="21"/>
              </w:rPr>
              <w:t>是由肠道病毒引起的急性传染病，主要症状表现为手、足、口腔等部位的斑丘疹、疱疹。重症手足口病必须符合下列全部条件：                 (1)经专科医生诊断为手足口病；</w:t>
            </w:r>
          </w:p>
          <w:p>
            <w:pPr>
              <w:pStyle w:val="TableParagraph"/>
              <w:spacing w:line="320" w:lineRule="exact" w:before="0"/>
              <w:ind w:left="47" w:right="1"/>
              <w:rPr>
                <w:sz w:val="21"/>
              </w:rPr>
            </w:pPr>
            <w:r>
              <w:rPr>
                <w:spacing w:val="-1"/>
                <w:sz w:val="21"/>
              </w:rPr>
              <w:t>(2)</w:t>
            </w:r>
            <w:r>
              <w:rPr>
                <w:spacing w:val="-7"/>
                <w:sz w:val="21"/>
              </w:rPr>
              <w:t>伴有所列危重并发症之一：脑膜炎、脑炎、脑脊髓炎、肺水肿或心肌炎； </w:t>
            </w:r>
            <w:r>
              <w:rPr>
                <w:spacing w:val="-1"/>
                <w:sz w:val="21"/>
              </w:rPr>
              <w:t>(3)接受了住院治疗。</w:t>
            </w:r>
          </w:p>
        </w:tc>
      </w:tr>
    </w:tbl>
    <w:p>
      <w:pPr>
        <w:spacing w:after="0" w:line="320" w:lineRule="exact"/>
        <w:rPr>
          <w:sz w:val="21"/>
        </w:rPr>
        <w:sectPr>
          <w:pgSz w:w="11910" w:h="16840"/>
          <w:pgMar w:top="1500" w:bottom="280" w:left="1080" w:right="1080"/>
        </w:sectPr>
      </w:pPr>
    </w:p>
    <w:p>
      <w:pPr>
        <w:pStyle w:val="BodyText"/>
        <w:tabs>
          <w:tab w:pos="1111" w:val="left" w:leader="none"/>
        </w:tabs>
        <w:spacing w:line="278" w:lineRule="auto" w:before="8"/>
        <w:ind w:left="1111" w:hanging="900"/>
        <w:rPr>
          <w:rFonts w:ascii="黑体" w:eastAsia="黑体" w:hint="eastAsia"/>
        </w:rPr>
      </w:pPr>
      <w:r>
        <w:rPr>
          <w:rFonts w:ascii="黑体" w:eastAsia="黑体" w:hint="eastAsia"/>
        </w:rPr>
        <w:t>5.2</w:t>
        <w:tab/>
        <w:t>定义来源及确诊医院范围</w:t>
      </w:r>
    </w:p>
    <w:p>
      <w:pPr>
        <w:pStyle w:val="BodyText"/>
        <w:spacing w:line="278" w:lineRule="auto" w:before="8"/>
        <w:ind w:left="211" w:right="340"/>
      </w:pPr>
      <w:r>
        <w:rPr/>
        <w:br w:type="column"/>
      </w:r>
      <w:r>
        <w:rPr>
          <w:spacing w:val="-18"/>
        </w:rPr>
        <w:t>以上 </w:t>
      </w:r>
      <w:r>
        <w:rPr/>
        <w:t>5.1.1</w:t>
      </w:r>
      <w:r>
        <w:rPr>
          <w:spacing w:val="-36"/>
        </w:rPr>
        <w:t> 至 </w:t>
      </w:r>
      <w:r>
        <w:rPr/>
        <w:t>5.1.2</w:t>
      </w:r>
      <w:r>
        <w:rPr>
          <w:spacing w:val="-8"/>
        </w:rPr>
        <w:t> 所列特定疾病定义由我们根据通行的医学标准制定。以上特定疾病均须在卫生行政部门认定的二级以上（含二级）医院确诊。</w:t>
      </w:r>
    </w:p>
    <w:p>
      <w:pPr>
        <w:spacing w:after="0" w:line="278" w:lineRule="auto"/>
        <w:sectPr>
          <w:pgSz w:w="11910" w:h="16840"/>
          <w:pgMar w:top="1420" w:bottom="280" w:left="1080" w:right="1080"/>
          <w:cols w:num="2" w:equalWidth="0">
            <w:col w:w="2372" w:space="99"/>
            <w:col w:w="7279"/>
          </w:cols>
        </w:sectPr>
      </w:pPr>
    </w:p>
    <w:p>
      <w:pPr>
        <w:pStyle w:val="BodyText"/>
        <w:spacing w:before="11"/>
        <w:rPr>
          <w:sz w:val="10"/>
        </w:rPr>
      </w:pPr>
    </w:p>
    <w:p>
      <w:pPr>
        <w:pStyle w:val="BodyText"/>
        <w:spacing w:before="0"/>
        <w:ind w:left="103"/>
        <w:rPr>
          <w:sz w:val="20"/>
        </w:rPr>
      </w:pPr>
      <w:r>
        <w:rPr>
          <w:sz w:val="20"/>
        </w:rPr>
        <w:pict>
          <v:shape style="width:477pt;height:15.6pt;mso-position-horizontal-relative:char;mso-position-vertical-relative:line" type="#_x0000_t202" filled="true" fillcolor="#d3d3d3" stroked="false">
            <w10:anchorlock/>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6"/>
        </w:numPr>
        <w:tabs>
          <w:tab w:pos="1112" w:val="left" w:leader="none"/>
          <w:tab w:pos="2681" w:val="left" w:leader="none"/>
        </w:tabs>
        <w:spacing w:line="278" w:lineRule="auto" w:before="35" w:after="0"/>
        <w:ind w:left="2682" w:right="130" w:hanging="2471"/>
        <w:jc w:val="both"/>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6"/>
        </w:numPr>
        <w:tabs>
          <w:tab w:pos="1112" w:val="left" w:leader="none"/>
        </w:tabs>
        <w:spacing w:line="280" w:lineRule="auto" w:before="153" w:after="0"/>
        <w:ind w:left="2682" w:right="207" w:hanging="2471"/>
        <w:jc w:val="both"/>
        <w:rPr>
          <w:sz w:val="21"/>
        </w:rPr>
      </w:pPr>
      <w:r>
        <w:rPr>
          <w:rFonts w:ascii="黑体" w:eastAsia="黑体" w:hint="eastAsia"/>
          <w:spacing w:val="12"/>
          <w:sz w:val="21"/>
        </w:rPr>
        <w:t>有效身份证件 </w:t>
      </w:r>
      <w:r>
        <w:rPr>
          <w:spacing w:val="-5"/>
          <w:sz w:val="21"/>
        </w:rPr>
        <w:t>指由政府主管部门规定的证明其身份的证件，如：居民身份证、按规定可使用的有效护照、军官证、警官证、士兵证、户口簿等证件。</w:t>
      </w:r>
    </w:p>
    <w:p>
      <w:pPr>
        <w:pStyle w:val="ListParagraph"/>
        <w:numPr>
          <w:ilvl w:val="1"/>
          <w:numId w:val="6"/>
        </w:numPr>
        <w:tabs>
          <w:tab w:pos="1112" w:val="left" w:leader="none"/>
        </w:tabs>
        <w:spacing w:line="280" w:lineRule="auto" w:before="151" w:after="0"/>
        <w:ind w:left="2682" w:right="203" w:hanging="2471"/>
        <w:jc w:val="both"/>
        <w:rPr>
          <w:sz w:val="21"/>
        </w:rPr>
      </w:pPr>
      <w:r>
        <w:rPr>
          <w:rFonts w:ascii="黑体" w:hAnsi="黑体" w:eastAsia="黑体" w:hint="eastAsia"/>
          <w:spacing w:val="10"/>
          <w:sz w:val="21"/>
        </w:rPr>
        <w:t>现金价值     </w:t>
      </w:r>
      <w:r>
        <w:rPr>
          <w:spacing w:val="-5"/>
          <w:sz w:val="21"/>
        </w:rPr>
        <w:t>指本合同保险单所具有的价值，通常体现为解除合同时，根据精算原理计算的，由我们退还的那部分金额。现金价值＝本合同的保险费×70％×（1－</w:t>
      </w:r>
    </w:p>
    <w:p>
      <w:pPr>
        <w:pStyle w:val="BodyText"/>
        <w:spacing w:line="280" w:lineRule="auto" w:before="8"/>
        <w:ind w:left="2682" w:right="208"/>
      </w:pPr>
      <w:r>
        <w:rPr/>
        <w:t>n</w:t>
      </w:r>
      <w:r>
        <w:rPr>
          <w:spacing w:val="-1"/>
        </w:rPr>
        <w:t>/m</w:t>
      </w:r>
      <w:r>
        <w:rPr>
          <w:spacing w:val="-105"/>
        </w:rPr>
        <w:t>）</w:t>
      </w:r>
      <w:r>
        <w:rPr>
          <w:spacing w:val="-17"/>
        </w:rPr>
        <w:t>，其中 </w:t>
      </w:r>
      <w:r>
        <w:rPr/>
        <w:t>n</w:t>
      </w:r>
      <w:r>
        <w:rPr>
          <w:spacing w:val="-9"/>
        </w:rPr>
        <w:t> 为本合同已生效天数，</w:t>
      </w:r>
      <w:r>
        <w:rPr/>
        <w:t>m</w:t>
      </w:r>
      <w:r>
        <w:rPr>
          <w:spacing w:val="-9"/>
        </w:rPr>
        <w:t> 为本合同保险期间的天数。合同已生效的天数不足一天的不计。</w:t>
      </w:r>
    </w:p>
    <w:p>
      <w:pPr>
        <w:pStyle w:val="ListParagraph"/>
        <w:numPr>
          <w:ilvl w:val="1"/>
          <w:numId w:val="6"/>
        </w:numPr>
        <w:tabs>
          <w:tab w:pos="1112" w:val="left" w:leader="none"/>
        </w:tabs>
        <w:spacing w:line="280" w:lineRule="auto" w:before="151" w:after="0"/>
        <w:ind w:left="2682" w:right="207" w:hanging="2471"/>
        <w:jc w:val="both"/>
        <w:rPr>
          <w:sz w:val="21"/>
        </w:rPr>
      </w:pPr>
      <w:r>
        <w:rPr>
          <w:rFonts w:ascii="黑体" w:eastAsia="黑体" w:hint="eastAsia"/>
          <w:spacing w:val="10"/>
          <w:sz w:val="21"/>
        </w:rPr>
        <w:t>意外伤害     </w:t>
      </w:r>
      <w:r>
        <w:rPr>
          <w:spacing w:val="-9"/>
          <w:sz w:val="21"/>
        </w:rPr>
        <w:t>指遭受外来的、突发的、非本意的、非疾病的客观事件直接致使身体受到的伤害。</w:t>
      </w:r>
    </w:p>
    <w:p>
      <w:pPr>
        <w:pStyle w:val="ListParagraph"/>
        <w:numPr>
          <w:ilvl w:val="1"/>
          <w:numId w:val="6"/>
        </w:numPr>
        <w:tabs>
          <w:tab w:pos="1112" w:val="left" w:leader="none"/>
          <w:tab w:pos="2681" w:val="left" w:leader="none"/>
        </w:tabs>
        <w:spacing w:line="278" w:lineRule="auto" w:before="151" w:after="0"/>
        <w:ind w:left="2682" w:right="203" w:hanging="2471"/>
        <w:jc w:val="both"/>
        <w:rPr>
          <w:sz w:val="21"/>
        </w:rPr>
      </w:pPr>
      <w:r>
        <w:rPr>
          <w:rFonts w:ascii="黑体" w:eastAsia="黑体" w:hint="eastAsia"/>
          <w:sz w:val="21"/>
        </w:rPr>
        <w:t>毒品</w:t>
        <w:tab/>
      </w:r>
      <w:r>
        <w:rPr>
          <w:sz w:val="21"/>
        </w:rPr>
        <w:t>指中华人民共和国刑法规定的鸦片、海洛因、甲基苯丙胺（冰毒</w:t>
      </w:r>
      <w:r>
        <w:rPr>
          <w:spacing w:val="-105"/>
          <w:sz w:val="21"/>
        </w:rPr>
        <w:t>）</w:t>
      </w:r>
      <w:r>
        <w:rPr>
          <w:sz w:val="21"/>
        </w:rPr>
        <w:t>、吗啡、 大麻</w:t>
      </w:r>
      <w:r>
        <w:rPr>
          <w:spacing w:val="-77"/>
          <w:sz w:val="21"/>
        </w:rPr>
        <w:t>、</w:t>
      </w:r>
      <w:r>
        <w:rPr>
          <w:sz w:val="21"/>
        </w:rPr>
        <w:t>可卡因以及国家规定管制的其他能够使人形成瘾癖的麻醉药品和精神药品</w:t>
      </w:r>
      <w:r>
        <w:rPr>
          <w:spacing w:val="-77"/>
          <w:sz w:val="21"/>
        </w:rPr>
        <w:t>，</w:t>
      </w:r>
      <w:r>
        <w:rPr>
          <w:sz w:val="21"/>
        </w:rPr>
        <w:t>但不包括由医生开具并遵医嘱使用的用于治疗疾病但含有毒品成分的处方药品。</w:t>
      </w:r>
    </w:p>
    <w:p>
      <w:pPr>
        <w:pStyle w:val="ListParagraph"/>
        <w:numPr>
          <w:ilvl w:val="1"/>
          <w:numId w:val="6"/>
        </w:numPr>
        <w:tabs>
          <w:tab w:pos="1112" w:val="left" w:leader="none"/>
        </w:tabs>
        <w:spacing w:line="278" w:lineRule="auto" w:before="153" w:after="0"/>
        <w:ind w:left="2682" w:right="207" w:hanging="2471"/>
        <w:jc w:val="both"/>
        <w:rPr>
          <w:sz w:val="21"/>
        </w:rPr>
      </w:pPr>
      <w:r>
        <w:rPr>
          <w:rFonts w:ascii="黑体" w:eastAsia="黑体" w:hint="eastAsia"/>
          <w:spacing w:val="10"/>
          <w:sz w:val="21"/>
        </w:rPr>
        <w:t>酒后驾驶     </w:t>
      </w:r>
      <w:r>
        <w:rPr>
          <w:spacing w:val="-9"/>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1"/>
          <w:numId w:val="6"/>
        </w:numPr>
        <w:tabs>
          <w:tab w:pos="1111" w:val="left" w:leader="none"/>
          <w:tab w:pos="1112" w:val="left" w:leader="none"/>
        </w:tabs>
        <w:spacing w:line="280" w:lineRule="auto" w:before="35" w:after="0"/>
        <w:ind w:left="1111" w:right="0" w:hanging="900"/>
        <w:jc w:val="left"/>
        <w:rPr>
          <w:rFonts w:ascii="黑体" w:eastAsia="黑体" w:hint="eastAsia"/>
          <w:sz w:val="21"/>
        </w:rPr>
      </w:pPr>
      <w:r>
        <w:rPr>
          <w:rFonts w:ascii="黑体" w:eastAsia="黑体" w:hint="eastAsia"/>
          <w:spacing w:val="-1"/>
          <w:sz w:val="21"/>
        </w:rPr>
        <w:t>无合法有效驾驶证驾驶</w:t>
      </w:r>
    </w:p>
    <w:p>
      <w:pPr>
        <w:pStyle w:val="BodyText"/>
        <w:spacing w:line="280" w:lineRule="auto"/>
        <w:ind w:left="211" w:right="4855"/>
      </w:pPr>
      <w:r>
        <w:rPr/>
        <w:br w:type="column"/>
      </w:r>
      <w:r>
        <w:rPr/>
        <w:t>指下列情形之一：   </w:t>
      </w:r>
      <w:r>
        <w:rPr>
          <w:spacing w:val="-1"/>
        </w:rPr>
        <w:t>(1)没有取得驾驶资格；</w:t>
      </w:r>
    </w:p>
    <w:p>
      <w:pPr>
        <w:pStyle w:val="BodyText"/>
        <w:spacing w:line="280" w:lineRule="auto" w:before="8"/>
        <w:ind w:left="211" w:right="2953"/>
      </w:pPr>
      <w:r>
        <w:rPr/>
        <w:t>(2)驾驶与驾驶证准驾车型不相符合的车辆； (3)持审验不合格的驾驶证驾驶；</w:t>
      </w:r>
    </w:p>
    <w:p>
      <w:pPr>
        <w:pStyle w:val="BodyText"/>
        <w:spacing w:line="278" w:lineRule="auto" w:before="9"/>
        <w:ind w:left="526" w:right="204" w:hanging="316"/>
      </w:pPr>
      <w:r>
        <w:rPr/>
        <w:t>(4)持学习驾驶证学习驾车时，无教练员随车指导，或不按指定时间、路线学习驾车。</w:t>
      </w:r>
    </w:p>
    <w:p>
      <w:pPr>
        <w:spacing w:after="0" w:line="278" w:lineRule="auto"/>
        <w:sectPr>
          <w:type w:val="continuous"/>
          <w:pgSz w:w="11910" w:h="16840"/>
          <w:pgMar w:top="1260" w:bottom="280" w:left="1080" w:right="1080"/>
          <w:cols w:num="2" w:equalWidth="0">
            <w:col w:w="2371" w:space="100"/>
            <w:col w:w="7279"/>
          </w:cols>
        </w:sectPr>
      </w:pPr>
    </w:p>
    <w:p>
      <w:pPr>
        <w:pStyle w:val="BodyText"/>
        <w:spacing w:before="13"/>
        <w:rPr>
          <w:sz w:val="8"/>
        </w:rPr>
      </w:pPr>
    </w:p>
    <w:p>
      <w:pPr>
        <w:pStyle w:val="ListParagraph"/>
        <w:numPr>
          <w:ilvl w:val="1"/>
          <w:numId w:val="6"/>
        </w:numPr>
        <w:tabs>
          <w:tab w:pos="1111" w:val="left" w:leader="none"/>
          <w:tab w:pos="1112" w:val="left" w:leader="none"/>
          <w:tab w:pos="2681" w:val="left" w:leader="none"/>
        </w:tabs>
        <w:spacing w:line="240" w:lineRule="auto" w:before="35" w:after="0"/>
        <w:ind w:left="1111" w:right="0" w:hanging="900"/>
        <w:jc w:val="left"/>
        <w:rPr>
          <w:sz w:val="21"/>
        </w:rPr>
      </w:pPr>
      <w:r>
        <w:rPr>
          <w:rFonts w:ascii="黑体" w:eastAsia="黑体" w:hint="eastAsia"/>
          <w:sz w:val="21"/>
        </w:rPr>
        <w:t>无有效行驶证</w:t>
        <w:tab/>
      </w:r>
      <w:r>
        <w:rPr>
          <w:sz w:val="21"/>
        </w:rPr>
        <w:t>指下列情形之一：</w:t>
      </w:r>
    </w:p>
    <w:p>
      <w:pPr>
        <w:pStyle w:val="BodyText"/>
        <w:spacing w:line="280" w:lineRule="auto" w:before="45"/>
        <w:ind w:left="2682" w:right="2545"/>
      </w:pPr>
      <w:r>
        <w:rPr/>
        <w:t>(1)机动车被依法注销登记的；              </w:t>
      </w:r>
      <w:r>
        <w:rPr>
          <w:spacing w:val="-1"/>
        </w:rPr>
        <w:t>(2)未依法按时进行或通过机动车安全技术检验。</w:t>
      </w:r>
    </w:p>
    <w:p>
      <w:pPr>
        <w:pStyle w:val="ListParagraph"/>
        <w:numPr>
          <w:ilvl w:val="1"/>
          <w:numId w:val="6"/>
        </w:numPr>
        <w:tabs>
          <w:tab w:pos="1111" w:val="left" w:leader="none"/>
          <w:tab w:pos="1112" w:val="left" w:leader="none"/>
          <w:tab w:pos="2681" w:val="left" w:leader="none"/>
        </w:tabs>
        <w:spacing w:line="278" w:lineRule="auto" w:before="151" w:after="0"/>
        <w:ind w:left="2682" w:right="207" w:hanging="2471"/>
        <w:jc w:val="left"/>
        <w:rPr>
          <w:sz w:val="21"/>
        </w:rPr>
      </w:pPr>
      <w:r>
        <w:rPr>
          <w:rFonts w:ascii="黑体" w:eastAsia="黑体" w:hint="eastAsia"/>
          <w:sz w:val="21"/>
        </w:rPr>
        <w:t>机动车</w:t>
        <w:tab/>
      </w:r>
      <w:r>
        <w:rPr>
          <w:sz w:val="21"/>
        </w:rPr>
        <w:t>指以动力装置驱动或者牵引</w:t>
      </w:r>
      <w:r>
        <w:rPr>
          <w:spacing w:val="-77"/>
          <w:sz w:val="21"/>
        </w:rPr>
        <w:t>，</w:t>
      </w:r>
      <w:r>
        <w:rPr>
          <w:sz w:val="21"/>
        </w:rPr>
        <w:t>上道路行驶的供人员乘用或者用于运送物品以及进行工程专项作业的轮式车辆。</w:t>
      </w: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1"/>
          <w:numId w:val="6"/>
        </w:numPr>
        <w:tabs>
          <w:tab w:pos="1111" w:val="left" w:leader="none"/>
          <w:tab w:pos="1112" w:val="left" w:leader="none"/>
        </w:tabs>
        <w:spacing w:line="280" w:lineRule="auto" w:before="35" w:after="0"/>
        <w:ind w:left="1111" w:right="0" w:hanging="900"/>
        <w:jc w:val="left"/>
        <w:rPr>
          <w:rFonts w:ascii="黑体" w:eastAsia="黑体" w:hint="eastAsia"/>
          <w:sz w:val="21"/>
        </w:rPr>
      </w:pPr>
      <w:r>
        <w:rPr>
          <w:rFonts w:ascii="黑体" w:eastAsia="黑体" w:hint="eastAsia"/>
          <w:sz w:val="21"/>
        </w:rPr>
        <w:t>感染艾滋病病毒或患艾滋病</w:t>
      </w:r>
    </w:p>
    <w:p>
      <w:pPr>
        <w:pStyle w:val="BodyText"/>
        <w:spacing w:line="280" w:lineRule="auto"/>
        <w:ind w:left="211" w:right="132"/>
      </w:pPr>
      <w:r>
        <w:rPr/>
        <w:br w:type="column"/>
      </w:r>
      <w:r>
        <w:rPr/>
        <w:t>艾滋病病毒指人类免疫缺陷病毒，英文缩写为 HIV。艾滋病指人类免疫缺陷病毒引起的获得性免疫缺陷综合症，英文缩写为 AIDS。</w:t>
      </w:r>
    </w:p>
    <w:p>
      <w:pPr>
        <w:pStyle w:val="BodyText"/>
        <w:spacing w:line="278" w:lineRule="auto" w:before="9"/>
        <w:ind w:left="211" w:right="102"/>
      </w:pPr>
      <w:r>
        <w:rPr>
          <w:spacing w:val="-3"/>
        </w:rPr>
        <w:t>在人体血液或其他样本中检测到艾滋病病毒或其抗体呈阳性，没有出现临床</w:t>
      </w:r>
      <w:r>
        <w:rPr>
          <w:spacing w:val="-16"/>
        </w:rPr>
        <w:t>症状或体征的，为感染艾滋病病毒；如果同时出现了明显临床症状或体征的， 为患艾滋病。</w:t>
      </w:r>
    </w:p>
    <w:p>
      <w:pPr>
        <w:spacing w:after="0" w:line="278" w:lineRule="auto"/>
        <w:sectPr>
          <w:type w:val="continuous"/>
          <w:pgSz w:w="11910" w:h="16840"/>
          <w:pgMar w:top="1260" w:bottom="280" w:left="1080" w:right="1080"/>
          <w:cols w:num="2" w:equalWidth="0">
            <w:col w:w="2372" w:space="99"/>
            <w:col w:w="7279"/>
          </w:cols>
        </w:sectPr>
      </w:pPr>
    </w:p>
    <w:p>
      <w:pPr>
        <w:pStyle w:val="BodyText"/>
        <w:spacing w:before="0"/>
        <w:rPr>
          <w:sz w:val="9"/>
        </w:rPr>
      </w:pPr>
    </w:p>
    <w:p>
      <w:pPr>
        <w:pStyle w:val="ListParagraph"/>
        <w:numPr>
          <w:ilvl w:val="1"/>
          <w:numId w:val="6"/>
        </w:numPr>
        <w:tabs>
          <w:tab w:pos="1111" w:val="left" w:leader="none"/>
          <w:tab w:pos="1112" w:val="left" w:leader="none"/>
          <w:tab w:pos="2681" w:val="left" w:leader="none"/>
        </w:tabs>
        <w:spacing w:line="280" w:lineRule="auto" w:before="35" w:after="0"/>
        <w:ind w:left="2682" w:right="207" w:hanging="2471"/>
        <w:jc w:val="left"/>
        <w:rPr>
          <w:sz w:val="21"/>
        </w:rPr>
      </w:pPr>
      <w:r>
        <w:rPr>
          <w:rFonts w:ascii="黑体" w:eastAsia="黑体" w:hint="eastAsia"/>
          <w:sz w:val="21"/>
        </w:rPr>
        <w:t>遗传性疾病</w:t>
        <w:tab/>
      </w:r>
      <w:r>
        <w:rPr>
          <w:sz w:val="21"/>
        </w:rPr>
        <w:t>指生殖细胞或受精卵的遗传物</w:t>
      </w:r>
      <w:r>
        <w:rPr>
          <w:spacing w:val="-39"/>
          <w:sz w:val="21"/>
        </w:rPr>
        <w:t>质</w:t>
      </w:r>
      <w:r>
        <w:rPr>
          <w:sz w:val="21"/>
        </w:rPr>
        <w:t>（染色体和基因</w:t>
      </w:r>
      <w:r>
        <w:rPr>
          <w:spacing w:val="-39"/>
          <w:sz w:val="21"/>
        </w:rPr>
        <w:t>）</w:t>
      </w:r>
      <w:r>
        <w:rPr>
          <w:sz w:val="21"/>
        </w:rPr>
        <w:t>发生突变或畸变所引起的疾病，通常具有由亲代传至后代的垂直传递的特征。</w:t>
      </w:r>
    </w:p>
    <w:p>
      <w:pPr>
        <w:spacing w:after="0" w:line="280" w:lineRule="auto"/>
        <w:jc w:val="left"/>
        <w:rPr>
          <w:sz w:val="21"/>
        </w:rPr>
        <w:sectPr>
          <w:type w:val="continuous"/>
          <w:pgSz w:w="11910" w:h="16840"/>
          <w:pgMar w:top="126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55"/>
        <w:gridCol w:w="7163"/>
      </w:tblGrid>
      <w:tr>
        <w:trPr>
          <w:trHeight w:val="584" w:hRule="atLeast"/>
        </w:trPr>
        <w:tc>
          <w:tcPr>
            <w:tcW w:w="710" w:type="dxa"/>
          </w:tcPr>
          <w:p>
            <w:pPr>
              <w:pStyle w:val="TableParagraph"/>
              <w:spacing w:line="204" w:lineRule="exact" w:before="0"/>
              <w:rPr>
                <w:rFonts w:ascii="黑体"/>
                <w:sz w:val="21"/>
              </w:rPr>
            </w:pPr>
            <w:r>
              <w:rPr>
                <w:rFonts w:ascii="黑体"/>
                <w:sz w:val="21"/>
              </w:rPr>
              <w:t>6.12</w:t>
            </w:r>
          </w:p>
        </w:tc>
        <w:tc>
          <w:tcPr>
            <w:tcW w:w="1655" w:type="dxa"/>
          </w:tcPr>
          <w:p>
            <w:pPr>
              <w:pStyle w:val="TableParagraph"/>
              <w:spacing w:line="204" w:lineRule="exact" w:before="0"/>
              <w:ind w:left="239"/>
              <w:rPr>
                <w:rFonts w:ascii="黑体" w:eastAsia="黑体" w:hint="eastAsia"/>
                <w:sz w:val="21"/>
              </w:rPr>
            </w:pPr>
            <w:r>
              <w:rPr>
                <w:rFonts w:ascii="黑体" w:eastAsia="黑体" w:hint="eastAsia"/>
                <w:sz w:val="21"/>
              </w:rPr>
              <w:t>先天性畸形、</w:t>
            </w:r>
          </w:p>
          <w:p>
            <w:pPr>
              <w:pStyle w:val="TableParagraph"/>
              <w:spacing w:before="44"/>
              <w:ind w:left="239"/>
              <w:rPr>
                <w:rFonts w:ascii="黑体" w:eastAsia="黑体" w:hint="eastAsia"/>
                <w:sz w:val="21"/>
              </w:rPr>
            </w:pPr>
            <w:r>
              <w:rPr>
                <w:rFonts w:ascii="黑体" w:eastAsia="黑体" w:hint="eastAsia"/>
                <w:sz w:val="21"/>
              </w:rPr>
              <w:t>变形或染色体</w:t>
            </w:r>
          </w:p>
        </w:tc>
        <w:tc>
          <w:tcPr>
            <w:tcW w:w="7163" w:type="dxa"/>
          </w:tcPr>
          <w:p>
            <w:pPr>
              <w:pStyle w:val="TableParagraph"/>
              <w:spacing w:line="204" w:lineRule="exact" w:before="0"/>
              <w:ind w:left="155"/>
              <w:rPr>
                <w:sz w:val="21"/>
              </w:rPr>
            </w:pPr>
            <w:r>
              <w:rPr>
                <w:sz w:val="21"/>
              </w:rPr>
              <w:t>指被保险人出生时就具有的畸形、变形或染色体异常。先天性畸形、变形和</w:t>
            </w:r>
          </w:p>
          <w:p>
            <w:pPr>
              <w:pStyle w:val="TableParagraph"/>
              <w:spacing w:before="44"/>
              <w:ind w:left="155"/>
              <w:rPr>
                <w:sz w:val="21"/>
              </w:rPr>
            </w:pPr>
            <w:r>
              <w:rPr>
                <w:sz w:val="21"/>
              </w:rPr>
              <w:t>染色体异常依照世界卫生组织《疾病和有关健康问题的国际统计分类》</w:t>
            </w:r>
          </w:p>
        </w:tc>
      </w:tr>
      <w:tr>
        <w:trPr>
          <w:trHeight w:val="391" w:hRule="atLeast"/>
        </w:trPr>
        <w:tc>
          <w:tcPr>
            <w:tcW w:w="710" w:type="dxa"/>
          </w:tcPr>
          <w:p>
            <w:pPr>
              <w:pStyle w:val="TableParagraph"/>
              <w:spacing w:before="0"/>
              <w:ind w:left="0"/>
              <w:rPr>
                <w:rFonts w:ascii="Times New Roman"/>
                <w:sz w:val="20"/>
              </w:rPr>
            </w:pPr>
          </w:p>
        </w:tc>
        <w:tc>
          <w:tcPr>
            <w:tcW w:w="1655" w:type="dxa"/>
          </w:tcPr>
          <w:p>
            <w:pPr>
              <w:pStyle w:val="TableParagraph"/>
              <w:spacing w:line="259" w:lineRule="exact" w:before="0"/>
              <w:ind w:left="239"/>
              <w:rPr>
                <w:rFonts w:ascii="黑体" w:eastAsia="黑体" w:hint="eastAsia"/>
                <w:sz w:val="21"/>
              </w:rPr>
            </w:pPr>
            <w:r>
              <w:rPr>
                <w:rFonts w:ascii="黑体" w:eastAsia="黑体" w:hint="eastAsia"/>
                <w:sz w:val="21"/>
              </w:rPr>
              <w:t>异常</w:t>
            </w:r>
          </w:p>
        </w:tc>
        <w:tc>
          <w:tcPr>
            <w:tcW w:w="7163" w:type="dxa"/>
          </w:tcPr>
          <w:p>
            <w:pPr>
              <w:pStyle w:val="TableParagraph"/>
              <w:spacing w:line="259" w:lineRule="exact" w:before="0"/>
              <w:ind w:left="155"/>
              <w:rPr>
                <w:sz w:val="21"/>
              </w:rPr>
            </w:pPr>
            <w:r>
              <w:rPr>
                <w:sz w:val="21"/>
              </w:rPr>
              <w:t>（ICD-10）确定。</w:t>
            </w:r>
          </w:p>
        </w:tc>
      </w:tr>
      <w:tr>
        <w:trPr>
          <w:trHeight w:val="782" w:hRule="atLeast"/>
        </w:trPr>
        <w:tc>
          <w:tcPr>
            <w:tcW w:w="710" w:type="dxa"/>
          </w:tcPr>
          <w:p>
            <w:pPr>
              <w:pStyle w:val="TableParagraph"/>
              <w:spacing w:before="54"/>
              <w:rPr>
                <w:rFonts w:ascii="黑体"/>
                <w:sz w:val="21"/>
              </w:rPr>
            </w:pPr>
            <w:r>
              <w:rPr>
                <w:rFonts w:ascii="黑体"/>
                <w:sz w:val="21"/>
              </w:rPr>
              <w:t>6.13</w:t>
            </w:r>
          </w:p>
        </w:tc>
        <w:tc>
          <w:tcPr>
            <w:tcW w:w="1655"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163" w:type="dxa"/>
          </w:tcPr>
          <w:p>
            <w:pPr>
              <w:pStyle w:val="TableParagraph"/>
              <w:spacing w:line="280" w:lineRule="auto" w:before="54"/>
              <w:ind w:left="155" w:right="152"/>
              <w:rPr>
                <w:sz w:val="21"/>
              </w:rPr>
            </w:pPr>
            <w:r>
              <w:rPr>
                <w:spacing w:val="-8"/>
                <w:sz w:val="21"/>
              </w:rPr>
              <w:t>指保险事故的性质、原因、伤害或损失程度等在我们收到保险金给付申请书</w:t>
            </w:r>
            <w:r>
              <w:rPr>
                <w:spacing w:val="-12"/>
                <w:sz w:val="21"/>
              </w:rPr>
              <w:t>及合同约定的证明和资料后 </w:t>
            </w:r>
            <w:r>
              <w:rPr>
                <w:sz w:val="21"/>
              </w:rPr>
              <w:t>5</w:t>
            </w:r>
            <w:r>
              <w:rPr>
                <w:spacing w:val="-8"/>
                <w:sz w:val="21"/>
              </w:rPr>
              <w:t> 个工作日内无法确定，需要进一步核实。</w:t>
            </w:r>
          </w:p>
        </w:tc>
      </w:tr>
      <w:tr>
        <w:trPr>
          <w:trHeight w:val="975" w:hRule="atLeast"/>
        </w:trPr>
        <w:tc>
          <w:tcPr>
            <w:tcW w:w="710" w:type="dxa"/>
          </w:tcPr>
          <w:p>
            <w:pPr>
              <w:pStyle w:val="TableParagraph"/>
              <w:spacing w:before="54"/>
              <w:rPr>
                <w:rFonts w:ascii="黑体"/>
                <w:sz w:val="21"/>
              </w:rPr>
            </w:pPr>
            <w:r>
              <w:rPr>
                <w:rFonts w:ascii="黑体"/>
                <w:sz w:val="21"/>
              </w:rPr>
              <w:t>6.14</w:t>
            </w:r>
          </w:p>
        </w:tc>
        <w:tc>
          <w:tcPr>
            <w:tcW w:w="1655"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163" w:type="dxa"/>
          </w:tcPr>
          <w:p>
            <w:pPr>
              <w:pStyle w:val="TableParagraph"/>
              <w:spacing w:before="54"/>
              <w:ind w:left="155"/>
              <w:rPr>
                <w:sz w:val="21"/>
              </w:rPr>
            </w:pPr>
            <w:r>
              <w:rPr>
                <w:sz w:val="21"/>
              </w:rPr>
              <w:t>专科医生应当同时满足以下四项资格条件：</w:t>
            </w:r>
          </w:p>
          <w:p>
            <w:pPr>
              <w:pStyle w:val="TableParagraph"/>
              <w:spacing w:before="43"/>
              <w:ind w:left="155"/>
              <w:rPr>
                <w:sz w:val="21"/>
              </w:rPr>
            </w:pPr>
            <w:r>
              <w:rPr>
                <w:sz w:val="21"/>
              </w:rPr>
              <w:t>(1)具有有效的中华人民共和国《医师资格证书》；</w:t>
            </w:r>
          </w:p>
          <w:p>
            <w:pPr>
              <w:pStyle w:val="TableParagraph"/>
              <w:spacing w:line="261" w:lineRule="exact" w:before="45"/>
              <w:ind w:left="155"/>
              <w:rPr>
                <w:sz w:val="21"/>
              </w:rPr>
            </w:pPr>
            <w:r>
              <w:rPr>
                <w:spacing w:val="-1"/>
                <w:sz w:val="21"/>
              </w:rPr>
              <w:t>(2)</w:t>
            </w:r>
            <w:r>
              <w:rPr>
                <w:spacing w:val="-12"/>
                <w:sz w:val="21"/>
              </w:rPr>
              <w:t>具有有效的中华人民共和国《医师执业证书》，并按期到相关部门登记注</w:t>
            </w:r>
          </w:p>
        </w:tc>
      </w:tr>
    </w:tbl>
    <w:p>
      <w:pPr>
        <w:pStyle w:val="BodyText"/>
        <w:spacing w:before="39"/>
        <w:ind w:left="2937"/>
      </w:pPr>
      <w:r>
        <w:rPr/>
        <w:t>册；</w:t>
      </w:r>
    </w:p>
    <w:p>
      <w:pPr>
        <w:pStyle w:val="BodyText"/>
        <w:spacing w:line="280" w:lineRule="auto" w:before="44"/>
        <w:ind w:left="2937" w:right="264" w:hanging="316"/>
      </w:pPr>
      <w:r>
        <w:rPr/>
        <w:t>(3)具有有效的中华人民共和国主治医师或主治医师以上职称的《医师职称证书》；</w:t>
      </w:r>
    </w:p>
    <w:p>
      <w:pPr>
        <w:pStyle w:val="BodyText"/>
        <w:spacing w:before="8"/>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655"/>
        <w:gridCol w:w="7060"/>
      </w:tblGrid>
      <w:tr>
        <w:trPr>
          <w:trHeight w:val="335" w:hRule="atLeast"/>
        </w:trPr>
        <w:tc>
          <w:tcPr>
            <w:tcW w:w="2366" w:type="dxa"/>
            <w:gridSpan w:val="2"/>
          </w:tcPr>
          <w:p>
            <w:pPr>
              <w:pStyle w:val="TableParagraph"/>
              <w:spacing w:before="0"/>
              <w:ind w:left="0"/>
              <w:rPr>
                <w:rFonts w:ascii="Times New Roman"/>
                <w:sz w:val="20"/>
              </w:rPr>
            </w:pPr>
          </w:p>
        </w:tc>
        <w:tc>
          <w:tcPr>
            <w:tcW w:w="7060" w:type="dxa"/>
          </w:tcPr>
          <w:p>
            <w:pPr>
              <w:pStyle w:val="TableParagraph"/>
              <w:spacing w:line="210" w:lineRule="exact" w:before="0"/>
              <w:ind w:left="154"/>
              <w:rPr>
                <w:sz w:val="21"/>
              </w:rPr>
            </w:pPr>
            <w:r>
              <w:rPr>
                <w:sz w:val="21"/>
              </w:rPr>
              <w:t>(4)在二级或二级以上医院的相应科室从事临床工作三年以上。</w:t>
            </w:r>
          </w:p>
        </w:tc>
      </w:tr>
      <w:tr>
        <w:trPr>
          <w:trHeight w:val="781" w:hRule="atLeast"/>
        </w:trPr>
        <w:tc>
          <w:tcPr>
            <w:tcW w:w="711" w:type="dxa"/>
          </w:tcPr>
          <w:p>
            <w:pPr>
              <w:pStyle w:val="TableParagraph"/>
              <w:spacing w:before="61"/>
              <w:rPr>
                <w:rFonts w:ascii="黑体"/>
                <w:sz w:val="21"/>
              </w:rPr>
            </w:pPr>
            <w:r>
              <w:rPr>
                <w:rFonts w:ascii="黑体"/>
                <w:sz w:val="21"/>
              </w:rPr>
              <w:t>6.15</w:t>
            </w:r>
          </w:p>
        </w:tc>
        <w:tc>
          <w:tcPr>
            <w:tcW w:w="1655" w:type="dxa"/>
          </w:tcPr>
          <w:p>
            <w:pPr>
              <w:pStyle w:val="TableParagraph"/>
              <w:spacing w:line="278" w:lineRule="auto" w:before="61"/>
              <w:ind w:left="238" w:right="154"/>
              <w:rPr>
                <w:rFonts w:ascii="黑体" w:eastAsia="黑体" w:hint="eastAsia"/>
                <w:sz w:val="21"/>
              </w:rPr>
            </w:pPr>
            <w:r>
              <w:rPr>
                <w:rFonts w:ascii="黑体" w:eastAsia="黑体" w:hint="eastAsia"/>
                <w:sz w:val="21"/>
              </w:rPr>
              <w:t>肢体机能完全丧失</w:t>
            </w:r>
          </w:p>
        </w:tc>
        <w:tc>
          <w:tcPr>
            <w:tcW w:w="7060" w:type="dxa"/>
          </w:tcPr>
          <w:p>
            <w:pPr>
              <w:pStyle w:val="TableParagraph"/>
              <w:spacing w:line="278" w:lineRule="auto" w:before="61"/>
              <w:ind w:left="154" w:right="50"/>
              <w:rPr>
                <w:sz w:val="21"/>
              </w:rPr>
            </w:pPr>
            <w:r>
              <w:rPr>
                <w:spacing w:val="-5"/>
                <w:sz w:val="21"/>
              </w:rPr>
              <w:t>指肢体的三大关节中的两大关节僵硬，或不能随意识活动。肢体是指包括肩关节的整个上肢或包括髋关节的整个下肢。</w:t>
            </w:r>
          </w:p>
        </w:tc>
      </w:tr>
      <w:tr>
        <w:trPr>
          <w:trHeight w:val="1742" w:hRule="atLeast"/>
        </w:trPr>
        <w:tc>
          <w:tcPr>
            <w:tcW w:w="711" w:type="dxa"/>
          </w:tcPr>
          <w:p>
            <w:pPr>
              <w:pStyle w:val="TableParagraph"/>
              <w:spacing w:before="61"/>
              <w:rPr>
                <w:rFonts w:ascii="黑体"/>
                <w:sz w:val="21"/>
              </w:rPr>
            </w:pPr>
            <w:r>
              <w:rPr>
                <w:rFonts w:ascii="黑体"/>
                <w:sz w:val="21"/>
              </w:rPr>
              <w:t>6.16</w:t>
            </w:r>
          </w:p>
        </w:tc>
        <w:tc>
          <w:tcPr>
            <w:tcW w:w="1655" w:type="dxa"/>
          </w:tcPr>
          <w:p>
            <w:pPr>
              <w:pStyle w:val="TableParagraph"/>
              <w:spacing w:line="280" w:lineRule="auto" w:before="61"/>
              <w:ind w:left="238" w:right="154"/>
              <w:jc w:val="both"/>
              <w:rPr>
                <w:rFonts w:ascii="黑体" w:eastAsia="黑体" w:hint="eastAsia"/>
                <w:sz w:val="21"/>
              </w:rPr>
            </w:pPr>
            <w:r>
              <w:rPr>
                <w:rFonts w:ascii="黑体" w:eastAsia="黑体" w:hint="eastAsia"/>
                <w:sz w:val="21"/>
              </w:rPr>
              <w:t>语言能力或咀嚼吞咽能力完全丧失</w:t>
            </w:r>
          </w:p>
        </w:tc>
        <w:tc>
          <w:tcPr>
            <w:tcW w:w="7060" w:type="dxa"/>
          </w:tcPr>
          <w:p>
            <w:pPr>
              <w:pStyle w:val="TableParagraph"/>
              <w:spacing w:line="280" w:lineRule="auto" w:before="61"/>
              <w:ind w:left="154" w:right="48"/>
              <w:jc w:val="both"/>
              <w:rPr>
                <w:sz w:val="21"/>
              </w:rPr>
            </w:pPr>
            <w:r>
              <w:rPr>
                <w:spacing w:val="-4"/>
                <w:sz w:val="21"/>
              </w:rPr>
              <w:t>语言能力完全丧失，指无法发出四种语音</w:t>
            </w:r>
            <w:r>
              <w:rPr>
                <w:sz w:val="21"/>
              </w:rPr>
              <w:t>（</w:t>
            </w:r>
            <w:r>
              <w:rPr>
                <w:spacing w:val="-6"/>
                <w:sz w:val="21"/>
              </w:rPr>
              <w:t>包括口唇音、齿舌音、口盖音和喉头音</w:t>
            </w:r>
            <w:r>
              <w:rPr>
                <w:spacing w:val="-26"/>
                <w:sz w:val="21"/>
              </w:rPr>
              <w:t>）</w:t>
            </w:r>
            <w:r>
              <w:rPr>
                <w:spacing w:val="-6"/>
                <w:sz w:val="21"/>
              </w:rPr>
              <w:t>中的任何三种、或声带全部切除，或因大脑语言中枢受伤害而患失语症。</w:t>
            </w:r>
          </w:p>
          <w:p>
            <w:pPr>
              <w:pStyle w:val="TableParagraph"/>
              <w:spacing w:line="280" w:lineRule="auto" w:before="8"/>
              <w:ind w:left="154" w:right="50"/>
              <w:jc w:val="both"/>
              <w:rPr>
                <w:sz w:val="21"/>
              </w:rPr>
            </w:pPr>
            <w:r>
              <w:rPr>
                <w:spacing w:val="-6"/>
                <w:sz w:val="21"/>
              </w:rPr>
              <w:t>咀嚼吞咽能力完全丧失，指因牙齿以外的原因导致器质障碍或机能障碍，以致不能作咀嚼吞咽运动，除流质食物外不能摄取或吞咽的状态。</w:t>
            </w:r>
          </w:p>
        </w:tc>
      </w:tr>
      <w:tr>
        <w:trPr>
          <w:trHeight w:val="2381" w:hRule="atLeast"/>
        </w:trPr>
        <w:tc>
          <w:tcPr>
            <w:tcW w:w="711" w:type="dxa"/>
          </w:tcPr>
          <w:p>
            <w:pPr>
              <w:pStyle w:val="TableParagraph"/>
              <w:spacing w:before="61"/>
              <w:rPr>
                <w:rFonts w:ascii="黑体"/>
                <w:sz w:val="21"/>
              </w:rPr>
            </w:pPr>
            <w:r>
              <w:rPr>
                <w:rFonts w:ascii="黑体"/>
                <w:sz w:val="21"/>
              </w:rPr>
              <w:t>6.17</w:t>
            </w:r>
          </w:p>
        </w:tc>
        <w:tc>
          <w:tcPr>
            <w:tcW w:w="1655" w:type="dxa"/>
          </w:tcPr>
          <w:p>
            <w:pPr>
              <w:pStyle w:val="TableParagraph"/>
              <w:spacing w:line="280" w:lineRule="auto" w:before="61"/>
              <w:ind w:left="238" w:right="154"/>
              <w:rPr>
                <w:rFonts w:ascii="黑体" w:eastAsia="黑体" w:hint="eastAsia"/>
                <w:sz w:val="21"/>
              </w:rPr>
            </w:pPr>
            <w:r>
              <w:rPr>
                <w:rFonts w:ascii="黑体" w:eastAsia="黑体" w:hint="eastAsia"/>
                <w:sz w:val="21"/>
              </w:rPr>
              <w:t>六项基本日常Th活活动</w:t>
            </w:r>
          </w:p>
        </w:tc>
        <w:tc>
          <w:tcPr>
            <w:tcW w:w="7060" w:type="dxa"/>
          </w:tcPr>
          <w:p>
            <w:pPr>
              <w:pStyle w:val="TableParagraph"/>
              <w:spacing w:line="278" w:lineRule="auto" w:before="61"/>
              <w:ind w:left="154" w:right="1758"/>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1" w:type="dxa"/>
          </w:tcPr>
          <w:p>
            <w:pPr>
              <w:pStyle w:val="TableParagraph"/>
              <w:spacing w:before="61"/>
              <w:rPr>
                <w:rFonts w:ascii="黑体"/>
                <w:sz w:val="21"/>
              </w:rPr>
            </w:pPr>
            <w:r>
              <w:rPr>
                <w:rFonts w:ascii="黑体"/>
                <w:sz w:val="21"/>
              </w:rPr>
              <w:t>6.18</w:t>
            </w:r>
          </w:p>
        </w:tc>
        <w:tc>
          <w:tcPr>
            <w:tcW w:w="1655" w:type="dxa"/>
          </w:tcPr>
          <w:p>
            <w:pPr>
              <w:pStyle w:val="TableParagraph"/>
              <w:spacing w:before="61"/>
              <w:ind w:left="238"/>
              <w:rPr>
                <w:rFonts w:ascii="黑体" w:eastAsia="黑体" w:hint="eastAsia"/>
                <w:sz w:val="21"/>
              </w:rPr>
            </w:pPr>
            <w:r>
              <w:rPr>
                <w:rFonts w:ascii="黑体" w:eastAsia="黑体" w:hint="eastAsia"/>
                <w:sz w:val="21"/>
              </w:rPr>
              <w:t>永久不可逆</w:t>
            </w:r>
          </w:p>
        </w:tc>
        <w:tc>
          <w:tcPr>
            <w:tcW w:w="7060" w:type="dxa"/>
          </w:tcPr>
          <w:p>
            <w:pPr>
              <w:pStyle w:val="TableParagraph"/>
              <w:spacing w:line="320" w:lineRule="atLeast" w:before="16"/>
              <w:ind w:left="154" w:right="50"/>
              <w:rPr>
                <w:sz w:val="21"/>
              </w:rPr>
            </w:pPr>
            <w:r>
              <w:rPr>
                <w:spacing w:val="-6"/>
                <w:sz w:val="21"/>
              </w:rPr>
              <w:t>指自疾病确诊或意外伤害发生之日起，经过积极治疗 </w:t>
            </w:r>
            <w:r>
              <w:rPr>
                <w:sz w:val="21"/>
              </w:rPr>
              <w:t>180</w:t>
            </w:r>
            <w:r>
              <w:rPr>
                <w:spacing w:val="-13"/>
                <w:sz w:val="21"/>
              </w:rPr>
              <w:t> 天后，仍无法通过现有医疗手段恢复。</w:t>
            </w:r>
          </w:p>
        </w:tc>
      </w:tr>
    </w:tbl>
    <w:sectPr>
      <w:pgSz w:w="11910" w:h="16840"/>
      <w:pgMar w:top="150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2682" w:hanging="901"/>
        <w:jc w:val="left"/>
      </w:pPr>
      <w:rPr>
        <w:rFonts w:hint="default"/>
      </w:rPr>
    </w:lvl>
    <w:lvl w:ilvl="1">
      <w:start w:val="1"/>
      <w:numFmt w:val="decimal"/>
      <w:lvlText w:val="%1.%2"/>
      <w:lvlJc w:val="left"/>
      <w:pPr>
        <w:ind w:left="2682" w:hanging="901"/>
        <w:jc w:val="left"/>
      </w:pPr>
      <w:rPr>
        <w:rFonts w:hint="default" w:ascii="黑体" w:hAnsi="黑体" w:eastAsia="黑体" w:cs="黑体"/>
        <w:spacing w:val="-45"/>
        <w:w w:val="100"/>
        <w:sz w:val="21"/>
        <w:szCs w:val="21"/>
      </w:rPr>
    </w:lvl>
    <w:lvl w:ilvl="2">
      <w:start w:val="0"/>
      <w:numFmt w:val="bullet"/>
      <w:lvlText w:val="•"/>
      <w:lvlJc w:val="left"/>
      <w:pPr>
        <w:ind w:left="4092" w:hanging="901"/>
      </w:pPr>
      <w:rPr>
        <w:rFonts w:hint="default"/>
      </w:rPr>
    </w:lvl>
    <w:lvl w:ilvl="3">
      <w:start w:val="0"/>
      <w:numFmt w:val="bullet"/>
      <w:lvlText w:val="•"/>
      <w:lvlJc w:val="left"/>
      <w:pPr>
        <w:ind w:left="4799" w:hanging="901"/>
      </w:pPr>
      <w:rPr>
        <w:rFonts w:hint="default"/>
      </w:rPr>
    </w:lvl>
    <w:lvl w:ilvl="4">
      <w:start w:val="0"/>
      <w:numFmt w:val="bullet"/>
      <w:lvlText w:val="•"/>
      <w:lvlJc w:val="left"/>
      <w:pPr>
        <w:ind w:left="5505"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18" w:hanging="901"/>
      </w:pPr>
      <w:rPr>
        <w:rFonts w:hint="default"/>
      </w:rPr>
    </w:lvl>
    <w:lvl w:ilvl="7">
      <w:start w:val="0"/>
      <w:numFmt w:val="bullet"/>
      <w:lvlText w:val="•"/>
      <w:lvlJc w:val="left"/>
      <w:pPr>
        <w:ind w:left="7625" w:hanging="901"/>
      </w:pPr>
      <w:rPr>
        <w:rFonts w:hint="default"/>
      </w:rPr>
    </w:lvl>
    <w:lvl w:ilvl="8">
      <w:start w:val="0"/>
      <w:numFmt w:val="bullet"/>
      <w:lvlText w:val="•"/>
      <w:lvlJc w:val="left"/>
      <w:pPr>
        <w:ind w:left="8331" w:hanging="901"/>
      </w:pPr>
      <w:rPr>
        <w:rFonts w:hint="default"/>
      </w:rPr>
    </w:lvl>
  </w:abstractNum>
  <w:abstractNum w:abstractNumId="4">
    <w:multiLevelType w:val="hybridMultilevel"/>
    <w:lvl w:ilvl="0">
      <w:start w:val="4"/>
      <w:numFmt w:val="decimal"/>
      <w:lvlText w:val="%1"/>
      <w:lvlJc w:val="left"/>
      <w:pPr>
        <w:ind w:left="2621" w:hanging="901"/>
        <w:jc w:val="left"/>
      </w:pPr>
      <w:rPr>
        <w:rFonts w:hint="default"/>
      </w:rPr>
    </w:lvl>
    <w:lvl w:ilvl="1">
      <w:start w:val="1"/>
      <w:numFmt w:val="decimal"/>
      <w:lvlText w:val="%1.%2"/>
      <w:lvlJc w:val="left"/>
      <w:pPr>
        <w:ind w:left="2621" w:hanging="901"/>
        <w:jc w:val="left"/>
      </w:pPr>
      <w:rPr>
        <w:rFonts w:hint="default"/>
      </w:rPr>
    </w:lvl>
    <w:lvl w:ilvl="2">
      <w:start w:val="8"/>
      <w:numFmt w:val="decimal"/>
      <w:lvlText w:val="%1.%2.%3"/>
      <w:lvlJc w:val="left"/>
      <w:pPr>
        <w:ind w:left="2621" w:hanging="901"/>
        <w:jc w:val="left"/>
      </w:pPr>
      <w:rPr>
        <w:rFonts w:hint="default" w:ascii="黑体" w:hAnsi="黑体" w:eastAsia="黑体" w:cs="黑体"/>
        <w:spacing w:val="-54"/>
        <w:w w:val="100"/>
        <w:sz w:val="21"/>
        <w:szCs w:val="21"/>
      </w:rPr>
    </w:lvl>
    <w:lvl w:ilvl="3">
      <w:start w:val="0"/>
      <w:numFmt w:val="bullet"/>
      <w:lvlText w:val="•"/>
      <w:lvlJc w:val="left"/>
      <w:pPr>
        <w:ind w:left="4739" w:hanging="901"/>
      </w:pPr>
      <w:rPr>
        <w:rFonts w:hint="default"/>
      </w:rPr>
    </w:lvl>
    <w:lvl w:ilvl="4">
      <w:start w:val="0"/>
      <w:numFmt w:val="bullet"/>
      <w:lvlText w:val="•"/>
      <w:lvlJc w:val="left"/>
      <w:pPr>
        <w:ind w:left="5445" w:hanging="901"/>
      </w:pPr>
      <w:rPr>
        <w:rFonts w:hint="default"/>
      </w:rPr>
    </w:lvl>
    <w:lvl w:ilvl="5">
      <w:start w:val="0"/>
      <w:numFmt w:val="bullet"/>
      <w:lvlText w:val="•"/>
      <w:lvlJc w:val="left"/>
      <w:pPr>
        <w:ind w:left="6152" w:hanging="901"/>
      </w:pPr>
      <w:rPr>
        <w:rFonts w:hint="default"/>
      </w:rPr>
    </w:lvl>
    <w:lvl w:ilvl="6">
      <w:start w:val="0"/>
      <w:numFmt w:val="bullet"/>
      <w:lvlText w:val="•"/>
      <w:lvlJc w:val="left"/>
      <w:pPr>
        <w:ind w:left="6858" w:hanging="901"/>
      </w:pPr>
      <w:rPr>
        <w:rFonts w:hint="default"/>
      </w:rPr>
    </w:lvl>
    <w:lvl w:ilvl="7">
      <w:start w:val="0"/>
      <w:numFmt w:val="bullet"/>
      <w:lvlText w:val="•"/>
      <w:lvlJc w:val="left"/>
      <w:pPr>
        <w:ind w:left="7565" w:hanging="901"/>
      </w:pPr>
      <w:rPr>
        <w:rFonts w:hint="default"/>
      </w:rPr>
    </w:lvl>
    <w:lvl w:ilvl="8">
      <w:start w:val="0"/>
      <w:numFmt w:val="bullet"/>
      <w:lvlText w:val="•"/>
      <w:lvlJc w:val="left"/>
      <w:pPr>
        <w:ind w:left="8271" w:hanging="901"/>
      </w:pPr>
      <w:rPr>
        <w:rFonts w:hint="default"/>
      </w:rPr>
    </w:lvl>
  </w:abstractNum>
  <w:abstractNum w:abstractNumId="3">
    <w:multiLevelType w:val="hybridMultilevel"/>
    <w:lvl w:ilvl="0">
      <w:start w:val="3"/>
      <w:numFmt w:val="decimal"/>
      <w:lvlText w:val="%1"/>
      <w:lvlJc w:val="left"/>
      <w:pPr>
        <w:ind w:left="1111" w:hanging="901"/>
        <w:jc w:val="left"/>
      </w:pPr>
      <w:rPr>
        <w:rFonts w:hint="default"/>
      </w:rPr>
    </w:lvl>
    <w:lvl w:ilvl="1">
      <w:start w:val="1"/>
      <w:numFmt w:val="decimal"/>
      <w:lvlText w:val="%1.%2"/>
      <w:lvlJc w:val="left"/>
      <w:pPr>
        <w:ind w:left="2682" w:hanging="901"/>
        <w:jc w:val="left"/>
      </w:pPr>
      <w:rPr>
        <w:rFonts w:hint="default" w:ascii="黑体" w:hAnsi="黑体" w:eastAsia="黑体" w:cs="黑体"/>
        <w:spacing w:val="-92"/>
        <w:w w:val="100"/>
        <w:sz w:val="21"/>
        <w:szCs w:val="21"/>
      </w:rPr>
    </w:lvl>
    <w:lvl w:ilvl="2">
      <w:start w:val="0"/>
      <w:numFmt w:val="bullet"/>
      <w:lvlText w:val="•"/>
      <w:lvlJc w:val="left"/>
      <w:pPr>
        <w:ind w:left="3464" w:hanging="901"/>
      </w:pPr>
      <w:rPr>
        <w:rFonts w:hint="default"/>
      </w:rPr>
    </w:lvl>
    <w:lvl w:ilvl="3">
      <w:start w:val="0"/>
      <w:numFmt w:val="bullet"/>
      <w:lvlText w:val="•"/>
      <w:lvlJc w:val="left"/>
      <w:pPr>
        <w:ind w:left="4249" w:hanging="901"/>
      </w:pPr>
      <w:rPr>
        <w:rFonts w:hint="default"/>
      </w:rPr>
    </w:lvl>
    <w:lvl w:ilvl="4">
      <w:start w:val="0"/>
      <w:numFmt w:val="bullet"/>
      <w:lvlText w:val="•"/>
      <w:lvlJc w:val="left"/>
      <w:pPr>
        <w:ind w:left="5034" w:hanging="901"/>
      </w:pPr>
      <w:rPr>
        <w:rFonts w:hint="default"/>
      </w:rPr>
    </w:lvl>
    <w:lvl w:ilvl="5">
      <w:start w:val="0"/>
      <w:numFmt w:val="bullet"/>
      <w:lvlText w:val="•"/>
      <w:lvlJc w:val="left"/>
      <w:pPr>
        <w:ind w:left="5819" w:hanging="901"/>
      </w:pPr>
      <w:rPr>
        <w:rFonts w:hint="default"/>
      </w:rPr>
    </w:lvl>
    <w:lvl w:ilvl="6">
      <w:start w:val="0"/>
      <w:numFmt w:val="bullet"/>
      <w:lvlText w:val="•"/>
      <w:lvlJc w:val="left"/>
      <w:pPr>
        <w:ind w:left="6604" w:hanging="901"/>
      </w:pPr>
      <w:rPr>
        <w:rFonts w:hint="default"/>
      </w:rPr>
    </w:lvl>
    <w:lvl w:ilvl="7">
      <w:start w:val="0"/>
      <w:numFmt w:val="bullet"/>
      <w:lvlText w:val="•"/>
      <w:lvlJc w:val="left"/>
      <w:pPr>
        <w:ind w:left="7389" w:hanging="901"/>
      </w:pPr>
      <w:rPr>
        <w:rFonts w:hint="default"/>
      </w:rPr>
    </w:lvl>
    <w:lvl w:ilvl="8">
      <w:start w:val="0"/>
      <w:numFmt w:val="bullet"/>
      <w:lvlText w:val="•"/>
      <w:lvlJc w:val="left"/>
      <w:pPr>
        <w:ind w:left="8174" w:hanging="901"/>
      </w:pPr>
      <w:rPr>
        <w:rFonts w:hint="default"/>
      </w:rPr>
    </w:lvl>
  </w:abstractNum>
  <w:abstractNum w:abstractNumId="2">
    <w:multiLevelType w:val="hybridMultilevel"/>
    <w:lvl w:ilvl="0">
      <w:start w:val="2"/>
      <w:numFmt w:val="decimal"/>
      <w:lvlText w:val="%1"/>
      <w:lvlJc w:val="left"/>
      <w:pPr>
        <w:ind w:left="2682" w:hanging="901"/>
        <w:jc w:val="left"/>
      </w:pPr>
      <w:rPr>
        <w:rFonts w:hint="default"/>
      </w:rPr>
    </w:lvl>
    <w:lvl w:ilvl="1">
      <w:start w:val="4"/>
      <w:numFmt w:val="decimal"/>
      <w:lvlText w:val="%1.%2"/>
      <w:lvlJc w:val="left"/>
      <w:pPr>
        <w:ind w:left="2682" w:hanging="901"/>
        <w:jc w:val="left"/>
      </w:pPr>
      <w:rPr>
        <w:rFonts w:hint="default" w:ascii="黑体" w:hAnsi="黑体" w:eastAsia="黑体" w:cs="黑体"/>
        <w:spacing w:val="-53"/>
        <w:w w:val="100"/>
        <w:sz w:val="21"/>
        <w:szCs w:val="21"/>
      </w:rPr>
    </w:lvl>
    <w:lvl w:ilvl="2">
      <w:start w:val="0"/>
      <w:numFmt w:val="bullet"/>
      <w:lvlText w:val="•"/>
      <w:lvlJc w:val="left"/>
      <w:pPr>
        <w:ind w:left="4092" w:hanging="901"/>
      </w:pPr>
      <w:rPr>
        <w:rFonts w:hint="default"/>
      </w:rPr>
    </w:lvl>
    <w:lvl w:ilvl="3">
      <w:start w:val="0"/>
      <w:numFmt w:val="bullet"/>
      <w:lvlText w:val="•"/>
      <w:lvlJc w:val="left"/>
      <w:pPr>
        <w:ind w:left="4799" w:hanging="901"/>
      </w:pPr>
      <w:rPr>
        <w:rFonts w:hint="default"/>
      </w:rPr>
    </w:lvl>
    <w:lvl w:ilvl="4">
      <w:start w:val="0"/>
      <w:numFmt w:val="bullet"/>
      <w:lvlText w:val="•"/>
      <w:lvlJc w:val="left"/>
      <w:pPr>
        <w:ind w:left="5505"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18" w:hanging="901"/>
      </w:pPr>
      <w:rPr>
        <w:rFonts w:hint="default"/>
      </w:rPr>
    </w:lvl>
    <w:lvl w:ilvl="7">
      <w:start w:val="0"/>
      <w:numFmt w:val="bullet"/>
      <w:lvlText w:val="•"/>
      <w:lvlJc w:val="left"/>
      <w:pPr>
        <w:ind w:left="7625" w:hanging="901"/>
      </w:pPr>
      <w:rPr>
        <w:rFonts w:hint="default"/>
      </w:rPr>
    </w:lvl>
    <w:lvl w:ilvl="8">
      <w:start w:val="0"/>
      <w:numFmt w:val="bullet"/>
      <w:lvlText w:val="•"/>
      <w:lvlJc w:val="left"/>
      <w:pPr>
        <w:ind w:left="8331" w:hanging="901"/>
      </w:pPr>
      <w:rPr>
        <w:rFonts w:hint="default"/>
      </w:rPr>
    </w:lvl>
  </w:abstractNum>
  <w:abstractNum w:abstractNumId="1">
    <w:multiLevelType w:val="hybridMultilevel"/>
    <w:lvl w:ilvl="0">
      <w:start w:val="1"/>
      <w:numFmt w:val="decimal"/>
      <w:lvlText w:val="%1"/>
      <w:lvlJc w:val="left"/>
      <w:pPr>
        <w:ind w:left="2742" w:hanging="901"/>
        <w:jc w:val="left"/>
      </w:pPr>
      <w:rPr>
        <w:rFonts w:hint="default"/>
      </w:rPr>
    </w:lvl>
    <w:lvl w:ilvl="1">
      <w:start w:val="1"/>
      <w:numFmt w:val="decimal"/>
      <w:lvlText w:val="%1.%2"/>
      <w:lvlJc w:val="left"/>
      <w:pPr>
        <w:ind w:left="2742" w:hanging="901"/>
        <w:jc w:val="right"/>
      </w:pPr>
      <w:rPr>
        <w:rFonts w:hint="default" w:ascii="黑体" w:hAnsi="黑体" w:eastAsia="黑体" w:cs="黑体"/>
        <w:spacing w:val="-92"/>
        <w:w w:val="100"/>
        <w:sz w:val="21"/>
        <w:szCs w:val="21"/>
      </w:rPr>
    </w:lvl>
    <w:lvl w:ilvl="2">
      <w:start w:val="0"/>
      <w:numFmt w:val="bullet"/>
      <w:lvlText w:val="•"/>
      <w:lvlJc w:val="left"/>
      <w:pPr>
        <w:ind w:left="4164" w:hanging="901"/>
      </w:pPr>
      <w:rPr>
        <w:rFonts w:hint="default"/>
      </w:rPr>
    </w:lvl>
    <w:lvl w:ilvl="3">
      <w:start w:val="0"/>
      <w:numFmt w:val="bullet"/>
      <w:lvlText w:val="•"/>
      <w:lvlJc w:val="left"/>
      <w:pPr>
        <w:ind w:left="4877" w:hanging="901"/>
      </w:pPr>
      <w:rPr>
        <w:rFonts w:hint="default"/>
      </w:rPr>
    </w:lvl>
    <w:lvl w:ilvl="4">
      <w:start w:val="0"/>
      <w:numFmt w:val="bullet"/>
      <w:lvlText w:val="•"/>
      <w:lvlJc w:val="left"/>
      <w:pPr>
        <w:ind w:left="5589" w:hanging="901"/>
      </w:pPr>
      <w:rPr>
        <w:rFonts w:hint="default"/>
      </w:rPr>
    </w:lvl>
    <w:lvl w:ilvl="5">
      <w:start w:val="0"/>
      <w:numFmt w:val="bullet"/>
      <w:lvlText w:val="•"/>
      <w:lvlJc w:val="left"/>
      <w:pPr>
        <w:ind w:left="6302" w:hanging="901"/>
      </w:pPr>
      <w:rPr>
        <w:rFonts w:hint="default"/>
      </w:rPr>
    </w:lvl>
    <w:lvl w:ilvl="6">
      <w:start w:val="0"/>
      <w:numFmt w:val="bullet"/>
      <w:lvlText w:val="•"/>
      <w:lvlJc w:val="left"/>
      <w:pPr>
        <w:ind w:left="7014" w:hanging="901"/>
      </w:pPr>
      <w:rPr>
        <w:rFonts w:hint="default"/>
      </w:rPr>
    </w:lvl>
    <w:lvl w:ilvl="7">
      <w:start w:val="0"/>
      <w:numFmt w:val="bullet"/>
      <w:lvlText w:val="•"/>
      <w:lvlJc w:val="left"/>
      <w:pPr>
        <w:ind w:left="7727" w:hanging="901"/>
      </w:pPr>
      <w:rPr>
        <w:rFonts w:hint="default"/>
      </w:rPr>
    </w:lvl>
    <w:lvl w:ilvl="8">
      <w:start w:val="0"/>
      <w:numFmt w:val="bullet"/>
      <w:lvlText w:val="•"/>
      <w:lvlJc w:val="left"/>
      <w:pPr>
        <w:ind w:left="8439" w:hanging="901"/>
      </w:pPr>
      <w:rPr>
        <w:rFonts w:hint="default"/>
      </w:rPr>
    </w:lvl>
  </w:abstractNum>
  <w:abstractNum w:abstractNumId="0">
    <w:multiLevelType w:val="hybridMultilevel"/>
    <w:lvl w:ilvl="0">
      <w:start w:val="0"/>
      <w:numFmt w:val="bullet"/>
      <w:lvlText w:val="❖"/>
      <w:lvlJc w:val="left"/>
      <w:pPr>
        <w:ind w:left="849" w:hanging="360"/>
      </w:pPr>
      <w:rPr>
        <w:rFonts w:hint="default" w:ascii="MS UI Gothic" w:hAnsi="MS UI Gothic" w:eastAsia="MS UI Gothic" w:cs="MS UI Gothic"/>
        <w:w w:val="89"/>
        <w:sz w:val="18"/>
        <w:szCs w:val="18"/>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3" w:hanging="360"/>
      </w:pPr>
      <w:rPr>
        <w:rFonts w:hint="default"/>
      </w:rPr>
    </w:lvl>
    <w:lvl w:ilvl="4">
      <w:start w:val="0"/>
      <w:numFmt w:val="bullet"/>
      <w:lvlText w:val="•"/>
      <w:lvlJc w:val="left"/>
      <w:pPr>
        <w:ind w:left="4337" w:hanging="360"/>
      </w:pPr>
      <w:rPr>
        <w:rFonts w:hint="default"/>
      </w:rPr>
    </w:lvl>
    <w:lvl w:ilvl="5">
      <w:start w:val="0"/>
      <w:numFmt w:val="bullet"/>
      <w:lvlText w:val="•"/>
      <w:lvlJc w:val="left"/>
      <w:pPr>
        <w:ind w:left="5212" w:hanging="360"/>
      </w:pPr>
      <w:rPr>
        <w:rFonts w:hint="default"/>
      </w:rPr>
    </w:lvl>
    <w:lvl w:ilvl="6">
      <w:start w:val="0"/>
      <w:numFmt w:val="bullet"/>
      <w:lvlText w:val="•"/>
      <w:lvlJc w:val="left"/>
      <w:pPr>
        <w:ind w:left="6086" w:hanging="360"/>
      </w:pPr>
      <w:rPr>
        <w:rFonts w:hint="default"/>
      </w:rPr>
    </w:lvl>
    <w:lvl w:ilvl="7">
      <w:start w:val="0"/>
      <w:numFmt w:val="bullet"/>
      <w:lvlText w:val="•"/>
      <w:lvlJc w:val="left"/>
      <w:pPr>
        <w:ind w:left="6961" w:hanging="360"/>
      </w:pPr>
      <w:rPr>
        <w:rFonts w:hint="default"/>
      </w:rPr>
    </w:lvl>
    <w:lvl w:ilvl="8">
      <w:start w:val="0"/>
      <w:numFmt w:val="bullet"/>
      <w:lvlText w:val="•"/>
      <w:lvlJc w:val="left"/>
      <w:pPr>
        <w:ind w:left="7835"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35"/>
    </w:pPr>
    <w:rPr>
      <w:rFonts w:ascii="楷体" w:hAnsi="楷体" w:eastAsia="楷体" w:cs="楷体"/>
      <w:sz w:val="21"/>
      <w:szCs w:val="21"/>
    </w:rPr>
  </w:style>
  <w:style w:styleId="Heading1" w:type="paragraph">
    <w:name w:val="Heading 1"/>
    <w:basedOn w:val="Normal"/>
    <w:uiPriority w:val="1"/>
    <w:qFormat/>
    <w:pPr>
      <w:spacing w:line="369" w:lineRule="exact"/>
      <w:ind w:left="50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82" w:hanging="2471"/>
    </w:pPr>
    <w:rPr>
      <w:rFonts w:ascii="楷体" w:hAnsi="楷体" w:eastAsia="楷体" w:cs="楷体"/>
    </w:rPr>
  </w:style>
  <w:style w:styleId="TableParagraph" w:type="paragraph">
    <w:name w:val="Table Paragraph"/>
    <w:basedOn w:val="Normal"/>
    <w:uiPriority w:val="1"/>
    <w:qFormat/>
    <w:pPr>
      <w:spacing w:before="34"/>
      <w:ind w:left="5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&lt;4D6963726F736F667420576F7264202D20CCABB1A3CAD9A1B232303135A1B3333139BAC520B8BDBCFE32B1B4B1B4B0AEC9D9B6F9D6D8B4F3BCB2B2A1B1A3CFD5A3A84832303135A3A9CCF5BFEE&gt;</dc:title>
  <dcterms:created xsi:type="dcterms:W3CDTF">2018-10-20T02:23:09Z</dcterms:created>
  <dcterms:modified xsi:type="dcterms:W3CDTF">2018-10-20T02:23:09Z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2015-11-30T00:00:00Z</vt:filetime>
  </property>
  <property fmtid="{D5CDD505-2E9C-101B-9397-08002B2CF9AE}" pid="3" name="Creator">
    <vt:lpwstr>PScript5.dll Version 5.2</vt:lpwstr>
  </property>
  <property fmtid="{D5CDD505-2E9C-101B-9397-08002B2CF9AE}" pid="4" name="LastSaved">
    <vt:filetime>2018-10-19T00:00:00Z</vt:filetime>
  </property>
</Properties>
</file>