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5196840</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[2016]</w:t>
      </w:r>
      <w:r>
        <w:rPr/>
        <w:t>疾病保险 </w:t>
      </w:r>
      <w:r>
        <w:rPr>
          <w:rFonts w:ascii="Times New Roman" w:eastAsia="Times New Roman"/>
        </w:rPr>
        <w:t>004 </w:t>
      </w:r>
      <w:r>
        <w:rPr/>
        <w:t>号</w:t>
      </w:r>
    </w:p>
    <w:p>
      <w:pPr>
        <w:pStyle w:val="BodyText"/>
        <w:ind w:left="5846"/>
      </w:pPr>
      <w:r>
        <w:rPr/>
        <w:t>请扫描以查询验证条款</w:t>
      </w:r>
    </w:p>
    <w:p>
      <w:pPr>
        <w:pStyle w:val="BodyText"/>
        <w:rPr>
          <w:sz w:val="20"/>
        </w:rPr>
      </w:pPr>
    </w:p>
    <w:p>
      <w:pPr>
        <w:pStyle w:val="Heading1"/>
        <w:spacing w:before="1"/>
      </w:pPr>
      <w:r>
        <w:rPr/>
        <w:t>中英人寿附加金色未来额外给付重大疾病保险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7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5</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7</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8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816" w:right="3683"/>
        <w:jc w:val="center"/>
      </w:pPr>
      <w:r>
        <w:rPr/>
        <w:t>条款目录</w:t>
      </w:r>
    </w:p>
    <w:p>
      <w:pPr>
        <w:pStyle w:val="BodyText"/>
        <w:rPr>
          <w:sz w:val="28"/>
        </w:rPr>
      </w:pPr>
    </w:p>
    <w:p>
      <w:pPr>
        <w:pStyle w:val="BodyText"/>
        <w:spacing w:before="10"/>
        <w:rPr>
          <w:sz w:val="32"/>
        </w:rPr>
      </w:pPr>
    </w:p>
    <w:p>
      <w:pPr>
        <w:tabs>
          <w:tab w:pos="4588" w:val="left" w:leader="none"/>
        </w:tabs>
        <w:spacing w:before="1"/>
        <w:ind w:left="167" w:right="0" w:firstLine="0"/>
        <w:jc w:val="left"/>
        <w:rPr>
          <w:sz w:val="24"/>
        </w:rPr>
      </w:pPr>
      <w:r>
        <w:rPr>
          <w:rFonts w:ascii="Times New Roman" w:eastAsia="Times New Roman"/>
          <w:b/>
          <w:sz w:val="24"/>
        </w:rPr>
        <w:t>1 </w:t>
      </w:r>
      <w:r>
        <w:rPr>
          <w:rFonts w:ascii="Times New Roman" w:eastAsia="Times New Roman"/>
          <w:b/>
          <w:spacing w:val="1"/>
          <w:sz w:val="24"/>
        </w:rPr>
        <w:t> </w:t>
      </w:r>
      <w:r>
        <w:rPr>
          <w:sz w:val="24"/>
        </w:rPr>
        <w:t>您与我们的保险合同</w:t>
        <w:tab/>
      </w:r>
      <w:r>
        <w:rPr>
          <w:rFonts w:ascii="Times New Roman" w:eastAsia="Times New Roman"/>
          <w:b/>
          <w:sz w:val="24"/>
        </w:rPr>
        <w:t>4 </w:t>
      </w:r>
      <w:r>
        <w:rPr>
          <w:rFonts w:ascii="Times New Roman" w:eastAsia="Times New Roman"/>
          <w:b/>
          <w:spacing w:val="1"/>
          <w:sz w:val="24"/>
        </w:rPr>
        <w:t> </w:t>
      </w:r>
      <w:r>
        <w:rPr>
          <w:sz w:val="24"/>
        </w:rPr>
        <w:t>附加合同效力的中止和恢复</w:t>
      </w:r>
    </w:p>
    <w:p>
      <w:pPr>
        <w:pStyle w:val="BodyText"/>
        <w:spacing w:before="89"/>
        <w:ind w:left="379"/>
      </w:pPr>
      <w:r>
        <w:rPr>
          <w:rFonts w:ascii="Times New Roman" w:eastAsia="Times New Roman"/>
        </w:rPr>
        <w:t>1.1 </w:t>
      </w:r>
      <w:r>
        <w:rPr/>
        <w:t>保险合同的构成</w:t>
      </w:r>
    </w:p>
    <w:p>
      <w:pPr>
        <w:pStyle w:val="BodyText"/>
        <w:spacing w:before="2"/>
        <w:rPr>
          <w:sz w:val="1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0"/>
        <w:gridCol w:w="326"/>
        <w:gridCol w:w="2932"/>
      </w:tblGrid>
      <w:tr>
        <w:trPr>
          <w:trHeight w:val="729" w:hRule="atLeast"/>
        </w:trPr>
        <w:tc>
          <w:tcPr>
            <w:tcW w:w="4310" w:type="dxa"/>
          </w:tcPr>
          <w:p>
            <w:pPr>
              <w:pStyle w:val="TableParagraph"/>
              <w:numPr>
                <w:ilvl w:val="1"/>
                <w:numId w:val="1"/>
              </w:numPr>
              <w:tabs>
                <w:tab w:pos="578" w:val="left" w:leader="none"/>
              </w:tabs>
              <w:spacing w:line="250" w:lineRule="exact" w:before="0" w:after="0"/>
              <w:ind w:left="577" w:right="0" w:hanging="316"/>
              <w:jc w:val="left"/>
              <w:rPr>
                <w:sz w:val="21"/>
              </w:rPr>
            </w:pPr>
            <w:r>
              <w:rPr>
                <w:spacing w:val="-3"/>
                <w:sz w:val="21"/>
              </w:rPr>
              <w:t>投保年龄</w:t>
            </w:r>
          </w:p>
          <w:p>
            <w:pPr>
              <w:pStyle w:val="TableParagraph"/>
              <w:numPr>
                <w:ilvl w:val="1"/>
                <w:numId w:val="1"/>
              </w:numPr>
              <w:tabs>
                <w:tab w:pos="578" w:val="left" w:leader="none"/>
              </w:tabs>
              <w:spacing w:line="240" w:lineRule="auto" w:before="107" w:after="0"/>
              <w:ind w:left="577" w:right="0" w:hanging="316"/>
              <w:jc w:val="left"/>
              <w:rPr>
                <w:sz w:val="21"/>
              </w:rPr>
            </w:pPr>
            <w:r>
              <w:rPr>
                <w:spacing w:val="-3"/>
                <w:sz w:val="21"/>
              </w:rPr>
              <w:t>合同的生效日</w:t>
            </w:r>
          </w:p>
        </w:tc>
        <w:tc>
          <w:tcPr>
            <w:tcW w:w="326" w:type="dxa"/>
          </w:tcPr>
          <w:p>
            <w:pPr>
              <w:pStyle w:val="TableParagraph"/>
              <w:spacing w:line="266" w:lineRule="exact"/>
              <w:ind w:right="43"/>
              <w:jc w:val="right"/>
              <w:rPr>
                <w:rFonts w:ascii="Times New Roman"/>
                <w:b/>
                <w:sz w:val="24"/>
              </w:rPr>
            </w:pPr>
            <w:r>
              <w:rPr>
                <w:rFonts w:ascii="Times New Roman"/>
                <w:b/>
                <w:w w:val="99"/>
                <w:sz w:val="24"/>
              </w:rPr>
              <w:t>5</w:t>
            </w:r>
          </w:p>
        </w:tc>
        <w:tc>
          <w:tcPr>
            <w:tcW w:w="2932" w:type="dxa"/>
          </w:tcPr>
          <w:p>
            <w:pPr>
              <w:pStyle w:val="TableParagraph"/>
              <w:spacing w:line="250" w:lineRule="exact"/>
              <w:ind w:left="77"/>
              <w:rPr>
                <w:sz w:val="24"/>
              </w:rPr>
            </w:pPr>
            <w:r>
              <w:rPr>
                <w:sz w:val="24"/>
              </w:rPr>
              <w:t>保险金的给付</w:t>
            </w:r>
          </w:p>
          <w:p>
            <w:pPr>
              <w:pStyle w:val="TableParagraph"/>
              <w:spacing w:before="107"/>
              <w:ind w:left="45"/>
              <w:rPr>
                <w:sz w:val="21"/>
              </w:rPr>
            </w:pPr>
            <w:r>
              <w:rPr>
                <w:rFonts w:ascii="Times New Roman" w:eastAsia="Times New Roman"/>
                <w:sz w:val="21"/>
              </w:rPr>
              <w:t>5.1 </w:t>
            </w:r>
            <w:r>
              <w:rPr>
                <w:sz w:val="21"/>
              </w:rPr>
              <w:t>请求给付保险金的诉讼时效</w:t>
            </w:r>
          </w:p>
        </w:tc>
      </w:tr>
      <w:tr>
        <w:trPr>
          <w:trHeight w:val="397" w:hRule="atLeast"/>
        </w:trPr>
        <w:tc>
          <w:tcPr>
            <w:tcW w:w="4310" w:type="dxa"/>
          </w:tcPr>
          <w:p>
            <w:pPr>
              <w:pStyle w:val="TableParagraph"/>
              <w:spacing w:before="24"/>
              <w:ind w:left="261"/>
              <w:rPr>
                <w:sz w:val="21"/>
              </w:rPr>
            </w:pPr>
            <w:r>
              <w:rPr>
                <w:rFonts w:ascii="Times New Roman" w:eastAsia="Times New Roman"/>
                <w:sz w:val="21"/>
              </w:rPr>
              <w:t>1.4 </w:t>
            </w:r>
            <w:r>
              <w:rPr>
                <w:sz w:val="21"/>
              </w:rPr>
              <w:t>保险期间</w:t>
            </w:r>
          </w:p>
        </w:tc>
        <w:tc>
          <w:tcPr>
            <w:tcW w:w="326" w:type="dxa"/>
          </w:tcPr>
          <w:p>
            <w:pPr>
              <w:pStyle w:val="TableParagraph"/>
              <w:rPr>
                <w:rFonts w:ascii="Times New Roman"/>
                <w:sz w:val="22"/>
              </w:rPr>
            </w:pPr>
          </w:p>
        </w:tc>
        <w:tc>
          <w:tcPr>
            <w:tcW w:w="2932" w:type="dxa"/>
          </w:tcPr>
          <w:p>
            <w:pPr>
              <w:pStyle w:val="TableParagraph"/>
              <w:spacing w:before="24"/>
              <w:ind w:left="46"/>
              <w:rPr>
                <w:sz w:val="21"/>
              </w:rPr>
            </w:pPr>
            <w:r>
              <w:rPr>
                <w:rFonts w:ascii="Times New Roman" w:eastAsia="Times New Roman"/>
                <w:sz w:val="21"/>
              </w:rPr>
              <w:t>5.2 </w:t>
            </w:r>
            <w:r>
              <w:rPr>
                <w:sz w:val="21"/>
              </w:rPr>
              <w:t>保险金受益人的指定</w:t>
            </w:r>
          </w:p>
        </w:tc>
      </w:tr>
      <w:tr>
        <w:trPr>
          <w:trHeight w:val="587" w:hRule="atLeast"/>
        </w:trPr>
        <w:tc>
          <w:tcPr>
            <w:tcW w:w="4310" w:type="dxa"/>
          </w:tcPr>
          <w:p>
            <w:pPr>
              <w:pStyle w:val="TableParagraph"/>
              <w:spacing w:before="25"/>
              <w:ind w:left="261"/>
              <w:rPr>
                <w:sz w:val="21"/>
              </w:rPr>
            </w:pPr>
            <w:r>
              <w:rPr>
                <w:rFonts w:ascii="Times New Roman" w:eastAsia="Times New Roman"/>
                <w:sz w:val="21"/>
              </w:rPr>
              <w:t>1.5 </w:t>
            </w:r>
            <w:r>
              <w:rPr>
                <w:sz w:val="21"/>
              </w:rPr>
              <w:t>基本保险金额与申请减少基本保险金额</w:t>
            </w:r>
          </w:p>
        </w:tc>
        <w:tc>
          <w:tcPr>
            <w:tcW w:w="326" w:type="dxa"/>
          </w:tcPr>
          <w:p>
            <w:pPr>
              <w:pStyle w:val="TableParagraph"/>
              <w:rPr>
                <w:rFonts w:ascii="Times New Roman"/>
                <w:sz w:val="22"/>
              </w:rPr>
            </w:pPr>
          </w:p>
        </w:tc>
        <w:tc>
          <w:tcPr>
            <w:tcW w:w="2932" w:type="dxa"/>
          </w:tcPr>
          <w:p>
            <w:pPr>
              <w:pStyle w:val="TableParagraph"/>
              <w:spacing w:before="25"/>
              <w:ind w:left="46"/>
              <w:rPr>
                <w:sz w:val="21"/>
              </w:rPr>
            </w:pPr>
            <w:r>
              <w:rPr>
                <w:rFonts w:ascii="Times New Roman" w:eastAsia="Times New Roman"/>
                <w:sz w:val="21"/>
              </w:rPr>
              <w:t>5.3 </w:t>
            </w:r>
            <w:r>
              <w:rPr>
                <w:sz w:val="21"/>
              </w:rPr>
              <w:t>如何申请保险金</w:t>
            </w:r>
          </w:p>
        </w:tc>
      </w:tr>
      <w:tr>
        <w:trPr>
          <w:trHeight w:val="611" w:hRule="atLeast"/>
        </w:trPr>
        <w:tc>
          <w:tcPr>
            <w:tcW w:w="4310" w:type="dxa"/>
          </w:tcPr>
          <w:p>
            <w:pPr>
              <w:pStyle w:val="TableParagraph"/>
              <w:spacing w:before="207"/>
              <w:ind w:left="50"/>
              <w:rPr>
                <w:sz w:val="24"/>
              </w:rPr>
            </w:pPr>
            <w:r>
              <w:rPr>
                <w:rFonts w:ascii="Times New Roman" w:eastAsia="Times New Roman"/>
                <w:b/>
                <w:sz w:val="24"/>
              </w:rPr>
              <w:t>2  </w:t>
            </w:r>
            <w:r>
              <w:rPr>
                <w:sz w:val="24"/>
              </w:rPr>
              <w:t>保障范围</w:t>
            </w:r>
          </w:p>
        </w:tc>
        <w:tc>
          <w:tcPr>
            <w:tcW w:w="326" w:type="dxa"/>
          </w:tcPr>
          <w:p>
            <w:pPr>
              <w:pStyle w:val="TableParagraph"/>
              <w:spacing w:before="12"/>
              <w:rPr>
                <w:sz w:val="19"/>
              </w:rPr>
            </w:pPr>
          </w:p>
          <w:p>
            <w:pPr>
              <w:pStyle w:val="TableParagraph"/>
              <w:ind w:right="43"/>
              <w:jc w:val="right"/>
              <w:rPr>
                <w:rFonts w:ascii="Times New Roman"/>
                <w:b/>
                <w:sz w:val="24"/>
              </w:rPr>
            </w:pPr>
            <w:r>
              <w:rPr>
                <w:rFonts w:ascii="Times New Roman"/>
                <w:b/>
                <w:w w:val="99"/>
                <w:sz w:val="24"/>
              </w:rPr>
              <w:t>6</w:t>
            </w:r>
          </w:p>
        </w:tc>
        <w:tc>
          <w:tcPr>
            <w:tcW w:w="2932" w:type="dxa"/>
          </w:tcPr>
          <w:p>
            <w:pPr>
              <w:pStyle w:val="TableParagraph"/>
              <w:spacing w:before="207"/>
              <w:ind w:left="77"/>
              <w:rPr>
                <w:sz w:val="24"/>
              </w:rPr>
            </w:pPr>
            <w:r>
              <w:rPr>
                <w:sz w:val="24"/>
              </w:rPr>
              <w:t>欠款的扣除</w:t>
            </w:r>
          </w:p>
        </w:tc>
      </w:tr>
      <w:tr>
        <w:trPr>
          <w:trHeight w:val="984" w:hRule="atLeast"/>
        </w:trPr>
        <w:tc>
          <w:tcPr>
            <w:tcW w:w="4310" w:type="dxa"/>
          </w:tcPr>
          <w:p>
            <w:pPr>
              <w:pStyle w:val="TableParagraph"/>
              <w:numPr>
                <w:ilvl w:val="1"/>
                <w:numId w:val="2"/>
              </w:numPr>
              <w:tabs>
                <w:tab w:pos="578" w:val="left" w:leader="none"/>
              </w:tabs>
              <w:spacing w:line="240" w:lineRule="auto" w:before="17" w:after="0"/>
              <w:ind w:left="578" w:right="0" w:hanging="317"/>
              <w:jc w:val="left"/>
              <w:rPr>
                <w:sz w:val="21"/>
              </w:rPr>
            </w:pPr>
            <w:r>
              <w:rPr>
                <w:spacing w:val="-3"/>
                <w:sz w:val="21"/>
              </w:rPr>
              <w:t>保险责任</w:t>
            </w:r>
          </w:p>
          <w:p>
            <w:pPr>
              <w:pStyle w:val="TableParagraph"/>
              <w:numPr>
                <w:ilvl w:val="1"/>
                <w:numId w:val="2"/>
              </w:numPr>
              <w:tabs>
                <w:tab w:pos="578" w:val="left" w:leader="none"/>
              </w:tabs>
              <w:spacing w:line="240" w:lineRule="auto" w:before="105" w:after="0"/>
              <w:ind w:left="578" w:right="0" w:hanging="317"/>
              <w:jc w:val="left"/>
              <w:rPr>
                <w:sz w:val="21"/>
              </w:rPr>
            </w:pPr>
            <w:r>
              <w:rPr>
                <w:spacing w:val="-3"/>
                <w:sz w:val="21"/>
              </w:rPr>
              <w:t>责任免除</w:t>
            </w:r>
          </w:p>
        </w:tc>
        <w:tc>
          <w:tcPr>
            <w:tcW w:w="326" w:type="dxa"/>
          </w:tcPr>
          <w:p>
            <w:pPr>
              <w:pStyle w:val="TableParagraph"/>
              <w:spacing w:before="12"/>
              <w:rPr>
                <w:sz w:val="33"/>
              </w:rPr>
            </w:pPr>
          </w:p>
          <w:p>
            <w:pPr>
              <w:pStyle w:val="TableParagraph"/>
              <w:ind w:right="43"/>
              <w:jc w:val="right"/>
              <w:rPr>
                <w:rFonts w:ascii="Times New Roman"/>
                <w:b/>
                <w:sz w:val="24"/>
              </w:rPr>
            </w:pPr>
            <w:r>
              <w:rPr>
                <w:rFonts w:ascii="Times New Roman"/>
                <w:b/>
                <w:w w:val="99"/>
                <w:sz w:val="24"/>
              </w:rPr>
              <w:t>7</w:t>
            </w:r>
          </w:p>
        </w:tc>
        <w:tc>
          <w:tcPr>
            <w:tcW w:w="2932" w:type="dxa"/>
          </w:tcPr>
          <w:p>
            <w:pPr>
              <w:pStyle w:val="TableParagraph"/>
              <w:spacing w:before="10"/>
              <w:rPr>
                <w:sz w:val="29"/>
              </w:rPr>
            </w:pPr>
          </w:p>
          <w:p>
            <w:pPr>
              <w:pStyle w:val="TableParagraph"/>
              <w:ind w:left="77"/>
              <w:rPr>
                <w:sz w:val="24"/>
              </w:rPr>
            </w:pPr>
            <w:r>
              <w:rPr>
                <w:sz w:val="24"/>
              </w:rPr>
              <w:t>附加合同效力的终止</w:t>
            </w:r>
          </w:p>
        </w:tc>
      </w:tr>
      <w:tr>
        <w:trPr>
          <w:trHeight w:val="530" w:hRule="atLeast"/>
        </w:trPr>
        <w:tc>
          <w:tcPr>
            <w:tcW w:w="4310" w:type="dxa"/>
          </w:tcPr>
          <w:p>
            <w:pPr>
              <w:pStyle w:val="TableParagraph"/>
              <w:spacing w:line="310" w:lineRule="exact" w:before="200"/>
              <w:ind w:left="50"/>
              <w:rPr>
                <w:sz w:val="24"/>
              </w:rPr>
            </w:pPr>
            <w:r>
              <w:rPr>
                <w:rFonts w:ascii="Times New Roman" w:eastAsia="Times New Roman"/>
                <w:b/>
                <w:sz w:val="24"/>
              </w:rPr>
              <w:t>3  </w:t>
            </w:r>
            <w:r>
              <w:rPr>
                <w:sz w:val="24"/>
              </w:rPr>
              <w:t>保险费</w:t>
            </w:r>
          </w:p>
        </w:tc>
        <w:tc>
          <w:tcPr>
            <w:tcW w:w="326" w:type="dxa"/>
          </w:tcPr>
          <w:p>
            <w:pPr>
              <w:pStyle w:val="TableParagraph"/>
              <w:spacing w:before="5"/>
              <w:rPr>
                <w:sz w:val="19"/>
              </w:rPr>
            </w:pPr>
          </w:p>
          <w:p>
            <w:pPr>
              <w:pStyle w:val="TableParagraph"/>
              <w:spacing w:line="256" w:lineRule="exact"/>
              <w:ind w:right="43"/>
              <w:jc w:val="right"/>
              <w:rPr>
                <w:rFonts w:ascii="Times New Roman"/>
                <w:b/>
                <w:sz w:val="24"/>
              </w:rPr>
            </w:pPr>
            <w:r>
              <w:rPr>
                <w:rFonts w:ascii="Times New Roman"/>
                <w:b/>
                <w:w w:val="99"/>
                <w:sz w:val="24"/>
              </w:rPr>
              <w:t>8</w:t>
            </w:r>
          </w:p>
        </w:tc>
        <w:tc>
          <w:tcPr>
            <w:tcW w:w="2932" w:type="dxa"/>
          </w:tcPr>
          <w:p>
            <w:pPr>
              <w:pStyle w:val="TableParagraph"/>
              <w:spacing w:line="310" w:lineRule="exact" w:before="200"/>
              <w:ind w:left="77"/>
              <w:rPr>
                <w:sz w:val="24"/>
              </w:rPr>
            </w:pPr>
            <w:r>
              <w:rPr>
                <w:w w:val="95"/>
                <w:sz w:val="24"/>
              </w:rPr>
              <w:t>名词释义</w:t>
            </w:r>
          </w:p>
        </w:tc>
      </w:tr>
    </w:tbl>
    <w:p>
      <w:pPr>
        <w:pStyle w:val="BodyText"/>
        <w:rPr>
          <w:sz w:val="22"/>
        </w:rPr>
      </w:pPr>
    </w:p>
    <w:p>
      <w:pPr>
        <w:spacing w:line="302" w:lineRule="auto" w:before="176"/>
        <w:ind w:left="4591" w:right="1664" w:firstLine="0"/>
        <w:jc w:val="left"/>
        <w:rPr>
          <w:sz w:val="24"/>
        </w:rPr>
      </w:pPr>
      <w:r>
        <w:rPr>
          <w:sz w:val="24"/>
        </w:rPr>
        <w:t>附表一：轻症疾病列表附表二：重大疾病列表</w:t>
      </w:r>
    </w:p>
    <w:p>
      <w:pPr>
        <w:spacing w:after="0" w:line="302" w:lineRule="auto"/>
        <w:jc w:val="left"/>
        <w:rPr>
          <w:sz w:val="24"/>
        </w:rPr>
        <w:sectPr>
          <w:pgSz w:w="11900" w:h="16840"/>
          <w:pgMar w:top="1600" w:bottom="280" w:left="1560" w:right="1680"/>
        </w:sectPr>
      </w:pPr>
    </w:p>
    <w:p>
      <w:pPr>
        <w:pStyle w:val="Heading1"/>
        <w:spacing w:line="355" w:lineRule="exact"/>
        <w:ind w:left="2030"/>
      </w:pPr>
      <w:r>
        <w:rPr/>
        <w:t>中英人寿附加金色未来额外给付重大疾病保险</w:t>
      </w:r>
    </w:p>
    <w:p>
      <w:pPr>
        <w:pStyle w:val="BodyText"/>
        <w:tabs>
          <w:tab w:pos="950" w:val="left" w:leader="none"/>
        </w:tabs>
        <w:spacing w:line="758" w:lineRule="exact" w:before="69"/>
        <w:ind w:left="100" w:right="1526" w:firstLine="1087"/>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spacing w:after="0" w:line="758" w:lineRule="exact"/>
        <w:sectPr>
          <w:pgSz w:w="11900" w:h="16840"/>
          <w:pgMar w:top="1580" w:bottom="280" w:left="1320" w:right="1000"/>
        </w:sectPr>
      </w:pPr>
    </w:p>
    <w:p>
      <w:pPr>
        <w:pStyle w:val="ListParagraph"/>
        <w:numPr>
          <w:ilvl w:val="1"/>
          <w:numId w:val="3"/>
        </w:numPr>
        <w:tabs>
          <w:tab w:pos="950" w:val="left" w:leader="none"/>
          <w:tab w:pos="951" w:val="left" w:leader="none"/>
        </w:tabs>
        <w:spacing w:line="240" w:lineRule="auto" w:before="116" w:after="0"/>
        <w:ind w:left="950" w:right="0" w:hanging="480"/>
        <w:jc w:val="left"/>
        <w:rPr>
          <w:sz w:val="21"/>
        </w:rPr>
      </w:pPr>
      <w:r>
        <w:rPr>
          <w:spacing w:val="-1"/>
          <w:sz w:val="21"/>
        </w:rPr>
        <w:t>保险合同的构成</w:t>
      </w:r>
    </w:p>
    <w:p>
      <w:pPr>
        <w:pStyle w:val="BodyText"/>
        <w:spacing w:line="237" w:lineRule="auto" w:before="116"/>
        <w:ind w:left="372" w:right="98"/>
      </w:pPr>
      <w:r>
        <w:rPr/>
        <w:br w:type="column"/>
      </w:r>
      <w:r>
        <w:rPr>
          <w:spacing w:val="-3"/>
        </w:rPr>
        <w:t>《中英人寿附加金色未来额外给付重大疾病保险》合同</w:t>
      </w:r>
      <w:r>
        <w:rPr/>
        <w:t>（</w:t>
      </w:r>
      <w:r>
        <w:rPr>
          <w:spacing w:val="-1"/>
        </w:rPr>
        <w:t>以下简称本附加</w:t>
      </w:r>
      <w:r>
        <w:rPr>
          <w:spacing w:val="-2"/>
        </w:rPr>
        <w:t>合同</w:t>
      </w:r>
      <w:r>
        <w:rPr>
          <w:spacing w:val="-36"/>
        </w:rPr>
        <w:t>）</w:t>
      </w:r>
      <w:r>
        <w:rPr>
          <w:spacing w:val="-11"/>
        </w:rPr>
        <w:t>由《中英人寿金色未来两全保险</w:t>
      </w:r>
      <w:r>
        <w:rPr>
          <w:spacing w:val="-3"/>
        </w:rPr>
        <w:t>（</w:t>
      </w:r>
      <w:r>
        <w:rPr>
          <w:spacing w:val="-2"/>
        </w:rPr>
        <w:t>分红型</w:t>
      </w:r>
      <w:r>
        <w:rPr>
          <w:spacing w:val="-108"/>
        </w:rPr>
        <w:t>）</w:t>
      </w:r>
      <w:r>
        <w:rPr>
          <w:spacing w:val="-26"/>
        </w:rPr>
        <w:t>》合同</w:t>
      </w:r>
      <w:r>
        <w:rPr>
          <w:spacing w:val="-3"/>
        </w:rPr>
        <w:t>（以下简称主合同</w:t>
      </w:r>
      <w:r>
        <w:rPr/>
        <w:t>） </w:t>
      </w:r>
      <w:r>
        <w:rPr>
          <w:spacing w:val="-3"/>
        </w:rPr>
        <w:t>的投保人向我们提出申请，经我们审核同意后订立。</w:t>
      </w:r>
    </w:p>
    <w:p>
      <w:pPr>
        <w:pStyle w:val="BodyText"/>
        <w:spacing w:before="7"/>
        <w:rPr>
          <w:sz w:val="18"/>
        </w:rPr>
      </w:pPr>
    </w:p>
    <w:p>
      <w:pPr>
        <w:pStyle w:val="BodyText"/>
        <w:spacing w:line="237" w:lineRule="auto"/>
        <w:ind w:left="372" w:right="203"/>
      </w:pPr>
      <w:r>
        <w:rPr/>
        <w:t>本附加合同由保险单、保险条款、投保书及与本附加合同有关的其它投保文件、合法有效的声明、批注、批单及其它书面协议构成。</w:t>
      </w:r>
    </w:p>
    <w:p>
      <w:pPr>
        <w:pStyle w:val="BodyText"/>
        <w:spacing w:before="7"/>
        <w:rPr>
          <w:sz w:val="18"/>
        </w:rPr>
      </w:pPr>
    </w:p>
    <w:p>
      <w:pPr>
        <w:pStyle w:val="BodyText"/>
        <w:spacing w:line="237" w:lineRule="auto"/>
        <w:ind w:left="372" w:right="203"/>
      </w:pPr>
      <w:r>
        <w:rPr/>
        <w:t>主合同的条款适用于本附加合同。如果主合同的条款与本附加合同冲突， 则以本附加合同为准。</w:t>
      </w:r>
    </w:p>
    <w:p>
      <w:pPr>
        <w:spacing w:after="0" w:line="237" w:lineRule="auto"/>
        <w:sectPr>
          <w:type w:val="continuous"/>
          <w:pgSz w:w="11900" w:h="16840"/>
          <w:pgMar w:top="1220" w:bottom="280" w:left="1320" w:right="1000"/>
          <w:cols w:num="2" w:equalWidth="0">
            <w:col w:w="2216" w:space="40"/>
            <w:col w:w="7324"/>
          </w:cols>
        </w:sectPr>
      </w:pPr>
    </w:p>
    <w:p>
      <w:pPr>
        <w:pStyle w:val="BodyText"/>
        <w:spacing w:before="10"/>
        <w:rPr>
          <w:sz w:val="13"/>
        </w:rPr>
      </w:pPr>
    </w:p>
    <w:p>
      <w:pPr>
        <w:pStyle w:val="ListParagraph"/>
        <w:numPr>
          <w:ilvl w:val="1"/>
          <w:numId w:val="3"/>
        </w:numPr>
        <w:tabs>
          <w:tab w:pos="950" w:val="left" w:leader="none"/>
          <w:tab w:pos="951" w:val="left" w:leader="none"/>
          <w:tab w:pos="2627" w:val="left" w:leader="none"/>
        </w:tabs>
        <w:spacing w:line="280" w:lineRule="exact" w:before="63" w:after="0"/>
        <w:ind w:left="950"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15</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0" w:lineRule="exact"/>
        <w:ind w:left="2627"/>
      </w:pPr>
      <w:r>
        <w:rPr>
          <w:rFonts w:ascii="Times New Roman" w:eastAsia="Times New Roman"/>
          <w:w w:val="100"/>
        </w:rPr>
        <w:t>8.1</w:t>
      </w:r>
      <w:r>
        <w:rPr>
          <w:spacing w:val="-106"/>
          <w:w w:val="100"/>
        </w:rPr>
        <w:t>）</w:t>
      </w:r>
      <w:r>
        <w:rPr>
          <w:w w:val="100"/>
        </w:rPr>
        <w:t>。</w:t>
      </w:r>
    </w:p>
    <w:p>
      <w:pPr>
        <w:pStyle w:val="BodyText"/>
        <w:spacing w:before="10"/>
        <w:rPr>
          <w:sz w:val="26"/>
        </w:rPr>
      </w:pPr>
    </w:p>
    <w:p>
      <w:pPr>
        <w:pStyle w:val="ListParagraph"/>
        <w:numPr>
          <w:ilvl w:val="1"/>
          <w:numId w:val="3"/>
        </w:numPr>
        <w:tabs>
          <w:tab w:pos="951" w:val="left" w:leader="none"/>
        </w:tabs>
        <w:spacing w:line="237" w:lineRule="auto" w:before="0" w:after="0"/>
        <w:ind w:left="2628" w:right="203" w:hanging="2158"/>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3"/>
        </w:numPr>
        <w:tabs>
          <w:tab w:pos="950" w:val="left" w:leader="none"/>
          <w:tab w:pos="951" w:val="left" w:leader="none"/>
          <w:tab w:pos="2627" w:val="left" w:leader="none"/>
        </w:tabs>
        <w:spacing w:line="240" w:lineRule="auto" w:before="0" w:after="0"/>
        <w:ind w:left="950"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type w:val="continuous"/>
          <w:pgSz w:w="11900" w:h="16840"/>
          <w:pgMar w:top="1220" w:bottom="280" w:left="1320" w:right="1000"/>
        </w:sectPr>
      </w:pPr>
    </w:p>
    <w:p>
      <w:pPr>
        <w:pStyle w:val="ListParagraph"/>
        <w:numPr>
          <w:ilvl w:val="1"/>
          <w:numId w:val="3"/>
        </w:numPr>
        <w:tabs>
          <w:tab w:pos="951" w:val="left" w:leader="none"/>
        </w:tabs>
        <w:spacing w:line="237" w:lineRule="auto" w:before="66" w:after="0"/>
        <w:ind w:left="950" w:right="0" w:hanging="480"/>
        <w:jc w:val="both"/>
        <w:rPr>
          <w:sz w:val="21"/>
        </w:rPr>
      </w:pPr>
      <w:r>
        <w:rPr>
          <w:spacing w:val="-1"/>
          <w:sz w:val="21"/>
        </w:rPr>
        <w:t>基本保险金额</w:t>
      </w:r>
      <w:r>
        <w:rPr>
          <w:spacing w:val="-2"/>
          <w:sz w:val="21"/>
        </w:rPr>
        <w:t>与申请减少基</w:t>
      </w:r>
      <w:r>
        <w:rPr>
          <w:spacing w:val="-3"/>
          <w:sz w:val="21"/>
        </w:rPr>
        <w:t>本保险金额</w:t>
      </w:r>
    </w:p>
    <w:p>
      <w:pPr>
        <w:pStyle w:val="BodyText"/>
        <w:spacing w:before="60"/>
        <w:ind w:left="372" w:right="203"/>
        <w:jc w:val="both"/>
      </w:pPr>
      <w:r>
        <w:rPr/>
        <w:br w:type="column"/>
      </w:r>
      <w:r>
        <w:rPr/>
        <w:t>本附加合同的基本保险金额由您和我们约定并在保险单、批单或批注上载明，如果该基本保险金额有所变更，以变更后的金额为准。</w:t>
      </w:r>
    </w:p>
    <w:p>
      <w:pPr>
        <w:pStyle w:val="BodyText"/>
        <w:spacing w:before="5"/>
        <w:rPr>
          <w:sz w:val="18"/>
        </w:rPr>
      </w:pPr>
    </w:p>
    <w:p>
      <w:pPr>
        <w:pStyle w:val="BodyText"/>
        <w:spacing w:line="237" w:lineRule="auto"/>
        <w:ind w:left="372" w:right="203"/>
        <w:jc w:val="both"/>
      </w:pPr>
      <w:r>
        <w:rPr/>
        <w:t>在本附加合同有效期内，您可以书面申请减少基本保险金额，但减少后的基本保险金额须符合我们当时规定的最低承保金额。基本保险金额的减少部分视为终止合同，我们将退还基本保险金额减少部分所对应的现金价值</w:t>
      </w:r>
    </w:p>
    <w:p>
      <w:pPr>
        <w:pStyle w:val="BodyText"/>
        <w:spacing w:line="289" w:lineRule="exact"/>
        <w:ind w:left="372"/>
        <w:jc w:val="both"/>
      </w:pPr>
      <w:r>
        <w:rPr>
          <w:w w:val="100"/>
        </w:rPr>
        <w:t>（见</w:t>
      </w:r>
      <w:r>
        <w:rPr>
          <w:spacing w:val="-53"/>
        </w:rPr>
        <w:t> </w:t>
      </w:r>
      <w:r>
        <w:rPr>
          <w:rFonts w:ascii="Times New Roman" w:eastAsia="Times New Roman"/>
          <w:w w:val="100"/>
        </w:rPr>
        <w:t>8</w:t>
      </w:r>
      <w:r>
        <w:rPr>
          <w:rFonts w:ascii="Times New Roman" w:eastAsia="Times New Roman"/>
          <w:spacing w:val="-3"/>
          <w:w w:val="100"/>
        </w:rPr>
        <w:t>.</w:t>
      </w:r>
      <w:r>
        <w:rPr>
          <w:rFonts w:ascii="Times New Roman" w:eastAsia="Times New Roman"/>
          <w:w w:val="100"/>
        </w:rPr>
        <w:t>2</w:t>
      </w:r>
      <w:r>
        <w:rPr>
          <w:spacing w:val="-106"/>
          <w:w w:val="100"/>
        </w:rPr>
        <w:t>）</w:t>
      </w:r>
      <w:r>
        <w:rPr>
          <w:w w:val="100"/>
        </w:rPr>
        <w:t>。</w:t>
      </w:r>
    </w:p>
    <w:p>
      <w:pPr>
        <w:spacing w:after="0" w:line="289" w:lineRule="exact"/>
        <w:jc w:val="both"/>
        <w:sectPr>
          <w:type w:val="continuous"/>
          <w:pgSz w:w="11900" w:h="16840"/>
          <w:pgMar w:top="1220" w:bottom="280" w:left="1320" w:right="1000"/>
          <w:cols w:num="2" w:equalWidth="0">
            <w:col w:w="2216" w:space="40"/>
            <w:col w:w="7324"/>
          </w:cols>
        </w:sectPr>
      </w:pPr>
    </w:p>
    <w:p>
      <w:pPr>
        <w:pStyle w:val="BodyText"/>
        <w:spacing w:before="10"/>
        <w:rPr>
          <w:sz w:val="13"/>
        </w:rPr>
      </w:pPr>
    </w:p>
    <w:p>
      <w:pPr>
        <w:pStyle w:val="BodyText"/>
        <w:tabs>
          <w:tab w:pos="950" w:val="left" w:leader="none"/>
        </w:tabs>
        <w:spacing w:before="45"/>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spacing w:before="2"/>
        <w:rPr>
          <w:sz w:val="17"/>
        </w:rPr>
      </w:pPr>
    </w:p>
    <w:p>
      <w:pPr>
        <w:pStyle w:val="ListParagraph"/>
        <w:numPr>
          <w:ilvl w:val="1"/>
          <w:numId w:val="4"/>
        </w:numPr>
        <w:tabs>
          <w:tab w:pos="950" w:val="left" w:leader="none"/>
          <w:tab w:pos="951" w:val="left" w:leader="none"/>
          <w:tab w:pos="2627" w:val="left" w:leader="none"/>
        </w:tabs>
        <w:spacing w:line="240" w:lineRule="auto" w:before="0" w:after="0"/>
        <w:ind w:left="2267" w:right="0" w:hanging="179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6"/>
        <w:rPr>
          <w:sz w:val="18"/>
        </w:rPr>
      </w:pPr>
    </w:p>
    <w:p>
      <w:pPr>
        <w:pStyle w:val="BodyText"/>
        <w:spacing w:line="235" w:lineRule="auto"/>
        <w:ind w:left="2627" w:right="201"/>
        <w:jc w:val="both"/>
      </w:pPr>
      <w:r>
        <w:rPr>
          <w:spacing w:val="-2"/>
        </w:rPr>
        <w:t>自本附加合同</w:t>
      </w:r>
      <w:r>
        <w:rPr/>
        <w:t>Th</w:t>
      </w:r>
      <w:r>
        <w:rPr>
          <w:spacing w:val="-2"/>
        </w:rPr>
        <w:t>效日</w:t>
      </w:r>
      <w:r>
        <w:rPr/>
        <w:t>（</w:t>
      </w:r>
      <w:r>
        <w:rPr>
          <w:spacing w:val="-3"/>
        </w:rPr>
        <w:t>或最后复效日</w:t>
      </w:r>
      <w:r>
        <w:rPr/>
        <w:t>）</w:t>
      </w:r>
      <w:r>
        <w:rPr>
          <w:spacing w:val="-21"/>
        </w:rPr>
        <w:t>起 </w:t>
      </w:r>
      <w:r>
        <w:rPr/>
        <w:t>90</w:t>
      </w:r>
      <w:r>
        <w:rPr>
          <w:spacing w:val="-15"/>
        </w:rPr>
        <w:t> 天内</w:t>
      </w:r>
      <w:r>
        <w:rPr>
          <w:spacing w:val="-3"/>
        </w:rPr>
        <w:t>（</w:t>
      </w:r>
      <w:r>
        <w:rPr>
          <w:spacing w:val="-14"/>
        </w:rPr>
        <w:t>含第 </w:t>
      </w:r>
      <w:r>
        <w:rPr/>
        <w:t>90</w:t>
      </w:r>
      <w:r>
        <w:rPr>
          <w:spacing w:val="-22"/>
        </w:rPr>
        <w:t> 天</w:t>
      </w:r>
      <w:r>
        <w:rPr/>
        <w:t>）</w:t>
      </w:r>
      <w:r>
        <w:rPr>
          <w:spacing w:val="-3"/>
        </w:rPr>
        <w:t>的期间为等待期。如果被保险人在等待期内发</w:t>
      </w:r>
      <w:r>
        <w:rPr/>
        <w:t>Th</w:t>
      </w:r>
      <w:r>
        <w:rPr>
          <w:spacing w:val="-3"/>
        </w:rPr>
        <w:t>或确诊患本附加合同附表一所列任</w:t>
      </w:r>
      <w:r>
        <w:rPr>
          <w:spacing w:val="-3"/>
          <w:w w:val="100"/>
        </w:rPr>
        <w:t>何一种轻症疾病</w:t>
      </w:r>
      <w:r>
        <w:rPr>
          <w:w w:val="100"/>
        </w:rPr>
        <w:t>（见</w:t>
      </w:r>
      <w:r>
        <w:rPr>
          <w:spacing w:val="-43"/>
        </w:rPr>
        <w:t> </w:t>
      </w:r>
      <w:r>
        <w:rPr>
          <w:w w:val="100"/>
        </w:rPr>
        <w:t>8.</w:t>
      </w:r>
      <w:r>
        <w:rPr>
          <w:spacing w:val="-3"/>
          <w:w w:val="100"/>
        </w:rPr>
        <w:t>3</w:t>
      </w:r>
      <w:r>
        <w:rPr>
          <w:w w:val="100"/>
        </w:rPr>
        <w:t>）</w:t>
      </w:r>
      <w:r>
        <w:rPr>
          <w:spacing w:val="-3"/>
          <w:w w:val="100"/>
        </w:rPr>
        <w:t>或附表二所列任何一种重大疾病（</w:t>
      </w:r>
      <w:r>
        <w:rPr>
          <w:w w:val="100"/>
        </w:rPr>
        <w:t>见</w:t>
      </w:r>
      <w:r>
        <w:rPr>
          <w:spacing w:val="-41"/>
        </w:rPr>
        <w:t> </w:t>
      </w:r>
      <w:r>
        <w:rPr>
          <w:w w:val="100"/>
        </w:rPr>
        <w:t>8</w:t>
      </w:r>
      <w:r>
        <w:rPr>
          <w:spacing w:val="-3"/>
          <w:w w:val="100"/>
        </w:rPr>
        <w:t>.</w:t>
      </w:r>
      <w:r>
        <w:rPr>
          <w:w w:val="100"/>
        </w:rPr>
        <w:t>4</w:t>
      </w:r>
      <w:r>
        <w:rPr>
          <w:spacing w:val="-106"/>
          <w:w w:val="100"/>
        </w:rPr>
        <w:t>）</w:t>
      </w:r>
      <w:r>
        <w:rPr>
          <w:spacing w:val="-2"/>
          <w:w w:val="100"/>
        </w:rPr>
        <w:t>，我</w:t>
      </w:r>
      <w:r>
        <w:rPr>
          <w:spacing w:val="-3"/>
        </w:rPr>
        <w:t>们将无息退回您已缴纳的本附加合同的保险费，同时本附加合同终止。但</w:t>
      </w:r>
      <w:r>
        <w:rPr>
          <w:spacing w:val="-6"/>
        </w:rPr>
        <w:t>如果被保险人因意外伤害事故</w:t>
      </w:r>
      <w:r>
        <w:rPr>
          <w:spacing w:val="-3"/>
        </w:rPr>
        <w:t>（</w:t>
      </w:r>
      <w:r>
        <w:rPr>
          <w:spacing w:val="-14"/>
        </w:rPr>
        <w:t>见 </w:t>
      </w:r>
      <w:r>
        <w:rPr>
          <w:rFonts w:ascii="Times New Roman" w:eastAsia="Times New Roman"/>
          <w:spacing w:val="-11"/>
        </w:rPr>
        <w:t>8.5</w:t>
      </w:r>
      <w:r>
        <w:rPr>
          <w:spacing w:val="-11"/>
        </w:rPr>
        <w:t>）</w:t>
      </w:r>
      <w:r>
        <w:rPr>
          <w:spacing w:val="-3"/>
        </w:rPr>
        <w:t>导致患本附加合同附表一所列任何一种轻症疾病或附表二所列任何一种重大疾病，则无等待期。</w:t>
      </w:r>
    </w:p>
    <w:p>
      <w:pPr>
        <w:pStyle w:val="BodyText"/>
        <w:spacing w:before="2"/>
        <w:rPr>
          <w:sz w:val="18"/>
        </w:rPr>
      </w:pPr>
    </w:p>
    <w:p>
      <w:pPr>
        <w:pStyle w:val="BodyText"/>
        <w:spacing w:before="1"/>
        <w:ind w:left="2628"/>
      </w:pPr>
      <w:r>
        <w:rPr>
          <w:rFonts w:ascii="Times New Roman" w:eastAsia="Times New Roman"/>
        </w:rPr>
        <w:t>1</w:t>
      </w:r>
      <w:r>
        <w:rPr/>
        <w:t>、 轻症疾病保险金</w:t>
      </w:r>
    </w:p>
    <w:p>
      <w:pPr>
        <w:pStyle w:val="BodyText"/>
        <w:spacing w:before="12"/>
        <w:rPr>
          <w:sz w:val="17"/>
        </w:rPr>
      </w:pPr>
    </w:p>
    <w:p>
      <w:pPr>
        <w:pStyle w:val="BodyText"/>
        <w:spacing w:line="230" w:lineRule="auto"/>
        <w:ind w:left="2628" w:right="201"/>
        <w:jc w:val="both"/>
      </w:pPr>
      <w:r>
        <w:rPr>
          <w:spacing w:val="-6"/>
        </w:rPr>
        <w:t>在等待期后，如果被保险人初次发生并被专科医</w:t>
      </w:r>
      <w:r>
        <w:rPr>
          <w:spacing w:val="-20"/>
        </w:rPr>
        <w:t>Th（</w:t>
      </w:r>
      <w:r>
        <w:rPr>
          <w:spacing w:val="-17"/>
        </w:rPr>
        <w:t>见 </w:t>
      </w:r>
      <w:r>
        <w:rPr>
          <w:rFonts w:ascii="Times New Roman" w:eastAsia="Times New Roman"/>
          <w:spacing w:val="-8"/>
        </w:rPr>
        <w:t>8.6</w:t>
      </w:r>
      <w:r>
        <w:rPr>
          <w:spacing w:val="-8"/>
        </w:rPr>
        <w:t>）</w:t>
      </w:r>
      <w:r>
        <w:rPr>
          <w:spacing w:val="-3"/>
        </w:rPr>
        <w:t>确诊患本附加</w:t>
      </w:r>
      <w:r>
        <w:rPr>
          <w:spacing w:val="-3"/>
          <w:w w:val="100"/>
        </w:rPr>
        <w:t>合同附表一所列任何一种轻症疾病（</w:t>
      </w:r>
      <w:r>
        <w:rPr>
          <w:w w:val="100"/>
        </w:rPr>
        <w:t>见</w:t>
      </w:r>
      <w:r>
        <w:rPr/>
        <w:t> </w:t>
      </w:r>
      <w:r>
        <w:rPr>
          <w:rFonts w:ascii="Times New Roman" w:eastAsia="Times New Roman"/>
          <w:w w:val="100"/>
        </w:rPr>
        <w:t>8.</w:t>
      </w:r>
      <w:r>
        <w:rPr>
          <w:rFonts w:ascii="Times New Roman" w:eastAsia="Times New Roman"/>
          <w:spacing w:val="-3"/>
          <w:w w:val="100"/>
        </w:rPr>
        <w:t>3</w:t>
      </w:r>
      <w:r>
        <w:rPr>
          <w:spacing w:val="-106"/>
          <w:w w:val="100"/>
        </w:rPr>
        <w:t>）</w:t>
      </w:r>
      <w:r>
        <w:rPr>
          <w:spacing w:val="-3"/>
          <w:w w:val="100"/>
        </w:rPr>
        <w:t>，并且在轻症疾病确诊前未确</w:t>
      </w:r>
      <w:r>
        <w:rPr>
          <w:spacing w:val="-3"/>
        </w:rPr>
        <w:t>诊患本附加合同附表二所列任何一种重大疾病，我们将按本附加合同基本</w:t>
      </w:r>
      <w:r>
        <w:rPr>
          <w:spacing w:val="-9"/>
        </w:rPr>
        <w:t>保险金额的 </w:t>
      </w:r>
      <w:r>
        <w:rPr>
          <w:rFonts w:ascii="Times New Roman" w:eastAsia="Times New Roman"/>
        </w:rPr>
        <w:t>20</w:t>
      </w:r>
      <w:r>
        <w:rPr>
          <w:rFonts w:ascii="Times New Roman" w:eastAsia="Times New Roman"/>
          <w:spacing w:val="5"/>
        </w:rPr>
        <w:t> %</w:t>
      </w:r>
      <w:r>
        <w:rPr>
          <w:spacing w:val="-3"/>
        </w:rPr>
        <w:t>给付轻症疾病保险金，同时本项保险责任终止。</w:t>
      </w:r>
    </w:p>
    <w:p>
      <w:pPr>
        <w:spacing w:after="0" w:line="230" w:lineRule="auto"/>
        <w:jc w:val="both"/>
        <w:sectPr>
          <w:type w:val="continuous"/>
          <w:pgSz w:w="11900" w:h="16840"/>
          <w:pgMar w:top="1220" w:bottom="280" w:left="1320" w:right="1000"/>
        </w:sectPr>
      </w:pPr>
    </w:p>
    <w:p>
      <w:pPr>
        <w:pStyle w:val="BodyText"/>
        <w:spacing w:before="6"/>
        <w:ind w:left="2267"/>
      </w:pPr>
      <w:r>
        <w:rPr/>
        <w:t>轻症疾病保险金的给付以一次为限。</w:t>
      </w:r>
    </w:p>
    <w:p>
      <w:pPr>
        <w:pStyle w:val="BodyText"/>
        <w:spacing w:before="2"/>
        <w:rPr>
          <w:sz w:val="18"/>
        </w:rPr>
      </w:pPr>
    </w:p>
    <w:p>
      <w:pPr>
        <w:pStyle w:val="BodyText"/>
        <w:ind w:left="2267"/>
      </w:pPr>
      <w:r>
        <w:rPr>
          <w:rFonts w:ascii="Times New Roman" w:eastAsia="Times New Roman"/>
        </w:rPr>
        <w:t>2</w:t>
      </w:r>
      <w:r>
        <w:rPr/>
        <w:t>、 重大疾病保险金</w:t>
      </w:r>
    </w:p>
    <w:p>
      <w:pPr>
        <w:pStyle w:val="BodyText"/>
        <w:spacing w:before="10"/>
        <w:rPr>
          <w:sz w:val="17"/>
        </w:rPr>
      </w:pPr>
    </w:p>
    <w:p>
      <w:pPr>
        <w:pStyle w:val="BodyText"/>
        <w:spacing w:line="232" w:lineRule="auto"/>
        <w:ind w:left="2267" w:right="101"/>
        <w:jc w:val="both"/>
      </w:pPr>
      <w:r>
        <w:rPr>
          <w:spacing w:val="-3"/>
        </w:rPr>
        <w:t>在等待期后，如果被保险人初次发生并被专科医生确诊患本附加合同附表</w:t>
      </w:r>
      <w:r>
        <w:rPr>
          <w:spacing w:val="-3"/>
          <w:w w:val="100"/>
        </w:rPr>
        <w:t>二所列任何一种重大疾病</w:t>
      </w:r>
      <w:r>
        <w:rPr>
          <w:w w:val="100"/>
        </w:rPr>
        <w:t>（见</w:t>
      </w:r>
      <w:r>
        <w:rPr/>
        <w:t> </w:t>
      </w:r>
      <w:r>
        <w:rPr>
          <w:rFonts w:ascii="Times New Roman" w:eastAsia="Times New Roman"/>
          <w:w w:val="100"/>
        </w:rPr>
        <w:t>8.</w:t>
      </w:r>
      <w:r>
        <w:rPr>
          <w:rFonts w:ascii="Times New Roman" w:eastAsia="Times New Roman"/>
          <w:spacing w:val="-3"/>
          <w:w w:val="100"/>
        </w:rPr>
        <w:t>4</w:t>
      </w:r>
      <w:r>
        <w:rPr>
          <w:spacing w:val="-106"/>
          <w:w w:val="100"/>
        </w:rPr>
        <w:t>）</w:t>
      </w:r>
      <w:r>
        <w:rPr>
          <w:spacing w:val="-3"/>
          <w:w w:val="100"/>
        </w:rPr>
        <w:t>，我们将豁免重大疾病确诊日后本附加</w:t>
      </w:r>
      <w:r>
        <w:rPr>
          <w:spacing w:val="-3"/>
        </w:rPr>
        <w:t>合同在保险期间内的各期保险费，并分情况按以下约定给付重大疾病保险金，同时本项责任终止。</w:t>
      </w:r>
    </w:p>
    <w:p>
      <w:pPr>
        <w:pStyle w:val="BodyText"/>
        <w:spacing w:line="225" w:lineRule="auto" w:before="15"/>
        <w:ind w:left="2270" w:right="22"/>
      </w:pPr>
      <w:r>
        <w:rPr/>
        <w:t>（</w:t>
      </w:r>
      <w:r>
        <w:rPr>
          <w:rFonts w:ascii="Times New Roman" w:eastAsia="Times New Roman"/>
        </w:rPr>
        <w:t>1</w:t>
      </w:r>
      <w:r>
        <w:rPr/>
        <w:t>）如果被保险人在申请重大疾病保险金前已经获得轻症疾病保险金赔付的，我们按本附加合同基本保险金额的 </w:t>
      </w:r>
      <w:r>
        <w:rPr>
          <w:rFonts w:ascii="Times New Roman" w:eastAsia="Times New Roman"/>
        </w:rPr>
        <w:t>80%</w:t>
      </w:r>
      <w:r>
        <w:rPr/>
        <w:t>给付重大疾病保险金；</w:t>
      </w:r>
    </w:p>
    <w:p>
      <w:pPr>
        <w:pStyle w:val="BodyText"/>
        <w:spacing w:line="225" w:lineRule="auto"/>
        <w:ind w:left="2270" w:right="101"/>
      </w:pPr>
      <w:r>
        <w:rPr/>
        <w:t>（</w:t>
      </w:r>
      <w:r>
        <w:rPr>
          <w:rFonts w:ascii="Times New Roman" w:eastAsia="Times New Roman"/>
        </w:rPr>
        <w:t>2</w:t>
      </w:r>
      <w:r>
        <w:rPr/>
        <w:t>）如果被保险人在申请重大疾病保险金前未获得轻症疾病保险金赔付的，我们按本附加合同基本保险金额给付重大疾病保险金。</w:t>
      </w:r>
    </w:p>
    <w:p>
      <w:pPr>
        <w:pStyle w:val="BodyText"/>
        <w:spacing w:before="5"/>
        <w:rPr>
          <w:sz w:val="18"/>
        </w:rPr>
      </w:pPr>
    </w:p>
    <w:p>
      <w:pPr>
        <w:pStyle w:val="BodyText"/>
        <w:spacing w:before="1"/>
        <w:ind w:left="2267" w:right="101"/>
        <w:jc w:val="both"/>
      </w:pPr>
      <w:r>
        <w:rPr>
          <w:spacing w:val="-27"/>
        </w:rPr>
        <w:t>第</w:t>
      </w:r>
      <w:r>
        <w:rPr>
          <w:spacing w:val="-10"/>
        </w:rPr>
        <w:t>（2）</w:t>
      </w:r>
      <w:r>
        <w:rPr>
          <w:spacing w:val="-7"/>
        </w:rPr>
        <w:t>种情形下，如果被保险人在获得重大疾病保险金后再次申请轻症疾病保险金的，即使该轻症疾病的确诊在重大疾病确诊之前，我们也不再给</w:t>
      </w:r>
      <w:r>
        <w:rPr>
          <w:spacing w:val="-5"/>
        </w:rPr>
        <w:t>付轻症疾病保险金。</w:t>
      </w:r>
    </w:p>
    <w:p>
      <w:pPr>
        <w:pStyle w:val="BodyText"/>
        <w:spacing w:before="3"/>
        <w:rPr>
          <w:sz w:val="18"/>
        </w:rPr>
      </w:pPr>
    </w:p>
    <w:p>
      <w:pPr>
        <w:pStyle w:val="BodyText"/>
        <w:ind w:left="2267"/>
      </w:pPr>
      <w:r>
        <w:rPr/>
        <w:t>我们豁免保险费后，您不得再办理本附加合同基本保险金额的变更。</w:t>
      </w:r>
    </w:p>
    <w:p>
      <w:pPr>
        <w:pStyle w:val="BodyText"/>
        <w:spacing w:before="2"/>
        <w:rPr>
          <w:sz w:val="18"/>
        </w:rPr>
      </w:pPr>
    </w:p>
    <w:p>
      <w:pPr>
        <w:pStyle w:val="BodyText"/>
        <w:spacing w:before="1"/>
        <w:ind w:left="2267"/>
      </w:pPr>
      <w:r>
        <w:rPr>
          <w:rFonts w:ascii="Times New Roman" w:eastAsia="Times New Roman"/>
        </w:rPr>
        <w:t>3</w:t>
      </w:r>
      <w:r>
        <w:rPr/>
        <w:t>、 特别关爱保险金</w:t>
      </w:r>
    </w:p>
    <w:p>
      <w:pPr>
        <w:pStyle w:val="BodyText"/>
        <w:spacing w:before="12"/>
        <w:rPr>
          <w:sz w:val="20"/>
        </w:rPr>
      </w:pPr>
    </w:p>
    <w:p>
      <w:pPr>
        <w:pStyle w:val="BodyText"/>
        <w:spacing w:line="225" w:lineRule="auto"/>
        <w:ind w:left="2268" w:right="103" w:hanging="1"/>
      </w:pPr>
      <w:r>
        <w:rPr>
          <w:spacing w:val="-10"/>
        </w:rPr>
        <w:t>在等待期后，如果被保险人在年满 </w:t>
      </w:r>
      <w:r>
        <w:rPr>
          <w:rFonts w:ascii="Times New Roman" w:eastAsia="Times New Roman"/>
        </w:rPr>
        <w:t>21 </w:t>
      </w:r>
      <w:r>
        <w:rPr>
          <w:spacing w:val="-6"/>
        </w:rPr>
        <w:t>周岁后的首个保单周年日结束前，初次发生并被专科医生确诊患本附加合同附表二所列任何一种重大疾病</w:t>
      </w:r>
      <w:r>
        <w:rPr>
          <w:spacing w:val="-3"/>
        </w:rPr>
        <w:t>（</w:t>
      </w:r>
      <w:r>
        <w:rPr/>
        <w:t>见</w:t>
      </w:r>
    </w:p>
    <w:p>
      <w:pPr>
        <w:pStyle w:val="BodyText"/>
        <w:spacing w:line="225" w:lineRule="auto" w:before="13"/>
        <w:ind w:left="2268" w:right="103"/>
      </w:pPr>
      <w:r>
        <w:rPr>
          <w:rFonts w:ascii="Times New Roman" w:eastAsia="Times New Roman"/>
          <w:w w:val="100"/>
        </w:rPr>
        <w:t>8.</w:t>
      </w:r>
      <w:r>
        <w:rPr>
          <w:rFonts w:ascii="Times New Roman" w:eastAsia="Times New Roman"/>
          <w:spacing w:val="1"/>
          <w:w w:val="100"/>
        </w:rPr>
        <w:t>4</w:t>
      </w:r>
      <w:r>
        <w:rPr>
          <w:spacing w:val="-104"/>
          <w:w w:val="100"/>
        </w:rPr>
        <w:t>）</w:t>
      </w:r>
      <w:r>
        <w:rPr>
          <w:w w:val="100"/>
        </w:rPr>
        <w:t>，我们将在给付重大疾病保险金的同时，再按本附加合同基本保险金</w:t>
      </w:r>
      <w:r>
        <w:rPr>
          <w:spacing w:val="-3"/>
        </w:rPr>
        <w:t>额给付特别关爱保险金，同时本项责任终止。</w:t>
      </w:r>
    </w:p>
    <w:p>
      <w:pPr>
        <w:pStyle w:val="BodyText"/>
        <w:spacing w:before="12"/>
        <w:rPr>
          <w:sz w:val="20"/>
        </w:rPr>
      </w:pPr>
    </w:p>
    <w:p>
      <w:pPr>
        <w:pStyle w:val="BodyText"/>
        <w:spacing w:line="237" w:lineRule="auto" w:before="1"/>
        <w:ind w:left="2268" w:right="103"/>
      </w:pPr>
      <w:r>
        <w:rPr/>
        <w:t>当给付重大疾病保险金或特别关爱保险金时，轻症疾病保险金、重大疾病保险金和特别关爱保险金的保险责任同时终止。</w:t>
      </w:r>
    </w:p>
    <w:p>
      <w:pPr>
        <w:pStyle w:val="BodyText"/>
        <w:spacing w:before="10"/>
        <w:rPr>
          <w:sz w:val="20"/>
        </w:rPr>
      </w:pPr>
    </w:p>
    <w:p>
      <w:pPr>
        <w:pStyle w:val="BodyText"/>
        <w:spacing w:before="1"/>
        <w:ind w:left="2268"/>
      </w:pPr>
      <w:r>
        <w:rPr>
          <w:rFonts w:ascii="Times New Roman" w:eastAsia="Times New Roman"/>
        </w:rPr>
        <w:t>4</w:t>
      </w:r>
      <w:r>
        <w:rPr/>
        <w:t>、 重大疾病住院津贴保险金</w:t>
      </w:r>
    </w:p>
    <w:p>
      <w:pPr>
        <w:pStyle w:val="BodyText"/>
        <w:spacing w:before="11"/>
        <w:rPr>
          <w:sz w:val="17"/>
        </w:rPr>
      </w:pPr>
    </w:p>
    <w:p>
      <w:pPr>
        <w:pStyle w:val="BodyText"/>
        <w:spacing w:line="230" w:lineRule="auto"/>
        <w:ind w:left="2268" w:right="101"/>
        <w:jc w:val="both"/>
      </w:pPr>
      <w:r>
        <w:rPr>
          <w:spacing w:val="-3"/>
        </w:rPr>
        <w:t>在等待期后，如果被保险人初次发生并被专科医生确诊患本附加合同附表</w:t>
      </w:r>
      <w:r>
        <w:rPr>
          <w:spacing w:val="-3"/>
          <w:w w:val="100"/>
        </w:rPr>
        <w:t>二所列任何一种或一种以上的重大疾病（</w:t>
      </w:r>
      <w:r>
        <w:rPr>
          <w:w w:val="100"/>
        </w:rPr>
        <w:t>见</w:t>
      </w:r>
      <w:r>
        <w:rPr/>
        <w:t> </w:t>
      </w:r>
      <w:r>
        <w:rPr>
          <w:rFonts w:ascii="Times New Roman" w:eastAsia="Times New Roman"/>
          <w:w w:val="100"/>
        </w:rPr>
        <w:t>8.</w:t>
      </w:r>
      <w:r>
        <w:rPr>
          <w:rFonts w:ascii="Times New Roman" w:eastAsia="Times New Roman"/>
          <w:spacing w:val="-3"/>
          <w:w w:val="100"/>
        </w:rPr>
        <w:t>4</w:t>
      </w:r>
      <w:r>
        <w:rPr>
          <w:spacing w:val="-106"/>
          <w:w w:val="100"/>
        </w:rPr>
        <w:t>）</w:t>
      </w:r>
      <w:r>
        <w:rPr>
          <w:spacing w:val="-3"/>
          <w:w w:val="100"/>
        </w:rPr>
        <w:t>，以此为直接且单独的原</w:t>
      </w:r>
      <w:r>
        <w:rPr>
          <w:spacing w:val="-3"/>
        </w:rPr>
        <w:t>因在医院（</w:t>
      </w:r>
      <w:r>
        <w:rPr>
          <w:spacing w:val="-15"/>
        </w:rPr>
        <w:t>见 </w:t>
      </w:r>
      <w:r>
        <w:rPr>
          <w:rFonts w:ascii="Times New Roman" w:eastAsia="Times New Roman"/>
        </w:rPr>
        <w:t>8.7</w:t>
      </w:r>
      <w:r>
        <w:rPr/>
        <w:t>）</w:t>
      </w:r>
      <w:r>
        <w:rPr>
          <w:spacing w:val="-2"/>
        </w:rPr>
        <w:t>住院</w:t>
      </w:r>
      <w:r>
        <w:rPr>
          <w:spacing w:val="-3"/>
        </w:rPr>
        <w:t>（</w:t>
      </w:r>
      <w:r>
        <w:rPr>
          <w:spacing w:val="-15"/>
        </w:rPr>
        <w:t>见 </w:t>
      </w:r>
      <w:r>
        <w:rPr>
          <w:rFonts w:ascii="Times New Roman" w:eastAsia="Times New Roman"/>
        </w:rPr>
        <w:t>8.8</w:t>
      </w:r>
      <w:r>
        <w:rPr/>
        <w:t>）</w:t>
      </w:r>
      <w:r>
        <w:rPr>
          <w:spacing w:val="-3"/>
        </w:rPr>
        <w:t>治疗，我们将按以下方法计算并给付重大疾病住院津贴保险金：</w:t>
      </w:r>
    </w:p>
    <w:p>
      <w:pPr>
        <w:pStyle w:val="BodyText"/>
        <w:spacing w:before="12"/>
        <w:rPr>
          <w:sz w:val="20"/>
        </w:rPr>
      </w:pPr>
    </w:p>
    <w:p>
      <w:pPr>
        <w:pStyle w:val="BodyText"/>
        <w:spacing w:line="282" w:lineRule="exact"/>
        <w:ind w:left="2267"/>
      </w:pPr>
      <w:r>
        <w:rPr/>
        <w:t>重大疾病住院津贴保险金＝本附加合同基本保险金额</w:t>
      </w:r>
      <w:r>
        <w:rPr>
          <w:rFonts w:ascii="Times New Roman" w:hAnsi="Times New Roman" w:eastAsia="Times New Roman"/>
        </w:rPr>
        <w:t>/1000</w:t>
      </w:r>
      <w:r>
        <w:rPr/>
        <w:t>×住院天数（见</w:t>
      </w:r>
    </w:p>
    <w:p>
      <w:pPr>
        <w:pStyle w:val="BodyText"/>
        <w:spacing w:line="282" w:lineRule="exact"/>
        <w:ind w:left="2267"/>
      </w:pPr>
      <w:r>
        <w:rPr>
          <w:rFonts w:ascii="Times New Roman" w:eastAsia="Times New Roman"/>
        </w:rPr>
        <w:t>8.9</w:t>
      </w:r>
      <w:r>
        <w:rPr/>
        <w:t>）</w:t>
      </w:r>
    </w:p>
    <w:p>
      <w:pPr>
        <w:pStyle w:val="BodyText"/>
        <w:rPr>
          <w:sz w:val="17"/>
        </w:rPr>
      </w:pPr>
    </w:p>
    <w:p>
      <w:pPr>
        <w:pStyle w:val="BodyText"/>
        <w:spacing w:before="1"/>
        <w:ind w:left="2267" w:right="101"/>
        <w:jc w:val="both"/>
      </w:pPr>
      <w:r>
        <w:rPr>
          <w:spacing w:val="-11"/>
        </w:rPr>
        <w:t>在同一保单年度内，重大疾病住院津贴保险金累计给付最高住院天数以</w:t>
      </w:r>
      <w:r>
        <w:rPr/>
        <w:t>180 </w:t>
      </w:r>
      <w:r>
        <w:rPr>
          <w:spacing w:val="-3"/>
        </w:rPr>
        <w:t>天为限。在保险期间内，重大疾病住院津贴保险金累计给付最高住院天数</w:t>
      </w:r>
      <w:r>
        <w:rPr>
          <w:spacing w:val="-1"/>
        </w:rPr>
        <w:t>以540</w:t>
      </w:r>
      <w:r>
        <w:rPr>
          <w:spacing w:val="-3"/>
        </w:rPr>
        <w:t>天为限，当累计给付住院天数达到</w:t>
      </w:r>
      <w:r>
        <w:rPr/>
        <w:t>540</w:t>
      </w:r>
      <w:r>
        <w:rPr>
          <w:spacing w:val="-3"/>
        </w:rPr>
        <w:t>天时，本附加合同终止。</w:t>
      </w:r>
    </w:p>
    <w:p>
      <w:pPr>
        <w:pStyle w:val="BodyText"/>
        <w:spacing w:before="8"/>
        <w:rPr>
          <w:sz w:val="18"/>
        </w:rPr>
      </w:pPr>
    </w:p>
    <w:p>
      <w:pPr>
        <w:pStyle w:val="ListParagraph"/>
        <w:numPr>
          <w:ilvl w:val="1"/>
          <w:numId w:val="4"/>
        </w:numPr>
        <w:tabs>
          <w:tab w:pos="591" w:val="left" w:leader="none"/>
        </w:tabs>
        <w:spacing w:line="237" w:lineRule="auto" w:before="0" w:after="0"/>
        <w:ind w:left="2267" w:right="103" w:hanging="2157"/>
        <w:jc w:val="both"/>
        <w:rPr>
          <w:sz w:val="21"/>
        </w:rPr>
      </w:pPr>
      <w:r>
        <w:rPr>
          <w:spacing w:val="-3"/>
          <w:sz w:val="21"/>
        </w:rPr>
        <w:t>责任免除       如果由于以下任何一种情形，导致被保险人患本附加合同附表一所列任何一种轻症疾病或附表二所列任何一种重大疾病，我们不承担保险责任，本附加合同终止：</w:t>
      </w:r>
    </w:p>
    <w:p>
      <w:pPr>
        <w:pStyle w:val="BodyText"/>
        <w:spacing w:before="4"/>
        <w:rPr>
          <w:sz w:val="18"/>
        </w:rPr>
      </w:pPr>
    </w:p>
    <w:p>
      <w:pPr>
        <w:pStyle w:val="ListParagraph"/>
        <w:numPr>
          <w:ilvl w:val="2"/>
          <w:numId w:val="4"/>
        </w:numPr>
        <w:tabs>
          <w:tab w:pos="2688" w:val="left" w:leader="none"/>
        </w:tabs>
        <w:spacing w:line="273" w:lineRule="exact" w:before="1" w:after="0"/>
        <w:ind w:left="3047" w:right="0" w:hanging="780"/>
        <w:jc w:val="both"/>
        <w:rPr>
          <w:sz w:val="21"/>
        </w:rPr>
      </w:pPr>
      <w:r>
        <w:rPr>
          <w:spacing w:val="-3"/>
          <w:sz w:val="21"/>
        </w:rPr>
        <w:t>投保人对被保险人的故意杀害、故意伤害；</w:t>
      </w:r>
    </w:p>
    <w:p>
      <w:pPr>
        <w:pStyle w:val="ListParagraph"/>
        <w:numPr>
          <w:ilvl w:val="2"/>
          <w:numId w:val="4"/>
        </w:numPr>
        <w:tabs>
          <w:tab w:pos="2688" w:val="left" w:leader="none"/>
        </w:tabs>
        <w:spacing w:line="272" w:lineRule="exact" w:before="0" w:after="0"/>
        <w:ind w:left="3047" w:right="0" w:hanging="780"/>
        <w:jc w:val="both"/>
        <w:rPr>
          <w:sz w:val="21"/>
        </w:rPr>
      </w:pPr>
      <w:r>
        <w:rPr>
          <w:spacing w:val="-3"/>
          <w:sz w:val="21"/>
        </w:rPr>
        <w:t>被保险人故意犯罪或抗拒依法采取的刑事强制措施；</w:t>
      </w:r>
    </w:p>
    <w:p>
      <w:pPr>
        <w:pStyle w:val="ListParagraph"/>
        <w:numPr>
          <w:ilvl w:val="2"/>
          <w:numId w:val="4"/>
        </w:numPr>
        <w:tabs>
          <w:tab w:pos="2688" w:val="left" w:leader="none"/>
        </w:tabs>
        <w:spacing w:line="274" w:lineRule="exact" w:before="0" w:after="0"/>
        <w:ind w:left="3047" w:right="0" w:hanging="780"/>
        <w:jc w:val="both"/>
        <w:rPr>
          <w:sz w:val="21"/>
        </w:rPr>
      </w:pPr>
      <w:r>
        <w:rPr>
          <w:spacing w:val="-2"/>
          <w:sz w:val="21"/>
        </w:rPr>
        <w:t>被保险人自伤；</w:t>
      </w:r>
    </w:p>
    <w:p>
      <w:pPr>
        <w:pStyle w:val="ListParagraph"/>
        <w:numPr>
          <w:ilvl w:val="2"/>
          <w:numId w:val="4"/>
        </w:numPr>
        <w:tabs>
          <w:tab w:pos="2688" w:val="left" w:leader="none"/>
        </w:tabs>
        <w:spacing w:line="282" w:lineRule="exact" w:before="0" w:after="0"/>
        <w:ind w:left="3047" w:right="0" w:hanging="780"/>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8</w:t>
      </w:r>
      <w:r>
        <w:rPr>
          <w:rFonts w:ascii="Times New Roman" w:eastAsia="Times New Roman"/>
          <w:spacing w:val="-3"/>
          <w:w w:val="100"/>
          <w:sz w:val="21"/>
        </w:rPr>
        <w:t>.</w:t>
      </w:r>
      <w:r>
        <w:rPr>
          <w:rFonts w:ascii="Times New Roman" w:eastAsia="Times New Roman"/>
          <w:w w:val="100"/>
          <w:sz w:val="21"/>
        </w:rPr>
        <w:t>10</w:t>
      </w:r>
      <w:r>
        <w:rPr>
          <w:spacing w:val="-108"/>
          <w:w w:val="100"/>
          <w:sz w:val="21"/>
        </w:rPr>
        <w:t>）</w:t>
      </w:r>
      <w:r>
        <w:rPr>
          <w:w w:val="100"/>
          <w:sz w:val="21"/>
        </w:rPr>
        <w:t>；</w:t>
      </w:r>
    </w:p>
    <w:p>
      <w:pPr>
        <w:pStyle w:val="ListParagraph"/>
        <w:numPr>
          <w:ilvl w:val="2"/>
          <w:numId w:val="4"/>
        </w:numPr>
        <w:tabs>
          <w:tab w:pos="2688" w:val="left" w:leader="none"/>
        </w:tabs>
        <w:spacing w:line="282" w:lineRule="exact" w:before="0" w:after="0"/>
        <w:ind w:left="3047" w:right="0" w:hanging="780"/>
        <w:jc w:val="both"/>
        <w:rPr>
          <w:sz w:val="21"/>
        </w:rPr>
      </w:pPr>
      <w:r>
        <w:rPr>
          <w:spacing w:val="-3"/>
          <w:w w:val="100"/>
          <w:sz w:val="21"/>
        </w:rPr>
        <w:t>被保险人酒后驾驶（</w:t>
      </w:r>
      <w:r>
        <w:rPr>
          <w:w w:val="100"/>
          <w:sz w:val="21"/>
        </w:rPr>
        <w:t>见</w:t>
      </w:r>
      <w:r>
        <w:rPr>
          <w:spacing w:val="-36"/>
          <w:sz w:val="21"/>
        </w:rPr>
        <w:t> </w:t>
      </w:r>
      <w:r>
        <w:rPr>
          <w:rFonts w:ascii="Times New Roman" w:eastAsia="Times New Roman"/>
          <w:spacing w:val="-3"/>
          <w:w w:val="100"/>
          <w:sz w:val="21"/>
        </w:rPr>
        <w:t>8</w:t>
      </w:r>
      <w:r>
        <w:rPr>
          <w:rFonts w:ascii="Times New Roman" w:eastAsia="Times New Roman"/>
          <w:w w:val="100"/>
          <w:sz w:val="21"/>
        </w:rPr>
        <w:t>.</w:t>
      </w:r>
      <w:r>
        <w:rPr>
          <w:rFonts w:ascii="Times New Roman" w:eastAsia="Times New Roman"/>
          <w:spacing w:val="-10"/>
          <w:w w:val="100"/>
          <w:sz w:val="21"/>
        </w:rPr>
        <w:t>1</w:t>
      </w:r>
      <w:r>
        <w:rPr>
          <w:rFonts w:ascii="Times New Roman" w:eastAsia="Times New Roman"/>
          <w:w w:val="100"/>
          <w:sz w:val="21"/>
        </w:rPr>
        <w:t>1</w:t>
      </w:r>
      <w:r>
        <w:rPr>
          <w:spacing w:val="-106"/>
          <w:w w:val="100"/>
          <w:sz w:val="21"/>
        </w:rPr>
        <w:t>）</w:t>
      </w:r>
      <w:r>
        <w:rPr>
          <w:spacing w:val="-3"/>
          <w:w w:val="100"/>
          <w:sz w:val="21"/>
        </w:rPr>
        <w:t>，无合法有效驾驶证驾驶（</w:t>
      </w:r>
      <w:r>
        <w:rPr>
          <w:w w:val="100"/>
          <w:sz w:val="21"/>
        </w:rPr>
        <w:t>见</w:t>
      </w:r>
      <w:r>
        <w:rPr>
          <w:spacing w:val="-36"/>
          <w:sz w:val="21"/>
        </w:rPr>
        <w:t> </w:t>
      </w:r>
      <w:r>
        <w:rPr>
          <w:rFonts w:ascii="Times New Roman" w:eastAsia="Times New Roman"/>
          <w:w w:val="100"/>
          <w:sz w:val="21"/>
        </w:rPr>
        <w:t>8.</w:t>
      </w:r>
      <w:r>
        <w:rPr>
          <w:rFonts w:ascii="Times New Roman" w:eastAsia="Times New Roman"/>
          <w:spacing w:val="-3"/>
          <w:w w:val="100"/>
          <w:sz w:val="21"/>
        </w:rPr>
        <w:t>1</w:t>
      </w:r>
      <w:r>
        <w:rPr>
          <w:rFonts w:ascii="Times New Roman" w:eastAsia="Times New Roman"/>
          <w:w w:val="100"/>
          <w:sz w:val="21"/>
        </w:rPr>
        <w:t>2</w:t>
      </w:r>
      <w:r>
        <w:rPr>
          <w:spacing w:val="-106"/>
          <w:w w:val="100"/>
          <w:sz w:val="21"/>
        </w:rPr>
        <w:t>）</w:t>
      </w:r>
      <w:r>
        <w:rPr>
          <w:spacing w:val="-2"/>
          <w:w w:val="100"/>
          <w:sz w:val="21"/>
        </w:rPr>
        <w:t>，或</w:t>
      </w:r>
    </w:p>
    <w:p>
      <w:pPr>
        <w:spacing w:after="0" w:line="282" w:lineRule="exact"/>
        <w:jc w:val="both"/>
        <w:rPr>
          <w:sz w:val="21"/>
        </w:rPr>
        <w:sectPr>
          <w:pgSz w:w="11900" w:h="16840"/>
          <w:pgMar w:top="1500" w:bottom="280" w:left="1680" w:right="1100"/>
        </w:sectPr>
      </w:pPr>
    </w:p>
    <w:p>
      <w:pPr>
        <w:pStyle w:val="BodyText"/>
        <w:spacing w:line="281" w:lineRule="exact" w:before="26"/>
        <w:ind w:left="3047"/>
      </w:pPr>
      <w:r>
        <w:rPr/>
        <w:t>驾驶无有效行驶证（见 </w:t>
      </w:r>
      <w:r>
        <w:rPr>
          <w:rFonts w:ascii="Times New Roman" w:eastAsia="Times New Roman"/>
        </w:rPr>
        <w:t>8.13</w:t>
      </w:r>
      <w:r>
        <w:rPr/>
        <w:t>）的机动车；</w:t>
      </w:r>
    </w:p>
    <w:p>
      <w:pPr>
        <w:pStyle w:val="ListParagraph"/>
        <w:numPr>
          <w:ilvl w:val="2"/>
          <w:numId w:val="4"/>
        </w:numPr>
        <w:tabs>
          <w:tab w:pos="3047" w:val="left" w:leader="none"/>
          <w:tab w:pos="3048" w:val="left" w:leader="none"/>
        </w:tabs>
        <w:spacing w:line="264" w:lineRule="exact" w:before="0" w:after="0"/>
        <w:ind w:left="3047" w:right="0" w:hanging="420"/>
        <w:jc w:val="left"/>
        <w:rPr>
          <w:sz w:val="21"/>
        </w:rPr>
      </w:pPr>
      <w:r>
        <w:rPr>
          <w:spacing w:val="-3"/>
          <w:sz w:val="21"/>
        </w:rPr>
        <w:t>战争、军事冲突、暴乱或武装叛乱；</w:t>
      </w:r>
    </w:p>
    <w:p>
      <w:pPr>
        <w:pStyle w:val="ListParagraph"/>
        <w:numPr>
          <w:ilvl w:val="2"/>
          <w:numId w:val="4"/>
        </w:numPr>
        <w:tabs>
          <w:tab w:pos="3047" w:val="left" w:leader="none"/>
          <w:tab w:pos="3048" w:val="left" w:leader="none"/>
        </w:tabs>
        <w:spacing w:line="274" w:lineRule="exact" w:before="0" w:after="0"/>
        <w:ind w:left="3047" w:right="0" w:hanging="420"/>
        <w:jc w:val="left"/>
        <w:rPr>
          <w:sz w:val="21"/>
        </w:rPr>
      </w:pPr>
      <w:r>
        <w:rPr>
          <w:spacing w:val="-3"/>
          <w:sz w:val="21"/>
        </w:rPr>
        <w:t>核爆炸、核辐射或核污染；</w:t>
      </w:r>
    </w:p>
    <w:p>
      <w:pPr>
        <w:pStyle w:val="ListParagraph"/>
        <w:numPr>
          <w:ilvl w:val="2"/>
          <w:numId w:val="4"/>
        </w:numPr>
        <w:tabs>
          <w:tab w:pos="3047" w:val="left" w:leader="none"/>
          <w:tab w:pos="3048" w:val="left" w:leader="none"/>
        </w:tabs>
        <w:spacing w:line="225" w:lineRule="auto" w:before="16" w:after="0"/>
        <w:ind w:left="3047" w:right="101" w:hanging="420"/>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spacing w:val="-3"/>
          <w:w w:val="100"/>
          <w:sz w:val="21"/>
        </w:rPr>
        <w:t>（</w:t>
      </w:r>
      <w:r>
        <w:rPr>
          <w:w w:val="100"/>
          <w:sz w:val="21"/>
        </w:rPr>
        <w:t>见</w:t>
      </w:r>
      <w:r>
        <w:rPr>
          <w:spacing w:val="-50"/>
          <w:sz w:val="21"/>
        </w:rPr>
        <w:t> </w:t>
      </w:r>
      <w:r>
        <w:rPr>
          <w:rFonts w:ascii="Times New Roman" w:eastAsia="Times New Roman"/>
          <w:w w:val="100"/>
          <w:sz w:val="21"/>
        </w:rPr>
        <w:t>8</w:t>
      </w:r>
      <w:r>
        <w:rPr>
          <w:rFonts w:ascii="Times New Roman" w:eastAsia="Times New Roman"/>
          <w:spacing w:val="-3"/>
          <w:w w:val="100"/>
          <w:sz w:val="21"/>
        </w:rPr>
        <w:t>.</w:t>
      </w:r>
      <w:r>
        <w:rPr>
          <w:rFonts w:ascii="Times New Roman" w:eastAsia="Times New Roman"/>
          <w:w w:val="100"/>
          <w:sz w:val="21"/>
        </w:rPr>
        <w:t>14</w:t>
      </w:r>
      <w:r>
        <w:rPr>
          <w:spacing w:val="-108"/>
          <w:w w:val="100"/>
          <w:sz w:val="21"/>
        </w:rPr>
        <w:t>）</w:t>
      </w:r>
      <w:r>
        <w:rPr>
          <w:w w:val="100"/>
          <w:sz w:val="21"/>
        </w:rPr>
        <w:t>（因</w:t>
      </w:r>
      <w:r>
        <w:rPr>
          <w:spacing w:val="-3"/>
          <w:w w:val="100"/>
          <w:sz w:val="21"/>
        </w:rPr>
        <w:t>本附加合同附表二所列第</w:t>
      </w:r>
      <w:r>
        <w:rPr>
          <w:spacing w:val="-55"/>
          <w:sz w:val="21"/>
        </w:rPr>
        <w:t> </w:t>
      </w:r>
      <w:r>
        <w:rPr>
          <w:rFonts w:ascii="Times New Roman" w:eastAsia="Times New Roman"/>
          <w:w w:val="100"/>
          <w:sz w:val="21"/>
        </w:rPr>
        <w:t>32</w:t>
      </w:r>
      <w:r>
        <w:rPr>
          <w:rFonts w:ascii="Times New Roman" w:eastAsia="Times New Roman"/>
          <w:sz w:val="21"/>
        </w:rPr>
        <w:t> </w:t>
      </w:r>
      <w:r>
        <w:rPr>
          <w:spacing w:val="-2"/>
          <w:w w:val="100"/>
          <w:sz w:val="21"/>
        </w:rPr>
        <w:t>项和第</w:t>
      </w:r>
      <w:r>
        <w:rPr>
          <w:spacing w:val="-53"/>
          <w:sz w:val="21"/>
        </w:rPr>
        <w:t> </w:t>
      </w:r>
      <w:r>
        <w:rPr>
          <w:rFonts w:ascii="Times New Roman" w:eastAsia="Times New Roman"/>
          <w:spacing w:val="-3"/>
          <w:w w:val="100"/>
          <w:sz w:val="21"/>
        </w:rPr>
        <w:t>3</w:t>
      </w:r>
      <w:r>
        <w:rPr>
          <w:rFonts w:ascii="Times New Roman" w:eastAsia="Times New Roman"/>
          <w:w w:val="100"/>
          <w:sz w:val="21"/>
        </w:rPr>
        <w:t>3</w:t>
      </w:r>
      <w:r>
        <w:rPr>
          <w:rFonts w:ascii="Times New Roman" w:eastAsia="Times New Roman"/>
          <w:sz w:val="21"/>
        </w:rPr>
        <w:t> </w:t>
      </w:r>
      <w:r>
        <w:rPr>
          <w:spacing w:val="-3"/>
          <w:w w:val="100"/>
          <w:sz w:val="21"/>
        </w:rPr>
        <w:t>项所导致的除外</w:t>
      </w:r>
      <w:r>
        <w:rPr>
          <w:spacing w:val="-108"/>
          <w:w w:val="100"/>
          <w:sz w:val="21"/>
        </w:rPr>
        <w:t>）</w:t>
      </w:r>
      <w:r>
        <w:rPr>
          <w:w w:val="100"/>
          <w:sz w:val="21"/>
        </w:rPr>
        <w:t>；</w:t>
      </w:r>
    </w:p>
    <w:p>
      <w:pPr>
        <w:pStyle w:val="ListParagraph"/>
        <w:numPr>
          <w:ilvl w:val="2"/>
          <w:numId w:val="4"/>
        </w:numPr>
        <w:tabs>
          <w:tab w:pos="3047" w:val="left" w:leader="none"/>
          <w:tab w:pos="3048" w:val="left" w:leader="none"/>
        </w:tabs>
        <w:spacing w:line="271" w:lineRule="exact" w:before="0" w:after="0"/>
        <w:ind w:left="3047" w:right="0" w:hanging="420"/>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8.1</w:t>
      </w:r>
      <w:r>
        <w:rPr>
          <w:rFonts w:ascii="Times New Roman" w:eastAsia="Times New Roman"/>
          <w:spacing w:val="-3"/>
          <w:w w:val="100"/>
          <w:sz w:val="21"/>
        </w:rPr>
        <w:t>5</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8</w:t>
      </w:r>
      <w:r>
        <w:rPr>
          <w:rFonts w:ascii="Times New Roman" w:eastAsia="Times New Roman"/>
          <w:spacing w:val="-3"/>
          <w:w w:val="100"/>
          <w:sz w:val="21"/>
        </w:rPr>
        <w:t>.</w:t>
      </w:r>
      <w:r>
        <w:rPr>
          <w:rFonts w:ascii="Times New Roman" w:eastAsia="Times New Roman"/>
          <w:w w:val="100"/>
          <w:sz w:val="21"/>
        </w:rPr>
        <w:t>16</w:t>
      </w:r>
      <w:r>
        <w:rPr>
          <w:spacing w:val="-108"/>
          <w:w w:val="100"/>
          <w:sz w:val="21"/>
        </w:rPr>
        <w:t>）</w:t>
      </w:r>
      <w:r>
        <w:rPr>
          <w:w w:val="100"/>
          <w:sz w:val="21"/>
        </w:rPr>
        <w:t>。</w:t>
      </w:r>
    </w:p>
    <w:p>
      <w:pPr>
        <w:pStyle w:val="BodyText"/>
        <w:spacing w:before="1"/>
        <w:rPr>
          <w:sz w:val="18"/>
        </w:rPr>
      </w:pPr>
    </w:p>
    <w:p>
      <w:pPr>
        <w:pStyle w:val="BodyText"/>
        <w:spacing w:line="230" w:lineRule="auto"/>
        <w:ind w:left="2627" w:right="101"/>
        <w:jc w:val="both"/>
      </w:pPr>
      <w:r>
        <w:rPr>
          <w:spacing w:val="-6"/>
        </w:rPr>
        <w:t>发生上述第 </w:t>
      </w:r>
      <w:r>
        <w:rPr>
          <w:rFonts w:ascii="Times New Roman" w:eastAsia="Times New Roman"/>
        </w:rPr>
        <w:t>1 </w:t>
      </w:r>
      <w:r>
        <w:rPr>
          <w:spacing w:val="-3"/>
        </w:rPr>
        <w:t>种情形导致本附加合同终止的，如果您已缴足二年保险费， 我们将退还本附加合同终止时的现金价值给被保险人；如果被保险人身故的，该现金价值将作为被保险人的遗产处理。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628" w:right="49"/>
      </w:pPr>
      <w:r>
        <w:rPr/>
        <w:t>发生上述第 </w:t>
      </w:r>
      <w:r>
        <w:rPr>
          <w:rFonts w:ascii="Times New Roman" w:eastAsia="Times New Roman"/>
        </w:rPr>
        <w:t>2 </w:t>
      </w:r>
      <w:r>
        <w:rPr/>
        <w:t>种情形导致本附加合同终止的，如果您已缴足二年保险费， 我们将退还本附加合同终止时的现金价值给您。</w:t>
      </w:r>
    </w:p>
    <w:p>
      <w:pPr>
        <w:pStyle w:val="BodyText"/>
        <w:spacing w:before="12"/>
        <w:rPr>
          <w:sz w:val="19"/>
        </w:rPr>
      </w:pPr>
    </w:p>
    <w:p>
      <w:pPr>
        <w:pStyle w:val="BodyText"/>
        <w:spacing w:line="223" w:lineRule="auto"/>
        <w:ind w:left="2627" w:right="23"/>
      </w:pPr>
      <w:r>
        <w:rPr/>
        <w:t>发生上述第 </w:t>
      </w:r>
      <w:r>
        <w:rPr>
          <w:rFonts w:ascii="Times New Roman" w:eastAsia="Times New Roman"/>
        </w:rPr>
        <w:t>3 </w:t>
      </w:r>
      <w:r>
        <w:rPr/>
        <w:t>种至第 </w:t>
      </w:r>
      <w:r>
        <w:rPr>
          <w:rFonts w:ascii="Times New Roman" w:eastAsia="Times New Roman"/>
        </w:rPr>
        <w:t>9 </w:t>
      </w:r>
      <w:r>
        <w:rPr/>
        <w:t>种情形导致本附加合同终止的，我们将退还本附加合同终止时的现金价值给您。</w:t>
      </w:r>
    </w:p>
    <w:p>
      <w:pPr>
        <w:pStyle w:val="BodyText"/>
        <w:rPr>
          <w:sz w:val="20"/>
        </w:rPr>
      </w:pPr>
    </w:p>
    <w:p>
      <w:pPr>
        <w:pStyle w:val="BodyText"/>
        <w:spacing w:before="11"/>
        <w:rPr>
          <w:sz w:val="16"/>
        </w:rPr>
      </w:pPr>
    </w:p>
    <w:p>
      <w:pPr>
        <w:pStyle w:val="BodyText"/>
        <w:tabs>
          <w:tab w:pos="950" w:val="left" w:leader="none"/>
          <w:tab w:pos="2627" w:val="left" w:leader="none"/>
        </w:tabs>
        <w:spacing w:line="422" w:lineRule="auto"/>
        <w:ind w:left="2627" w:right="545" w:hanging="252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line="237" w:lineRule="auto" w:before="83"/>
        <w:ind w:left="2627" w:right="103"/>
      </w:pPr>
      <w:r>
        <w:rPr/>
        <w:t>保险费按照我们核定的保险费率计算，根据您与我们约定的基本保险金额确定。</w:t>
      </w:r>
    </w:p>
    <w:p>
      <w:pPr>
        <w:pStyle w:val="BodyText"/>
        <w:spacing w:before="5"/>
        <w:rPr>
          <w:sz w:val="18"/>
        </w:rPr>
      </w:pPr>
    </w:p>
    <w:p>
      <w:pPr>
        <w:pStyle w:val="BodyText"/>
        <w:ind w:left="2627"/>
      </w:pPr>
      <w:r>
        <w:rPr/>
        <w:t>您应于保险费到期日或之前向我们缴纳保险费。</w:t>
      </w:r>
    </w:p>
    <w:p>
      <w:pPr>
        <w:pStyle w:val="BodyText"/>
        <w:rPr>
          <w:sz w:val="20"/>
        </w:rPr>
      </w:pPr>
    </w:p>
    <w:p>
      <w:pPr>
        <w:spacing w:after="0"/>
        <w:rPr>
          <w:sz w:val="20"/>
        </w:rPr>
        <w:sectPr>
          <w:pgSz w:w="11900" w:h="16840"/>
          <w:pgMar w:top="1240" w:bottom="280" w:left="1320" w:right="1100"/>
        </w:sectPr>
      </w:pPr>
    </w:p>
    <w:p>
      <w:pPr>
        <w:pStyle w:val="BodyText"/>
        <w:spacing w:before="12"/>
        <w:rPr>
          <w:sz w:val="16"/>
        </w:rPr>
      </w:pPr>
    </w:p>
    <w:p>
      <w:pPr>
        <w:pStyle w:val="BodyText"/>
        <w:tabs>
          <w:tab w:pos="950" w:val="left" w:leader="none"/>
        </w:tabs>
        <w:spacing w:line="281" w:lineRule="exact"/>
        <w:ind w:left="103"/>
      </w:pPr>
      <w:r>
        <w:rPr/>
        <w:t>第</w:t>
      </w:r>
      <w:r>
        <w:rPr>
          <w:spacing w:val="-55"/>
        </w:rPr>
        <w:t> </w:t>
      </w:r>
      <w:r>
        <w:rPr>
          <w:rFonts w:ascii="Times New Roman" w:eastAsia="Times New Roman"/>
          <w:b/>
        </w:rPr>
        <w:t>4 </w:t>
      </w:r>
      <w:r>
        <w:rPr/>
        <w:t>章</w:t>
        <w:tab/>
        <w:t>附加</w:t>
      </w:r>
      <w:r>
        <w:rPr>
          <w:spacing w:val="-3"/>
        </w:rPr>
        <w:t>合</w:t>
      </w:r>
      <w:r>
        <w:rPr/>
        <w:t>同效力</w:t>
      </w:r>
    </w:p>
    <w:p>
      <w:pPr>
        <w:pStyle w:val="BodyText"/>
        <w:spacing w:line="264" w:lineRule="exact"/>
        <w:ind w:left="950"/>
      </w:pPr>
      <w:r>
        <w:rPr/>
        <w:t>的中止和恢复</w:t>
      </w:r>
    </w:p>
    <w:p>
      <w:pPr>
        <w:pStyle w:val="BodyText"/>
        <w:spacing w:line="274" w:lineRule="exact"/>
        <w:ind w:left="950"/>
      </w:pPr>
      <w:r>
        <w:rPr>
          <w:w w:val="100"/>
        </w:rPr>
        <w:t>（</w:t>
      </w:r>
      <w:r>
        <w:rPr>
          <w:spacing w:val="-21"/>
          <w:w w:val="100"/>
        </w:rPr>
        <w:t>下称“复效”</w:t>
      </w:r>
      <w:r>
        <w:rPr>
          <w:w w:val="100"/>
        </w:rPr>
        <w:t>）</w:t>
      </w:r>
    </w:p>
    <w:p>
      <w:pPr>
        <w:pStyle w:val="BodyText"/>
        <w:spacing w:before="10"/>
        <w:rPr>
          <w:sz w:val="16"/>
        </w:rPr>
      </w:pPr>
      <w:r>
        <w:rPr/>
        <w:br w:type="column"/>
      </w:r>
      <w:r>
        <w:rPr>
          <w:sz w:val="16"/>
        </w:rPr>
      </w:r>
    </w:p>
    <w:p>
      <w:pPr>
        <w:pStyle w:val="BodyText"/>
        <w:ind w:left="65"/>
      </w:pPr>
      <w:r>
        <w:rPr/>
        <w:t>主合同效力中止时，本附加合同同时中止。</w:t>
      </w:r>
    </w:p>
    <w:p>
      <w:pPr>
        <w:pStyle w:val="BodyText"/>
        <w:spacing w:before="3"/>
        <w:rPr>
          <w:sz w:val="18"/>
        </w:rPr>
      </w:pPr>
    </w:p>
    <w:p>
      <w:pPr>
        <w:pStyle w:val="BodyText"/>
        <w:ind w:left="65"/>
      </w:pPr>
      <w:r>
        <w:rPr/>
        <w:t>在本附加合同效力中止期间，我们不承担保险责任。</w:t>
      </w:r>
    </w:p>
    <w:p>
      <w:pPr>
        <w:pStyle w:val="BodyText"/>
        <w:spacing w:before="5"/>
        <w:rPr>
          <w:sz w:val="18"/>
        </w:rPr>
      </w:pPr>
    </w:p>
    <w:p>
      <w:pPr>
        <w:pStyle w:val="BodyText"/>
        <w:spacing w:line="237" w:lineRule="auto" w:before="1"/>
        <w:ind w:left="65" w:right="103"/>
        <w:jc w:val="both"/>
      </w:pPr>
      <w:r>
        <w:rPr/>
        <w:t>本附加合同效力中止二年内，您可以书面申请恢复合同效力。经我们与您协商并达成协议，并且您已偿清欠缴的保险费，我们将出具批单或在本附加合同上进行批注，本附加合同从我们同意您的复效申请当日二十四时起恢复效力，此日期我们将在批单或批注上载明。</w:t>
      </w:r>
    </w:p>
    <w:p>
      <w:pPr>
        <w:pStyle w:val="BodyText"/>
        <w:spacing w:before="8"/>
        <w:rPr>
          <w:sz w:val="18"/>
        </w:rPr>
      </w:pPr>
    </w:p>
    <w:p>
      <w:pPr>
        <w:pStyle w:val="BodyText"/>
        <w:spacing w:line="237" w:lineRule="auto"/>
        <w:ind w:left="65" w:right="103"/>
        <w:jc w:val="both"/>
      </w:pPr>
      <w:r>
        <w:rPr/>
        <w:t>自本附加合同效力中止之日起满二年您和我们未达成协议的，我们有权解除合同。我们解除合同的，将向您退还合同效力中止时本附加合同的现金价值。</w:t>
      </w:r>
    </w:p>
    <w:p>
      <w:pPr>
        <w:spacing w:after="0" w:line="237" w:lineRule="auto"/>
        <w:jc w:val="both"/>
        <w:sectPr>
          <w:type w:val="continuous"/>
          <w:pgSz w:w="11900" w:h="16840"/>
          <w:pgMar w:top="1220" w:bottom="280" w:left="1320" w:right="1100"/>
          <w:cols w:num="2" w:equalWidth="0">
            <w:col w:w="2523" w:space="40"/>
            <w:col w:w="6917"/>
          </w:cols>
        </w:sectPr>
      </w:pPr>
    </w:p>
    <w:p>
      <w:pPr>
        <w:pStyle w:val="BodyText"/>
        <w:rPr>
          <w:sz w:val="20"/>
        </w:rPr>
      </w:pPr>
    </w:p>
    <w:p>
      <w:pPr>
        <w:pStyle w:val="BodyText"/>
        <w:spacing w:before="11"/>
        <w:rPr>
          <w:sz w:val="16"/>
        </w:rPr>
      </w:pPr>
    </w:p>
    <w:p>
      <w:pPr>
        <w:pStyle w:val="BodyText"/>
        <w:tabs>
          <w:tab w:pos="950" w:val="left" w:leader="none"/>
        </w:tabs>
        <w:spacing w:before="1"/>
        <w:ind w:left="103"/>
      </w:pPr>
      <w:r>
        <w:rPr/>
        <w:t>第</w:t>
      </w:r>
      <w:r>
        <w:rPr>
          <w:spacing w:val="-55"/>
        </w:rPr>
        <w:t> </w:t>
      </w:r>
      <w:r>
        <w:rPr>
          <w:rFonts w:ascii="Times New Roman" w:eastAsia="Times New Roman"/>
          <w:b/>
        </w:rPr>
        <w:t>5 </w:t>
      </w:r>
      <w:r>
        <w:rPr/>
        <w:t>章</w:t>
        <w:tab/>
        <w:t>保险</w:t>
      </w:r>
      <w:r>
        <w:rPr>
          <w:spacing w:val="-3"/>
        </w:rPr>
        <w:t>金</w:t>
      </w:r>
      <w:r>
        <w:rPr/>
        <w:t>的给付</w:t>
      </w:r>
    </w:p>
    <w:p>
      <w:pPr>
        <w:pStyle w:val="BodyText"/>
        <w:spacing w:before="3"/>
        <w:rPr>
          <w:sz w:val="12"/>
        </w:rPr>
      </w:pPr>
    </w:p>
    <w:p>
      <w:pPr>
        <w:spacing w:after="0"/>
        <w:rPr>
          <w:sz w:val="12"/>
        </w:rPr>
        <w:sectPr>
          <w:type w:val="continuous"/>
          <w:pgSz w:w="11900" w:h="16840"/>
          <w:pgMar w:top="1220" w:bottom="280" w:left="1320" w:right="1100"/>
        </w:sectPr>
      </w:pPr>
    </w:p>
    <w:p>
      <w:pPr>
        <w:pStyle w:val="ListParagraph"/>
        <w:numPr>
          <w:ilvl w:val="1"/>
          <w:numId w:val="5"/>
        </w:numPr>
        <w:tabs>
          <w:tab w:pos="950" w:val="left" w:leader="none"/>
          <w:tab w:pos="951" w:val="left" w:leader="none"/>
        </w:tabs>
        <w:spacing w:line="240" w:lineRule="auto" w:before="63" w:after="0"/>
        <w:ind w:left="950" w:right="0" w:hanging="480"/>
        <w:jc w:val="left"/>
        <w:rPr>
          <w:sz w:val="21"/>
        </w:rPr>
      </w:pPr>
      <w:r>
        <w:rPr>
          <w:spacing w:val="-1"/>
          <w:sz w:val="21"/>
        </w:rPr>
        <w:t>请求给付保险</w:t>
      </w:r>
      <w:r>
        <w:rPr>
          <w:spacing w:val="-2"/>
          <w:sz w:val="21"/>
        </w:rPr>
        <w:t>金的诉讼时效</w:t>
      </w:r>
    </w:p>
    <w:p>
      <w:pPr>
        <w:pStyle w:val="BodyText"/>
        <w:spacing w:before="60"/>
        <w:ind w:left="372" w:right="103"/>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320" w:right="1100"/>
          <w:cols w:num="2" w:equalWidth="0">
            <w:col w:w="2216" w:space="40"/>
            <w:col w:w="7224"/>
          </w:cols>
        </w:sectPr>
      </w:pPr>
    </w:p>
    <w:p>
      <w:pPr>
        <w:pStyle w:val="BodyText"/>
        <w:spacing w:before="6"/>
        <w:rPr>
          <w:sz w:val="13"/>
        </w:rPr>
      </w:pPr>
    </w:p>
    <w:p>
      <w:pPr>
        <w:spacing w:after="0"/>
        <w:rPr>
          <w:sz w:val="13"/>
        </w:rPr>
        <w:sectPr>
          <w:type w:val="continuous"/>
          <w:pgSz w:w="11900" w:h="16840"/>
          <w:pgMar w:top="1220" w:bottom="280" w:left="1320" w:right="1100"/>
        </w:sectPr>
      </w:pPr>
    </w:p>
    <w:p>
      <w:pPr>
        <w:pStyle w:val="ListParagraph"/>
        <w:numPr>
          <w:ilvl w:val="1"/>
          <w:numId w:val="5"/>
        </w:numPr>
        <w:tabs>
          <w:tab w:pos="950" w:val="left" w:leader="none"/>
          <w:tab w:pos="951" w:val="left" w:leader="none"/>
        </w:tabs>
        <w:spacing w:line="240" w:lineRule="auto" w:before="62" w:after="0"/>
        <w:ind w:left="950" w:right="0" w:hanging="480"/>
        <w:jc w:val="left"/>
        <w:rPr>
          <w:sz w:val="21"/>
        </w:rPr>
      </w:pPr>
      <w:r>
        <w:rPr>
          <w:spacing w:val="-1"/>
          <w:sz w:val="21"/>
        </w:rPr>
        <w:t>保险金受益人的指定</w:t>
      </w:r>
    </w:p>
    <w:p>
      <w:pPr>
        <w:pStyle w:val="BodyText"/>
        <w:spacing w:before="60"/>
        <w:ind w:left="372" w:right="103"/>
      </w:pPr>
      <w:r>
        <w:rPr/>
        <w:br w:type="column"/>
      </w:r>
      <w:r>
        <w:rPr/>
        <w:t>除另有指定外，本附加合同轻症疾病保险金、重大疾病保险金、特别关爱保险金和重大疾病住院津贴保险金的受益人是被保险人本人。</w:t>
      </w:r>
    </w:p>
    <w:p>
      <w:pPr>
        <w:spacing w:after="0"/>
        <w:sectPr>
          <w:type w:val="continuous"/>
          <w:pgSz w:w="11900" w:h="16840"/>
          <w:pgMar w:top="1220" w:bottom="280" w:left="1320" w:right="1100"/>
          <w:cols w:num="2" w:equalWidth="0">
            <w:col w:w="2216" w:space="40"/>
            <w:col w:w="7224"/>
          </w:cols>
        </w:sectPr>
      </w:pPr>
    </w:p>
    <w:p>
      <w:pPr>
        <w:pStyle w:val="BodyText"/>
        <w:spacing w:before="5"/>
        <w:rPr>
          <w:sz w:val="13"/>
        </w:rPr>
      </w:pPr>
    </w:p>
    <w:p>
      <w:pPr>
        <w:spacing w:after="0"/>
        <w:rPr>
          <w:sz w:val="13"/>
        </w:rPr>
        <w:sectPr>
          <w:type w:val="continuous"/>
          <w:pgSz w:w="11900" w:h="16840"/>
          <w:pgMar w:top="1220" w:bottom="280" w:left="1320" w:right="1100"/>
        </w:sectPr>
      </w:pPr>
    </w:p>
    <w:p>
      <w:pPr>
        <w:pStyle w:val="ListParagraph"/>
        <w:numPr>
          <w:ilvl w:val="1"/>
          <w:numId w:val="5"/>
        </w:numPr>
        <w:tabs>
          <w:tab w:pos="950" w:val="left" w:leader="none"/>
          <w:tab w:pos="951" w:val="left" w:leader="none"/>
        </w:tabs>
        <w:spacing w:line="240" w:lineRule="auto" w:before="63" w:after="0"/>
        <w:ind w:left="950" w:right="0" w:hanging="480"/>
        <w:jc w:val="left"/>
        <w:rPr>
          <w:sz w:val="21"/>
        </w:rPr>
      </w:pPr>
      <w:r>
        <w:rPr>
          <w:spacing w:val="-1"/>
          <w:sz w:val="21"/>
        </w:rPr>
        <w:t>如何申请保险金</w:t>
      </w:r>
    </w:p>
    <w:p>
      <w:pPr>
        <w:pStyle w:val="BodyText"/>
        <w:spacing w:line="225" w:lineRule="auto" w:before="78"/>
        <w:ind w:left="372" w:right="101"/>
      </w:pPr>
      <w:r>
        <w:rPr/>
        <w:br w:type="column"/>
      </w:r>
      <w:r>
        <w:rPr>
          <w:rFonts w:ascii="Times New Roman" w:eastAsia="Times New Roman"/>
        </w:rPr>
        <w:t>1</w:t>
      </w:r>
      <w:r>
        <w:rPr>
          <w:spacing w:val="-10"/>
        </w:rPr>
        <w:t>、申请轻症疾病保险金、重大疾病保险金或特别关爱保险金时，申请人须</w:t>
      </w:r>
      <w:r>
        <w:rPr>
          <w:spacing w:val="-5"/>
        </w:rPr>
        <w:t>填写理赔申请书，并提供下列证明和资料原件：</w:t>
      </w:r>
    </w:p>
    <w:p>
      <w:pPr>
        <w:pStyle w:val="ListParagraph"/>
        <w:numPr>
          <w:ilvl w:val="0"/>
          <w:numId w:val="6"/>
        </w:numPr>
        <w:tabs>
          <w:tab w:pos="1093" w:val="left" w:leader="none"/>
        </w:tabs>
        <w:spacing w:line="281" w:lineRule="exact" w:before="0" w:after="0"/>
        <w:ind w:left="3408" w:right="0" w:hanging="3036"/>
        <w:jc w:val="left"/>
        <w:rPr>
          <w:sz w:val="21"/>
        </w:rPr>
      </w:pPr>
      <w:r>
        <w:rPr>
          <w:spacing w:val="-1"/>
          <w:sz w:val="21"/>
        </w:rPr>
        <w:t>保险合同；</w:t>
      </w:r>
    </w:p>
    <w:p>
      <w:pPr>
        <w:pStyle w:val="ListParagraph"/>
        <w:numPr>
          <w:ilvl w:val="0"/>
          <w:numId w:val="6"/>
        </w:numPr>
        <w:tabs>
          <w:tab w:pos="1093" w:val="left" w:leader="none"/>
        </w:tabs>
        <w:spacing w:line="282" w:lineRule="exact" w:before="0" w:after="0"/>
        <w:ind w:left="3408" w:right="0" w:hanging="3036"/>
        <w:jc w:val="left"/>
        <w:rPr>
          <w:sz w:val="21"/>
        </w:rPr>
      </w:pPr>
      <w:r>
        <w:rPr>
          <w:spacing w:val="-3"/>
          <w:sz w:val="21"/>
        </w:rPr>
        <w:t>被保险人的有效身份证件；</w:t>
      </w:r>
    </w:p>
    <w:p>
      <w:pPr>
        <w:spacing w:after="0" w:line="282" w:lineRule="exact"/>
        <w:jc w:val="left"/>
        <w:rPr>
          <w:sz w:val="21"/>
        </w:rPr>
        <w:sectPr>
          <w:type w:val="continuous"/>
          <w:pgSz w:w="11900" w:h="16840"/>
          <w:pgMar w:top="1220" w:bottom="280" w:left="1320" w:right="1100"/>
          <w:cols w:num="2" w:equalWidth="0">
            <w:col w:w="2216" w:space="40"/>
            <w:col w:w="7224"/>
          </w:cols>
        </w:sectPr>
      </w:pPr>
    </w:p>
    <w:p>
      <w:pPr>
        <w:pStyle w:val="ListParagraph"/>
        <w:numPr>
          <w:ilvl w:val="0"/>
          <w:numId w:val="6"/>
        </w:numPr>
        <w:tabs>
          <w:tab w:pos="3408" w:val="left" w:leader="none"/>
        </w:tabs>
        <w:spacing w:line="223" w:lineRule="auto" w:before="47" w:after="0"/>
        <w:ind w:left="3408" w:right="261" w:hanging="720"/>
        <w:jc w:val="left"/>
        <w:rPr>
          <w:sz w:val="21"/>
        </w:rPr>
      </w:pPr>
      <w:r>
        <w:rPr>
          <w:spacing w:val="-6"/>
          <w:sz w:val="21"/>
        </w:rPr>
        <w:t>医院诊断证明</w:t>
      </w:r>
      <w:r>
        <w:rPr>
          <w:spacing w:val="-3"/>
          <w:sz w:val="21"/>
        </w:rPr>
        <w:t>（</w:t>
      </w:r>
      <w:r>
        <w:rPr>
          <w:spacing w:val="-6"/>
          <w:sz w:val="21"/>
        </w:rPr>
        <w:t>包括完整的门诊病历、出院小结或出院证明、相关</w:t>
      </w:r>
      <w:r>
        <w:rPr>
          <w:spacing w:val="-4"/>
          <w:w w:val="100"/>
          <w:sz w:val="21"/>
        </w:rPr>
        <w:t>的检查检验报告等</w:t>
      </w:r>
      <w:r>
        <w:rPr>
          <w:spacing w:val="-108"/>
          <w:w w:val="100"/>
          <w:sz w:val="21"/>
        </w:rPr>
        <w:t>）</w:t>
      </w:r>
      <w:r>
        <w:rPr>
          <w:w w:val="100"/>
          <w:sz w:val="21"/>
        </w:rPr>
        <w:t>；</w:t>
      </w:r>
    </w:p>
    <w:p>
      <w:pPr>
        <w:pStyle w:val="ListParagraph"/>
        <w:numPr>
          <w:ilvl w:val="0"/>
          <w:numId w:val="6"/>
        </w:numPr>
        <w:tabs>
          <w:tab w:pos="3408" w:val="left" w:leader="none"/>
        </w:tabs>
        <w:spacing w:line="225" w:lineRule="auto" w:before="16" w:after="0"/>
        <w:ind w:left="3407" w:right="263" w:hanging="720"/>
        <w:jc w:val="left"/>
        <w:rPr>
          <w:sz w:val="21"/>
        </w:rPr>
      </w:pPr>
      <w:r>
        <w:rPr>
          <w:sz w:val="21"/>
        </w:rPr>
        <w:t>本附加合同附表一所列相应轻症疾病和附表二所列相应重大疾病</w:t>
      </w:r>
      <w:r>
        <w:rPr>
          <w:spacing w:val="-3"/>
          <w:sz w:val="21"/>
        </w:rPr>
        <w:t>中明确要求的其它医疗证明；</w:t>
      </w:r>
    </w:p>
    <w:p>
      <w:pPr>
        <w:pStyle w:val="ListParagraph"/>
        <w:numPr>
          <w:ilvl w:val="0"/>
          <w:numId w:val="6"/>
        </w:numPr>
        <w:tabs>
          <w:tab w:pos="3419" w:val="left" w:leader="none"/>
          <w:tab w:pos="3420" w:val="left" w:leader="none"/>
        </w:tabs>
        <w:spacing w:line="223" w:lineRule="auto" w:before="19" w:after="0"/>
        <w:ind w:left="3419" w:right="263" w:hanging="732"/>
        <w:jc w:val="left"/>
        <w:rPr>
          <w:sz w:val="21"/>
        </w:rPr>
      </w:pPr>
      <w:r>
        <w:rPr>
          <w:sz w:val="21"/>
        </w:rPr>
        <w:t>所能提供的与确认保险事故的性质、原因等有关的其它证明和资料。</w:t>
      </w:r>
    </w:p>
    <w:p>
      <w:pPr>
        <w:pStyle w:val="BodyText"/>
        <w:spacing w:before="12"/>
        <w:rPr>
          <w:sz w:val="19"/>
        </w:rPr>
      </w:pPr>
    </w:p>
    <w:p>
      <w:pPr>
        <w:pStyle w:val="BodyText"/>
        <w:spacing w:line="223" w:lineRule="auto" w:before="1"/>
        <w:ind w:left="2687" w:right="263"/>
      </w:pPr>
      <w:r>
        <w:rPr>
          <w:rFonts w:ascii="Times New Roman" w:eastAsia="Times New Roman"/>
        </w:rPr>
        <w:t>2</w:t>
      </w:r>
      <w:r>
        <w:rPr>
          <w:spacing w:val="-10"/>
        </w:rPr>
        <w:t>、申请重大疾病住院津贴保险金时，申请人须填写理赔申请书，并提供下</w:t>
      </w:r>
      <w:r>
        <w:rPr>
          <w:spacing w:val="-5"/>
        </w:rPr>
        <w:t>列证明和资料原件：</w:t>
      </w:r>
    </w:p>
    <w:p>
      <w:pPr>
        <w:pStyle w:val="ListParagraph"/>
        <w:numPr>
          <w:ilvl w:val="0"/>
          <w:numId w:val="7"/>
        </w:numPr>
        <w:tabs>
          <w:tab w:pos="3408" w:val="left" w:leader="none"/>
        </w:tabs>
        <w:spacing w:line="281" w:lineRule="exact" w:before="0" w:after="0"/>
        <w:ind w:left="3407" w:right="0" w:hanging="720"/>
        <w:jc w:val="left"/>
        <w:rPr>
          <w:sz w:val="21"/>
        </w:rPr>
      </w:pPr>
      <w:r>
        <w:rPr>
          <w:spacing w:val="-1"/>
          <w:sz w:val="21"/>
        </w:rPr>
        <w:t>保险合同；</w:t>
      </w:r>
    </w:p>
    <w:p>
      <w:pPr>
        <w:pStyle w:val="ListParagraph"/>
        <w:numPr>
          <w:ilvl w:val="0"/>
          <w:numId w:val="7"/>
        </w:numPr>
        <w:tabs>
          <w:tab w:pos="3408" w:val="left" w:leader="none"/>
        </w:tabs>
        <w:spacing w:line="274" w:lineRule="exact" w:before="0" w:after="0"/>
        <w:ind w:left="3407" w:right="0" w:hanging="720"/>
        <w:jc w:val="left"/>
        <w:rPr>
          <w:sz w:val="21"/>
        </w:rPr>
      </w:pPr>
      <w:r>
        <w:rPr>
          <w:spacing w:val="-3"/>
          <w:sz w:val="21"/>
        </w:rPr>
        <w:t>被保险人的有效身份证件；</w:t>
      </w:r>
    </w:p>
    <w:p>
      <w:pPr>
        <w:pStyle w:val="ListParagraph"/>
        <w:numPr>
          <w:ilvl w:val="0"/>
          <w:numId w:val="7"/>
        </w:numPr>
        <w:tabs>
          <w:tab w:pos="3408" w:val="left" w:leader="none"/>
        </w:tabs>
        <w:spacing w:line="223" w:lineRule="auto" w:before="12" w:after="0"/>
        <w:ind w:left="3407" w:right="261" w:hanging="720"/>
        <w:jc w:val="left"/>
        <w:rPr>
          <w:sz w:val="21"/>
        </w:rPr>
      </w:pPr>
      <w:r>
        <w:rPr>
          <w:spacing w:val="-6"/>
          <w:sz w:val="21"/>
        </w:rPr>
        <w:t>医院诊断证明</w:t>
      </w:r>
      <w:r>
        <w:rPr>
          <w:spacing w:val="-3"/>
          <w:sz w:val="21"/>
        </w:rPr>
        <w:t>（</w:t>
      </w:r>
      <w:r>
        <w:rPr>
          <w:spacing w:val="-6"/>
          <w:sz w:val="21"/>
        </w:rPr>
        <w:t>包括完整的门诊病历、出院小结或出院证明、相关</w:t>
      </w:r>
      <w:r>
        <w:rPr>
          <w:spacing w:val="-4"/>
          <w:w w:val="100"/>
          <w:sz w:val="21"/>
        </w:rPr>
        <w:t>的检查检验报告等</w:t>
      </w:r>
      <w:r>
        <w:rPr>
          <w:spacing w:val="-108"/>
          <w:w w:val="100"/>
          <w:sz w:val="21"/>
        </w:rPr>
        <w:t>）</w:t>
      </w:r>
      <w:r>
        <w:rPr>
          <w:w w:val="100"/>
          <w:sz w:val="21"/>
        </w:rPr>
        <w:t>；</w:t>
      </w:r>
    </w:p>
    <w:p>
      <w:pPr>
        <w:pStyle w:val="ListParagraph"/>
        <w:numPr>
          <w:ilvl w:val="0"/>
          <w:numId w:val="7"/>
        </w:numPr>
        <w:tabs>
          <w:tab w:pos="3408" w:val="left" w:leader="none"/>
        </w:tabs>
        <w:spacing w:line="281" w:lineRule="exact" w:before="0" w:after="0"/>
        <w:ind w:left="3407" w:right="0" w:hanging="720"/>
        <w:jc w:val="left"/>
        <w:rPr>
          <w:sz w:val="21"/>
        </w:rPr>
      </w:pPr>
      <w:r>
        <w:rPr>
          <w:spacing w:val="-3"/>
          <w:sz w:val="21"/>
        </w:rPr>
        <w:t>本附加合同附表二所列相应重大疾病中明确要求的其它医疗证明；</w:t>
      </w:r>
    </w:p>
    <w:p>
      <w:pPr>
        <w:pStyle w:val="ListParagraph"/>
        <w:numPr>
          <w:ilvl w:val="0"/>
          <w:numId w:val="7"/>
        </w:numPr>
        <w:tabs>
          <w:tab w:pos="3408" w:val="left" w:leader="none"/>
        </w:tabs>
        <w:spacing w:line="274" w:lineRule="exact" w:before="0" w:after="0"/>
        <w:ind w:left="3407" w:right="0" w:hanging="720"/>
        <w:jc w:val="left"/>
        <w:rPr>
          <w:sz w:val="21"/>
        </w:rPr>
      </w:pPr>
      <w:r>
        <w:rPr>
          <w:spacing w:val="-3"/>
          <w:sz w:val="21"/>
        </w:rPr>
        <w:t>医疗费用正式收据复印件；</w:t>
      </w:r>
    </w:p>
    <w:p>
      <w:pPr>
        <w:pStyle w:val="ListParagraph"/>
        <w:numPr>
          <w:ilvl w:val="0"/>
          <w:numId w:val="7"/>
        </w:numPr>
        <w:tabs>
          <w:tab w:pos="3408" w:val="left" w:leader="none"/>
        </w:tabs>
        <w:spacing w:line="223" w:lineRule="auto" w:before="12" w:after="0"/>
        <w:ind w:left="3407" w:right="263" w:hanging="720"/>
        <w:jc w:val="left"/>
        <w:rPr>
          <w:sz w:val="21"/>
        </w:rPr>
      </w:pPr>
      <w:r>
        <w:rPr>
          <w:sz w:val="21"/>
        </w:rPr>
        <w:t>所能提供的与确认保险事故的性质、原因等有关的其它证明和资料。</w:t>
      </w:r>
    </w:p>
    <w:p>
      <w:pPr>
        <w:pStyle w:val="BodyText"/>
        <w:spacing w:before="8"/>
        <w:rPr>
          <w:sz w:val="18"/>
        </w:rPr>
      </w:pPr>
    </w:p>
    <w:p>
      <w:pPr>
        <w:pStyle w:val="BodyText"/>
        <w:spacing w:line="237" w:lineRule="auto"/>
        <w:ind w:left="2687" w:right="263"/>
      </w:pPr>
      <w:r>
        <w:rPr/>
        <w:t>以上证明和资料不完整的，我们将及时一次性通知申请人补充提供有关证明和资料。</w:t>
      </w:r>
    </w:p>
    <w:p>
      <w:pPr>
        <w:pStyle w:val="BodyText"/>
        <w:rPr>
          <w:sz w:val="20"/>
        </w:rPr>
      </w:pPr>
    </w:p>
    <w:p>
      <w:pPr>
        <w:pStyle w:val="BodyText"/>
        <w:spacing w:before="10"/>
        <w:rPr>
          <w:sz w:val="17"/>
        </w:rPr>
      </w:pPr>
    </w:p>
    <w:p>
      <w:pPr>
        <w:pStyle w:val="BodyText"/>
        <w:spacing w:line="230" w:lineRule="auto"/>
        <w:ind w:left="2687" w:right="263" w:hanging="2525"/>
        <w:jc w:val="both"/>
      </w:pPr>
      <w:r>
        <w:rPr>
          <w:spacing w:val="-27"/>
        </w:rPr>
        <w:t>第 </w:t>
      </w:r>
      <w:r>
        <w:rPr>
          <w:rFonts w:ascii="Times New Roman" w:eastAsia="Times New Roman"/>
          <w:b/>
        </w:rPr>
        <w:t>6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pgSz w:w="11900" w:h="16840"/>
          <w:pgMar w:top="1240" w:bottom="280" w:left="1260" w:right="940"/>
        </w:sectPr>
      </w:pPr>
    </w:p>
    <w:p>
      <w:pPr>
        <w:pStyle w:val="BodyText"/>
        <w:spacing w:before="11"/>
        <w:rPr>
          <w:sz w:val="16"/>
        </w:rPr>
      </w:pPr>
    </w:p>
    <w:p>
      <w:pPr>
        <w:pStyle w:val="BodyText"/>
        <w:spacing w:line="281" w:lineRule="exact" w:before="1"/>
        <w:ind w:left="163"/>
      </w:pPr>
      <w:r>
        <w:rPr/>
        <w:t>第 </w:t>
      </w:r>
      <w:r>
        <w:rPr>
          <w:rFonts w:ascii="Times New Roman" w:eastAsia="Times New Roman"/>
          <w:b/>
        </w:rPr>
        <w:t>7 </w:t>
      </w:r>
      <w:r>
        <w:rPr/>
        <w:t>章 附加合同效力的</w:t>
      </w:r>
    </w:p>
    <w:p>
      <w:pPr>
        <w:pStyle w:val="BodyText"/>
        <w:spacing w:line="265" w:lineRule="exact"/>
        <w:ind w:left="902" w:right="1113"/>
        <w:jc w:val="center"/>
      </w:pPr>
      <w:r>
        <w:rPr/>
        <w:t>终止</w:t>
      </w:r>
    </w:p>
    <w:p>
      <w:pPr>
        <w:pStyle w:val="BodyText"/>
        <w:spacing w:before="9"/>
        <w:rPr>
          <w:sz w:val="16"/>
        </w:rPr>
      </w:pPr>
      <w:r>
        <w:rPr/>
        <w:br w:type="column"/>
      </w:r>
      <w:r>
        <w:rPr>
          <w:sz w:val="16"/>
        </w:rPr>
      </w:r>
    </w:p>
    <w:p>
      <w:pPr>
        <w:pStyle w:val="BodyText"/>
        <w:ind w:left="120"/>
      </w:pPr>
      <w:r>
        <w:rPr/>
        <w:t>发生下列任何一种情形时，本附加合同终止：</w:t>
      </w:r>
    </w:p>
    <w:p>
      <w:pPr>
        <w:pStyle w:val="BodyText"/>
        <w:spacing w:before="2"/>
        <w:rPr>
          <w:sz w:val="18"/>
        </w:rPr>
      </w:pPr>
    </w:p>
    <w:p>
      <w:pPr>
        <w:pStyle w:val="BodyText"/>
        <w:spacing w:line="282" w:lineRule="exact"/>
        <w:ind w:left="176"/>
      </w:pPr>
      <w:r>
        <w:rPr>
          <w:rFonts w:ascii="Times New Roman" w:eastAsia="Times New Roman"/>
        </w:rPr>
        <w:t>1</w:t>
      </w:r>
      <w:r>
        <w:rPr/>
        <w:t>、 投保人解除合同。请您填写解除合同申请书并向我们提供下列资料：</w:t>
      </w:r>
    </w:p>
    <w:p>
      <w:pPr>
        <w:pStyle w:val="BodyText"/>
        <w:spacing w:line="272" w:lineRule="exact"/>
        <w:ind w:left="596"/>
        <w:jc w:val="both"/>
      </w:pPr>
      <w:r>
        <w:rPr/>
        <w:t>（</w:t>
      </w:r>
      <w:r>
        <w:rPr>
          <w:rFonts w:ascii="Times New Roman" w:eastAsia="Times New Roman"/>
        </w:rPr>
        <w:t>1</w:t>
      </w:r>
      <w:r>
        <w:rPr/>
        <w:t>）保险合同</w:t>
      </w:r>
    </w:p>
    <w:p>
      <w:pPr>
        <w:pStyle w:val="BodyText"/>
        <w:spacing w:line="272" w:lineRule="exact"/>
        <w:ind w:left="596"/>
        <w:jc w:val="both"/>
      </w:pPr>
      <w:r>
        <w:rPr/>
        <w:t>（</w:t>
      </w:r>
      <w:r>
        <w:rPr>
          <w:rFonts w:ascii="Times New Roman" w:eastAsia="Times New Roman"/>
        </w:rPr>
        <w:t>2</w:t>
      </w:r>
      <w:r>
        <w:rPr/>
        <w:t>）投保人的有效身份证件</w:t>
      </w:r>
    </w:p>
    <w:p>
      <w:pPr>
        <w:pStyle w:val="BodyText"/>
        <w:spacing w:line="232" w:lineRule="auto"/>
        <w:ind w:left="545" w:right="261"/>
        <w:jc w:val="both"/>
      </w:pPr>
      <w:r>
        <w:rPr/>
        <w:t>自我们收到解除合同申请书时起，本附加合同终止。我们自收到解除合同申请书之日起</w:t>
      </w:r>
      <w:r>
        <w:rPr>
          <w:rFonts w:ascii="Times New Roman" w:eastAsia="Times New Roman"/>
        </w:rPr>
        <w:t>30 </w:t>
      </w:r>
      <w:r>
        <w:rPr/>
        <w:t>日内按合同约定向您退还本附加合同终止时的现金价值；</w:t>
      </w:r>
    </w:p>
    <w:p>
      <w:pPr>
        <w:pStyle w:val="BodyText"/>
        <w:spacing w:line="279" w:lineRule="exact" w:before="1"/>
        <w:ind w:left="176"/>
      </w:pPr>
      <w:r>
        <w:rPr>
          <w:rFonts w:ascii="Times New Roman" w:eastAsia="Times New Roman"/>
        </w:rPr>
        <w:t>2</w:t>
      </w:r>
      <w:r>
        <w:rPr/>
        <w:t>、 您自本附加合同效力中止之日起超过二年未书面申请恢复合同效力；</w:t>
      </w:r>
    </w:p>
    <w:p>
      <w:pPr>
        <w:pStyle w:val="BodyText"/>
        <w:spacing w:line="274" w:lineRule="exact"/>
        <w:ind w:left="176"/>
      </w:pPr>
      <w:r>
        <w:rPr>
          <w:rFonts w:ascii="Times New Roman" w:eastAsia="Times New Roman"/>
        </w:rPr>
        <w:t>3</w:t>
      </w:r>
      <w:r>
        <w:rPr/>
        <w:t>、 被保险人身故；</w:t>
      </w:r>
    </w:p>
    <w:p>
      <w:pPr>
        <w:pStyle w:val="BodyText"/>
        <w:spacing w:line="274" w:lineRule="exact"/>
        <w:ind w:left="176"/>
      </w:pPr>
      <w:r>
        <w:rPr>
          <w:rFonts w:ascii="Times New Roman" w:eastAsia="Times New Roman"/>
        </w:rPr>
        <w:t>4</w:t>
      </w:r>
      <w:r>
        <w:rPr/>
        <w:t>、 主合同终止；</w:t>
      </w:r>
    </w:p>
    <w:p>
      <w:pPr>
        <w:pStyle w:val="BodyText"/>
        <w:spacing w:line="282" w:lineRule="exact"/>
        <w:ind w:left="176"/>
      </w:pPr>
      <w:r>
        <w:rPr>
          <w:rFonts w:ascii="Times New Roman" w:eastAsia="Times New Roman"/>
        </w:rPr>
        <w:t>5</w:t>
      </w:r>
      <w:r>
        <w:rPr/>
        <w:t>、 因本附加合同其它条款或主合同条款所列情况而终止。</w:t>
      </w:r>
    </w:p>
    <w:p>
      <w:pPr>
        <w:spacing w:after="0" w:line="282" w:lineRule="exact"/>
        <w:sectPr>
          <w:type w:val="continuous"/>
          <w:pgSz w:w="11900" w:h="16840"/>
          <w:pgMar w:top="1220" w:bottom="280" w:left="1260" w:right="940"/>
          <w:cols w:num="2" w:equalWidth="0">
            <w:col w:w="2475" w:space="40"/>
            <w:col w:w="7185"/>
          </w:cols>
        </w:sectPr>
      </w:pPr>
    </w:p>
    <w:p>
      <w:pPr>
        <w:pStyle w:val="BodyText"/>
        <w:rPr>
          <w:sz w:val="20"/>
        </w:rPr>
      </w:pPr>
    </w:p>
    <w:p>
      <w:pPr>
        <w:pStyle w:val="BodyText"/>
        <w:spacing w:before="9"/>
        <w:rPr>
          <w:sz w:val="1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473"/>
        <w:gridCol w:w="7216"/>
      </w:tblGrid>
      <w:tr>
        <w:trPr>
          <w:trHeight w:val="366" w:hRule="atLeast"/>
        </w:trPr>
        <w:tc>
          <w:tcPr>
            <w:tcW w:w="789" w:type="dxa"/>
          </w:tcPr>
          <w:p>
            <w:pPr>
              <w:pStyle w:val="TableParagraph"/>
              <w:spacing w:line="236" w:lineRule="exact"/>
              <w:ind w:right="105"/>
              <w:jc w:val="right"/>
              <w:rPr>
                <w:sz w:val="21"/>
              </w:rPr>
            </w:pPr>
            <w:r>
              <w:rPr>
                <w:sz w:val="21"/>
              </w:rPr>
              <w:t>第 </w:t>
            </w:r>
            <w:r>
              <w:rPr>
                <w:rFonts w:ascii="Times New Roman" w:eastAsia="Times New Roman"/>
                <w:b/>
                <w:sz w:val="21"/>
              </w:rPr>
              <w:t>8 </w:t>
            </w:r>
            <w:r>
              <w:rPr>
                <w:sz w:val="21"/>
              </w:rPr>
              <w:t>章</w:t>
            </w:r>
          </w:p>
        </w:tc>
        <w:tc>
          <w:tcPr>
            <w:tcW w:w="1473" w:type="dxa"/>
          </w:tcPr>
          <w:p>
            <w:pPr>
              <w:pStyle w:val="TableParagraph"/>
              <w:spacing w:line="220" w:lineRule="exact"/>
              <w:ind w:left="108"/>
              <w:rPr>
                <w:sz w:val="21"/>
              </w:rPr>
            </w:pPr>
            <w:r>
              <w:rPr>
                <w:sz w:val="21"/>
              </w:rPr>
              <w:t>名词释义</w:t>
            </w:r>
          </w:p>
        </w:tc>
        <w:tc>
          <w:tcPr>
            <w:tcW w:w="7216" w:type="dxa"/>
          </w:tcPr>
          <w:p>
            <w:pPr>
              <w:pStyle w:val="TableParagraph"/>
              <w:rPr>
                <w:rFonts w:ascii="Times New Roman"/>
                <w:sz w:val="20"/>
              </w:rPr>
            </w:pPr>
          </w:p>
        </w:tc>
      </w:tr>
      <w:tr>
        <w:trPr>
          <w:trHeight w:val="780" w:hRule="atLeast"/>
        </w:trPr>
        <w:tc>
          <w:tcPr>
            <w:tcW w:w="789" w:type="dxa"/>
          </w:tcPr>
          <w:p>
            <w:pPr>
              <w:pStyle w:val="TableParagraph"/>
              <w:spacing w:before="125"/>
              <w:ind w:right="105"/>
              <w:jc w:val="right"/>
              <w:rPr>
                <w:rFonts w:ascii="Times New Roman"/>
                <w:b/>
                <w:sz w:val="21"/>
              </w:rPr>
            </w:pPr>
            <w:r>
              <w:rPr>
                <w:rFonts w:ascii="Times New Roman"/>
                <w:b/>
                <w:sz w:val="21"/>
              </w:rPr>
              <w:t>8.1</w:t>
            </w:r>
          </w:p>
        </w:tc>
        <w:tc>
          <w:tcPr>
            <w:tcW w:w="1473" w:type="dxa"/>
          </w:tcPr>
          <w:p>
            <w:pPr>
              <w:pStyle w:val="TableParagraph"/>
              <w:spacing w:before="94"/>
              <w:ind w:left="108"/>
              <w:rPr>
                <w:sz w:val="21"/>
              </w:rPr>
            </w:pPr>
            <w:r>
              <w:rPr>
                <w:sz w:val="21"/>
              </w:rPr>
              <w:t>周岁：</w:t>
            </w:r>
          </w:p>
        </w:tc>
        <w:tc>
          <w:tcPr>
            <w:tcW w:w="7216" w:type="dxa"/>
          </w:tcPr>
          <w:p>
            <w:pPr>
              <w:pStyle w:val="TableParagraph"/>
              <w:spacing w:before="92"/>
              <w:ind w:left="312" w:right="46"/>
              <w:rPr>
                <w:sz w:val="21"/>
              </w:rPr>
            </w:pPr>
            <w:r>
              <w:rPr>
                <w:spacing w:val="-7"/>
                <w:sz w:val="21"/>
              </w:rPr>
              <w:t>指按有效身份证件中记载的出生日期计算的年龄，自出生之日起为零周岁， </w:t>
            </w:r>
            <w:r>
              <w:rPr>
                <w:spacing w:val="-5"/>
                <w:sz w:val="21"/>
              </w:rPr>
              <w:t>每经过一年增加一岁，不足一年的不计。</w:t>
            </w:r>
          </w:p>
        </w:tc>
      </w:tr>
      <w:tr>
        <w:trPr>
          <w:trHeight w:val="787" w:hRule="atLeast"/>
        </w:trPr>
        <w:tc>
          <w:tcPr>
            <w:tcW w:w="789" w:type="dxa"/>
          </w:tcPr>
          <w:p>
            <w:pPr>
              <w:pStyle w:val="TableParagraph"/>
              <w:spacing w:before="131"/>
              <w:ind w:right="105"/>
              <w:jc w:val="right"/>
              <w:rPr>
                <w:rFonts w:ascii="Times New Roman"/>
                <w:b/>
                <w:sz w:val="21"/>
              </w:rPr>
            </w:pPr>
            <w:r>
              <w:rPr>
                <w:rFonts w:ascii="Times New Roman"/>
                <w:b/>
                <w:sz w:val="21"/>
              </w:rPr>
              <w:t>8.2</w:t>
            </w:r>
          </w:p>
        </w:tc>
        <w:tc>
          <w:tcPr>
            <w:tcW w:w="1473" w:type="dxa"/>
          </w:tcPr>
          <w:p>
            <w:pPr>
              <w:pStyle w:val="TableParagraph"/>
              <w:spacing w:before="101"/>
              <w:ind w:left="108"/>
              <w:rPr>
                <w:sz w:val="21"/>
              </w:rPr>
            </w:pPr>
            <w:r>
              <w:rPr>
                <w:sz w:val="21"/>
              </w:rPr>
              <w:t>现金价值：</w:t>
            </w:r>
          </w:p>
        </w:tc>
        <w:tc>
          <w:tcPr>
            <w:tcW w:w="7216" w:type="dxa"/>
          </w:tcPr>
          <w:p>
            <w:pPr>
              <w:pStyle w:val="TableParagraph"/>
              <w:spacing w:before="99"/>
              <w:ind w:left="312" w:right="154"/>
              <w:rPr>
                <w:sz w:val="21"/>
              </w:rPr>
            </w:pPr>
            <w:r>
              <w:rPr>
                <w:sz w:val="21"/>
              </w:rPr>
              <w:t>指本附加合同所具有的价值，通常体现为解除合同时，根据精算原理计算的，由我们退还的那部分金额。</w:t>
            </w:r>
          </w:p>
        </w:tc>
      </w:tr>
      <w:tr>
        <w:trPr>
          <w:trHeight w:val="514" w:hRule="atLeast"/>
        </w:trPr>
        <w:tc>
          <w:tcPr>
            <w:tcW w:w="789" w:type="dxa"/>
          </w:tcPr>
          <w:p>
            <w:pPr>
              <w:pStyle w:val="TableParagraph"/>
              <w:spacing w:before="131"/>
              <w:ind w:right="105"/>
              <w:jc w:val="right"/>
              <w:rPr>
                <w:rFonts w:ascii="Times New Roman"/>
                <w:b/>
                <w:sz w:val="21"/>
              </w:rPr>
            </w:pPr>
            <w:r>
              <w:rPr>
                <w:rFonts w:ascii="Times New Roman"/>
                <w:b/>
                <w:sz w:val="21"/>
              </w:rPr>
              <w:t>8.3</w:t>
            </w:r>
          </w:p>
        </w:tc>
        <w:tc>
          <w:tcPr>
            <w:tcW w:w="1473" w:type="dxa"/>
          </w:tcPr>
          <w:p>
            <w:pPr>
              <w:pStyle w:val="TableParagraph"/>
              <w:spacing w:before="101"/>
              <w:ind w:left="108"/>
              <w:rPr>
                <w:sz w:val="21"/>
              </w:rPr>
            </w:pPr>
            <w:r>
              <w:rPr>
                <w:sz w:val="21"/>
              </w:rPr>
              <w:t>轻症疾病：</w:t>
            </w:r>
          </w:p>
        </w:tc>
        <w:tc>
          <w:tcPr>
            <w:tcW w:w="7216" w:type="dxa"/>
          </w:tcPr>
          <w:p>
            <w:pPr>
              <w:pStyle w:val="TableParagraph"/>
              <w:spacing w:before="99"/>
              <w:ind w:left="322"/>
              <w:rPr>
                <w:sz w:val="21"/>
              </w:rPr>
            </w:pPr>
            <w:r>
              <w:rPr>
                <w:sz w:val="21"/>
              </w:rPr>
              <w:t>指符合本附加合同附表一中所列的任何一种疾病定义所述条件的疾病。</w:t>
            </w:r>
          </w:p>
        </w:tc>
      </w:tr>
      <w:tr>
        <w:trPr>
          <w:trHeight w:val="375" w:hRule="atLeast"/>
        </w:trPr>
        <w:tc>
          <w:tcPr>
            <w:tcW w:w="789" w:type="dxa"/>
          </w:tcPr>
          <w:p>
            <w:pPr>
              <w:pStyle w:val="TableParagraph"/>
              <w:spacing w:line="225" w:lineRule="exact" w:before="130"/>
              <w:ind w:right="105"/>
              <w:jc w:val="right"/>
              <w:rPr>
                <w:rFonts w:ascii="Times New Roman"/>
                <w:b/>
                <w:sz w:val="21"/>
              </w:rPr>
            </w:pPr>
            <w:r>
              <w:rPr>
                <w:rFonts w:ascii="Times New Roman"/>
                <w:b/>
                <w:sz w:val="21"/>
              </w:rPr>
              <w:t>8.4</w:t>
            </w:r>
          </w:p>
        </w:tc>
        <w:tc>
          <w:tcPr>
            <w:tcW w:w="1473" w:type="dxa"/>
          </w:tcPr>
          <w:p>
            <w:pPr>
              <w:pStyle w:val="TableParagraph"/>
              <w:spacing w:line="255" w:lineRule="exact" w:before="100"/>
              <w:ind w:left="108"/>
              <w:rPr>
                <w:sz w:val="21"/>
              </w:rPr>
            </w:pPr>
            <w:r>
              <w:rPr>
                <w:sz w:val="21"/>
              </w:rPr>
              <w:t>重大疾病：</w:t>
            </w:r>
          </w:p>
        </w:tc>
        <w:tc>
          <w:tcPr>
            <w:tcW w:w="7216" w:type="dxa"/>
          </w:tcPr>
          <w:p>
            <w:pPr>
              <w:pStyle w:val="TableParagraph"/>
              <w:spacing w:line="257" w:lineRule="exact" w:before="98"/>
              <w:ind w:left="322"/>
              <w:rPr>
                <w:sz w:val="21"/>
              </w:rPr>
            </w:pPr>
            <w:r>
              <w:rPr>
                <w:sz w:val="21"/>
              </w:rPr>
              <w:t>指符合本附加合同附表二中所列的任何一种疾病定义所述条件的疾病。</w:t>
            </w:r>
          </w:p>
        </w:tc>
      </w:tr>
    </w:tbl>
    <w:p>
      <w:pPr>
        <w:spacing w:after="0" w:line="257" w:lineRule="exact"/>
        <w:rPr>
          <w:sz w:val="21"/>
        </w:rPr>
        <w:sectPr>
          <w:type w:val="continuous"/>
          <w:pgSz w:w="11900" w:h="16840"/>
          <w:pgMar w:top="1220" w:bottom="280" w:left="1260" w:right="940"/>
        </w:sectPr>
      </w:pPr>
    </w:p>
    <w:p>
      <w:pPr>
        <w:pStyle w:val="ListParagraph"/>
        <w:numPr>
          <w:ilvl w:val="1"/>
          <w:numId w:val="8"/>
        </w:numPr>
        <w:tabs>
          <w:tab w:pos="691" w:val="left" w:leader="none"/>
        </w:tabs>
        <w:spacing w:line="235" w:lineRule="auto" w:before="55" w:after="0"/>
        <w:ind w:left="2368" w:right="223" w:hanging="2158"/>
        <w:jc w:val="both"/>
        <w:rPr>
          <w:sz w:val="21"/>
        </w:rPr>
      </w:pPr>
      <w:r>
        <w:rPr>
          <w:spacing w:val="-3"/>
          <w:sz w:val="21"/>
        </w:rPr>
        <w:t>意外伤害事故： 指外来的、不可预知的、突发的、非本意的、非由疾病引起的使身体受到伤害的客观事件。</w:t>
      </w:r>
    </w:p>
    <w:p>
      <w:pPr>
        <w:pStyle w:val="BodyText"/>
        <w:spacing w:before="12"/>
        <w:rPr>
          <w:sz w:val="19"/>
        </w:rPr>
      </w:pPr>
    </w:p>
    <w:p>
      <w:pPr>
        <w:pStyle w:val="ListParagraph"/>
        <w:numPr>
          <w:ilvl w:val="1"/>
          <w:numId w:val="8"/>
        </w:numPr>
        <w:tabs>
          <w:tab w:pos="691" w:val="left" w:leader="none"/>
        </w:tabs>
        <w:spacing w:line="225" w:lineRule="auto" w:before="0" w:after="0"/>
        <w:ind w:left="2368" w:right="221" w:hanging="2158"/>
        <w:jc w:val="both"/>
        <w:rPr>
          <w:sz w:val="21"/>
        </w:rPr>
      </w:pPr>
      <w:r>
        <w:rPr>
          <w:spacing w:val="-1"/>
          <w:w w:val="100"/>
          <w:sz w:val="21"/>
        </w:rPr>
        <w:t>专科医生：</w:t>
      </w:r>
      <w:r>
        <w:rPr>
          <w:spacing w:val="-1"/>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1"/>
          <w:w w:val="100"/>
          <w:sz w:val="21"/>
        </w:rPr>
        <w:t>）</w:t>
      </w:r>
      <w:r>
        <w:rPr>
          <w:spacing w:val="-3"/>
          <w:w w:val="100"/>
          <w:sz w:val="21"/>
        </w:rPr>
        <w:t>在二级或二级以上医院的相应</w:t>
      </w:r>
      <w:r>
        <w:rPr>
          <w:spacing w:val="-3"/>
          <w:sz w:val="21"/>
        </w:rPr>
        <w:t>科室从事临床工作三年以上。</w:t>
      </w:r>
    </w:p>
    <w:p>
      <w:pPr>
        <w:pStyle w:val="BodyText"/>
        <w:spacing w:before="8"/>
        <w:rPr>
          <w:sz w:val="18"/>
        </w:rPr>
      </w:pPr>
    </w:p>
    <w:p>
      <w:pPr>
        <w:pStyle w:val="ListParagraph"/>
        <w:numPr>
          <w:ilvl w:val="1"/>
          <w:numId w:val="8"/>
        </w:numPr>
        <w:tabs>
          <w:tab w:pos="691" w:val="left" w:leader="none"/>
        </w:tabs>
        <w:spacing w:line="237" w:lineRule="auto" w:before="0" w:after="0"/>
        <w:ind w:left="2315" w:right="223" w:hanging="2105"/>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5"/>
        <w:rPr>
          <w:sz w:val="18"/>
        </w:rPr>
      </w:pPr>
    </w:p>
    <w:p>
      <w:pPr>
        <w:pStyle w:val="BodyText"/>
        <w:ind w:left="2367" w:right="223"/>
      </w:pPr>
      <w:r>
        <w:rPr/>
        <w:t>医生是指领有执业医师执照、在医院内行医并拥有处方权的医生，且非您或被保险人以及您或被保险人的配偶、父母、子女。</w:t>
      </w:r>
    </w:p>
    <w:p>
      <w:pPr>
        <w:pStyle w:val="BodyText"/>
        <w:spacing w:before="8"/>
        <w:rPr>
          <w:sz w:val="18"/>
        </w:rPr>
      </w:pPr>
    </w:p>
    <w:p>
      <w:pPr>
        <w:pStyle w:val="ListParagraph"/>
        <w:numPr>
          <w:ilvl w:val="1"/>
          <w:numId w:val="8"/>
        </w:numPr>
        <w:tabs>
          <w:tab w:pos="691" w:val="left" w:leader="none"/>
        </w:tabs>
        <w:spacing w:line="237" w:lineRule="auto" w:before="0" w:after="0"/>
        <w:ind w:left="2368" w:right="223" w:hanging="2158"/>
        <w:jc w:val="both"/>
        <w:rPr>
          <w:sz w:val="21"/>
        </w:rPr>
      </w:pPr>
      <w:r>
        <w:rPr>
          <w:spacing w:val="-3"/>
          <w:sz w:val="21"/>
        </w:rPr>
        <w:t>住院：         指被保险人因疾病或意外伤害事故以及因此而产生的并发症，经医院诊断必须住院治疗。所住之病房为医院正式病房，并须办理入、出院手续，但不包括入住门（</w:t>
      </w:r>
      <w:r>
        <w:rPr>
          <w:sz w:val="21"/>
        </w:rPr>
        <w:t>急</w:t>
      </w:r>
      <w:r>
        <w:rPr>
          <w:spacing w:val="-3"/>
          <w:sz w:val="21"/>
        </w:rPr>
        <w:t>）诊观察室、家庭病床、其它非正式病房。</w:t>
      </w:r>
    </w:p>
    <w:p>
      <w:pPr>
        <w:pStyle w:val="BodyText"/>
        <w:spacing w:before="10"/>
        <w:rPr>
          <w:sz w:val="18"/>
        </w:rPr>
      </w:pPr>
    </w:p>
    <w:p>
      <w:pPr>
        <w:pStyle w:val="ListParagraph"/>
        <w:numPr>
          <w:ilvl w:val="1"/>
          <w:numId w:val="8"/>
        </w:numPr>
        <w:tabs>
          <w:tab w:pos="691" w:val="left" w:leader="none"/>
        </w:tabs>
        <w:spacing w:line="237" w:lineRule="auto" w:before="0" w:after="0"/>
        <w:ind w:left="2368" w:right="223" w:hanging="2158"/>
        <w:jc w:val="both"/>
        <w:rPr>
          <w:sz w:val="21"/>
        </w:rPr>
      </w:pPr>
      <w:r>
        <w:rPr>
          <w:spacing w:val="-3"/>
          <w:sz w:val="21"/>
        </w:rPr>
        <w:t>住院天数：     指被保险人在医院住院部病房内实际的住院治疗天数，住院满二十四小时为一天。住院期间请假或外出离开医院的，从被保险人离开医院的当日起至被保险人回到医院的当日止，本公司不给付重大疾病住院津贴保险金， 具体请假或外出日期以医院的记录为准。</w:t>
      </w:r>
    </w:p>
    <w:p>
      <w:pPr>
        <w:pStyle w:val="BodyText"/>
        <w:spacing w:before="8"/>
        <w:rPr>
          <w:sz w:val="18"/>
        </w:rPr>
      </w:pPr>
    </w:p>
    <w:p>
      <w:pPr>
        <w:pStyle w:val="ListParagraph"/>
        <w:numPr>
          <w:ilvl w:val="1"/>
          <w:numId w:val="8"/>
        </w:numPr>
        <w:tabs>
          <w:tab w:pos="691" w:val="left" w:leader="none"/>
        </w:tabs>
        <w:spacing w:line="237" w:lineRule="auto" w:before="0" w:after="0"/>
        <w:ind w:left="2367" w:right="221" w:hanging="2263"/>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10"/>
        <w:rPr>
          <w:sz w:val="18"/>
        </w:rPr>
      </w:pPr>
    </w:p>
    <w:p>
      <w:pPr>
        <w:pStyle w:val="ListParagraph"/>
        <w:numPr>
          <w:ilvl w:val="1"/>
          <w:numId w:val="8"/>
        </w:numPr>
        <w:tabs>
          <w:tab w:pos="691" w:val="left" w:leader="none"/>
        </w:tabs>
        <w:spacing w:line="237" w:lineRule="auto" w:before="1" w:after="0"/>
        <w:ind w:left="2367" w:right="223" w:hanging="2251"/>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9"/>
        <w:rPr>
          <w:sz w:val="13"/>
        </w:rPr>
      </w:pPr>
    </w:p>
    <w:p>
      <w:pPr>
        <w:spacing w:after="0"/>
        <w:rPr>
          <w:sz w:val="13"/>
        </w:rPr>
        <w:sectPr>
          <w:pgSz w:w="11900" w:h="16840"/>
          <w:pgMar w:top="1220" w:bottom="280" w:left="1580" w:right="980"/>
        </w:sectPr>
      </w:pPr>
    </w:p>
    <w:p>
      <w:pPr>
        <w:pStyle w:val="ListParagraph"/>
        <w:numPr>
          <w:ilvl w:val="1"/>
          <w:numId w:val="8"/>
        </w:numPr>
        <w:tabs>
          <w:tab w:pos="690" w:val="left" w:leader="none"/>
          <w:tab w:pos="691" w:val="left" w:leader="none"/>
        </w:tabs>
        <w:spacing w:line="240" w:lineRule="auto" w:before="62" w:after="0"/>
        <w:ind w:left="690" w:right="0" w:hanging="586"/>
        <w:jc w:val="left"/>
        <w:rPr>
          <w:sz w:val="21"/>
        </w:rPr>
      </w:pPr>
      <w:r>
        <w:rPr>
          <w:spacing w:val="-33"/>
          <w:sz w:val="21"/>
        </w:rPr>
        <w:t>无 合 法 有 效 驾</w:t>
      </w:r>
      <w:r>
        <w:rPr>
          <w:spacing w:val="-15"/>
          <w:sz w:val="21"/>
        </w:rPr>
        <w:t>驶证驾驶：</w:t>
      </w:r>
    </w:p>
    <w:p>
      <w:pPr>
        <w:pStyle w:val="BodyText"/>
        <w:spacing w:line="274" w:lineRule="exact" w:before="60"/>
        <w:ind w:left="104"/>
      </w:pPr>
      <w:r>
        <w:rPr/>
        <w:br w:type="column"/>
      </w:r>
      <w:r>
        <w:rPr/>
        <w:t>指下列情形之一：</w:t>
      </w:r>
    </w:p>
    <w:p>
      <w:pPr>
        <w:pStyle w:val="BodyText"/>
        <w:spacing w:line="282" w:lineRule="exact"/>
        <w:ind w:left="104"/>
      </w:pPr>
      <w:r>
        <w:rPr>
          <w:rFonts w:ascii="Times New Roman" w:eastAsia="Times New Roman"/>
        </w:rPr>
        <w:t>1</w:t>
      </w:r>
      <w:r>
        <w:rPr/>
        <w:t>、没有取得驾驶资格；</w:t>
      </w:r>
    </w:p>
    <w:p>
      <w:pPr>
        <w:pStyle w:val="BodyText"/>
        <w:spacing w:line="274" w:lineRule="exact"/>
        <w:ind w:left="104"/>
      </w:pPr>
      <w:r>
        <w:rPr>
          <w:rFonts w:ascii="Times New Roman" w:eastAsia="Times New Roman"/>
        </w:rPr>
        <w:t>2</w:t>
      </w:r>
      <w:r>
        <w:rPr/>
        <w:t>、驾驶与驾驶证准驾车型不相符合的车辆；</w:t>
      </w:r>
    </w:p>
    <w:p>
      <w:pPr>
        <w:pStyle w:val="BodyText"/>
        <w:spacing w:line="272" w:lineRule="exact"/>
        <w:ind w:left="104"/>
      </w:pPr>
      <w:r>
        <w:rPr>
          <w:rFonts w:ascii="Times New Roman" w:eastAsia="Times New Roman"/>
        </w:rPr>
        <w:t>3</w:t>
      </w:r>
      <w:r>
        <w:rPr/>
        <w:t>、持审验不合格的驾驶证驾驶；</w:t>
      </w:r>
    </w:p>
    <w:p>
      <w:pPr>
        <w:pStyle w:val="BodyText"/>
        <w:spacing w:line="225" w:lineRule="auto" w:before="7"/>
        <w:ind w:left="419" w:right="223" w:hanging="315"/>
      </w:pPr>
      <w:r>
        <w:rPr>
          <w:rFonts w:ascii="Times New Roman" w:eastAsia="Times New Roman"/>
        </w:rPr>
        <w:t>4</w:t>
      </w:r>
      <w:r>
        <w:rPr>
          <w:spacing w:val="-10"/>
        </w:rPr>
        <w:t>、持学习驾驶证学习驾车时，无教练员随车指导，或不按指定时间、路线</w:t>
      </w:r>
      <w:r>
        <w:rPr>
          <w:spacing w:val="-5"/>
        </w:rPr>
        <w:t>学习驾车。</w:t>
      </w:r>
    </w:p>
    <w:p>
      <w:pPr>
        <w:spacing w:after="0" w:line="225" w:lineRule="auto"/>
        <w:sectPr>
          <w:type w:val="continuous"/>
          <w:pgSz w:w="11900" w:h="16840"/>
          <w:pgMar w:top="1220" w:bottom="280" w:left="1580" w:right="980"/>
          <w:cols w:num="2" w:equalWidth="0">
            <w:col w:w="2157" w:space="106"/>
            <w:col w:w="7077"/>
          </w:cols>
        </w:sectPr>
      </w:pPr>
    </w:p>
    <w:p>
      <w:pPr>
        <w:pStyle w:val="BodyText"/>
        <w:spacing w:before="8"/>
        <w:rPr>
          <w:sz w:val="13"/>
        </w:rPr>
      </w:pPr>
    </w:p>
    <w:p>
      <w:pPr>
        <w:pStyle w:val="ListParagraph"/>
        <w:numPr>
          <w:ilvl w:val="1"/>
          <w:numId w:val="8"/>
        </w:numPr>
        <w:tabs>
          <w:tab w:pos="690" w:val="left" w:leader="none"/>
          <w:tab w:pos="691" w:val="left" w:leader="none"/>
          <w:tab w:pos="2367" w:val="left" w:leader="none"/>
        </w:tabs>
        <w:spacing w:line="273" w:lineRule="exact" w:before="62" w:after="0"/>
        <w:ind w:left="690" w:right="0" w:hanging="586"/>
        <w:jc w:val="left"/>
        <w:rPr>
          <w:sz w:val="21"/>
        </w:rPr>
      </w:pPr>
      <w:r>
        <w:rPr>
          <w:sz w:val="21"/>
        </w:rPr>
        <w:t>无有</w:t>
      </w:r>
      <w:r>
        <w:rPr>
          <w:spacing w:val="-3"/>
          <w:sz w:val="21"/>
        </w:rPr>
        <w:t>效</w:t>
      </w:r>
      <w:r>
        <w:rPr>
          <w:sz w:val="21"/>
        </w:rPr>
        <w:t>行驶证：</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80" w:lineRule="exact"/>
        <w:ind w:left="2367"/>
      </w:pPr>
      <w:r>
        <w:rPr>
          <w:rFonts w:ascii="Times New Roman" w:eastAsia="Times New Roman"/>
        </w:rPr>
        <w:t>1</w:t>
      </w:r>
      <w:r>
        <w:rPr/>
        <w:t>、机动车被依法注销登记的；</w:t>
      </w:r>
    </w:p>
    <w:p>
      <w:pPr>
        <w:pStyle w:val="BodyText"/>
        <w:spacing w:line="282" w:lineRule="exact"/>
        <w:ind w:left="2367"/>
      </w:pPr>
      <w:r>
        <w:rPr>
          <w:rFonts w:ascii="Times New Roman" w:eastAsia="Times New Roman"/>
        </w:rPr>
        <w:t>2</w:t>
      </w:r>
      <w:r>
        <w:rPr/>
        <w:t>、未依法按时进行或通过机动车安全技术检验。</w:t>
      </w:r>
    </w:p>
    <w:p>
      <w:pPr>
        <w:pStyle w:val="BodyText"/>
        <w:spacing w:before="5"/>
        <w:rPr>
          <w:sz w:val="12"/>
        </w:rPr>
      </w:pPr>
    </w:p>
    <w:p>
      <w:pPr>
        <w:spacing w:after="0"/>
        <w:rPr>
          <w:sz w:val="12"/>
        </w:rPr>
        <w:sectPr>
          <w:type w:val="continuous"/>
          <w:pgSz w:w="11900" w:h="16840"/>
          <w:pgMar w:top="1220" w:bottom="280" w:left="1580" w:right="980"/>
        </w:sectPr>
      </w:pPr>
    </w:p>
    <w:p>
      <w:pPr>
        <w:pStyle w:val="ListParagraph"/>
        <w:numPr>
          <w:ilvl w:val="1"/>
          <w:numId w:val="8"/>
        </w:numPr>
        <w:tabs>
          <w:tab w:pos="690" w:val="left" w:leader="none"/>
          <w:tab w:pos="691" w:val="left" w:leader="none"/>
        </w:tabs>
        <w:spacing w:line="240" w:lineRule="auto" w:before="62" w:after="0"/>
        <w:ind w:left="690" w:right="0" w:hanging="586"/>
        <w:jc w:val="left"/>
        <w:rPr>
          <w:sz w:val="21"/>
        </w:rPr>
      </w:pPr>
      <w:r>
        <w:rPr>
          <w:spacing w:val="-33"/>
          <w:sz w:val="21"/>
        </w:rPr>
        <w:t>感 染 艾 滋 病 病毒（</w:t>
      </w:r>
      <w:r>
        <w:rPr>
          <w:rFonts w:ascii="Times New Roman" w:eastAsia="Times New Roman"/>
          <w:b/>
          <w:spacing w:val="-33"/>
          <w:sz w:val="21"/>
        </w:rPr>
        <w:t>HIV</w:t>
      </w:r>
      <w:r>
        <w:rPr>
          <w:spacing w:val="-33"/>
          <w:sz w:val="21"/>
        </w:rPr>
        <w:t>）或患</w:t>
      </w:r>
    </w:p>
    <w:p>
      <w:pPr>
        <w:pStyle w:val="BodyText"/>
        <w:spacing w:line="225" w:lineRule="auto" w:before="77"/>
        <w:ind w:left="104" w:right="221"/>
      </w:pPr>
      <w:r>
        <w:rPr/>
        <w:br w:type="column"/>
      </w:r>
      <w:r>
        <w:rPr>
          <w:spacing w:val="-2"/>
        </w:rPr>
        <w:t>艾滋病病毒指人类免疫缺陷病毒，英文缩写为 </w:t>
      </w:r>
      <w:r>
        <w:rPr>
          <w:rFonts w:ascii="Times New Roman" w:eastAsia="Times New Roman"/>
        </w:rPr>
        <w:t>HIV</w:t>
      </w:r>
      <w:r>
        <w:rPr>
          <w:spacing w:val="-2"/>
        </w:rPr>
        <w:t>。艾滋病指人类免疫缺</w:t>
      </w:r>
      <w:r>
        <w:rPr>
          <w:spacing w:val="-6"/>
        </w:rPr>
        <w:t>陷病毒引起的获得性免疫缺陷综合征，英文缩写为 </w:t>
      </w:r>
      <w:r>
        <w:rPr>
          <w:rFonts w:ascii="Times New Roman" w:eastAsia="Times New Roman"/>
        </w:rPr>
        <w:t>AIDS</w:t>
      </w:r>
      <w:r>
        <w:rPr>
          <w:spacing w:val="-6"/>
        </w:rPr>
        <w:t>。在人体血液或其</w:t>
      </w:r>
    </w:p>
    <w:p>
      <w:pPr>
        <w:spacing w:after="0" w:line="225" w:lineRule="auto"/>
        <w:sectPr>
          <w:type w:val="continuous"/>
          <w:pgSz w:w="11900" w:h="16840"/>
          <w:pgMar w:top="1220" w:bottom="280" w:left="1580" w:right="980"/>
          <w:cols w:num="2" w:equalWidth="0">
            <w:col w:w="2157" w:space="53"/>
            <w:col w:w="7130"/>
          </w:cols>
        </w:sectPr>
      </w:pPr>
    </w:p>
    <w:p>
      <w:pPr>
        <w:pStyle w:val="BodyText"/>
        <w:spacing w:line="223" w:lineRule="auto" w:before="2"/>
        <w:ind w:left="2315" w:right="115" w:hanging="1625"/>
      </w:pPr>
      <w:r>
        <w:rPr>
          <w:spacing w:val="-31"/>
          <w:w w:val="100"/>
        </w:rPr>
        <w:t>艾滋病</w:t>
      </w:r>
      <w:r>
        <w:rPr>
          <w:spacing w:val="-3"/>
          <w:w w:val="100"/>
        </w:rPr>
        <w:t>（</w:t>
      </w:r>
      <w:r>
        <w:rPr>
          <w:rFonts w:ascii="Times New Roman" w:eastAsia="Times New Roman"/>
          <w:b/>
          <w:spacing w:val="-2"/>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spacing w:after="0" w:line="223" w:lineRule="auto"/>
        <w:sectPr>
          <w:type w:val="continuous"/>
          <w:pgSz w:w="11900" w:h="16840"/>
          <w:pgMar w:top="1220" w:bottom="280" w:left="1580" w:right="980"/>
        </w:sectPr>
      </w:pPr>
    </w:p>
    <w:p>
      <w:pPr>
        <w:pStyle w:val="BodyText"/>
        <w:spacing w:before="8"/>
        <w:rPr>
          <w:rFonts w:ascii="Times New Roman"/>
          <w:sz w:val="1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654"/>
        <w:gridCol w:w="7037"/>
      </w:tblGrid>
      <w:tr>
        <w:trPr>
          <w:trHeight w:val="267" w:hRule="atLeast"/>
        </w:trPr>
        <w:tc>
          <w:tcPr>
            <w:tcW w:w="998" w:type="dxa"/>
          </w:tcPr>
          <w:p>
            <w:pPr>
              <w:pStyle w:val="TableParagraph"/>
              <w:spacing w:line="234" w:lineRule="exact"/>
              <w:ind w:right="106"/>
              <w:jc w:val="right"/>
              <w:rPr>
                <w:rFonts w:ascii="Times New Roman"/>
                <w:b/>
                <w:sz w:val="21"/>
              </w:rPr>
            </w:pPr>
            <w:r>
              <w:rPr>
                <w:rFonts w:ascii="Times New Roman"/>
                <w:b/>
                <w:sz w:val="21"/>
              </w:rPr>
              <w:t>8.15</w:t>
            </w:r>
          </w:p>
        </w:tc>
        <w:tc>
          <w:tcPr>
            <w:tcW w:w="1654" w:type="dxa"/>
          </w:tcPr>
          <w:p>
            <w:pPr>
              <w:pStyle w:val="TableParagraph"/>
              <w:spacing w:line="237" w:lineRule="exact"/>
              <w:ind w:left="107"/>
              <w:rPr>
                <w:sz w:val="21"/>
              </w:rPr>
            </w:pPr>
            <w:r>
              <w:rPr>
                <w:sz w:val="21"/>
              </w:rPr>
              <w:t>遗传性疾病：</w:t>
            </w:r>
          </w:p>
        </w:tc>
        <w:tc>
          <w:tcPr>
            <w:tcW w:w="7037" w:type="dxa"/>
          </w:tcPr>
          <w:p>
            <w:pPr>
              <w:pStyle w:val="TableParagraph"/>
              <w:spacing w:line="235" w:lineRule="exact"/>
              <w:ind w:left="78"/>
              <w:rPr>
                <w:sz w:val="21"/>
              </w:rPr>
            </w:pPr>
            <w:r>
              <w:rPr>
                <w:sz w:val="21"/>
              </w:rPr>
              <w:t>指生殖细胞或受精卵的遗传物质（染色体和基因）发生突变或畸变所引起</w:t>
            </w:r>
          </w:p>
        </w:tc>
      </w:tr>
      <w:tr>
        <w:trPr>
          <w:trHeight w:val="380"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41" w:lineRule="exact"/>
              <w:ind w:left="78"/>
              <w:rPr>
                <w:sz w:val="21"/>
              </w:rPr>
            </w:pPr>
            <w:r>
              <w:rPr>
                <w:sz w:val="21"/>
              </w:rPr>
              <w:t>的疾病，通常具有由亲代传至后代的垂直传递的特征。</w:t>
            </w:r>
          </w:p>
        </w:tc>
      </w:tr>
      <w:tr>
        <w:trPr>
          <w:trHeight w:val="406" w:hRule="atLeast"/>
        </w:trPr>
        <w:tc>
          <w:tcPr>
            <w:tcW w:w="998" w:type="dxa"/>
          </w:tcPr>
          <w:p>
            <w:pPr>
              <w:pStyle w:val="TableParagraph"/>
              <w:spacing w:before="131"/>
              <w:ind w:right="106"/>
              <w:jc w:val="right"/>
              <w:rPr>
                <w:rFonts w:ascii="Times New Roman"/>
                <w:b/>
                <w:sz w:val="21"/>
              </w:rPr>
            </w:pPr>
            <w:r>
              <w:rPr>
                <w:rFonts w:ascii="Times New Roman"/>
                <w:b/>
                <w:sz w:val="21"/>
              </w:rPr>
              <w:t>8.16</w:t>
            </w:r>
          </w:p>
        </w:tc>
        <w:tc>
          <w:tcPr>
            <w:tcW w:w="1654" w:type="dxa"/>
          </w:tcPr>
          <w:p>
            <w:pPr>
              <w:pStyle w:val="TableParagraph"/>
              <w:spacing w:before="101"/>
              <w:ind w:left="107"/>
              <w:rPr>
                <w:sz w:val="21"/>
              </w:rPr>
            </w:pPr>
            <w:r>
              <w:rPr>
                <w:sz w:val="21"/>
              </w:rPr>
              <w:t>先天性畸形、变</w:t>
            </w:r>
          </w:p>
        </w:tc>
        <w:tc>
          <w:tcPr>
            <w:tcW w:w="7037" w:type="dxa"/>
          </w:tcPr>
          <w:p>
            <w:pPr>
              <w:pStyle w:val="TableParagraph"/>
              <w:spacing w:before="99"/>
              <w:ind w:left="78"/>
              <w:rPr>
                <w:sz w:val="21"/>
              </w:rPr>
            </w:pPr>
            <w:r>
              <w:rPr>
                <w:sz w:val="21"/>
              </w:rPr>
              <w:t>指被保险人出生时就具有的畸形、变形或染色体异常。先天性畸形、变形</w:t>
            </w:r>
          </w:p>
        </w:tc>
      </w:tr>
      <w:tr>
        <w:trPr>
          <w:trHeight w:val="270" w:hRule="atLeast"/>
        </w:trPr>
        <w:tc>
          <w:tcPr>
            <w:tcW w:w="998" w:type="dxa"/>
          </w:tcPr>
          <w:p>
            <w:pPr>
              <w:pStyle w:val="TableParagraph"/>
              <w:rPr>
                <w:rFonts w:ascii="Times New Roman"/>
                <w:sz w:val="20"/>
              </w:rPr>
            </w:pPr>
          </w:p>
        </w:tc>
        <w:tc>
          <w:tcPr>
            <w:tcW w:w="1654" w:type="dxa"/>
          </w:tcPr>
          <w:p>
            <w:pPr>
              <w:pStyle w:val="TableParagraph"/>
              <w:spacing w:line="243" w:lineRule="exact"/>
              <w:ind w:left="107"/>
              <w:rPr>
                <w:sz w:val="21"/>
              </w:rPr>
            </w:pPr>
            <w:r>
              <w:rPr>
                <w:spacing w:val="-33"/>
                <w:sz w:val="21"/>
              </w:rPr>
              <w:t>形 或 染 色 体 异</w:t>
            </w:r>
          </w:p>
        </w:tc>
        <w:tc>
          <w:tcPr>
            <w:tcW w:w="7037" w:type="dxa"/>
          </w:tcPr>
          <w:p>
            <w:pPr>
              <w:pStyle w:val="TableParagraph"/>
              <w:spacing w:line="241" w:lineRule="exact"/>
              <w:ind w:left="78"/>
              <w:rPr>
                <w:sz w:val="21"/>
              </w:rPr>
            </w:pPr>
            <w:r>
              <w:rPr>
                <w:sz w:val="21"/>
              </w:rPr>
              <w:t>和染色体异常依照世界卫生组织《疾病和有关健康问题的国际统计分类》</w:t>
            </w:r>
          </w:p>
        </w:tc>
      </w:tr>
      <w:tr>
        <w:trPr>
          <w:trHeight w:val="391" w:hRule="atLeast"/>
        </w:trPr>
        <w:tc>
          <w:tcPr>
            <w:tcW w:w="998" w:type="dxa"/>
          </w:tcPr>
          <w:p>
            <w:pPr>
              <w:pStyle w:val="TableParagraph"/>
              <w:rPr>
                <w:rFonts w:ascii="Times New Roman"/>
                <w:sz w:val="20"/>
              </w:rPr>
            </w:pPr>
          </w:p>
        </w:tc>
        <w:tc>
          <w:tcPr>
            <w:tcW w:w="1654" w:type="dxa"/>
          </w:tcPr>
          <w:p>
            <w:pPr>
              <w:pStyle w:val="TableParagraph"/>
              <w:spacing w:line="247" w:lineRule="exact"/>
              <w:ind w:left="107"/>
              <w:rPr>
                <w:sz w:val="21"/>
              </w:rPr>
            </w:pPr>
            <w:r>
              <w:rPr>
                <w:sz w:val="21"/>
              </w:rPr>
              <w:t>常：</w:t>
            </w:r>
          </w:p>
        </w:tc>
        <w:tc>
          <w:tcPr>
            <w:tcW w:w="7037" w:type="dxa"/>
          </w:tcPr>
          <w:p>
            <w:pPr>
              <w:pStyle w:val="TableParagraph"/>
              <w:spacing w:line="260" w:lineRule="exact"/>
              <w:ind w:left="78"/>
              <w:rPr>
                <w:sz w:val="21"/>
              </w:rPr>
            </w:pPr>
            <w:r>
              <w:rPr>
                <w:sz w:val="21"/>
              </w:rPr>
              <w:t>（</w:t>
            </w:r>
            <w:r>
              <w:rPr>
                <w:rFonts w:ascii="Times New Roman" w:eastAsia="Times New Roman"/>
                <w:sz w:val="21"/>
              </w:rPr>
              <w:t>ICD-10</w:t>
            </w:r>
            <w:r>
              <w:rPr>
                <w:sz w:val="21"/>
              </w:rPr>
              <w:t>）确定。</w:t>
            </w:r>
          </w:p>
        </w:tc>
      </w:tr>
      <w:tr>
        <w:trPr>
          <w:trHeight w:val="1331" w:hRule="atLeast"/>
        </w:trPr>
        <w:tc>
          <w:tcPr>
            <w:tcW w:w="998" w:type="dxa"/>
          </w:tcPr>
          <w:p>
            <w:pPr>
              <w:pStyle w:val="TableParagraph"/>
              <w:spacing w:before="123"/>
              <w:ind w:right="106"/>
              <w:jc w:val="right"/>
              <w:rPr>
                <w:rFonts w:ascii="Times New Roman"/>
                <w:b/>
                <w:sz w:val="21"/>
              </w:rPr>
            </w:pPr>
            <w:r>
              <w:rPr>
                <w:rFonts w:ascii="Times New Roman"/>
                <w:b/>
                <w:sz w:val="21"/>
              </w:rPr>
              <w:t>8.17</w:t>
            </w:r>
          </w:p>
        </w:tc>
        <w:tc>
          <w:tcPr>
            <w:tcW w:w="1654" w:type="dxa"/>
          </w:tcPr>
          <w:p>
            <w:pPr>
              <w:pStyle w:val="TableParagraph"/>
              <w:spacing w:before="93"/>
              <w:ind w:left="107" w:right="77"/>
              <w:rPr>
                <w:sz w:val="21"/>
              </w:rPr>
            </w:pPr>
            <w:r>
              <w:rPr>
                <w:spacing w:val="-33"/>
                <w:sz w:val="21"/>
              </w:rPr>
              <w:t>六 项 基 本 日 常</w:t>
            </w:r>
            <w:r>
              <w:rPr>
                <w:spacing w:val="-15"/>
                <w:sz w:val="21"/>
              </w:rPr>
              <w:t>生活活动：</w:t>
            </w:r>
          </w:p>
        </w:tc>
        <w:tc>
          <w:tcPr>
            <w:tcW w:w="7037" w:type="dxa"/>
          </w:tcPr>
          <w:p>
            <w:pPr>
              <w:pStyle w:val="TableParagraph"/>
              <w:spacing w:line="225" w:lineRule="auto" w:before="108"/>
              <w:ind w:left="131" w:right="49"/>
              <w:rPr>
                <w:sz w:val="21"/>
              </w:rPr>
            </w:pPr>
            <w:r>
              <w:rPr>
                <w:spacing w:val="-11"/>
                <w:w w:val="100"/>
                <w:sz w:val="21"/>
              </w:rPr>
              <w:t>六项基本日常生活活动是指：</w:t>
            </w:r>
            <w:r>
              <w:rPr>
                <w:w w:val="100"/>
                <w:sz w:val="21"/>
              </w:rPr>
              <w:t>（</w:t>
            </w:r>
            <w:r>
              <w:rPr>
                <w:rFonts w:ascii="Times New Roman" w:eastAsia="Times New Roman"/>
                <w:spacing w:val="-3"/>
                <w:w w:val="100"/>
                <w:sz w:val="21"/>
              </w:rPr>
              <w:t>1</w:t>
            </w:r>
            <w:r>
              <w:rPr>
                <w:spacing w:val="-29"/>
                <w:w w:val="100"/>
                <w:sz w:val="21"/>
              </w:rPr>
              <w:t>）</w:t>
            </w:r>
            <w:r>
              <w:rPr>
                <w:spacing w:val="-15"/>
                <w:w w:val="100"/>
                <w:sz w:val="21"/>
              </w:rPr>
              <w:t>穿衣：自己能够穿衣及脱衣；</w:t>
            </w:r>
            <w:r>
              <w:rPr>
                <w:w w:val="100"/>
                <w:sz w:val="21"/>
              </w:rPr>
              <w:t>（</w:t>
            </w:r>
            <w:r>
              <w:rPr>
                <w:rFonts w:ascii="Times New Roman" w:eastAsia="Times New Roman"/>
                <w:spacing w:val="-3"/>
                <w:w w:val="100"/>
                <w:sz w:val="21"/>
              </w:rPr>
              <w:t>2</w:t>
            </w:r>
            <w:r>
              <w:rPr>
                <w:spacing w:val="-29"/>
                <w:w w:val="100"/>
                <w:sz w:val="21"/>
              </w:rPr>
              <w:t>）</w:t>
            </w:r>
            <w:r>
              <w:rPr>
                <w:w w:val="100"/>
                <w:sz w:val="21"/>
              </w:rPr>
              <w:t>移动：</w:t>
            </w:r>
            <w:r>
              <w:rPr>
                <w:spacing w:val="-10"/>
                <w:w w:val="100"/>
                <w:sz w:val="21"/>
              </w:rPr>
              <w:t>自己从一个房间到另一个房间；</w:t>
            </w:r>
            <w:r>
              <w:rPr>
                <w:w w:val="100"/>
                <w:sz w:val="21"/>
              </w:rPr>
              <w:t>（</w:t>
            </w:r>
            <w:r>
              <w:rPr>
                <w:rFonts w:ascii="Times New Roman" w:eastAsia="Times New Roman"/>
                <w:spacing w:val="-3"/>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spacing w:val="-3"/>
                <w:w w:val="100"/>
                <w:sz w:val="21"/>
              </w:rPr>
              <w:t>4</w:t>
            </w:r>
            <w:r>
              <w:rPr>
                <w:w w:val="100"/>
                <w:sz w:val="21"/>
              </w:rPr>
              <w:t>）</w:t>
            </w:r>
            <w:r>
              <w:rPr>
                <w:spacing w:val="-10"/>
                <w:w w:val="100"/>
                <w:sz w:val="21"/>
              </w:rPr>
              <w:t>如厕：自己控制进行大小便；</w:t>
            </w:r>
            <w:r>
              <w:rPr>
                <w:w w:val="100"/>
                <w:sz w:val="21"/>
              </w:rPr>
              <w:t>（</w:t>
            </w:r>
            <w:r>
              <w:rPr>
                <w:rFonts w:ascii="Times New Roman" w:eastAsia="Times New Roman"/>
                <w:w w:val="100"/>
                <w:sz w:val="21"/>
              </w:rPr>
              <w:t>5</w:t>
            </w:r>
            <w:r>
              <w:rPr>
                <w:spacing w:val="-3"/>
                <w:w w:val="100"/>
                <w:sz w:val="21"/>
              </w:rPr>
              <w:t>）进食：自己从已准备好的碗或碟中取食</w:t>
            </w:r>
            <w:r>
              <w:rPr>
                <w:spacing w:val="-21"/>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398" w:hRule="atLeast"/>
        </w:trPr>
        <w:tc>
          <w:tcPr>
            <w:tcW w:w="998" w:type="dxa"/>
          </w:tcPr>
          <w:p>
            <w:pPr>
              <w:pStyle w:val="TableParagraph"/>
              <w:spacing w:before="123"/>
              <w:ind w:right="106"/>
              <w:jc w:val="right"/>
              <w:rPr>
                <w:rFonts w:ascii="Times New Roman"/>
                <w:b/>
                <w:sz w:val="21"/>
              </w:rPr>
            </w:pPr>
            <w:r>
              <w:rPr>
                <w:rFonts w:ascii="Times New Roman"/>
                <w:b/>
                <w:sz w:val="21"/>
              </w:rPr>
              <w:t>8.18</w:t>
            </w:r>
          </w:p>
        </w:tc>
        <w:tc>
          <w:tcPr>
            <w:tcW w:w="1654" w:type="dxa"/>
          </w:tcPr>
          <w:p>
            <w:pPr>
              <w:pStyle w:val="TableParagraph"/>
              <w:spacing w:before="93"/>
              <w:ind w:left="107"/>
              <w:rPr>
                <w:sz w:val="21"/>
              </w:rPr>
            </w:pPr>
            <w:r>
              <w:rPr>
                <w:spacing w:val="-33"/>
                <w:sz w:val="21"/>
              </w:rPr>
              <w:t>肢 体 机 能 完 全</w:t>
            </w:r>
          </w:p>
        </w:tc>
        <w:tc>
          <w:tcPr>
            <w:tcW w:w="7037" w:type="dxa"/>
          </w:tcPr>
          <w:p>
            <w:pPr>
              <w:pStyle w:val="TableParagraph"/>
              <w:spacing w:before="91"/>
              <w:ind w:left="131"/>
              <w:rPr>
                <w:sz w:val="21"/>
              </w:rPr>
            </w:pPr>
            <w:r>
              <w:rPr>
                <w:sz w:val="21"/>
              </w:rPr>
              <w:t>指肢体的三大关节中的两大关节僵硬，或不能随意识活动。肢体是指包括</w:t>
            </w:r>
          </w:p>
        </w:tc>
      </w:tr>
      <w:tr>
        <w:trPr>
          <w:trHeight w:val="381" w:hRule="atLeast"/>
        </w:trPr>
        <w:tc>
          <w:tcPr>
            <w:tcW w:w="998" w:type="dxa"/>
          </w:tcPr>
          <w:p>
            <w:pPr>
              <w:pStyle w:val="TableParagraph"/>
              <w:rPr>
                <w:rFonts w:ascii="Times New Roman"/>
                <w:sz w:val="20"/>
              </w:rPr>
            </w:pPr>
          </w:p>
        </w:tc>
        <w:tc>
          <w:tcPr>
            <w:tcW w:w="1654" w:type="dxa"/>
          </w:tcPr>
          <w:p>
            <w:pPr>
              <w:pStyle w:val="TableParagraph"/>
              <w:spacing w:line="243" w:lineRule="exact"/>
              <w:ind w:left="107"/>
              <w:rPr>
                <w:sz w:val="21"/>
              </w:rPr>
            </w:pPr>
            <w:r>
              <w:rPr>
                <w:sz w:val="21"/>
              </w:rPr>
              <w:t>丧失：</w:t>
            </w:r>
          </w:p>
        </w:tc>
        <w:tc>
          <w:tcPr>
            <w:tcW w:w="7037" w:type="dxa"/>
          </w:tcPr>
          <w:p>
            <w:pPr>
              <w:pStyle w:val="TableParagraph"/>
              <w:spacing w:line="241" w:lineRule="exact"/>
              <w:ind w:left="131"/>
              <w:rPr>
                <w:sz w:val="21"/>
              </w:rPr>
            </w:pPr>
            <w:r>
              <w:rPr>
                <w:sz w:val="21"/>
              </w:rPr>
              <w:t>肩关节的整个上肢或包括髋关节的整个下肢。</w:t>
            </w:r>
          </w:p>
        </w:tc>
      </w:tr>
      <w:tr>
        <w:trPr>
          <w:trHeight w:val="405" w:hRule="atLeast"/>
        </w:trPr>
        <w:tc>
          <w:tcPr>
            <w:tcW w:w="998" w:type="dxa"/>
          </w:tcPr>
          <w:p>
            <w:pPr>
              <w:pStyle w:val="TableParagraph"/>
              <w:spacing w:before="130"/>
              <w:ind w:right="106"/>
              <w:jc w:val="right"/>
              <w:rPr>
                <w:rFonts w:ascii="Times New Roman"/>
                <w:b/>
                <w:sz w:val="21"/>
              </w:rPr>
            </w:pPr>
            <w:r>
              <w:rPr>
                <w:rFonts w:ascii="Times New Roman"/>
                <w:b/>
                <w:sz w:val="21"/>
              </w:rPr>
              <w:t>8.19</w:t>
            </w:r>
          </w:p>
        </w:tc>
        <w:tc>
          <w:tcPr>
            <w:tcW w:w="1654" w:type="dxa"/>
          </w:tcPr>
          <w:p>
            <w:pPr>
              <w:pStyle w:val="TableParagraph"/>
              <w:spacing w:before="100"/>
              <w:ind w:left="107"/>
              <w:rPr>
                <w:sz w:val="21"/>
              </w:rPr>
            </w:pPr>
            <w:r>
              <w:rPr>
                <w:spacing w:val="-33"/>
                <w:sz w:val="21"/>
              </w:rPr>
              <w:t>语 言 能 力 完 全</w:t>
            </w:r>
          </w:p>
        </w:tc>
        <w:tc>
          <w:tcPr>
            <w:tcW w:w="7037" w:type="dxa"/>
          </w:tcPr>
          <w:p>
            <w:pPr>
              <w:pStyle w:val="TableParagraph"/>
              <w:spacing w:before="98"/>
              <w:ind w:left="131"/>
              <w:rPr>
                <w:sz w:val="21"/>
              </w:rPr>
            </w:pPr>
            <w:r>
              <w:rPr>
                <w:sz w:val="21"/>
              </w:rPr>
              <w:t>指无法发出四种语音（包括口唇音、齿舌音、口盖音和喉头音）中的任何</w:t>
            </w:r>
          </w:p>
        </w:tc>
      </w:tr>
      <w:tr>
        <w:trPr>
          <w:trHeight w:val="381" w:hRule="atLeast"/>
        </w:trPr>
        <w:tc>
          <w:tcPr>
            <w:tcW w:w="998" w:type="dxa"/>
          </w:tcPr>
          <w:p>
            <w:pPr>
              <w:pStyle w:val="TableParagraph"/>
              <w:rPr>
                <w:rFonts w:ascii="Times New Roman"/>
                <w:sz w:val="20"/>
              </w:rPr>
            </w:pPr>
          </w:p>
        </w:tc>
        <w:tc>
          <w:tcPr>
            <w:tcW w:w="1654" w:type="dxa"/>
          </w:tcPr>
          <w:p>
            <w:pPr>
              <w:pStyle w:val="TableParagraph"/>
              <w:spacing w:line="243" w:lineRule="exact"/>
              <w:ind w:left="107"/>
              <w:rPr>
                <w:sz w:val="21"/>
              </w:rPr>
            </w:pPr>
            <w:r>
              <w:rPr>
                <w:sz w:val="21"/>
              </w:rPr>
              <w:t>丧失：</w:t>
            </w:r>
          </w:p>
        </w:tc>
        <w:tc>
          <w:tcPr>
            <w:tcW w:w="7037" w:type="dxa"/>
          </w:tcPr>
          <w:p>
            <w:pPr>
              <w:pStyle w:val="TableParagraph"/>
              <w:spacing w:line="241" w:lineRule="exact"/>
              <w:ind w:left="131"/>
              <w:rPr>
                <w:sz w:val="21"/>
              </w:rPr>
            </w:pPr>
            <w:r>
              <w:rPr>
                <w:sz w:val="21"/>
              </w:rPr>
              <w:t>三种、或声带全部切除，或因大脑语言中枢受伤害而患失语症。</w:t>
            </w:r>
          </w:p>
        </w:tc>
      </w:tr>
      <w:tr>
        <w:trPr>
          <w:trHeight w:val="405" w:hRule="atLeast"/>
        </w:trPr>
        <w:tc>
          <w:tcPr>
            <w:tcW w:w="998" w:type="dxa"/>
          </w:tcPr>
          <w:p>
            <w:pPr>
              <w:pStyle w:val="TableParagraph"/>
              <w:spacing w:before="130"/>
              <w:ind w:right="106"/>
              <w:jc w:val="right"/>
              <w:rPr>
                <w:rFonts w:ascii="Times New Roman"/>
                <w:b/>
                <w:sz w:val="21"/>
              </w:rPr>
            </w:pPr>
            <w:r>
              <w:rPr>
                <w:rFonts w:ascii="Times New Roman"/>
                <w:b/>
                <w:sz w:val="21"/>
              </w:rPr>
              <w:t>8.20</w:t>
            </w:r>
          </w:p>
        </w:tc>
        <w:tc>
          <w:tcPr>
            <w:tcW w:w="1654" w:type="dxa"/>
          </w:tcPr>
          <w:p>
            <w:pPr>
              <w:pStyle w:val="TableParagraph"/>
              <w:spacing w:before="100"/>
              <w:ind w:left="107"/>
              <w:rPr>
                <w:sz w:val="21"/>
              </w:rPr>
            </w:pPr>
            <w:r>
              <w:rPr>
                <w:spacing w:val="-33"/>
                <w:sz w:val="21"/>
              </w:rPr>
              <w:t>咀 嚼 吞 咽 能 力</w:t>
            </w:r>
          </w:p>
        </w:tc>
        <w:tc>
          <w:tcPr>
            <w:tcW w:w="7037" w:type="dxa"/>
          </w:tcPr>
          <w:p>
            <w:pPr>
              <w:pStyle w:val="TableParagraph"/>
              <w:spacing w:before="98"/>
              <w:ind w:left="131"/>
              <w:rPr>
                <w:sz w:val="21"/>
              </w:rPr>
            </w:pPr>
            <w:r>
              <w:rPr>
                <w:spacing w:val="-7"/>
                <w:sz w:val="21"/>
              </w:rPr>
              <w:t>指因牙齿以外的原因导致器质障碍或机能障碍，以致不能作咀嚼吞咽运动，</w:t>
            </w:r>
          </w:p>
        </w:tc>
      </w:tr>
      <w:tr>
        <w:trPr>
          <w:trHeight w:val="381" w:hRule="atLeast"/>
        </w:trPr>
        <w:tc>
          <w:tcPr>
            <w:tcW w:w="998" w:type="dxa"/>
          </w:tcPr>
          <w:p>
            <w:pPr>
              <w:pStyle w:val="TableParagraph"/>
              <w:rPr>
                <w:rFonts w:ascii="Times New Roman"/>
                <w:sz w:val="20"/>
              </w:rPr>
            </w:pPr>
          </w:p>
        </w:tc>
        <w:tc>
          <w:tcPr>
            <w:tcW w:w="1654" w:type="dxa"/>
          </w:tcPr>
          <w:p>
            <w:pPr>
              <w:pStyle w:val="TableParagraph"/>
              <w:spacing w:line="243" w:lineRule="exact"/>
              <w:ind w:left="107"/>
              <w:rPr>
                <w:sz w:val="21"/>
              </w:rPr>
            </w:pPr>
            <w:r>
              <w:rPr>
                <w:sz w:val="21"/>
              </w:rPr>
              <w:t>完全丧失：</w:t>
            </w:r>
          </w:p>
        </w:tc>
        <w:tc>
          <w:tcPr>
            <w:tcW w:w="7037" w:type="dxa"/>
          </w:tcPr>
          <w:p>
            <w:pPr>
              <w:pStyle w:val="TableParagraph"/>
              <w:spacing w:line="241" w:lineRule="exact"/>
              <w:ind w:left="131"/>
              <w:rPr>
                <w:sz w:val="21"/>
              </w:rPr>
            </w:pPr>
            <w:r>
              <w:rPr>
                <w:sz w:val="21"/>
              </w:rPr>
              <w:t>除流质食物外不能摄取或吞咽的状态。</w:t>
            </w:r>
          </w:p>
        </w:tc>
      </w:tr>
      <w:tr>
        <w:trPr>
          <w:trHeight w:val="412" w:hRule="atLeast"/>
        </w:trPr>
        <w:tc>
          <w:tcPr>
            <w:tcW w:w="998" w:type="dxa"/>
          </w:tcPr>
          <w:p>
            <w:pPr>
              <w:pStyle w:val="TableParagraph"/>
              <w:spacing w:before="130"/>
              <w:ind w:right="106"/>
              <w:jc w:val="right"/>
              <w:rPr>
                <w:rFonts w:ascii="Times New Roman"/>
                <w:b/>
                <w:sz w:val="21"/>
              </w:rPr>
            </w:pPr>
            <w:r>
              <w:rPr>
                <w:rFonts w:ascii="Times New Roman"/>
                <w:b/>
                <w:sz w:val="21"/>
              </w:rPr>
              <w:t>8.21</w:t>
            </w:r>
          </w:p>
        </w:tc>
        <w:tc>
          <w:tcPr>
            <w:tcW w:w="1654" w:type="dxa"/>
          </w:tcPr>
          <w:p>
            <w:pPr>
              <w:pStyle w:val="TableParagraph"/>
              <w:spacing w:before="100"/>
              <w:ind w:left="107"/>
              <w:rPr>
                <w:sz w:val="21"/>
              </w:rPr>
            </w:pPr>
            <w:r>
              <w:rPr>
                <w:sz w:val="21"/>
              </w:rPr>
              <w:t>永久不可逆：</w:t>
            </w:r>
          </w:p>
        </w:tc>
        <w:tc>
          <w:tcPr>
            <w:tcW w:w="7037" w:type="dxa"/>
          </w:tcPr>
          <w:p>
            <w:pPr>
              <w:pStyle w:val="TableParagraph"/>
              <w:spacing w:before="98"/>
              <w:ind w:left="131"/>
              <w:rPr>
                <w:sz w:val="21"/>
              </w:rPr>
            </w:pPr>
            <w:r>
              <w:rPr>
                <w:sz w:val="21"/>
              </w:rPr>
              <w:t>指自疾病确诊或意外伤害事故发生之日起，经过积极治疗 </w:t>
            </w:r>
            <w:r>
              <w:rPr>
                <w:rFonts w:ascii="Times New Roman" w:eastAsia="Times New Roman"/>
                <w:sz w:val="21"/>
              </w:rPr>
              <w:t>180 </w:t>
            </w:r>
            <w:r>
              <w:rPr>
                <w:sz w:val="21"/>
              </w:rPr>
              <w:t>天后，仍无</w:t>
            </w:r>
          </w:p>
        </w:tc>
      </w:tr>
      <w:tr>
        <w:trPr>
          <w:trHeight w:val="385"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34" w:lineRule="exact"/>
              <w:ind w:left="131"/>
              <w:rPr>
                <w:sz w:val="21"/>
              </w:rPr>
            </w:pPr>
            <w:r>
              <w:rPr>
                <w:sz w:val="21"/>
              </w:rPr>
              <w:t>法通过现有医疗手段恢复。</w:t>
            </w:r>
          </w:p>
        </w:tc>
      </w:tr>
      <w:tr>
        <w:trPr>
          <w:trHeight w:val="512" w:hRule="atLeast"/>
        </w:trPr>
        <w:tc>
          <w:tcPr>
            <w:tcW w:w="998" w:type="dxa"/>
          </w:tcPr>
          <w:p>
            <w:pPr>
              <w:pStyle w:val="TableParagraph"/>
              <w:spacing w:before="90"/>
              <w:ind w:right="103"/>
              <w:jc w:val="right"/>
              <w:rPr>
                <w:sz w:val="21"/>
              </w:rPr>
            </w:pPr>
            <w:r>
              <w:rPr>
                <w:sz w:val="21"/>
              </w:rPr>
              <w:t>附表一：</w:t>
            </w:r>
          </w:p>
        </w:tc>
        <w:tc>
          <w:tcPr>
            <w:tcW w:w="1654" w:type="dxa"/>
          </w:tcPr>
          <w:p>
            <w:pPr>
              <w:pStyle w:val="TableParagraph"/>
              <w:spacing w:before="90"/>
              <w:ind w:left="107"/>
              <w:rPr>
                <w:sz w:val="21"/>
              </w:rPr>
            </w:pPr>
            <w:r>
              <w:rPr>
                <w:sz w:val="21"/>
              </w:rPr>
              <w:t>轻症疾病列表</w:t>
            </w:r>
          </w:p>
        </w:tc>
        <w:tc>
          <w:tcPr>
            <w:tcW w:w="7037" w:type="dxa"/>
          </w:tcPr>
          <w:p>
            <w:pPr>
              <w:pStyle w:val="TableParagraph"/>
              <w:spacing w:before="87"/>
              <w:ind w:left="131"/>
              <w:rPr>
                <w:sz w:val="21"/>
              </w:rPr>
            </w:pPr>
            <w:r>
              <w:rPr>
                <w:sz w:val="21"/>
              </w:rPr>
              <w:t>包括以下疾病、疾病状态或手术。</w:t>
            </w:r>
          </w:p>
        </w:tc>
      </w:tr>
      <w:tr>
        <w:trPr>
          <w:trHeight w:val="406" w:hRule="atLeast"/>
        </w:trPr>
        <w:tc>
          <w:tcPr>
            <w:tcW w:w="998" w:type="dxa"/>
          </w:tcPr>
          <w:p>
            <w:pPr>
              <w:pStyle w:val="TableParagraph"/>
              <w:rPr>
                <w:rFonts w:ascii="Times New Roman"/>
                <w:sz w:val="20"/>
              </w:rPr>
            </w:pPr>
          </w:p>
        </w:tc>
        <w:tc>
          <w:tcPr>
            <w:tcW w:w="1654" w:type="dxa"/>
          </w:tcPr>
          <w:p>
            <w:pPr>
              <w:pStyle w:val="TableParagraph"/>
              <w:spacing w:before="93"/>
              <w:ind w:left="105"/>
              <w:rPr>
                <w:sz w:val="21"/>
              </w:rPr>
            </w:pPr>
            <w:r>
              <w:rPr>
                <w:rFonts w:ascii="Times New Roman" w:eastAsia="Times New Roman"/>
                <w:b/>
                <w:sz w:val="21"/>
              </w:rPr>
              <w:t>1.</w:t>
            </w:r>
            <w:r>
              <w:rPr>
                <w:sz w:val="21"/>
              </w:rPr>
              <w:t>极早期的恶性</w:t>
            </w:r>
          </w:p>
        </w:tc>
        <w:tc>
          <w:tcPr>
            <w:tcW w:w="7037" w:type="dxa"/>
          </w:tcPr>
          <w:p>
            <w:pPr>
              <w:pStyle w:val="TableParagraph"/>
              <w:spacing w:before="102"/>
              <w:ind w:left="131"/>
              <w:rPr>
                <w:sz w:val="21"/>
              </w:rPr>
            </w:pPr>
            <w:r>
              <w:rPr>
                <w:sz w:val="21"/>
              </w:rPr>
              <w:t>指经组织病理学检查被明确诊断为下列恶性病变，并且接受了相应的治</w:t>
            </w:r>
          </w:p>
        </w:tc>
      </w:tr>
      <w:tr>
        <w:trPr>
          <w:trHeight w:val="272" w:hRule="atLeast"/>
        </w:trPr>
        <w:tc>
          <w:tcPr>
            <w:tcW w:w="998" w:type="dxa"/>
          </w:tcPr>
          <w:p>
            <w:pPr>
              <w:pStyle w:val="TableParagraph"/>
              <w:rPr>
                <w:rFonts w:ascii="Times New Roman"/>
                <w:sz w:val="20"/>
              </w:rPr>
            </w:pPr>
          </w:p>
        </w:tc>
        <w:tc>
          <w:tcPr>
            <w:tcW w:w="1654" w:type="dxa"/>
          </w:tcPr>
          <w:p>
            <w:pPr>
              <w:pStyle w:val="TableParagraph"/>
              <w:spacing w:line="235" w:lineRule="exact"/>
              <w:ind w:left="107"/>
              <w:rPr>
                <w:sz w:val="21"/>
              </w:rPr>
            </w:pPr>
            <w:r>
              <w:rPr>
                <w:spacing w:val="-33"/>
                <w:sz w:val="21"/>
              </w:rPr>
              <w:t>肿 瘤 或 恶 性 病</w:t>
            </w:r>
          </w:p>
        </w:tc>
        <w:tc>
          <w:tcPr>
            <w:tcW w:w="7037" w:type="dxa"/>
          </w:tcPr>
          <w:p>
            <w:pPr>
              <w:pStyle w:val="TableParagraph"/>
              <w:spacing w:line="250" w:lineRule="exact"/>
              <w:ind w:left="131"/>
              <w:rPr>
                <w:sz w:val="21"/>
              </w:rPr>
            </w:pPr>
            <w:r>
              <w:rPr>
                <w:sz w:val="21"/>
              </w:rPr>
              <w:t>疗。</w:t>
            </w:r>
          </w:p>
        </w:tc>
      </w:tr>
      <w:tr>
        <w:trPr>
          <w:trHeight w:val="297" w:hRule="atLeast"/>
        </w:trPr>
        <w:tc>
          <w:tcPr>
            <w:tcW w:w="998" w:type="dxa"/>
          </w:tcPr>
          <w:p>
            <w:pPr>
              <w:pStyle w:val="TableParagraph"/>
              <w:rPr>
                <w:rFonts w:ascii="Times New Roman"/>
                <w:sz w:val="20"/>
              </w:rPr>
            </w:pPr>
          </w:p>
        </w:tc>
        <w:tc>
          <w:tcPr>
            <w:tcW w:w="1654" w:type="dxa"/>
          </w:tcPr>
          <w:p>
            <w:pPr>
              <w:pStyle w:val="TableParagraph"/>
              <w:spacing w:line="234" w:lineRule="exact"/>
              <w:ind w:left="107"/>
              <w:rPr>
                <w:sz w:val="21"/>
              </w:rPr>
            </w:pPr>
            <w:r>
              <w:rPr>
                <w:w w:val="100"/>
                <w:sz w:val="21"/>
              </w:rPr>
              <w:t>变</w:t>
            </w:r>
          </w:p>
        </w:tc>
        <w:tc>
          <w:tcPr>
            <w:tcW w:w="7037" w:type="dxa"/>
          </w:tcPr>
          <w:p>
            <w:pPr>
              <w:pStyle w:val="TableParagraph"/>
              <w:spacing w:line="274" w:lineRule="exact"/>
              <w:ind w:left="131"/>
              <w:rPr>
                <w:sz w:val="21"/>
              </w:rPr>
            </w:pPr>
            <w:r>
              <w:rPr>
                <w:sz w:val="21"/>
              </w:rPr>
              <w:t>（</w:t>
            </w:r>
            <w:r>
              <w:rPr>
                <w:rFonts w:ascii="Times New Roman" w:eastAsia="Times New Roman"/>
                <w:sz w:val="21"/>
              </w:rPr>
              <w:t>1</w:t>
            </w:r>
            <w:r>
              <w:rPr>
                <w:sz w:val="21"/>
              </w:rPr>
              <w:t>）原位癌；</w:t>
            </w:r>
          </w:p>
        </w:tc>
      </w:tr>
      <w:tr>
        <w:trPr>
          <w:trHeight w:val="559"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51" w:lineRule="exact"/>
              <w:ind w:left="13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85" w:lineRule="exact"/>
              <w:ind w:left="13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80"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57" w:lineRule="exact"/>
              <w:ind w:left="131"/>
              <w:rPr>
                <w:sz w:val="21"/>
              </w:rPr>
            </w:pPr>
            <w:r>
              <w:rPr>
                <w:sz w:val="21"/>
              </w:rPr>
              <w:t>（</w:t>
            </w:r>
            <w:r>
              <w:rPr>
                <w:rFonts w:ascii="Times New Roman" w:eastAsia="Times New Roman"/>
                <w:sz w:val="21"/>
              </w:rPr>
              <w:t>4</w:t>
            </w:r>
            <w:r>
              <w:rPr>
                <w:sz w:val="21"/>
              </w:rPr>
              <w:t>）皮肤癌（不包括恶性黑色素瘤及已发Th转移的皮肤癌）；</w:t>
            </w:r>
          </w:p>
        </w:tc>
      </w:tr>
      <w:tr>
        <w:trPr>
          <w:trHeight w:val="405"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57" w:lineRule="exact"/>
              <w:ind w:left="131"/>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375"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before="69"/>
              <w:ind w:left="131"/>
              <w:rPr>
                <w:sz w:val="21"/>
              </w:rPr>
            </w:pPr>
            <w:r>
              <w:rPr>
                <w:sz w:val="21"/>
              </w:rPr>
              <w:t>原位癌指恶性细胞局限于上皮内尚未穿破基底膜浸润周围正常组织的癌细</w:t>
            </w:r>
          </w:p>
        </w:tc>
      </w:tr>
      <w:tr>
        <w:trPr>
          <w:trHeight w:val="272"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42" w:lineRule="exact"/>
              <w:ind w:left="131"/>
              <w:rPr>
                <w:sz w:val="21"/>
              </w:rPr>
            </w:pPr>
            <w:r>
              <w:rPr>
                <w:sz w:val="21"/>
              </w:rPr>
              <w:t>胞新生物。原位癌必须经对固定活组织的组织病理学检查确诊。被保险人</w:t>
            </w:r>
          </w:p>
        </w:tc>
      </w:tr>
      <w:tr>
        <w:trPr>
          <w:trHeight w:val="390"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41" w:lineRule="exact"/>
              <w:ind w:left="131"/>
              <w:rPr>
                <w:sz w:val="21"/>
              </w:rPr>
            </w:pPr>
            <w:r>
              <w:rPr>
                <w:sz w:val="21"/>
              </w:rPr>
              <w:t>必须已经接受了针对原位癌病灶的积极治疗。</w:t>
            </w:r>
          </w:p>
        </w:tc>
      </w:tr>
      <w:tr>
        <w:trPr>
          <w:trHeight w:val="407" w:hRule="atLeast"/>
        </w:trPr>
        <w:tc>
          <w:tcPr>
            <w:tcW w:w="998" w:type="dxa"/>
          </w:tcPr>
          <w:p>
            <w:pPr>
              <w:pStyle w:val="TableParagraph"/>
              <w:rPr>
                <w:rFonts w:ascii="Times New Roman"/>
                <w:sz w:val="20"/>
              </w:rPr>
            </w:pPr>
          </w:p>
        </w:tc>
        <w:tc>
          <w:tcPr>
            <w:tcW w:w="1654" w:type="dxa"/>
          </w:tcPr>
          <w:p>
            <w:pPr>
              <w:pStyle w:val="TableParagraph"/>
              <w:spacing w:before="94"/>
              <w:ind w:left="105"/>
              <w:rPr>
                <w:sz w:val="21"/>
              </w:rPr>
            </w:pPr>
            <w:r>
              <w:rPr>
                <w:rFonts w:ascii="Times New Roman" w:eastAsia="Times New Roman"/>
                <w:b/>
                <w:sz w:val="21"/>
              </w:rPr>
              <w:t>2.</w:t>
            </w:r>
            <w:r>
              <w:rPr>
                <w:sz w:val="21"/>
              </w:rPr>
              <w:t>不典型的急性</w:t>
            </w:r>
          </w:p>
        </w:tc>
        <w:tc>
          <w:tcPr>
            <w:tcW w:w="7037" w:type="dxa"/>
          </w:tcPr>
          <w:p>
            <w:pPr>
              <w:pStyle w:val="TableParagraph"/>
              <w:spacing w:before="104"/>
              <w:ind w:left="131"/>
              <w:rPr>
                <w:sz w:val="21"/>
              </w:rPr>
            </w:pPr>
            <w:r>
              <w:rPr>
                <w:sz w:val="21"/>
              </w:rPr>
              <w:t>指被临床诊断为急性心肌梗塞并接受了急性心肌梗塞治疗，虽然未达到重</w:t>
            </w:r>
          </w:p>
        </w:tc>
      </w:tr>
      <w:tr>
        <w:trPr>
          <w:trHeight w:val="289" w:hRule="atLeast"/>
        </w:trPr>
        <w:tc>
          <w:tcPr>
            <w:tcW w:w="998" w:type="dxa"/>
          </w:tcPr>
          <w:p>
            <w:pPr>
              <w:pStyle w:val="TableParagraph"/>
              <w:rPr>
                <w:rFonts w:ascii="Times New Roman"/>
                <w:sz w:val="20"/>
              </w:rPr>
            </w:pPr>
          </w:p>
        </w:tc>
        <w:tc>
          <w:tcPr>
            <w:tcW w:w="1654" w:type="dxa"/>
          </w:tcPr>
          <w:p>
            <w:pPr>
              <w:pStyle w:val="TableParagraph"/>
              <w:spacing w:line="235" w:lineRule="exact"/>
              <w:ind w:left="107"/>
              <w:rPr>
                <w:sz w:val="21"/>
              </w:rPr>
            </w:pPr>
            <w:r>
              <w:rPr>
                <w:sz w:val="21"/>
              </w:rPr>
              <w:t>心肌梗塞</w:t>
            </w:r>
          </w:p>
        </w:tc>
        <w:tc>
          <w:tcPr>
            <w:tcW w:w="7037" w:type="dxa"/>
          </w:tcPr>
          <w:p>
            <w:pPr>
              <w:pStyle w:val="TableParagraph"/>
              <w:spacing w:line="266" w:lineRule="exact"/>
              <w:ind w:left="131"/>
              <w:rPr>
                <w:sz w:val="21"/>
              </w:rPr>
            </w:pPr>
            <w:r>
              <w:rPr>
                <w:sz w:val="21"/>
              </w:rPr>
              <w:t>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tc>
      </w:tr>
      <w:tr>
        <w:trPr>
          <w:trHeight w:val="280"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57" w:lineRule="exact"/>
              <w:ind w:left="131"/>
              <w:rPr>
                <w:sz w:val="21"/>
              </w:rPr>
            </w:pPr>
            <w:r>
              <w:rPr>
                <w:sz w:val="21"/>
              </w:rPr>
              <w:t>（</w:t>
            </w:r>
            <w:r>
              <w:rPr>
                <w:rFonts w:ascii="Times New Roman" w:eastAsia="Times New Roman"/>
                <w:sz w:val="21"/>
              </w:rPr>
              <w:t>1</w:t>
            </w:r>
            <w:r>
              <w:rPr>
                <w:sz w:val="21"/>
              </w:rPr>
              <w:t>）肌钙蛋白有诊断意义的升高；</w:t>
            </w:r>
          </w:p>
        </w:tc>
      </w:tr>
      <w:tr>
        <w:trPr>
          <w:trHeight w:val="394"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57" w:lineRule="exact"/>
              <w:ind w:left="131"/>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395" w:hRule="atLeast"/>
        </w:trPr>
        <w:tc>
          <w:tcPr>
            <w:tcW w:w="998" w:type="dxa"/>
          </w:tcPr>
          <w:p>
            <w:pPr>
              <w:pStyle w:val="TableParagraph"/>
              <w:rPr>
                <w:rFonts w:ascii="Times New Roman"/>
                <w:sz w:val="20"/>
              </w:rPr>
            </w:pPr>
          </w:p>
        </w:tc>
        <w:tc>
          <w:tcPr>
            <w:tcW w:w="1654" w:type="dxa"/>
          </w:tcPr>
          <w:p>
            <w:pPr>
              <w:pStyle w:val="TableParagraph"/>
              <w:spacing w:before="82"/>
              <w:ind w:left="105"/>
              <w:rPr>
                <w:sz w:val="21"/>
              </w:rPr>
            </w:pPr>
            <w:r>
              <w:rPr>
                <w:rFonts w:ascii="Times New Roman" w:eastAsia="Times New Roman"/>
                <w:b/>
                <w:sz w:val="21"/>
              </w:rPr>
              <w:t>3.</w:t>
            </w:r>
            <w:r>
              <w:rPr>
                <w:sz w:val="21"/>
              </w:rPr>
              <w:t>冠状动脉介入</w:t>
            </w:r>
          </w:p>
        </w:tc>
        <w:tc>
          <w:tcPr>
            <w:tcW w:w="7037" w:type="dxa"/>
          </w:tcPr>
          <w:p>
            <w:pPr>
              <w:pStyle w:val="TableParagraph"/>
              <w:spacing w:before="92"/>
              <w:ind w:left="131"/>
              <w:rPr>
                <w:sz w:val="21"/>
              </w:rPr>
            </w:pPr>
            <w:r>
              <w:rPr>
                <w:sz w:val="21"/>
              </w:rPr>
              <w:t>为了治疗明显的冠状动脉狭窄性疾病，首次实际实施了心导管球囊扩张</w:t>
            </w:r>
          </w:p>
        </w:tc>
      </w:tr>
      <w:tr>
        <w:trPr>
          <w:trHeight w:val="397" w:hRule="atLeast"/>
        </w:trPr>
        <w:tc>
          <w:tcPr>
            <w:tcW w:w="998" w:type="dxa"/>
          </w:tcPr>
          <w:p>
            <w:pPr>
              <w:pStyle w:val="TableParagraph"/>
              <w:rPr>
                <w:rFonts w:ascii="Times New Roman"/>
                <w:sz w:val="20"/>
              </w:rPr>
            </w:pPr>
          </w:p>
        </w:tc>
        <w:tc>
          <w:tcPr>
            <w:tcW w:w="1654" w:type="dxa"/>
          </w:tcPr>
          <w:p>
            <w:pPr>
              <w:pStyle w:val="TableParagraph"/>
              <w:spacing w:line="235" w:lineRule="exact"/>
              <w:ind w:left="107"/>
              <w:rPr>
                <w:sz w:val="21"/>
              </w:rPr>
            </w:pPr>
            <w:r>
              <w:rPr>
                <w:sz w:val="21"/>
              </w:rPr>
              <w:t>手术</w:t>
            </w:r>
          </w:p>
        </w:tc>
        <w:tc>
          <w:tcPr>
            <w:tcW w:w="7037" w:type="dxa"/>
          </w:tcPr>
          <w:p>
            <w:pPr>
              <w:pStyle w:val="TableParagraph"/>
              <w:spacing w:line="252" w:lineRule="exact"/>
              <w:ind w:left="131"/>
              <w:rPr>
                <w:sz w:val="21"/>
              </w:rPr>
            </w:pPr>
            <w:r>
              <w:rPr>
                <w:sz w:val="21"/>
              </w:rPr>
              <w:t>术、冠状动脉支架植入术或激光冠状动脉成形术。</w:t>
            </w:r>
          </w:p>
        </w:tc>
      </w:tr>
      <w:tr>
        <w:trPr>
          <w:trHeight w:val="408" w:hRule="atLeast"/>
        </w:trPr>
        <w:tc>
          <w:tcPr>
            <w:tcW w:w="998" w:type="dxa"/>
          </w:tcPr>
          <w:p>
            <w:pPr>
              <w:pStyle w:val="TableParagraph"/>
              <w:rPr>
                <w:rFonts w:ascii="Times New Roman"/>
                <w:sz w:val="20"/>
              </w:rPr>
            </w:pPr>
          </w:p>
        </w:tc>
        <w:tc>
          <w:tcPr>
            <w:tcW w:w="1654" w:type="dxa"/>
          </w:tcPr>
          <w:p>
            <w:pPr>
              <w:pStyle w:val="TableParagraph"/>
              <w:spacing w:before="90"/>
              <w:ind w:left="105"/>
              <w:rPr>
                <w:sz w:val="21"/>
              </w:rPr>
            </w:pPr>
            <w:r>
              <w:rPr>
                <w:rFonts w:ascii="Times New Roman" w:eastAsia="Times New Roman"/>
                <w:b/>
                <w:sz w:val="21"/>
              </w:rPr>
              <w:t>4.</w:t>
            </w:r>
            <w:r>
              <w:rPr>
                <w:sz w:val="21"/>
              </w:rPr>
              <w:t>轻微脑中风</w:t>
            </w:r>
          </w:p>
        </w:tc>
        <w:tc>
          <w:tcPr>
            <w:tcW w:w="7037" w:type="dxa"/>
          </w:tcPr>
          <w:p>
            <w:pPr>
              <w:pStyle w:val="TableParagraph"/>
              <w:spacing w:before="100"/>
              <w:ind w:left="131"/>
              <w:rPr>
                <w:sz w:val="21"/>
              </w:rPr>
            </w:pPr>
            <w:r>
              <w:rPr>
                <w:sz w:val="21"/>
              </w:rPr>
              <w:t>指实际发生了脑血管的突发病变出现神经系统功能障碍表现，头颅断层扫</w:t>
            </w:r>
          </w:p>
        </w:tc>
      </w:tr>
      <w:tr>
        <w:trPr>
          <w:trHeight w:val="565" w:hRule="atLeast"/>
        </w:trPr>
        <w:tc>
          <w:tcPr>
            <w:tcW w:w="998" w:type="dxa"/>
          </w:tcPr>
          <w:p>
            <w:pPr>
              <w:pStyle w:val="TableParagraph"/>
              <w:rPr>
                <w:rFonts w:ascii="Times New Roman"/>
                <w:sz w:val="20"/>
              </w:rPr>
            </w:pPr>
          </w:p>
        </w:tc>
        <w:tc>
          <w:tcPr>
            <w:tcW w:w="1654" w:type="dxa"/>
          </w:tcPr>
          <w:p>
            <w:pPr>
              <w:pStyle w:val="TableParagraph"/>
              <w:rPr>
                <w:rFonts w:ascii="Times New Roman"/>
                <w:sz w:val="20"/>
              </w:rPr>
            </w:pPr>
          </w:p>
        </w:tc>
        <w:tc>
          <w:tcPr>
            <w:tcW w:w="7037" w:type="dxa"/>
          </w:tcPr>
          <w:p>
            <w:pPr>
              <w:pStyle w:val="TableParagraph"/>
              <w:spacing w:line="257" w:lineRule="exact"/>
              <w:ind w:left="131"/>
              <w:rPr>
                <w:sz w:val="21"/>
              </w:rPr>
            </w:pPr>
            <w:r>
              <w:rPr>
                <w:spacing w:val="1"/>
                <w:w w:val="100"/>
                <w:sz w:val="21"/>
              </w:rPr>
              <w:t>描</w:t>
            </w:r>
            <w:r>
              <w:rPr>
                <w:w w:val="100"/>
                <w:sz w:val="21"/>
              </w:rPr>
              <w:t>（</w:t>
            </w:r>
            <w:r>
              <w:rPr>
                <w:rFonts w:ascii="Times New Roman" w:eastAsia="Times New Roman"/>
                <w:spacing w:val="-2"/>
                <w:w w:val="100"/>
                <w:sz w:val="21"/>
              </w:rPr>
              <w:t>C</w:t>
            </w:r>
            <w:r>
              <w:rPr>
                <w:rFonts w:ascii="Times New Roman" w:eastAsia="Times New Roman"/>
                <w:spacing w:val="2"/>
                <w:w w:val="100"/>
                <w:sz w:val="21"/>
              </w:rPr>
              <w:t>T</w:t>
            </w:r>
            <w:r>
              <w:rPr>
                <w:spacing w:val="-106"/>
                <w:w w:val="100"/>
                <w:sz w:val="21"/>
              </w:rPr>
              <w:t>）</w:t>
            </w:r>
            <w:r>
              <w:rPr>
                <w:w w:val="100"/>
                <w:sz w:val="21"/>
              </w:rPr>
              <w:t>、核磁共振</w:t>
            </w:r>
            <w:r>
              <w:rPr>
                <w:spacing w:val="1"/>
                <w:w w:val="100"/>
                <w:sz w:val="21"/>
              </w:rPr>
              <w:t>（</w:t>
            </w:r>
            <w:r>
              <w:rPr>
                <w:rFonts w:ascii="Times New Roman" w:eastAsia="Times New Roman"/>
                <w:spacing w:val="-3"/>
                <w:w w:val="100"/>
                <w:sz w:val="21"/>
              </w:rPr>
              <w:t>M</w:t>
            </w:r>
            <w:r>
              <w:rPr>
                <w:rFonts w:ascii="Times New Roman" w:eastAsia="Times New Roman"/>
                <w:spacing w:val="-2"/>
                <w:w w:val="100"/>
                <w:sz w:val="21"/>
              </w:rPr>
              <w:t>R</w:t>
            </w:r>
            <w:r>
              <w:rPr>
                <w:rFonts w:ascii="Times New Roman" w:eastAsia="Times New Roman"/>
                <w:spacing w:val="-1"/>
                <w:w w:val="100"/>
                <w:sz w:val="21"/>
              </w:rPr>
              <w:t>I</w:t>
            </w:r>
            <w:r>
              <w:rPr>
                <w:spacing w:val="1"/>
                <w:w w:val="100"/>
                <w:sz w:val="21"/>
              </w:rPr>
              <w:t>）</w:t>
            </w:r>
            <w:r>
              <w:rPr>
                <w:w w:val="100"/>
                <w:sz w:val="21"/>
              </w:rPr>
              <w:t>等影像学检查证实存在对应病灶，确诊为脑</w:t>
            </w:r>
          </w:p>
          <w:p>
            <w:pPr>
              <w:pStyle w:val="TableParagraph"/>
              <w:spacing w:line="285" w:lineRule="exact"/>
              <w:ind w:left="131"/>
              <w:rPr>
                <w:sz w:val="21"/>
              </w:rPr>
            </w:pPr>
            <w:r>
              <w:rPr>
                <w:sz w:val="21"/>
              </w:rPr>
              <w:t>出血、脑栓塞或脑梗塞，在确诊 </w:t>
            </w:r>
            <w:r>
              <w:rPr>
                <w:rFonts w:ascii="Times New Roman" w:eastAsia="Times New Roman"/>
                <w:sz w:val="21"/>
              </w:rPr>
              <w:t>180 </w:t>
            </w:r>
            <w:r>
              <w:rPr>
                <w:sz w:val="21"/>
              </w:rPr>
              <w:t>天后未遗留神经系统功能障碍或后遗</w:t>
            </w:r>
          </w:p>
        </w:tc>
      </w:tr>
      <w:tr>
        <w:trPr>
          <w:trHeight w:val="257" w:hRule="atLeast"/>
        </w:trPr>
        <w:tc>
          <w:tcPr>
            <w:tcW w:w="998" w:type="dxa"/>
          </w:tcPr>
          <w:p>
            <w:pPr>
              <w:pStyle w:val="TableParagraph"/>
              <w:rPr>
                <w:rFonts w:ascii="Times New Roman"/>
                <w:sz w:val="18"/>
              </w:rPr>
            </w:pPr>
          </w:p>
        </w:tc>
        <w:tc>
          <w:tcPr>
            <w:tcW w:w="1654" w:type="dxa"/>
          </w:tcPr>
          <w:p>
            <w:pPr>
              <w:pStyle w:val="TableParagraph"/>
              <w:rPr>
                <w:rFonts w:ascii="Times New Roman"/>
                <w:sz w:val="18"/>
              </w:rPr>
            </w:pPr>
          </w:p>
        </w:tc>
        <w:tc>
          <w:tcPr>
            <w:tcW w:w="7037" w:type="dxa"/>
          </w:tcPr>
          <w:p>
            <w:pPr>
              <w:pStyle w:val="TableParagraph"/>
              <w:spacing w:line="237" w:lineRule="exact"/>
              <w:ind w:left="131"/>
              <w:rPr>
                <w:sz w:val="21"/>
              </w:rPr>
            </w:pPr>
            <w:r>
              <w:rPr>
                <w:sz w:val="21"/>
              </w:rPr>
              <w:t>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w:t>
            </w:r>
            <w:r>
              <w:rPr>
                <w:sz w:val="21"/>
              </w:rPr>
              <w:t>的给付标准。</w:t>
            </w:r>
          </w:p>
        </w:tc>
      </w:tr>
    </w:tbl>
    <w:p>
      <w:pPr>
        <w:spacing w:after="0" w:line="237" w:lineRule="exact"/>
        <w:rPr>
          <w:sz w:val="21"/>
        </w:rPr>
        <w:sectPr>
          <w:pgSz w:w="11900" w:h="16840"/>
          <w:pgMar w:top="1600" w:bottom="280" w:left="1060" w:right="940"/>
        </w:sectPr>
      </w:pPr>
    </w:p>
    <w:p>
      <w:pPr>
        <w:pStyle w:val="BodyText"/>
        <w:spacing w:before="18"/>
        <w:ind w:left="2267"/>
      </w:pPr>
      <w:r>
        <w:rPr/>
        <w:t>短暂性脑缺血发作（TIA）和腔隙性脑梗塞不在保障范围内。</w:t>
      </w:r>
    </w:p>
    <w:p>
      <w:pPr>
        <w:pStyle w:val="BodyText"/>
        <w:spacing w:before="7"/>
        <w:rPr>
          <w:sz w:val="14"/>
        </w:rPr>
      </w:pPr>
    </w:p>
    <w:p>
      <w:pPr>
        <w:spacing w:after="0"/>
        <w:rPr>
          <w:sz w:val="14"/>
        </w:rPr>
        <w:sectPr>
          <w:pgSz w:w="11900" w:h="16840"/>
          <w:pgMar w:top="1260" w:bottom="280" w:left="1680" w:right="1020"/>
        </w:sectPr>
      </w:pPr>
    </w:p>
    <w:p>
      <w:pPr>
        <w:pStyle w:val="BodyText"/>
        <w:spacing w:line="225" w:lineRule="auto" w:before="63"/>
        <w:ind w:left="590" w:hanging="3"/>
      </w:pPr>
      <w:r>
        <w:rPr>
          <w:rFonts w:ascii="Times New Roman" w:eastAsia="Times New Roman"/>
          <w:b/>
        </w:rPr>
        <w:t>5.</w:t>
      </w:r>
      <w:r>
        <w:rPr/>
        <w:t>心脏瓣膜介入手术</w:t>
      </w:r>
    </w:p>
    <w:p>
      <w:pPr>
        <w:pStyle w:val="BodyText"/>
        <w:spacing w:line="244" w:lineRule="auto" w:before="55"/>
        <w:ind w:left="171" w:right="174"/>
      </w:pPr>
      <w:r>
        <w:rPr/>
        <w:br w:type="column"/>
      </w:r>
      <w:r>
        <w:rPr/>
        <w:t>为了治疗心脏瓣膜疾病，实际实施了非开胸的经胸壁打孔内镜手术或经皮经导管介入手术进行的心脏瓣膜置换或修复手术。</w:t>
      </w:r>
    </w:p>
    <w:p>
      <w:pPr>
        <w:spacing w:after="0" w:line="244" w:lineRule="auto"/>
        <w:sectPr>
          <w:type w:val="continuous"/>
          <w:pgSz w:w="11900" w:h="16840"/>
          <w:pgMar w:top="1220" w:bottom="280" w:left="1680" w:right="1020"/>
          <w:cols w:num="2" w:equalWidth="0">
            <w:col w:w="2057" w:space="40"/>
            <w:col w:w="7103"/>
          </w:cols>
        </w:sectPr>
      </w:pPr>
    </w:p>
    <w:p>
      <w:pPr>
        <w:pStyle w:val="BodyText"/>
        <w:spacing w:before="3"/>
        <w:rPr>
          <w:sz w:val="14"/>
        </w:rPr>
      </w:pPr>
    </w:p>
    <w:p>
      <w:pPr>
        <w:pStyle w:val="BodyText"/>
        <w:tabs>
          <w:tab w:pos="2267" w:val="left" w:leader="none"/>
        </w:tabs>
        <w:spacing w:line="237" w:lineRule="auto" w:before="48"/>
        <w:ind w:left="2267" w:right="214" w:hanging="1680"/>
      </w:pPr>
      <w:r>
        <w:rPr>
          <w:rFonts w:ascii="Times New Roman" w:hAnsi="Times New Roman" w:eastAsia="Times New Roman"/>
          <w:b/>
          <w:position w:val="1"/>
        </w:rPr>
        <w:t>6.</w:t>
      </w:r>
      <w:r>
        <w:rPr>
          <w:position w:val="1"/>
        </w:rPr>
        <w:t>视力严重</w:t>
      </w:r>
      <w:r>
        <w:rPr>
          <w:spacing w:val="-3"/>
          <w:position w:val="1"/>
        </w:rPr>
        <w:t>受</w:t>
      </w:r>
      <w:r>
        <w:rPr>
          <w:position w:val="1"/>
        </w:rPr>
        <w:t>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虽</w:t>
      </w:r>
      <w:r>
        <w:rPr>
          <w:spacing w:val="-3"/>
        </w:rPr>
        <w:t>然</w:t>
      </w:r>
      <w:r>
        <w:rPr/>
        <w:t>未</w:t>
      </w:r>
      <w:r>
        <w:rPr>
          <w:spacing w:val="-3"/>
        </w:rPr>
        <w:t>达</w:t>
      </w:r>
      <w:r>
        <w:rPr/>
        <w:t>到</w:t>
      </w:r>
      <w:r>
        <w:rPr>
          <w:spacing w:val="-3"/>
        </w:rPr>
        <w:t>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2" w:lineRule="auto"/>
        <w:ind w:left="2268" w:right="217"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5"/>
        <w:ind w:left="226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2"/>
        <w:rPr>
          <w:sz w:val="19"/>
        </w:rPr>
      </w:pPr>
    </w:p>
    <w:p>
      <w:pPr>
        <w:pStyle w:val="BodyText"/>
        <w:ind w:left="2268" w:right="181"/>
      </w:pPr>
      <w:r>
        <w:rPr>
          <w:spacing w:val="-8"/>
        </w:rPr>
        <w:t>申请理赔时，被保险人年龄必须在</w:t>
      </w:r>
      <w:r>
        <w:rPr>
          <w:spacing w:val="-3"/>
        </w:rPr>
        <w:t>3</w:t>
      </w:r>
      <w:r>
        <w:rPr>
          <w:spacing w:val="-8"/>
        </w:rPr>
        <w:t>周岁以上，并且须提供理赔当时的视力</w:t>
      </w:r>
      <w:r>
        <w:rPr>
          <w:spacing w:val="-5"/>
        </w:rPr>
        <w:t>丧失诊断及检查证据。</w:t>
      </w:r>
    </w:p>
    <w:p>
      <w:pPr>
        <w:pStyle w:val="BodyText"/>
        <w:spacing w:before="11"/>
        <w:rPr>
          <w:sz w:val="14"/>
        </w:rPr>
      </w:pPr>
    </w:p>
    <w:p>
      <w:pPr>
        <w:spacing w:after="0"/>
        <w:rPr>
          <w:sz w:val="14"/>
        </w:rPr>
        <w:sectPr>
          <w:type w:val="continuous"/>
          <w:pgSz w:w="11900" w:h="16840"/>
          <w:pgMar w:top="1220" w:bottom="280" w:left="1680" w:right="1020"/>
        </w:sectPr>
      </w:pPr>
    </w:p>
    <w:p>
      <w:pPr>
        <w:pStyle w:val="BodyText"/>
        <w:spacing w:line="225" w:lineRule="auto" w:before="63"/>
        <w:ind w:left="590" w:hanging="3"/>
      </w:pPr>
      <w:r>
        <w:rPr>
          <w:rFonts w:ascii="Times New Roman" w:hAnsi="Times New Roman" w:eastAsia="Times New Roman"/>
          <w:b/>
        </w:rPr>
        <w:t>7.</w:t>
      </w:r>
      <w:r>
        <w:rPr/>
        <w:t>较小面积Ⅲ度烧伤</w:t>
      </w:r>
    </w:p>
    <w:p>
      <w:pPr>
        <w:pStyle w:val="BodyText"/>
        <w:spacing w:line="232" w:lineRule="auto" w:before="64"/>
        <w:ind w:left="171" w:right="171"/>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2" w:lineRule="auto"/>
        <w:sectPr>
          <w:type w:val="continuous"/>
          <w:pgSz w:w="11900" w:h="16840"/>
          <w:pgMar w:top="1220" w:bottom="280" w:left="1680" w:right="1020"/>
          <w:cols w:num="2" w:equalWidth="0">
            <w:col w:w="2057" w:space="40"/>
            <w:col w:w="7103"/>
          </w:cols>
        </w:sectPr>
      </w:pPr>
    </w:p>
    <w:p>
      <w:pPr>
        <w:pStyle w:val="BodyText"/>
        <w:spacing w:before="7"/>
        <w:rPr>
          <w:sz w:val="14"/>
        </w:rPr>
      </w:pPr>
    </w:p>
    <w:p>
      <w:pPr>
        <w:pStyle w:val="BodyText"/>
        <w:tabs>
          <w:tab w:pos="2267" w:val="left" w:leader="none"/>
        </w:tabs>
        <w:spacing w:before="45"/>
        <w:ind w:left="587"/>
      </w:pPr>
      <w:r>
        <w:rPr>
          <w:rFonts w:ascii="Times New Roman" w:eastAsia="Times New Roman"/>
          <w:b/>
          <w:position w:val="1"/>
        </w:rPr>
        <w:t>8.</w:t>
      </w:r>
      <w:r>
        <w:rPr>
          <w:position w:val="1"/>
        </w:rPr>
        <w:t>主动脉内</w:t>
      </w:r>
      <w:r>
        <w:rPr>
          <w:spacing w:val="-3"/>
          <w:position w:val="1"/>
        </w:rPr>
        <w:t>手</w:t>
      </w:r>
      <w:r>
        <w:rPr>
          <w:position w:val="1"/>
        </w:rPr>
        <w:t>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3"/>
      </w:pPr>
    </w:p>
    <w:p>
      <w:pPr>
        <w:pStyle w:val="BodyText"/>
        <w:ind w:left="2267"/>
      </w:pPr>
      <w:r>
        <w:rPr/>
        <w:t>主动脉指胸主动脉和腹主动脉，不包括胸主动脉和腹主动脉的分支血管。</w:t>
      </w:r>
    </w:p>
    <w:p>
      <w:pPr>
        <w:pStyle w:val="BodyText"/>
        <w:spacing w:before="7"/>
        <w:rPr>
          <w:sz w:val="14"/>
        </w:rPr>
      </w:pPr>
    </w:p>
    <w:p>
      <w:pPr>
        <w:spacing w:after="0"/>
        <w:rPr>
          <w:sz w:val="14"/>
        </w:rPr>
        <w:sectPr>
          <w:type w:val="continuous"/>
          <w:pgSz w:w="11900" w:h="16840"/>
          <w:pgMar w:top="1220" w:bottom="280" w:left="1680" w:right="1020"/>
        </w:sectPr>
      </w:pPr>
    </w:p>
    <w:p>
      <w:pPr>
        <w:pStyle w:val="BodyText"/>
        <w:spacing w:line="232" w:lineRule="auto" w:before="54"/>
        <w:ind w:left="590" w:hanging="3"/>
        <w:jc w:val="both"/>
      </w:pPr>
      <w:r>
        <w:rPr>
          <w:rFonts w:ascii="Times New Roman" w:eastAsia="Times New Roman"/>
          <w:b/>
          <w:spacing w:val="2"/>
        </w:rPr>
        <w:t>9.</w:t>
      </w:r>
      <w:r>
        <w:rPr>
          <w:spacing w:val="3"/>
        </w:rPr>
        <w:t>脑垂体瘤、脑</w:t>
      </w:r>
      <w:r>
        <w:rPr>
          <w:spacing w:val="-2"/>
        </w:rPr>
        <w:t>囊肿、脑动脉瘤</w:t>
      </w:r>
      <w:r>
        <w:rPr>
          <w:spacing w:val="-3"/>
        </w:rPr>
        <w:t>及脑血管瘤</w:t>
      </w:r>
    </w:p>
    <w:p>
      <w:pPr>
        <w:pStyle w:val="BodyText"/>
        <w:spacing w:line="232" w:lineRule="auto" w:before="64"/>
        <w:ind w:left="171" w:right="217"/>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5" w:lineRule="exact" w:before="6"/>
        <w:ind w:left="171"/>
      </w:pPr>
      <w:r>
        <w:rPr/>
        <w:t>（</w:t>
      </w:r>
      <w:r>
        <w:rPr>
          <w:rFonts w:ascii="Times New Roman" w:eastAsia="Times New Roman"/>
        </w:rPr>
        <w:t>1</w:t>
      </w:r>
      <w:r>
        <w:rPr/>
        <w:t>）脑垂体瘤；</w:t>
      </w:r>
    </w:p>
    <w:p>
      <w:pPr>
        <w:pStyle w:val="BodyText"/>
        <w:spacing w:line="280" w:lineRule="exact"/>
        <w:ind w:left="171"/>
      </w:pPr>
      <w:r>
        <w:rPr/>
        <w:t>（</w:t>
      </w:r>
      <w:r>
        <w:rPr>
          <w:rFonts w:ascii="Times New Roman" w:eastAsia="Times New Roman"/>
        </w:rPr>
        <w:t>2</w:t>
      </w:r>
      <w:r>
        <w:rPr/>
        <w:t>）脑囊肿；</w:t>
      </w:r>
    </w:p>
    <w:p>
      <w:pPr>
        <w:pStyle w:val="BodyText"/>
        <w:spacing w:line="286" w:lineRule="exact"/>
        <w:ind w:left="171"/>
      </w:pPr>
      <w:r>
        <w:rPr/>
        <w:t>（</w:t>
      </w:r>
      <w:r>
        <w:rPr>
          <w:rFonts w:ascii="Times New Roman" w:eastAsia="Times New Roman"/>
        </w:rPr>
        <w:t>3</w:t>
      </w:r>
      <w:r>
        <w:rPr/>
        <w:t>）脑动脉瘤、脑血管瘤。</w:t>
      </w:r>
    </w:p>
    <w:p>
      <w:pPr>
        <w:spacing w:after="0" w:line="286" w:lineRule="exact"/>
        <w:sectPr>
          <w:type w:val="continuous"/>
          <w:pgSz w:w="11900" w:h="16840"/>
          <w:pgMar w:top="1220" w:bottom="280" w:left="1680" w:right="1020"/>
          <w:cols w:num="2" w:equalWidth="0">
            <w:col w:w="2057" w:space="40"/>
            <w:col w:w="7103"/>
          </w:cols>
        </w:sectPr>
      </w:pPr>
    </w:p>
    <w:p>
      <w:pPr>
        <w:pStyle w:val="BodyText"/>
        <w:spacing w:before="5"/>
        <w:rPr>
          <w:sz w:val="13"/>
        </w:rPr>
      </w:pPr>
    </w:p>
    <w:p>
      <w:pPr>
        <w:spacing w:after="0"/>
        <w:rPr>
          <w:sz w:val="13"/>
        </w:rPr>
        <w:sectPr>
          <w:type w:val="continuous"/>
          <w:pgSz w:w="11900" w:h="16840"/>
          <w:pgMar w:top="1220" w:bottom="280" w:left="1680" w:right="1020"/>
        </w:sectPr>
      </w:pPr>
    </w:p>
    <w:p>
      <w:pPr>
        <w:pStyle w:val="ListParagraph"/>
        <w:numPr>
          <w:ilvl w:val="2"/>
          <w:numId w:val="4"/>
        </w:numPr>
        <w:tabs>
          <w:tab w:pos="884" w:val="left" w:leader="none"/>
        </w:tabs>
        <w:spacing w:line="225" w:lineRule="auto" w:before="63" w:after="0"/>
        <w:ind w:left="590" w:right="0" w:hanging="2"/>
        <w:jc w:val="left"/>
        <w:rPr>
          <w:rFonts w:ascii="Times New Roman" w:eastAsia="Times New Roman"/>
          <w:sz w:val="21"/>
        </w:rPr>
      </w:pPr>
      <w:r>
        <w:rPr>
          <w:spacing w:val="20"/>
          <w:sz w:val="21"/>
        </w:rPr>
        <w:t>重度头部外伤</w:t>
      </w:r>
    </w:p>
    <w:p>
      <w:pPr>
        <w:pStyle w:val="BodyText"/>
        <w:spacing w:line="235" w:lineRule="auto" w:before="60"/>
        <w:ind w:left="173" w:right="217"/>
        <w:jc w:val="both"/>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w w:val="100"/>
        </w:rPr>
        <w:t>）或正电子发</w:t>
      </w:r>
      <w:r>
        <w:rPr/>
        <w:t>射断层扫描（</w:t>
      </w:r>
      <w:r>
        <w:rPr>
          <w:rFonts w:ascii="Times New Roman" w:eastAsia="Times New Roman"/>
        </w:rPr>
        <w:t>PET</w:t>
      </w:r>
      <w:r>
        <w:rPr/>
        <w:t>）等影像学检查证实。神经系统永久性的功能障碍，指</w:t>
      </w:r>
      <w:r>
        <w:rPr>
          <w:spacing w:val="-11"/>
        </w:rPr>
        <w:t>脑损伤 </w:t>
      </w:r>
      <w:r>
        <w:rPr>
          <w:rFonts w:ascii="Times New Roman" w:eastAsia="Times New Roman"/>
        </w:rPr>
        <w:t>180 </w:t>
      </w:r>
      <w:r>
        <w:rPr>
          <w:spacing w:val="-4"/>
        </w:rPr>
        <w:t>天后，仍完全丧失自主生活能力，无法独立完成六项基本日常</w:t>
      </w:r>
    </w:p>
    <w:p>
      <w:pPr>
        <w:pStyle w:val="BodyText"/>
        <w:spacing w:line="281" w:lineRule="exact"/>
        <w:ind w:left="173"/>
        <w:jc w:val="both"/>
      </w:pPr>
      <w:r>
        <w:rPr/>
        <w:t>Th活活动（见 </w:t>
      </w:r>
      <w:r>
        <w:rPr>
          <w:rFonts w:ascii="Times New Roman" w:eastAsia="Times New Roman"/>
        </w:rPr>
        <w:t>8.17</w:t>
      </w:r>
      <w:r>
        <w:rPr/>
        <w:t>）中的二项或以上。</w:t>
      </w:r>
    </w:p>
    <w:p>
      <w:pPr>
        <w:spacing w:after="0" w:line="281" w:lineRule="exact"/>
        <w:jc w:val="both"/>
        <w:sectPr>
          <w:type w:val="continuous"/>
          <w:pgSz w:w="11900" w:h="16840"/>
          <w:pgMar w:top="1220" w:bottom="280" w:left="1680" w:right="1020"/>
          <w:cols w:num="2" w:equalWidth="0">
            <w:col w:w="2055" w:space="40"/>
            <w:col w:w="7105"/>
          </w:cols>
        </w:sectPr>
      </w:pPr>
    </w:p>
    <w:p>
      <w:pPr>
        <w:pStyle w:val="BodyText"/>
        <w:spacing w:before="5"/>
        <w:rPr>
          <w:sz w:val="13"/>
        </w:rPr>
      </w:pPr>
    </w:p>
    <w:p>
      <w:pPr>
        <w:spacing w:after="0"/>
        <w:rPr>
          <w:sz w:val="13"/>
        </w:rPr>
        <w:sectPr>
          <w:type w:val="continuous"/>
          <w:pgSz w:w="11900" w:h="16840"/>
          <w:pgMar w:top="1220" w:bottom="280" w:left="1680" w:right="1020"/>
        </w:sectPr>
      </w:pPr>
    </w:p>
    <w:p>
      <w:pPr>
        <w:pStyle w:val="ListParagraph"/>
        <w:numPr>
          <w:ilvl w:val="2"/>
          <w:numId w:val="4"/>
        </w:numPr>
        <w:tabs>
          <w:tab w:pos="874" w:val="left" w:leader="none"/>
        </w:tabs>
        <w:spacing w:line="225" w:lineRule="auto" w:before="63" w:after="0"/>
        <w:ind w:left="590" w:right="0" w:hanging="2"/>
        <w:jc w:val="left"/>
        <w:rPr>
          <w:rFonts w:ascii="Times New Roman" w:eastAsia="Times New Roman"/>
          <w:sz w:val="21"/>
        </w:rPr>
      </w:pPr>
      <w:r>
        <w:rPr>
          <w:spacing w:val="23"/>
          <w:sz w:val="21"/>
        </w:rPr>
        <w:t>单个肢体缺失</w:t>
      </w:r>
    </w:p>
    <w:p>
      <w:pPr>
        <w:pStyle w:val="BodyText"/>
        <w:spacing w:before="43"/>
        <w:ind w:left="173" w:right="183"/>
      </w:pPr>
      <w:r>
        <w:rPr/>
        <w:br w:type="column"/>
      </w:r>
      <w:r>
        <w:rPr/>
        <w:t>指因疾病或意外伤害导致一个肢体自腕关节或踝关节近端（靠近躯干端） 以上完全性断离。</w:t>
      </w:r>
    </w:p>
    <w:p>
      <w:pPr>
        <w:spacing w:after="0"/>
        <w:sectPr>
          <w:type w:val="continuous"/>
          <w:pgSz w:w="11900" w:h="16840"/>
          <w:pgMar w:top="1220" w:bottom="280" w:left="1680" w:right="1020"/>
          <w:cols w:num="2" w:equalWidth="0">
            <w:col w:w="2055" w:space="40"/>
            <w:col w:w="7105"/>
          </w:cols>
        </w:sectPr>
      </w:pPr>
    </w:p>
    <w:p>
      <w:pPr>
        <w:pStyle w:val="BodyText"/>
        <w:spacing w:before="9"/>
        <w:rPr>
          <w:sz w:val="14"/>
        </w:rPr>
      </w:pPr>
    </w:p>
    <w:p>
      <w:pPr>
        <w:spacing w:after="0"/>
        <w:rPr>
          <w:sz w:val="14"/>
        </w:rPr>
        <w:sectPr>
          <w:type w:val="continuous"/>
          <w:pgSz w:w="11900" w:h="16840"/>
          <w:pgMar w:top="1220" w:bottom="280" w:left="1680" w:right="1020"/>
        </w:sectPr>
      </w:pPr>
    </w:p>
    <w:p>
      <w:pPr>
        <w:pStyle w:val="ListParagraph"/>
        <w:numPr>
          <w:ilvl w:val="2"/>
          <w:numId w:val="4"/>
        </w:numPr>
        <w:tabs>
          <w:tab w:pos="884" w:val="left" w:leader="none"/>
        </w:tabs>
        <w:spacing w:line="225" w:lineRule="auto" w:before="63" w:after="0"/>
        <w:ind w:left="590" w:right="0" w:hanging="2"/>
        <w:jc w:val="left"/>
        <w:rPr>
          <w:rFonts w:ascii="Times New Roman" w:eastAsia="Times New Roman"/>
          <w:sz w:val="21"/>
        </w:rPr>
      </w:pPr>
      <w:r>
        <w:rPr>
          <w:spacing w:val="20"/>
          <w:sz w:val="21"/>
        </w:rPr>
        <w:t>川崎病合并</w:t>
      </w:r>
      <w:r>
        <w:rPr>
          <w:spacing w:val="5"/>
          <w:sz w:val="21"/>
        </w:rPr>
        <w:t>冠状动脉扩张</w:t>
      </w:r>
    </w:p>
    <w:p>
      <w:pPr>
        <w:pStyle w:val="BodyText"/>
        <w:spacing w:before="44"/>
        <w:ind w:left="173"/>
      </w:pPr>
      <w:r>
        <w:rPr/>
        <w:br w:type="column"/>
      </w:r>
      <w:r>
        <w:rPr/>
        <w:t>川崎病为一种病因不明的系统性血管炎。</w:t>
      </w:r>
    </w:p>
    <w:p>
      <w:pPr>
        <w:pStyle w:val="BodyText"/>
        <w:spacing w:before="3"/>
        <w:rPr>
          <w:sz w:val="18"/>
        </w:rPr>
      </w:pPr>
    </w:p>
    <w:p>
      <w:pPr>
        <w:pStyle w:val="BodyText"/>
        <w:ind w:left="173" w:right="183"/>
      </w:pPr>
      <w:r>
        <w:rPr/>
        <w:t>本合同仅对诊断性检查证实川崎病并发冠状动脉瘤或其他心血管异常，但未接受手术治疗的情况予以赔付。</w:t>
      </w:r>
    </w:p>
    <w:p>
      <w:pPr>
        <w:spacing w:after="0"/>
        <w:sectPr>
          <w:type w:val="continuous"/>
          <w:pgSz w:w="11900" w:h="16840"/>
          <w:pgMar w:top="1220" w:bottom="280" w:left="1680" w:right="1020"/>
          <w:cols w:num="2" w:equalWidth="0">
            <w:col w:w="2055" w:space="40"/>
            <w:col w:w="7105"/>
          </w:cols>
        </w:sectPr>
      </w:pPr>
    </w:p>
    <w:p>
      <w:pPr>
        <w:pStyle w:val="BodyText"/>
        <w:spacing w:before="12"/>
        <w:rPr>
          <w:sz w:val="14"/>
        </w:rPr>
      </w:pPr>
    </w:p>
    <w:p>
      <w:pPr>
        <w:spacing w:after="0"/>
        <w:rPr>
          <w:sz w:val="14"/>
        </w:rPr>
        <w:sectPr>
          <w:type w:val="continuous"/>
          <w:pgSz w:w="11900" w:h="16840"/>
          <w:pgMar w:top="1220" w:bottom="280" w:left="1680" w:right="1020"/>
        </w:sectPr>
      </w:pPr>
    </w:p>
    <w:p>
      <w:pPr>
        <w:pStyle w:val="ListParagraph"/>
        <w:numPr>
          <w:ilvl w:val="2"/>
          <w:numId w:val="4"/>
        </w:numPr>
        <w:tabs>
          <w:tab w:pos="884" w:val="left" w:leader="none"/>
        </w:tabs>
        <w:spacing w:line="225" w:lineRule="auto" w:before="63" w:after="0"/>
        <w:ind w:left="590" w:right="0" w:hanging="2"/>
        <w:jc w:val="left"/>
        <w:rPr>
          <w:rFonts w:ascii="Times New Roman" w:eastAsia="Times New Roman"/>
          <w:sz w:val="21"/>
        </w:rPr>
      </w:pPr>
      <w:r>
        <w:rPr>
          <w:spacing w:val="20"/>
          <w:sz w:val="21"/>
        </w:rPr>
        <w:t>严重脑炎或脑膜炎</w:t>
      </w:r>
    </w:p>
    <w:p>
      <w:pPr>
        <w:pStyle w:val="BodyText"/>
        <w:spacing w:line="232" w:lineRule="auto" w:before="51"/>
        <w:ind w:left="173" w:right="181"/>
        <w:jc w:val="both"/>
      </w:pPr>
      <w:r>
        <w:rPr/>
        <w:br w:type="column"/>
      </w:r>
      <w:r>
        <w:rPr>
          <w:spacing w:val="-3"/>
        </w:rPr>
        <w:t>指因患脑炎或脑膜炎住院治疗，并且导致神经系统永久性的功能障碍。神</w:t>
      </w:r>
      <w:r>
        <w:rPr>
          <w:spacing w:val="-5"/>
        </w:rPr>
        <w:t>经系统永久性的功能障碍，指疾病确诊 </w:t>
      </w:r>
      <w:r>
        <w:rPr>
          <w:rFonts w:ascii="Times New Roman" w:eastAsia="Times New Roman"/>
        </w:rPr>
        <w:t>180 </w:t>
      </w:r>
      <w:r>
        <w:rPr>
          <w:spacing w:val="-3"/>
        </w:rPr>
        <w:t>天后，仍遗留下列一种或一种以上障碍：</w:t>
      </w:r>
    </w:p>
    <w:p>
      <w:pPr>
        <w:pStyle w:val="BodyText"/>
        <w:spacing w:line="280" w:lineRule="exact"/>
        <w:ind w:left="173"/>
      </w:pPr>
      <w:r>
        <w:rPr/>
        <w:t>（</w:t>
      </w:r>
      <w:r>
        <w:rPr>
          <w:rFonts w:ascii="Times New Roman" w:hAnsi="Times New Roman" w:eastAsia="Times New Roman"/>
        </w:rPr>
        <w:t>1</w:t>
      </w:r>
      <w:r>
        <w:rPr/>
        <w:t>）一肢或一肢以上肢体肌力Ⅲ级或Ⅲ级以下的运动功能障碍；</w:t>
      </w:r>
    </w:p>
    <w:p>
      <w:pPr>
        <w:pStyle w:val="BodyText"/>
        <w:spacing w:line="272" w:lineRule="exact"/>
        <w:ind w:left="173"/>
      </w:pPr>
      <w:r>
        <w:rPr/>
        <w:t>（</w:t>
      </w:r>
      <w:r>
        <w:rPr>
          <w:rFonts w:ascii="Times New Roman" w:eastAsia="Times New Roman"/>
        </w:rPr>
        <w:t>2</w:t>
      </w:r>
      <w:r>
        <w:rPr/>
        <w:t>）</w:t>
      </w:r>
      <w:r>
        <w:rPr>
          <w:spacing w:val="-7"/>
        </w:rPr>
        <w:t>听力丧失，双耳平均听阈大于 </w:t>
      </w:r>
      <w:r>
        <w:rPr>
          <w:rFonts w:ascii="Times New Roman" w:eastAsia="Times New Roman"/>
        </w:rPr>
        <w:t>55 </w:t>
      </w:r>
      <w:r>
        <w:rPr>
          <w:spacing w:val="-7"/>
        </w:rPr>
        <w:t>分贝或一耳平均听阈大于 </w:t>
      </w:r>
      <w:r>
        <w:rPr>
          <w:rFonts w:ascii="Times New Roman" w:eastAsia="Times New Roman"/>
        </w:rPr>
        <w:t>90 </w:t>
      </w:r>
      <w:r>
        <w:rPr>
          <w:spacing w:val="-2"/>
        </w:rPr>
        <w:t>分贝；</w:t>
      </w:r>
    </w:p>
    <w:p>
      <w:pPr>
        <w:pStyle w:val="BodyText"/>
        <w:spacing w:line="274" w:lineRule="exact"/>
        <w:ind w:left="173"/>
      </w:pPr>
      <w:r>
        <w:rPr/>
        <w:t>（</w:t>
      </w:r>
      <w:r>
        <w:rPr>
          <w:rFonts w:ascii="Times New Roman" w:eastAsia="Times New Roman"/>
        </w:rPr>
        <w:t>3</w:t>
      </w:r>
      <w:r>
        <w:rPr/>
        <w:t>）视野缺损，双眼视野半径小于 </w:t>
      </w:r>
      <w:r>
        <w:rPr>
          <w:rFonts w:ascii="Times New Roman" w:eastAsia="Times New Roman"/>
        </w:rPr>
        <w:t>20 </w:t>
      </w:r>
      <w:r>
        <w:rPr/>
        <w:t>度；</w:t>
      </w:r>
    </w:p>
    <w:p>
      <w:pPr>
        <w:pStyle w:val="BodyText"/>
        <w:spacing w:line="225" w:lineRule="auto" w:before="9"/>
        <w:ind w:left="173" w:right="181"/>
      </w:pPr>
      <w:r>
        <w:rPr/>
        <w:t>（</w:t>
      </w:r>
      <w:r>
        <w:rPr>
          <w:rFonts w:ascii="Times New Roman" w:eastAsia="Times New Roman"/>
        </w:rPr>
        <w:t>4</w:t>
      </w:r>
      <w:r>
        <w:rPr/>
        <w:t>）</w:t>
      </w:r>
      <w:r>
        <w:rPr>
          <w:spacing w:val="-4"/>
        </w:rPr>
        <w:t>视力严重受损，双眼中较好眼矫正视力低于 </w:t>
      </w:r>
      <w:r>
        <w:rPr>
          <w:rFonts w:ascii="Times New Roman" w:eastAsia="Times New Roman"/>
        </w:rPr>
        <w:t>0.1</w:t>
      </w:r>
      <w:r>
        <w:rPr/>
        <w:t>（</w:t>
      </w:r>
      <w:r>
        <w:rPr>
          <w:spacing w:val="-3"/>
        </w:rPr>
        <w:t>采用国际标准视力表，如果使用其他视力表应进行换算</w:t>
      </w:r>
      <w:r>
        <w:rPr>
          <w:spacing w:val="-106"/>
        </w:rPr>
        <w:t>）</w:t>
      </w:r>
      <w:r>
        <w:rPr/>
        <w:t>。</w:t>
      </w:r>
    </w:p>
    <w:p>
      <w:pPr>
        <w:spacing w:after="0" w:line="225" w:lineRule="auto"/>
        <w:sectPr>
          <w:type w:val="continuous"/>
          <w:pgSz w:w="11900" w:h="16840"/>
          <w:pgMar w:top="1220" w:bottom="280" w:left="1680" w:right="1020"/>
          <w:cols w:num="2" w:equalWidth="0">
            <w:col w:w="2055" w:space="40"/>
            <w:col w:w="7105"/>
          </w:cols>
        </w:sectPr>
      </w:pPr>
    </w:p>
    <w:p>
      <w:pPr>
        <w:pStyle w:val="BodyText"/>
        <w:spacing w:before="12"/>
        <w:rPr>
          <w:sz w:val="14"/>
        </w:rPr>
      </w:pPr>
    </w:p>
    <w:p>
      <w:pPr>
        <w:pStyle w:val="BodyText"/>
        <w:tabs>
          <w:tab w:pos="2267" w:val="left" w:leader="none"/>
        </w:tabs>
        <w:spacing w:line="223" w:lineRule="auto" w:before="66"/>
        <w:ind w:left="2267" w:right="183" w:hanging="1680"/>
      </w:pPr>
      <w:r>
        <w:rPr>
          <w:rFonts w:ascii="Times New Roman" w:eastAsia="Times New Roman"/>
          <w:b/>
        </w:rPr>
        <w:t>14.</w:t>
      </w:r>
      <w:r>
        <w:rPr/>
        <w:t>脊髓灰</w:t>
      </w:r>
      <w:r>
        <w:rPr>
          <w:spacing w:val="-3"/>
        </w:rPr>
        <w:t>质</w:t>
      </w:r>
      <w:r>
        <w:rPr/>
        <w:t>炎</w:t>
        <w:tab/>
        <w:t>脊髓灰质炎是由于</w:t>
      </w:r>
      <w:r>
        <w:rPr>
          <w:spacing w:val="-3"/>
        </w:rPr>
        <w:t>脊</w:t>
      </w:r>
      <w:r>
        <w:rPr/>
        <w:t>髓</w:t>
      </w:r>
      <w:r>
        <w:rPr>
          <w:spacing w:val="-3"/>
        </w:rPr>
        <w:t>灰</w:t>
      </w:r>
      <w:r>
        <w:rPr/>
        <w:t>质炎病毒感染所致</w:t>
      </w:r>
      <w:r>
        <w:rPr>
          <w:spacing w:val="-3"/>
        </w:rPr>
        <w:t>的</w:t>
      </w:r>
      <w:r>
        <w:rPr/>
        <w:t>瘫</w:t>
      </w:r>
      <w:r>
        <w:rPr>
          <w:spacing w:val="-3"/>
        </w:rPr>
        <w:t>痪</w:t>
      </w:r>
      <w:r>
        <w:rPr/>
        <w:t>性疾病，临床表现</w:t>
      </w:r>
      <w:r>
        <w:rPr>
          <w:spacing w:val="-3"/>
        </w:rPr>
        <w:t>为</w:t>
      </w:r>
      <w:r>
        <w:rPr/>
        <w:t>运 动功能损害或呼吸</w:t>
      </w:r>
      <w:r>
        <w:rPr>
          <w:spacing w:val="-3"/>
        </w:rPr>
        <w:t>无</w:t>
      </w:r>
      <w:r>
        <w:rPr/>
        <w:t>力</w:t>
      </w:r>
      <w:r>
        <w:rPr>
          <w:spacing w:val="-3"/>
        </w:rPr>
        <w:t>。</w:t>
      </w:r>
      <w:r>
        <w:rPr/>
        <w:t>脊髓灰质炎必须明</w:t>
      </w:r>
      <w:r>
        <w:rPr>
          <w:spacing w:val="-3"/>
        </w:rPr>
        <w:t>确</w:t>
      </w:r>
      <w:r>
        <w:rPr/>
        <w:t>诊</w:t>
      </w:r>
      <w:r>
        <w:rPr>
          <w:spacing w:val="-3"/>
        </w:rPr>
        <w:t>断</w:t>
      </w:r>
      <w:r>
        <w:rPr/>
        <w:t>。本合同仅对脊髓</w:t>
      </w:r>
      <w:r>
        <w:rPr>
          <w:spacing w:val="-3"/>
        </w:rPr>
        <w:t>灰</w:t>
      </w:r>
      <w:r>
        <w:rPr/>
        <w:t>质</w:t>
      </w:r>
    </w:p>
    <w:p>
      <w:pPr>
        <w:spacing w:after="0" w:line="223" w:lineRule="auto"/>
        <w:sectPr>
          <w:type w:val="continuous"/>
          <w:pgSz w:w="11900" w:h="16840"/>
          <w:pgMar w:top="1220" w:bottom="280" w:left="1680" w:right="1020"/>
        </w:sectPr>
      </w:pPr>
    </w:p>
    <w:p>
      <w:pPr>
        <w:pStyle w:val="BodyText"/>
        <w:spacing w:line="223" w:lineRule="auto" w:before="47"/>
        <w:ind w:left="2848" w:right="103" w:hanging="1"/>
      </w:pPr>
      <w:r>
        <w:rPr/>
        <w:t>炎造成的神经系统功能损害导致被保险人持续瘫痪 </w:t>
      </w:r>
      <w:r>
        <w:rPr>
          <w:rFonts w:ascii="Times New Roman" w:eastAsia="Times New Roman"/>
        </w:rPr>
        <w:t>90 </w:t>
      </w:r>
      <w:r>
        <w:rPr/>
        <w:t>天以上的情况予以理赔。</w:t>
      </w:r>
    </w:p>
    <w:p>
      <w:pPr>
        <w:pStyle w:val="BodyText"/>
        <w:spacing w:before="1"/>
        <w:rPr>
          <w:sz w:val="15"/>
        </w:rPr>
      </w:pPr>
    </w:p>
    <w:p>
      <w:pPr>
        <w:spacing w:after="0"/>
        <w:rPr>
          <w:sz w:val="15"/>
        </w:rPr>
        <w:sectPr>
          <w:pgSz w:w="11900" w:h="16840"/>
          <w:pgMar w:top="1240" w:bottom="280" w:left="1100" w:right="1100"/>
        </w:sectPr>
      </w:pPr>
    </w:p>
    <w:p>
      <w:pPr>
        <w:pStyle w:val="ListParagraph"/>
        <w:numPr>
          <w:ilvl w:val="3"/>
          <w:numId w:val="4"/>
        </w:numPr>
        <w:tabs>
          <w:tab w:pos="1464" w:val="left" w:leader="none"/>
        </w:tabs>
        <w:spacing w:line="223" w:lineRule="auto" w:before="66" w:after="0"/>
        <w:ind w:left="1170" w:right="0" w:hanging="2"/>
        <w:jc w:val="left"/>
        <w:rPr>
          <w:sz w:val="21"/>
        </w:rPr>
      </w:pPr>
      <w:r>
        <w:rPr>
          <w:spacing w:val="20"/>
          <w:sz w:val="21"/>
        </w:rPr>
        <w:t>幼年型类风</w:t>
      </w:r>
      <w:r>
        <w:rPr>
          <w:spacing w:val="6"/>
          <w:sz w:val="21"/>
        </w:rPr>
        <w:t>湿性关节炎</w:t>
      </w:r>
    </w:p>
    <w:p>
      <w:pPr>
        <w:pStyle w:val="BodyText"/>
        <w:spacing w:line="237" w:lineRule="auto" w:before="46"/>
        <w:ind w:left="173" w:right="103"/>
      </w:pPr>
      <w:r>
        <w:rPr/>
        <w:br w:type="column"/>
      </w:r>
      <w:r>
        <w:rPr/>
        <w:t>幼年型类风湿性关节炎是一种儿童期发病的慢性关节炎，其特点为在高热和系统病症出现数月后发生关节炎。</w:t>
      </w:r>
    </w:p>
    <w:p>
      <w:pPr>
        <w:pStyle w:val="BodyText"/>
        <w:ind w:left="173" w:right="103"/>
      </w:pPr>
      <w:r>
        <w:rPr/>
        <w:t>本合同仅对实际接受了膝关节或髋关节置换手术治疗的严重的幼年型类风湿性关节炎予以理赔。</w:t>
      </w:r>
    </w:p>
    <w:p>
      <w:pPr>
        <w:spacing w:after="0"/>
        <w:sectPr>
          <w:type w:val="continuous"/>
          <w:pgSz w:w="11900" w:h="16840"/>
          <w:pgMar w:top="1220" w:bottom="280" w:left="1100" w:right="1100"/>
          <w:cols w:num="2" w:equalWidth="0">
            <w:col w:w="2635" w:space="40"/>
            <w:col w:w="7025"/>
          </w:cols>
        </w:sectPr>
      </w:pPr>
    </w:p>
    <w:p>
      <w:pPr>
        <w:pStyle w:val="BodyText"/>
        <w:spacing w:before="1"/>
        <w:rPr>
          <w:sz w:val="15"/>
        </w:rPr>
      </w:pPr>
    </w:p>
    <w:p>
      <w:pPr>
        <w:spacing w:after="0"/>
        <w:rPr>
          <w:sz w:val="15"/>
        </w:rPr>
        <w:sectPr>
          <w:type w:val="continuous"/>
          <w:pgSz w:w="11900" w:h="16840"/>
          <w:pgMar w:top="1220" w:bottom="280" w:left="1100" w:right="1100"/>
        </w:sectPr>
      </w:pPr>
    </w:p>
    <w:p>
      <w:pPr>
        <w:pStyle w:val="ListParagraph"/>
        <w:numPr>
          <w:ilvl w:val="3"/>
          <w:numId w:val="4"/>
        </w:numPr>
        <w:tabs>
          <w:tab w:pos="1464" w:val="left" w:leader="none"/>
        </w:tabs>
        <w:spacing w:line="225" w:lineRule="auto" w:before="63" w:after="0"/>
        <w:ind w:left="1170" w:right="0" w:hanging="2"/>
        <w:jc w:val="left"/>
        <w:rPr>
          <w:sz w:val="21"/>
        </w:rPr>
      </w:pPr>
      <w:r>
        <w:rPr>
          <w:spacing w:val="20"/>
          <w:sz w:val="21"/>
        </w:rPr>
        <w:t>人工耳蜗手术</w:t>
      </w:r>
    </w:p>
    <w:p>
      <w:pPr>
        <w:pStyle w:val="BodyText"/>
        <w:spacing w:before="43"/>
        <w:ind w:left="173" w:right="103"/>
      </w:pPr>
      <w:r>
        <w:rPr/>
        <w:br w:type="column"/>
      </w:r>
      <w:r>
        <w:rPr/>
        <w:t>指由于耳蜗的永久损害而实际实施了人工耳蜗植入手术。需经专科医师确认手术在医学上是必要的，且在植入手术之前已经符合下列全部条件：</w:t>
      </w:r>
    </w:p>
    <w:p>
      <w:pPr>
        <w:pStyle w:val="BodyText"/>
        <w:spacing w:line="280" w:lineRule="exact"/>
        <w:ind w:left="173"/>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81" w:lineRule="exact"/>
        <w:ind w:left="173"/>
      </w:pPr>
      <w:r>
        <w:rPr/>
        <w:t>（</w:t>
      </w:r>
      <w:r>
        <w:rPr>
          <w:rFonts w:ascii="Times New Roman" w:eastAsia="Times New Roman"/>
        </w:rPr>
        <w:t>2</w:t>
      </w:r>
      <w:r>
        <w:rPr/>
        <w:t>）使用相应的听力辅助设备效果不佳。</w:t>
      </w:r>
    </w:p>
    <w:p>
      <w:pPr>
        <w:spacing w:after="0" w:line="281" w:lineRule="exact"/>
        <w:sectPr>
          <w:type w:val="continuous"/>
          <w:pgSz w:w="11900" w:h="16840"/>
          <w:pgMar w:top="1220" w:bottom="280" w:left="1100" w:right="1100"/>
          <w:cols w:num="2" w:equalWidth="0">
            <w:col w:w="2635" w:space="40"/>
            <w:col w:w="7025"/>
          </w:cols>
        </w:sectPr>
      </w:pPr>
    </w:p>
    <w:p>
      <w:pPr>
        <w:pStyle w:val="BodyText"/>
        <w:spacing w:before="11"/>
        <w:rPr>
          <w:sz w:val="13"/>
        </w:rPr>
      </w:pPr>
    </w:p>
    <w:p>
      <w:pPr>
        <w:spacing w:after="0"/>
        <w:rPr>
          <w:sz w:val="13"/>
        </w:rPr>
        <w:sectPr>
          <w:type w:val="continuous"/>
          <w:pgSz w:w="11900" w:h="16840"/>
          <w:pgMar w:top="1220" w:bottom="280" w:left="1100" w:right="1100"/>
        </w:sectPr>
      </w:pPr>
    </w:p>
    <w:p>
      <w:pPr>
        <w:pStyle w:val="ListParagraph"/>
        <w:numPr>
          <w:ilvl w:val="3"/>
          <w:numId w:val="4"/>
        </w:numPr>
        <w:tabs>
          <w:tab w:pos="1464" w:val="left" w:leader="none"/>
        </w:tabs>
        <w:spacing w:line="225" w:lineRule="auto" w:before="63" w:after="0"/>
        <w:ind w:left="1170" w:right="0" w:hanging="2"/>
        <w:jc w:val="left"/>
        <w:rPr>
          <w:sz w:val="21"/>
        </w:rPr>
      </w:pPr>
      <w:r>
        <w:rPr>
          <w:spacing w:val="20"/>
          <w:sz w:val="21"/>
        </w:rPr>
        <w:t>硬脑膜下血肿手术</w:t>
      </w:r>
    </w:p>
    <w:p>
      <w:pPr>
        <w:pStyle w:val="BodyText"/>
        <w:spacing w:before="44"/>
        <w:ind w:left="173" w:right="103"/>
      </w:pPr>
      <w:r>
        <w:rPr/>
        <w:br w:type="column"/>
      </w:r>
      <w:r>
        <w:rPr/>
        <w:t>为清除或引流因意外导致的血肿，需于头部进行开颅或钻孔手术。开颅或钻孔手术必须由专科医生认为是医学上必需的情况下进行。</w:t>
      </w:r>
    </w:p>
    <w:p>
      <w:pPr>
        <w:spacing w:after="0"/>
        <w:sectPr>
          <w:type w:val="continuous"/>
          <w:pgSz w:w="11900" w:h="16840"/>
          <w:pgMar w:top="1220" w:bottom="280" w:left="1100" w:right="1100"/>
          <w:cols w:num="2" w:equalWidth="0">
            <w:col w:w="2635" w:space="40"/>
            <w:col w:w="7025"/>
          </w:cols>
        </w:sectPr>
      </w:pPr>
    </w:p>
    <w:p>
      <w:pPr>
        <w:pStyle w:val="BodyText"/>
        <w:spacing w:before="9"/>
        <w:rPr>
          <w:sz w:val="14"/>
        </w:rPr>
      </w:pPr>
    </w:p>
    <w:p>
      <w:pPr>
        <w:spacing w:after="0"/>
        <w:rPr>
          <w:sz w:val="14"/>
        </w:rPr>
        <w:sectPr>
          <w:type w:val="continuous"/>
          <w:pgSz w:w="11900" w:h="16840"/>
          <w:pgMar w:top="1220" w:bottom="280" w:left="1100" w:right="1100"/>
        </w:sectPr>
      </w:pPr>
    </w:p>
    <w:p>
      <w:pPr>
        <w:pStyle w:val="ListParagraph"/>
        <w:numPr>
          <w:ilvl w:val="3"/>
          <w:numId w:val="4"/>
        </w:numPr>
        <w:tabs>
          <w:tab w:pos="1464" w:val="left" w:leader="none"/>
        </w:tabs>
        <w:spacing w:line="225" w:lineRule="auto" w:before="63" w:after="0"/>
        <w:ind w:left="1170" w:right="0" w:hanging="2"/>
        <w:jc w:val="both"/>
        <w:rPr>
          <w:sz w:val="21"/>
        </w:rPr>
      </w:pPr>
      <w:r>
        <w:rPr>
          <w:sz w:val="21"/>
        </w:rPr>
        <w:t>Ⅲ 度房室传</w:t>
      </w:r>
      <w:r>
        <w:rPr>
          <w:spacing w:val="20"/>
          <w:sz w:val="21"/>
        </w:rPr>
        <w:t>导阻滞</w:t>
      </w:r>
      <w:r>
        <w:rPr>
          <w:rFonts w:ascii="Times New Roman" w:hAnsi="Times New Roman" w:eastAsia="Times New Roman"/>
          <w:b/>
          <w:spacing w:val="-12"/>
          <w:sz w:val="21"/>
        </w:rPr>
        <w:t>- </w:t>
      </w:r>
      <w:r>
        <w:rPr>
          <w:spacing w:val="12"/>
          <w:sz w:val="21"/>
        </w:rPr>
        <w:t>已放置</w:t>
      </w:r>
      <w:r>
        <w:rPr>
          <w:spacing w:val="3"/>
          <w:sz w:val="21"/>
        </w:rPr>
        <w:t>心脏起搏器</w:t>
      </w:r>
    </w:p>
    <w:p>
      <w:pPr>
        <w:pStyle w:val="BodyText"/>
        <w:spacing w:before="43"/>
        <w:ind w:left="171" w:right="103"/>
      </w:pPr>
      <w:r>
        <w:rPr/>
        <w:br w:type="column"/>
      </w:r>
      <w:r>
        <w:rPr/>
        <w:t>指心房激动在房室交界区、房室束及其分支内发生阻滞，不能正常地传到心室的心脏传导性疾病，须满足下列所有条件：</w:t>
      </w:r>
    </w:p>
    <w:p>
      <w:pPr>
        <w:pStyle w:val="BodyText"/>
        <w:spacing w:line="279" w:lineRule="exact"/>
        <w:ind w:left="171"/>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line="274" w:lineRule="exact"/>
        <w:ind w:left="171"/>
      </w:pPr>
      <w:r>
        <w:rPr/>
        <w:t>（</w:t>
      </w:r>
      <w:r>
        <w:rPr>
          <w:rFonts w:ascii="Times New Roman" w:eastAsia="Times New Roman"/>
        </w:rPr>
        <w:t>2</w:t>
      </w:r>
      <w:r>
        <w:rPr/>
        <w:t>）出现阿</w:t>
      </w:r>
      <w:r>
        <w:rPr>
          <w:rFonts w:ascii="Times New Roman" w:eastAsia="Times New Roman"/>
        </w:rPr>
        <w:t>-</w:t>
      </w:r>
      <w:r>
        <w:rPr/>
        <w:t>斯综合征或心力衰竭的表现；</w:t>
      </w:r>
    </w:p>
    <w:p>
      <w:pPr>
        <w:pStyle w:val="BodyText"/>
        <w:spacing w:line="225" w:lineRule="auto" w:before="8"/>
        <w:ind w:left="171" w:right="23"/>
      </w:pPr>
      <w:r>
        <w:rPr/>
        <w:t>（</w:t>
      </w:r>
      <w:r>
        <w:rPr>
          <w:rFonts w:ascii="Times New Roman" w:eastAsia="Times New Roman"/>
        </w:rPr>
        <w:t>3</w:t>
      </w:r>
      <w:r>
        <w:rPr/>
        <w:t>）必须持续性依赖心脏起搏器维持心脏正常功能，且已经放置心脏起搏器。</w:t>
      </w:r>
    </w:p>
    <w:p>
      <w:pPr>
        <w:spacing w:after="0" w:line="225" w:lineRule="auto"/>
        <w:sectPr>
          <w:type w:val="continuous"/>
          <w:pgSz w:w="11900" w:h="16840"/>
          <w:pgMar w:top="1220" w:bottom="280" w:left="1100" w:right="1100"/>
          <w:cols w:num="2" w:equalWidth="0">
            <w:col w:w="2637" w:space="40"/>
            <w:col w:w="7023"/>
          </w:cols>
        </w:sectPr>
      </w:pPr>
    </w:p>
    <w:p>
      <w:pPr>
        <w:pStyle w:val="BodyText"/>
        <w:spacing w:before="12"/>
        <w:rPr>
          <w:sz w:val="14"/>
        </w:rPr>
      </w:pPr>
    </w:p>
    <w:p>
      <w:pPr>
        <w:spacing w:after="0"/>
        <w:rPr>
          <w:sz w:val="14"/>
        </w:rPr>
        <w:sectPr>
          <w:type w:val="continuous"/>
          <w:pgSz w:w="11900" w:h="16840"/>
          <w:pgMar w:top="1220" w:bottom="280" w:left="1100" w:right="1100"/>
        </w:sectPr>
      </w:pPr>
    </w:p>
    <w:p>
      <w:pPr>
        <w:pStyle w:val="ListParagraph"/>
        <w:numPr>
          <w:ilvl w:val="3"/>
          <w:numId w:val="4"/>
        </w:numPr>
        <w:tabs>
          <w:tab w:pos="1464" w:val="left" w:leader="none"/>
        </w:tabs>
        <w:spacing w:line="225" w:lineRule="auto" w:before="63" w:after="0"/>
        <w:ind w:left="1170" w:right="0" w:hanging="2"/>
        <w:jc w:val="left"/>
        <w:rPr>
          <w:sz w:val="21"/>
        </w:rPr>
      </w:pPr>
      <w:r>
        <w:rPr>
          <w:spacing w:val="20"/>
          <w:sz w:val="21"/>
        </w:rPr>
        <w:t>单侧肺脏切除</w:t>
      </w:r>
    </w:p>
    <w:p>
      <w:pPr>
        <w:pStyle w:val="BodyText"/>
        <w:spacing w:before="43"/>
        <w:ind w:left="173" w:right="103"/>
      </w:pPr>
      <w:r>
        <w:rPr/>
        <w:br w:type="column"/>
      </w:r>
      <w:r>
        <w:rPr/>
        <w:t>因疾病或意外事故实际实施的一侧肺脏切除术，部分切除手术和肺脏捐献引起的手术不在保障范围内。</w:t>
      </w:r>
    </w:p>
    <w:p>
      <w:pPr>
        <w:spacing w:after="0"/>
        <w:sectPr>
          <w:type w:val="continuous"/>
          <w:pgSz w:w="11900" w:h="16840"/>
          <w:pgMar w:top="1220" w:bottom="280" w:left="1100" w:right="1100"/>
          <w:cols w:num="2" w:equalWidth="0">
            <w:col w:w="2635" w:space="40"/>
            <w:col w:w="7025"/>
          </w:cols>
        </w:sectPr>
      </w:pPr>
    </w:p>
    <w:p>
      <w:pPr>
        <w:pStyle w:val="BodyText"/>
        <w:spacing w:before="10"/>
        <w:rPr>
          <w:sz w:val="14"/>
        </w:rPr>
      </w:pPr>
    </w:p>
    <w:p>
      <w:pPr>
        <w:pStyle w:val="BodyText"/>
        <w:spacing w:line="223" w:lineRule="auto" w:before="66"/>
        <w:ind w:left="2847" w:right="103" w:hanging="1680"/>
        <w:jc w:val="both"/>
      </w:pPr>
      <w:r>
        <w:rPr>
          <w:rFonts w:ascii="Times New Roman" w:eastAsia="Times New Roman"/>
          <w:b/>
        </w:rPr>
        <w:t>20.</w:t>
      </w:r>
      <w:r>
        <w:rPr>
          <w:spacing w:val="-3"/>
        </w:rPr>
        <w:t>早期肝硬化  肝硬化须由专科医生明确诊断。必须由活检证实有再生的肝细胞结节和典型的肝组织纤维化。下列条件必须全部满足并至少持续一年：</w:t>
      </w:r>
    </w:p>
    <w:p>
      <w:pPr>
        <w:pStyle w:val="BodyText"/>
        <w:spacing w:line="279" w:lineRule="exact"/>
        <w:ind w:left="2847"/>
      </w:pPr>
      <w:r>
        <w:rPr/>
        <w:t>（</w:t>
      </w:r>
      <w:r>
        <w:rPr>
          <w:rFonts w:ascii="Times New Roman" w:eastAsia="Times New Roman"/>
        </w:rPr>
        <w:t>1</w:t>
      </w:r>
      <w:r>
        <w:rPr/>
        <w:t>）持续性黄疸，胆红素水平升高超过 </w:t>
      </w:r>
      <w:r>
        <w:rPr>
          <w:rFonts w:ascii="Times New Roman" w:eastAsia="Times New Roman"/>
        </w:rPr>
        <w:t>50mol/L</w:t>
      </w:r>
      <w:r>
        <w:rPr/>
        <w:t>；</w:t>
      </w:r>
    </w:p>
    <w:p>
      <w:pPr>
        <w:pStyle w:val="BodyText"/>
        <w:spacing w:line="274" w:lineRule="exact"/>
        <w:ind w:left="2848"/>
      </w:pPr>
      <w:r>
        <w:rPr/>
        <w:t>（</w:t>
      </w:r>
      <w:r>
        <w:rPr>
          <w:rFonts w:ascii="Times New Roman" w:eastAsia="Times New Roman"/>
        </w:rPr>
        <w:t>2</w:t>
      </w:r>
      <w:r>
        <w:rPr/>
        <w:t>）蛋白质合成异常，白蛋白水平低于 </w:t>
      </w:r>
      <w:r>
        <w:rPr>
          <w:rFonts w:ascii="Times New Roman" w:eastAsia="Times New Roman"/>
        </w:rPr>
        <w:t>27g/L</w:t>
      </w:r>
      <w:r>
        <w:rPr/>
        <w:t>；</w:t>
      </w:r>
    </w:p>
    <w:p>
      <w:pPr>
        <w:pStyle w:val="BodyText"/>
        <w:spacing w:line="225" w:lineRule="auto" w:before="9"/>
        <w:ind w:left="2847" w:right="103"/>
      </w:pPr>
      <w:r>
        <w:rPr/>
        <w:t>（</w:t>
      </w:r>
      <w:r>
        <w:rPr>
          <w:rFonts w:ascii="Times New Roman" w:eastAsia="Times New Roman"/>
        </w:rPr>
        <w:t>3</w:t>
      </w:r>
      <w:r>
        <w:rPr/>
        <w:t>）异常凝血功能，凝血酶原时间超过正常上限的 </w:t>
      </w:r>
      <w:r>
        <w:rPr>
          <w:rFonts w:ascii="Times New Roman" w:eastAsia="Times New Roman"/>
        </w:rPr>
        <w:t>2 </w:t>
      </w:r>
      <w:r>
        <w:rPr/>
        <w:t>倍或以上，或者国际正常化比率</w:t>
      </w:r>
      <w:r>
        <w:rPr>
          <w:rFonts w:ascii="Times New Roman" w:eastAsia="Times New Roman"/>
        </w:rPr>
        <w:t>(INR)</w:t>
      </w:r>
      <w:r>
        <w:rPr/>
        <w:t>在 </w:t>
      </w:r>
      <w:r>
        <w:rPr>
          <w:rFonts w:ascii="Times New Roman" w:eastAsia="Times New Roman"/>
        </w:rPr>
        <w:t>2.0 </w:t>
      </w:r>
      <w:r>
        <w:rPr/>
        <w:t>以上。</w:t>
      </w:r>
    </w:p>
    <w:p>
      <w:pPr>
        <w:pStyle w:val="BodyText"/>
        <w:rPr>
          <w:sz w:val="22"/>
        </w:rPr>
      </w:pPr>
    </w:p>
    <w:p>
      <w:pPr>
        <w:pStyle w:val="BodyText"/>
        <w:rPr>
          <w:sz w:val="22"/>
        </w:rPr>
      </w:pPr>
    </w:p>
    <w:p>
      <w:pPr>
        <w:pStyle w:val="BodyText"/>
        <w:spacing w:line="230" w:lineRule="auto" w:before="172"/>
        <w:ind w:left="2847" w:right="137" w:hanging="2734"/>
        <w:jc w:val="both"/>
      </w:pPr>
      <w:r>
        <w:rPr>
          <w:position w:val="1"/>
        </w:rPr>
        <w:t>附表二：  重大疾病列表   </w:t>
      </w:r>
      <w:r>
        <w:rPr>
          <w:spacing w:val="-13"/>
        </w:rPr>
        <w:t>包括以下疾病、疾病状态或手术。其中第 </w:t>
      </w:r>
      <w:r>
        <w:rPr>
          <w:rFonts w:ascii="Times New Roman" w:eastAsia="Times New Roman"/>
        </w:rPr>
        <w:t>1-25 </w:t>
      </w:r>
      <w:r>
        <w:rPr>
          <w:spacing w:val="-3"/>
        </w:rPr>
        <w:t>项为中国保险行业协会与中</w:t>
      </w:r>
      <w:r>
        <w:rPr>
          <w:spacing w:val="-5"/>
        </w:rPr>
        <w:t>国医师协会共同制定的疾病定义，第 </w:t>
      </w:r>
      <w:r>
        <w:rPr>
          <w:rFonts w:ascii="Times New Roman" w:eastAsia="Times New Roman"/>
        </w:rPr>
        <w:t>26-55 </w:t>
      </w:r>
      <w:r>
        <w:rPr>
          <w:spacing w:val="-3"/>
        </w:rPr>
        <w:t>项为我们增加的疾病种类并自行制定的疾病定义。</w:t>
      </w:r>
    </w:p>
    <w:p>
      <w:pPr>
        <w:pStyle w:val="BodyText"/>
        <w:spacing w:before="8"/>
      </w:pPr>
    </w:p>
    <w:p>
      <w:pPr>
        <w:pStyle w:val="BodyText"/>
        <w:spacing w:line="232" w:lineRule="auto"/>
        <w:ind w:left="2847" w:right="103" w:hanging="1680"/>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spacing w:before="12"/>
        <w:rPr>
          <w:sz w:val="16"/>
        </w:rPr>
      </w:pPr>
    </w:p>
    <w:p>
      <w:pPr>
        <w:pStyle w:val="BodyText"/>
        <w:spacing w:line="274" w:lineRule="exact" w:before="1"/>
        <w:ind w:left="2847"/>
      </w:pPr>
      <w:r>
        <w:rPr/>
        <w:t>下列疾病不在保障范围内：</w:t>
      </w:r>
    </w:p>
    <w:p>
      <w:pPr>
        <w:pStyle w:val="BodyText"/>
        <w:spacing w:line="280" w:lineRule="exact"/>
        <w:ind w:left="2847"/>
      </w:pPr>
      <w:r>
        <w:rPr/>
        <w:t>（</w:t>
      </w:r>
      <w:r>
        <w:rPr>
          <w:rFonts w:ascii="Times New Roman" w:eastAsia="Times New Roman"/>
        </w:rPr>
        <w:t>1</w:t>
      </w:r>
      <w:r>
        <w:rPr/>
        <w:t>）原位癌；</w:t>
      </w:r>
    </w:p>
    <w:p>
      <w:pPr>
        <w:pStyle w:val="BodyText"/>
        <w:spacing w:line="272" w:lineRule="exact"/>
        <w:ind w:left="284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4" w:lineRule="exact"/>
        <w:ind w:left="284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4" w:lineRule="exact"/>
        <w:ind w:left="2847"/>
      </w:pPr>
      <w:r>
        <w:rPr/>
        <w:t>（</w:t>
      </w:r>
      <w:r>
        <w:rPr>
          <w:rFonts w:ascii="Times New Roman" w:eastAsia="Times New Roman"/>
        </w:rPr>
        <w:t>4</w:t>
      </w:r>
      <w:r>
        <w:rPr/>
        <w:t>）皮肤癌（不包括恶性黑色素瘤及已发Th转移的皮肤癌）；</w:t>
      </w:r>
    </w:p>
    <w:p>
      <w:pPr>
        <w:pStyle w:val="BodyText"/>
        <w:spacing w:line="272" w:lineRule="exact"/>
        <w:ind w:left="284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1" w:lineRule="exact"/>
        <w:ind w:left="2847"/>
      </w:pPr>
      <w:r>
        <w:rPr/>
        <w:t>（</w:t>
      </w:r>
      <w:r>
        <w:rPr>
          <w:rFonts w:ascii="Times New Roman" w:eastAsia="Times New Roman"/>
        </w:rPr>
        <w:t>6</w:t>
      </w:r>
      <w:r>
        <w:rPr/>
        <w:t>）感染艾滋病病毒或患艾滋病期间所患恶性肿瘤。</w:t>
      </w:r>
    </w:p>
    <w:p>
      <w:pPr>
        <w:spacing w:after="0" w:line="281" w:lineRule="exact"/>
        <w:sectPr>
          <w:type w:val="continuous"/>
          <w:pgSz w:w="11900" w:h="16840"/>
          <w:pgMar w:top="1220" w:bottom="280" w:left="1100" w:right="1100"/>
        </w:sectPr>
      </w:pPr>
    </w:p>
    <w:p>
      <w:pPr>
        <w:pStyle w:val="BodyText"/>
        <w:spacing w:line="220" w:lineRule="auto" w:before="52"/>
        <w:ind w:left="2267" w:right="223" w:hanging="1680"/>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1" w:lineRule="exact"/>
        <w:ind w:left="2267"/>
      </w:pPr>
      <w:r>
        <w:rPr/>
        <w:t>（</w:t>
      </w:r>
      <w:r>
        <w:rPr>
          <w:rFonts w:ascii="Times New Roman" w:eastAsia="Times New Roman"/>
        </w:rPr>
        <w:t>1</w:t>
      </w:r>
      <w:r>
        <w:rPr/>
        <w:t>）典型临床表现，例如急性胸痛等；</w:t>
      </w:r>
    </w:p>
    <w:p>
      <w:pPr>
        <w:pStyle w:val="BodyText"/>
        <w:spacing w:line="274" w:lineRule="exact"/>
        <w:ind w:left="2267"/>
      </w:pPr>
      <w:r>
        <w:rPr/>
        <w:t>（</w:t>
      </w:r>
      <w:r>
        <w:rPr>
          <w:rFonts w:ascii="Times New Roman" w:eastAsia="Times New Roman"/>
        </w:rPr>
        <w:t>2</w:t>
      </w:r>
      <w:r>
        <w:rPr/>
        <w:t>）新近的心电图改变提示急性心肌梗塞；</w:t>
      </w:r>
    </w:p>
    <w:p>
      <w:pPr>
        <w:pStyle w:val="BodyText"/>
        <w:spacing w:line="223" w:lineRule="auto" w:before="11"/>
        <w:ind w:left="2267" w:right="221"/>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81" w:lineRule="exact"/>
        <w:ind w:left="226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267"/>
      </w:pPr>
      <w:r>
        <w:rPr>
          <w:rFonts w:ascii="Times New Roman" w:eastAsia="Times New Roman"/>
        </w:rPr>
        <w:t>50%</w:t>
      </w:r>
      <w:r>
        <w:rPr/>
        <w:t>。</w:t>
      </w:r>
    </w:p>
    <w:p>
      <w:pPr>
        <w:pStyle w:val="BodyText"/>
        <w:spacing w:before="5"/>
      </w:pPr>
    </w:p>
    <w:p>
      <w:pPr>
        <w:pStyle w:val="BodyText"/>
        <w:spacing w:line="225" w:lineRule="auto" w:before="1"/>
        <w:ind w:left="2267" w:right="221" w:hanging="1680"/>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0" w:lineRule="exact"/>
        <w:ind w:left="2277"/>
      </w:pPr>
      <w:r>
        <w:rPr/>
        <w:t>（</w:t>
      </w:r>
      <w:r>
        <w:rPr>
          <w:rFonts w:ascii="Times New Roman" w:eastAsia="Times New Roman"/>
        </w:rPr>
        <w:t>1</w:t>
      </w:r>
      <w:r>
        <w:rPr/>
        <w:t>）一肢或一肢以上肢体机能完全丧失（见 </w:t>
      </w:r>
      <w:r>
        <w:rPr>
          <w:rFonts w:ascii="Times New Roman" w:eastAsia="Times New Roman"/>
        </w:rPr>
        <w:t>8.18</w:t>
      </w:r>
      <w:r>
        <w:rPr/>
        <w:t>）；</w:t>
      </w:r>
    </w:p>
    <w:p>
      <w:pPr>
        <w:pStyle w:val="BodyText"/>
        <w:spacing w:line="272" w:lineRule="exact"/>
        <w:ind w:left="2277"/>
      </w:pPr>
      <w:r>
        <w:rPr/>
        <w:t>（</w:t>
      </w:r>
      <w:r>
        <w:rPr>
          <w:rFonts w:ascii="Times New Roman" w:eastAsia="Times New Roman"/>
        </w:rPr>
        <w:t>2</w:t>
      </w:r>
      <w:r>
        <w:rPr/>
        <w:t>）语言能力完全丧失（见 </w:t>
      </w:r>
      <w:r>
        <w:rPr>
          <w:rFonts w:ascii="Times New Roman" w:eastAsia="Times New Roman"/>
        </w:rPr>
        <w:t>8.19</w:t>
      </w:r>
      <w:r>
        <w:rPr/>
        <w:t>）或咀嚼吞咽能力完全丧失（见 </w:t>
      </w:r>
      <w:r>
        <w:rPr>
          <w:rFonts w:ascii="Times New Roman" w:eastAsia="Times New Roman"/>
        </w:rPr>
        <w:t>8.20</w:t>
      </w:r>
      <w:r>
        <w:rPr/>
        <w:t>）；</w:t>
      </w:r>
    </w:p>
    <w:p>
      <w:pPr>
        <w:pStyle w:val="BodyText"/>
        <w:spacing w:line="225" w:lineRule="auto" w:before="9"/>
        <w:ind w:left="2275" w:right="221" w:firstLine="2"/>
      </w:pPr>
      <w:r>
        <w:rPr>
          <w:spacing w:val="-16"/>
        </w:rPr>
        <w:t>（</w:t>
      </w:r>
      <w:r>
        <w:rPr>
          <w:rFonts w:ascii="Times New Roman" w:eastAsia="Times New Roman"/>
          <w:spacing w:val="-16"/>
        </w:rPr>
        <w:t>3</w:t>
      </w:r>
      <w:r>
        <w:rPr>
          <w:spacing w:val="-16"/>
        </w:rPr>
        <w:t>）</w:t>
      </w:r>
      <w:r>
        <w:rPr>
          <w:spacing w:val="-7"/>
        </w:rPr>
        <w:t>自主生活能力完全丧失，无法独立完成六项基本日常生活活动中的三</w:t>
      </w:r>
      <w:r>
        <w:rPr>
          <w:spacing w:val="-5"/>
        </w:rPr>
        <w:t>项或三项以上。</w:t>
      </w:r>
    </w:p>
    <w:p>
      <w:pPr>
        <w:pStyle w:val="BodyText"/>
        <w:spacing w:before="11"/>
        <w:rPr>
          <w:sz w:val="17"/>
        </w:rPr>
      </w:pPr>
    </w:p>
    <w:p>
      <w:pPr>
        <w:spacing w:after="0"/>
        <w:rPr>
          <w:sz w:val="17"/>
        </w:rPr>
        <w:sectPr>
          <w:pgSz w:w="11900" w:h="16840"/>
          <w:pgMar w:top="1240" w:bottom="280" w:left="1680" w:right="980"/>
        </w:sectPr>
      </w:pPr>
    </w:p>
    <w:p>
      <w:pPr>
        <w:pStyle w:val="BodyText"/>
        <w:spacing w:line="232" w:lineRule="auto" w:before="55"/>
        <w:ind w:left="590" w:hanging="3"/>
        <w:jc w:val="both"/>
      </w:pPr>
      <w:r>
        <w:rPr>
          <w:rFonts w:ascii="Times New Roman" w:eastAsia="Times New Roman"/>
          <w:b/>
          <w:spacing w:val="2"/>
        </w:rPr>
        <w:t>4.</w:t>
      </w:r>
      <w:r>
        <w:rPr>
          <w:spacing w:val="3"/>
        </w:rPr>
        <w:t>重大器官移植</w:t>
      </w:r>
      <w:r>
        <w:rPr>
          <w:spacing w:val="-32"/>
        </w:rPr>
        <w:t>术 或 造 血 干 细</w:t>
      </w:r>
      <w:r>
        <w:rPr>
          <w:spacing w:val="-18"/>
        </w:rPr>
        <w:t>胞移植术</w:t>
      </w:r>
    </w:p>
    <w:p>
      <w:pPr>
        <w:pStyle w:val="BodyText"/>
        <w:spacing w:before="43"/>
        <w:ind w:left="171" w:right="223"/>
      </w:pPr>
      <w:r>
        <w:rPr/>
        <w:br w:type="column"/>
      </w:r>
      <w:r>
        <w:rPr/>
        <w:t>重大器官移植术，指因相应器官功能衰竭，已经实施了肾脏、肝脏、心脏或肺脏的异体移植手术。</w:t>
      </w:r>
    </w:p>
    <w:p>
      <w:pPr>
        <w:pStyle w:val="BodyText"/>
        <w:spacing w:before="2"/>
        <w:rPr>
          <w:sz w:val="18"/>
        </w:rPr>
      </w:pPr>
    </w:p>
    <w:p>
      <w:pPr>
        <w:pStyle w:val="BodyText"/>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sectPr>
          <w:type w:val="continuous"/>
          <w:pgSz w:w="11900" w:h="16840"/>
          <w:pgMar w:top="1220" w:bottom="280" w:left="1680" w:right="980"/>
          <w:cols w:num="2" w:equalWidth="0">
            <w:col w:w="2057" w:space="40"/>
            <w:col w:w="7143"/>
          </w:cols>
        </w:sectPr>
      </w:pPr>
    </w:p>
    <w:p>
      <w:pPr>
        <w:pStyle w:val="BodyText"/>
        <w:spacing w:before="11"/>
        <w:rPr>
          <w:sz w:val="17"/>
        </w:rPr>
      </w:pPr>
    </w:p>
    <w:p>
      <w:pPr>
        <w:spacing w:after="0"/>
        <w:rPr>
          <w:sz w:val="17"/>
        </w:rPr>
        <w:sectPr>
          <w:type w:val="continuous"/>
          <w:pgSz w:w="11900" w:h="16840"/>
          <w:pgMar w:top="1220" w:bottom="280" w:left="1680" w:right="980"/>
        </w:sectPr>
      </w:pPr>
    </w:p>
    <w:p>
      <w:pPr>
        <w:pStyle w:val="BodyText"/>
        <w:spacing w:line="232" w:lineRule="auto" w:before="54"/>
        <w:ind w:left="590" w:hanging="3"/>
        <w:jc w:val="both"/>
      </w:pPr>
      <w:r>
        <w:rPr>
          <w:rFonts w:ascii="Times New Roman" w:eastAsia="Times New Roman"/>
          <w:b/>
        </w:rPr>
        <w:t>5.</w:t>
      </w:r>
      <w:r>
        <w:rPr/>
        <w:t>冠状动脉搭桥术（或称冠状动脉旁路移植术）</w:t>
      </w:r>
    </w:p>
    <w:p>
      <w:pPr>
        <w:pStyle w:val="BodyText"/>
        <w:spacing w:before="43"/>
        <w:ind w:left="161" w:right="223"/>
      </w:pPr>
      <w:r>
        <w:rPr/>
        <w:br w:type="column"/>
      </w:r>
      <w:r>
        <w:rPr/>
        <w:t>指为治疗严重的冠心病，实际实施了开胸进行的冠状动脉血管旁路移植的手术。</w:t>
      </w:r>
    </w:p>
    <w:p>
      <w:pPr>
        <w:pStyle w:val="BodyText"/>
        <w:spacing w:before="2"/>
        <w:rPr>
          <w:sz w:val="18"/>
        </w:rPr>
      </w:pPr>
    </w:p>
    <w:p>
      <w:pPr>
        <w:pStyle w:val="BodyText"/>
        <w:spacing w:before="1"/>
        <w:ind w:left="161" w:right="223"/>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80"/>
          <w:cols w:num="2" w:equalWidth="0">
            <w:col w:w="2067" w:space="40"/>
            <w:col w:w="7133"/>
          </w:cols>
        </w:sectPr>
      </w:pPr>
    </w:p>
    <w:p>
      <w:pPr>
        <w:pStyle w:val="BodyText"/>
        <w:spacing w:before="11"/>
        <w:rPr>
          <w:sz w:val="17"/>
        </w:rPr>
      </w:pPr>
    </w:p>
    <w:p>
      <w:pPr>
        <w:spacing w:after="0"/>
        <w:rPr>
          <w:sz w:val="17"/>
        </w:rPr>
        <w:sectPr>
          <w:type w:val="continuous"/>
          <w:pgSz w:w="11900" w:h="16840"/>
          <w:pgMar w:top="1220" w:bottom="280" w:left="1680" w:right="980"/>
        </w:sectPr>
      </w:pPr>
    </w:p>
    <w:p>
      <w:pPr>
        <w:spacing w:line="282" w:lineRule="exact" w:before="46"/>
        <w:ind w:left="587" w:right="0" w:firstLine="0"/>
        <w:jc w:val="left"/>
        <w:rPr>
          <w:sz w:val="21"/>
        </w:rPr>
      </w:pPr>
      <w:r>
        <w:rPr>
          <w:rFonts w:ascii="Times New Roman" w:eastAsia="Times New Roman"/>
          <w:b/>
          <w:sz w:val="21"/>
        </w:rPr>
        <w:t>6. </w:t>
      </w:r>
      <w:r>
        <w:rPr>
          <w:spacing w:val="-25"/>
          <w:sz w:val="21"/>
        </w:rPr>
        <w:t>终 末 期 肾 病</w:t>
      </w:r>
    </w:p>
    <w:p>
      <w:pPr>
        <w:pStyle w:val="BodyText"/>
        <w:ind w:left="590"/>
        <w:jc w:val="both"/>
      </w:pPr>
      <w:r>
        <w:rPr/>
        <w:t>（</w:t>
      </w:r>
      <w:r>
        <w:rPr>
          <w:spacing w:val="-36"/>
        </w:rPr>
        <w:t> 或 称 慢 性 肾</w:t>
      </w:r>
      <w:r>
        <w:rPr>
          <w:spacing w:val="-34"/>
        </w:rPr>
        <w:t>功 能 衰 竭 尿 毒症期）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980"/>
          <w:cols w:num="2" w:equalWidth="0">
            <w:col w:w="2057" w:space="40"/>
            <w:col w:w="7143"/>
          </w:cols>
        </w:sectPr>
      </w:pPr>
    </w:p>
    <w:p>
      <w:pPr>
        <w:pStyle w:val="BodyText"/>
        <w:spacing w:before="5"/>
        <w:rPr>
          <w:sz w:val="15"/>
        </w:rPr>
      </w:pPr>
    </w:p>
    <w:p>
      <w:pPr>
        <w:pStyle w:val="BodyText"/>
        <w:tabs>
          <w:tab w:pos="2267" w:val="left" w:leader="none"/>
        </w:tabs>
        <w:spacing w:line="223" w:lineRule="auto" w:before="66"/>
        <w:ind w:left="2267" w:right="223" w:hanging="1680"/>
      </w:pPr>
      <w:r>
        <w:rPr>
          <w:rFonts w:ascii="Times New Roman" w:eastAsia="Times New Roman"/>
          <w:b/>
        </w:rPr>
        <w:t>7.</w:t>
      </w:r>
      <w:r>
        <w:rPr/>
        <w:t>多个肢体</w:t>
      </w:r>
      <w:r>
        <w:rPr>
          <w:spacing w:val="-3"/>
        </w:rPr>
        <w:t>缺</w:t>
      </w:r>
      <w:r>
        <w:rPr/>
        <w:t>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7"/>
        </w:rPr>
      </w:pPr>
    </w:p>
    <w:p>
      <w:pPr>
        <w:spacing w:after="0"/>
        <w:rPr>
          <w:sz w:val="17"/>
        </w:rPr>
        <w:sectPr>
          <w:type w:val="continuous"/>
          <w:pgSz w:w="11900" w:h="16840"/>
          <w:pgMar w:top="1220" w:bottom="280" w:left="1680" w:right="980"/>
        </w:sectPr>
      </w:pPr>
    </w:p>
    <w:p>
      <w:pPr>
        <w:pStyle w:val="BodyText"/>
        <w:spacing w:line="225" w:lineRule="auto" w:before="63"/>
        <w:ind w:left="590" w:hanging="3"/>
      </w:pPr>
      <w:r>
        <w:rPr>
          <w:rFonts w:ascii="Times New Roman" w:eastAsia="Times New Roman"/>
          <w:b/>
        </w:rPr>
        <w:t>8.</w:t>
      </w:r>
      <w:r>
        <w:rPr/>
        <w:t>急性或亚急性重症肝炎</w:t>
      </w:r>
    </w:p>
    <w:p>
      <w:pPr>
        <w:pStyle w:val="BodyText"/>
        <w:spacing w:before="43"/>
        <w:ind w:left="171" w:right="223"/>
      </w:pPr>
      <w:r>
        <w:rPr/>
        <w:br w:type="column"/>
      </w:r>
      <w:r>
        <w:rPr/>
        <w:t>指因肝炎病毒感染引起肝脏组织弥漫性坏死，导致急性肝功能衰竭，且经血清学或病毒学检查证实，并须满足下列全部条件：</w:t>
      </w:r>
    </w:p>
    <w:p>
      <w:pPr>
        <w:pStyle w:val="BodyText"/>
        <w:spacing w:line="280" w:lineRule="exact"/>
        <w:ind w:left="171"/>
      </w:pPr>
      <w:r>
        <w:rPr/>
        <w:t>（</w:t>
      </w:r>
      <w:r>
        <w:rPr>
          <w:rFonts w:ascii="Times New Roman" w:eastAsia="Times New Roman"/>
        </w:rPr>
        <w:t>1</w:t>
      </w:r>
      <w:r>
        <w:rPr/>
        <w:t>）重度黄疸或黄疸迅速加重；</w:t>
      </w:r>
    </w:p>
    <w:p>
      <w:pPr>
        <w:pStyle w:val="BodyText"/>
        <w:spacing w:line="272" w:lineRule="exact"/>
        <w:ind w:left="171"/>
      </w:pPr>
      <w:r>
        <w:rPr/>
        <w:t>（</w:t>
      </w:r>
      <w:r>
        <w:rPr>
          <w:rFonts w:ascii="Times New Roman" w:eastAsia="Times New Roman"/>
        </w:rPr>
        <w:t>2</w:t>
      </w:r>
      <w:r>
        <w:rPr/>
        <w:t>）肝性脑病；</w:t>
      </w:r>
    </w:p>
    <w:p>
      <w:pPr>
        <w:pStyle w:val="BodyText"/>
        <w:spacing w:line="274"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980"/>
          <w:cols w:num="2" w:equalWidth="0">
            <w:col w:w="2057" w:space="40"/>
            <w:col w:w="7143"/>
          </w:cols>
        </w:sectPr>
      </w:pPr>
    </w:p>
    <w:p>
      <w:pPr>
        <w:pStyle w:val="BodyText"/>
        <w:spacing w:before="8"/>
        <w:rPr>
          <w:sz w:val="16"/>
        </w:rPr>
      </w:pPr>
    </w:p>
    <w:p>
      <w:pPr>
        <w:pStyle w:val="BodyText"/>
        <w:tabs>
          <w:tab w:pos="2267" w:val="left" w:leader="none"/>
        </w:tabs>
        <w:spacing w:line="225" w:lineRule="auto" w:before="63"/>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1" w:lineRule="exact"/>
        <w:ind w:left="2268"/>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spacing w:after="0" w:line="282" w:lineRule="exact"/>
        <w:sectPr>
          <w:type w:val="continuous"/>
          <w:pgSz w:w="11900" w:h="16840"/>
          <w:pgMar w:top="1220" w:bottom="280" w:left="1680" w:right="980"/>
        </w:sectPr>
      </w:pPr>
    </w:p>
    <w:p>
      <w:pPr>
        <w:pStyle w:val="BodyText"/>
        <w:spacing w:before="6"/>
        <w:ind w:left="2267"/>
      </w:pPr>
      <w:r>
        <w:rPr/>
        <w:t>脑垂体瘤、脑囊肿、脑血管性疾病不在保障范围内。</w:t>
      </w:r>
    </w:p>
    <w:p>
      <w:pPr>
        <w:pStyle w:val="BodyText"/>
        <w:spacing w:before="11"/>
        <w:rPr>
          <w:sz w:val="17"/>
        </w:rPr>
      </w:pPr>
    </w:p>
    <w:p>
      <w:pPr>
        <w:spacing w:after="0"/>
        <w:rPr>
          <w:sz w:val="17"/>
        </w:rPr>
        <w:sectPr>
          <w:pgSz w:w="11900" w:h="16840"/>
          <w:pgMar w:top="126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慢性肝功能</w:t>
      </w:r>
      <w:r>
        <w:rPr>
          <w:spacing w:val="5"/>
          <w:sz w:val="21"/>
        </w:rPr>
        <w:t>衰竭失代偿期</w:t>
      </w:r>
    </w:p>
    <w:p>
      <w:pPr>
        <w:pStyle w:val="BodyText"/>
        <w:spacing w:line="274" w:lineRule="exact" w:before="43"/>
        <w:ind w:left="173"/>
      </w:pPr>
      <w:r>
        <w:rPr/>
        <w:br w:type="column"/>
      </w:r>
      <w:r>
        <w:rPr/>
        <w:t>指因慢性肝脏疾病导致肝功能衰竭，须满足下列全部条件：</w:t>
      </w:r>
    </w:p>
    <w:p>
      <w:pPr>
        <w:pStyle w:val="BodyText"/>
        <w:spacing w:line="282" w:lineRule="exact"/>
        <w:ind w:left="173"/>
      </w:pPr>
      <w:r>
        <w:rPr/>
        <w:t>（</w:t>
      </w:r>
      <w:r>
        <w:rPr>
          <w:rFonts w:ascii="Times New Roman" w:eastAsia="Times New Roman"/>
        </w:rPr>
        <w:t>1</w:t>
      </w:r>
      <w:r>
        <w:rPr/>
        <w:t>）持续性黄疸；</w:t>
      </w:r>
    </w:p>
    <w:p>
      <w:pPr>
        <w:pStyle w:val="BodyText"/>
        <w:spacing w:line="272" w:lineRule="exact"/>
        <w:ind w:left="173"/>
      </w:pPr>
      <w:r>
        <w:rPr/>
        <w:t>（</w:t>
      </w:r>
      <w:r>
        <w:rPr>
          <w:rFonts w:ascii="Times New Roman" w:eastAsia="Times New Roman"/>
        </w:rPr>
        <w:t>2</w:t>
      </w:r>
      <w:r>
        <w:rPr/>
        <w:t>）腹水；</w:t>
      </w:r>
    </w:p>
    <w:p>
      <w:pPr>
        <w:pStyle w:val="BodyText"/>
        <w:spacing w:line="272" w:lineRule="exact"/>
        <w:ind w:left="173"/>
      </w:pPr>
      <w:r>
        <w:rPr/>
        <w:t>（</w:t>
      </w:r>
      <w:r>
        <w:rPr>
          <w:rFonts w:ascii="Times New Roman" w:eastAsia="Times New Roman"/>
        </w:rPr>
        <w:t>3</w:t>
      </w:r>
      <w:r>
        <w:rPr/>
        <w:t>）肝性脑病；</w:t>
      </w:r>
    </w:p>
    <w:p>
      <w:pPr>
        <w:pStyle w:val="BodyText"/>
        <w:spacing w:line="282" w:lineRule="exact"/>
        <w:ind w:left="173"/>
      </w:pPr>
      <w:r>
        <w:rPr/>
        <w:t>（</w:t>
      </w:r>
      <w:r>
        <w:rPr>
          <w:rFonts w:ascii="Times New Roman" w:eastAsia="Times New Roman"/>
        </w:rPr>
        <w:t>4</w:t>
      </w:r>
      <w:r>
        <w:rPr/>
        <w:t>）充血性脾大伴脾功能亢进或食管胃底静脉曲张。</w:t>
      </w:r>
    </w:p>
    <w:p>
      <w:pPr>
        <w:pStyle w:val="BodyText"/>
        <w:rPr>
          <w:sz w:val="17"/>
        </w:rPr>
      </w:pPr>
    </w:p>
    <w:p>
      <w:pPr>
        <w:pStyle w:val="BodyText"/>
        <w:ind w:left="173"/>
      </w:pPr>
      <w:r>
        <w:rPr/>
        <w:t>因酗酒或药物滥用导致的肝功能衰竭不在保障范围内。</w:t>
      </w:r>
    </w:p>
    <w:p>
      <w:pPr>
        <w:spacing w:after="0"/>
        <w:sectPr>
          <w:type w:val="continuous"/>
          <w:pgSz w:w="11900" w:h="16840"/>
          <w:pgMar w:top="1220" w:bottom="280" w:left="1680" w:right="1100"/>
          <w:cols w:num="2" w:equalWidth="0">
            <w:col w:w="2055" w:space="40"/>
            <w:col w:w="7025"/>
          </w:cols>
        </w:sectPr>
      </w:pPr>
    </w:p>
    <w:p>
      <w:pPr>
        <w:pStyle w:val="BodyText"/>
        <w:rPr>
          <w:sz w:val="18"/>
        </w:rPr>
      </w:pPr>
    </w:p>
    <w:p>
      <w:pPr>
        <w:spacing w:after="0"/>
        <w:rPr>
          <w:sz w:val="18"/>
        </w:rPr>
        <w:sectPr>
          <w:type w:val="continuous"/>
          <w:pgSz w:w="11900" w:h="16840"/>
          <w:pgMar w:top="1220" w:bottom="280" w:left="1680" w:right="1100"/>
        </w:sectPr>
      </w:pPr>
    </w:p>
    <w:p>
      <w:pPr>
        <w:pStyle w:val="ListParagraph"/>
        <w:numPr>
          <w:ilvl w:val="0"/>
          <w:numId w:val="9"/>
        </w:numPr>
        <w:tabs>
          <w:tab w:pos="874" w:val="left" w:leader="none"/>
        </w:tabs>
        <w:spacing w:line="230" w:lineRule="auto" w:before="57" w:after="0"/>
        <w:ind w:left="590" w:right="0" w:hanging="2"/>
        <w:jc w:val="both"/>
        <w:rPr>
          <w:sz w:val="21"/>
        </w:rPr>
      </w:pPr>
      <w:r>
        <w:rPr>
          <w:spacing w:val="23"/>
          <w:sz w:val="21"/>
        </w:rPr>
        <w:t>脑炎后遗症</w:t>
      </w:r>
      <w:r>
        <w:rPr>
          <w:spacing w:val="-30"/>
          <w:sz w:val="21"/>
        </w:rPr>
        <w:t>或 脑 膜 炎 后 遗症</w:t>
      </w:r>
    </w:p>
    <w:p>
      <w:pPr>
        <w:pStyle w:val="BodyText"/>
        <w:spacing w:before="43"/>
        <w:ind w:left="171" w:right="10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71"/>
      </w:pPr>
      <w:r>
        <w:rPr/>
        <w:t>（</w:t>
      </w:r>
      <w:r>
        <w:rPr>
          <w:rFonts w:ascii="Times New Roman" w:eastAsia="Times New Roman"/>
        </w:rPr>
        <w:t>1</w:t>
      </w:r>
      <w:r>
        <w:rPr/>
        <w:t>）一肢或一肢以上肢体机能完全丧失；</w:t>
      </w:r>
    </w:p>
    <w:p>
      <w:pPr>
        <w:pStyle w:val="BodyText"/>
        <w:spacing w:line="274" w:lineRule="exact"/>
        <w:ind w:left="171"/>
      </w:pPr>
      <w:r>
        <w:rPr/>
        <w:t>（</w:t>
      </w:r>
      <w:r>
        <w:rPr>
          <w:rFonts w:ascii="Times New Roman" w:eastAsia="Times New Roman"/>
        </w:rPr>
        <w:t>2</w:t>
      </w:r>
      <w:r>
        <w:rPr/>
        <w:t>）语言能力或咀嚼吞咽能力完全丧失；</w:t>
      </w:r>
    </w:p>
    <w:p>
      <w:pPr>
        <w:pStyle w:val="BodyText"/>
        <w:spacing w:line="225" w:lineRule="auto" w:before="8"/>
        <w:ind w:left="171"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80" w:right="1100"/>
          <w:cols w:num="2" w:equalWidth="0">
            <w:col w:w="2057" w:space="40"/>
            <w:col w:w="7023"/>
          </w:cols>
        </w:sectPr>
      </w:pPr>
    </w:p>
    <w:p>
      <w:pPr>
        <w:pStyle w:val="BodyText"/>
        <w:spacing w:before="11"/>
        <w:rPr>
          <w:sz w:val="17"/>
        </w:rPr>
      </w:pPr>
    </w:p>
    <w:p>
      <w:pPr>
        <w:pStyle w:val="BodyText"/>
        <w:spacing w:line="223" w:lineRule="auto" w:before="66"/>
        <w:ind w:left="2267" w:right="10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2"/>
        <w:rPr>
          <w:sz w:val="17"/>
        </w:rPr>
      </w:pPr>
    </w:p>
    <w:p>
      <w:pPr>
        <w:pStyle w:val="BodyText"/>
        <w:ind w:left="2268"/>
      </w:pPr>
      <w:r>
        <w:rPr/>
        <w:t>因酗酒或药物滥用导致的深度昏迷不在保障范围内。</w:t>
      </w:r>
    </w:p>
    <w:p>
      <w:pPr>
        <w:pStyle w:val="BodyText"/>
        <w:spacing w:before="8"/>
        <w:rPr>
          <w:sz w:val="22"/>
        </w:rPr>
      </w:pPr>
    </w:p>
    <w:p>
      <w:pPr>
        <w:pStyle w:val="BodyText"/>
        <w:spacing w:line="225" w:lineRule="auto"/>
        <w:ind w:left="2267" w:right="10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8.21</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2"/>
        <w:rPr>
          <w:sz w:val="18"/>
        </w:rPr>
      </w:pPr>
    </w:p>
    <w:p>
      <w:pPr>
        <w:pStyle w:val="BodyText"/>
        <w:ind w:left="2267" w:right="101"/>
      </w:pPr>
      <w:r>
        <w:rPr>
          <w:spacing w:val="-3"/>
        </w:rPr>
        <w:t>申请理赔时被保险人年龄必须在</w:t>
      </w:r>
      <w:r>
        <w:rPr/>
        <w:t>3</w:t>
      </w:r>
      <w:r>
        <w:rPr>
          <w:spacing w:val="-11"/>
        </w:rPr>
        <w:t>周岁以上，并且提供理赔当时的听力丧失</w:t>
      </w:r>
      <w:r>
        <w:rPr>
          <w:spacing w:val="-6"/>
        </w:rPr>
        <w:t>诊断及检查证明。</w:t>
      </w:r>
    </w:p>
    <w:p>
      <w:pPr>
        <w:pStyle w:val="BodyText"/>
        <w:spacing w:before="11"/>
        <w:rPr>
          <w:sz w:val="22"/>
        </w:rPr>
      </w:pPr>
    </w:p>
    <w:p>
      <w:pPr>
        <w:pStyle w:val="BodyText"/>
        <w:spacing w:line="223" w:lineRule="auto"/>
        <w:ind w:left="2267" w:right="10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80" w:lineRule="exact"/>
        <w:ind w:left="2267"/>
      </w:pPr>
      <w:r>
        <w:rPr/>
        <w:t>（</w:t>
      </w:r>
      <w:r>
        <w:rPr>
          <w:rFonts w:ascii="Times New Roman" w:eastAsia="Times New Roman"/>
        </w:rPr>
        <w:t>1</w:t>
      </w:r>
      <w:r>
        <w:rPr/>
        <w:t>）眼球缺失或摘除；</w:t>
      </w:r>
    </w:p>
    <w:p>
      <w:pPr>
        <w:pStyle w:val="BodyText"/>
        <w:spacing w:line="225" w:lineRule="auto" w:before="8"/>
        <w:ind w:left="2268" w:right="103"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ind w:left="2268" w:right="101"/>
      </w:pPr>
      <w:r>
        <w:rPr>
          <w:spacing w:val="-3"/>
        </w:rPr>
        <w:t>申请理赔时被保险人年龄必须在</w:t>
      </w:r>
      <w:r>
        <w:rPr/>
        <w:t>3</w:t>
      </w:r>
      <w:r>
        <w:rPr>
          <w:spacing w:val="-11"/>
        </w:rPr>
        <w:t>周岁以上，并且提供理赔当时的视力丧失</w:t>
      </w:r>
      <w:r>
        <w:rPr>
          <w:spacing w:val="-6"/>
        </w:rPr>
        <w:t>诊断及检查证明。</w:t>
      </w:r>
    </w:p>
    <w:p>
      <w:pPr>
        <w:pStyle w:val="BodyText"/>
        <w:spacing w:before="8"/>
        <w:rPr>
          <w:sz w:val="22"/>
        </w:rPr>
      </w:pPr>
    </w:p>
    <w:p>
      <w:pPr>
        <w:pStyle w:val="BodyText"/>
        <w:spacing w:line="225" w:lineRule="auto"/>
        <w:ind w:left="2267" w:right="10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心脏瓣膜手术</w:t>
      </w:r>
    </w:p>
    <w:p>
      <w:pPr>
        <w:pStyle w:val="BodyText"/>
        <w:spacing w:before="43"/>
        <w:ind w:left="173" w:right="103"/>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2055" w:space="40"/>
            <w:col w:w="7025"/>
          </w:cols>
        </w:sectPr>
      </w:pPr>
    </w:p>
    <w:p>
      <w:pPr>
        <w:pStyle w:val="BodyText"/>
        <w:spacing w:before="9"/>
        <w:rPr>
          <w:sz w:val="17"/>
        </w:rPr>
      </w:pPr>
    </w:p>
    <w:p>
      <w:pPr>
        <w:spacing w:after="0"/>
        <w:rPr>
          <w:sz w:val="17"/>
        </w:rPr>
        <w:sectPr>
          <w:type w:val="continuous"/>
          <w:pgSz w:w="11900" w:h="16840"/>
          <w:pgMar w:top="1220" w:bottom="280" w:left="1680" w:right="11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严重阿尔茨海默病</w:t>
      </w:r>
    </w:p>
    <w:p>
      <w:pPr>
        <w:pStyle w:val="BodyText"/>
        <w:spacing w:line="232" w:lineRule="auto" w:before="51"/>
        <w:ind w:left="173"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spacing w:after="0" w:line="232" w:lineRule="auto"/>
        <w:jc w:val="both"/>
        <w:sectPr>
          <w:type w:val="continuous"/>
          <w:pgSz w:w="11900" w:h="16840"/>
          <w:pgMar w:top="1220" w:bottom="280" w:left="1680" w:right="1100"/>
          <w:cols w:num="2" w:equalWidth="0">
            <w:col w:w="2055" w:space="40"/>
            <w:col w:w="7025"/>
          </w:cols>
        </w:sectPr>
      </w:pPr>
    </w:p>
    <w:p>
      <w:pPr>
        <w:pStyle w:val="BodyText"/>
        <w:spacing w:before="6"/>
        <w:ind w:left="2267"/>
      </w:pPr>
      <w:r>
        <w:rPr/>
        <w:t>神经官能症和精神病不在保障范围内。</w:t>
      </w:r>
    </w:p>
    <w:p>
      <w:pPr>
        <w:pStyle w:val="BodyText"/>
        <w:spacing w:before="10"/>
        <w:rPr>
          <w:sz w:val="22"/>
        </w:rPr>
      </w:pPr>
    </w:p>
    <w:p>
      <w:pPr>
        <w:pStyle w:val="BodyText"/>
        <w:spacing w:line="225" w:lineRule="auto" w:before="1"/>
        <w:ind w:left="2267" w:right="101" w:hanging="1680"/>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4" w:lineRule="exact"/>
        <w:ind w:left="2268"/>
      </w:pPr>
      <w:r>
        <w:rPr/>
        <w:t>（</w:t>
      </w:r>
      <w:r>
        <w:rPr>
          <w:rFonts w:ascii="Times New Roman" w:eastAsia="Times New Roman"/>
        </w:rPr>
        <w:t>1</w:t>
      </w:r>
      <w:r>
        <w:rPr/>
        <w:t>）一肢或一肢以上肢体机能完全丧失；</w:t>
      </w:r>
    </w:p>
    <w:p>
      <w:pPr>
        <w:pStyle w:val="BodyText"/>
        <w:spacing w:line="272" w:lineRule="exact"/>
        <w:ind w:left="2267"/>
      </w:pPr>
      <w:r>
        <w:rPr/>
        <w:t>（</w:t>
      </w:r>
      <w:r>
        <w:rPr>
          <w:rFonts w:ascii="Times New Roman" w:eastAsia="Times New Roman"/>
        </w:rPr>
        <w:t>2</w:t>
      </w:r>
      <w:r>
        <w:rPr/>
        <w:t>）语言能力或咀嚼吞咽能力完全丧失；</w:t>
      </w:r>
    </w:p>
    <w:p>
      <w:pPr>
        <w:pStyle w:val="BodyText"/>
        <w:spacing w:line="225" w:lineRule="auto" w:before="9"/>
        <w:ind w:left="2267"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1"/>
        <w:rPr>
          <w:sz w:val="17"/>
        </w:rPr>
      </w:pPr>
    </w:p>
    <w:p>
      <w:pPr>
        <w:spacing w:after="0"/>
        <w:rPr>
          <w:sz w:val="17"/>
        </w:rPr>
        <w:sectPr>
          <w:pgSz w:w="11900" w:h="16840"/>
          <w:pgMar w:top="150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严重帕金森病</w:t>
      </w:r>
    </w:p>
    <w:p>
      <w:pPr>
        <w:pStyle w:val="BodyText"/>
        <w:spacing w:before="43"/>
        <w:ind w:left="173" w:right="103"/>
      </w:pPr>
      <w:r>
        <w:rPr/>
        <w:br w:type="column"/>
      </w:r>
      <w:r>
        <w:rPr/>
        <w:t>是一种中枢神经系统的退行性疾病，临床表现为震颤麻痹、共济失调等。须满足下列全部条件：</w:t>
      </w:r>
    </w:p>
    <w:p>
      <w:pPr>
        <w:pStyle w:val="BodyText"/>
        <w:spacing w:line="281" w:lineRule="exact"/>
        <w:ind w:left="173"/>
      </w:pPr>
      <w:r>
        <w:rPr/>
        <w:t>（</w:t>
      </w:r>
      <w:r>
        <w:rPr>
          <w:rFonts w:ascii="Times New Roman" w:eastAsia="Times New Roman"/>
        </w:rPr>
        <w:t>1</w:t>
      </w:r>
      <w:r>
        <w:rPr/>
        <w:t>）药物治疗无法控制病情；</w:t>
      </w:r>
    </w:p>
    <w:p>
      <w:pPr>
        <w:pStyle w:val="BodyText"/>
        <w:spacing w:line="223" w:lineRule="auto" w:before="12"/>
        <w:ind w:left="173" w:right="10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5"/>
        <w:rPr>
          <w:sz w:val="18"/>
        </w:rPr>
      </w:pPr>
    </w:p>
    <w:p>
      <w:pPr>
        <w:pStyle w:val="BodyText"/>
        <w:ind w:left="173"/>
      </w:pPr>
      <w:r>
        <w:rPr/>
        <w:t>继发性帕金森综合症不在保障范围内。</w:t>
      </w:r>
    </w:p>
    <w:p>
      <w:pPr>
        <w:spacing w:after="0"/>
        <w:sectPr>
          <w:type w:val="continuous"/>
          <w:pgSz w:w="11900" w:h="16840"/>
          <w:pgMar w:top="1220" w:bottom="280" w:left="1680" w:right="1100"/>
          <w:cols w:num="2" w:equalWidth="0">
            <w:col w:w="2055" w:space="40"/>
            <w:col w:w="7025"/>
          </w:cols>
        </w:sectPr>
      </w:pP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z w:val="21"/>
        </w:rPr>
        <w:t>严重Ⅲ 度烧伤</w:t>
      </w:r>
    </w:p>
    <w:p>
      <w:pPr>
        <w:pStyle w:val="BodyText"/>
        <w:spacing w:line="225" w:lineRule="auto" w:before="61"/>
        <w:ind w:left="173" w:right="10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100"/>
          <w:cols w:num="2" w:equalWidth="0">
            <w:col w:w="2055" w:space="40"/>
            <w:col w:w="7025"/>
          </w:cols>
        </w:sectPr>
      </w:pPr>
    </w:p>
    <w:p>
      <w:pPr>
        <w:pStyle w:val="BodyText"/>
        <w:spacing w:before="9"/>
        <w:rPr>
          <w:sz w:val="17"/>
        </w:rPr>
      </w:pPr>
    </w:p>
    <w:p>
      <w:pPr>
        <w:spacing w:after="0"/>
        <w:rPr>
          <w:sz w:val="17"/>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2" w:after="0"/>
        <w:ind w:left="590" w:right="0" w:hanging="2"/>
        <w:jc w:val="left"/>
        <w:rPr>
          <w:sz w:val="21"/>
        </w:rPr>
      </w:pPr>
      <w:r>
        <w:rPr>
          <w:spacing w:val="20"/>
          <w:sz w:val="21"/>
        </w:rPr>
        <w:t>严重原发性</w:t>
      </w:r>
      <w:r>
        <w:rPr>
          <w:spacing w:val="6"/>
          <w:sz w:val="21"/>
        </w:rPr>
        <w:t>肺动脉高压</w:t>
      </w:r>
    </w:p>
    <w:p>
      <w:pPr>
        <w:pStyle w:val="BodyText"/>
        <w:spacing w:before="43"/>
        <w:ind w:left="173" w:right="103"/>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jc w:val="both"/>
        <w:sectPr>
          <w:type w:val="continuous"/>
          <w:pgSz w:w="11900" w:h="16840"/>
          <w:pgMar w:top="1220" w:bottom="280" w:left="1680" w:right="1100"/>
          <w:cols w:num="2" w:equalWidth="0">
            <w:col w:w="2055" w:space="40"/>
            <w:col w:w="7025"/>
          </w:cols>
        </w:sectPr>
      </w:pPr>
    </w:p>
    <w:p>
      <w:pPr>
        <w:pStyle w:val="BodyText"/>
        <w:spacing w:before="9"/>
        <w:rPr>
          <w:sz w:val="16"/>
        </w:rPr>
      </w:pPr>
    </w:p>
    <w:p>
      <w:pPr>
        <w:spacing w:after="0"/>
        <w:rPr>
          <w:sz w:val="16"/>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严重运动神经元病</w:t>
      </w:r>
    </w:p>
    <w:p>
      <w:pPr>
        <w:pStyle w:val="BodyText"/>
        <w:spacing w:line="237" w:lineRule="auto" w:before="45"/>
        <w:ind w:left="173"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2055" w:space="40"/>
            <w:col w:w="7025"/>
          </w:cols>
        </w:sectPr>
      </w:pPr>
    </w:p>
    <w:p>
      <w:pPr>
        <w:pStyle w:val="BodyText"/>
        <w:rPr>
          <w:sz w:val="18"/>
        </w:rPr>
      </w:pPr>
    </w:p>
    <w:p>
      <w:pPr>
        <w:spacing w:after="0"/>
        <w:rPr>
          <w:sz w:val="18"/>
        </w:rPr>
        <w:sectPr>
          <w:type w:val="continuous"/>
          <w:pgSz w:w="11900" w:h="16840"/>
          <w:pgMar w:top="1220" w:bottom="280" w:left="1680" w:right="1100"/>
        </w:sectPr>
      </w:pPr>
    </w:p>
    <w:p>
      <w:pPr>
        <w:pStyle w:val="ListParagraph"/>
        <w:numPr>
          <w:ilvl w:val="0"/>
          <w:numId w:val="11"/>
        </w:numPr>
        <w:tabs>
          <w:tab w:pos="884" w:val="left" w:leader="none"/>
        </w:tabs>
        <w:spacing w:line="223" w:lineRule="auto" w:before="66" w:after="0"/>
        <w:ind w:left="590" w:right="0" w:hanging="2"/>
        <w:jc w:val="left"/>
        <w:rPr>
          <w:sz w:val="21"/>
        </w:rPr>
      </w:pPr>
      <w:r>
        <w:rPr>
          <w:spacing w:val="20"/>
          <w:sz w:val="21"/>
        </w:rPr>
        <w:t>语言能力丧失</w:t>
      </w:r>
    </w:p>
    <w:p>
      <w:pPr>
        <w:pStyle w:val="BodyText"/>
        <w:spacing w:line="281" w:lineRule="exact" w:before="43"/>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73"/>
      </w:pPr>
      <w:r>
        <w:rPr/>
        <w:t>（声带完全切除不受此时间限制），仍无法通过现有医疗手段恢复。</w:t>
      </w:r>
    </w:p>
    <w:p>
      <w:pPr>
        <w:pStyle w:val="BodyText"/>
        <w:spacing w:before="5"/>
        <w:rPr>
          <w:sz w:val="18"/>
        </w:rPr>
      </w:pPr>
    </w:p>
    <w:p>
      <w:pPr>
        <w:pStyle w:val="BodyText"/>
        <w:spacing w:before="1"/>
        <w:ind w:left="173"/>
      </w:pPr>
      <w:r>
        <w:rPr/>
        <w:t>精神心理因素所致的语言能力丧失不在保障范围内。</w:t>
      </w:r>
    </w:p>
    <w:p>
      <w:pPr>
        <w:pStyle w:val="BodyText"/>
        <w:spacing w:before="3"/>
        <w:rPr>
          <w:sz w:val="18"/>
        </w:rPr>
      </w:pPr>
    </w:p>
    <w:p>
      <w:pPr>
        <w:pStyle w:val="BodyText"/>
        <w:ind w:left="173" w:right="101"/>
      </w:pPr>
      <w:r>
        <w:rPr>
          <w:spacing w:val="-3"/>
        </w:rPr>
        <w:t>申请理赔时被保险人年龄必须在</w:t>
      </w:r>
      <w:r>
        <w:rPr/>
        <w:t>3</w:t>
      </w:r>
      <w:r>
        <w:rPr>
          <w:spacing w:val="-11"/>
        </w:rPr>
        <w:t>周岁以上，并且提供理赔当时的语言能力</w:t>
      </w:r>
      <w:r>
        <w:rPr>
          <w:spacing w:val="-6"/>
        </w:rPr>
        <w:t>丧失诊断及检查证明。</w:t>
      </w:r>
    </w:p>
    <w:p>
      <w:pPr>
        <w:spacing w:after="0"/>
        <w:sectPr>
          <w:type w:val="continuous"/>
          <w:pgSz w:w="11900" w:h="16840"/>
          <w:pgMar w:top="1220" w:bottom="280" w:left="1680" w:right="1100"/>
          <w:cols w:num="2" w:equalWidth="0">
            <w:col w:w="2055" w:space="40"/>
            <w:col w:w="7025"/>
          </w:cols>
        </w:sectPr>
      </w:pP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重型再生障</w:t>
      </w:r>
      <w:r>
        <w:rPr>
          <w:spacing w:val="8"/>
          <w:sz w:val="21"/>
        </w:rPr>
        <w:t>碍性贫血</w:t>
      </w:r>
    </w:p>
    <w:p>
      <w:pPr>
        <w:pStyle w:val="BodyText"/>
        <w:spacing w:before="43"/>
        <w:ind w:left="173" w:right="103"/>
      </w:pPr>
      <w:r>
        <w:rPr/>
        <w:br w:type="column"/>
      </w:r>
      <w:r>
        <w:rPr/>
        <w:t>指因骨髓造血功能慢性持续性衰竭导致的贫血、中性粒细胞减少及血小板减少。须满足以下全部条件：</w:t>
      </w:r>
    </w:p>
    <w:p>
      <w:pPr>
        <w:pStyle w:val="BodyText"/>
        <w:spacing w:line="280" w:lineRule="exact"/>
        <w:ind w:left="173"/>
      </w:pPr>
      <w:r>
        <w:rPr/>
        <w:t>（</w:t>
      </w:r>
      <w:r>
        <w:rPr>
          <w:rFonts w:ascii="Times New Roman" w:eastAsia="Times New Roman"/>
        </w:rPr>
        <w:t>1</w:t>
      </w:r>
      <w:r>
        <w:rPr/>
        <w:t>）骨髓穿刺检查或骨髓活检结果支持诊断；</w:t>
      </w:r>
    </w:p>
    <w:p>
      <w:pPr>
        <w:pStyle w:val="BodyText"/>
        <w:spacing w:line="272" w:lineRule="exact"/>
        <w:ind w:left="173"/>
      </w:pPr>
      <w:r>
        <w:rPr/>
        <w:t>（</w:t>
      </w:r>
      <w:r>
        <w:rPr>
          <w:rFonts w:ascii="Times New Roman" w:eastAsia="Times New Roman"/>
        </w:rPr>
        <w:t>2</w:t>
      </w:r>
      <w:r>
        <w:rPr/>
        <w:t>）外周血象必须具备以下三项条件：</w:t>
      </w:r>
    </w:p>
    <w:p>
      <w:pPr>
        <w:pStyle w:val="BodyText"/>
        <w:spacing w:line="274" w:lineRule="exact"/>
        <w:ind w:left="699"/>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4" w:lineRule="exact"/>
        <w:ind w:left="699"/>
      </w:pPr>
      <w:r>
        <w:rPr/>
        <w:t>②网织红细胞＜</w:t>
      </w:r>
      <w:r>
        <w:rPr>
          <w:rFonts w:ascii="Times New Roman" w:hAnsi="Times New Roman" w:eastAsia="Times New Roman"/>
        </w:rPr>
        <w:t>1%</w:t>
      </w:r>
      <w:r>
        <w:rPr/>
        <w:t>；</w:t>
      </w:r>
    </w:p>
    <w:p>
      <w:pPr>
        <w:pStyle w:val="BodyText"/>
        <w:spacing w:line="282" w:lineRule="exact"/>
        <w:ind w:left="699"/>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9"/>
        <w:rPr>
          <w:sz w:val="16"/>
        </w:rPr>
      </w:pPr>
    </w:p>
    <w:p>
      <w:pPr>
        <w:pStyle w:val="BodyText"/>
        <w:spacing w:line="230" w:lineRule="auto" w:before="57"/>
        <w:ind w:left="2267" w:right="103" w:hanging="1680"/>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spacing w:after="0" w:line="230" w:lineRule="auto"/>
        <w:jc w:val="both"/>
        <w:sectPr>
          <w:type w:val="continuous"/>
          <w:pgSz w:w="11900" w:h="16840"/>
          <w:pgMar w:top="1220" w:bottom="280" w:left="1680" w:right="1100"/>
        </w:sectPr>
      </w:pPr>
    </w:p>
    <w:p>
      <w:pPr>
        <w:pStyle w:val="BodyText"/>
        <w:spacing w:before="6"/>
        <w:ind w:left="2267"/>
      </w:pPr>
      <w:r>
        <w:rPr/>
        <w:t>动脉内血管成形术不在保障范围内。</w:t>
      </w:r>
    </w:p>
    <w:p>
      <w:pPr>
        <w:pStyle w:val="BodyText"/>
        <w:spacing w:before="11"/>
        <w:rPr>
          <w:sz w:val="17"/>
        </w:rPr>
      </w:pPr>
    </w:p>
    <w:p>
      <w:pPr>
        <w:spacing w:after="0"/>
        <w:rPr>
          <w:sz w:val="17"/>
        </w:rPr>
        <w:sectPr>
          <w:pgSz w:w="11900" w:h="16840"/>
          <w:pgMar w:top="1260" w:bottom="280" w:left="1680" w:right="980"/>
        </w:sectPr>
      </w:pPr>
    </w:p>
    <w:p>
      <w:pPr>
        <w:pStyle w:val="ListParagraph"/>
        <w:numPr>
          <w:ilvl w:val="0"/>
          <w:numId w:val="12"/>
        </w:numPr>
        <w:tabs>
          <w:tab w:pos="884" w:val="left" w:leader="none"/>
        </w:tabs>
        <w:spacing w:line="225" w:lineRule="auto" w:before="63" w:after="0"/>
        <w:ind w:left="590" w:right="0" w:hanging="2"/>
        <w:jc w:val="left"/>
        <w:rPr>
          <w:sz w:val="21"/>
        </w:rPr>
      </w:pPr>
      <w:r>
        <w:rPr>
          <w:spacing w:val="20"/>
          <w:sz w:val="21"/>
        </w:rPr>
        <w:t>多发性硬化症</w:t>
      </w:r>
    </w:p>
    <w:p>
      <w:pPr>
        <w:pStyle w:val="BodyText"/>
        <w:spacing w:line="232" w:lineRule="auto" w:before="51"/>
        <w:ind w:left="173" w:right="115"/>
      </w:pPr>
      <w:r>
        <w:rPr/>
        <w:br w:type="column"/>
      </w:r>
      <w:r>
        <w:rPr>
          <w:spacing w:val="-3"/>
        </w:rPr>
        <w:t>多发性硬化为中枢神经系统白质多灶性脱髓鞘病变，病变有时累及灰质。</w:t>
      </w:r>
      <w:r>
        <w:rPr>
          <w:spacing w:val="-10"/>
        </w:rPr>
        <w:t>多发性硬化必须明确诊断，并且已经造成永久不可逆的神经系统功能损害。</w:t>
      </w:r>
      <w:r>
        <w:rPr>
          <w:spacing w:val="-7"/>
        </w:rPr>
        <w:t>永久不可逆的神经系统损害指被保险人持续 </w:t>
      </w:r>
      <w:r>
        <w:rPr>
          <w:rFonts w:ascii="Times New Roman" w:eastAsia="Times New Roman"/>
        </w:rPr>
        <w:t>180 </w:t>
      </w:r>
      <w:r>
        <w:rPr>
          <w:spacing w:val="-3"/>
        </w:rPr>
        <w:t>天无法独立完成下列基本日常生活活动：</w:t>
      </w:r>
    </w:p>
    <w:p>
      <w:pPr>
        <w:pStyle w:val="BodyText"/>
        <w:spacing w:line="281" w:lineRule="exact"/>
        <w:ind w:left="173"/>
      </w:pPr>
      <w:r>
        <w:rPr/>
        <w:t>（</w:t>
      </w:r>
      <w:r>
        <w:rPr>
          <w:rFonts w:ascii="Times New Roman" w:eastAsia="Times New Roman"/>
        </w:rPr>
        <w:t>1</w:t>
      </w:r>
      <w:r>
        <w:rPr/>
        <w:t>）移动：自己从一个房间到另一个房间；或者</w:t>
      </w:r>
    </w:p>
    <w:p>
      <w:pPr>
        <w:pStyle w:val="BodyText"/>
        <w:spacing w:line="282" w:lineRule="exact"/>
        <w:ind w:left="173"/>
      </w:pPr>
      <w:r>
        <w:rPr/>
        <w:t>（</w:t>
      </w:r>
      <w:r>
        <w:rPr>
          <w:rFonts w:ascii="Times New Roman" w:eastAsia="Times New Roman"/>
        </w:rPr>
        <w:t>2</w:t>
      </w:r>
      <w:r>
        <w:rPr/>
        <w:t>）进食：自己从已准备好的碗或碟中取食物放入口中。</w:t>
      </w:r>
    </w:p>
    <w:p>
      <w:pPr>
        <w:spacing w:after="0" w:line="282" w:lineRule="exact"/>
        <w:sectPr>
          <w:type w:val="continuous"/>
          <w:pgSz w:w="11900" w:h="16840"/>
          <w:pgMar w:top="1220" w:bottom="280" w:left="1680" w:right="980"/>
          <w:cols w:num="2" w:equalWidth="0">
            <w:col w:w="2055" w:space="40"/>
            <w:col w:w="7145"/>
          </w:cols>
        </w:sectPr>
      </w:pPr>
    </w:p>
    <w:p>
      <w:pPr>
        <w:pStyle w:val="BodyText"/>
        <w:spacing w:before="8"/>
        <w:rPr>
          <w:sz w:val="16"/>
        </w:rPr>
      </w:pPr>
    </w:p>
    <w:p>
      <w:pPr>
        <w:spacing w:after="0"/>
        <w:rPr>
          <w:sz w:val="16"/>
        </w:rPr>
        <w:sectPr>
          <w:type w:val="continuous"/>
          <w:pgSz w:w="11900" w:h="16840"/>
          <w:pgMar w:top="1220" w:bottom="280" w:left="1680" w:right="980"/>
        </w:sectPr>
      </w:pPr>
    </w:p>
    <w:p>
      <w:pPr>
        <w:pStyle w:val="ListParagraph"/>
        <w:numPr>
          <w:ilvl w:val="0"/>
          <w:numId w:val="12"/>
        </w:numPr>
        <w:tabs>
          <w:tab w:pos="884" w:val="left" w:leader="none"/>
        </w:tabs>
        <w:spacing w:line="232" w:lineRule="auto" w:before="55" w:after="0"/>
        <w:ind w:left="590" w:right="0" w:hanging="2"/>
        <w:jc w:val="both"/>
        <w:rPr>
          <w:sz w:val="21"/>
        </w:rPr>
      </w:pPr>
      <w:r>
        <w:rPr>
          <w:spacing w:val="20"/>
          <w:sz w:val="21"/>
        </w:rPr>
        <w:t>胰岛素依赖</w:t>
      </w:r>
      <w:r>
        <w:rPr>
          <w:spacing w:val="8"/>
          <w:sz w:val="21"/>
        </w:rPr>
        <w:t>型糖尿病</w:t>
      </w:r>
      <w:r>
        <w:rPr>
          <w:sz w:val="21"/>
        </w:rPr>
        <w:t>（1</w:t>
      </w:r>
      <w:r>
        <w:rPr>
          <w:spacing w:val="-2"/>
          <w:sz w:val="21"/>
        </w:rPr>
        <w:t> 型</w:t>
      </w:r>
      <w:r>
        <w:rPr>
          <w:spacing w:val="-3"/>
          <w:sz w:val="21"/>
        </w:rPr>
        <w:t>糖尿病</w:t>
      </w:r>
      <w:r>
        <w:rPr>
          <w:sz w:val="21"/>
        </w:rPr>
        <w:t>）</w:t>
      </w:r>
    </w:p>
    <w:p>
      <w:pPr>
        <w:pStyle w:val="BodyText"/>
        <w:spacing w:line="232" w:lineRule="auto" w:before="52"/>
        <w:ind w:left="171" w:right="25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异常，由内分泌科医生确诊，并在本合同有效期内，满足下述至少一个条件：</w:t>
      </w:r>
    </w:p>
    <w:p>
      <w:pPr>
        <w:pStyle w:val="BodyText"/>
        <w:spacing w:line="281" w:lineRule="exact"/>
        <w:ind w:left="171"/>
        <w:jc w:val="both"/>
      </w:pPr>
      <w:r>
        <w:rPr/>
        <w:t>（</w:t>
      </w:r>
      <w:r>
        <w:rPr>
          <w:rFonts w:ascii="Times New Roman" w:eastAsia="Times New Roman"/>
        </w:rPr>
        <w:t>1</w:t>
      </w:r>
      <w:r>
        <w:rPr/>
        <w:t>）须植入心脏起搏器治疗心脏病；</w:t>
      </w:r>
    </w:p>
    <w:p>
      <w:pPr>
        <w:pStyle w:val="BodyText"/>
        <w:spacing w:line="282" w:lineRule="exact"/>
        <w:ind w:left="171"/>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80" w:right="980"/>
          <w:cols w:num="2" w:equalWidth="0">
            <w:col w:w="2057" w:space="40"/>
            <w:col w:w="7143"/>
          </w:cols>
        </w:sectPr>
      </w:pPr>
    </w:p>
    <w:p>
      <w:pPr>
        <w:pStyle w:val="BodyText"/>
        <w:spacing w:before="9"/>
        <w:rPr>
          <w:sz w:val="16"/>
        </w:rPr>
      </w:pPr>
    </w:p>
    <w:p>
      <w:pPr>
        <w:spacing w:after="0"/>
        <w:rPr>
          <w:sz w:val="16"/>
        </w:rPr>
        <w:sectPr>
          <w:type w:val="continuous"/>
          <w:pgSz w:w="11900" w:h="16840"/>
          <w:pgMar w:top="1220" w:bottom="280" w:left="1680" w:right="980"/>
        </w:sectPr>
      </w:pPr>
    </w:p>
    <w:p>
      <w:pPr>
        <w:pStyle w:val="ListParagraph"/>
        <w:numPr>
          <w:ilvl w:val="0"/>
          <w:numId w:val="12"/>
        </w:numPr>
        <w:tabs>
          <w:tab w:pos="968" w:val="left" w:leader="none"/>
        </w:tabs>
        <w:spacing w:line="225" w:lineRule="auto" w:before="63" w:after="0"/>
        <w:ind w:left="590" w:right="0" w:hanging="2"/>
        <w:jc w:val="left"/>
        <w:rPr>
          <w:sz w:val="21"/>
        </w:rPr>
      </w:pPr>
      <w:r>
        <w:rPr>
          <w:spacing w:val="3"/>
          <w:sz w:val="21"/>
        </w:rPr>
        <w:t>慢性呼吸功能衰竭</w:t>
      </w:r>
    </w:p>
    <w:p>
      <w:pPr>
        <w:pStyle w:val="BodyText"/>
        <w:spacing w:before="43"/>
        <w:ind w:left="171" w:right="223"/>
      </w:pPr>
      <w:r>
        <w:rPr/>
        <w:br w:type="column"/>
      </w:r>
      <w:r>
        <w:rPr/>
        <w:t>慢性肺部疾病导致永久不可逆性的慢性呼吸功能衰竭。慢性呼吸功能衰竭必须明确诊断并满足下列全部条件：</w:t>
      </w:r>
    </w:p>
    <w:p>
      <w:pPr>
        <w:pStyle w:val="BodyText"/>
        <w:spacing w:line="281" w:lineRule="exact"/>
        <w:ind w:left="171"/>
      </w:pPr>
      <w:r>
        <w:rPr/>
        <w:t>（</w:t>
      </w:r>
      <w:r>
        <w:rPr>
          <w:rFonts w:ascii="Times New Roman" w:eastAsia="Times New Roman"/>
        </w:rPr>
        <w:t>1</w:t>
      </w:r>
      <w:r>
        <w:rPr/>
        <w:t>）休息时出现呼吸困难；</w:t>
      </w:r>
    </w:p>
    <w:p>
      <w:pPr>
        <w:pStyle w:val="BodyText"/>
        <w:spacing w:line="272" w:lineRule="exact"/>
        <w:ind w:left="171"/>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71"/>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71"/>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80" w:right="980"/>
          <w:cols w:num="2" w:equalWidth="0">
            <w:col w:w="2057" w:space="40"/>
            <w:col w:w="7143"/>
          </w:cols>
        </w:sectPr>
      </w:pPr>
    </w:p>
    <w:p>
      <w:pPr>
        <w:pStyle w:val="BodyText"/>
        <w:spacing w:before="11"/>
        <w:rPr>
          <w:sz w:val="16"/>
        </w:rPr>
      </w:pPr>
    </w:p>
    <w:p>
      <w:pPr>
        <w:pStyle w:val="BodyText"/>
        <w:spacing w:line="230" w:lineRule="auto" w:before="57"/>
        <w:ind w:left="2267" w:right="223" w:hanging="1680"/>
        <w:jc w:val="both"/>
      </w:pPr>
      <w:r>
        <w:rPr>
          <w:rFonts w:ascii="Times New Roman" w:eastAsia="Times New Roman"/>
          <w:b/>
        </w:rPr>
        <w:t>29.</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spacing w:before="1"/>
        <w:ind w:left="2267"/>
      </w:pPr>
      <w:r>
        <w:rPr/>
        <w:t>由于酗酒或滥用药物所致的植物人状态不在保障范围内。</w:t>
      </w:r>
    </w:p>
    <w:p>
      <w:pPr>
        <w:pStyle w:val="BodyText"/>
        <w:spacing w:before="4"/>
      </w:pPr>
    </w:p>
    <w:p>
      <w:pPr>
        <w:pStyle w:val="BodyText"/>
        <w:tabs>
          <w:tab w:pos="2267" w:val="left" w:leader="none"/>
        </w:tabs>
        <w:spacing w:line="242" w:lineRule="auto"/>
        <w:ind w:left="2267" w:right="151" w:hanging="1680"/>
      </w:pPr>
      <w:r>
        <w:rPr>
          <w:rFonts w:ascii="Times New Roman" w:hAnsi="Times New Roman" w:eastAsia="Times New Roman"/>
          <w:b/>
          <w:position w:val="1"/>
        </w:rPr>
        <w:t>30.</w:t>
      </w:r>
      <w:r>
        <w:rPr>
          <w:position w:val="1"/>
        </w:rPr>
        <w:t>严重心</w:t>
      </w:r>
      <w:r>
        <w:rPr>
          <w:spacing w:val="-3"/>
          <w:position w:val="1"/>
        </w:rPr>
        <w:t>肌</w:t>
      </w:r>
      <w:r>
        <w:rPr>
          <w:position w:val="1"/>
        </w:rPr>
        <w:t>病</w:t>
        <w:tab/>
      </w:r>
      <w:r>
        <w:rPr/>
        <w:t>指不</w:t>
      </w:r>
      <w:r>
        <w:rPr>
          <w:spacing w:val="-3"/>
        </w:rPr>
        <w:t>明</w:t>
      </w:r>
      <w:r>
        <w:rPr/>
        <w:t>原</w:t>
      </w:r>
      <w:r>
        <w:rPr>
          <w:spacing w:val="-3"/>
        </w:rPr>
        <w:t>因</w:t>
      </w:r>
      <w:r>
        <w:rPr/>
        <w:t>引</w:t>
      </w:r>
      <w:r>
        <w:rPr>
          <w:spacing w:val="-3"/>
        </w:rPr>
        <w:t>起</w:t>
      </w:r>
      <w:r>
        <w:rPr/>
        <w:t>的</w:t>
      </w:r>
      <w:r>
        <w:rPr>
          <w:spacing w:val="-3"/>
        </w:rPr>
        <w:t>一</w:t>
      </w:r>
      <w:r>
        <w:rPr/>
        <w:t>类</w:t>
      </w:r>
      <w:r>
        <w:rPr>
          <w:spacing w:val="-3"/>
        </w:rPr>
        <w:t>心</w:t>
      </w:r>
      <w:r>
        <w:rPr/>
        <w:t>肌病</w:t>
      </w:r>
      <w:r>
        <w:rPr>
          <w:spacing w:val="-3"/>
        </w:rPr>
        <w:t>变</w:t>
      </w:r>
      <w:r>
        <w:rPr>
          <w:spacing w:val="-8"/>
        </w:rPr>
        <w:t>，</w:t>
      </w:r>
      <w:r>
        <w:rPr/>
        <w:t>包</w:t>
      </w:r>
      <w:r>
        <w:rPr>
          <w:spacing w:val="-3"/>
        </w:rPr>
        <w:t>括</w:t>
      </w:r>
      <w:r>
        <w:rPr/>
        <w:t>原</w:t>
      </w:r>
      <w:r>
        <w:rPr>
          <w:spacing w:val="-3"/>
        </w:rPr>
        <w:t>发</w:t>
      </w:r>
      <w:r>
        <w:rPr/>
        <w:t>性</w:t>
      </w:r>
      <w:r>
        <w:rPr>
          <w:spacing w:val="-3"/>
        </w:rPr>
        <w:t>扩张</w:t>
      </w:r>
      <w:r>
        <w:rPr/>
        <w:t>型心</w:t>
      </w:r>
      <w:r>
        <w:rPr>
          <w:spacing w:val="-3"/>
        </w:rPr>
        <w:t>肌病</w:t>
      </w:r>
      <w:r>
        <w:rPr>
          <w:spacing w:val="-5"/>
        </w:rPr>
        <w:t>、</w:t>
      </w:r>
      <w:r>
        <w:rPr>
          <w:spacing w:val="-3"/>
        </w:rPr>
        <w:t>原</w:t>
      </w:r>
      <w:r>
        <w:rPr/>
        <w:t>发</w:t>
      </w:r>
      <w:r>
        <w:rPr>
          <w:spacing w:val="-3"/>
        </w:rPr>
        <w:t>性</w:t>
      </w:r>
      <w:r>
        <w:rPr/>
        <w:t>肥厚 型心</w:t>
      </w:r>
      <w:r>
        <w:rPr>
          <w:spacing w:val="-3"/>
        </w:rPr>
        <w:t>肌</w:t>
      </w:r>
      <w:r>
        <w:rPr/>
        <w:t>病</w:t>
      </w:r>
      <w:r>
        <w:rPr>
          <w:spacing w:val="-3"/>
        </w:rPr>
        <w:t>及</w:t>
      </w:r>
      <w:r>
        <w:rPr/>
        <w:t>原</w:t>
      </w:r>
      <w:r>
        <w:rPr>
          <w:spacing w:val="-3"/>
        </w:rPr>
        <w:t>发</w:t>
      </w:r>
      <w:r>
        <w:rPr/>
        <w:t>性</w:t>
      </w:r>
      <w:r>
        <w:rPr>
          <w:spacing w:val="-3"/>
        </w:rPr>
        <w:t>限</w:t>
      </w:r>
      <w:r>
        <w:rPr/>
        <w:t>制</w:t>
      </w:r>
      <w:r>
        <w:rPr>
          <w:spacing w:val="-3"/>
        </w:rPr>
        <w:t>型</w:t>
      </w:r>
      <w:r>
        <w:rPr/>
        <w:t>心肌</w:t>
      </w:r>
      <w:r>
        <w:rPr>
          <w:spacing w:val="-3"/>
        </w:rPr>
        <w:t>病</w:t>
      </w:r>
      <w:r>
        <w:rPr/>
        <w:t>三</w:t>
      </w:r>
      <w:r>
        <w:rPr>
          <w:spacing w:val="-3"/>
        </w:rPr>
        <w:t>种</w:t>
      </w:r>
      <w:r>
        <w:rPr>
          <w:spacing w:val="-8"/>
        </w:rPr>
        <w:t>，</w:t>
      </w:r>
      <w:r>
        <w:rPr/>
        <w:t>本</w:t>
      </w:r>
      <w:r>
        <w:rPr>
          <w:spacing w:val="-3"/>
        </w:rPr>
        <w:t>病</w:t>
      </w:r>
      <w:r>
        <w:rPr/>
        <w:t>须</w:t>
      </w:r>
      <w:r>
        <w:rPr>
          <w:spacing w:val="-3"/>
        </w:rPr>
        <w:t>经专</w:t>
      </w:r>
      <w:r>
        <w:rPr/>
        <w:t>科医</w:t>
      </w:r>
      <w:r>
        <w:rPr>
          <w:spacing w:val="-3"/>
        </w:rPr>
        <w:t>生</w:t>
      </w:r>
      <w:r>
        <w:rPr/>
        <w:t>明</w:t>
      </w:r>
      <w:r>
        <w:rPr>
          <w:spacing w:val="-3"/>
        </w:rPr>
        <w:t>确</w:t>
      </w:r>
      <w:r>
        <w:rPr/>
        <w:t>诊</w:t>
      </w:r>
      <w:r>
        <w:rPr>
          <w:spacing w:val="-3"/>
        </w:rPr>
        <w:t>断</w:t>
      </w:r>
      <w:r>
        <w:rPr>
          <w:spacing w:val="-8"/>
        </w:rPr>
        <w:t>，</w:t>
      </w:r>
      <w:r>
        <w:rPr/>
        <w:t>且病变必</w:t>
      </w:r>
      <w:r>
        <w:rPr>
          <w:spacing w:val="-3"/>
        </w:rPr>
        <w:t>须</w:t>
      </w:r>
      <w:r>
        <w:rPr/>
        <w:t>已</w:t>
      </w:r>
      <w:r>
        <w:rPr>
          <w:spacing w:val="-3"/>
        </w:rPr>
        <w:t>造</w:t>
      </w:r>
      <w:r>
        <w:rPr/>
        <w:t>成</w:t>
      </w:r>
      <w:r>
        <w:rPr>
          <w:spacing w:val="-3"/>
        </w:rPr>
        <w:t>事</w:t>
      </w:r>
      <w:r>
        <w:rPr/>
        <w:t>实</w:t>
      </w:r>
      <w:r>
        <w:rPr>
          <w:spacing w:val="-3"/>
        </w:rPr>
        <w:t>上</w:t>
      </w:r>
      <w:r>
        <w:rPr/>
        <w:t>心</w:t>
      </w:r>
      <w:r>
        <w:rPr>
          <w:spacing w:val="-3"/>
        </w:rPr>
        <w:t>室</w:t>
      </w:r>
      <w:r>
        <w:rPr/>
        <w:t>功能</w:t>
      </w:r>
      <w:r>
        <w:rPr>
          <w:spacing w:val="-3"/>
        </w:rPr>
        <w:t>障</w:t>
      </w:r>
      <w:r>
        <w:rPr/>
        <w:t>碍</w:t>
      </w:r>
      <w:r>
        <w:rPr>
          <w:spacing w:val="-3"/>
        </w:rPr>
        <w:t>而</w:t>
      </w:r>
      <w:r>
        <w:rPr/>
        <w:t>出</w:t>
      </w:r>
      <w:r>
        <w:rPr>
          <w:spacing w:val="-3"/>
        </w:rPr>
        <w:t>现</w:t>
      </w:r>
      <w:r>
        <w:rPr/>
        <w:t>明</w:t>
      </w:r>
      <w:r>
        <w:rPr>
          <w:spacing w:val="-3"/>
        </w:rPr>
        <w:t>显</w:t>
      </w:r>
      <w:r>
        <w:rPr/>
        <w:t>的</w:t>
      </w:r>
      <w:r>
        <w:rPr>
          <w:spacing w:val="-3"/>
        </w:rPr>
        <w:t>心</w:t>
      </w:r>
      <w:r>
        <w:rPr/>
        <w:t>功能</w:t>
      </w:r>
      <w:r>
        <w:rPr>
          <w:spacing w:val="-3"/>
        </w:rPr>
        <w:t>衰</w:t>
      </w:r>
      <w:r>
        <w:rPr>
          <w:spacing w:val="-12"/>
        </w:rPr>
        <w:t>竭</w:t>
      </w:r>
      <w:r>
        <w:rPr/>
        <w:t>（</w:t>
      </w:r>
      <w:r>
        <w:rPr>
          <w:spacing w:val="-3"/>
        </w:rPr>
        <w:t>达</w:t>
      </w:r>
      <w:r>
        <w:rPr/>
        <w:t>到</w:t>
      </w:r>
      <w:r>
        <w:rPr>
          <w:spacing w:val="-3"/>
        </w:rPr>
        <w:t>美</w:t>
      </w:r>
      <w:r>
        <w:rPr/>
        <w:t>国纽约心</w:t>
      </w:r>
      <w:r>
        <w:rPr>
          <w:spacing w:val="-3"/>
        </w:rPr>
        <w:t>脏</w:t>
      </w:r>
      <w:r>
        <w:rPr/>
        <w:t>病</w:t>
      </w:r>
      <w:r>
        <w:rPr>
          <w:spacing w:val="-3"/>
        </w:rPr>
        <w:t>学</w:t>
      </w:r>
      <w:r>
        <w:rPr/>
        <w:t>会</w:t>
      </w:r>
      <w:r>
        <w:rPr>
          <w:spacing w:val="-3"/>
        </w:rPr>
        <w:t>心</w:t>
      </w:r>
      <w:r>
        <w:rPr/>
        <w:t>功</w:t>
      </w:r>
      <w:r>
        <w:rPr>
          <w:spacing w:val="-3"/>
        </w:rPr>
        <w:t>能</w:t>
      </w:r>
      <w:r>
        <w:rPr/>
        <w:t>状</w:t>
      </w:r>
      <w:r>
        <w:rPr>
          <w:spacing w:val="-3"/>
        </w:rPr>
        <w:t>态</w:t>
      </w:r>
      <w:r>
        <w:rPr/>
        <w:t>分级</w:t>
      </w:r>
      <w:r>
        <w:rPr>
          <w:spacing w:val="-3"/>
        </w:rPr>
        <w:t>Ⅳ级</w:t>
      </w:r>
      <w:r>
        <w:rPr>
          <w:spacing w:val="-5"/>
        </w:rPr>
        <w:t>，</w:t>
      </w:r>
      <w:r>
        <w:rPr>
          <w:spacing w:val="-3"/>
        </w:rPr>
        <w:t>且</w:t>
      </w:r>
      <w:r>
        <w:rPr/>
        <w:t>满</w:t>
      </w:r>
      <w:r>
        <w:rPr>
          <w:spacing w:val="-3"/>
        </w:rPr>
        <w:t>足</w:t>
      </w:r>
      <w:r>
        <w:rPr/>
        <w:t>以</w:t>
      </w:r>
      <w:r>
        <w:rPr>
          <w:spacing w:val="-3"/>
        </w:rPr>
        <w:t>下全</w:t>
      </w:r>
      <w:r>
        <w:rPr/>
        <w:t>部条</w:t>
      </w:r>
      <w:r>
        <w:rPr>
          <w:spacing w:val="-3"/>
        </w:rPr>
        <w:t>件</w:t>
      </w:r>
      <w:r>
        <w:rPr>
          <w:spacing w:val="-8"/>
        </w:rPr>
        <w:t>：</w:t>
      </w:r>
      <w:r>
        <w:rPr/>
        <w:t>有</w:t>
      </w:r>
      <w:r>
        <w:rPr>
          <w:spacing w:val="-3"/>
        </w:rPr>
        <w:t>医</w:t>
      </w:r>
      <w:r>
        <w:rPr/>
        <w:t>院</w:t>
      </w:r>
      <w:r>
        <w:rPr>
          <w:spacing w:val="-3"/>
        </w:rPr>
        <w:t>的</w:t>
      </w:r>
      <w:r>
        <w:rPr/>
        <w:t>医疗记录</w:t>
      </w:r>
      <w:r>
        <w:rPr>
          <w:spacing w:val="-3"/>
        </w:rPr>
        <w:t>显</w:t>
      </w:r>
      <w:r>
        <w:rPr/>
        <w:t>示</w:t>
      </w:r>
      <w:r>
        <w:rPr>
          <w:spacing w:val="-3"/>
        </w:rPr>
        <w:t>病</w:t>
      </w:r>
      <w:r>
        <w:rPr/>
        <w:t>人</w:t>
      </w:r>
      <w:r>
        <w:rPr>
          <w:spacing w:val="-3"/>
        </w:rPr>
        <w:t>不</w:t>
      </w:r>
      <w:r>
        <w:rPr/>
        <w:t>能</w:t>
      </w:r>
      <w:r>
        <w:rPr>
          <w:spacing w:val="-3"/>
        </w:rPr>
        <w:t>进</w:t>
      </w:r>
      <w:r>
        <w:rPr/>
        <w:t>行</w:t>
      </w:r>
      <w:r>
        <w:rPr>
          <w:spacing w:val="-3"/>
        </w:rPr>
        <w:t>任</w:t>
      </w:r>
      <w:r>
        <w:rPr/>
        <w:t>何活</w:t>
      </w:r>
      <w:r>
        <w:rPr>
          <w:spacing w:val="-3"/>
        </w:rPr>
        <w:t>动</w:t>
      </w:r>
      <w:r>
        <w:rPr>
          <w:spacing w:val="-8"/>
        </w:rPr>
        <w:t>，</w:t>
      </w:r>
      <w:r>
        <w:rPr/>
        <w:t>休</w:t>
      </w:r>
      <w:r>
        <w:rPr>
          <w:spacing w:val="-3"/>
        </w:rPr>
        <w:t>息</w:t>
      </w:r>
      <w:r>
        <w:rPr/>
        <w:t>时</w:t>
      </w:r>
      <w:r>
        <w:rPr>
          <w:spacing w:val="-3"/>
        </w:rPr>
        <w:t>仍</w:t>
      </w:r>
      <w:r>
        <w:rPr/>
        <w:t>有</w:t>
      </w:r>
      <w:r>
        <w:rPr>
          <w:spacing w:val="-3"/>
        </w:rPr>
        <w:t>心悸</w:t>
      </w:r>
      <w:r>
        <w:rPr>
          <w:spacing w:val="-5"/>
        </w:rPr>
        <w:t>、</w:t>
      </w:r>
      <w:r>
        <w:rPr>
          <w:spacing w:val="-3"/>
        </w:rPr>
        <w:t>呼</w:t>
      </w:r>
      <w:r>
        <w:rPr/>
        <w:t>吸</w:t>
      </w:r>
      <w:r>
        <w:rPr>
          <w:spacing w:val="-3"/>
        </w:rPr>
        <w:t>困</w:t>
      </w:r>
      <w:r>
        <w:rPr/>
        <w:t>难</w:t>
      </w:r>
      <w:r>
        <w:rPr>
          <w:spacing w:val="-3"/>
        </w:rPr>
        <w:t>等</w:t>
      </w:r>
      <w:r>
        <w:rPr/>
        <w:t>心</w:t>
      </w:r>
      <w:r>
        <w:rPr>
          <w:spacing w:val="-3"/>
        </w:rPr>
        <w:t>力</w:t>
      </w:r>
      <w:r>
        <w:rPr/>
        <w:t>衰竭</w:t>
      </w:r>
      <w:r>
        <w:rPr>
          <w:w w:val="100"/>
        </w:rPr>
        <w:t>表现</w:t>
      </w:r>
      <w:r>
        <w:rPr>
          <w:spacing w:val="-108"/>
          <w:w w:val="100"/>
        </w:rPr>
        <w:t>）</w:t>
      </w:r>
      <w:r>
        <w:rPr>
          <w:spacing w:val="-10"/>
          <w:w w:val="100"/>
        </w:rPr>
        <w:t>，</w:t>
      </w:r>
      <w:r>
        <w:rPr>
          <w:spacing w:val="-3"/>
          <w:w w:val="100"/>
        </w:rPr>
        <w:t>且</w:t>
      </w:r>
      <w:r>
        <w:rPr>
          <w:w w:val="100"/>
        </w:rPr>
        <w:t>有</w:t>
      </w:r>
      <w:r>
        <w:rPr>
          <w:spacing w:val="-3"/>
          <w:w w:val="100"/>
        </w:rPr>
        <w:t>相</w:t>
      </w:r>
      <w:r>
        <w:rPr>
          <w:w w:val="100"/>
        </w:rPr>
        <w:t>关</w:t>
      </w:r>
      <w:r>
        <w:rPr>
          <w:spacing w:val="-3"/>
          <w:w w:val="100"/>
        </w:rPr>
        <w:t>住</w:t>
      </w:r>
      <w:r>
        <w:rPr>
          <w:w w:val="100"/>
        </w:rPr>
        <w:t>院</w:t>
      </w:r>
      <w:r>
        <w:rPr>
          <w:spacing w:val="-3"/>
          <w:w w:val="100"/>
        </w:rPr>
        <w:t>医疗</w:t>
      </w:r>
      <w:r>
        <w:rPr>
          <w:w w:val="100"/>
        </w:rPr>
        <w:t>记录</w:t>
      </w:r>
      <w:r>
        <w:rPr>
          <w:spacing w:val="-3"/>
          <w:w w:val="100"/>
        </w:rPr>
        <w:t>显</w:t>
      </w:r>
      <w:r>
        <w:rPr>
          <w:w w:val="100"/>
        </w:rPr>
        <w:t>示</w:t>
      </w:r>
      <w:r>
        <w:rPr>
          <w:spacing w:val="-3"/>
          <w:w w:val="100"/>
        </w:rPr>
        <w:t>Ⅳ</w:t>
      </w:r>
      <w:r>
        <w:rPr>
          <w:w w:val="100"/>
        </w:rPr>
        <w:t>级</w:t>
      </w:r>
      <w:r>
        <w:rPr>
          <w:spacing w:val="-3"/>
          <w:w w:val="100"/>
        </w:rPr>
        <w:t>心</w:t>
      </w:r>
      <w:r>
        <w:rPr>
          <w:w w:val="100"/>
        </w:rPr>
        <w:t>功</w:t>
      </w:r>
      <w:r>
        <w:rPr>
          <w:spacing w:val="-3"/>
          <w:w w:val="100"/>
        </w:rPr>
        <w:t>能</w:t>
      </w:r>
      <w:r>
        <w:rPr>
          <w:w w:val="100"/>
        </w:rPr>
        <w:t>衰</w:t>
      </w:r>
      <w:r>
        <w:rPr>
          <w:spacing w:val="-3"/>
          <w:w w:val="100"/>
        </w:rPr>
        <w:t>竭</w:t>
      </w:r>
      <w:r>
        <w:rPr>
          <w:w w:val="100"/>
        </w:rPr>
        <w:t>状态</w:t>
      </w:r>
      <w:r>
        <w:rPr>
          <w:spacing w:val="-3"/>
          <w:w w:val="100"/>
        </w:rPr>
        <w:t>持</w:t>
      </w:r>
      <w:r>
        <w:rPr>
          <w:w w:val="100"/>
        </w:rPr>
        <w:t>续</w:t>
      </w:r>
      <w:r>
        <w:rPr>
          <w:spacing w:val="-3"/>
          <w:w w:val="100"/>
        </w:rPr>
        <w:t>至</w:t>
      </w:r>
      <w:r>
        <w:rPr>
          <w:w w:val="100"/>
        </w:rPr>
        <w:t>少</w:t>
      </w:r>
      <w:r>
        <w:rPr>
          <w:spacing w:val="-53"/>
        </w:rPr>
        <w:t> </w:t>
      </w:r>
      <w:r>
        <w:rPr>
          <w:rFonts w:ascii="Times New Roman" w:hAnsi="Times New Roman" w:eastAsia="Times New Roman"/>
          <w:spacing w:val="-3"/>
          <w:w w:val="100"/>
        </w:rPr>
        <w:t>1</w:t>
      </w:r>
      <w:r>
        <w:rPr>
          <w:rFonts w:ascii="Times New Roman" w:hAnsi="Times New Roman" w:eastAsia="Times New Roman"/>
          <w:w w:val="100"/>
        </w:rPr>
        <w:t>80</w:t>
      </w:r>
      <w:r>
        <w:rPr>
          <w:rFonts w:ascii="Times New Roman" w:hAnsi="Times New Roman" w:eastAsia="Times New Roman"/>
        </w:rPr>
        <w:t> </w:t>
      </w:r>
      <w:r>
        <w:rPr>
          <w:spacing w:val="-3"/>
          <w:w w:val="100"/>
        </w:rPr>
        <w:t>天</w:t>
      </w:r>
      <w:r>
        <w:rPr>
          <w:w w:val="100"/>
        </w:rPr>
        <w:t>。</w:t>
      </w:r>
      <w:r>
        <w:rPr/>
        <w:t>继发</w:t>
      </w:r>
      <w:r>
        <w:rPr>
          <w:spacing w:val="-3"/>
        </w:rPr>
        <w:t>于</w:t>
      </w:r>
      <w:r>
        <w:rPr/>
        <w:t>全</w:t>
      </w:r>
      <w:r>
        <w:rPr>
          <w:spacing w:val="-3"/>
        </w:rPr>
        <w:t>身</w:t>
      </w:r>
      <w:r>
        <w:rPr/>
        <w:t>性</w:t>
      </w:r>
      <w:r>
        <w:rPr>
          <w:spacing w:val="-3"/>
        </w:rPr>
        <w:t>疾</w:t>
      </w:r>
      <w:r>
        <w:rPr/>
        <w:t>病</w:t>
      </w:r>
      <w:r>
        <w:rPr>
          <w:spacing w:val="-3"/>
        </w:rPr>
        <w:t>或</w:t>
      </w:r>
      <w:r>
        <w:rPr/>
        <w:t>其</w:t>
      </w:r>
      <w:r>
        <w:rPr>
          <w:spacing w:val="-3"/>
        </w:rPr>
        <w:t>它</w:t>
      </w:r>
      <w:r>
        <w:rPr/>
        <w:t>器官</w:t>
      </w:r>
      <w:r>
        <w:rPr>
          <w:spacing w:val="-3"/>
        </w:rPr>
        <w:t>系</w:t>
      </w:r>
      <w:r>
        <w:rPr/>
        <w:t>统</w:t>
      </w:r>
      <w:r>
        <w:rPr>
          <w:spacing w:val="-3"/>
        </w:rPr>
        <w:t>疾</w:t>
      </w:r>
      <w:r>
        <w:rPr/>
        <w:t>病</w:t>
      </w:r>
      <w:r>
        <w:rPr>
          <w:spacing w:val="-3"/>
        </w:rPr>
        <w:t>造</w:t>
      </w:r>
      <w:r>
        <w:rPr/>
        <w:t>成</w:t>
      </w:r>
      <w:r>
        <w:rPr>
          <w:spacing w:val="-3"/>
        </w:rPr>
        <w:t>的</w:t>
      </w:r>
      <w:r>
        <w:rPr/>
        <w:t>心</w:t>
      </w:r>
      <w:r>
        <w:rPr>
          <w:spacing w:val="-3"/>
        </w:rPr>
        <w:t>肌</w:t>
      </w:r>
      <w:r>
        <w:rPr/>
        <w:t>病变</w:t>
      </w:r>
      <w:r>
        <w:rPr>
          <w:spacing w:val="-3"/>
        </w:rPr>
        <w:t>不</w:t>
      </w:r>
      <w:r>
        <w:rPr/>
        <w:t>在</w:t>
      </w:r>
      <w:r>
        <w:rPr>
          <w:spacing w:val="-3"/>
        </w:rPr>
        <w:t>保</w:t>
      </w:r>
      <w:r>
        <w:rPr/>
        <w:t>障</w:t>
      </w:r>
      <w:r>
        <w:rPr>
          <w:spacing w:val="-3"/>
        </w:rPr>
        <w:t>范围内</w:t>
      </w:r>
      <w:r>
        <w:rPr/>
        <w:t>。</w:t>
      </w:r>
    </w:p>
    <w:p>
      <w:pPr>
        <w:pStyle w:val="BodyText"/>
        <w:rPr>
          <w:sz w:val="20"/>
        </w:rPr>
      </w:pPr>
    </w:p>
    <w:p>
      <w:pPr>
        <w:pStyle w:val="BodyText"/>
        <w:spacing w:line="230" w:lineRule="auto"/>
        <w:ind w:left="2267" w:right="223" w:hanging="1680"/>
        <w:jc w:val="both"/>
      </w:pPr>
      <w:r>
        <w:rPr>
          <w:rFonts w:ascii="Times New Roman" w:eastAsia="Times New Roman"/>
          <w:b/>
        </w:rPr>
        <w:t>31.</w:t>
      </w:r>
      <w:r>
        <w:rPr>
          <w:spacing w:val="-3"/>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1" w:lineRule="exact"/>
        <w:ind w:left="2267"/>
      </w:pPr>
      <w:r>
        <w:rPr/>
        <w:t>（</w:t>
      </w:r>
      <w:r>
        <w:rPr>
          <w:rFonts w:ascii="Times New Roman" w:eastAsia="Times New Roman"/>
        </w:rPr>
        <w:t>1</w:t>
      </w:r>
      <w:r>
        <w:rPr/>
        <w:t>）经药物治疗和胸腺切除治疗一年以上仍无法控制病情；</w:t>
      </w:r>
    </w:p>
    <w:p>
      <w:pPr>
        <w:pStyle w:val="BodyText"/>
        <w:spacing w:line="225" w:lineRule="auto" w:before="9"/>
        <w:ind w:left="2267" w:right="22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11"/>
        <w:rPr>
          <w:sz w:val="17"/>
        </w:rPr>
      </w:pPr>
    </w:p>
    <w:p>
      <w:pPr>
        <w:spacing w:after="0"/>
        <w:rPr>
          <w:sz w:val="17"/>
        </w:rPr>
        <w:sectPr>
          <w:type w:val="continuous"/>
          <w:pgSz w:w="11900" w:h="16840"/>
          <w:pgMar w:top="1220" w:bottom="280" w:left="1680" w:right="980"/>
        </w:sectPr>
      </w:pPr>
    </w:p>
    <w:p>
      <w:pPr>
        <w:pStyle w:val="ListParagraph"/>
        <w:numPr>
          <w:ilvl w:val="0"/>
          <w:numId w:val="13"/>
        </w:numPr>
        <w:tabs>
          <w:tab w:pos="884" w:val="left" w:leader="none"/>
        </w:tabs>
        <w:spacing w:line="230" w:lineRule="auto" w:before="57" w:after="0"/>
        <w:ind w:left="590" w:right="0" w:hanging="2"/>
        <w:jc w:val="both"/>
        <w:rPr>
          <w:sz w:val="21"/>
        </w:rPr>
      </w:pPr>
      <w:r>
        <w:rPr>
          <w:spacing w:val="20"/>
          <w:sz w:val="21"/>
        </w:rPr>
        <w:t>因职业关系</w:t>
      </w:r>
      <w:r>
        <w:rPr>
          <w:spacing w:val="-30"/>
          <w:sz w:val="21"/>
        </w:rPr>
        <w:t>导 致 的 人 类 免</w:t>
      </w:r>
      <w:r>
        <w:rPr>
          <w:spacing w:val="-24"/>
          <w:sz w:val="21"/>
        </w:rPr>
        <w:t>疫 缺 陷 病 毒</w:t>
      </w:r>
    </w:p>
    <w:p>
      <w:pPr>
        <w:spacing w:line="289" w:lineRule="exact" w:before="0"/>
        <w:ind w:left="590" w:right="0" w:firstLine="0"/>
        <w:jc w:val="both"/>
        <w:rPr>
          <w:sz w:val="21"/>
        </w:rPr>
      </w:pPr>
      <w:r>
        <w:rPr>
          <w:sz w:val="21"/>
        </w:rPr>
        <w:t>（</w:t>
      </w:r>
      <w:r>
        <w:rPr>
          <w:rFonts w:ascii="Times New Roman" w:eastAsia="Times New Roman"/>
          <w:b/>
          <w:sz w:val="21"/>
        </w:rPr>
        <w:t>HIV</w:t>
      </w:r>
      <w:r>
        <w:rPr>
          <w:sz w:val="21"/>
        </w:rPr>
        <w:t>）感染</w:t>
      </w:r>
    </w:p>
    <w:p>
      <w:pPr>
        <w:pStyle w:val="BodyText"/>
        <w:spacing w:before="43"/>
        <w:ind w:left="171" w:right="223"/>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171" w:right="143"/>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9" w:lineRule="exact" w:before="2"/>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spacing w:after="0" w:line="289" w:lineRule="exact"/>
        <w:sectPr>
          <w:type w:val="continuous"/>
          <w:pgSz w:w="11900" w:h="16840"/>
          <w:pgMar w:top="1220" w:bottom="280" w:left="1680" w:right="980"/>
          <w:cols w:num="2" w:equalWidth="0">
            <w:col w:w="2057" w:space="40"/>
            <w:col w:w="7143"/>
          </w:cols>
        </w:sectPr>
      </w:pPr>
    </w:p>
    <w:p>
      <w:pPr>
        <w:pStyle w:val="BodyText"/>
        <w:spacing w:line="225" w:lineRule="auto" w:before="44"/>
        <w:ind w:left="2267" w:right="161"/>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5" w:lineRule="auto"/>
        <w:ind w:left="2267" w:right="161" w:hanging="1"/>
        <w:jc w:val="both"/>
      </w:pPr>
      <w:r>
        <w:rPr/>
        <w:t>（</w:t>
      </w:r>
      <w:r>
        <w:rPr>
          <w:rFonts w:ascii="Times New Roman" w:eastAsia="Times New Roman"/>
        </w:rPr>
        <w:t>4</w:t>
      </w:r>
      <w:r>
        <w:rPr/>
        <w:t>）</w:t>
      </w:r>
      <w:r>
        <w:rPr>
          <w:spacing w:val="-6"/>
        </w:rPr>
        <w:t>必须在事故发生后的 </w:t>
      </w:r>
      <w:r>
        <w:rPr>
          <w:rFonts w:ascii="Times New Roman" w:eastAsia="Times New Roman"/>
        </w:rPr>
        <w:t>12 </w:t>
      </w:r>
      <w:r>
        <w:rPr>
          <w:spacing w:val="-3"/>
        </w:rPr>
        <w:t>个月内证实被保险人体内存在人类免疫缺陷</w:t>
      </w:r>
      <w:r>
        <w:rPr>
          <w:spacing w:val="-1"/>
        </w:rPr>
        <w:t>病毒（</w:t>
      </w:r>
      <w:r>
        <w:rPr>
          <w:rFonts w:ascii="Times New Roman" w:eastAsia="Times New Roman"/>
          <w:spacing w:val="-1"/>
        </w:rPr>
        <w:t>HIV</w:t>
      </w:r>
      <w:r>
        <w:rPr>
          <w:spacing w:val="-1"/>
        </w:rPr>
        <w:t>）</w:t>
      </w:r>
      <w:r>
        <w:rPr>
          <w:spacing w:val="-3"/>
        </w:rPr>
        <w:t>或人类免疫缺陷病毒</w:t>
      </w:r>
      <w:r>
        <w:rPr>
          <w:spacing w:val="-1"/>
        </w:rPr>
        <w:t>（</w:t>
      </w:r>
      <w:r>
        <w:rPr>
          <w:rFonts w:ascii="Times New Roman" w:eastAsia="Times New Roman"/>
          <w:spacing w:val="-1"/>
        </w:rPr>
        <w:t>HIV</w:t>
      </w:r>
      <w:r>
        <w:rPr>
          <w:spacing w:val="-1"/>
        </w:rPr>
        <w:t>）</w:t>
      </w:r>
      <w:r>
        <w:rPr>
          <w:spacing w:val="-2"/>
        </w:rPr>
        <w:t>抗体。</w:t>
      </w:r>
    </w:p>
    <w:p>
      <w:pPr>
        <w:pStyle w:val="BodyText"/>
        <w:rPr>
          <w:sz w:val="17"/>
        </w:rPr>
      </w:pPr>
    </w:p>
    <w:p>
      <w:pPr>
        <w:pStyle w:val="BodyText"/>
        <w:spacing w:line="274" w:lineRule="exact"/>
        <w:ind w:left="2268"/>
      </w:pPr>
      <w:r>
        <w:rPr/>
        <w:t>限定职业：</w:t>
      </w:r>
    </w:p>
    <w:p>
      <w:pPr>
        <w:pStyle w:val="BodyText"/>
        <w:spacing w:line="237" w:lineRule="auto" w:before="2"/>
        <w:ind w:left="2268" w:right="163"/>
        <w:jc w:val="both"/>
      </w:pPr>
      <w:r>
        <w:rPr/>
        <w:t>医Th和牙科医Th、护士、实验室工作人员、医院护工、医Th助理和牙医助理、救护车工作人员、助产士、消防队员、警察、狱警。</w:t>
      </w:r>
    </w:p>
    <w:p>
      <w:pPr>
        <w:pStyle w:val="BodyText"/>
        <w:spacing w:before="1"/>
        <w:rPr>
          <w:sz w:val="18"/>
        </w:rPr>
      </w:pPr>
    </w:p>
    <w:p>
      <w:pPr>
        <w:spacing w:after="0"/>
        <w:rPr>
          <w:sz w:val="18"/>
        </w:rPr>
        <w:sectPr>
          <w:pgSz w:w="11900" w:h="16840"/>
          <w:pgMar w:top="1240" w:bottom="280" w:left="1680" w:right="1040"/>
        </w:sectPr>
      </w:pPr>
    </w:p>
    <w:p>
      <w:pPr>
        <w:pStyle w:val="ListParagraph"/>
        <w:numPr>
          <w:ilvl w:val="0"/>
          <w:numId w:val="13"/>
        </w:numPr>
        <w:tabs>
          <w:tab w:pos="884" w:val="left" w:leader="none"/>
        </w:tabs>
        <w:spacing w:line="230" w:lineRule="auto" w:before="57" w:after="0"/>
        <w:ind w:left="590" w:right="0" w:hanging="2"/>
        <w:jc w:val="both"/>
        <w:rPr>
          <w:sz w:val="21"/>
        </w:rPr>
      </w:pPr>
      <w:r>
        <w:rPr>
          <w:spacing w:val="20"/>
          <w:sz w:val="21"/>
        </w:rPr>
        <w:t>经输血导致</w:t>
      </w:r>
      <w:r>
        <w:rPr>
          <w:spacing w:val="-30"/>
          <w:sz w:val="21"/>
        </w:rPr>
        <w:t>的 人 类 免 疫 缺陷病毒（</w:t>
      </w:r>
      <w:r>
        <w:rPr>
          <w:rFonts w:ascii="Times New Roman" w:eastAsia="Times New Roman"/>
          <w:b/>
          <w:spacing w:val="-30"/>
          <w:sz w:val="21"/>
        </w:rPr>
        <w:t>HIV</w:t>
      </w:r>
      <w:r>
        <w:rPr>
          <w:spacing w:val="-30"/>
          <w:sz w:val="21"/>
        </w:rPr>
        <w:t>） 感染</w:t>
      </w:r>
    </w:p>
    <w:p>
      <w:pPr>
        <w:pStyle w:val="BodyText"/>
        <w:spacing w:line="282"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8"/>
        <w:ind w:left="171" w:right="161"/>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71" w:right="115"/>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rPr>
          <w:sz w:val="19"/>
        </w:rPr>
      </w:pPr>
    </w:p>
    <w:p>
      <w:pPr>
        <w:pStyle w:val="BodyText"/>
        <w:spacing w:line="230" w:lineRule="auto"/>
        <w:ind w:left="171" w:right="161"/>
        <w:jc w:val="both"/>
      </w:pPr>
      <w:r>
        <w:rPr/>
        <w:t>任何因其它传播方式（包括：性传播或静脉注射毒品）导致的人类免疫缺陷病毒（</w:t>
      </w:r>
      <w:r>
        <w:rPr>
          <w:rFonts w:ascii="Times New Roman" w:eastAsia="Times New Roman"/>
        </w:rPr>
        <w:t>HIV</w:t>
      </w:r>
      <w:r>
        <w:rPr/>
        <w:t>）感染不在本合同保障范围内。我们必须拥有获得使用被保险人的所有血液样本的权利和能够对这些样本进行独立检验的权利。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680" w:right="1040"/>
          <w:cols w:num="2" w:equalWidth="0">
            <w:col w:w="2057" w:space="40"/>
            <w:col w:w="7083"/>
          </w:cols>
        </w:sectPr>
      </w:pPr>
    </w:p>
    <w:p>
      <w:pPr>
        <w:pStyle w:val="BodyText"/>
        <w:rPr>
          <w:sz w:val="18"/>
        </w:rPr>
      </w:pPr>
    </w:p>
    <w:p>
      <w:pPr>
        <w:spacing w:after="0"/>
        <w:rPr>
          <w:sz w:val="18"/>
        </w:rPr>
        <w:sectPr>
          <w:type w:val="continuous"/>
          <w:pgSz w:w="11900" w:h="16840"/>
          <w:pgMar w:top="1220" w:bottom="280" w:left="1680" w:right="1040"/>
        </w:sectPr>
      </w:pPr>
    </w:p>
    <w:p>
      <w:pPr>
        <w:pStyle w:val="ListParagraph"/>
        <w:numPr>
          <w:ilvl w:val="0"/>
          <w:numId w:val="13"/>
        </w:numPr>
        <w:tabs>
          <w:tab w:pos="884" w:val="left" w:leader="none"/>
        </w:tabs>
        <w:spacing w:line="225" w:lineRule="auto" w:before="63" w:after="0"/>
        <w:ind w:left="590" w:right="0" w:hanging="2"/>
        <w:jc w:val="left"/>
        <w:rPr>
          <w:sz w:val="21"/>
        </w:rPr>
      </w:pPr>
      <w:r>
        <w:rPr>
          <w:spacing w:val="20"/>
          <w:sz w:val="21"/>
        </w:rPr>
        <w:t>严重类风湿</w:t>
      </w:r>
      <w:r>
        <w:rPr>
          <w:spacing w:val="8"/>
          <w:sz w:val="21"/>
        </w:rPr>
        <w:t>性关节炎</w:t>
      </w:r>
    </w:p>
    <w:p>
      <w:pPr>
        <w:pStyle w:val="BodyText"/>
        <w:spacing w:line="237" w:lineRule="auto" w:before="46"/>
        <w:ind w:left="173" w:right="161"/>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关节、双腕关节、双膝关节和双髋关节】。类风湿性关节炎必须明确诊断并且已经达到类风湿性关节炎功能分类Ⅳ级的永久不可逆性关节功能障碍</w:t>
      </w:r>
      <w:r>
        <w:rPr/>
        <w:t>（</w:t>
      </w:r>
      <w:r>
        <w:rPr>
          <w:spacing w:val="-3"/>
        </w:rPr>
        <w:t>生活不能自理，且丧失工作能力</w:t>
      </w:r>
      <w:r>
        <w:rPr/>
        <w:t>）</w:t>
      </w:r>
      <w:r>
        <w:rPr>
          <w:spacing w:val="-3"/>
        </w:rPr>
        <w:t>并且满足下列全部条件：</w:t>
      </w:r>
    </w:p>
    <w:p>
      <w:pPr>
        <w:pStyle w:val="BodyText"/>
        <w:spacing w:line="280" w:lineRule="exact"/>
        <w:ind w:left="173"/>
        <w:jc w:val="both"/>
      </w:pPr>
      <w:r>
        <w:rPr/>
        <w:t>（</w:t>
      </w:r>
      <w:r>
        <w:rPr>
          <w:rFonts w:ascii="Times New Roman" w:eastAsia="Times New Roman"/>
        </w:rPr>
        <w:t>1</w:t>
      </w:r>
      <w:r>
        <w:rPr/>
        <w:t>）晨僵；</w:t>
      </w:r>
    </w:p>
    <w:p>
      <w:pPr>
        <w:pStyle w:val="BodyText"/>
        <w:spacing w:line="272" w:lineRule="exact"/>
        <w:ind w:left="173"/>
        <w:jc w:val="both"/>
      </w:pPr>
      <w:r>
        <w:rPr/>
        <w:t>（</w:t>
      </w:r>
      <w:r>
        <w:rPr>
          <w:rFonts w:ascii="Times New Roman" w:eastAsia="Times New Roman"/>
        </w:rPr>
        <w:t>2</w:t>
      </w:r>
      <w:r>
        <w:rPr/>
        <w:t>）对称性关节炎；</w:t>
      </w:r>
    </w:p>
    <w:p>
      <w:pPr>
        <w:pStyle w:val="BodyText"/>
        <w:spacing w:line="274" w:lineRule="exact"/>
        <w:ind w:left="173"/>
        <w:jc w:val="both"/>
      </w:pPr>
      <w:r>
        <w:rPr/>
        <w:t>（</w:t>
      </w:r>
      <w:r>
        <w:rPr>
          <w:rFonts w:ascii="Times New Roman" w:eastAsia="Times New Roman"/>
        </w:rPr>
        <w:t>3</w:t>
      </w:r>
      <w:r>
        <w:rPr/>
        <w:t>）类风湿性皮下结节；</w:t>
      </w:r>
    </w:p>
    <w:p>
      <w:pPr>
        <w:pStyle w:val="BodyText"/>
        <w:spacing w:line="274" w:lineRule="exact"/>
        <w:ind w:left="173"/>
        <w:jc w:val="both"/>
      </w:pPr>
      <w:r>
        <w:rPr/>
        <w:t>（</w:t>
      </w:r>
      <w:r>
        <w:rPr>
          <w:rFonts w:ascii="Times New Roman" w:eastAsia="Times New Roman"/>
        </w:rPr>
        <w:t>4</w:t>
      </w:r>
      <w:r>
        <w:rPr/>
        <w:t>）类风湿因子滴度升高；</w:t>
      </w:r>
    </w:p>
    <w:p>
      <w:pPr>
        <w:pStyle w:val="BodyText"/>
        <w:spacing w:line="282" w:lineRule="exact"/>
        <w:ind w:left="17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80" w:right="1040"/>
          <w:cols w:num="2" w:equalWidth="0">
            <w:col w:w="2055" w:space="40"/>
            <w:col w:w="7085"/>
          </w:cols>
        </w:sectPr>
      </w:pPr>
    </w:p>
    <w:p>
      <w:pPr>
        <w:pStyle w:val="BodyText"/>
        <w:spacing w:before="9"/>
        <w:rPr>
          <w:sz w:val="16"/>
        </w:rPr>
      </w:pPr>
    </w:p>
    <w:p>
      <w:pPr>
        <w:spacing w:after="0"/>
        <w:rPr>
          <w:sz w:val="16"/>
        </w:rPr>
        <w:sectPr>
          <w:type w:val="continuous"/>
          <w:pgSz w:w="11900" w:h="16840"/>
          <w:pgMar w:top="1220" w:bottom="280" w:left="1680" w:right="1040"/>
        </w:sectPr>
      </w:pPr>
    </w:p>
    <w:p>
      <w:pPr>
        <w:pStyle w:val="ListParagraph"/>
        <w:numPr>
          <w:ilvl w:val="0"/>
          <w:numId w:val="13"/>
        </w:numPr>
        <w:tabs>
          <w:tab w:pos="884" w:val="left" w:leader="none"/>
        </w:tabs>
        <w:spacing w:line="232" w:lineRule="auto" w:before="54" w:after="0"/>
        <w:ind w:left="590" w:right="0" w:hanging="2"/>
        <w:jc w:val="both"/>
        <w:rPr>
          <w:sz w:val="21"/>
        </w:rPr>
      </w:pPr>
      <w:r>
        <w:rPr>
          <w:spacing w:val="20"/>
          <w:sz w:val="21"/>
        </w:rPr>
        <w:t>系统性红斑</w:t>
      </w:r>
      <w:r>
        <w:rPr>
          <w:spacing w:val="-30"/>
          <w:sz w:val="21"/>
        </w:rPr>
        <w:t>狼 疮 － Ⅲ 型 或</w:t>
      </w:r>
      <w:r>
        <w:rPr>
          <w:spacing w:val="-34"/>
          <w:sz w:val="21"/>
        </w:rPr>
        <w:t>以 上 狼 疮 性 肾炎</w:t>
      </w:r>
    </w:p>
    <w:p>
      <w:pPr>
        <w:pStyle w:val="BodyText"/>
        <w:spacing w:before="43"/>
        <w:ind w:left="171" w:right="163"/>
      </w:pPr>
      <w:r>
        <w:rPr/>
        <w:br w:type="column"/>
      </w:r>
      <w:r>
        <w:rPr/>
        <w:t>系统性红斑狼疮是由多种因素引起，累及多系统的自身免疫性疾病。其特点是生成自身抗体对抗多种自身抗原。多见于育龄妇女。</w:t>
      </w:r>
    </w:p>
    <w:p>
      <w:pPr>
        <w:pStyle w:val="BodyText"/>
        <w:spacing w:before="3"/>
        <w:rPr>
          <w:sz w:val="18"/>
        </w:rPr>
      </w:pPr>
    </w:p>
    <w:p>
      <w:pPr>
        <w:pStyle w:val="BodyText"/>
        <w:spacing w:line="274" w:lineRule="exact"/>
        <w:ind w:left="171"/>
      </w:pPr>
      <w:r>
        <w:rPr/>
        <w:t>本合同所指的系统性红斑狼疮仅限于累及肾脏（经肾脏活检确认的，符合</w:t>
      </w:r>
    </w:p>
    <w:p>
      <w:pPr>
        <w:pStyle w:val="BodyText"/>
        <w:spacing w:line="237" w:lineRule="auto" w:before="2"/>
        <w:ind w:left="171" w:right="163" w:hanging="1"/>
        <w:jc w:val="both"/>
      </w:pPr>
      <w:r>
        <w:rPr/>
        <w:t>WHO 诊断标准定义Ⅲ型或Ⅲ型以上狼疮性肾炎）的系统性红斑狼疮。其它类型的红斑性狼疮，如盘状狼疮、仅累及血液及关节的狼疮不在本合同保障范围内。</w:t>
      </w:r>
    </w:p>
    <w:p>
      <w:pPr>
        <w:pStyle w:val="BodyText"/>
        <w:spacing w:before="10"/>
        <w:rPr>
          <w:sz w:val="20"/>
        </w:rPr>
      </w:pPr>
    </w:p>
    <w:p>
      <w:pPr>
        <w:pStyle w:val="BodyText"/>
        <w:spacing w:line="282" w:lineRule="exact"/>
        <w:ind w:left="171"/>
        <w:jc w:val="both"/>
      </w:pPr>
      <w:r>
        <w:rPr/>
        <w:t>世界卫生组织（</w:t>
      </w:r>
      <w:r>
        <w:rPr>
          <w:rFonts w:ascii="Times New Roman" w:eastAsia="Times New Roman"/>
        </w:rPr>
        <w:t>WHO</w:t>
      </w:r>
      <w:r>
        <w:rPr/>
        <w:t>）狼疮性肾炎分型：</w:t>
      </w:r>
    </w:p>
    <w:p>
      <w:pPr>
        <w:pStyle w:val="BodyText"/>
        <w:spacing w:line="264" w:lineRule="exact"/>
        <w:ind w:left="171"/>
        <w:jc w:val="both"/>
      </w:pPr>
      <w:r>
        <w:rPr/>
        <w:t>Ⅰ型 微小病变型</w:t>
      </w:r>
    </w:p>
    <w:p>
      <w:pPr>
        <w:pStyle w:val="BodyText"/>
        <w:spacing w:line="272" w:lineRule="exact"/>
        <w:ind w:left="171"/>
        <w:jc w:val="both"/>
      </w:pPr>
      <w:r>
        <w:rPr/>
        <w:t>Ⅱ型 系膜病变型</w:t>
      </w:r>
    </w:p>
    <w:p>
      <w:pPr>
        <w:pStyle w:val="BodyText"/>
        <w:spacing w:line="274" w:lineRule="exact"/>
        <w:ind w:left="171"/>
        <w:jc w:val="both"/>
      </w:pPr>
      <w:r>
        <w:rPr/>
        <w:t>Ⅲ型 局灶及节段增生型</w:t>
      </w:r>
    </w:p>
    <w:p>
      <w:pPr>
        <w:pStyle w:val="BodyText"/>
        <w:spacing w:line="274" w:lineRule="exact"/>
        <w:ind w:left="171"/>
        <w:jc w:val="both"/>
      </w:pPr>
      <w:r>
        <w:rPr/>
        <w:t>Ⅳ型 弥漫增生型</w:t>
      </w:r>
    </w:p>
    <w:p>
      <w:pPr>
        <w:pStyle w:val="BodyText"/>
        <w:spacing w:line="272" w:lineRule="exact"/>
        <w:ind w:left="171"/>
        <w:jc w:val="both"/>
      </w:pPr>
      <w:r>
        <w:rPr/>
        <w:t>Ⅴ型 膜型</w:t>
      </w:r>
    </w:p>
    <w:p>
      <w:pPr>
        <w:pStyle w:val="BodyText"/>
        <w:spacing w:line="273" w:lineRule="exact"/>
        <w:ind w:left="171"/>
        <w:jc w:val="both"/>
      </w:pPr>
      <w:r>
        <w:rPr/>
        <w:t>Ⅵ型 肾小球硬化型</w:t>
      </w:r>
    </w:p>
    <w:p>
      <w:pPr>
        <w:spacing w:after="0" w:line="273" w:lineRule="exact"/>
        <w:jc w:val="both"/>
        <w:sectPr>
          <w:type w:val="continuous"/>
          <w:pgSz w:w="11900" w:h="16840"/>
          <w:pgMar w:top="1220" w:bottom="280" w:left="1680" w:right="1040"/>
          <w:cols w:num="2" w:equalWidth="0">
            <w:col w:w="2057" w:space="40"/>
            <w:col w:w="7083"/>
          </w:cols>
        </w:sectPr>
      </w:pPr>
    </w:p>
    <w:p>
      <w:pPr>
        <w:pStyle w:val="BodyText"/>
        <w:spacing w:line="230" w:lineRule="auto" w:before="40"/>
        <w:ind w:left="2267" w:right="103" w:hanging="1680"/>
        <w:jc w:val="both"/>
      </w:pPr>
      <w:r>
        <w:rPr>
          <w:rFonts w:ascii="Times New Roman" w:eastAsia="Times New Roman"/>
          <w:b/>
        </w:rPr>
        <w:t>36.</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rPr>
          <w:sz w:val="18"/>
        </w:rPr>
      </w:pPr>
    </w:p>
    <w:p>
      <w:pPr>
        <w:spacing w:after="0"/>
        <w:rPr>
          <w:sz w:val="18"/>
        </w:rPr>
        <w:sectPr>
          <w:pgSz w:w="11900" w:h="16840"/>
          <w:pgMar w:top="1240" w:bottom="280" w:left="1680" w:right="1100"/>
        </w:sectPr>
      </w:pPr>
    </w:p>
    <w:p>
      <w:pPr>
        <w:spacing w:line="223" w:lineRule="auto" w:before="66"/>
        <w:ind w:left="590" w:right="0" w:hanging="3"/>
        <w:jc w:val="left"/>
        <w:rPr>
          <w:sz w:val="21"/>
        </w:rPr>
      </w:pPr>
      <w:r>
        <w:rPr>
          <w:rFonts w:ascii="Times New Roman" w:eastAsia="Times New Roman"/>
          <w:b/>
          <w:sz w:val="21"/>
        </w:rPr>
        <w:t>37. </w:t>
      </w:r>
      <w:r>
        <w:rPr>
          <w:sz w:val="21"/>
        </w:rPr>
        <w:t>严重溃疡性结肠炎</w:t>
      </w:r>
    </w:p>
    <w:p>
      <w:pPr>
        <w:pStyle w:val="BodyText"/>
        <w:spacing w:line="237" w:lineRule="auto" w:before="46"/>
        <w:ind w:left="173" w:right="103"/>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37" w:lineRule="auto"/>
        <w:jc w:val="both"/>
        <w:sectPr>
          <w:type w:val="continuous"/>
          <w:pgSz w:w="11900" w:h="16840"/>
          <w:pgMar w:top="1220" w:bottom="280" w:left="1680" w:right="1100"/>
          <w:cols w:num="2" w:equalWidth="0">
            <w:col w:w="2055" w:space="40"/>
            <w:col w:w="7025"/>
          </w:cols>
        </w:sectPr>
      </w:pPr>
    </w:p>
    <w:p>
      <w:pPr>
        <w:pStyle w:val="BodyText"/>
        <w:spacing w:before="11"/>
        <w:rPr>
          <w:sz w:val="17"/>
        </w:rPr>
      </w:pPr>
    </w:p>
    <w:p>
      <w:pPr>
        <w:spacing w:after="0"/>
        <w:rPr>
          <w:sz w:val="17"/>
        </w:rPr>
        <w:sectPr>
          <w:type w:val="continuous"/>
          <w:pgSz w:w="11900" w:h="16840"/>
          <w:pgMar w:top="1220" w:bottom="280" w:left="1680" w:right="1100"/>
        </w:sectPr>
      </w:pPr>
    </w:p>
    <w:p>
      <w:pPr>
        <w:pStyle w:val="BodyText"/>
        <w:spacing w:line="232" w:lineRule="auto" w:before="55"/>
        <w:ind w:left="590" w:hanging="3"/>
        <w:jc w:val="both"/>
      </w:pPr>
      <w:r>
        <w:rPr>
          <w:rFonts w:ascii="Times New Roman" w:eastAsia="Times New Roman"/>
          <w:b/>
        </w:rPr>
        <w:t>38.</w:t>
      </w:r>
      <w:r>
        <w:rPr/>
        <w:t>非阿尔茨海默病所致严重痴呆</w:t>
      </w:r>
    </w:p>
    <w:p>
      <w:pPr>
        <w:pStyle w:val="BodyText"/>
        <w:spacing w:line="237" w:lineRule="auto" w:before="46"/>
        <w:ind w:left="322" w:right="103"/>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5"/>
        <w:rPr>
          <w:sz w:val="18"/>
        </w:rPr>
      </w:pPr>
    </w:p>
    <w:p>
      <w:pPr>
        <w:pStyle w:val="BodyText"/>
        <w:ind w:left="322"/>
        <w:jc w:val="both"/>
      </w:pPr>
      <w:r>
        <w:rPr/>
        <w:t>神经官能症,精神疾病及酒精中毒所致脑损害不在保障范围内。</w:t>
      </w:r>
    </w:p>
    <w:p>
      <w:pPr>
        <w:spacing w:after="0"/>
        <w:jc w:val="both"/>
        <w:sectPr>
          <w:type w:val="continuous"/>
          <w:pgSz w:w="11900" w:h="16840"/>
          <w:pgMar w:top="1220" w:bottom="280" w:left="1680" w:right="1100"/>
          <w:cols w:num="2" w:equalWidth="0">
            <w:col w:w="1906" w:space="40"/>
            <w:col w:w="7174"/>
          </w:cols>
        </w:sectPr>
      </w:pPr>
    </w:p>
    <w:p>
      <w:pPr>
        <w:pStyle w:val="BodyText"/>
        <w:spacing w:before="11"/>
        <w:rPr>
          <w:sz w:val="17"/>
        </w:rPr>
      </w:pPr>
    </w:p>
    <w:p>
      <w:pPr>
        <w:pStyle w:val="BodyText"/>
        <w:tabs>
          <w:tab w:pos="1679" w:val="left" w:leader="none"/>
        </w:tabs>
        <w:spacing w:line="281" w:lineRule="exact" w:before="46"/>
        <w:ind w:right="166"/>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2267"/>
      </w:pPr>
      <w:r>
        <w:rPr/>
        <w:t>（</w:t>
      </w:r>
      <w:r>
        <w:rPr>
          <w:rFonts w:ascii="Times New Roman" w:eastAsia="Times New Roman"/>
        </w:rPr>
        <w:t>1</w:t>
      </w:r>
      <w:r>
        <w:rPr/>
        <w:t>）过去两年中有哮喘持续状态病史；</w:t>
      </w:r>
    </w:p>
    <w:p>
      <w:pPr>
        <w:pStyle w:val="BodyText"/>
        <w:spacing w:line="272" w:lineRule="exact"/>
        <w:ind w:left="2267"/>
      </w:pPr>
      <w:r>
        <w:rPr/>
        <w:t>（</w:t>
      </w:r>
      <w:r>
        <w:rPr>
          <w:rFonts w:ascii="Times New Roman" w:eastAsia="Times New Roman"/>
        </w:rPr>
        <w:t>2</w:t>
      </w:r>
      <w:r>
        <w:rPr/>
        <w:t>）身体活动耐受能力显著且持续下降；</w:t>
      </w:r>
    </w:p>
    <w:p>
      <w:pPr>
        <w:pStyle w:val="BodyText"/>
        <w:spacing w:line="274" w:lineRule="exact"/>
        <w:ind w:left="2267"/>
      </w:pPr>
      <w:r>
        <w:rPr/>
        <w:t>（</w:t>
      </w:r>
      <w:r>
        <w:rPr>
          <w:rFonts w:ascii="Times New Roman" w:eastAsia="Times New Roman"/>
        </w:rPr>
        <w:t>3</w:t>
      </w:r>
      <w:r>
        <w:rPr/>
        <w:t>）慢性肺部过度膨胀充气导致的胸廓畸形；</w:t>
      </w:r>
    </w:p>
    <w:p>
      <w:pPr>
        <w:pStyle w:val="BodyText"/>
        <w:spacing w:line="282" w:lineRule="exact"/>
        <w:ind w:left="2267"/>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9"/>
        <w:rPr>
          <w:sz w:val="16"/>
        </w:rPr>
      </w:pPr>
    </w:p>
    <w:p>
      <w:pPr>
        <w:spacing w:after="0"/>
        <w:rPr>
          <w:sz w:val="16"/>
        </w:rPr>
        <w:sectPr>
          <w:type w:val="continuous"/>
          <w:pgSz w:w="11900" w:h="16840"/>
          <w:pgMar w:top="1220" w:bottom="280" w:left="1680" w:right="1100"/>
        </w:sectPr>
      </w:pPr>
    </w:p>
    <w:p>
      <w:pPr>
        <w:pStyle w:val="ListParagraph"/>
        <w:numPr>
          <w:ilvl w:val="0"/>
          <w:numId w:val="14"/>
        </w:numPr>
        <w:tabs>
          <w:tab w:pos="884" w:val="left" w:leader="none"/>
        </w:tabs>
        <w:spacing w:line="225" w:lineRule="auto" w:before="63" w:after="0"/>
        <w:ind w:left="590" w:right="0" w:hanging="2"/>
        <w:jc w:val="left"/>
        <w:rPr>
          <w:sz w:val="21"/>
        </w:rPr>
      </w:pPr>
      <w:r>
        <w:rPr>
          <w:spacing w:val="20"/>
          <w:sz w:val="21"/>
        </w:rPr>
        <w:t>严重脊髓灰质炎</w:t>
      </w:r>
    </w:p>
    <w:p>
      <w:pPr>
        <w:pStyle w:val="BodyText"/>
        <w:spacing w:line="235" w:lineRule="auto" w:before="48"/>
        <w:ind w:left="173" w:right="101"/>
        <w:jc w:val="both"/>
      </w:pPr>
      <w:r>
        <w:rPr/>
        <w:br w:type="column"/>
      </w:r>
      <w:r>
        <w:rPr>
          <w:spacing w:val="-3"/>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w:t>
      </w:r>
      <w:r>
        <w:rPr>
          <w:spacing w:val="-4"/>
        </w:rPr>
        <w:t>全丧失的情况予以理赔。肢体机能永久完全丧失，指疾病确诊 </w:t>
      </w:r>
      <w:r>
        <w:rPr>
          <w:rFonts w:ascii="Times New Roman" w:eastAsia="Times New Roman"/>
        </w:rPr>
        <w:t>180 </w:t>
      </w:r>
      <w:r>
        <w:rPr>
          <w:spacing w:val="-2"/>
        </w:rPr>
        <w:t>天后， </w:t>
      </w:r>
      <w:r>
        <w:rPr>
          <w:spacing w:val="-3"/>
        </w:rPr>
        <w:t>每肢三大关节中的两大关节仍然完全僵硬，或不能随意识活动。</w:t>
      </w:r>
    </w:p>
    <w:p>
      <w:pPr>
        <w:spacing w:after="0" w:line="235" w:lineRule="auto"/>
        <w:jc w:val="both"/>
        <w:sectPr>
          <w:type w:val="continuous"/>
          <w:pgSz w:w="11900" w:h="16840"/>
          <w:pgMar w:top="1220" w:bottom="280" w:left="1680" w:right="1100"/>
          <w:cols w:num="2" w:equalWidth="0">
            <w:col w:w="2055" w:space="40"/>
            <w:col w:w="7025"/>
          </w:cols>
        </w:sectPr>
      </w:pPr>
    </w:p>
    <w:p>
      <w:pPr>
        <w:pStyle w:val="BodyText"/>
        <w:rPr>
          <w:sz w:val="18"/>
        </w:rPr>
      </w:pPr>
    </w:p>
    <w:p>
      <w:pPr>
        <w:spacing w:after="0"/>
        <w:rPr>
          <w:sz w:val="18"/>
        </w:rPr>
        <w:sectPr>
          <w:type w:val="continuous"/>
          <w:pgSz w:w="11900" w:h="16840"/>
          <w:pgMar w:top="1220" w:bottom="280" w:left="1680" w:right="1100"/>
        </w:sectPr>
      </w:pPr>
    </w:p>
    <w:p>
      <w:pPr>
        <w:pStyle w:val="ListParagraph"/>
        <w:numPr>
          <w:ilvl w:val="0"/>
          <w:numId w:val="14"/>
        </w:numPr>
        <w:tabs>
          <w:tab w:pos="884" w:val="left" w:leader="none"/>
        </w:tabs>
        <w:spacing w:line="225" w:lineRule="auto" w:before="63" w:after="0"/>
        <w:ind w:left="590" w:right="0" w:hanging="2"/>
        <w:jc w:val="left"/>
        <w:rPr>
          <w:sz w:val="21"/>
        </w:rPr>
      </w:pPr>
      <w:r>
        <w:rPr>
          <w:spacing w:val="20"/>
          <w:sz w:val="21"/>
        </w:rPr>
        <w:t>重症急性坏</w:t>
      </w:r>
      <w:r>
        <w:rPr>
          <w:spacing w:val="6"/>
          <w:sz w:val="21"/>
        </w:rPr>
        <w:t>死性筋膜炎</w:t>
      </w:r>
    </w:p>
    <w:p>
      <w:pPr>
        <w:pStyle w:val="BodyText"/>
        <w:spacing w:line="237" w:lineRule="auto" w:before="46"/>
        <w:ind w:left="173" w:right="103"/>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81" w:lineRule="exact"/>
        <w:ind w:left="173"/>
        <w:jc w:val="both"/>
      </w:pPr>
      <w:r>
        <w:rPr/>
        <w:t>（</w:t>
      </w:r>
      <w:r>
        <w:rPr>
          <w:rFonts w:ascii="Times New Roman" w:eastAsia="Times New Roman"/>
        </w:rPr>
        <w:t>1</w:t>
      </w:r>
      <w:r>
        <w:rPr/>
        <w:t>）细菌培养和临床表现符合坏死性筋膜炎诊断标准；</w:t>
      </w:r>
    </w:p>
    <w:p>
      <w:pPr>
        <w:pStyle w:val="BodyText"/>
        <w:spacing w:line="274" w:lineRule="exact"/>
        <w:ind w:left="173"/>
        <w:jc w:val="both"/>
      </w:pPr>
      <w:r>
        <w:rPr/>
        <w:t>（</w:t>
      </w:r>
      <w:r>
        <w:rPr>
          <w:rFonts w:ascii="Times New Roman" w:eastAsia="Times New Roman"/>
        </w:rPr>
        <w:t>2</w:t>
      </w:r>
      <w:r>
        <w:rPr/>
        <w:t>）病情迅速恶化，有脓毒血症表现；</w:t>
      </w:r>
    </w:p>
    <w:p>
      <w:pPr>
        <w:pStyle w:val="BodyText"/>
        <w:spacing w:line="282" w:lineRule="exact"/>
        <w:ind w:left="173"/>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jc w:val="both"/>
        <w:sectPr>
          <w:type w:val="continuous"/>
          <w:pgSz w:w="11900" w:h="16840"/>
          <w:pgMar w:top="1220" w:bottom="280" w:left="1680" w:right="1100"/>
          <w:cols w:num="2" w:equalWidth="0">
            <w:col w:w="2055" w:space="40"/>
            <w:col w:w="7025"/>
          </w:cols>
        </w:sectPr>
      </w:pPr>
    </w:p>
    <w:p>
      <w:pPr>
        <w:pStyle w:val="BodyText"/>
        <w:spacing w:before="9"/>
        <w:rPr>
          <w:sz w:val="16"/>
        </w:rPr>
      </w:pPr>
    </w:p>
    <w:p>
      <w:pPr>
        <w:pStyle w:val="BodyText"/>
        <w:tabs>
          <w:tab w:pos="2267" w:val="left" w:leader="none"/>
        </w:tabs>
        <w:spacing w:before="45"/>
        <w:ind w:left="587"/>
      </w:pPr>
      <w:r>
        <w:rPr>
          <w:rFonts w:ascii="Times New Roman" w:eastAsia="Times New Roman"/>
          <w:b/>
        </w:rPr>
        <w:t>42.</w:t>
      </w:r>
      <w:r>
        <w:rPr/>
        <w:t>严重川</w:t>
      </w:r>
      <w:r>
        <w:rPr>
          <w:spacing w:val="-3"/>
        </w:rPr>
        <w:t>崎</w:t>
      </w:r>
      <w:r>
        <w:rPr/>
        <w:t>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0"/>
        <w:rPr>
          <w:sz w:val="16"/>
        </w:rPr>
      </w:pPr>
    </w:p>
    <w:p>
      <w:pPr>
        <w:pStyle w:val="BodyText"/>
        <w:ind w:left="2267" w:right="103"/>
      </w:pPr>
      <w:r>
        <w:rPr/>
        <w:t>本合同仅对诊断性检查证实川崎病并发冠状动脉瘤或其他心血管异常并且实际接受了手术治疗的情况予以理赔。</w:t>
      </w: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5"/>
        </w:numPr>
        <w:tabs>
          <w:tab w:pos="884" w:val="left" w:leader="none"/>
        </w:tabs>
        <w:spacing w:line="225" w:lineRule="auto" w:before="63" w:after="0"/>
        <w:ind w:left="590" w:right="0" w:hanging="2"/>
        <w:jc w:val="left"/>
        <w:rPr>
          <w:sz w:val="21"/>
        </w:rPr>
      </w:pPr>
      <w:r>
        <w:rPr>
          <w:spacing w:val="20"/>
          <w:sz w:val="21"/>
        </w:rPr>
        <w:t>系统性硬皮病</w:t>
      </w:r>
    </w:p>
    <w:p>
      <w:pPr>
        <w:pStyle w:val="BodyText"/>
        <w:spacing w:before="43"/>
        <w:ind w:left="173" w:right="103"/>
        <w:jc w:val="both"/>
      </w:pPr>
      <w:r>
        <w:rPr/>
        <w:br w:type="column"/>
      </w:r>
      <w:r>
        <w:rPr/>
        <w:t>指一种以局限性或弥漫性皮肤增厚和皮肤、血管、内脏器官异常纤维化为特征的结缔组织病。本病须经专科医师明确诊断，并须满足下列至少一项条件：</w:t>
      </w:r>
    </w:p>
    <w:p>
      <w:pPr>
        <w:pStyle w:val="BodyText"/>
        <w:spacing w:line="280" w:lineRule="exact"/>
        <w:ind w:left="173"/>
      </w:pPr>
      <w:r>
        <w:rPr/>
        <w:t>（</w:t>
      </w:r>
      <w:r>
        <w:rPr>
          <w:rFonts w:ascii="Times New Roman" w:eastAsia="Times New Roman"/>
        </w:rPr>
        <w:t>1</w:t>
      </w:r>
      <w:r>
        <w:rPr/>
        <w:t>）肺脏：肺部病变进而发展为肺间质纤维化和肺动脉高压；</w:t>
      </w:r>
    </w:p>
    <w:p>
      <w:pPr>
        <w:pStyle w:val="BodyText"/>
        <w:spacing w:line="232" w:lineRule="auto"/>
        <w:ind w:left="173" w:right="101" w:hanging="1"/>
        <w:jc w:val="both"/>
      </w:pPr>
      <w:r>
        <w:rPr>
          <w:spacing w:val="-10"/>
        </w:rPr>
        <w:t>（</w:t>
      </w:r>
      <w:r>
        <w:rPr>
          <w:rFonts w:ascii="Times New Roman" w:hAnsi="Times New Roman" w:eastAsia="Times New Roman"/>
          <w:spacing w:val="-10"/>
        </w:rPr>
        <w:t>2</w:t>
      </w:r>
      <w:r>
        <w:rPr>
          <w:spacing w:val="-10"/>
        </w:rPr>
        <w:t>）</w:t>
      </w:r>
      <w:r>
        <w:rPr>
          <w:spacing w:val="-8"/>
        </w:rPr>
        <w:t>心脏：心功能受损达到美国纽约心脏病学会心功能状态分级Ⅳ级，且有医院的医疗记录显示病人不能进行任何活动，同时休息时仍有心悸、呼</w:t>
      </w:r>
      <w:r>
        <w:rPr>
          <w:spacing w:val="-5"/>
        </w:rPr>
        <w:t>吸困难等心力衰竭表现；</w:t>
      </w:r>
    </w:p>
    <w:p>
      <w:pPr>
        <w:pStyle w:val="BodyText"/>
        <w:spacing w:line="289" w:lineRule="exact"/>
        <w:ind w:left="173"/>
        <w:jc w:val="both"/>
      </w:pPr>
      <w:r>
        <w:rPr/>
        <w:t>（</w:t>
      </w:r>
      <w:r>
        <w:rPr>
          <w:rFonts w:ascii="Times New Roman" w:eastAsia="Times New Roman"/>
        </w:rPr>
        <w:t>3</w:t>
      </w:r>
      <w:r>
        <w:rPr/>
        <w:t>）肾脏：肾脏受损导致双肾功能慢性不可逆衰竭，达到尿毒症期。</w:t>
      </w:r>
    </w:p>
    <w:p>
      <w:pPr>
        <w:spacing w:after="0" w:line="289" w:lineRule="exact"/>
        <w:jc w:val="both"/>
        <w:sectPr>
          <w:type w:val="continuous"/>
          <w:pgSz w:w="11900" w:h="16840"/>
          <w:pgMar w:top="1220" w:bottom="280" w:left="1680" w:right="1100"/>
          <w:cols w:num="2" w:equalWidth="0">
            <w:col w:w="2055" w:space="40"/>
            <w:col w:w="7025"/>
          </w:cols>
        </w:sectPr>
      </w:pPr>
    </w:p>
    <w:p>
      <w:pPr>
        <w:pStyle w:val="BodyText"/>
        <w:spacing w:before="10"/>
        <w:rPr>
          <w:sz w:val="14"/>
        </w:rPr>
      </w:pPr>
    </w:p>
    <w:p>
      <w:pPr>
        <w:spacing w:after="0"/>
        <w:rPr>
          <w:sz w:val="14"/>
        </w:rPr>
        <w:sectPr>
          <w:type w:val="continuous"/>
          <w:pgSz w:w="11900" w:h="16840"/>
          <w:pgMar w:top="1220" w:bottom="280" w:left="1680" w:right="1100"/>
        </w:sectPr>
      </w:pPr>
    </w:p>
    <w:p>
      <w:pPr>
        <w:pStyle w:val="ListParagraph"/>
        <w:numPr>
          <w:ilvl w:val="0"/>
          <w:numId w:val="15"/>
        </w:numPr>
        <w:tabs>
          <w:tab w:pos="884" w:val="left" w:leader="none"/>
        </w:tabs>
        <w:spacing w:line="225" w:lineRule="auto" w:before="63" w:after="0"/>
        <w:ind w:left="590" w:right="0" w:hanging="2"/>
        <w:jc w:val="left"/>
        <w:rPr>
          <w:sz w:val="21"/>
        </w:rPr>
      </w:pPr>
      <w:r>
        <w:rPr>
          <w:spacing w:val="20"/>
          <w:sz w:val="21"/>
        </w:rPr>
        <w:t>丝虫病所致象皮肿</w:t>
      </w:r>
    </w:p>
    <w:p>
      <w:pPr>
        <w:pStyle w:val="BodyText"/>
        <w:spacing w:before="43"/>
        <w:ind w:left="173" w:right="41"/>
      </w:pPr>
      <w:r>
        <w:rPr/>
        <w:br w:type="column"/>
      </w:r>
      <w:r>
        <w:rPr/>
        <w:t>指因丝虫感染导致淋巴阻塞性出现严重淋巴水肿，达到国际淋巴学会淋巴水肿分期第Ⅲ期，临床表现为肢体象皮肿，患肢较健肢增粗 </w:t>
      </w:r>
      <w:r>
        <w:rPr>
          <w:rFonts w:ascii="Times New Roman" w:hAnsi="Times New Roman" w:eastAsia="Times New Roman"/>
        </w:rPr>
        <w:t>30%</w:t>
      </w:r>
      <w:r>
        <w:rPr/>
        <w:t>以上，日</w:t>
      </w:r>
    </w:p>
    <w:p>
      <w:pPr>
        <w:spacing w:after="0"/>
        <w:sectPr>
          <w:type w:val="continuous"/>
          <w:pgSz w:w="11900" w:h="16840"/>
          <w:pgMar w:top="1220" w:bottom="280" w:left="1680" w:right="1100"/>
          <w:cols w:num="2" w:equalWidth="0">
            <w:col w:w="2055" w:space="40"/>
            <w:col w:w="7025"/>
          </w:cols>
        </w:sectPr>
      </w:pPr>
    </w:p>
    <w:p>
      <w:pPr>
        <w:pStyle w:val="BodyText"/>
        <w:spacing w:before="6"/>
        <w:ind w:left="2267"/>
      </w:pPr>
      <w:r>
        <w:rPr/>
        <w:t>常生活不能自理。</w:t>
      </w:r>
    </w:p>
    <w:p>
      <w:pPr>
        <w:pStyle w:val="BodyText"/>
        <w:spacing w:before="11"/>
        <w:rPr>
          <w:sz w:val="22"/>
        </w:rPr>
      </w:pPr>
    </w:p>
    <w:p>
      <w:pPr>
        <w:pStyle w:val="BodyText"/>
        <w:tabs>
          <w:tab w:pos="2267" w:val="left" w:leader="none"/>
        </w:tabs>
        <w:spacing w:line="223" w:lineRule="auto"/>
        <w:ind w:left="2267" w:right="103" w:hanging="1680"/>
      </w:pPr>
      <w:r>
        <w:rPr>
          <w:rFonts w:ascii="Times New Roman" w:eastAsia="Times New Roman"/>
          <w:b/>
        </w:rPr>
        <w:t>45.</w:t>
      </w:r>
      <w:r>
        <w:rPr/>
        <w:t>胰腺移植</w:t>
        <w:tab/>
        <w:t>指因胰腺功能衰竭</w:t>
      </w:r>
      <w:r>
        <w:rPr>
          <w:spacing w:val="-3"/>
        </w:rPr>
        <w:t>，</w:t>
      </w:r>
      <w:r>
        <w:rPr/>
        <w:t>已</w:t>
      </w:r>
      <w:r>
        <w:rPr>
          <w:spacing w:val="-3"/>
        </w:rPr>
        <w:t>经</w:t>
      </w:r>
      <w:r>
        <w:rPr/>
        <w:t>实施了在全身麻醉</w:t>
      </w:r>
      <w:r>
        <w:rPr>
          <w:spacing w:val="-3"/>
        </w:rPr>
        <w:t>下</w:t>
      </w:r>
      <w:r>
        <w:rPr/>
        <w:t>进</w:t>
      </w:r>
      <w:r>
        <w:rPr>
          <w:spacing w:val="-3"/>
        </w:rPr>
        <w:t>行</w:t>
      </w:r>
      <w:r>
        <w:rPr/>
        <w:t>的胰腺的异体器官</w:t>
      </w:r>
      <w:r>
        <w:rPr>
          <w:spacing w:val="-3"/>
        </w:rPr>
        <w:t>移</w:t>
      </w:r>
      <w:r>
        <w:rPr/>
        <w:t>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spacing w:before="1"/>
        <w:ind w:left="2267"/>
      </w:pPr>
      <w:r>
        <w:rPr/>
        <w:t>单纯胰岛移植、部分胰腺组织或细胞的移植不在保障范围内。</w:t>
      </w:r>
    </w:p>
    <w:p>
      <w:pPr>
        <w:pStyle w:val="BodyText"/>
        <w:spacing w:before="1"/>
        <w:rPr>
          <w:sz w:val="18"/>
        </w:rPr>
      </w:pPr>
    </w:p>
    <w:p>
      <w:pPr>
        <w:spacing w:after="0"/>
        <w:rPr>
          <w:sz w:val="18"/>
        </w:rPr>
        <w:sectPr>
          <w:pgSz w:w="11900" w:h="16840"/>
          <w:pgMar w:top="1260" w:bottom="280" w:left="1680" w:right="1100"/>
        </w:sectPr>
      </w:pPr>
    </w:p>
    <w:p>
      <w:pPr>
        <w:pStyle w:val="ListParagraph"/>
        <w:numPr>
          <w:ilvl w:val="0"/>
          <w:numId w:val="16"/>
        </w:numPr>
        <w:tabs>
          <w:tab w:pos="884" w:val="left" w:leader="none"/>
        </w:tabs>
        <w:spacing w:line="230" w:lineRule="auto" w:before="57" w:after="0"/>
        <w:ind w:left="590" w:right="0" w:hanging="2"/>
        <w:jc w:val="both"/>
        <w:rPr>
          <w:sz w:val="21"/>
        </w:rPr>
      </w:pPr>
      <w:r>
        <w:rPr>
          <w:spacing w:val="20"/>
          <w:sz w:val="21"/>
        </w:rPr>
        <w:t>急性坏死性</w:t>
      </w:r>
      <w:r>
        <w:rPr>
          <w:spacing w:val="-30"/>
          <w:sz w:val="21"/>
        </w:rPr>
        <w:t>胰 腺 炎 开 腹 手术</w:t>
      </w:r>
    </w:p>
    <w:p>
      <w:pPr>
        <w:pStyle w:val="BodyText"/>
        <w:spacing w:line="237" w:lineRule="auto" w:before="46"/>
        <w:ind w:left="171" w:right="103"/>
      </w:pPr>
      <w:r>
        <w:rPr/>
        <w:br w:type="column"/>
      </w:r>
      <w:r>
        <w:rPr/>
        <w:t>指为治疗急性坏死性胰腺炎，实际实施了开腹进行的坏死组织清除术、病灶切除术或胰腺部分切除术。</w:t>
      </w:r>
    </w:p>
    <w:p>
      <w:pPr>
        <w:pStyle w:val="BodyText"/>
        <w:spacing w:before="12"/>
      </w:pPr>
    </w:p>
    <w:p>
      <w:pPr>
        <w:pStyle w:val="BodyText"/>
        <w:ind w:left="171"/>
      </w:pPr>
      <w:r>
        <w:rPr/>
        <w:t>为治疗因酒精中毒引起的急性坏死性胰腺炎的开腹手术不在保障范围内。</w:t>
      </w:r>
    </w:p>
    <w:p>
      <w:pPr>
        <w:spacing w:after="0"/>
        <w:sectPr>
          <w:type w:val="continuous"/>
          <w:pgSz w:w="11900" w:h="16840"/>
          <w:pgMar w:top="1220" w:bottom="280" w:left="1680" w:right="1100"/>
          <w:cols w:num="2" w:equalWidth="0">
            <w:col w:w="2057" w:space="40"/>
            <w:col w:w="7023"/>
          </w:cols>
        </w:sectPr>
      </w:pP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6"/>
        </w:numPr>
        <w:tabs>
          <w:tab w:pos="884" w:val="left" w:leader="none"/>
        </w:tabs>
        <w:spacing w:line="225" w:lineRule="auto" w:before="63" w:after="0"/>
        <w:ind w:left="590" w:right="0" w:hanging="2"/>
        <w:jc w:val="left"/>
        <w:rPr>
          <w:sz w:val="21"/>
        </w:rPr>
      </w:pPr>
      <w:r>
        <w:rPr>
          <w:spacing w:val="20"/>
          <w:sz w:val="21"/>
        </w:rPr>
        <w:t>慢性复发性胰腺炎</w:t>
      </w:r>
    </w:p>
    <w:p>
      <w:pPr>
        <w:pStyle w:val="BodyText"/>
        <w:spacing w:line="230" w:lineRule="auto" w:before="54"/>
        <w:ind w:left="173" w:right="101"/>
        <w:jc w:val="both"/>
      </w:pPr>
      <w:r>
        <w:rPr/>
        <w:br w:type="column"/>
      </w:r>
      <w:r>
        <w:rPr>
          <w:spacing w:val="-3"/>
        </w:rPr>
        <w:t>指有腹痛等典型症状的胰腺炎反复发作，导致胰腺进行性破坏，并导致胰</w:t>
      </w:r>
      <w:r>
        <w:rPr>
          <w:spacing w:val="-8"/>
        </w:rPr>
        <w:t>腺功能紊乱而导致严重糖尿病以及营养不良、恶液质。</w:t>
      </w:r>
      <w:r>
        <w:rPr>
          <w:rFonts w:ascii="Times New Roman" w:eastAsia="Times New Roman"/>
        </w:rPr>
        <w:t>CT </w:t>
      </w:r>
      <w:r>
        <w:rPr>
          <w:spacing w:val="-3"/>
        </w:rPr>
        <w:t>检查证实胰腺存</w:t>
      </w:r>
      <w:r>
        <w:rPr>
          <w:spacing w:val="-4"/>
        </w:rPr>
        <w:t>在广泛钙化，且必须接受酶替代以及胰岛素替代治疗 </w:t>
      </w:r>
      <w:r>
        <w:rPr>
          <w:rFonts w:ascii="Times New Roman" w:eastAsia="Times New Roman"/>
        </w:rPr>
        <w:t>6 </w:t>
      </w:r>
      <w:r>
        <w:rPr>
          <w:spacing w:val="-3"/>
        </w:rPr>
        <w:t>个月以上。诊断必须由消化科专科医生确诊。</w:t>
      </w:r>
    </w:p>
    <w:p>
      <w:pPr>
        <w:pStyle w:val="BodyText"/>
        <w:spacing w:before="11"/>
      </w:pPr>
    </w:p>
    <w:p>
      <w:pPr>
        <w:pStyle w:val="BodyText"/>
        <w:ind w:left="173"/>
        <w:jc w:val="both"/>
      </w:pPr>
      <w:r>
        <w:rPr/>
        <w:t>酒精导致的慢性复发性胰腺炎不在保障范围内。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1"/>
        <w:rPr>
          <w:sz w:val="17"/>
        </w:rPr>
      </w:pPr>
    </w:p>
    <w:p>
      <w:pPr>
        <w:pStyle w:val="BodyText"/>
        <w:spacing w:line="230" w:lineRule="auto" w:before="57"/>
        <w:ind w:left="2267" w:right="103" w:hanging="1680"/>
        <w:jc w:val="both"/>
      </w:pPr>
      <w:r>
        <w:rPr>
          <w:rFonts w:ascii="Times New Roman" w:eastAsia="Times New Roman"/>
          <w:b/>
        </w:rPr>
        <w:t>48.</w:t>
      </w:r>
      <w:r>
        <w:rPr>
          <w:spacing w:val="-3"/>
        </w:rPr>
        <w:t>疯牛病      一种由动物传染而来的中枢神经系统变性性疾病，大脑呈海绵状改变伴神经元缺失和胶质化。临床表现为进行性痴呆、不随意运动及抽搐、行动困难等。疯牛病必须由权威医疗机构根据致病蛋白的发现而明确诊断。</w:t>
      </w:r>
    </w:p>
    <w:p>
      <w:pPr>
        <w:pStyle w:val="BodyText"/>
        <w:spacing w:before="9"/>
      </w:pPr>
    </w:p>
    <w:p>
      <w:pPr>
        <w:pStyle w:val="BodyText"/>
        <w:ind w:left="2267"/>
      </w:pPr>
      <w:r>
        <w:rPr/>
        <w:t>疑似诊断不作为理赔依据。</w:t>
      </w: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7"/>
        </w:numPr>
        <w:tabs>
          <w:tab w:pos="884" w:val="left" w:leader="none"/>
        </w:tabs>
        <w:spacing w:line="225" w:lineRule="auto" w:before="63" w:after="0"/>
        <w:ind w:left="590" w:right="0" w:hanging="2"/>
        <w:jc w:val="left"/>
        <w:rPr>
          <w:sz w:val="21"/>
        </w:rPr>
      </w:pPr>
      <w:r>
        <w:rPr>
          <w:spacing w:val="20"/>
          <w:sz w:val="21"/>
        </w:rPr>
        <w:t>肾髓质囊性病</w:t>
      </w:r>
    </w:p>
    <w:p>
      <w:pPr>
        <w:pStyle w:val="BodyText"/>
        <w:spacing w:line="274" w:lineRule="exact" w:before="43"/>
        <w:ind w:left="173"/>
      </w:pPr>
      <w:r>
        <w:rPr/>
        <w:br w:type="column"/>
      </w:r>
      <w:r>
        <w:rPr/>
        <w:t>肾髓质囊性病的诊断须同时符合下列要求：</w:t>
      </w:r>
    </w:p>
    <w:p>
      <w:pPr>
        <w:pStyle w:val="BodyText"/>
        <w:spacing w:line="282" w:lineRule="exact"/>
        <w:ind w:left="173"/>
      </w:pPr>
      <w:r>
        <w:rPr/>
        <w:t>（</w:t>
      </w:r>
      <w:r>
        <w:rPr>
          <w:rFonts w:ascii="Times New Roman" w:eastAsia="Times New Roman"/>
        </w:rPr>
        <w:t>1</w:t>
      </w:r>
      <w:r>
        <w:rPr/>
        <w:t>）肾髓质有囊肿、肾小管萎缩及间质纤维化等病理改变；</w:t>
      </w:r>
    </w:p>
    <w:p>
      <w:pPr>
        <w:pStyle w:val="BodyText"/>
        <w:spacing w:line="274" w:lineRule="exact"/>
        <w:ind w:left="173"/>
      </w:pPr>
      <w:r>
        <w:rPr/>
        <w:t>（</w:t>
      </w:r>
      <w:r>
        <w:rPr>
          <w:rFonts w:ascii="Times New Roman" w:eastAsia="Times New Roman"/>
        </w:rPr>
        <w:t>2</w:t>
      </w:r>
      <w:r>
        <w:rPr/>
        <w:t>）肾功能衰竭；</w:t>
      </w:r>
    </w:p>
    <w:p>
      <w:pPr>
        <w:pStyle w:val="BodyText"/>
        <w:spacing w:line="282" w:lineRule="exact"/>
        <w:ind w:left="173"/>
      </w:pPr>
      <w:r>
        <w:rPr/>
        <w:t>（</w:t>
      </w:r>
      <w:r>
        <w:rPr>
          <w:rFonts w:ascii="Times New Roman" w:eastAsia="Times New Roman"/>
        </w:rPr>
        <w:t>3</w:t>
      </w:r>
      <w:r>
        <w:rPr/>
        <w:t>）诊断须由肾组织活检确定。</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9"/>
        <w:rPr>
          <w:sz w:val="16"/>
        </w:rPr>
      </w:pPr>
    </w:p>
    <w:p>
      <w:pPr>
        <w:spacing w:after="0"/>
        <w:rPr>
          <w:sz w:val="16"/>
        </w:rPr>
        <w:sectPr>
          <w:type w:val="continuous"/>
          <w:pgSz w:w="11900" w:h="16840"/>
          <w:pgMar w:top="1220" w:bottom="280" w:left="1680" w:right="1100"/>
        </w:sectPr>
      </w:pPr>
    </w:p>
    <w:p>
      <w:pPr>
        <w:pStyle w:val="ListParagraph"/>
        <w:numPr>
          <w:ilvl w:val="0"/>
          <w:numId w:val="17"/>
        </w:numPr>
        <w:tabs>
          <w:tab w:pos="884" w:val="left" w:leader="none"/>
        </w:tabs>
        <w:spacing w:line="225" w:lineRule="auto" w:before="63" w:after="0"/>
        <w:ind w:left="590" w:right="0" w:hanging="2"/>
        <w:jc w:val="left"/>
        <w:rPr>
          <w:sz w:val="21"/>
        </w:rPr>
      </w:pPr>
      <w:r>
        <w:rPr>
          <w:spacing w:val="20"/>
          <w:sz w:val="21"/>
        </w:rPr>
        <w:t>原发性硬化</w:t>
      </w:r>
      <w:r>
        <w:rPr>
          <w:spacing w:val="8"/>
          <w:sz w:val="21"/>
        </w:rPr>
        <w:t>性胆管炎</w:t>
      </w:r>
    </w:p>
    <w:p>
      <w:pPr>
        <w:pStyle w:val="BodyText"/>
        <w:spacing w:before="43"/>
        <w:ind w:left="173" w:right="103"/>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79" w:lineRule="exact"/>
        <w:ind w:left="173"/>
        <w:jc w:val="both"/>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line="274" w:lineRule="exact"/>
        <w:ind w:left="173"/>
        <w:jc w:val="both"/>
      </w:pPr>
      <w:r>
        <w:rPr/>
        <w:t>（</w:t>
      </w:r>
      <w:r>
        <w:rPr>
          <w:rFonts w:ascii="Times New Roman" w:eastAsia="Times New Roman"/>
        </w:rPr>
        <w:t>2</w:t>
      </w:r>
      <w:r>
        <w:rPr/>
        <w:t>）持续性黄疸病史；</w:t>
      </w:r>
    </w:p>
    <w:p>
      <w:pPr>
        <w:pStyle w:val="BodyText"/>
        <w:spacing w:line="282" w:lineRule="exact"/>
        <w:ind w:left="173"/>
        <w:jc w:val="both"/>
      </w:pPr>
      <w:r>
        <w:rPr/>
        <w:t>（</w:t>
      </w:r>
      <w:r>
        <w:rPr>
          <w:rFonts w:ascii="Times New Roman" w:eastAsia="Times New Roman"/>
        </w:rPr>
        <w:t>3</w:t>
      </w:r>
      <w:r>
        <w:rPr/>
        <w:t>）出现胆汁性肝硬化或门脉高压。</w:t>
      </w:r>
    </w:p>
    <w:p>
      <w:pPr>
        <w:pStyle w:val="BodyText"/>
        <w:rPr>
          <w:sz w:val="17"/>
        </w:rPr>
      </w:pPr>
    </w:p>
    <w:p>
      <w:pPr>
        <w:pStyle w:val="BodyText"/>
        <w:spacing w:before="1"/>
        <w:ind w:left="173"/>
        <w:jc w:val="both"/>
      </w:pPr>
      <w:r>
        <w:rPr/>
        <w:t>因肿瘤或胆管损伤等继发性的硬化性胆管炎不在保障范围内。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1"/>
        <w:rPr>
          <w:sz w:val="17"/>
        </w:rPr>
      </w:pPr>
    </w:p>
    <w:p>
      <w:pPr>
        <w:spacing w:after="0"/>
        <w:rPr>
          <w:sz w:val="17"/>
        </w:rPr>
        <w:sectPr>
          <w:type w:val="continuous"/>
          <w:pgSz w:w="11900" w:h="16840"/>
          <w:pgMar w:top="1220" w:bottom="280" w:left="1680" w:right="1100"/>
        </w:sectPr>
      </w:pPr>
    </w:p>
    <w:p>
      <w:pPr>
        <w:pStyle w:val="ListParagraph"/>
        <w:numPr>
          <w:ilvl w:val="0"/>
          <w:numId w:val="17"/>
        </w:numPr>
        <w:tabs>
          <w:tab w:pos="884" w:val="left" w:leader="none"/>
        </w:tabs>
        <w:spacing w:line="225" w:lineRule="auto" w:before="63" w:after="0"/>
        <w:ind w:left="590" w:right="0" w:hanging="2"/>
        <w:jc w:val="left"/>
        <w:rPr>
          <w:sz w:val="21"/>
        </w:rPr>
      </w:pPr>
      <w:r>
        <w:rPr>
          <w:spacing w:val="20"/>
          <w:sz w:val="21"/>
        </w:rPr>
        <w:t>重症手足口病</w:t>
      </w:r>
    </w:p>
    <w:p>
      <w:pPr>
        <w:pStyle w:val="BodyText"/>
        <w:spacing w:before="44"/>
        <w:ind w:left="173" w:right="103"/>
      </w:pPr>
      <w:r>
        <w:rPr/>
        <w:br w:type="column"/>
      </w:r>
      <w:r>
        <w:rPr/>
        <w:t>是由肠道病毒引起的急性传染病，主要症状表现为手、足、口腔等部位的斑丘疹、疱疹。重症手足口病必须符合下列全部条件：</w:t>
      </w:r>
    </w:p>
    <w:p>
      <w:pPr>
        <w:pStyle w:val="BodyText"/>
        <w:spacing w:line="281" w:lineRule="exact"/>
        <w:ind w:left="173"/>
      </w:pPr>
      <w:r>
        <w:rPr/>
        <w:t>（</w:t>
      </w:r>
      <w:r>
        <w:rPr>
          <w:rFonts w:ascii="Times New Roman" w:eastAsia="Times New Roman"/>
        </w:rPr>
        <w:t>1</w:t>
      </w:r>
      <w:r>
        <w:rPr/>
        <w:t>）经专科医生诊断为手足口病；</w:t>
      </w:r>
    </w:p>
    <w:p>
      <w:pPr>
        <w:pStyle w:val="BodyText"/>
        <w:spacing w:line="223" w:lineRule="auto" w:before="11"/>
        <w:ind w:left="173" w:right="101"/>
      </w:pPr>
      <w:r>
        <w:rPr>
          <w:spacing w:val="-6"/>
        </w:rPr>
        <w:t>（</w:t>
      </w:r>
      <w:r>
        <w:rPr>
          <w:rFonts w:ascii="Times New Roman" w:eastAsia="Times New Roman"/>
          <w:spacing w:val="-6"/>
        </w:rPr>
        <w:t>2</w:t>
      </w:r>
      <w:r>
        <w:rPr>
          <w:spacing w:val="-6"/>
        </w:rPr>
        <w:t>）</w:t>
      </w:r>
      <w:r>
        <w:rPr>
          <w:spacing w:val="-8"/>
        </w:rPr>
        <w:t>伴有所列危重并发症之一：脑膜炎、脑炎、脑脊髓炎、肺水肿或心肌炎；</w:t>
      </w:r>
    </w:p>
    <w:p>
      <w:pPr>
        <w:pStyle w:val="BodyText"/>
        <w:spacing w:line="289" w:lineRule="exact"/>
        <w:ind w:left="173"/>
      </w:pPr>
      <w:r>
        <w:rPr/>
        <w:t>（</w:t>
      </w:r>
      <w:r>
        <w:rPr>
          <w:rFonts w:ascii="Times New Roman" w:eastAsia="Times New Roman"/>
        </w:rPr>
        <w:t>3</w:t>
      </w:r>
      <w:r>
        <w:rPr/>
        <w:t>）接受了住院治疗。</w:t>
      </w:r>
    </w:p>
    <w:p>
      <w:pPr>
        <w:spacing w:after="0" w:line="289" w:lineRule="exact"/>
        <w:sectPr>
          <w:type w:val="continuous"/>
          <w:pgSz w:w="11900" w:h="16840"/>
          <w:pgMar w:top="1220" w:bottom="280" w:left="1680" w:right="1100"/>
          <w:cols w:num="2" w:equalWidth="0">
            <w:col w:w="2055" w:space="40"/>
            <w:col w:w="7025"/>
          </w:cols>
        </w:sectPr>
      </w:pPr>
    </w:p>
    <w:p>
      <w:pPr>
        <w:pStyle w:val="BodyText"/>
        <w:spacing w:before="12"/>
        <w:rPr>
          <w:sz w:val="16"/>
        </w:rPr>
      </w:pPr>
    </w:p>
    <w:p>
      <w:pPr>
        <w:spacing w:after="0"/>
        <w:rPr>
          <w:sz w:val="16"/>
        </w:rPr>
        <w:sectPr>
          <w:type w:val="continuous"/>
          <w:pgSz w:w="11900" w:h="16840"/>
          <w:pgMar w:top="1220" w:bottom="280" w:left="1680" w:right="1100"/>
        </w:sectPr>
      </w:pPr>
    </w:p>
    <w:p>
      <w:pPr>
        <w:pStyle w:val="ListParagraph"/>
        <w:numPr>
          <w:ilvl w:val="0"/>
          <w:numId w:val="17"/>
        </w:numPr>
        <w:tabs>
          <w:tab w:pos="884" w:val="left" w:leader="none"/>
        </w:tabs>
        <w:spacing w:line="223" w:lineRule="auto" w:before="65" w:after="0"/>
        <w:ind w:left="590" w:right="0" w:hanging="2"/>
        <w:jc w:val="left"/>
        <w:rPr>
          <w:sz w:val="21"/>
        </w:rPr>
      </w:pPr>
      <w:r>
        <w:rPr>
          <w:spacing w:val="20"/>
          <w:sz w:val="21"/>
        </w:rPr>
        <w:t>重症骨髓增</w:t>
      </w:r>
      <w:r>
        <w:rPr>
          <w:spacing w:val="5"/>
          <w:sz w:val="21"/>
        </w:rPr>
        <w:t>生异常综合征</w:t>
      </w:r>
    </w:p>
    <w:p>
      <w:pPr>
        <w:pStyle w:val="BodyText"/>
        <w:spacing w:line="237" w:lineRule="auto" w:before="45"/>
        <w:ind w:left="173" w:right="103"/>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明确诊断为骨髓增生异常综合征， 并且满足以下所有条件：</w:t>
      </w:r>
    </w:p>
    <w:p>
      <w:pPr>
        <w:pStyle w:val="BodyText"/>
        <w:spacing w:line="289" w:lineRule="exact"/>
        <w:ind w:left="173"/>
        <w:jc w:val="both"/>
      </w:pPr>
      <w:r>
        <w:rPr/>
        <w:t>（</w:t>
      </w:r>
      <w:r>
        <w:rPr>
          <w:rFonts w:ascii="Times New Roman" w:eastAsia="Times New Roman"/>
        </w:rPr>
        <w:t>1</w:t>
      </w:r>
      <w:r>
        <w:rPr/>
        <w:t>）</w:t>
      </w:r>
      <w:r>
        <w:rPr>
          <w:rFonts w:ascii="Times New Roman" w:eastAsia="Times New Roman"/>
        </w:rPr>
        <w:t>FAB </w:t>
      </w:r>
      <w:r>
        <w:rPr/>
        <w:t>分类为难治性贫血伴原始细胞增多</w:t>
      </w:r>
      <w:r>
        <w:rPr>
          <w:rFonts w:ascii="Times New Roman" w:eastAsia="Times New Roman"/>
        </w:rPr>
        <w:t>(RAEB)</w:t>
      </w:r>
      <w:r>
        <w:rPr/>
        <w:t>；</w:t>
      </w:r>
    </w:p>
    <w:p>
      <w:pPr>
        <w:spacing w:after="0" w:line="289" w:lineRule="exact"/>
        <w:jc w:val="both"/>
        <w:sectPr>
          <w:type w:val="continuous"/>
          <w:pgSz w:w="11900" w:h="16840"/>
          <w:pgMar w:top="1220" w:bottom="280" w:left="1680" w:right="1100"/>
          <w:cols w:num="2" w:equalWidth="0">
            <w:col w:w="2055" w:space="40"/>
            <w:col w:w="7025"/>
          </w:cols>
        </w:sectPr>
      </w:pPr>
    </w:p>
    <w:p>
      <w:pPr>
        <w:pStyle w:val="BodyText"/>
        <w:spacing w:line="223" w:lineRule="auto" w:before="47"/>
        <w:ind w:left="2267" w:right="115"/>
      </w:pPr>
      <w:r>
        <w:rPr>
          <w:spacing w:val="-15"/>
        </w:rPr>
        <w:t>（</w:t>
      </w:r>
      <w:r>
        <w:rPr>
          <w:rFonts w:ascii="Times New Roman" w:hAnsi="Times New Roman" w:eastAsia="Times New Roman"/>
          <w:spacing w:val="-15"/>
        </w:rPr>
        <w:t>2</w:t>
      </w:r>
      <w:r>
        <w:rPr>
          <w:spacing w:val="-15"/>
        </w:rPr>
        <w:t>）</w:t>
      </w:r>
      <w:r>
        <w:rPr>
          <w:spacing w:val="-8"/>
        </w:rPr>
        <w:t>根据“骨髓增生异常综合征修订国际预后积分系统</w:t>
      </w:r>
      <w:r>
        <w:rPr>
          <w:rFonts w:ascii="Times New Roman" w:hAnsi="Times New Roman" w:eastAsia="Times New Roman"/>
          <w:spacing w:val="-7"/>
        </w:rPr>
        <w:t>(IPSS-R)</w:t>
      </w:r>
      <w:r>
        <w:rPr>
          <w:spacing w:val="-3"/>
        </w:rPr>
        <w:t>”积分</w:t>
      </w:r>
      <w:r>
        <w:rPr>
          <w:rFonts w:ascii="Times New Roman" w:hAnsi="Times New Roman" w:eastAsia="Times New Roman"/>
        </w:rPr>
        <w:t>≥3</w:t>
      </w:r>
      <w:r>
        <w:rPr/>
        <w:t>， </w:t>
      </w:r>
      <w:r>
        <w:rPr>
          <w:spacing w:val="-3"/>
        </w:rPr>
        <w:t>属于中危及以上组。</w:t>
      </w:r>
    </w:p>
    <w:p>
      <w:pPr>
        <w:pStyle w:val="BodyText"/>
        <w:spacing w:before="1"/>
        <w:rPr>
          <w:sz w:val="18"/>
        </w:rPr>
      </w:pPr>
    </w:p>
    <w:p>
      <w:pPr>
        <w:spacing w:after="0"/>
        <w:rPr>
          <w:sz w:val="18"/>
        </w:rPr>
        <w:sectPr>
          <w:pgSz w:w="11900" w:h="16840"/>
          <w:pgMar w:top="1240" w:bottom="280" w:left="1680" w:right="980"/>
        </w:sectPr>
      </w:pPr>
    </w:p>
    <w:p>
      <w:pPr>
        <w:pStyle w:val="ListParagraph"/>
        <w:numPr>
          <w:ilvl w:val="0"/>
          <w:numId w:val="17"/>
        </w:numPr>
        <w:tabs>
          <w:tab w:pos="884" w:val="left" w:leader="none"/>
        </w:tabs>
        <w:spacing w:line="225" w:lineRule="auto" w:before="63" w:after="0"/>
        <w:ind w:left="590" w:right="0" w:hanging="2"/>
        <w:jc w:val="left"/>
        <w:rPr>
          <w:sz w:val="21"/>
        </w:rPr>
      </w:pPr>
      <w:r>
        <w:rPr>
          <w:spacing w:val="20"/>
          <w:sz w:val="21"/>
        </w:rPr>
        <w:t>严重肠道疾</w:t>
      </w:r>
      <w:r>
        <w:rPr>
          <w:spacing w:val="8"/>
          <w:sz w:val="21"/>
        </w:rPr>
        <w:t>病并发症</w:t>
      </w:r>
    </w:p>
    <w:p>
      <w:pPr>
        <w:pStyle w:val="BodyText"/>
        <w:spacing w:line="274" w:lineRule="exact" w:before="43"/>
        <w:ind w:left="173"/>
      </w:pPr>
      <w:r>
        <w:rPr/>
        <w:br w:type="column"/>
      </w:r>
      <w:r>
        <w:rPr/>
        <w:t>严重肠道疾病或外伤导致小肠损害并发症，须满足以下所有条件：</w:t>
      </w:r>
    </w:p>
    <w:p>
      <w:pPr>
        <w:pStyle w:val="BodyText"/>
        <w:spacing w:line="280" w:lineRule="exact"/>
        <w:ind w:left="173"/>
      </w:pPr>
      <w:r>
        <w:rPr/>
        <w:t>（</w:t>
      </w:r>
      <w:r>
        <w:rPr>
          <w:rFonts w:ascii="Times New Roman" w:eastAsia="Times New Roman"/>
        </w:rPr>
        <w:t>1</w:t>
      </w:r>
      <w:r>
        <w:rPr/>
        <w:t>）至少切除了三分之二小肠；</w:t>
      </w:r>
    </w:p>
    <w:p>
      <w:pPr>
        <w:pStyle w:val="BodyText"/>
        <w:spacing w:line="281" w:lineRule="exact"/>
        <w:ind w:left="173"/>
      </w:pPr>
      <w:r>
        <w:rPr/>
        <w:t>（</w:t>
      </w:r>
      <w:r>
        <w:rPr>
          <w:rFonts w:ascii="Times New Roman" w:eastAsia="Times New Roman"/>
        </w:rPr>
        <w:t>2</w:t>
      </w:r>
      <w:r>
        <w:rPr/>
        <w:t>）完全场外营养支持三个月以上。</w:t>
      </w:r>
    </w:p>
    <w:p>
      <w:pPr>
        <w:spacing w:after="0" w:line="281" w:lineRule="exact"/>
        <w:sectPr>
          <w:type w:val="continuous"/>
          <w:pgSz w:w="11900" w:h="16840"/>
          <w:pgMar w:top="1220" w:bottom="280" w:left="1680" w:right="980"/>
          <w:cols w:num="2" w:equalWidth="0">
            <w:col w:w="2055" w:space="40"/>
            <w:col w:w="7145"/>
          </w:cols>
        </w:sectPr>
      </w:pPr>
    </w:p>
    <w:p>
      <w:pPr>
        <w:pStyle w:val="BodyText"/>
        <w:spacing w:before="11"/>
        <w:rPr>
          <w:sz w:val="16"/>
        </w:rPr>
      </w:pPr>
    </w:p>
    <w:p>
      <w:pPr>
        <w:spacing w:after="0"/>
        <w:rPr>
          <w:sz w:val="16"/>
        </w:rPr>
        <w:sectPr>
          <w:type w:val="continuous"/>
          <w:pgSz w:w="11900" w:h="16840"/>
          <w:pgMar w:top="1220" w:bottom="280" w:left="1680" w:right="980"/>
        </w:sectPr>
      </w:pPr>
    </w:p>
    <w:p>
      <w:pPr>
        <w:pStyle w:val="ListParagraph"/>
        <w:numPr>
          <w:ilvl w:val="0"/>
          <w:numId w:val="17"/>
        </w:numPr>
        <w:tabs>
          <w:tab w:pos="884" w:val="left" w:leader="none"/>
        </w:tabs>
        <w:spacing w:line="223" w:lineRule="auto" w:before="66" w:after="0"/>
        <w:ind w:left="590" w:right="0" w:hanging="2"/>
        <w:jc w:val="left"/>
        <w:rPr>
          <w:sz w:val="21"/>
        </w:rPr>
      </w:pPr>
      <w:r>
        <w:rPr>
          <w:spacing w:val="20"/>
          <w:sz w:val="21"/>
        </w:rPr>
        <w:t>严重瑞氏综合征</w:t>
      </w:r>
    </w:p>
    <w:p>
      <w:pPr>
        <w:pStyle w:val="BodyText"/>
        <w:spacing w:line="237" w:lineRule="auto" w:before="46"/>
        <w:ind w:left="173" w:right="223"/>
        <w:jc w:val="both"/>
      </w:pPr>
      <w:r>
        <w:rPr/>
        <w:br w:type="column"/>
      </w: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line="280" w:lineRule="exact"/>
        <w:ind w:left="173"/>
        <w:jc w:val="both"/>
      </w:pPr>
      <w:r>
        <w:rPr/>
        <w:t>（</w:t>
      </w:r>
      <w:r>
        <w:rPr>
          <w:rFonts w:ascii="Times New Roman" w:eastAsia="Times New Roman"/>
        </w:rPr>
        <w:t>1</w:t>
      </w:r>
      <w:r>
        <w:rPr/>
        <w:t>）有脑水肿和颅内压升高的脑脊液检查和影像学检查证据；</w:t>
      </w:r>
    </w:p>
    <w:p>
      <w:pPr>
        <w:pStyle w:val="BodyText"/>
        <w:spacing w:line="272" w:lineRule="exact"/>
        <w:ind w:left="173"/>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2" w:lineRule="exact"/>
        <w:ind w:left="173"/>
        <w:jc w:val="both"/>
      </w:pPr>
      <w:r>
        <w:rPr/>
        <w:t>（</w:t>
      </w:r>
      <w:r>
        <w:rPr>
          <w:rFonts w:ascii="Times New Roman" w:eastAsia="Times New Roman"/>
        </w:rPr>
        <w:t>3</w:t>
      </w:r>
      <w:r>
        <w:rPr/>
        <w:t>）临床出现昏迷，病程至少达到疾病分期第 </w:t>
      </w:r>
      <w:r>
        <w:rPr>
          <w:rFonts w:ascii="Times New Roman" w:eastAsia="Times New Roman"/>
        </w:rPr>
        <w:t>3 </w:t>
      </w:r>
      <w:r>
        <w:rPr/>
        <w:t>期。</w:t>
      </w:r>
    </w:p>
    <w:p>
      <w:pPr>
        <w:spacing w:after="0" w:line="282" w:lineRule="exact"/>
        <w:jc w:val="both"/>
        <w:sectPr>
          <w:type w:val="continuous"/>
          <w:pgSz w:w="11900" w:h="16840"/>
          <w:pgMar w:top="1220" w:bottom="280" w:left="1680" w:right="980"/>
          <w:cols w:num="2" w:equalWidth="0">
            <w:col w:w="2055" w:space="40"/>
            <w:col w:w="7145"/>
          </w:cols>
        </w:sectPr>
      </w:pPr>
    </w:p>
    <w:p>
      <w:pPr>
        <w:pStyle w:val="BodyText"/>
        <w:spacing w:before="11"/>
        <w:rPr>
          <w:sz w:val="16"/>
        </w:rPr>
      </w:pPr>
    </w:p>
    <w:p>
      <w:pPr>
        <w:spacing w:after="0"/>
        <w:rPr>
          <w:sz w:val="16"/>
        </w:rPr>
        <w:sectPr>
          <w:type w:val="continuous"/>
          <w:pgSz w:w="11900" w:h="16840"/>
          <w:pgMar w:top="1220" w:bottom="280" w:left="1680" w:right="980"/>
        </w:sectPr>
      </w:pPr>
    </w:p>
    <w:p>
      <w:pPr>
        <w:pStyle w:val="ListParagraph"/>
        <w:numPr>
          <w:ilvl w:val="0"/>
          <w:numId w:val="17"/>
        </w:numPr>
        <w:tabs>
          <w:tab w:pos="884" w:val="left" w:leader="none"/>
        </w:tabs>
        <w:spacing w:line="223" w:lineRule="auto" w:before="66" w:after="0"/>
        <w:ind w:left="590" w:right="0" w:hanging="2"/>
        <w:jc w:val="left"/>
        <w:rPr>
          <w:sz w:val="21"/>
        </w:rPr>
      </w:pPr>
      <w:r>
        <w:rPr>
          <w:spacing w:val="20"/>
          <w:sz w:val="21"/>
        </w:rPr>
        <w:t>婴儿进行性</w:t>
      </w:r>
      <w:r>
        <w:rPr>
          <w:spacing w:val="6"/>
          <w:sz w:val="21"/>
        </w:rPr>
        <w:t>脊肌萎缩症</w:t>
      </w:r>
    </w:p>
    <w:p>
      <w:pPr>
        <w:pStyle w:val="BodyText"/>
        <w:spacing w:line="237" w:lineRule="auto" w:before="46"/>
        <w:ind w:left="173" w:right="223"/>
        <w:jc w:val="both"/>
      </w:pPr>
      <w:r>
        <w:rPr/>
        <w:br w:type="column"/>
      </w:r>
      <w:r>
        <w:rPr/>
        <w:t>该病是累及脊髓前角细胞及延髓运动核的神经元退行性变性病。在出生后两年内出现的脊髓和脑干颅神经前角细胞进行性机能障碍，伴随肌肉无力和延髓机能障碍。</w:t>
      </w:r>
    </w:p>
    <w:p>
      <w:pPr>
        <w:pStyle w:val="BodyText"/>
        <w:spacing w:line="244" w:lineRule="auto" w:before="10"/>
        <w:ind w:left="173" w:right="257"/>
        <w:jc w:val="both"/>
      </w:pPr>
      <w:r>
        <w:rPr>
          <w:spacing w:val="-4"/>
        </w:rPr>
        <w:t>该病必须经由神经科医师通过肌肉活检而确诊。理赔时必须提供肌肉活检</w:t>
      </w:r>
      <w:r>
        <w:rPr>
          <w:spacing w:val="-3"/>
        </w:rPr>
        <w:t>的病理报告。</w:t>
      </w:r>
    </w:p>
    <w:p>
      <w:pPr>
        <w:pStyle w:val="BodyText"/>
        <w:spacing w:before="4"/>
      </w:pPr>
    </w:p>
    <w:p>
      <w:pPr>
        <w:pStyle w:val="BodyText"/>
        <w:spacing w:line="244" w:lineRule="auto"/>
        <w:ind w:left="173" w:right="254"/>
        <w:jc w:val="both"/>
      </w:pPr>
      <w:r>
        <w:rPr>
          <w:spacing w:val="-5"/>
        </w:rPr>
        <w:t>其它类型的脊肌萎缩症如Ⅱ型中间型进行性脊肌萎缩症，Ⅲ型少年型脊肌</w:t>
      </w:r>
      <w:r>
        <w:rPr>
          <w:spacing w:val="-4"/>
        </w:rPr>
        <w:t>萎缩症(</w:t>
      </w:r>
      <w:r>
        <w:rPr>
          <w:rFonts w:ascii="Times New Roman" w:hAnsi="Times New Roman" w:eastAsia="Times New Roman"/>
        </w:rPr>
        <w:t>Kugelberg-Welander </w:t>
      </w:r>
      <w:r>
        <w:rPr>
          <w:spacing w:val="-3"/>
        </w:rPr>
        <w:t>氏病)不在保障范围之内。</w:t>
      </w:r>
    </w:p>
    <w:sectPr>
      <w:type w:val="continuous"/>
      <w:pgSz w:w="11900" w:h="16840"/>
      <w:pgMar w:top="1220" w:bottom="280" w:left="1680" w:right="980"/>
      <w:cols w:num="2" w:equalWidth="0">
        <w:col w:w="2055" w:space="40"/>
        <w:col w:w="714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9"/>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5">
    <w:multiLevelType w:val="hybridMultilevel"/>
    <w:lvl w:ilvl="0">
      <w:start w:val="4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1" w:hanging="296"/>
      </w:pPr>
      <w:rPr>
        <w:rFonts w:hint="default"/>
      </w:rPr>
    </w:lvl>
    <w:lvl w:ilvl="3">
      <w:start w:val="0"/>
      <w:numFmt w:val="bullet"/>
      <w:lvlText w:val="•"/>
      <w:lvlJc w:val="left"/>
      <w:pPr>
        <w:ind w:left="1037" w:hanging="296"/>
      </w:pPr>
      <w:rPr>
        <w:rFonts w:hint="default"/>
      </w:rPr>
    </w:lvl>
    <w:lvl w:ilvl="4">
      <w:start w:val="0"/>
      <w:numFmt w:val="bullet"/>
      <w:lvlText w:val="•"/>
      <w:lvlJc w:val="left"/>
      <w:pPr>
        <w:ind w:left="1182" w:hanging="296"/>
      </w:pPr>
      <w:rPr>
        <w:rFonts w:hint="default"/>
      </w:rPr>
    </w:lvl>
    <w:lvl w:ilvl="5">
      <w:start w:val="0"/>
      <w:numFmt w:val="bullet"/>
      <w:lvlText w:val="•"/>
      <w:lvlJc w:val="left"/>
      <w:pPr>
        <w:ind w:left="1328" w:hanging="296"/>
      </w:pPr>
      <w:rPr>
        <w:rFonts w:hint="default"/>
      </w:rPr>
    </w:lvl>
    <w:lvl w:ilvl="6">
      <w:start w:val="0"/>
      <w:numFmt w:val="bullet"/>
      <w:lvlText w:val="•"/>
      <w:lvlJc w:val="left"/>
      <w:pPr>
        <w:ind w:left="1474" w:hanging="296"/>
      </w:pPr>
      <w:rPr>
        <w:rFonts w:hint="default"/>
      </w:rPr>
    </w:lvl>
    <w:lvl w:ilvl="7">
      <w:start w:val="0"/>
      <w:numFmt w:val="bullet"/>
      <w:lvlText w:val="•"/>
      <w:lvlJc w:val="left"/>
      <w:pPr>
        <w:ind w:left="1619" w:hanging="296"/>
      </w:pPr>
      <w:rPr>
        <w:rFonts w:hint="default"/>
      </w:rPr>
    </w:lvl>
    <w:lvl w:ilvl="8">
      <w:start w:val="0"/>
      <w:numFmt w:val="bullet"/>
      <w:lvlText w:val="•"/>
      <w:lvlJc w:val="left"/>
      <w:pPr>
        <w:ind w:left="1765" w:hanging="296"/>
      </w:pPr>
      <w:rPr>
        <w:rFonts w:hint="default"/>
      </w:rPr>
    </w:lvl>
  </w:abstractNum>
  <w:abstractNum w:abstractNumId="14">
    <w:multiLevelType w:val="hybridMultilevel"/>
    <w:lvl w:ilvl="0">
      <w:start w:val="43"/>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3">
    <w:multiLevelType w:val="hybridMultilevel"/>
    <w:lvl w:ilvl="0">
      <w:start w:val="4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2">
    <w:multiLevelType w:val="hybridMultilevel"/>
    <w:lvl w:ilvl="0">
      <w:start w:val="32"/>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1" w:hanging="296"/>
      </w:pPr>
      <w:rPr>
        <w:rFonts w:hint="default"/>
      </w:rPr>
    </w:lvl>
    <w:lvl w:ilvl="3">
      <w:start w:val="0"/>
      <w:numFmt w:val="bullet"/>
      <w:lvlText w:val="•"/>
      <w:lvlJc w:val="left"/>
      <w:pPr>
        <w:ind w:left="1037" w:hanging="296"/>
      </w:pPr>
      <w:rPr>
        <w:rFonts w:hint="default"/>
      </w:rPr>
    </w:lvl>
    <w:lvl w:ilvl="4">
      <w:start w:val="0"/>
      <w:numFmt w:val="bullet"/>
      <w:lvlText w:val="•"/>
      <w:lvlJc w:val="left"/>
      <w:pPr>
        <w:ind w:left="1182" w:hanging="296"/>
      </w:pPr>
      <w:rPr>
        <w:rFonts w:hint="default"/>
      </w:rPr>
    </w:lvl>
    <w:lvl w:ilvl="5">
      <w:start w:val="0"/>
      <w:numFmt w:val="bullet"/>
      <w:lvlText w:val="•"/>
      <w:lvlJc w:val="left"/>
      <w:pPr>
        <w:ind w:left="1328" w:hanging="296"/>
      </w:pPr>
      <w:rPr>
        <w:rFonts w:hint="default"/>
      </w:rPr>
    </w:lvl>
    <w:lvl w:ilvl="6">
      <w:start w:val="0"/>
      <w:numFmt w:val="bullet"/>
      <w:lvlText w:val="•"/>
      <w:lvlJc w:val="left"/>
      <w:pPr>
        <w:ind w:left="1474" w:hanging="296"/>
      </w:pPr>
      <w:rPr>
        <w:rFonts w:hint="default"/>
      </w:rPr>
    </w:lvl>
    <w:lvl w:ilvl="7">
      <w:start w:val="0"/>
      <w:numFmt w:val="bullet"/>
      <w:lvlText w:val="•"/>
      <w:lvlJc w:val="left"/>
      <w:pPr>
        <w:ind w:left="1619" w:hanging="296"/>
      </w:pPr>
      <w:rPr>
        <w:rFonts w:hint="default"/>
      </w:rPr>
    </w:lvl>
    <w:lvl w:ilvl="8">
      <w:start w:val="0"/>
      <w:numFmt w:val="bullet"/>
      <w:lvlText w:val="•"/>
      <w:lvlJc w:val="left"/>
      <w:pPr>
        <w:ind w:left="1765" w:hanging="296"/>
      </w:pPr>
      <w:rPr>
        <w:rFonts w:hint="default"/>
      </w:rPr>
    </w:lvl>
  </w:abstractNum>
  <w:abstractNum w:abstractNumId="11">
    <w:multiLevelType w:val="hybridMultilevel"/>
    <w:lvl w:ilvl="0">
      <w:start w:val="2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0">
    <w:multiLevelType w:val="hybridMultilevel"/>
    <w:lvl w:ilvl="0">
      <w:start w:val="19"/>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9">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7">
    <w:multiLevelType w:val="hybridMultilevel"/>
    <w:lvl w:ilvl="0">
      <w:start w:val="8"/>
      <w:numFmt w:val="decimal"/>
      <w:lvlText w:val="%1"/>
      <w:lvlJc w:val="left"/>
      <w:pPr>
        <w:ind w:left="2368" w:hanging="480"/>
        <w:jc w:val="left"/>
      </w:pPr>
      <w:rPr>
        <w:rFonts w:hint="default"/>
      </w:rPr>
    </w:lvl>
    <w:lvl w:ilvl="1">
      <w:start w:val="5"/>
      <w:numFmt w:val="decimal"/>
      <w:lvlText w:val="%1.%2"/>
      <w:lvlJc w:val="left"/>
      <w:pPr>
        <w:ind w:left="2368" w:hanging="480"/>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756" w:hanging="480"/>
      </w:pPr>
      <w:rPr>
        <w:rFonts w:hint="default"/>
      </w:rPr>
    </w:lvl>
    <w:lvl w:ilvl="3">
      <w:start w:val="0"/>
      <w:numFmt w:val="bullet"/>
      <w:lvlText w:val="•"/>
      <w:lvlJc w:val="left"/>
      <w:pPr>
        <w:ind w:left="4454" w:hanging="480"/>
      </w:pPr>
      <w:rPr>
        <w:rFonts w:hint="default"/>
      </w:rPr>
    </w:lvl>
    <w:lvl w:ilvl="4">
      <w:start w:val="0"/>
      <w:numFmt w:val="bullet"/>
      <w:lvlText w:val="•"/>
      <w:lvlJc w:val="left"/>
      <w:pPr>
        <w:ind w:left="5152" w:hanging="480"/>
      </w:pPr>
      <w:rPr>
        <w:rFonts w:hint="default"/>
      </w:rPr>
    </w:lvl>
    <w:lvl w:ilvl="5">
      <w:start w:val="0"/>
      <w:numFmt w:val="bullet"/>
      <w:lvlText w:val="•"/>
      <w:lvlJc w:val="left"/>
      <w:pPr>
        <w:ind w:left="5850" w:hanging="480"/>
      </w:pPr>
      <w:rPr>
        <w:rFonts w:hint="default"/>
      </w:rPr>
    </w:lvl>
    <w:lvl w:ilvl="6">
      <w:start w:val="0"/>
      <w:numFmt w:val="bullet"/>
      <w:lvlText w:val="•"/>
      <w:lvlJc w:val="left"/>
      <w:pPr>
        <w:ind w:left="6548" w:hanging="480"/>
      </w:pPr>
      <w:rPr>
        <w:rFonts w:hint="default"/>
      </w:rPr>
    </w:lvl>
    <w:lvl w:ilvl="7">
      <w:start w:val="0"/>
      <w:numFmt w:val="bullet"/>
      <w:lvlText w:val="•"/>
      <w:lvlJc w:val="left"/>
      <w:pPr>
        <w:ind w:left="7246" w:hanging="480"/>
      </w:pPr>
      <w:rPr>
        <w:rFonts w:hint="default"/>
      </w:rPr>
    </w:lvl>
    <w:lvl w:ilvl="8">
      <w:start w:val="0"/>
      <w:numFmt w:val="bullet"/>
      <w:lvlText w:val="•"/>
      <w:lvlJc w:val="left"/>
      <w:pPr>
        <w:ind w:left="7944" w:hanging="480"/>
      </w:pPr>
      <w:rPr>
        <w:rFonts w:hint="default"/>
      </w:rPr>
    </w:lvl>
  </w:abstractNum>
  <w:abstractNum w:abstractNumId="6">
    <w:multiLevelType w:val="hybridMultilevel"/>
    <w:lvl w:ilvl="0">
      <w:start w:val="1"/>
      <w:numFmt w:val="decimal"/>
      <w:lvlText w:val="（%1）"/>
      <w:lvlJc w:val="left"/>
      <w:pPr>
        <w:ind w:left="3407" w:hanging="720"/>
        <w:jc w:val="left"/>
      </w:pPr>
      <w:rPr>
        <w:rFonts w:hint="default" w:ascii="宋体" w:hAnsi="宋体" w:eastAsia="宋体" w:cs="宋体"/>
        <w:w w:val="100"/>
        <w:sz w:val="21"/>
        <w:szCs w:val="21"/>
      </w:rPr>
    </w:lvl>
    <w:lvl w:ilvl="1">
      <w:start w:val="0"/>
      <w:numFmt w:val="bullet"/>
      <w:lvlText w:val="•"/>
      <w:lvlJc w:val="left"/>
      <w:pPr>
        <w:ind w:left="3400" w:hanging="720"/>
      </w:pPr>
      <w:rPr>
        <w:rFonts w:hint="default"/>
      </w:rPr>
    </w:lvl>
    <w:lvl w:ilvl="2">
      <w:start w:val="0"/>
      <w:numFmt w:val="bullet"/>
      <w:lvlText w:val="•"/>
      <w:lvlJc w:val="left"/>
      <w:pPr>
        <w:ind w:left="4082" w:hanging="720"/>
      </w:pPr>
      <w:rPr>
        <w:rFonts w:hint="default"/>
      </w:rPr>
    </w:lvl>
    <w:lvl w:ilvl="3">
      <w:start w:val="0"/>
      <w:numFmt w:val="bullet"/>
      <w:lvlText w:val="•"/>
      <w:lvlJc w:val="left"/>
      <w:pPr>
        <w:ind w:left="4764" w:hanging="720"/>
      </w:pPr>
      <w:rPr>
        <w:rFonts w:hint="default"/>
      </w:rPr>
    </w:lvl>
    <w:lvl w:ilvl="4">
      <w:start w:val="0"/>
      <w:numFmt w:val="bullet"/>
      <w:lvlText w:val="•"/>
      <w:lvlJc w:val="left"/>
      <w:pPr>
        <w:ind w:left="5446" w:hanging="720"/>
      </w:pPr>
      <w:rPr>
        <w:rFonts w:hint="default"/>
      </w:rPr>
    </w:lvl>
    <w:lvl w:ilvl="5">
      <w:start w:val="0"/>
      <w:numFmt w:val="bullet"/>
      <w:lvlText w:val="•"/>
      <w:lvlJc w:val="left"/>
      <w:pPr>
        <w:ind w:left="6128" w:hanging="720"/>
      </w:pPr>
      <w:rPr>
        <w:rFonts w:hint="default"/>
      </w:rPr>
    </w:lvl>
    <w:lvl w:ilvl="6">
      <w:start w:val="0"/>
      <w:numFmt w:val="bullet"/>
      <w:lvlText w:val="•"/>
      <w:lvlJc w:val="left"/>
      <w:pPr>
        <w:ind w:left="6811" w:hanging="720"/>
      </w:pPr>
      <w:rPr>
        <w:rFonts w:hint="default"/>
      </w:rPr>
    </w:lvl>
    <w:lvl w:ilvl="7">
      <w:start w:val="0"/>
      <w:numFmt w:val="bullet"/>
      <w:lvlText w:val="•"/>
      <w:lvlJc w:val="left"/>
      <w:pPr>
        <w:ind w:left="7493" w:hanging="720"/>
      </w:pPr>
      <w:rPr>
        <w:rFonts w:hint="default"/>
      </w:rPr>
    </w:lvl>
    <w:lvl w:ilvl="8">
      <w:start w:val="0"/>
      <w:numFmt w:val="bullet"/>
      <w:lvlText w:val="•"/>
      <w:lvlJc w:val="left"/>
      <w:pPr>
        <w:ind w:left="8175" w:hanging="720"/>
      </w:pPr>
      <w:rPr>
        <w:rFonts w:hint="default"/>
      </w:rPr>
    </w:lvl>
  </w:abstractNum>
  <w:abstractNum w:abstractNumId="5">
    <w:multiLevelType w:val="hybridMultilevel"/>
    <w:lvl w:ilvl="0">
      <w:start w:val="1"/>
      <w:numFmt w:val="decimal"/>
      <w:lvlText w:val="（%1）"/>
      <w:lvlJc w:val="left"/>
      <w:pPr>
        <w:ind w:left="3408" w:hanging="720"/>
        <w:jc w:val="right"/>
      </w:pPr>
      <w:rPr>
        <w:rFonts w:hint="default" w:ascii="宋体" w:hAnsi="宋体" w:eastAsia="宋体" w:cs="宋体"/>
        <w:w w:val="100"/>
        <w:sz w:val="21"/>
        <w:szCs w:val="21"/>
      </w:rPr>
    </w:lvl>
    <w:lvl w:ilvl="1">
      <w:start w:val="0"/>
      <w:numFmt w:val="bullet"/>
      <w:lvlText w:val="•"/>
      <w:lvlJc w:val="left"/>
      <w:pPr>
        <w:ind w:left="3782" w:hanging="720"/>
      </w:pPr>
      <w:rPr>
        <w:rFonts w:hint="default"/>
      </w:rPr>
    </w:lvl>
    <w:lvl w:ilvl="2">
      <w:start w:val="0"/>
      <w:numFmt w:val="bullet"/>
      <w:lvlText w:val="•"/>
      <w:lvlJc w:val="left"/>
      <w:pPr>
        <w:ind w:left="4164" w:hanging="720"/>
      </w:pPr>
      <w:rPr>
        <w:rFonts w:hint="default"/>
      </w:rPr>
    </w:lvl>
    <w:lvl w:ilvl="3">
      <w:start w:val="0"/>
      <w:numFmt w:val="bullet"/>
      <w:lvlText w:val="•"/>
      <w:lvlJc w:val="left"/>
      <w:pPr>
        <w:ind w:left="4547" w:hanging="720"/>
      </w:pPr>
      <w:rPr>
        <w:rFonts w:hint="default"/>
      </w:rPr>
    </w:lvl>
    <w:lvl w:ilvl="4">
      <w:start w:val="0"/>
      <w:numFmt w:val="bullet"/>
      <w:lvlText w:val="•"/>
      <w:lvlJc w:val="left"/>
      <w:pPr>
        <w:ind w:left="4929" w:hanging="720"/>
      </w:pPr>
      <w:rPr>
        <w:rFonts w:hint="default"/>
      </w:rPr>
    </w:lvl>
    <w:lvl w:ilvl="5">
      <w:start w:val="0"/>
      <w:numFmt w:val="bullet"/>
      <w:lvlText w:val="•"/>
      <w:lvlJc w:val="left"/>
      <w:pPr>
        <w:ind w:left="5312" w:hanging="720"/>
      </w:pPr>
      <w:rPr>
        <w:rFonts w:hint="default"/>
      </w:rPr>
    </w:lvl>
    <w:lvl w:ilvl="6">
      <w:start w:val="0"/>
      <w:numFmt w:val="bullet"/>
      <w:lvlText w:val="•"/>
      <w:lvlJc w:val="left"/>
      <w:pPr>
        <w:ind w:left="5694" w:hanging="720"/>
      </w:pPr>
      <w:rPr>
        <w:rFonts w:hint="default"/>
      </w:rPr>
    </w:lvl>
    <w:lvl w:ilvl="7">
      <w:start w:val="0"/>
      <w:numFmt w:val="bullet"/>
      <w:lvlText w:val="•"/>
      <w:lvlJc w:val="left"/>
      <w:pPr>
        <w:ind w:left="6077" w:hanging="720"/>
      </w:pPr>
      <w:rPr>
        <w:rFonts w:hint="default"/>
      </w:rPr>
    </w:lvl>
    <w:lvl w:ilvl="8">
      <w:start w:val="0"/>
      <w:numFmt w:val="bullet"/>
      <w:lvlText w:val="•"/>
      <w:lvlJc w:val="left"/>
      <w:pPr>
        <w:ind w:left="6459" w:hanging="720"/>
      </w:pPr>
      <w:rPr>
        <w:rFonts w:hint="default"/>
      </w:rPr>
    </w:lvl>
  </w:abstractNum>
  <w:abstractNum w:abstractNumId="4">
    <w:multiLevelType w:val="hybridMultilevel"/>
    <w:lvl w:ilvl="0">
      <w:start w:val="5"/>
      <w:numFmt w:val="decimal"/>
      <w:lvlText w:val="%1"/>
      <w:lvlJc w:val="left"/>
      <w:pPr>
        <w:ind w:left="950" w:hanging="481"/>
        <w:jc w:val="left"/>
      </w:pPr>
      <w:rPr>
        <w:rFonts w:hint="default"/>
      </w:rPr>
    </w:lvl>
    <w:lvl w:ilvl="1">
      <w:start w:val="1"/>
      <w:numFmt w:val="decimal"/>
      <w:lvlText w:val="%1.%2"/>
      <w:lvlJc w:val="left"/>
      <w:pPr>
        <w:ind w:left="950"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1"/>
      </w:pPr>
      <w:rPr>
        <w:rFonts w:hint="default"/>
      </w:rPr>
    </w:lvl>
    <w:lvl w:ilvl="3">
      <w:start w:val="0"/>
      <w:numFmt w:val="bullet"/>
      <w:lvlText w:val="•"/>
      <w:lvlJc w:val="left"/>
      <w:pPr>
        <w:ind w:left="1336" w:hanging="481"/>
      </w:pPr>
      <w:rPr>
        <w:rFonts w:hint="default"/>
      </w:rPr>
    </w:lvl>
    <w:lvl w:ilvl="4">
      <w:start w:val="0"/>
      <w:numFmt w:val="bullet"/>
      <w:lvlText w:val="•"/>
      <w:lvlJc w:val="left"/>
      <w:pPr>
        <w:ind w:left="1462" w:hanging="481"/>
      </w:pPr>
      <w:rPr>
        <w:rFonts w:hint="default"/>
      </w:rPr>
    </w:lvl>
    <w:lvl w:ilvl="5">
      <w:start w:val="0"/>
      <w:numFmt w:val="bullet"/>
      <w:lvlText w:val="•"/>
      <w:lvlJc w:val="left"/>
      <w:pPr>
        <w:ind w:left="1587" w:hanging="481"/>
      </w:pPr>
      <w:rPr>
        <w:rFonts w:hint="default"/>
      </w:rPr>
    </w:lvl>
    <w:lvl w:ilvl="6">
      <w:start w:val="0"/>
      <w:numFmt w:val="bullet"/>
      <w:lvlText w:val="•"/>
      <w:lvlJc w:val="left"/>
      <w:pPr>
        <w:ind w:left="1713" w:hanging="481"/>
      </w:pPr>
      <w:rPr>
        <w:rFonts w:hint="default"/>
      </w:rPr>
    </w:lvl>
    <w:lvl w:ilvl="7">
      <w:start w:val="0"/>
      <w:numFmt w:val="bullet"/>
      <w:lvlText w:val="•"/>
      <w:lvlJc w:val="left"/>
      <w:pPr>
        <w:ind w:left="1838" w:hanging="481"/>
      </w:pPr>
      <w:rPr>
        <w:rFonts w:hint="default"/>
      </w:rPr>
    </w:lvl>
    <w:lvl w:ilvl="8">
      <w:start w:val="0"/>
      <w:numFmt w:val="bullet"/>
      <w:lvlText w:val="•"/>
      <w:lvlJc w:val="left"/>
      <w:pPr>
        <w:ind w:left="1964" w:hanging="481"/>
      </w:pPr>
      <w:rPr>
        <w:rFonts w:hint="default"/>
      </w:rPr>
    </w:lvl>
  </w:abstractNum>
  <w:abstractNum w:abstractNumId="3">
    <w:multiLevelType w:val="hybridMultilevel"/>
    <w:lvl w:ilvl="0">
      <w:start w:val="2"/>
      <w:numFmt w:val="decimal"/>
      <w:lvlText w:val="%1"/>
      <w:lvlJc w:val="left"/>
      <w:pPr>
        <w:ind w:left="2267" w:hanging="481"/>
        <w:jc w:val="left"/>
      </w:pPr>
      <w:rPr>
        <w:rFonts w:hint="default"/>
      </w:rPr>
    </w:lvl>
    <w:lvl w:ilvl="1">
      <w:start w:val="1"/>
      <w:numFmt w:val="decimal"/>
      <w:lvlText w:val="%1.%2"/>
      <w:lvlJc w:val="left"/>
      <w:pPr>
        <w:ind w:left="2267" w:hanging="481"/>
        <w:jc w:val="righ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3047" w:hanging="420"/>
        <w:jc w:val="right"/>
      </w:pPr>
      <w:rPr>
        <w:rFonts w:hint="default"/>
        <w:w w:val="100"/>
      </w:rPr>
    </w:lvl>
    <w:lvl w:ilvl="3">
      <w:start w:val="15"/>
      <w:numFmt w:val="decimal"/>
      <w:lvlText w:val="%4."/>
      <w:lvlJc w:val="left"/>
      <w:pPr>
        <w:ind w:left="1170" w:hanging="296"/>
        <w:jc w:val="left"/>
      </w:pPr>
      <w:rPr>
        <w:rFonts w:hint="default" w:ascii="Times New Roman" w:hAnsi="Times New Roman" w:eastAsia="Times New Roman" w:cs="Times New Roman"/>
        <w:b/>
        <w:bCs/>
        <w:w w:val="100"/>
        <w:sz w:val="21"/>
        <w:szCs w:val="21"/>
      </w:rPr>
    </w:lvl>
    <w:lvl w:ilvl="4">
      <w:start w:val="0"/>
      <w:numFmt w:val="bullet"/>
      <w:lvlText w:val="•"/>
      <w:lvlJc w:val="left"/>
      <w:pPr>
        <w:ind w:left="2793" w:hanging="296"/>
      </w:pPr>
      <w:rPr>
        <w:rFonts w:hint="default"/>
      </w:rPr>
    </w:lvl>
    <w:lvl w:ilvl="5">
      <w:start w:val="0"/>
      <w:numFmt w:val="bullet"/>
      <w:lvlText w:val="•"/>
      <w:lvlJc w:val="left"/>
      <w:pPr>
        <w:ind w:left="2670" w:hanging="296"/>
      </w:pPr>
      <w:rPr>
        <w:rFonts w:hint="default"/>
      </w:rPr>
    </w:lvl>
    <w:lvl w:ilvl="6">
      <w:start w:val="0"/>
      <w:numFmt w:val="bullet"/>
      <w:lvlText w:val="•"/>
      <w:lvlJc w:val="left"/>
      <w:pPr>
        <w:ind w:left="2547" w:hanging="296"/>
      </w:pPr>
      <w:rPr>
        <w:rFonts w:hint="default"/>
      </w:rPr>
    </w:lvl>
    <w:lvl w:ilvl="7">
      <w:start w:val="0"/>
      <w:numFmt w:val="bullet"/>
      <w:lvlText w:val="•"/>
      <w:lvlJc w:val="left"/>
      <w:pPr>
        <w:ind w:left="2423" w:hanging="296"/>
      </w:pPr>
      <w:rPr>
        <w:rFonts w:hint="default"/>
      </w:rPr>
    </w:lvl>
    <w:lvl w:ilvl="8">
      <w:start w:val="0"/>
      <w:numFmt w:val="bullet"/>
      <w:lvlText w:val="•"/>
      <w:lvlJc w:val="left"/>
      <w:pPr>
        <w:ind w:left="2300" w:hanging="296"/>
      </w:pPr>
      <w:rPr>
        <w:rFonts w:hint="default"/>
      </w:rPr>
    </w:lvl>
  </w:abstractNum>
  <w:abstractNum w:abstractNumId="2">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6"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7" w:hanging="480"/>
      </w:pPr>
      <w:rPr>
        <w:rFonts w:hint="default"/>
      </w:rPr>
    </w:lvl>
    <w:lvl w:ilvl="6">
      <w:start w:val="0"/>
      <w:numFmt w:val="bullet"/>
      <w:lvlText w:val="•"/>
      <w:lvlJc w:val="left"/>
      <w:pPr>
        <w:ind w:left="1713" w:hanging="480"/>
      </w:pPr>
      <w:rPr>
        <w:rFonts w:hint="default"/>
      </w:rPr>
    </w:lvl>
    <w:lvl w:ilvl="7">
      <w:start w:val="0"/>
      <w:numFmt w:val="bullet"/>
      <w:lvlText w:val="•"/>
      <w:lvlJc w:val="left"/>
      <w:pPr>
        <w:ind w:left="1838" w:hanging="480"/>
      </w:pPr>
      <w:rPr>
        <w:rFonts w:hint="default"/>
      </w:rPr>
    </w:lvl>
    <w:lvl w:ilvl="8">
      <w:start w:val="0"/>
      <w:numFmt w:val="bullet"/>
      <w:lvlText w:val="•"/>
      <w:lvlJc w:val="left"/>
      <w:pPr>
        <w:ind w:left="1964" w:hanging="480"/>
      </w:pPr>
      <w:rPr>
        <w:rFonts w:hint="default"/>
      </w:rPr>
    </w:lvl>
  </w:abstractNum>
  <w:abstractNum w:abstractNumId="1">
    <w:multiLevelType w:val="hybridMultilevel"/>
    <w:lvl w:ilvl="0">
      <w:start w:val="2"/>
      <w:numFmt w:val="decimal"/>
      <w:lvlText w:val="%1"/>
      <w:lvlJc w:val="left"/>
      <w:pPr>
        <w:ind w:left="578" w:hanging="317"/>
        <w:jc w:val="left"/>
      </w:pPr>
      <w:rPr>
        <w:rFonts w:hint="default"/>
      </w:rPr>
    </w:lvl>
    <w:lvl w:ilvl="1">
      <w:start w:val="1"/>
      <w:numFmt w:val="decimal"/>
      <w:lvlText w:val="%1.%2"/>
      <w:lvlJc w:val="left"/>
      <w:pPr>
        <w:ind w:left="578" w:hanging="317"/>
        <w:jc w:val="left"/>
      </w:pPr>
      <w:rPr>
        <w:rFonts w:hint="default" w:ascii="Times New Roman" w:hAnsi="Times New Roman" w:eastAsia="Times New Roman" w:cs="Times New Roman"/>
        <w:w w:val="100"/>
        <w:sz w:val="21"/>
        <w:szCs w:val="21"/>
      </w:rPr>
    </w:lvl>
    <w:lvl w:ilvl="2">
      <w:start w:val="0"/>
      <w:numFmt w:val="bullet"/>
      <w:lvlText w:val="•"/>
      <w:lvlJc w:val="left"/>
      <w:pPr>
        <w:ind w:left="1326" w:hanging="317"/>
      </w:pPr>
      <w:rPr>
        <w:rFonts w:hint="default"/>
      </w:rPr>
    </w:lvl>
    <w:lvl w:ilvl="3">
      <w:start w:val="0"/>
      <w:numFmt w:val="bullet"/>
      <w:lvlText w:val="•"/>
      <w:lvlJc w:val="left"/>
      <w:pPr>
        <w:ind w:left="1699" w:hanging="317"/>
      </w:pPr>
      <w:rPr>
        <w:rFonts w:hint="default"/>
      </w:rPr>
    </w:lvl>
    <w:lvl w:ilvl="4">
      <w:start w:val="0"/>
      <w:numFmt w:val="bullet"/>
      <w:lvlText w:val="•"/>
      <w:lvlJc w:val="left"/>
      <w:pPr>
        <w:ind w:left="2072" w:hanging="317"/>
      </w:pPr>
      <w:rPr>
        <w:rFonts w:hint="default"/>
      </w:rPr>
    </w:lvl>
    <w:lvl w:ilvl="5">
      <w:start w:val="0"/>
      <w:numFmt w:val="bullet"/>
      <w:lvlText w:val="•"/>
      <w:lvlJc w:val="left"/>
      <w:pPr>
        <w:ind w:left="2445" w:hanging="317"/>
      </w:pPr>
      <w:rPr>
        <w:rFonts w:hint="default"/>
      </w:rPr>
    </w:lvl>
    <w:lvl w:ilvl="6">
      <w:start w:val="0"/>
      <w:numFmt w:val="bullet"/>
      <w:lvlText w:val="•"/>
      <w:lvlJc w:val="left"/>
      <w:pPr>
        <w:ind w:left="2818" w:hanging="317"/>
      </w:pPr>
      <w:rPr>
        <w:rFonts w:hint="default"/>
      </w:rPr>
    </w:lvl>
    <w:lvl w:ilvl="7">
      <w:start w:val="0"/>
      <w:numFmt w:val="bullet"/>
      <w:lvlText w:val="•"/>
      <w:lvlJc w:val="left"/>
      <w:pPr>
        <w:ind w:left="3191" w:hanging="317"/>
      </w:pPr>
      <w:rPr>
        <w:rFonts w:hint="default"/>
      </w:rPr>
    </w:lvl>
    <w:lvl w:ilvl="8">
      <w:start w:val="0"/>
      <w:numFmt w:val="bullet"/>
      <w:lvlText w:val="•"/>
      <w:lvlJc w:val="left"/>
      <w:pPr>
        <w:ind w:left="3564" w:hanging="317"/>
      </w:pPr>
      <w:rPr>
        <w:rFonts w:hint="default"/>
      </w:rPr>
    </w:lvl>
  </w:abstractNum>
  <w:abstractNum w:abstractNumId="0">
    <w:multiLevelType w:val="hybridMultilevel"/>
    <w:lvl w:ilvl="0">
      <w:start w:val="1"/>
      <w:numFmt w:val="decimal"/>
      <w:lvlText w:val="%1"/>
      <w:lvlJc w:val="left"/>
      <w:pPr>
        <w:ind w:left="577" w:hanging="317"/>
        <w:jc w:val="left"/>
      </w:pPr>
      <w:rPr>
        <w:rFonts w:hint="default"/>
      </w:rPr>
    </w:lvl>
    <w:lvl w:ilvl="1">
      <w:start w:val="2"/>
      <w:numFmt w:val="decimal"/>
      <w:lvlText w:val="%1.%2"/>
      <w:lvlJc w:val="left"/>
      <w:pPr>
        <w:ind w:left="577" w:hanging="317"/>
        <w:jc w:val="left"/>
      </w:pPr>
      <w:rPr>
        <w:rFonts w:hint="default" w:ascii="Times New Roman" w:hAnsi="Times New Roman" w:eastAsia="Times New Roman" w:cs="Times New Roman"/>
        <w:w w:val="100"/>
        <w:sz w:val="21"/>
        <w:szCs w:val="21"/>
      </w:rPr>
    </w:lvl>
    <w:lvl w:ilvl="2">
      <w:start w:val="0"/>
      <w:numFmt w:val="bullet"/>
      <w:lvlText w:val="•"/>
      <w:lvlJc w:val="left"/>
      <w:pPr>
        <w:ind w:left="1326" w:hanging="317"/>
      </w:pPr>
      <w:rPr>
        <w:rFonts w:hint="default"/>
      </w:rPr>
    </w:lvl>
    <w:lvl w:ilvl="3">
      <w:start w:val="0"/>
      <w:numFmt w:val="bullet"/>
      <w:lvlText w:val="•"/>
      <w:lvlJc w:val="left"/>
      <w:pPr>
        <w:ind w:left="1699" w:hanging="317"/>
      </w:pPr>
      <w:rPr>
        <w:rFonts w:hint="default"/>
      </w:rPr>
    </w:lvl>
    <w:lvl w:ilvl="4">
      <w:start w:val="0"/>
      <w:numFmt w:val="bullet"/>
      <w:lvlText w:val="•"/>
      <w:lvlJc w:val="left"/>
      <w:pPr>
        <w:ind w:left="2072" w:hanging="317"/>
      </w:pPr>
      <w:rPr>
        <w:rFonts w:hint="default"/>
      </w:rPr>
    </w:lvl>
    <w:lvl w:ilvl="5">
      <w:start w:val="0"/>
      <w:numFmt w:val="bullet"/>
      <w:lvlText w:val="•"/>
      <w:lvlJc w:val="left"/>
      <w:pPr>
        <w:ind w:left="2445" w:hanging="317"/>
      </w:pPr>
      <w:rPr>
        <w:rFonts w:hint="default"/>
      </w:rPr>
    </w:lvl>
    <w:lvl w:ilvl="6">
      <w:start w:val="0"/>
      <w:numFmt w:val="bullet"/>
      <w:lvlText w:val="•"/>
      <w:lvlJc w:val="left"/>
      <w:pPr>
        <w:ind w:left="2818" w:hanging="317"/>
      </w:pPr>
      <w:rPr>
        <w:rFonts w:hint="default"/>
      </w:rPr>
    </w:lvl>
    <w:lvl w:ilvl="7">
      <w:start w:val="0"/>
      <w:numFmt w:val="bullet"/>
      <w:lvlText w:val="•"/>
      <w:lvlJc w:val="left"/>
      <w:pPr>
        <w:ind w:left="3191" w:hanging="317"/>
      </w:pPr>
      <w:rPr>
        <w:rFonts w:hint="default"/>
      </w:rPr>
    </w:lvl>
    <w:lvl w:ilvl="8">
      <w:start w:val="0"/>
      <w:numFmt w:val="bullet"/>
      <w:lvlText w:val="•"/>
      <w:lvlJc w:val="left"/>
      <w:pPr>
        <w:ind w:left="3564" w:hanging="317"/>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82"/>
      <w:outlineLvl w:val="1"/>
    </w:pPr>
    <w:rPr>
      <w:rFonts w:ascii="宋体" w:hAnsi="宋体" w:eastAsia="宋体" w:cs="宋体"/>
      <w:sz w:val="28"/>
      <w:szCs w:val="28"/>
    </w:rPr>
  </w:style>
  <w:style w:styleId="ListParagraph" w:type="paragraph">
    <w:name w:val="List Paragraph"/>
    <w:basedOn w:val="Normal"/>
    <w:uiPriority w:val="1"/>
    <w:qFormat/>
    <w:pPr>
      <w:spacing w:before="63"/>
      <w:ind w:left="590" w:hanging="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中英人寿附加金色未来额外给付重大疾病保险（不含批注）--Final</dc:title>
  <dcterms:created xsi:type="dcterms:W3CDTF">2018-10-20T01:51:05Z</dcterms:created>
  <dcterms:modified xsi:type="dcterms:W3CDTF">2018-10-20T01:51:05Z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2016-05-09T00:00:00Z</vt:filetime>
  </property>
  <property fmtid="{D5CDD505-2E9C-101B-9397-08002B2CF9AE}" pid="3" name="Creator">
    <vt:lpwstr>PDFCreator 1.9.1.0</vt:lpwstr>
  </property>
  <property fmtid="{D5CDD505-2E9C-101B-9397-08002B2CF9AE}" pid="4" name="LastSaved">
    <vt:filetime>2018-10-19T00:00:00Z</vt:filetime>
  </property>
</Properties>
</file>