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34"/>
        </w:rPr>
      </w:pPr>
    </w:p>
    <w:p>
      <w:pPr>
        <w:spacing w:before="0"/>
        <w:ind w:left="172" w:right="0" w:firstLine="0"/>
        <w:jc w:val="left"/>
        <w:rPr>
          <w:rFonts w:ascii="黑体" w:eastAsia="黑体" w:hint="eastAsia"/>
          <w:sz w:val="28"/>
        </w:rPr>
      </w:pPr>
      <w:r>
        <w:rPr>
          <w:rFonts w:ascii="黑体" w:eastAsia="黑体" w:hint="eastAsia"/>
          <w:spacing w:val="-25"/>
          <w:sz w:val="28"/>
        </w:rPr>
        <w:t>附件 </w:t>
      </w:r>
      <w:r>
        <w:rPr>
          <w:rFonts w:ascii="黑体" w:eastAsia="黑体" w:hint="eastAsia"/>
          <w:sz w:val="28"/>
        </w:rPr>
        <w:t>2-2</w:t>
      </w:r>
    </w:p>
    <w:p>
      <w:pPr>
        <w:pStyle w:val="BodyText"/>
        <w:spacing w:before="8"/>
        <w:ind w:left="5481"/>
      </w:pPr>
      <w:r>
        <w:rPr/>
        <w:br w:type="column"/>
      </w:r>
      <w:r>
        <w:rPr/>
        <w:t>泰康人寿〔2017〕疾病保险 012 号</w:t>
      </w:r>
    </w:p>
    <w:p>
      <w:pPr>
        <w:pStyle w:val="BodyText"/>
        <w:spacing w:before="0"/>
        <w:rPr>
          <w:sz w:val="20"/>
        </w:rPr>
      </w:pPr>
    </w:p>
    <w:p>
      <w:pPr>
        <w:pStyle w:val="BodyText"/>
        <w:spacing w:before="3"/>
        <w:rPr>
          <w:sz w:val="26"/>
        </w:rPr>
      </w:pPr>
    </w:p>
    <w:p>
      <w:pPr>
        <w:pStyle w:val="Heading1"/>
        <w:ind w:left="172"/>
      </w:pPr>
      <w:r>
        <w:rPr/>
        <w:drawing>
          <wp:anchor distT="0" distB="0" distL="0" distR="0" allowOverlap="1" layoutInCell="1" locked="0" behindDoc="0" simplePos="0" relativeHeight="1048">
            <wp:simplePos x="0" y="0"/>
            <wp:positionH relativeFrom="page">
              <wp:posOffset>6019800</wp:posOffset>
            </wp:positionH>
            <wp:positionV relativeFrom="paragraph">
              <wp:posOffset>-302687</wp:posOffset>
            </wp:positionV>
            <wp:extent cx="725424"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4" cy="725424"/>
                    </a:xfrm>
                    <a:prstGeom prst="rect">
                      <a:avLst/>
                    </a:prstGeom>
                  </pic:spPr>
                </pic:pic>
              </a:graphicData>
            </a:graphic>
          </wp:anchor>
        </w:drawing>
      </w:r>
      <w:r>
        <w:rPr/>
        <w:t>泰康附加全能保 2017 重大疾病保险条款</w:t>
      </w:r>
    </w:p>
    <w:p>
      <w:pPr>
        <w:spacing w:after="0"/>
        <w:sectPr>
          <w:type w:val="continuous"/>
          <w:pgSz w:w="11900" w:h="16840"/>
          <w:pgMar w:top="540" w:bottom="280" w:left="960" w:right="260"/>
          <w:cols w:num="2" w:equalWidth="0">
            <w:col w:w="1220" w:space="720"/>
            <w:col w:w="8740"/>
          </w:cols>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0"/>
        <w:ind w:left="2048"/>
      </w:pPr>
      <w:r>
        <w:rPr/>
        <w:br w:type="column"/>
      </w:r>
      <w:r>
        <w:rPr/>
        <w:t>请扫描以查询验证条款</w:t>
      </w:r>
    </w:p>
    <w:p>
      <w:pPr>
        <w:spacing w:after="0"/>
        <w:sectPr>
          <w:type w:val="continuous"/>
          <w:pgSz w:w="11900" w:h="16840"/>
          <w:pgMar w:top="540" w:bottom="280" w:left="960" w:right="260"/>
          <w:cols w:num="2" w:equalWidth="0">
            <w:col w:w="5871" w:space="40"/>
            <w:col w:w="4769"/>
          </w:cols>
        </w:sectPr>
      </w:pPr>
    </w:p>
    <w:p>
      <w:pPr>
        <w:pStyle w:val="BodyText"/>
        <w:spacing w:before="8"/>
        <w:rPr>
          <w:sz w:val="14"/>
        </w:rPr>
      </w:pPr>
    </w:p>
    <w:p>
      <w:pPr>
        <w:pStyle w:val="BodyText"/>
        <w:spacing w:before="36"/>
        <w:ind w:left="580" w:right="1216"/>
        <w:jc w:val="center"/>
      </w:pPr>
      <w:r>
        <w:rPr/>
        <w:drawing>
          <wp:anchor distT="0" distB="0" distL="0" distR="0" allowOverlap="1" layoutInCell="1" locked="0" behindDoc="1" simplePos="0" relativeHeight="268405823">
            <wp:simplePos x="0" y="0"/>
            <wp:positionH relativeFrom="page">
              <wp:posOffset>676655</wp:posOffset>
            </wp:positionH>
            <wp:positionV relativeFrom="paragraph">
              <wp:posOffset>270048</wp:posOffset>
            </wp:positionV>
            <wp:extent cx="6205728" cy="80010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05728" cy="80010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3"/>
        <w:tabs>
          <w:tab w:pos="1252" w:val="left" w:leader="none"/>
        </w:tabs>
        <w:spacing w:before="83"/>
        <w:ind w:left="244" w:firstLine="0"/>
      </w:pPr>
      <w:r>
        <w:rPr>
          <w:rFonts w:ascii="Arial" w:hAnsi="Arial" w:eastAsia="Arial"/>
          <w:w w:val="105"/>
          <w:position w:val="-11"/>
          <w:sz w:val="52"/>
        </w:rPr>
        <w:t></w:t>
        <w:tab/>
      </w:r>
      <w:r>
        <w:rPr/>
        <w:t>您拥有的重要权益</w:t>
      </w:r>
    </w:p>
    <w:p>
      <w:pPr>
        <w:pStyle w:val="ListParagraph"/>
        <w:numPr>
          <w:ilvl w:val="0"/>
          <w:numId w:val="1"/>
        </w:numPr>
        <w:tabs>
          <w:tab w:pos="1276" w:val="left" w:leader="none"/>
          <w:tab w:pos="1277" w:val="left" w:leader="none"/>
          <w:tab w:pos="9566" w:val="right" w:leader="dot"/>
        </w:tabs>
        <w:spacing w:line="240" w:lineRule="auto" w:before="23" w:after="0"/>
        <w:ind w:left="1276" w:right="0" w:hanging="398"/>
        <w:jc w:val="left"/>
        <w:rPr>
          <w:sz w:val="21"/>
        </w:rPr>
      </w:pPr>
      <w:r>
        <w:rPr>
          <w:spacing w:val="-5"/>
          <w:sz w:val="21"/>
        </w:rPr>
        <w:t>犹</w:t>
      </w:r>
      <w:r>
        <w:rPr>
          <w:sz w:val="21"/>
        </w:rPr>
        <w:t>豫期内</w:t>
      </w:r>
      <w:r>
        <w:rPr>
          <w:spacing w:val="-5"/>
          <w:sz w:val="21"/>
        </w:rPr>
        <w:t>您</w:t>
      </w:r>
      <w:r>
        <w:rPr>
          <w:sz w:val="21"/>
        </w:rPr>
        <w:t>若要求</w:t>
      </w:r>
      <w:r>
        <w:rPr>
          <w:spacing w:val="-5"/>
          <w:sz w:val="21"/>
        </w:rPr>
        <w:t>解</w:t>
      </w:r>
      <w:r>
        <w:rPr>
          <w:sz w:val="21"/>
        </w:rPr>
        <w:t>除合同</w:t>
      </w:r>
      <w:r>
        <w:rPr>
          <w:spacing w:val="-5"/>
          <w:sz w:val="21"/>
        </w:rPr>
        <w:t>，</w:t>
      </w:r>
      <w:r>
        <w:rPr>
          <w:sz w:val="21"/>
        </w:rPr>
        <w:t>我们向</w:t>
      </w:r>
      <w:r>
        <w:rPr>
          <w:spacing w:val="-5"/>
          <w:sz w:val="21"/>
        </w:rPr>
        <w:t>您无</w:t>
      </w:r>
      <w:r>
        <w:rPr>
          <w:sz w:val="21"/>
        </w:rPr>
        <w:t>息退还保</w:t>
      </w:r>
      <w:r>
        <w:rPr>
          <w:spacing w:val="-5"/>
          <w:sz w:val="21"/>
        </w:rPr>
        <w:t>险</w:t>
      </w:r>
      <w:r>
        <w:rPr>
          <w:sz w:val="21"/>
        </w:rPr>
        <w:t>费</w:t>
        <w:tab/>
        <w:t>1.4</w:t>
      </w:r>
    </w:p>
    <w:p>
      <w:pPr>
        <w:pStyle w:val="ListParagraph"/>
        <w:numPr>
          <w:ilvl w:val="0"/>
          <w:numId w:val="1"/>
        </w:numPr>
        <w:tabs>
          <w:tab w:pos="1276" w:val="left" w:leader="none"/>
          <w:tab w:pos="1277" w:val="left" w:leader="none"/>
          <w:tab w:pos="9566" w:val="right" w:leader="dot"/>
        </w:tabs>
        <w:spacing w:line="240" w:lineRule="auto" w:before="22" w:after="0"/>
        <w:ind w:left="1276" w:right="0" w:hanging="398"/>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2.3</w:t>
      </w:r>
    </w:p>
    <w:p>
      <w:pPr>
        <w:pStyle w:val="ListParagraph"/>
        <w:numPr>
          <w:ilvl w:val="0"/>
          <w:numId w:val="1"/>
        </w:numPr>
        <w:tabs>
          <w:tab w:pos="1271" w:val="left" w:leader="none"/>
          <w:tab w:pos="1272" w:val="left" w:leader="none"/>
          <w:tab w:pos="9566" w:val="right" w:leader="dot"/>
        </w:tabs>
        <w:spacing w:line="240" w:lineRule="auto" w:before="22" w:after="0"/>
        <w:ind w:left="1272" w:right="0" w:hanging="399"/>
        <w:jc w:val="left"/>
        <w:rPr>
          <w:sz w:val="21"/>
        </w:rPr>
      </w:pPr>
      <w:r>
        <w:rPr>
          <w:sz w:val="21"/>
        </w:rPr>
        <w:t>您有按</w:t>
      </w:r>
      <w:r>
        <w:rPr>
          <w:spacing w:val="-5"/>
          <w:sz w:val="21"/>
        </w:rPr>
        <w:t>本</w:t>
      </w:r>
      <w:r>
        <w:rPr>
          <w:sz w:val="21"/>
        </w:rPr>
        <w:t>附加合</w:t>
      </w:r>
      <w:r>
        <w:rPr>
          <w:spacing w:val="-5"/>
          <w:sz w:val="21"/>
        </w:rPr>
        <w:t>同</w:t>
      </w:r>
      <w:r>
        <w:rPr>
          <w:sz w:val="21"/>
        </w:rPr>
        <w:t>约定申</w:t>
      </w:r>
      <w:r>
        <w:rPr>
          <w:spacing w:val="-5"/>
          <w:sz w:val="21"/>
        </w:rPr>
        <w:t>请</w:t>
      </w:r>
      <w:r>
        <w:rPr>
          <w:sz w:val="21"/>
        </w:rPr>
        <w:t>保单贷</w:t>
      </w:r>
      <w:r>
        <w:rPr>
          <w:spacing w:val="-5"/>
          <w:sz w:val="21"/>
        </w:rPr>
        <w:t>款</w:t>
      </w:r>
      <w:r>
        <w:rPr>
          <w:sz w:val="21"/>
        </w:rPr>
        <w:t>的权利</w:t>
        <w:tab/>
        <w:t>5.2</w:t>
      </w:r>
    </w:p>
    <w:p>
      <w:pPr>
        <w:pStyle w:val="ListParagraph"/>
        <w:numPr>
          <w:ilvl w:val="0"/>
          <w:numId w:val="1"/>
        </w:numPr>
        <w:tabs>
          <w:tab w:pos="1276" w:val="left" w:leader="none"/>
          <w:tab w:pos="1277" w:val="left" w:leader="none"/>
          <w:tab w:pos="9570" w:val="right" w:leader="dot"/>
        </w:tabs>
        <w:spacing w:line="240" w:lineRule="auto" w:before="22" w:after="0"/>
        <w:ind w:left="1276" w:right="0" w:hanging="398"/>
        <w:jc w:val="left"/>
        <w:rPr>
          <w:sz w:val="21"/>
        </w:rPr>
      </w:pPr>
      <w:r>
        <w:rPr>
          <w:spacing w:val="-5"/>
          <w:sz w:val="21"/>
        </w:rPr>
        <w:t>您</w:t>
      </w:r>
      <w:r>
        <w:rPr>
          <w:sz w:val="21"/>
        </w:rPr>
        <w:t>有解除</w:t>
      </w:r>
      <w:r>
        <w:rPr>
          <w:spacing w:val="-5"/>
          <w:sz w:val="21"/>
        </w:rPr>
        <w:t>合</w:t>
      </w:r>
      <w:r>
        <w:rPr>
          <w:sz w:val="21"/>
        </w:rPr>
        <w:t>同的权利</w:t>
        <w:tab/>
        <w:t>7.1</w:t>
      </w:r>
    </w:p>
    <w:p>
      <w:pPr>
        <w:pStyle w:val="Heading3"/>
        <w:tabs>
          <w:tab w:pos="1252" w:val="left" w:leader="none"/>
        </w:tabs>
        <w:spacing w:before="24"/>
        <w:ind w:left="244" w:firstLine="0"/>
      </w:pPr>
      <w:r>
        <w:rPr>
          <w:rFonts w:ascii="Arial" w:hAnsi="Arial" w:eastAsia="Arial"/>
          <w:w w:val="105"/>
          <w:position w:val="-11"/>
          <w:sz w:val="52"/>
        </w:rPr>
        <w:t></w:t>
        <w:tab/>
      </w:r>
      <w:r>
        <w:rPr/>
        <w:t>您应当特别注意的事项</w:t>
      </w:r>
    </w:p>
    <w:p>
      <w:pPr>
        <w:pStyle w:val="ListParagraph"/>
        <w:numPr>
          <w:ilvl w:val="0"/>
          <w:numId w:val="1"/>
        </w:numPr>
        <w:tabs>
          <w:tab w:pos="1276" w:val="left" w:leader="none"/>
          <w:tab w:pos="1277" w:val="left" w:leader="none"/>
          <w:tab w:pos="9571" w:val="right" w:leader="dot"/>
        </w:tabs>
        <w:spacing w:line="240" w:lineRule="auto" w:before="23" w:after="0"/>
        <w:ind w:left="1276" w:right="0" w:hanging="398"/>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276" w:val="left" w:leader="none"/>
          <w:tab w:pos="1277" w:val="left" w:leader="none"/>
          <w:tab w:pos="9571" w:val="right" w:leader="dot"/>
        </w:tabs>
        <w:spacing w:line="240" w:lineRule="auto" w:before="22" w:after="0"/>
        <w:ind w:left="1276" w:right="0" w:hanging="398"/>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76" w:val="left" w:leader="none"/>
          <w:tab w:pos="1277" w:val="left" w:leader="none"/>
          <w:tab w:pos="9570" w:val="right" w:leader="dot"/>
        </w:tabs>
        <w:spacing w:line="240" w:lineRule="auto" w:before="22" w:after="0"/>
        <w:ind w:left="1276" w:right="0" w:hanging="398"/>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6" w:val="left" w:leader="none"/>
          <w:tab w:pos="1277" w:val="left" w:leader="none"/>
          <w:tab w:pos="9566" w:val="right" w:leader="dot"/>
        </w:tabs>
        <w:spacing w:line="240" w:lineRule="auto" w:before="22" w:after="0"/>
        <w:ind w:left="1276" w:right="0" w:hanging="398"/>
        <w:jc w:val="left"/>
        <w:rPr>
          <w:sz w:val="21"/>
        </w:rPr>
      </w:pPr>
      <w:r>
        <w:rPr>
          <w:spacing w:val="-5"/>
          <w:sz w:val="21"/>
        </w:rPr>
        <w:t>解</w:t>
      </w:r>
      <w:r>
        <w:rPr>
          <w:sz w:val="21"/>
        </w:rPr>
        <w:t>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您慎</w:t>
      </w:r>
      <w:r>
        <w:rPr>
          <w:sz w:val="21"/>
        </w:rPr>
        <w:t>重决策</w:t>
        <w:tab/>
        <w:t>7.1</w:t>
      </w:r>
    </w:p>
    <w:p>
      <w:pPr>
        <w:pStyle w:val="ListParagraph"/>
        <w:numPr>
          <w:ilvl w:val="0"/>
          <w:numId w:val="1"/>
        </w:numPr>
        <w:tabs>
          <w:tab w:pos="1276" w:val="left" w:leader="none"/>
          <w:tab w:pos="1277" w:val="left" w:leader="none"/>
          <w:tab w:pos="9566" w:val="right" w:leader="dot"/>
        </w:tabs>
        <w:spacing w:line="240" w:lineRule="auto" w:before="22" w:after="0"/>
        <w:ind w:left="1276" w:right="0" w:hanging="398"/>
        <w:jc w:val="left"/>
        <w:rPr>
          <w:sz w:val="21"/>
        </w:rPr>
      </w:pPr>
      <w:r>
        <w:rPr>
          <w:spacing w:val="-5"/>
          <w:sz w:val="21"/>
        </w:rPr>
        <w:t>主</w:t>
      </w:r>
      <w:r>
        <w:rPr>
          <w:sz w:val="21"/>
        </w:rPr>
        <w:t>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请您仔细</w:t>
      </w:r>
      <w:r>
        <w:rPr>
          <w:spacing w:val="-5"/>
          <w:sz w:val="21"/>
        </w:rPr>
        <w:t>阅</w:t>
      </w:r>
      <w:r>
        <w:rPr>
          <w:sz w:val="21"/>
        </w:rPr>
        <w:t>读</w:t>
        <w:tab/>
        <w:t>8.2</w:t>
      </w:r>
    </w:p>
    <w:p>
      <w:pPr>
        <w:pStyle w:val="ListParagraph"/>
        <w:numPr>
          <w:ilvl w:val="0"/>
          <w:numId w:val="1"/>
        </w:numPr>
        <w:tabs>
          <w:tab w:pos="1276" w:val="left" w:leader="none"/>
          <w:tab w:pos="1277" w:val="left" w:leader="none"/>
          <w:tab w:pos="9359" w:val="right" w:leader="dot"/>
        </w:tabs>
        <w:spacing w:line="240" w:lineRule="auto" w:before="22" w:after="0"/>
        <w:ind w:left="1276" w:right="0" w:hanging="398"/>
        <w:jc w:val="left"/>
        <w:rPr>
          <w:sz w:val="21"/>
        </w:rPr>
      </w:pPr>
      <w:r>
        <w:rPr>
          <w:spacing w:val="-5"/>
          <w:sz w:val="21"/>
        </w:rPr>
        <w:t>本</w:t>
      </w:r>
      <w:r>
        <w:rPr>
          <w:sz w:val="21"/>
        </w:rPr>
        <w:t>附加合</w:t>
      </w:r>
      <w:r>
        <w:rPr>
          <w:spacing w:val="-5"/>
          <w:sz w:val="21"/>
        </w:rPr>
        <w:t>同</w:t>
      </w:r>
      <w:r>
        <w:rPr>
          <w:sz w:val="21"/>
        </w:rPr>
        <w:t>对重大</w:t>
      </w:r>
      <w:r>
        <w:rPr>
          <w:spacing w:val="-5"/>
          <w:sz w:val="21"/>
        </w:rPr>
        <w:t>疾</w:t>
      </w:r>
      <w:r>
        <w:rPr>
          <w:sz w:val="21"/>
        </w:rPr>
        <w:t>病进行</w:t>
      </w:r>
      <w:r>
        <w:rPr>
          <w:spacing w:val="-5"/>
          <w:sz w:val="21"/>
        </w:rPr>
        <w:t>了</w:t>
      </w:r>
      <w:r>
        <w:rPr>
          <w:sz w:val="21"/>
        </w:rPr>
        <w:t>明确定</w:t>
      </w:r>
      <w:r>
        <w:rPr>
          <w:spacing w:val="-5"/>
          <w:sz w:val="21"/>
        </w:rPr>
        <w:t>义，</w:t>
      </w:r>
      <w:r>
        <w:rPr>
          <w:sz w:val="21"/>
        </w:rPr>
        <w:t>请您仔细</w:t>
      </w:r>
      <w:r>
        <w:rPr>
          <w:spacing w:val="-5"/>
          <w:sz w:val="21"/>
        </w:rPr>
        <w:t>阅</w:t>
      </w:r>
      <w:r>
        <w:rPr>
          <w:sz w:val="21"/>
        </w:rPr>
        <w:t>读</w:t>
        <w:tab/>
        <w:t>9</w:t>
      </w:r>
    </w:p>
    <w:p>
      <w:pPr>
        <w:pStyle w:val="ListParagraph"/>
        <w:numPr>
          <w:ilvl w:val="0"/>
          <w:numId w:val="1"/>
        </w:numPr>
        <w:tabs>
          <w:tab w:pos="1276" w:val="left" w:leader="none"/>
          <w:tab w:pos="1277" w:val="left" w:leader="none"/>
          <w:tab w:pos="9465" w:val="right" w:leader="dot"/>
        </w:tabs>
        <w:spacing w:line="240" w:lineRule="auto" w:before="22" w:after="0"/>
        <w:ind w:left="1276" w:right="0" w:hanging="39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252" w:val="left" w:leader="none"/>
        </w:tabs>
        <w:spacing w:before="24"/>
        <w:ind w:left="244"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52" w:val="left" w:leader="none"/>
        </w:tabs>
        <w:spacing w:before="25"/>
        <w:ind w:left="244"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7"/>
        <w:rPr>
          <w:rFonts w:ascii="Microsoft JhengHei"/>
          <w:b/>
          <w:sz w:val="4"/>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6"/>
        <w:gridCol w:w="3163"/>
        <w:gridCol w:w="701"/>
        <w:gridCol w:w="3209"/>
      </w:tblGrid>
      <w:tr>
        <w:trPr>
          <w:trHeight w:val="261" w:hRule="atLeast"/>
        </w:trPr>
        <w:tc>
          <w:tcPr>
            <w:tcW w:w="2416"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163" w:type="dxa"/>
          </w:tcPr>
          <w:p>
            <w:pPr>
              <w:pStyle w:val="TableParagraph"/>
              <w:spacing w:line="211" w:lineRule="exact"/>
              <w:ind w:left="254"/>
              <w:rPr>
                <w:sz w:val="21"/>
              </w:rPr>
            </w:pPr>
            <w:r>
              <w:rPr>
                <w:sz w:val="21"/>
              </w:rPr>
              <w:t>5.1 现金价值</w:t>
            </w:r>
          </w:p>
        </w:tc>
        <w:tc>
          <w:tcPr>
            <w:tcW w:w="701" w:type="dxa"/>
          </w:tcPr>
          <w:p>
            <w:pPr>
              <w:pStyle w:val="TableParagraph"/>
              <w:spacing w:line="211" w:lineRule="exact"/>
              <w:ind w:left="173"/>
              <w:rPr>
                <w:sz w:val="21"/>
              </w:rPr>
            </w:pPr>
            <w:r>
              <w:rPr>
                <w:sz w:val="21"/>
              </w:rPr>
              <w:t>10.7</w:t>
            </w:r>
          </w:p>
        </w:tc>
        <w:tc>
          <w:tcPr>
            <w:tcW w:w="3209" w:type="dxa"/>
          </w:tcPr>
          <w:p>
            <w:pPr>
              <w:pStyle w:val="TableParagraph"/>
              <w:spacing w:line="211" w:lineRule="exact"/>
              <w:rPr>
                <w:sz w:val="21"/>
              </w:rPr>
            </w:pPr>
            <w:r>
              <w:rPr>
                <w:sz w:val="21"/>
              </w:rPr>
              <w:t>医院</w:t>
            </w:r>
          </w:p>
        </w:tc>
      </w:tr>
      <w:tr>
        <w:trPr>
          <w:trHeight w:val="311" w:hRule="atLeast"/>
        </w:trPr>
        <w:tc>
          <w:tcPr>
            <w:tcW w:w="2416" w:type="dxa"/>
          </w:tcPr>
          <w:p>
            <w:pPr>
              <w:pStyle w:val="TableParagraph"/>
              <w:ind w:left="155"/>
              <w:rPr>
                <w:sz w:val="21"/>
              </w:rPr>
            </w:pPr>
            <w:r>
              <w:rPr>
                <w:sz w:val="21"/>
              </w:rPr>
              <w:t>1.1 合同构成</w:t>
            </w:r>
          </w:p>
        </w:tc>
        <w:tc>
          <w:tcPr>
            <w:tcW w:w="3163" w:type="dxa"/>
          </w:tcPr>
          <w:p>
            <w:pPr>
              <w:pStyle w:val="TableParagraph"/>
              <w:ind w:left="254"/>
              <w:rPr>
                <w:sz w:val="21"/>
              </w:rPr>
            </w:pPr>
            <w:r>
              <w:rPr>
                <w:sz w:val="21"/>
              </w:rPr>
              <w:t>5.2 保单贷款</w:t>
            </w:r>
          </w:p>
        </w:tc>
        <w:tc>
          <w:tcPr>
            <w:tcW w:w="701" w:type="dxa"/>
          </w:tcPr>
          <w:p>
            <w:pPr>
              <w:pStyle w:val="TableParagraph"/>
              <w:ind w:left="173"/>
              <w:rPr>
                <w:sz w:val="21"/>
              </w:rPr>
            </w:pPr>
            <w:r>
              <w:rPr>
                <w:sz w:val="21"/>
              </w:rPr>
              <w:t>10.8</w:t>
            </w:r>
          </w:p>
        </w:tc>
        <w:tc>
          <w:tcPr>
            <w:tcW w:w="3209" w:type="dxa"/>
          </w:tcPr>
          <w:p>
            <w:pPr>
              <w:pStyle w:val="TableParagraph"/>
              <w:rPr>
                <w:sz w:val="21"/>
              </w:rPr>
            </w:pPr>
            <w:r>
              <w:rPr>
                <w:sz w:val="21"/>
              </w:rPr>
              <w:t>初次确诊</w:t>
            </w:r>
          </w:p>
        </w:tc>
      </w:tr>
      <w:tr>
        <w:trPr>
          <w:trHeight w:val="312" w:hRule="atLeast"/>
        </w:trPr>
        <w:tc>
          <w:tcPr>
            <w:tcW w:w="2416" w:type="dxa"/>
          </w:tcPr>
          <w:p>
            <w:pPr>
              <w:pStyle w:val="TableParagraph"/>
              <w:ind w:left="155"/>
              <w:rPr>
                <w:sz w:val="21"/>
              </w:rPr>
            </w:pPr>
            <w:r>
              <w:rPr>
                <w:sz w:val="21"/>
              </w:rPr>
              <w:t>1.2 合同成立及生效</w:t>
            </w:r>
          </w:p>
        </w:tc>
        <w:tc>
          <w:tcPr>
            <w:tcW w:w="3163" w:type="dxa"/>
          </w:tcPr>
          <w:p>
            <w:pPr>
              <w:pStyle w:val="TableParagraph"/>
              <w:ind w:left="254"/>
              <w:rPr>
                <w:sz w:val="21"/>
              </w:rPr>
            </w:pPr>
            <w:r>
              <w:rPr>
                <w:sz w:val="21"/>
              </w:rPr>
              <w:t>5.3 保险费自动垫交</w:t>
            </w:r>
          </w:p>
        </w:tc>
        <w:tc>
          <w:tcPr>
            <w:tcW w:w="701" w:type="dxa"/>
          </w:tcPr>
          <w:p>
            <w:pPr>
              <w:pStyle w:val="TableParagraph"/>
              <w:ind w:left="173"/>
              <w:rPr>
                <w:sz w:val="21"/>
              </w:rPr>
            </w:pPr>
            <w:r>
              <w:rPr>
                <w:sz w:val="21"/>
              </w:rPr>
              <w:t>10.9</w:t>
            </w:r>
          </w:p>
        </w:tc>
        <w:tc>
          <w:tcPr>
            <w:tcW w:w="3209" w:type="dxa"/>
          </w:tcPr>
          <w:p>
            <w:pPr>
              <w:pStyle w:val="TableParagraph"/>
              <w:rPr>
                <w:sz w:val="21"/>
              </w:rPr>
            </w:pPr>
            <w:r>
              <w:rPr>
                <w:sz w:val="21"/>
              </w:rPr>
              <w:t>意外伤害</w:t>
            </w:r>
          </w:p>
        </w:tc>
      </w:tr>
      <w:tr>
        <w:trPr>
          <w:trHeight w:val="312" w:hRule="atLeast"/>
        </w:trPr>
        <w:tc>
          <w:tcPr>
            <w:tcW w:w="2416" w:type="dxa"/>
          </w:tcPr>
          <w:p>
            <w:pPr>
              <w:pStyle w:val="TableParagraph"/>
              <w:ind w:left="155"/>
              <w:rPr>
                <w:sz w:val="21"/>
              </w:rPr>
            </w:pPr>
            <w:r>
              <w:rPr>
                <w:sz w:val="21"/>
              </w:rPr>
              <w:t>1.3 投保年龄</w:t>
            </w:r>
          </w:p>
        </w:tc>
        <w:tc>
          <w:tcPr>
            <w:tcW w:w="3163" w:type="dxa"/>
          </w:tcPr>
          <w:p>
            <w:pPr>
              <w:pStyle w:val="TableParagraph"/>
              <w:spacing w:line="285" w:lineRule="exact"/>
              <w:ind w:left="149"/>
              <w:rPr>
                <w:rFonts w:ascii="Microsoft JhengHei" w:eastAsia="Microsoft JhengHei" w:hint="eastAsia"/>
                <w:b/>
                <w:sz w:val="21"/>
              </w:rPr>
            </w:pPr>
            <w:r>
              <w:rPr>
                <w:rFonts w:ascii="Microsoft JhengHei" w:eastAsia="Microsoft JhengHei" w:hint="eastAsia"/>
                <w:b/>
                <w:sz w:val="21"/>
              </w:rPr>
              <w:t>6.  合同效力的中止及恢复</w:t>
            </w:r>
          </w:p>
        </w:tc>
        <w:tc>
          <w:tcPr>
            <w:tcW w:w="701" w:type="dxa"/>
          </w:tcPr>
          <w:p>
            <w:pPr>
              <w:pStyle w:val="TableParagraph"/>
              <w:ind w:left="173" w:right="-15"/>
              <w:rPr>
                <w:sz w:val="21"/>
              </w:rPr>
            </w:pPr>
            <w:r>
              <w:rPr>
                <w:sz w:val="21"/>
              </w:rPr>
              <w:t>10.10</w:t>
            </w:r>
          </w:p>
        </w:tc>
        <w:tc>
          <w:tcPr>
            <w:tcW w:w="3209" w:type="dxa"/>
          </w:tcPr>
          <w:p>
            <w:pPr>
              <w:pStyle w:val="TableParagraph"/>
              <w:ind w:left="105"/>
              <w:rPr>
                <w:sz w:val="21"/>
              </w:rPr>
            </w:pPr>
            <w:r>
              <w:rPr>
                <w:sz w:val="21"/>
              </w:rPr>
              <w:t>毒品</w:t>
            </w:r>
          </w:p>
        </w:tc>
      </w:tr>
      <w:tr>
        <w:trPr>
          <w:trHeight w:val="312" w:hRule="atLeast"/>
        </w:trPr>
        <w:tc>
          <w:tcPr>
            <w:tcW w:w="2416" w:type="dxa"/>
          </w:tcPr>
          <w:p>
            <w:pPr>
              <w:pStyle w:val="TableParagraph"/>
              <w:ind w:left="155"/>
              <w:rPr>
                <w:sz w:val="21"/>
              </w:rPr>
            </w:pPr>
            <w:r>
              <w:rPr>
                <w:sz w:val="21"/>
              </w:rPr>
              <w:t>1.4 犹豫期</w:t>
            </w:r>
          </w:p>
        </w:tc>
        <w:tc>
          <w:tcPr>
            <w:tcW w:w="3163" w:type="dxa"/>
          </w:tcPr>
          <w:p>
            <w:pPr>
              <w:pStyle w:val="TableParagraph"/>
              <w:ind w:left="254"/>
              <w:rPr>
                <w:sz w:val="21"/>
              </w:rPr>
            </w:pPr>
            <w:r>
              <w:rPr>
                <w:sz w:val="21"/>
              </w:rPr>
              <w:t>6.1 效力中止</w:t>
            </w:r>
          </w:p>
        </w:tc>
        <w:tc>
          <w:tcPr>
            <w:tcW w:w="701" w:type="dxa"/>
          </w:tcPr>
          <w:p>
            <w:pPr>
              <w:pStyle w:val="TableParagraph"/>
              <w:ind w:left="173" w:right="-15"/>
              <w:rPr>
                <w:sz w:val="21"/>
              </w:rPr>
            </w:pPr>
            <w:r>
              <w:rPr>
                <w:sz w:val="21"/>
              </w:rPr>
              <w:t>10.11</w:t>
            </w:r>
          </w:p>
        </w:tc>
        <w:tc>
          <w:tcPr>
            <w:tcW w:w="3209" w:type="dxa"/>
          </w:tcPr>
          <w:p>
            <w:pPr>
              <w:pStyle w:val="TableParagraph"/>
              <w:ind w:left="105"/>
              <w:rPr>
                <w:sz w:val="21"/>
              </w:rPr>
            </w:pPr>
            <w:r>
              <w:rPr>
                <w:sz w:val="21"/>
              </w:rPr>
              <w:t>酒后驾驶</w:t>
            </w:r>
          </w:p>
        </w:tc>
      </w:tr>
      <w:tr>
        <w:trPr>
          <w:trHeight w:val="311" w:hRule="atLeast"/>
        </w:trPr>
        <w:tc>
          <w:tcPr>
            <w:tcW w:w="241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163" w:type="dxa"/>
          </w:tcPr>
          <w:p>
            <w:pPr>
              <w:pStyle w:val="TableParagraph"/>
              <w:ind w:left="254"/>
              <w:rPr>
                <w:sz w:val="21"/>
              </w:rPr>
            </w:pPr>
            <w:r>
              <w:rPr>
                <w:sz w:val="21"/>
              </w:rPr>
              <w:t>6.2 效力恢复</w:t>
            </w:r>
          </w:p>
        </w:tc>
        <w:tc>
          <w:tcPr>
            <w:tcW w:w="701" w:type="dxa"/>
          </w:tcPr>
          <w:p>
            <w:pPr>
              <w:pStyle w:val="TableParagraph"/>
              <w:ind w:left="173" w:right="-15"/>
              <w:rPr>
                <w:sz w:val="21"/>
              </w:rPr>
            </w:pPr>
            <w:r>
              <w:rPr>
                <w:sz w:val="21"/>
              </w:rPr>
              <w:t>10.12</w:t>
            </w:r>
          </w:p>
        </w:tc>
        <w:tc>
          <w:tcPr>
            <w:tcW w:w="3209" w:type="dxa"/>
          </w:tcPr>
          <w:p>
            <w:pPr>
              <w:pStyle w:val="TableParagraph"/>
              <w:ind w:left="105"/>
              <w:rPr>
                <w:sz w:val="21"/>
              </w:rPr>
            </w:pPr>
            <w:r>
              <w:rPr>
                <w:sz w:val="21"/>
              </w:rPr>
              <w:t>无合法有效驾驶证驾驶</w:t>
            </w:r>
          </w:p>
        </w:tc>
      </w:tr>
      <w:tr>
        <w:trPr>
          <w:trHeight w:val="311" w:hRule="atLeast"/>
        </w:trPr>
        <w:tc>
          <w:tcPr>
            <w:tcW w:w="2416" w:type="dxa"/>
          </w:tcPr>
          <w:p>
            <w:pPr>
              <w:pStyle w:val="TableParagraph"/>
              <w:ind w:left="155"/>
              <w:rPr>
                <w:sz w:val="21"/>
              </w:rPr>
            </w:pPr>
            <w:r>
              <w:rPr>
                <w:sz w:val="21"/>
              </w:rPr>
              <w:t>2.1 基本保险金额</w:t>
            </w:r>
          </w:p>
        </w:tc>
        <w:tc>
          <w:tcPr>
            <w:tcW w:w="3163" w:type="dxa"/>
          </w:tcPr>
          <w:p>
            <w:pPr>
              <w:pStyle w:val="TableParagraph"/>
              <w:spacing w:line="285" w:lineRule="exact"/>
              <w:ind w:left="149"/>
              <w:rPr>
                <w:rFonts w:ascii="Microsoft JhengHei" w:eastAsia="Microsoft JhengHei" w:hint="eastAsia"/>
                <w:b/>
                <w:sz w:val="21"/>
              </w:rPr>
            </w:pPr>
            <w:r>
              <w:rPr>
                <w:rFonts w:ascii="Microsoft JhengHei" w:eastAsia="Microsoft JhengHei" w:hint="eastAsia"/>
                <w:b/>
                <w:w w:val="105"/>
                <w:sz w:val="21"/>
              </w:rPr>
              <w:t>7. 合同解除</w:t>
            </w:r>
          </w:p>
        </w:tc>
        <w:tc>
          <w:tcPr>
            <w:tcW w:w="701" w:type="dxa"/>
          </w:tcPr>
          <w:p>
            <w:pPr>
              <w:pStyle w:val="TableParagraph"/>
              <w:ind w:left="173" w:right="-15"/>
              <w:rPr>
                <w:sz w:val="21"/>
              </w:rPr>
            </w:pPr>
            <w:r>
              <w:rPr>
                <w:sz w:val="21"/>
              </w:rPr>
              <w:t>10.13</w:t>
            </w:r>
          </w:p>
        </w:tc>
        <w:tc>
          <w:tcPr>
            <w:tcW w:w="3209" w:type="dxa"/>
          </w:tcPr>
          <w:p>
            <w:pPr>
              <w:pStyle w:val="TableParagraph"/>
              <w:ind w:left="105"/>
              <w:rPr>
                <w:sz w:val="21"/>
              </w:rPr>
            </w:pPr>
            <w:r>
              <w:rPr>
                <w:sz w:val="21"/>
              </w:rPr>
              <w:t>无合法有效行驶证</w:t>
            </w:r>
          </w:p>
        </w:tc>
      </w:tr>
      <w:tr>
        <w:trPr>
          <w:trHeight w:val="312" w:hRule="atLeast"/>
        </w:trPr>
        <w:tc>
          <w:tcPr>
            <w:tcW w:w="2416" w:type="dxa"/>
          </w:tcPr>
          <w:p>
            <w:pPr>
              <w:pStyle w:val="TableParagraph"/>
              <w:ind w:left="155"/>
              <w:rPr>
                <w:sz w:val="21"/>
              </w:rPr>
            </w:pPr>
            <w:r>
              <w:rPr>
                <w:sz w:val="21"/>
              </w:rPr>
              <w:t>2.2 保险期间</w:t>
            </w:r>
          </w:p>
        </w:tc>
        <w:tc>
          <w:tcPr>
            <w:tcW w:w="3163" w:type="dxa"/>
          </w:tcPr>
          <w:p>
            <w:pPr>
              <w:pStyle w:val="TableParagraph"/>
              <w:ind w:left="254"/>
              <w:rPr>
                <w:sz w:val="21"/>
              </w:rPr>
            </w:pPr>
            <w:r>
              <w:rPr>
                <w:sz w:val="21"/>
              </w:rPr>
              <w:t>7.1 您解除合同的手续及风险</w:t>
            </w:r>
          </w:p>
        </w:tc>
        <w:tc>
          <w:tcPr>
            <w:tcW w:w="701" w:type="dxa"/>
          </w:tcPr>
          <w:p>
            <w:pPr>
              <w:pStyle w:val="TableParagraph"/>
              <w:ind w:left="173" w:right="-15"/>
              <w:rPr>
                <w:sz w:val="21"/>
              </w:rPr>
            </w:pPr>
            <w:r>
              <w:rPr>
                <w:sz w:val="21"/>
              </w:rPr>
              <w:t>10.14</w:t>
            </w:r>
          </w:p>
        </w:tc>
        <w:tc>
          <w:tcPr>
            <w:tcW w:w="3209" w:type="dxa"/>
          </w:tcPr>
          <w:p>
            <w:pPr>
              <w:pStyle w:val="TableParagraph"/>
              <w:ind w:left="105"/>
              <w:rPr>
                <w:sz w:val="21"/>
              </w:rPr>
            </w:pPr>
            <w:r>
              <w:rPr>
                <w:sz w:val="21"/>
              </w:rPr>
              <w:t>机动车</w:t>
            </w:r>
          </w:p>
        </w:tc>
      </w:tr>
      <w:tr>
        <w:trPr>
          <w:trHeight w:val="312" w:hRule="atLeast"/>
        </w:trPr>
        <w:tc>
          <w:tcPr>
            <w:tcW w:w="2416" w:type="dxa"/>
          </w:tcPr>
          <w:p>
            <w:pPr>
              <w:pStyle w:val="TableParagraph"/>
              <w:ind w:left="155"/>
              <w:rPr>
                <w:sz w:val="21"/>
              </w:rPr>
            </w:pPr>
            <w:r>
              <w:rPr>
                <w:sz w:val="21"/>
              </w:rPr>
              <w:t>2.3 保险责任</w:t>
            </w:r>
          </w:p>
        </w:tc>
        <w:tc>
          <w:tcPr>
            <w:tcW w:w="3163" w:type="dxa"/>
          </w:tcPr>
          <w:p>
            <w:pPr>
              <w:pStyle w:val="TableParagraph"/>
              <w:spacing w:line="285" w:lineRule="exact"/>
              <w:ind w:left="149"/>
              <w:rPr>
                <w:rFonts w:ascii="Microsoft JhengHei" w:eastAsia="Microsoft JhengHei" w:hint="eastAsia"/>
                <w:b/>
                <w:sz w:val="21"/>
              </w:rPr>
            </w:pPr>
            <w:r>
              <w:rPr>
                <w:rFonts w:ascii="Microsoft JhengHei" w:eastAsia="Microsoft JhengHei" w:hint="eastAsia"/>
                <w:b/>
                <w:sz w:val="21"/>
              </w:rPr>
              <w:t>8.  其他需要关注的事项</w:t>
            </w:r>
          </w:p>
        </w:tc>
        <w:tc>
          <w:tcPr>
            <w:tcW w:w="701" w:type="dxa"/>
          </w:tcPr>
          <w:p>
            <w:pPr>
              <w:pStyle w:val="TableParagraph"/>
              <w:ind w:left="173" w:right="-15"/>
              <w:rPr>
                <w:sz w:val="21"/>
              </w:rPr>
            </w:pPr>
            <w:r>
              <w:rPr>
                <w:sz w:val="21"/>
              </w:rPr>
              <w:t>10.15</w:t>
            </w:r>
          </w:p>
        </w:tc>
        <w:tc>
          <w:tcPr>
            <w:tcW w:w="3209" w:type="dxa"/>
          </w:tcPr>
          <w:p>
            <w:pPr>
              <w:pStyle w:val="TableParagraph"/>
              <w:ind w:left="105"/>
              <w:rPr>
                <w:sz w:val="21"/>
              </w:rPr>
            </w:pPr>
            <w:r>
              <w:rPr>
                <w:sz w:val="21"/>
              </w:rPr>
              <w:t>感染艾滋病病毒或者患艾滋病</w:t>
            </w:r>
          </w:p>
        </w:tc>
      </w:tr>
      <w:tr>
        <w:trPr>
          <w:trHeight w:val="311" w:hRule="atLeast"/>
        </w:trPr>
        <w:tc>
          <w:tcPr>
            <w:tcW w:w="2416" w:type="dxa"/>
          </w:tcPr>
          <w:p>
            <w:pPr>
              <w:pStyle w:val="TableParagraph"/>
              <w:ind w:left="155"/>
              <w:rPr>
                <w:sz w:val="21"/>
              </w:rPr>
            </w:pPr>
            <w:r>
              <w:rPr>
                <w:sz w:val="21"/>
              </w:rPr>
              <w:t>2.4 责任免除</w:t>
            </w:r>
          </w:p>
        </w:tc>
        <w:tc>
          <w:tcPr>
            <w:tcW w:w="3163" w:type="dxa"/>
          </w:tcPr>
          <w:p>
            <w:pPr>
              <w:pStyle w:val="TableParagraph"/>
              <w:ind w:left="254"/>
              <w:rPr>
                <w:sz w:val="21"/>
              </w:rPr>
            </w:pPr>
            <w:r>
              <w:rPr>
                <w:sz w:val="21"/>
              </w:rPr>
              <w:t>8.1 效力终止</w:t>
            </w:r>
          </w:p>
        </w:tc>
        <w:tc>
          <w:tcPr>
            <w:tcW w:w="701" w:type="dxa"/>
          </w:tcPr>
          <w:p>
            <w:pPr>
              <w:pStyle w:val="TableParagraph"/>
              <w:ind w:left="173" w:right="-15"/>
              <w:rPr>
                <w:sz w:val="21"/>
              </w:rPr>
            </w:pPr>
            <w:r>
              <w:rPr>
                <w:sz w:val="21"/>
              </w:rPr>
              <w:t>10.16</w:t>
            </w:r>
          </w:p>
        </w:tc>
        <w:tc>
          <w:tcPr>
            <w:tcW w:w="3209" w:type="dxa"/>
          </w:tcPr>
          <w:p>
            <w:pPr>
              <w:pStyle w:val="TableParagraph"/>
              <w:ind w:left="105"/>
              <w:rPr>
                <w:sz w:val="21"/>
              </w:rPr>
            </w:pPr>
            <w:r>
              <w:rPr>
                <w:sz w:val="21"/>
              </w:rPr>
              <w:t>遗传性疾病</w:t>
            </w:r>
          </w:p>
        </w:tc>
      </w:tr>
      <w:tr>
        <w:trPr>
          <w:trHeight w:val="312" w:hRule="atLeast"/>
        </w:trPr>
        <w:tc>
          <w:tcPr>
            <w:tcW w:w="241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163" w:type="dxa"/>
          </w:tcPr>
          <w:p>
            <w:pPr>
              <w:pStyle w:val="TableParagraph"/>
              <w:ind w:left="254"/>
              <w:rPr>
                <w:sz w:val="21"/>
              </w:rPr>
            </w:pPr>
            <w:r>
              <w:rPr>
                <w:sz w:val="21"/>
              </w:rPr>
              <w:t>8.2 适用主合同条款</w:t>
            </w:r>
          </w:p>
        </w:tc>
        <w:tc>
          <w:tcPr>
            <w:tcW w:w="701" w:type="dxa"/>
          </w:tcPr>
          <w:p>
            <w:pPr>
              <w:pStyle w:val="TableParagraph"/>
              <w:ind w:left="173" w:right="-15"/>
              <w:rPr>
                <w:sz w:val="21"/>
              </w:rPr>
            </w:pPr>
            <w:r>
              <w:rPr>
                <w:sz w:val="21"/>
              </w:rPr>
              <w:t>10.17</w:t>
            </w:r>
          </w:p>
        </w:tc>
        <w:tc>
          <w:tcPr>
            <w:tcW w:w="3209" w:type="dxa"/>
          </w:tcPr>
          <w:p>
            <w:pPr>
              <w:pStyle w:val="TableParagraph"/>
              <w:ind w:left="105"/>
              <w:rPr>
                <w:sz w:val="21"/>
              </w:rPr>
            </w:pPr>
            <w:r>
              <w:rPr>
                <w:spacing w:val="-12"/>
                <w:sz w:val="21"/>
              </w:rPr>
              <w:t>先天性畸形、变形或者染色体异常</w:t>
            </w:r>
          </w:p>
        </w:tc>
      </w:tr>
      <w:tr>
        <w:trPr>
          <w:trHeight w:val="311" w:hRule="atLeast"/>
        </w:trPr>
        <w:tc>
          <w:tcPr>
            <w:tcW w:w="2416" w:type="dxa"/>
          </w:tcPr>
          <w:p>
            <w:pPr>
              <w:pStyle w:val="TableParagraph"/>
              <w:ind w:left="155"/>
              <w:rPr>
                <w:sz w:val="21"/>
              </w:rPr>
            </w:pPr>
            <w:r>
              <w:rPr>
                <w:sz w:val="21"/>
              </w:rPr>
              <w:t>3.1 受益人</w:t>
            </w:r>
          </w:p>
        </w:tc>
        <w:tc>
          <w:tcPr>
            <w:tcW w:w="3163" w:type="dxa"/>
          </w:tcPr>
          <w:p>
            <w:pPr>
              <w:pStyle w:val="TableParagraph"/>
              <w:spacing w:line="285" w:lineRule="exact"/>
              <w:ind w:left="149"/>
              <w:rPr>
                <w:rFonts w:ascii="Microsoft JhengHei" w:eastAsia="Microsoft JhengHei" w:hint="eastAsia"/>
                <w:b/>
                <w:sz w:val="21"/>
              </w:rPr>
            </w:pPr>
            <w:r>
              <w:rPr>
                <w:rFonts w:ascii="Microsoft JhengHei" w:eastAsia="Microsoft JhengHei" w:hint="eastAsia"/>
                <w:b/>
                <w:w w:val="105"/>
                <w:sz w:val="21"/>
              </w:rPr>
              <w:t>9. 重大疾病定义</w:t>
            </w:r>
          </w:p>
        </w:tc>
        <w:tc>
          <w:tcPr>
            <w:tcW w:w="701" w:type="dxa"/>
          </w:tcPr>
          <w:p>
            <w:pPr>
              <w:pStyle w:val="TableParagraph"/>
              <w:ind w:left="173" w:right="-15"/>
              <w:rPr>
                <w:sz w:val="21"/>
              </w:rPr>
            </w:pPr>
            <w:r>
              <w:rPr>
                <w:sz w:val="21"/>
              </w:rPr>
              <w:t>10.18</w:t>
            </w:r>
          </w:p>
        </w:tc>
        <w:tc>
          <w:tcPr>
            <w:tcW w:w="3209" w:type="dxa"/>
          </w:tcPr>
          <w:p>
            <w:pPr>
              <w:pStyle w:val="TableParagraph"/>
              <w:ind w:left="105"/>
              <w:rPr>
                <w:sz w:val="21"/>
              </w:rPr>
            </w:pPr>
            <w:r>
              <w:rPr>
                <w:sz w:val="21"/>
              </w:rPr>
              <w:t>现金价值</w:t>
            </w:r>
          </w:p>
        </w:tc>
      </w:tr>
      <w:tr>
        <w:trPr>
          <w:trHeight w:val="311" w:hRule="atLeast"/>
        </w:trPr>
        <w:tc>
          <w:tcPr>
            <w:tcW w:w="2416" w:type="dxa"/>
          </w:tcPr>
          <w:p>
            <w:pPr>
              <w:pStyle w:val="TableParagraph"/>
              <w:ind w:left="155"/>
              <w:rPr>
                <w:sz w:val="21"/>
              </w:rPr>
            </w:pPr>
            <w:r>
              <w:rPr>
                <w:sz w:val="21"/>
              </w:rPr>
              <w:t>3.2 保险事故通知</w:t>
            </w:r>
          </w:p>
        </w:tc>
        <w:tc>
          <w:tcPr>
            <w:tcW w:w="3163" w:type="dxa"/>
          </w:tcPr>
          <w:p>
            <w:pPr>
              <w:pStyle w:val="TableParagraph"/>
              <w:spacing w:line="285" w:lineRule="exact"/>
              <w:ind w:left="149"/>
              <w:rPr>
                <w:rFonts w:ascii="Microsoft JhengHei" w:eastAsia="Microsoft JhengHei" w:hint="eastAsia"/>
                <w:b/>
                <w:sz w:val="21"/>
              </w:rPr>
            </w:pPr>
            <w:r>
              <w:rPr>
                <w:rFonts w:ascii="Microsoft JhengHei" w:eastAsia="Microsoft JhengHei" w:hint="eastAsia"/>
                <w:b/>
                <w:sz w:val="21"/>
              </w:rPr>
              <w:t>10. 释 义</w:t>
            </w:r>
          </w:p>
        </w:tc>
        <w:tc>
          <w:tcPr>
            <w:tcW w:w="701" w:type="dxa"/>
          </w:tcPr>
          <w:p>
            <w:pPr>
              <w:pStyle w:val="TableParagraph"/>
              <w:ind w:left="173" w:right="-15"/>
              <w:rPr>
                <w:sz w:val="21"/>
              </w:rPr>
            </w:pPr>
            <w:r>
              <w:rPr>
                <w:sz w:val="21"/>
              </w:rPr>
              <w:t>10.19</w:t>
            </w:r>
          </w:p>
        </w:tc>
        <w:tc>
          <w:tcPr>
            <w:tcW w:w="3209" w:type="dxa"/>
          </w:tcPr>
          <w:p>
            <w:pPr>
              <w:pStyle w:val="TableParagraph"/>
              <w:ind w:left="105"/>
              <w:rPr>
                <w:sz w:val="21"/>
              </w:rPr>
            </w:pPr>
            <w:r>
              <w:rPr>
                <w:sz w:val="21"/>
              </w:rPr>
              <w:t>专科医生</w:t>
            </w:r>
          </w:p>
        </w:tc>
      </w:tr>
      <w:tr>
        <w:trPr>
          <w:trHeight w:val="312" w:hRule="atLeast"/>
        </w:trPr>
        <w:tc>
          <w:tcPr>
            <w:tcW w:w="2416" w:type="dxa"/>
          </w:tcPr>
          <w:p>
            <w:pPr>
              <w:pStyle w:val="TableParagraph"/>
              <w:ind w:left="155"/>
              <w:rPr>
                <w:sz w:val="21"/>
              </w:rPr>
            </w:pPr>
            <w:r>
              <w:rPr>
                <w:sz w:val="21"/>
              </w:rPr>
              <w:t>3.3 保险金申请</w:t>
            </w:r>
          </w:p>
        </w:tc>
        <w:tc>
          <w:tcPr>
            <w:tcW w:w="3163" w:type="dxa"/>
          </w:tcPr>
          <w:p>
            <w:pPr>
              <w:pStyle w:val="TableParagraph"/>
              <w:ind w:left="254"/>
              <w:rPr>
                <w:sz w:val="21"/>
              </w:rPr>
            </w:pPr>
            <w:r>
              <w:rPr>
                <w:sz w:val="21"/>
              </w:rPr>
              <w:t>10.1 合法有效</w:t>
            </w:r>
          </w:p>
        </w:tc>
        <w:tc>
          <w:tcPr>
            <w:tcW w:w="701" w:type="dxa"/>
          </w:tcPr>
          <w:p>
            <w:pPr>
              <w:pStyle w:val="TableParagraph"/>
              <w:ind w:left="173" w:right="-15"/>
              <w:rPr>
                <w:sz w:val="21"/>
              </w:rPr>
            </w:pPr>
            <w:r>
              <w:rPr>
                <w:sz w:val="21"/>
              </w:rPr>
              <w:t>10.20</w:t>
            </w:r>
          </w:p>
        </w:tc>
        <w:tc>
          <w:tcPr>
            <w:tcW w:w="3209" w:type="dxa"/>
          </w:tcPr>
          <w:p>
            <w:pPr>
              <w:pStyle w:val="TableParagraph"/>
              <w:ind w:left="105"/>
              <w:rPr>
                <w:sz w:val="21"/>
              </w:rPr>
            </w:pPr>
            <w:r>
              <w:rPr>
                <w:sz w:val="21"/>
              </w:rPr>
              <w:t>利息</w:t>
            </w:r>
          </w:p>
        </w:tc>
      </w:tr>
      <w:tr>
        <w:trPr>
          <w:trHeight w:val="311" w:hRule="atLeast"/>
        </w:trPr>
        <w:tc>
          <w:tcPr>
            <w:tcW w:w="2416" w:type="dxa"/>
          </w:tcPr>
          <w:p>
            <w:pPr>
              <w:pStyle w:val="TableParagraph"/>
              <w:ind w:left="155"/>
              <w:rPr>
                <w:sz w:val="21"/>
              </w:rPr>
            </w:pPr>
            <w:r>
              <w:rPr>
                <w:sz w:val="21"/>
              </w:rPr>
              <w:t>3.4 保险金给付</w:t>
            </w:r>
          </w:p>
        </w:tc>
        <w:tc>
          <w:tcPr>
            <w:tcW w:w="3163" w:type="dxa"/>
          </w:tcPr>
          <w:p>
            <w:pPr>
              <w:pStyle w:val="TableParagraph"/>
              <w:ind w:left="254"/>
              <w:rPr>
                <w:sz w:val="21"/>
              </w:rPr>
            </w:pPr>
            <w:r>
              <w:rPr>
                <w:sz w:val="21"/>
              </w:rPr>
              <w:t>10.2 保单年度</w:t>
            </w:r>
          </w:p>
        </w:tc>
        <w:tc>
          <w:tcPr>
            <w:tcW w:w="701" w:type="dxa"/>
          </w:tcPr>
          <w:p>
            <w:pPr>
              <w:pStyle w:val="TableParagraph"/>
              <w:ind w:left="173" w:right="-15"/>
              <w:rPr>
                <w:sz w:val="21"/>
              </w:rPr>
            </w:pPr>
            <w:r>
              <w:rPr>
                <w:sz w:val="21"/>
              </w:rPr>
              <w:t>10.21</w:t>
            </w:r>
          </w:p>
        </w:tc>
        <w:tc>
          <w:tcPr>
            <w:tcW w:w="3209" w:type="dxa"/>
          </w:tcPr>
          <w:p>
            <w:pPr>
              <w:pStyle w:val="TableParagraph"/>
              <w:ind w:left="105"/>
              <w:rPr>
                <w:sz w:val="21"/>
              </w:rPr>
            </w:pPr>
            <w:r>
              <w:rPr>
                <w:sz w:val="21"/>
              </w:rPr>
              <w:t>肢体机能完全丧失</w:t>
            </w:r>
          </w:p>
        </w:tc>
      </w:tr>
      <w:tr>
        <w:trPr>
          <w:trHeight w:val="312" w:hRule="atLeast"/>
        </w:trPr>
        <w:tc>
          <w:tcPr>
            <w:tcW w:w="2416" w:type="dxa"/>
          </w:tcPr>
          <w:p>
            <w:pPr>
              <w:pStyle w:val="TableParagraph"/>
              <w:ind w:left="155"/>
              <w:rPr>
                <w:sz w:val="21"/>
              </w:rPr>
            </w:pPr>
            <w:r>
              <w:rPr>
                <w:sz w:val="21"/>
              </w:rPr>
              <w:t>3.5 诉讼时效</w:t>
            </w:r>
          </w:p>
        </w:tc>
        <w:tc>
          <w:tcPr>
            <w:tcW w:w="3163" w:type="dxa"/>
          </w:tcPr>
          <w:p>
            <w:pPr>
              <w:pStyle w:val="TableParagraph"/>
              <w:ind w:left="254"/>
              <w:rPr>
                <w:sz w:val="21"/>
              </w:rPr>
            </w:pPr>
            <w:r>
              <w:rPr>
                <w:sz w:val="21"/>
              </w:rPr>
              <w:t>10.3 保险费约定交纳日</w:t>
            </w:r>
          </w:p>
        </w:tc>
        <w:tc>
          <w:tcPr>
            <w:tcW w:w="701" w:type="dxa"/>
          </w:tcPr>
          <w:p>
            <w:pPr>
              <w:pStyle w:val="TableParagraph"/>
              <w:ind w:left="173" w:right="-15"/>
              <w:rPr>
                <w:sz w:val="21"/>
              </w:rPr>
            </w:pPr>
            <w:r>
              <w:rPr>
                <w:sz w:val="21"/>
              </w:rPr>
              <w:t>10.22</w:t>
            </w:r>
          </w:p>
        </w:tc>
        <w:tc>
          <w:tcPr>
            <w:tcW w:w="3209" w:type="dxa"/>
          </w:tcPr>
          <w:p>
            <w:pPr>
              <w:pStyle w:val="TableParagraph"/>
              <w:ind w:left="105"/>
              <w:rPr>
                <w:sz w:val="21"/>
              </w:rPr>
            </w:pPr>
            <w:r>
              <w:rPr>
                <w:sz w:val="21"/>
              </w:rPr>
              <w:t>语言能力或咀嚼吞咽能力完全丧</w:t>
            </w:r>
          </w:p>
        </w:tc>
      </w:tr>
      <w:tr>
        <w:trPr>
          <w:trHeight w:val="311" w:hRule="atLeast"/>
        </w:trPr>
        <w:tc>
          <w:tcPr>
            <w:tcW w:w="241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163" w:type="dxa"/>
          </w:tcPr>
          <w:p>
            <w:pPr>
              <w:pStyle w:val="TableParagraph"/>
              <w:ind w:left="254"/>
              <w:rPr>
                <w:sz w:val="21"/>
              </w:rPr>
            </w:pPr>
            <w:r>
              <w:rPr>
                <w:sz w:val="21"/>
              </w:rPr>
              <w:t>10.4 周岁</w:t>
            </w:r>
          </w:p>
        </w:tc>
        <w:tc>
          <w:tcPr>
            <w:tcW w:w="701" w:type="dxa"/>
          </w:tcPr>
          <w:p>
            <w:pPr>
              <w:pStyle w:val="TableParagraph"/>
              <w:spacing w:line="240" w:lineRule="auto"/>
              <w:rPr>
                <w:rFonts w:ascii="Times New Roman"/>
                <w:sz w:val="20"/>
              </w:rPr>
            </w:pPr>
          </w:p>
        </w:tc>
        <w:tc>
          <w:tcPr>
            <w:tcW w:w="3209" w:type="dxa"/>
          </w:tcPr>
          <w:p>
            <w:pPr>
              <w:pStyle w:val="TableParagraph"/>
              <w:ind w:left="91"/>
              <w:rPr>
                <w:sz w:val="21"/>
              </w:rPr>
            </w:pPr>
            <w:r>
              <w:rPr>
                <w:w w:val="100"/>
                <w:sz w:val="21"/>
              </w:rPr>
              <w:t>失</w:t>
            </w:r>
          </w:p>
        </w:tc>
      </w:tr>
      <w:tr>
        <w:trPr>
          <w:trHeight w:val="311" w:hRule="atLeast"/>
        </w:trPr>
        <w:tc>
          <w:tcPr>
            <w:tcW w:w="2416" w:type="dxa"/>
          </w:tcPr>
          <w:p>
            <w:pPr>
              <w:pStyle w:val="TableParagraph"/>
              <w:ind w:left="155"/>
              <w:rPr>
                <w:sz w:val="21"/>
              </w:rPr>
            </w:pPr>
            <w:r>
              <w:rPr>
                <w:sz w:val="21"/>
              </w:rPr>
              <w:t>4.1 保险费的交纳</w:t>
            </w:r>
          </w:p>
        </w:tc>
        <w:tc>
          <w:tcPr>
            <w:tcW w:w="3163" w:type="dxa"/>
          </w:tcPr>
          <w:p>
            <w:pPr>
              <w:pStyle w:val="TableParagraph"/>
              <w:ind w:left="254"/>
              <w:rPr>
                <w:sz w:val="21"/>
              </w:rPr>
            </w:pPr>
            <w:r>
              <w:rPr>
                <w:sz w:val="21"/>
              </w:rPr>
              <w:t>10.5 有效身份证件</w:t>
            </w:r>
          </w:p>
        </w:tc>
        <w:tc>
          <w:tcPr>
            <w:tcW w:w="701" w:type="dxa"/>
          </w:tcPr>
          <w:p>
            <w:pPr>
              <w:pStyle w:val="TableParagraph"/>
              <w:ind w:left="173" w:right="-15"/>
              <w:rPr>
                <w:sz w:val="21"/>
              </w:rPr>
            </w:pPr>
            <w:r>
              <w:rPr>
                <w:sz w:val="21"/>
              </w:rPr>
              <w:t>10.23</w:t>
            </w:r>
          </w:p>
        </w:tc>
        <w:tc>
          <w:tcPr>
            <w:tcW w:w="3209" w:type="dxa"/>
          </w:tcPr>
          <w:p>
            <w:pPr>
              <w:pStyle w:val="TableParagraph"/>
              <w:ind w:left="105"/>
              <w:rPr>
                <w:sz w:val="21"/>
              </w:rPr>
            </w:pPr>
            <w:r>
              <w:rPr>
                <w:sz w:val="21"/>
              </w:rPr>
              <w:t>六项基本日常生活活动</w:t>
            </w:r>
          </w:p>
        </w:tc>
      </w:tr>
      <w:tr>
        <w:trPr>
          <w:trHeight w:val="312" w:hRule="atLeast"/>
        </w:trPr>
        <w:tc>
          <w:tcPr>
            <w:tcW w:w="2416" w:type="dxa"/>
          </w:tcPr>
          <w:p>
            <w:pPr>
              <w:pStyle w:val="TableParagraph"/>
              <w:ind w:left="155"/>
              <w:rPr>
                <w:sz w:val="21"/>
              </w:rPr>
            </w:pPr>
            <w:r>
              <w:rPr>
                <w:sz w:val="21"/>
              </w:rPr>
              <w:t>4.2 宽限期</w:t>
            </w:r>
          </w:p>
        </w:tc>
        <w:tc>
          <w:tcPr>
            <w:tcW w:w="3163" w:type="dxa"/>
          </w:tcPr>
          <w:p>
            <w:pPr>
              <w:pStyle w:val="TableParagraph"/>
              <w:ind w:left="245"/>
              <w:rPr>
                <w:sz w:val="21"/>
              </w:rPr>
            </w:pPr>
            <w:r>
              <w:rPr>
                <w:sz w:val="21"/>
              </w:rPr>
              <w:t>10.6 与基本保险金额减少部</w:t>
            </w:r>
          </w:p>
        </w:tc>
        <w:tc>
          <w:tcPr>
            <w:tcW w:w="701" w:type="dxa"/>
          </w:tcPr>
          <w:p>
            <w:pPr>
              <w:pStyle w:val="TableParagraph"/>
              <w:ind w:left="173" w:right="-15"/>
              <w:rPr>
                <w:sz w:val="21"/>
              </w:rPr>
            </w:pPr>
            <w:r>
              <w:rPr>
                <w:sz w:val="21"/>
              </w:rPr>
              <w:t>10.24</w:t>
            </w:r>
          </w:p>
        </w:tc>
        <w:tc>
          <w:tcPr>
            <w:tcW w:w="3209" w:type="dxa"/>
          </w:tcPr>
          <w:p>
            <w:pPr>
              <w:pStyle w:val="TableParagraph"/>
              <w:ind w:left="105"/>
              <w:rPr>
                <w:sz w:val="21"/>
              </w:rPr>
            </w:pPr>
            <w:r>
              <w:rPr>
                <w:sz w:val="21"/>
              </w:rPr>
              <w:t>永久不可逆</w:t>
            </w:r>
          </w:p>
        </w:tc>
      </w:tr>
      <w:tr>
        <w:trPr>
          <w:trHeight w:val="311" w:hRule="atLeast"/>
        </w:trPr>
        <w:tc>
          <w:tcPr>
            <w:tcW w:w="241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163" w:type="dxa"/>
          </w:tcPr>
          <w:p>
            <w:pPr>
              <w:pStyle w:val="TableParagraph"/>
              <w:ind w:left="768"/>
              <w:rPr>
                <w:sz w:val="21"/>
              </w:rPr>
            </w:pPr>
            <w:r>
              <w:rPr>
                <w:sz w:val="21"/>
              </w:rPr>
              <w:t>分相对应的现金价值</w:t>
            </w:r>
          </w:p>
        </w:tc>
        <w:tc>
          <w:tcPr>
            <w:tcW w:w="701" w:type="dxa"/>
          </w:tcPr>
          <w:p>
            <w:pPr>
              <w:pStyle w:val="TableParagraph"/>
              <w:ind w:left="173" w:right="-15"/>
              <w:rPr>
                <w:sz w:val="21"/>
              </w:rPr>
            </w:pPr>
            <w:r>
              <w:rPr>
                <w:sz w:val="21"/>
              </w:rPr>
              <w:t>10.25</w:t>
            </w:r>
          </w:p>
        </w:tc>
        <w:tc>
          <w:tcPr>
            <w:tcW w:w="3209" w:type="dxa"/>
          </w:tcPr>
          <w:p>
            <w:pPr>
              <w:pStyle w:val="TableParagraph"/>
              <w:ind w:left="105"/>
              <w:rPr>
                <w:sz w:val="21"/>
              </w:rPr>
            </w:pPr>
            <w:r>
              <w:rPr>
                <w:sz w:val="21"/>
              </w:rPr>
              <w:t>本公司认可的医院</w:t>
            </w:r>
          </w:p>
        </w:tc>
      </w:tr>
      <w:tr>
        <w:trPr>
          <w:trHeight w:val="261" w:hRule="atLeast"/>
        </w:trPr>
        <w:tc>
          <w:tcPr>
            <w:tcW w:w="2416" w:type="dxa"/>
          </w:tcPr>
          <w:p>
            <w:pPr>
              <w:pStyle w:val="TableParagraph"/>
              <w:spacing w:line="240" w:lineRule="auto"/>
              <w:rPr>
                <w:rFonts w:ascii="Times New Roman"/>
                <w:sz w:val="18"/>
              </w:rPr>
            </w:pPr>
          </w:p>
        </w:tc>
        <w:tc>
          <w:tcPr>
            <w:tcW w:w="3163" w:type="dxa"/>
          </w:tcPr>
          <w:p>
            <w:pPr>
              <w:pStyle w:val="TableParagraph"/>
              <w:spacing w:line="240" w:lineRule="auto"/>
              <w:rPr>
                <w:rFonts w:ascii="Times New Roman"/>
                <w:sz w:val="18"/>
              </w:rPr>
            </w:pPr>
          </w:p>
        </w:tc>
        <w:tc>
          <w:tcPr>
            <w:tcW w:w="701" w:type="dxa"/>
          </w:tcPr>
          <w:p>
            <w:pPr>
              <w:pStyle w:val="TableParagraph"/>
              <w:spacing w:line="242" w:lineRule="exact"/>
              <w:ind w:left="173" w:right="-15"/>
              <w:rPr>
                <w:sz w:val="21"/>
              </w:rPr>
            </w:pPr>
            <w:r>
              <w:rPr>
                <w:sz w:val="21"/>
              </w:rPr>
              <w:t>10.26</w:t>
            </w:r>
          </w:p>
        </w:tc>
        <w:tc>
          <w:tcPr>
            <w:tcW w:w="3209" w:type="dxa"/>
          </w:tcPr>
          <w:p>
            <w:pPr>
              <w:pStyle w:val="TableParagraph"/>
              <w:spacing w:line="242" w:lineRule="exact"/>
              <w:ind w:left="105"/>
              <w:rPr>
                <w:sz w:val="21"/>
              </w:rPr>
            </w:pPr>
            <w:r>
              <w:rPr>
                <w:sz w:val="21"/>
              </w:rPr>
              <w:t>医生</w:t>
            </w:r>
          </w:p>
        </w:tc>
      </w:tr>
    </w:tbl>
    <w:p>
      <w:pPr>
        <w:spacing w:after="0" w:line="242" w:lineRule="exact"/>
        <w:rPr>
          <w:sz w:val="21"/>
        </w:rPr>
        <w:sectPr>
          <w:type w:val="continuous"/>
          <w:pgSz w:w="11900" w:h="16840"/>
          <w:pgMar w:top="540" w:bottom="280" w:left="960" w:right="260"/>
        </w:sectPr>
      </w:pPr>
    </w:p>
    <w:p>
      <w:pPr>
        <w:pStyle w:val="Heading1"/>
        <w:spacing w:line="490" w:lineRule="exact"/>
        <w:ind w:left="3107"/>
      </w:pPr>
      <w:r>
        <w:rPr/>
        <w:t>泰康人寿保险有限责任公司</w:t>
      </w:r>
    </w:p>
    <w:p>
      <w:pPr>
        <w:spacing w:before="71"/>
        <w:ind w:left="2152" w:right="0" w:firstLine="0"/>
        <w:jc w:val="left"/>
        <w:rPr>
          <w:rFonts w:ascii="微软雅黑" w:eastAsia="微软雅黑" w:hint="eastAsia"/>
          <w:b/>
          <w:sz w:val="32"/>
        </w:rPr>
      </w:pPr>
      <w:r>
        <w:rPr>
          <w:rFonts w:ascii="微软雅黑" w:eastAsia="微软雅黑" w:hint="eastAsia"/>
          <w:b/>
          <w:sz w:val="32"/>
        </w:rPr>
        <w:t>泰康附加全能保 2017 重大疾病保险条款</w:t>
      </w:r>
    </w:p>
    <w:p>
      <w:pPr>
        <w:pStyle w:val="BodyText"/>
        <w:spacing w:before="0"/>
        <w:rPr>
          <w:rFonts w:ascii="微软雅黑"/>
          <w:b/>
          <w:sz w:val="24"/>
        </w:rPr>
      </w:pPr>
    </w:p>
    <w:p>
      <w:pPr>
        <w:pStyle w:val="BodyText"/>
        <w:spacing w:line="273" w:lineRule="auto" w:before="0"/>
        <w:ind w:left="212" w:right="302"/>
        <w:jc w:val="both"/>
      </w:pPr>
      <w:r>
        <w:rPr>
          <w:spacing w:val="-6"/>
        </w:rPr>
        <w:t>在本条款中，“您”指投保人，“我们”、“本公司”均指在保险单上签章的泰康人寿保险有限责任公司</w:t>
      </w:r>
      <w:r>
        <w:rPr>
          <w:spacing w:val="-6"/>
          <w:w w:val="100"/>
        </w:rPr>
        <w:t>的分公司，“本附加合同”指您与我们之间订立的“泰康附加全能保</w:t>
      </w:r>
      <w:r>
        <w:rPr>
          <w:spacing w:val="-6"/>
        </w:rPr>
        <w:t> </w:t>
      </w:r>
      <w:r>
        <w:rPr>
          <w:w w:val="100"/>
        </w:rPr>
        <w:t>2017</w:t>
      </w:r>
      <w:r>
        <w:rPr>
          <w:spacing w:val="-57"/>
        </w:rPr>
        <w:t> </w:t>
      </w:r>
      <w:r>
        <w:rPr>
          <w:spacing w:val="-13"/>
          <w:w w:val="100"/>
        </w:rPr>
        <w:t>重大疾病保险合同”，“被保险</w:t>
      </w:r>
      <w:r>
        <w:rPr>
          <w:spacing w:val="-8"/>
        </w:rPr>
        <w:t>人”指本附加合同的被保险人，投保人、被保险人的姓名在保险单上载明。</w:t>
      </w:r>
    </w:p>
    <w:p>
      <w:pPr>
        <w:pStyle w:val="BodyText"/>
        <w:spacing w:before="10"/>
        <w:rPr>
          <w:sz w:val="25"/>
        </w:rPr>
      </w:pPr>
    </w:p>
    <w:p>
      <w:pPr>
        <w:pStyle w:val="Heading2"/>
        <w:numPr>
          <w:ilvl w:val="0"/>
          <w:numId w:val="2"/>
        </w:numPr>
        <w:tabs>
          <w:tab w:pos="1024" w:val="left" w:leader="none"/>
        </w:tabs>
        <w:spacing w:line="240" w:lineRule="auto" w:before="0" w:after="0"/>
        <w:ind w:left="1024" w:right="0" w:hanging="802"/>
        <w:jc w:val="both"/>
      </w:pPr>
      <w:r>
        <w:rPr/>
        <w:pict>
          <v:group style="position:absolute;margin-left:51.84pt;margin-top:23.113672pt;width:496.1pt;height:1pt;mso-position-horizontal-relative:page;mso-position-vertical-relative:paragraph;z-index:1072;mso-wrap-distance-left:0;mso-wrap-distance-right:0" coordorigin="1037,462" coordsize="9922,20">
            <v:line style="position:absolute" from="1037,472" to="1834,472" stroked="true" strokeweight=".96pt" strokecolor="#000000">
              <v:stroke dashstyle="solid"/>
            </v:line>
            <v:rect style="position:absolute;left:1833;top:462;width:20;height:20" filled="true" fillcolor="#000000" stroked="false">
              <v:fill type="solid"/>
            </v:rect>
            <v:line style="position:absolute" from="1853,472" to="3360,472" stroked="true" strokeweight=".96pt" strokecolor="#000000">
              <v:stroke dashstyle="solid"/>
            </v:line>
            <v:rect style="position:absolute;left:3360;top:462;width:20;height:20" filled="true" fillcolor="#000000" stroked="false">
              <v:fill type="solid"/>
            </v:rect>
            <v:line style="position:absolute" from="3379,472" to="10958,472" stroked="true" strokeweight=".96pt" strokecolor="#000000">
              <v:stroke dashstyle="solid"/>
            </v:line>
            <w10:wrap type="topAndBottom"/>
          </v:group>
        </w:pict>
      </w:r>
      <w:r>
        <w:rPr/>
        <w:t>您与我们订立的合同</w:t>
      </w:r>
    </w:p>
    <w:p>
      <w:pPr>
        <w:pStyle w:val="BodyText"/>
        <w:spacing w:before="16"/>
        <w:rPr>
          <w:rFonts w:ascii="Microsoft JhengHei"/>
          <w:b/>
          <w:sz w:val="6"/>
        </w:rPr>
      </w:pPr>
    </w:p>
    <w:p>
      <w:pPr>
        <w:pStyle w:val="ListParagraph"/>
        <w:numPr>
          <w:ilvl w:val="1"/>
          <w:numId w:val="2"/>
        </w:numPr>
        <w:tabs>
          <w:tab w:pos="1023" w:val="left" w:leader="none"/>
          <w:tab w:pos="1024" w:val="left" w:leader="none"/>
          <w:tab w:pos="2545" w:val="left" w:leader="none"/>
        </w:tabs>
        <w:spacing w:line="308" w:lineRule="exact" w:before="35" w:after="0"/>
        <w:ind w:left="2545" w:right="220" w:hanging="2323"/>
        <w:jc w:val="left"/>
        <w:rPr>
          <w:sz w:val="21"/>
        </w:rPr>
      </w:pPr>
      <w:r>
        <w:rPr>
          <w:rFonts w:ascii="Microsoft JhengHei" w:hAnsi="Microsoft JhengHei" w:eastAsia="Microsoft JhengHei" w:hint="eastAsia"/>
          <w:b/>
          <w:w w:val="100"/>
          <w:sz w:val="21"/>
        </w:rPr>
        <w:t>合同构成</w:t>
      </w:r>
      <w:r>
        <w:rPr>
          <w:rFonts w:ascii="Microsoft JhengHei" w:hAnsi="Microsoft JhengHei" w:eastAsia="Microsoft JhengHei" w:hint="eastAsia"/>
          <w:b/>
          <w:sz w:val="21"/>
        </w:rPr>
        <w:tab/>
      </w:r>
      <w:r>
        <w:rPr>
          <w:w w:val="100"/>
          <w:sz w:val="21"/>
        </w:rPr>
        <w:t>本附加合</w:t>
      </w:r>
      <w:r>
        <w:rPr>
          <w:spacing w:val="-5"/>
          <w:w w:val="100"/>
          <w:sz w:val="21"/>
        </w:rPr>
        <w:t>同</w:t>
      </w:r>
      <w:r>
        <w:rPr>
          <w:w w:val="100"/>
          <w:sz w:val="21"/>
        </w:rPr>
        <w:t>由“泰</w:t>
      </w:r>
      <w:r>
        <w:rPr>
          <w:spacing w:val="-5"/>
          <w:w w:val="100"/>
          <w:sz w:val="21"/>
        </w:rPr>
        <w:t>康</w:t>
      </w:r>
      <w:r>
        <w:rPr>
          <w:w w:val="100"/>
          <w:sz w:val="21"/>
        </w:rPr>
        <w:t>全</w:t>
      </w:r>
      <w:r>
        <w:rPr>
          <w:spacing w:val="-5"/>
          <w:w w:val="100"/>
          <w:sz w:val="21"/>
        </w:rPr>
        <w:t>能</w:t>
      </w:r>
      <w:r>
        <w:rPr>
          <w:w w:val="100"/>
          <w:sz w:val="21"/>
        </w:rPr>
        <w:t>保</w:t>
      </w:r>
      <w:r>
        <w:rPr>
          <w:spacing w:val="-34"/>
          <w:sz w:val="21"/>
        </w:rPr>
        <w:t> </w:t>
      </w:r>
      <w:r>
        <w:rPr>
          <w:w w:val="100"/>
          <w:sz w:val="21"/>
        </w:rPr>
        <w:t>2017</w:t>
      </w:r>
      <w:r>
        <w:rPr>
          <w:spacing w:val="-38"/>
          <w:sz w:val="21"/>
        </w:rPr>
        <w:t> </w:t>
      </w:r>
      <w:r>
        <w:rPr>
          <w:w w:val="100"/>
          <w:sz w:val="21"/>
        </w:rPr>
        <w:t>两全保</w:t>
      </w:r>
      <w:r>
        <w:rPr>
          <w:spacing w:val="-5"/>
          <w:w w:val="100"/>
          <w:sz w:val="21"/>
        </w:rPr>
        <w:t>险</w:t>
      </w:r>
      <w:r>
        <w:rPr>
          <w:w w:val="100"/>
          <w:sz w:val="21"/>
        </w:rPr>
        <w:t>合同”</w:t>
      </w:r>
      <w:r>
        <w:rPr>
          <w:spacing w:val="-5"/>
          <w:w w:val="100"/>
          <w:sz w:val="21"/>
        </w:rPr>
        <w:t>（</w:t>
      </w:r>
      <w:r>
        <w:rPr>
          <w:w w:val="100"/>
          <w:sz w:val="21"/>
        </w:rPr>
        <w:t>以下简称</w:t>
      </w:r>
      <w:r>
        <w:rPr>
          <w:spacing w:val="-5"/>
          <w:w w:val="100"/>
          <w:sz w:val="21"/>
        </w:rPr>
        <w:t>“</w:t>
      </w:r>
      <w:r>
        <w:rPr>
          <w:w w:val="100"/>
          <w:sz w:val="21"/>
        </w:rPr>
        <w:t>主合同</w:t>
      </w:r>
      <w:r>
        <w:rPr>
          <w:spacing w:val="-106"/>
          <w:w w:val="100"/>
          <w:sz w:val="21"/>
        </w:rPr>
        <w:t>”</w:t>
      </w:r>
      <w:r>
        <w:rPr>
          <w:spacing w:val="-5"/>
          <w:w w:val="100"/>
          <w:sz w:val="21"/>
        </w:rPr>
        <w:t>）</w:t>
      </w:r>
      <w:r>
        <w:rPr>
          <w:w w:val="100"/>
          <w:sz w:val="21"/>
        </w:rPr>
        <w:t>的投保</w:t>
      </w:r>
      <w:r>
        <w:rPr>
          <w:sz w:val="21"/>
        </w:rPr>
        <w:t>人申请，</w:t>
      </w:r>
      <w:r>
        <w:rPr>
          <w:spacing w:val="-5"/>
          <w:sz w:val="21"/>
        </w:rPr>
        <w:t>经</w:t>
      </w:r>
      <w:r>
        <w:rPr>
          <w:sz w:val="21"/>
        </w:rPr>
        <w:t>我们同</w:t>
      </w:r>
      <w:r>
        <w:rPr>
          <w:spacing w:val="-5"/>
          <w:sz w:val="21"/>
        </w:rPr>
        <w:t>意</w:t>
      </w:r>
      <w:r>
        <w:rPr>
          <w:sz w:val="21"/>
        </w:rPr>
        <w:t>，附加</w:t>
      </w:r>
      <w:r>
        <w:rPr>
          <w:spacing w:val="-5"/>
          <w:sz w:val="21"/>
        </w:rPr>
        <w:t>于</w:t>
      </w:r>
      <w:r>
        <w:rPr>
          <w:sz w:val="21"/>
        </w:rPr>
        <w:t>主合同。</w:t>
      </w:r>
    </w:p>
    <w:p>
      <w:pPr>
        <w:pStyle w:val="BodyText"/>
        <w:spacing w:line="232" w:lineRule="auto" w:before="94"/>
        <w:ind w:left="2545" w:right="119"/>
      </w:pPr>
      <w:r>
        <w:rPr>
          <w:spacing w:val="-1"/>
        </w:rPr>
        <w:t>本附加合同是您与我们约定保险权利义务关系的协议，包括本保险条款、保险单</w:t>
      </w:r>
      <w:r>
        <w:rPr>
          <w:spacing w:val="-11"/>
        </w:rPr>
        <w:t>或者其他保险凭证、投保单、与本附加合同有关的投保文件、</w:t>
      </w:r>
      <w:r>
        <w:rPr>
          <w:rFonts w:ascii="Microsoft JhengHei" w:eastAsia="Microsoft JhengHei" w:hint="eastAsia"/>
          <w:b/>
          <w:spacing w:val="-8"/>
        </w:rPr>
        <w:t>合法有效</w:t>
      </w:r>
      <w:r>
        <w:rPr/>
        <w:t>（</w:t>
      </w:r>
      <w:r>
        <w:rPr>
          <w:spacing w:val="-13"/>
        </w:rPr>
        <w:t>见 </w:t>
      </w:r>
      <w:r>
        <w:rPr/>
        <w:t>10.1） </w:t>
      </w:r>
      <w:r>
        <w:rPr>
          <w:spacing w:val="-5"/>
        </w:rPr>
        <w:t>的声明、批注、批单及其他您与我们共同认可的书面协议。</w:t>
      </w:r>
    </w:p>
    <w:p>
      <w:pPr>
        <w:pStyle w:val="BodyText"/>
        <w:spacing w:before="12"/>
        <w:rPr>
          <w:sz w:val="16"/>
        </w:rPr>
      </w:pPr>
    </w:p>
    <w:p>
      <w:pPr>
        <w:spacing w:after="0"/>
        <w:rPr>
          <w:sz w:val="16"/>
        </w:rPr>
        <w:sectPr>
          <w:pgSz w:w="11900" w:h="16840"/>
          <w:pgMar w:top="1040" w:bottom="280" w:left="920" w:right="820"/>
        </w:sectPr>
      </w:pPr>
    </w:p>
    <w:p>
      <w:pPr>
        <w:pStyle w:val="Heading3"/>
        <w:numPr>
          <w:ilvl w:val="1"/>
          <w:numId w:val="2"/>
        </w:numPr>
        <w:tabs>
          <w:tab w:pos="1023" w:val="left" w:leader="none"/>
          <w:tab w:pos="1024" w:val="left" w:leader="none"/>
        </w:tabs>
        <w:spacing w:line="201" w:lineRule="auto" w:before="28" w:after="0"/>
        <w:ind w:left="1024" w:right="0" w:hanging="802"/>
        <w:jc w:val="left"/>
      </w:pPr>
      <w:r>
        <w:rPr/>
        <w:t>合同成立及生效</w:t>
      </w:r>
    </w:p>
    <w:p>
      <w:pPr>
        <w:pStyle w:val="BodyText"/>
        <w:spacing w:line="268" w:lineRule="auto" w:before="36"/>
        <w:ind w:left="214" w:right="225"/>
      </w:pPr>
      <w:r>
        <w:rPr/>
        <w:br w:type="column"/>
      </w:r>
      <w:r>
        <w:rPr/>
        <w:t>除另有约定外，本附加合同须与主合同同时投保，本附加合同的成立日及生效日与主合同相同，并在保险单上载明。</w:t>
      </w:r>
    </w:p>
    <w:p>
      <w:pPr>
        <w:spacing w:line="244" w:lineRule="auto" w:before="26"/>
        <w:ind w:left="214" w:right="157" w:firstLine="0"/>
        <w:jc w:val="left"/>
        <w:rPr>
          <w:sz w:val="21"/>
        </w:rPr>
      </w:pPr>
      <w:r>
        <w:rPr>
          <w:rFonts w:ascii="Microsoft JhengHei" w:eastAsia="Microsoft JhengHei" w:hint="eastAsia"/>
          <w:b/>
          <w:w w:val="100"/>
          <w:sz w:val="21"/>
        </w:rPr>
        <w:t>保单年度</w:t>
      </w:r>
      <w:r>
        <w:rPr>
          <w:w w:val="100"/>
          <w:sz w:val="21"/>
        </w:rPr>
        <w:t>（见</w:t>
      </w:r>
      <w:r>
        <w:rPr>
          <w:sz w:val="21"/>
        </w:rPr>
        <w:t> </w:t>
      </w:r>
      <w:r>
        <w:rPr>
          <w:spacing w:val="-5"/>
          <w:w w:val="100"/>
          <w:sz w:val="21"/>
        </w:rPr>
        <w:t>1</w:t>
      </w:r>
      <w:r>
        <w:rPr>
          <w:w w:val="100"/>
          <w:sz w:val="21"/>
        </w:rPr>
        <w:t>0</w:t>
      </w:r>
      <w:r>
        <w:rPr>
          <w:spacing w:val="-1"/>
          <w:w w:val="100"/>
          <w:sz w:val="21"/>
        </w:rPr>
        <w:t>.</w:t>
      </w:r>
      <w:r>
        <w:rPr>
          <w:w w:val="100"/>
          <w:sz w:val="21"/>
        </w:rPr>
        <w:t>2</w:t>
      </w:r>
      <w:r>
        <w:rPr>
          <w:spacing w:val="-106"/>
          <w:w w:val="100"/>
          <w:sz w:val="21"/>
        </w:rPr>
        <w:t>）</w:t>
      </w:r>
      <w:r>
        <w:rPr>
          <w:spacing w:val="-5"/>
          <w:w w:val="100"/>
          <w:sz w:val="21"/>
        </w:rPr>
        <w:t>、</w:t>
      </w:r>
      <w:r>
        <w:rPr>
          <w:rFonts w:ascii="Microsoft JhengHei" w:eastAsia="Microsoft JhengHei" w:hint="eastAsia"/>
          <w:b/>
          <w:w w:val="100"/>
          <w:sz w:val="21"/>
        </w:rPr>
        <w:t>保险费约定交纳日</w:t>
      </w:r>
      <w:r>
        <w:rPr>
          <w:spacing w:val="-5"/>
          <w:w w:val="100"/>
          <w:sz w:val="21"/>
        </w:rPr>
        <w:t>（</w:t>
      </w:r>
      <w:r>
        <w:rPr>
          <w:w w:val="100"/>
          <w:sz w:val="21"/>
        </w:rPr>
        <w:t>见</w:t>
      </w:r>
      <w:r>
        <w:rPr>
          <w:sz w:val="21"/>
        </w:rPr>
        <w:t> </w:t>
      </w:r>
      <w:r>
        <w:rPr>
          <w:w w:val="100"/>
          <w:sz w:val="21"/>
        </w:rPr>
        <w:t>10.</w:t>
      </w:r>
      <w:r>
        <w:rPr>
          <w:spacing w:val="-5"/>
          <w:w w:val="100"/>
          <w:sz w:val="21"/>
        </w:rPr>
        <w:t>3）</w:t>
      </w:r>
      <w:r>
        <w:rPr>
          <w:spacing w:val="-2"/>
          <w:w w:val="100"/>
          <w:sz w:val="21"/>
        </w:rPr>
        <w:t>均依据本附加合同的生效日</w:t>
      </w:r>
      <w:r>
        <w:rPr>
          <w:spacing w:val="-3"/>
          <w:sz w:val="21"/>
        </w:rPr>
        <w:t>为基础进行计算。</w:t>
      </w:r>
    </w:p>
    <w:p>
      <w:pPr>
        <w:spacing w:after="0" w:line="244" w:lineRule="auto"/>
        <w:jc w:val="left"/>
        <w:rPr>
          <w:sz w:val="21"/>
        </w:rPr>
        <w:sectPr>
          <w:type w:val="continuous"/>
          <w:pgSz w:w="11900" w:h="16840"/>
          <w:pgMar w:top="540" w:bottom="280" w:left="920" w:right="820"/>
          <w:cols w:num="2" w:equalWidth="0">
            <w:col w:w="2292" w:space="40"/>
            <w:col w:w="7828"/>
          </w:cols>
        </w:sectPr>
      </w:pPr>
    </w:p>
    <w:p>
      <w:pPr>
        <w:pStyle w:val="BodyText"/>
        <w:spacing w:before="7"/>
        <w:rPr>
          <w:sz w:val="16"/>
        </w:rPr>
      </w:pPr>
    </w:p>
    <w:p>
      <w:pPr>
        <w:pStyle w:val="ListParagraph"/>
        <w:numPr>
          <w:ilvl w:val="1"/>
          <w:numId w:val="2"/>
        </w:numPr>
        <w:tabs>
          <w:tab w:pos="1023" w:val="left" w:leader="none"/>
          <w:tab w:pos="1024" w:val="left" w:leader="none"/>
          <w:tab w:pos="2545" w:val="left" w:leader="none"/>
        </w:tabs>
        <w:spacing w:line="336" w:lineRule="exact" w:before="0" w:after="0"/>
        <w:ind w:left="2545" w:right="0" w:hanging="2323"/>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10.4）计算。</w:t>
      </w:r>
    </w:p>
    <w:p>
      <w:pPr>
        <w:pStyle w:val="ListParagraph"/>
        <w:numPr>
          <w:ilvl w:val="1"/>
          <w:numId w:val="2"/>
        </w:numPr>
        <w:tabs>
          <w:tab w:pos="1024" w:val="left" w:leader="none"/>
          <w:tab w:pos="2545" w:val="left" w:leader="none"/>
        </w:tabs>
        <w:spacing w:line="261" w:lineRule="auto" w:before="167" w:after="0"/>
        <w:ind w:left="2545" w:right="225" w:hanging="2323"/>
        <w:jc w:val="both"/>
        <w:rPr>
          <w:sz w:val="21"/>
        </w:rPr>
      </w:pPr>
      <w:r>
        <w:rPr>
          <w:rFonts w:ascii="Microsoft JhengHei" w:eastAsia="Microsoft JhengHei" w:hint="eastAsia"/>
          <w:b/>
          <w:sz w:val="21"/>
        </w:rPr>
        <w:t>犹豫期</w:t>
        <w:tab/>
      </w:r>
      <w:r>
        <w:rPr>
          <w:sz w:val="21"/>
        </w:rPr>
        <w:t>犹豫期是指自您签收本附加合同的次日零时起的一</w:t>
      </w:r>
      <w:r>
        <w:rPr>
          <w:spacing w:val="-5"/>
          <w:sz w:val="21"/>
        </w:rPr>
        <w:t>段</w:t>
      </w:r>
      <w:r>
        <w:rPr>
          <w:sz w:val="21"/>
        </w:rPr>
        <w:t>时期，该时期以保险单上载 明的日数为准。在此期间，请您认真审视本附加合</w:t>
      </w:r>
      <w:r>
        <w:rPr>
          <w:spacing w:val="-5"/>
          <w:sz w:val="21"/>
        </w:rPr>
        <w:t>同</w:t>
      </w:r>
      <w:r>
        <w:rPr>
          <w:sz w:val="21"/>
        </w:rPr>
        <w:t>，如果您认为本附加合同与您的需求不相符，您可以在此期间提出解除本附加</w:t>
      </w:r>
      <w:r>
        <w:rPr>
          <w:spacing w:val="-5"/>
          <w:sz w:val="21"/>
        </w:rPr>
        <w:t>合</w:t>
      </w:r>
      <w:r>
        <w:rPr>
          <w:sz w:val="21"/>
        </w:rPr>
        <w:t>同，我们将向您无息退还保险费。</w:t>
      </w:r>
    </w:p>
    <w:p>
      <w:pPr>
        <w:pStyle w:val="BodyText"/>
        <w:spacing w:line="201" w:lineRule="auto" w:before="91"/>
        <w:ind w:left="2545" w:right="114"/>
        <w:rPr>
          <w:rFonts w:ascii="黑体" w:eastAsia="黑体" w:hint="eastAsia"/>
        </w:rPr>
      </w:pPr>
      <w:r>
        <w:rPr>
          <w:spacing w:val="-1"/>
        </w:rPr>
        <w:t>解除本附加合同时，您须填写解除合同申请书，并提供本附加合同、您的</w:t>
      </w:r>
      <w:r>
        <w:rPr>
          <w:rFonts w:ascii="Microsoft JhengHei" w:eastAsia="Microsoft JhengHei" w:hint="eastAsia"/>
          <w:b/>
        </w:rPr>
        <w:t>有效身</w:t>
      </w:r>
      <w:r>
        <w:rPr>
          <w:rFonts w:ascii="Microsoft JhengHei" w:eastAsia="Microsoft JhengHei" w:hint="eastAsia"/>
          <w:b/>
          <w:spacing w:val="-13"/>
        </w:rPr>
        <w:t>份证件</w:t>
      </w:r>
      <w:r>
        <w:rPr>
          <w:spacing w:val="-5"/>
        </w:rPr>
        <w:t>（</w:t>
      </w:r>
      <w:r>
        <w:rPr>
          <w:spacing w:val="-6"/>
        </w:rPr>
        <w:t>见 </w:t>
      </w:r>
      <w:r>
        <w:rPr>
          <w:spacing w:val="-9"/>
        </w:rPr>
        <w:t>10.5）</w:t>
      </w:r>
      <w:r>
        <w:rPr>
          <w:spacing w:val="-8"/>
        </w:rPr>
        <w:t>及您所交保险费的发票。</w:t>
      </w:r>
      <w:r>
        <w:rPr>
          <w:rFonts w:ascii="黑体" w:eastAsia="黑体" w:hint="eastAsia"/>
          <w:spacing w:val="-4"/>
        </w:rPr>
        <w:t>自我们收到您的解除合同申请书时起，</w:t>
      </w:r>
    </w:p>
    <w:p>
      <w:pPr>
        <w:pStyle w:val="BodyText"/>
        <w:spacing w:line="273" w:lineRule="auto" w:before="13"/>
        <w:ind w:left="2545" w:right="225"/>
        <w:rPr>
          <w:rFonts w:ascii="黑体" w:eastAsia="黑体" w:hint="eastAsia"/>
        </w:rPr>
      </w:pPr>
      <w:r>
        <w:rPr>
          <w:rFonts w:ascii="黑体" w:eastAsia="黑体" w:hint="eastAsia"/>
        </w:rPr>
        <w:t>本附加合同即被解除，对于本附加合同解除前发Th的保险事故，我们不承担保险责任。</w:t>
      </w:r>
    </w:p>
    <w:p>
      <w:pPr>
        <w:pStyle w:val="Heading2"/>
        <w:numPr>
          <w:ilvl w:val="0"/>
          <w:numId w:val="2"/>
        </w:numPr>
        <w:tabs>
          <w:tab w:pos="1023" w:val="left" w:leader="none"/>
          <w:tab w:pos="1024" w:val="left" w:leader="none"/>
        </w:tabs>
        <w:spacing w:line="240" w:lineRule="auto" w:before="165" w:after="0"/>
        <w:ind w:left="1024" w:right="0" w:hanging="802"/>
        <w:jc w:val="left"/>
      </w:pPr>
      <w:r>
        <w:rPr/>
        <w:pict>
          <v:group style="position:absolute;margin-left:51.84pt;margin-top:31.363642pt;width:496.1pt;height:1pt;mso-position-horizontal-relative:page;mso-position-vertical-relative:paragraph;z-index:1096;mso-wrap-distance-left:0;mso-wrap-distance-right:0" coordorigin="1037,627" coordsize="9922,20">
            <v:line style="position:absolute" from="1037,637" to="1834,637" stroked="true" strokeweight=".96pt" strokecolor="#000000">
              <v:stroke dashstyle="solid"/>
            </v:line>
            <v:rect style="position:absolute;left:1833;top:627;width:20;height:20" filled="true" fillcolor="#000000" stroked="false">
              <v:fill type="solid"/>
            </v:rect>
            <v:line style="position:absolute" from="1853,637" to="3360,637" stroked="true" strokeweight=".96pt" strokecolor="#000000">
              <v:stroke dashstyle="solid"/>
            </v:line>
            <v:rect style="position:absolute;left:3360;top:627;width:20;height:20" filled="true" fillcolor="#000000" stroked="false">
              <v:fill type="solid"/>
            </v:rect>
            <v:line style="position:absolute" from="3379,637" to="10958,637" stroked="true" strokeweight=".96pt" strokecolor="#000000">
              <v:stroke dashstyle="solid"/>
            </v:line>
            <w10:wrap type="topAndBottom"/>
          </v:group>
        </w:pict>
      </w:r>
      <w:r>
        <w:rPr/>
        <w:t>我们提供的保障</w:t>
      </w:r>
    </w:p>
    <w:p>
      <w:pPr>
        <w:pStyle w:val="BodyText"/>
        <w:spacing w:before="16"/>
        <w:rPr>
          <w:rFonts w:ascii="Microsoft JhengHei"/>
          <w:b/>
          <w:sz w:val="6"/>
        </w:rPr>
      </w:pPr>
    </w:p>
    <w:p>
      <w:pPr>
        <w:pStyle w:val="ListParagraph"/>
        <w:numPr>
          <w:ilvl w:val="1"/>
          <w:numId w:val="2"/>
        </w:numPr>
        <w:tabs>
          <w:tab w:pos="1023" w:val="left" w:leader="none"/>
          <w:tab w:pos="1024" w:val="left" w:leader="none"/>
          <w:tab w:pos="2545" w:val="left" w:leader="none"/>
        </w:tabs>
        <w:spacing w:line="336" w:lineRule="exact" w:before="0" w:after="0"/>
        <w:ind w:left="2545" w:right="0" w:hanging="2323"/>
        <w:jc w:val="left"/>
        <w:rPr>
          <w:sz w:val="21"/>
        </w:rPr>
      </w:pPr>
      <w:r>
        <w:rPr>
          <w:rFonts w:ascii="Microsoft JhengHei" w:eastAsia="Microsoft JhengHei" w:hint="eastAsia"/>
          <w:b/>
          <w:sz w:val="21"/>
        </w:rPr>
        <w:t>基本保险金额</w:t>
        <w:tab/>
      </w:r>
      <w:r>
        <w:rPr>
          <w:spacing w:val="-1"/>
          <w:sz w:val="21"/>
        </w:rPr>
        <w:t>本</w:t>
      </w:r>
      <w:r>
        <w:rPr>
          <w:sz w:val="21"/>
        </w:rPr>
        <w:t>附加合</w:t>
      </w:r>
      <w:r>
        <w:rPr>
          <w:spacing w:val="-5"/>
          <w:sz w:val="21"/>
        </w:rPr>
        <w:t>同</w:t>
      </w:r>
      <w:r>
        <w:rPr>
          <w:sz w:val="21"/>
        </w:rPr>
        <w:t>的基本</w:t>
      </w:r>
      <w:r>
        <w:rPr>
          <w:spacing w:val="-5"/>
          <w:sz w:val="21"/>
        </w:rPr>
        <w:t>保</w:t>
      </w:r>
      <w:r>
        <w:rPr>
          <w:sz w:val="21"/>
        </w:rPr>
        <w:t>险金额</w:t>
      </w:r>
      <w:r>
        <w:rPr>
          <w:spacing w:val="-5"/>
          <w:sz w:val="21"/>
        </w:rPr>
        <w:t>与</w:t>
      </w:r>
      <w:r>
        <w:rPr>
          <w:sz w:val="21"/>
        </w:rPr>
        <w:t>主合同</w:t>
      </w:r>
      <w:r>
        <w:rPr>
          <w:spacing w:val="-5"/>
          <w:sz w:val="21"/>
        </w:rPr>
        <w:t>的</w:t>
      </w:r>
      <w:r>
        <w:rPr>
          <w:sz w:val="21"/>
        </w:rPr>
        <w:t>基本保</w:t>
      </w:r>
      <w:r>
        <w:rPr>
          <w:spacing w:val="-5"/>
          <w:sz w:val="21"/>
        </w:rPr>
        <w:t>险</w:t>
      </w:r>
      <w:r>
        <w:rPr>
          <w:sz w:val="21"/>
        </w:rPr>
        <w:t>金</w:t>
      </w:r>
      <w:r>
        <w:rPr>
          <w:spacing w:val="-5"/>
          <w:sz w:val="21"/>
        </w:rPr>
        <w:t>额</w:t>
      </w:r>
      <w:r>
        <w:rPr>
          <w:sz w:val="21"/>
        </w:rPr>
        <w:t>相同，并</w:t>
      </w:r>
      <w:r>
        <w:rPr>
          <w:spacing w:val="-5"/>
          <w:sz w:val="21"/>
        </w:rPr>
        <w:t>在</w:t>
      </w:r>
      <w:r>
        <w:rPr>
          <w:sz w:val="21"/>
        </w:rPr>
        <w:t>保险单</w:t>
      </w:r>
      <w:r>
        <w:rPr>
          <w:spacing w:val="-5"/>
          <w:sz w:val="21"/>
        </w:rPr>
        <w:t>上</w:t>
      </w:r>
      <w:r>
        <w:rPr>
          <w:sz w:val="21"/>
        </w:rPr>
        <w:t>载明。</w:t>
      </w:r>
    </w:p>
    <w:p>
      <w:pPr>
        <w:spacing w:line="216" w:lineRule="auto" w:before="117"/>
        <w:ind w:left="2545" w:right="225" w:firstLine="0"/>
        <w:jc w:val="left"/>
        <w:rPr>
          <w:sz w:val="21"/>
        </w:rPr>
      </w:pPr>
      <w:r>
        <w:rPr>
          <w:sz w:val="21"/>
        </w:rPr>
        <w:t>如果您办理减少主合同基本保险金额的，须将本附加合同的基本保险金额和保险费按相同比例减少，并领取</w:t>
      </w:r>
      <w:r>
        <w:rPr>
          <w:rFonts w:ascii="Microsoft JhengHei" w:eastAsia="Microsoft JhengHei" w:hint="eastAsia"/>
          <w:b/>
          <w:sz w:val="21"/>
        </w:rPr>
        <w:t>与基本保险金额减少部分相对应的现金价值</w:t>
      </w:r>
      <w:r>
        <w:rPr>
          <w:sz w:val="21"/>
        </w:rPr>
        <w:t>（见</w:t>
      </w:r>
    </w:p>
    <w:p>
      <w:pPr>
        <w:pStyle w:val="BodyText"/>
        <w:spacing w:before="12"/>
        <w:ind w:left="2545"/>
      </w:pPr>
      <w:r>
        <w:rPr>
          <w:w w:val="100"/>
        </w:rPr>
        <w:t>10.6</w:t>
      </w:r>
      <w:r>
        <w:rPr>
          <w:spacing w:val="-106"/>
          <w:w w:val="100"/>
        </w:rPr>
        <w:t>）</w:t>
      </w:r>
      <w:r>
        <w:rPr>
          <w:spacing w:val="-5"/>
          <w:w w:val="100"/>
        </w:rPr>
        <w:t>。减保后，基本保险金额和保险费需符合我们的约定。</w:t>
      </w:r>
    </w:p>
    <w:p>
      <w:pPr>
        <w:pStyle w:val="BodyText"/>
        <w:spacing w:line="273" w:lineRule="auto" w:before="118"/>
        <w:ind w:left="2545" w:right="152"/>
        <w:rPr>
          <w:rFonts w:ascii="黑体" w:eastAsia="黑体" w:hint="eastAsia"/>
        </w:rPr>
      </w:pPr>
      <w:r>
        <w:rPr>
          <w:rFonts w:ascii="黑体" w:eastAsia="黑体" w:hint="eastAsia"/>
        </w:rPr>
        <w:t>本附加合同第 2.3 条约定的保险责任根据减保后的基本保险金额和保险费进行计算。</w:t>
      </w:r>
    </w:p>
    <w:p>
      <w:pPr>
        <w:pStyle w:val="ListParagraph"/>
        <w:numPr>
          <w:ilvl w:val="1"/>
          <w:numId w:val="2"/>
        </w:numPr>
        <w:tabs>
          <w:tab w:pos="1023" w:val="left" w:leader="none"/>
          <w:tab w:pos="1024" w:val="left" w:leader="none"/>
          <w:tab w:pos="2545" w:val="left" w:leader="none"/>
        </w:tabs>
        <w:spacing w:line="240" w:lineRule="auto" w:before="161" w:after="0"/>
        <w:ind w:left="2545" w:right="0" w:hanging="2323"/>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ListParagraph"/>
        <w:numPr>
          <w:ilvl w:val="1"/>
          <w:numId w:val="2"/>
        </w:numPr>
        <w:tabs>
          <w:tab w:pos="1023" w:val="left" w:leader="none"/>
          <w:tab w:pos="1024" w:val="left" w:leader="none"/>
          <w:tab w:pos="2545" w:val="left" w:leader="none"/>
        </w:tabs>
        <w:spacing w:line="240" w:lineRule="auto" w:before="161" w:after="0"/>
        <w:ind w:left="2545" w:right="0" w:hanging="2323"/>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line="216" w:lineRule="auto" w:before="116"/>
        <w:ind w:left="2545" w:right="151"/>
        <w:rPr>
          <w:rFonts w:ascii="黑体" w:eastAsia="黑体" w:hint="eastAsia"/>
        </w:rPr>
      </w:pPr>
      <w:r>
        <w:rPr>
          <w:rFonts w:ascii="黑体" w:eastAsia="黑体" w:hint="eastAsia"/>
        </w:rPr>
        <w:t>本附加合同Th效（若曾复效，则自本附加合同最后复效）之日起 180 日内，被保险人经</w:t>
      </w:r>
      <w:r>
        <w:rPr>
          <w:rFonts w:ascii="Microsoft JhengHei" w:eastAsia="Microsoft JhengHei" w:hint="eastAsia"/>
          <w:b/>
        </w:rPr>
        <w:t>医院</w:t>
      </w:r>
      <w:r>
        <w:rPr>
          <w:rFonts w:ascii="黑体" w:eastAsia="黑体" w:hint="eastAsia"/>
        </w:rPr>
        <w:t>（见 10.7）</w:t>
      </w:r>
      <w:r>
        <w:rPr>
          <w:rFonts w:ascii="Microsoft JhengHei" w:eastAsia="Microsoft JhengHei" w:hint="eastAsia"/>
          <w:b/>
        </w:rPr>
        <w:t>初次确诊</w:t>
      </w:r>
      <w:r>
        <w:rPr>
          <w:rFonts w:ascii="黑体" w:eastAsia="黑体" w:hint="eastAsia"/>
        </w:rPr>
        <w:t>（见 10.8）非因</w:t>
      </w:r>
      <w:r>
        <w:rPr>
          <w:rFonts w:ascii="Microsoft JhengHei" w:eastAsia="Microsoft JhengHei" w:hint="eastAsia"/>
          <w:b/>
        </w:rPr>
        <w:t>意外伤害</w:t>
      </w:r>
      <w:r>
        <w:rPr>
          <w:rFonts w:ascii="黑体" w:eastAsia="黑体" w:hint="eastAsia"/>
        </w:rPr>
        <w:t>（见 10.9）导致罹患</w:t>
      </w:r>
    </w:p>
    <w:p>
      <w:pPr>
        <w:spacing w:after="0" w:line="216" w:lineRule="auto"/>
        <w:rPr>
          <w:rFonts w:ascii="黑体" w:eastAsia="黑体" w:hint="eastAsia"/>
        </w:rPr>
        <w:sectPr>
          <w:type w:val="continuous"/>
          <w:pgSz w:w="11900" w:h="16840"/>
          <w:pgMar w:top="540" w:bottom="280" w:left="920" w:right="820"/>
        </w:sectPr>
      </w:pPr>
    </w:p>
    <w:p>
      <w:pPr>
        <w:pStyle w:val="BodyText"/>
        <w:spacing w:line="273" w:lineRule="auto" w:before="9"/>
        <w:ind w:left="2545" w:right="225"/>
        <w:jc w:val="both"/>
        <w:rPr>
          <w:rFonts w:ascii="黑体" w:hAnsi="黑体" w:eastAsia="黑体" w:hint="eastAsia"/>
        </w:rPr>
      </w:pPr>
      <w:r>
        <w:rPr/>
        <w:drawing>
          <wp:anchor distT="0" distB="0" distL="0" distR="0" allowOverlap="1" layoutInCell="1" locked="0" behindDoc="1" simplePos="0" relativeHeight="268405943">
            <wp:simplePos x="0" y="0"/>
            <wp:positionH relativeFrom="page">
              <wp:posOffset>5093167</wp:posOffset>
            </wp:positionH>
            <wp:positionV relativeFrom="paragraph">
              <wp:posOffset>264334</wp:posOffset>
            </wp:positionV>
            <wp:extent cx="63499" cy="952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3499" cy="95250"/>
                    </a:xfrm>
                    <a:prstGeom prst="rect">
                      <a:avLst/>
                    </a:prstGeom>
                  </pic:spPr>
                </pic:pic>
              </a:graphicData>
            </a:graphic>
          </wp:anchor>
        </w:drawing>
      </w:r>
      <w:r>
        <w:rPr>
          <w:rFonts w:ascii="黑体" w:hAnsi="黑体" w:eastAsia="黑体" w:hint="eastAsia"/>
        </w:rPr>
        <w:t>本附加合同所定义的重大疾病（无论一种或者多种</w:t>
      </w:r>
      <w:r>
        <w:rPr>
          <w:rFonts w:ascii="黑体" w:hAnsi="黑体" w:eastAsia="黑体" w:hint="eastAsia"/>
          <w:spacing w:val="-3"/>
        </w:rPr>
        <w:t>）</w:t>
      </w:r>
      <w:r>
        <w:rPr>
          <w:rFonts w:ascii="黑体" w:hAnsi="黑体" w:eastAsia="黑体" w:hint="eastAsia"/>
          <w:spacing w:val="-2"/>
        </w:rPr>
        <w:t>，我们按您累计已交纳的本</w:t>
      </w:r>
      <w:r>
        <w:rPr>
          <w:rFonts w:ascii="黑体" w:hAnsi="黑体" w:eastAsia="黑体" w:hint="eastAsia"/>
          <w:spacing w:val="-6"/>
        </w:rPr>
        <w:t>附加合同及主合同的保险费数额</w:t>
      </w:r>
      <w:r>
        <w:rPr>
          <w:rFonts w:ascii="黑体" w:hAnsi="黑体" w:eastAsia="黑体" w:hint="eastAsia"/>
        </w:rPr>
        <w:t>（</w:t>
      </w:r>
      <w:r>
        <w:rPr>
          <w:rFonts w:ascii="黑体" w:hAnsi="黑体" w:eastAsia="黑体" w:hint="eastAsia"/>
          <w:spacing w:val="-2"/>
        </w:rPr>
        <w:t>不计息</w:t>
      </w:r>
      <w:r>
        <w:rPr>
          <w:rFonts w:ascii="黑体" w:hAnsi="黑体" w:eastAsia="黑体" w:hint="eastAsia"/>
          <w:spacing w:val="-10"/>
        </w:rPr>
        <w:t>）</w:t>
      </w:r>
      <w:r>
        <w:rPr>
          <w:rFonts w:ascii="黑体" w:hAnsi="黑体" w:eastAsia="黑体" w:hint="eastAsia"/>
          <w:spacing w:val="-11"/>
        </w:rPr>
        <w:t>的 </w:t>
      </w:r>
      <w:r>
        <w:rPr>
          <w:rFonts w:ascii="黑体" w:hAnsi="黑体" w:eastAsia="黑体" w:hint="eastAsia"/>
        </w:rPr>
        <w:t>105</w:t>
      </w:r>
      <w:r>
        <w:rPr>
          <w:rFonts w:ascii="黑体" w:hAnsi="黑体" w:eastAsia="黑体" w:hint="eastAsia"/>
          <w:spacing w:val="-13"/>
        </w:rPr>
        <w:t>向重大疾病保险金受益人给付</w:t>
      </w:r>
      <w:r>
        <w:rPr>
          <w:rFonts w:ascii="黑体" w:hAnsi="黑体" w:eastAsia="黑体" w:hint="eastAsia"/>
          <w:spacing w:val="-5"/>
        </w:rPr>
        <w:t>重大疾病保险金，本附加合同和主合同同时终止。</w:t>
      </w:r>
    </w:p>
    <w:p>
      <w:pPr>
        <w:pStyle w:val="BodyText"/>
        <w:spacing w:line="271" w:lineRule="auto" w:before="89"/>
        <w:ind w:left="2545" w:right="114"/>
      </w:pPr>
      <w:r>
        <w:rPr>
          <w:spacing w:val="-1"/>
        </w:rPr>
        <w:t>被保险人经医院初次确诊因意外伤害导致罹患本附加合同所定义的重大疾病</w:t>
      </w:r>
      <w:r>
        <w:rPr/>
        <w:t>（无</w:t>
      </w:r>
      <w:r>
        <w:rPr>
          <w:spacing w:val="-1"/>
        </w:rPr>
        <w:t>论一种或者多种</w:t>
      </w:r>
      <w:r>
        <w:rPr>
          <w:spacing w:val="-85"/>
        </w:rPr>
        <w:t>）</w:t>
      </w:r>
      <w:r>
        <w:rPr>
          <w:spacing w:val="-17"/>
        </w:rPr>
        <w:t>，或者于本附加合同生效</w:t>
      </w:r>
      <w:r>
        <w:rPr>
          <w:spacing w:val="-5"/>
        </w:rPr>
        <w:t>（</w:t>
      </w:r>
      <w:r>
        <w:rPr>
          <w:spacing w:val="-9"/>
        </w:rPr>
        <w:t>若曾复效，则自本附加合同最后复效</w:t>
      </w:r>
      <w:r>
        <w:rPr/>
        <w:t>） </w:t>
      </w:r>
      <w:r>
        <w:rPr>
          <w:spacing w:val="-7"/>
        </w:rPr>
        <w:t>之日起 </w:t>
      </w:r>
      <w:r>
        <w:rPr/>
        <w:t>180</w:t>
      </w:r>
      <w:r>
        <w:rPr>
          <w:spacing w:val="-7"/>
        </w:rPr>
        <w:t> 日后，经医院初次确诊非因意外伤害导致罹患本附加合同所定义的重</w:t>
      </w:r>
      <w:r>
        <w:rPr>
          <w:spacing w:val="-16"/>
        </w:rPr>
        <w:t>大疾病</w:t>
      </w:r>
      <w:r>
        <w:rPr>
          <w:spacing w:val="-5"/>
        </w:rPr>
        <w:t>（</w:t>
      </w:r>
      <w:r>
        <w:rPr>
          <w:spacing w:val="-3"/>
        </w:rPr>
        <w:t>无论一种或者多种</w:t>
      </w:r>
      <w:r>
        <w:rPr>
          <w:spacing w:val="-70"/>
        </w:rPr>
        <w:t>）</w:t>
      </w:r>
      <w:r>
        <w:rPr>
          <w:spacing w:val="-11"/>
        </w:rPr>
        <w:t>，我们按本附加合同的基本保险金额向重大疾病保险</w:t>
      </w:r>
      <w:r>
        <w:rPr>
          <w:spacing w:val="-5"/>
        </w:rPr>
        <w:t>金受益人给付重大疾病保险金，本附加合同和主合同同时终止。</w:t>
      </w:r>
    </w:p>
    <w:p>
      <w:pPr>
        <w:pStyle w:val="BodyText"/>
        <w:spacing w:before="91"/>
        <w:ind w:left="2545"/>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line="268" w:lineRule="auto"/>
        <w:ind w:left="2545" w:right="119"/>
        <w:rPr>
          <w:rFonts w:ascii="黑体" w:hAnsi="黑体" w:eastAsia="黑体" w:hint="eastAsia"/>
        </w:rPr>
      </w:pPr>
      <w:r>
        <w:rPr>
          <w:rFonts w:ascii="黑体" w:hAnsi="黑体" w:eastAsia="黑体" w:hint="eastAsia"/>
          <w:spacing w:val="-1"/>
        </w:rPr>
        <w:t>对于本附加合同项下的重大疾病保险金和主合同项下的“一般身故或者高残保险</w:t>
      </w:r>
      <w:r>
        <w:rPr>
          <w:rFonts w:ascii="黑体" w:hAnsi="黑体" w:eastAsia="黑体" w:hint="eastAsia"/>
          <w:spacing w:val="-28"/>
        </w:rPr>
        <w:t>金”、“一般意外身故或者高残保险金”</w:t>
      </w:r>
      <w:r>
        <w:rPr>
          <w:rFonts w:ascii="黑体" w:hAnsi="黑体" w:eastAsia="黑体" w:hint="eastAsia"/>
          <w:spacing w:val="-20"/>
        </w:rPr>
        <w:t>、“重大自然灾害意外身故或者高残保险金”、</w:t>
      </w:r>
    </w:p>
    <w:p>
      <w:pPr>
        <w:pStyle w:val="BodyText"/>
        <w:spacing w:line="273" w:lineRule="auto" w:before="11"/>
        <w:ind w:left="2545" w:right="225"/>
        <w:jc w:val="both"/>
        <w:rPr>
          <w:rFonts w:ascii="黑体" w:hAnsi="黑体" w:eastAsia="黑体" w:hint="eastAsia"/>
        </w:rPr>
      </w:pPr>
      <w:r>
        <w:rPr>
          <w:rFonts w:ascii="黑体" w:hAnsi="黑体" w:eastAsia="黑体" w:hint="eastAsia"/>
          <w:spacing w:val="-19"/>
        </w:rPr>
        <w:t>“交通工具意外身故或者高残保险金”、“自驾车意外身故或者高残保险金”、“航</w:t>
      </w:r>
      <w:r>
        <w:rPr>
          <w:rFonts w:ascii="黑体" w:hAnsi="黑体" w:eastAsia="黑体" w:hint="eastAsia"/>
          <w:spacing w:val="-22"/>
        </w:rPr>
        <w:t>空意外身故或者高残保险金”、“电梯意外身故或者高残保险金”及“法定节假日</w:t>
      </w:r>
      <w:r>
        <w:rPr>
          <w:rFonts w:ascii="黑体" w:hAnsi="黑体" w:eastAsia="黑体" w:hint="eastAsia"/>
          <w:spacing w:val="-18"/>
        </w:rPr>
        <w:t>意外身故或者高残保险金”，我们只给付其中的一项。在给付其中任意一项后，本</w:t>
      </w:r>
      <w:r>
        <w:rPr>
          <w:rFonts w:ascii="黑体" w:hAnsi="黑体" w:eastAsia="黑体" w:hint="eastAsia"/>
          <w:spacing w:val="-10"/>
        </w:rPr>
        <w:t>附加合同和主合同同时终止。</w:t>
      </w:r>
    </w:p>
    <w:p>
      <w:pPr>
        <w:pStyle w:val="BodyText"/>
        <w:spacing w:line="259" w:lineRule="auto" w:before="161"/>
        <w:ind w:left="2545" w:right="225" w:hanging="1522"/>
        <w:jc w:val="both"/>
      </w:pPr>
      <w:r>
        <w:rPr>
          <w:rFonts w:ascii="Microsoft JhengHei" w:eastAsia="Microsoft JhengHei" w:hint="eastAsia"/>
          <w:b/>
        </w:rPr>
        <w:t>特别注意事项  </w:t>
      </w:r>
      <w:r>
        <w:rPr/>
        <w:t>我们在给付重大疾病保险金时，如果主合同或者附加合同项下有欠交的保险费、保单贷款或者其他各项欠款，则须从本附加合同项下的重大疾病保险金中扣除所有欠款及应付利息后给付。</w:t>
      </w:r>
    </w:p>
    <w:p>
      <w:pPr>
        <w:pStyle w:val="ListParagraph"/>
        <w:numPr>
          <w:ilvl w:val="1"/>
          <w:numId w:val="2"/>
        </w:numPr>
        <w:tabs>
          <w:tab w:pos="1023" w:val="left" w:leader="none"/>
          <w:tab w:pos="1024" w:val="left" w:leader="none"/>
          <w:tab w:pos="2545" w:val="left" w:leader="none"/>
        </w:tabs>
        <w:spacing w:line="244" w:lineRule="auto" w:before="174" w:after="0"/>
        <w:ind w:left="2545" w:right="225" w:hanging="2323"/>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因下列情形之一导致被保险人发Th本附加合同定义</w:t>
      </w:r>
      <w:r>
        <w:rPr>
          <w:rFonts w:ascii="黑体" w:eastAsia="黑体" w:hint="eastAsia"/>
          <w:spacing w:val="-5"/>
          <w:sz w:val="21"/>
        </w:rPr>
        <w:t>的</w:t>
      </w:r>
      <w:r>
        <w:rPr>
          <w:rFonts w:ascii="黑体" w:eastAsia="黑体" w:hint="eastAsia"/>
          <w:sz w:val="21"/>
        </w:rPr>
        <w:t>重大疾病的，我们不承担给 付保险金</w:t>
      </w:r>
      <w:r>
        <w:rPr>
          <w:rFonts w:ascii="黑体" w:eastAsia="黑体" w:hint="eastAsia"/>
          <w:spacing w:val="-5"/>
          <w:sz w:val="21"/>
        </w:rPr>
        <w:t>的</w:t>
      </w:r>
      <w:r>
        <w:rPr>
          <w:rFonts w:ascii="黑体" w:eastAsia="黑体" w:hint="eastAsia"/>
          <w:sz w:val="21"/>
        </w:rPr>
        <w:t>责任：</w:t>
      </w:r>
    </w:p>
    <w:p>
      <w:pPr>
        <w:pStyle w:val="ListParagraph"/>
        <w:numPr>
          <w:ilvl w:val="2"/>
          <w:numId w:val="2"/>
        </w:numPr>
        <w:tabs>
          <w:tab w:pos="3279" w:val="left" w:leader="none"/>
          <w:tab w:pos="3280" w:val="left" w:leader="none"/>
        </w:tabs>
        <w:spacing w:line="240" w:lineRule="auto" w:before="114" w:after="0"/>
        <w:ind w:left="3280"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279" w:val="left" w:leader="none"/>
          <w:tab w:pos="3280" w:val="left" w:leader="none"/>
        </w:tabs>
        <w:spacing w:line="240" w:lineRule="auto" w:before="113" w:after="0"/>
        <w:ind w:left="3280" w:right="0" w:hanging="735"/>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2"/>
        </w:numPr>
        <w:tabs>
          <w:tab w:pos="3279" w:val="left" w:leader="none"/>
          <w:tab w:pos="3280" w:val="left" w:leader="none"/>
        </w:tabs>
        <w:spacing w:line="240" w:lineRule="auto" w:before="47" w:after="0"/>
        <w:ind w:left="3280" w:right="0" w:hanging="735"/>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0</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79" w:val="left" w:leader="none"/>
          <w:tab w:pos="3280" w:val="left" w:leader="none"/>
        </w:tabs>
        <w:spacing w:line="201" w:lineRule="auto" w:before="86" w:after="0"/>
        <w:ind w:left="3280" w:right="220" w:hanging="735"/>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10.11</w:t>
      </w:r>
      <w:r>
        <w:rPr>
          <w:rFonts w:ascii="黑体" w:eastAsia="黑体" w:hint="eastAsia"/>
          <w:spacing w:val="-111"/>
          <w:w w:val="100"/>
          <w:sz w:val="21"/>
        </w:rPr>
        <w:t>）</w:t>
      </w:r>
      <w:r>
        <w:rPr>
          <w:rFonts w:ascii="黑体" w:eastAsia="黑体" w:hint="eastAsia"/>
          <w:spacing w:val="-5"/>
          <w:w w:val="100"/>
          <w:sz w:val="21"/>
        </w:rPr>
        <w:t>、</w:t>
      </w:r>
      <w:r>
        <w:rPr>
          <w:rFonts w:ascii="Microsoft JhengHei" w:eastAsia="Microsoft JhengHei" w:hint="eastAsia"/>
          <w:b/>
          <w:w w:val="100"/>
          <w:sz w:val="21"/>
        </w:rPr>
        <w:t>无合法有效驾驶证驾驶</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spacing w:val="-1"/>
          <w:w w:val="100"/>
          <w:sz w:val="21"/>
        </w:rPr>
        <w:t>.</w:t>
      </w:r>
      <w:r>
        <w:rPr>
          <w:rFonts w:ascii="黑体" w:eastAsia="黑体" w:hint="eastAsia"/>
          <w:w w:val="100"/>
          <w:sz w:val="21"/>
        </w:rPr>
        <w:t>12</w:t>
      </w:r>
      <w:r>
        <w:rPr>
          <w:rFonts w:ascii="黑体" w:eastAsia="黑体" w:hint="eastAsia"/>
          <w:spacing w:val="-106"/>
          <w:w w:val="100"/>
          <w:sz w:val="21"/>
        </w:rPr>
        <w:t>）</w:t>
      </w:r>
      <w:r>
        <w:rPr>
          <w:rFonts w:ascii="黑体" w:eastAsia="黑体" w:hint="eastAsia"/>
          <w:w w:val="100"/>
          <w:sz w:val="21"/>
        </w:rPr>
        <w:t>，或</w:t>
      </w:r>
      <w:r>
        <w:rPr>
          <w:rFonts w:ascii="黑体" w:eastAsia="黑体" w:hint="eastAsia"/>
          <w:spacing w:val="-2"/>
          <w:w w:val="100"/>
          <w:sz w:val="21"/>
        </w:rPr>
        <w:t>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13）</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10.14</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79" w:val="left" w:leader="none"/>
          <w:tab w:pos="3280" w:val="left" w:leader="none"/>
        </w:tabs>
        <w:spacing w:line="240" w:lineRule="auto" w:before="27" w:after="0"/>
        <w:ind w:left="3280" w:right="0" w:hanging="735"/>
        <w:jc w:val="left"/>
        <w:rPr>
          <w:rFonts w:ascii="黑体" w:eastAsia="黑体" w:hint="eastAsia"/>
          <w:sz w:val="21"/>
        </w:rPr>
      </w:pPr>
      <w:r>
        <w:rPr>
          <w:rFonts w:ascii="黑体" w:eastAsia="黑体" w:hint="eastAsia"/>
          <w:w w:val="100"/>
          <w:sz w:val="21"/>
        </w:rPr>
        <w:t>被保险人</w:t>
      </w:r>
      <w:r>
        <w:rPr>
          <w:rFonts w:ascii="Microsoft JhengHei" w:eastAsia="Microsoft JhengHei" w:hint="eastAsia"/>
          <w:b/>
          <w:w w:val="100"/>
          <w:sz w:val="21"/>
        </w:rPr>
        <w:t>感染艾滋病病毒或者患艾滋病</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10.15</w:t>
      </w:r>
      <w:r>
        <w:rPr>
          <w:rFonts w:ascii="黑体" w:eastAsia="黑体" w:hint="eastAsia"/>
          <w:spacing w:val="-111"/>
          <w:w w:val="100"/>
          <w:sz w:val="21"/>
        </w:rPr>
        <w:t>）</w:t>
      </w:r>
      <w:r>
        <w:rPr>
          <w:rFonts w:ascii="黑体" w:eastAsia="黑体" w:hint="eastAsia"/>
          <w:w w:val="100"/>
          <w:sz w:val="21"/>
        </w:rPr>
        <w:t>（但符合本附加合同</w:t>
      </w:r>
    </w:p>
    <w:p>
      <w:pPr>
        <w:pStyle w:val="BodyText"/>
        <w:spacing w:before="8"/>
        <w:ind w:left="3316" w:right="720"/>
        <w:jc w:val="center"/>
        <w:rPr>
          <w:rFonts w:ascii="黑体" w:hAnsi="黑体" w:eastAsia="黑体" w:hint="eastAsia"/>
        </w:rPr>
      </w:pPr>
      <w:r>
        <w:rPr>
          <w:rFonts w:ascii="黑体" w:hAnsi="黑体" w:eastAsia="黑体" w:hint="eastAsia"/>
          <w:spacing w:val="-5"/>
          <w:w w:val="100"/>
        </w:rPr>
        <w:t>“经输血导致的感染艾滋病病毒或者患艾滋病”定义的不在此限</w:t>
      </w:r>
      <w:r>
        <w:rPr>
          <w:rFonts w:ascii="黑体" w:hAnsi="黑体" w:eastAsia="黑体" w:hint="eastAsia"/>
          <w:spacing w:val="-111"/>
          <w:w w:val="100"/>
        </w:rPr>
        <w:t>）</w:t>
      </w:r>
      <w:r>
        <w:rPr>
          <w:rFonts w:ascii="黑体" w:hAnsi="黑体" w:eastAsia="黑体" w:hint="eastAsia"/>
          <w:w w:val="100"/>
        </w:rPr>
        <w:t>；</w:t>
      </w:r>
    </w:p>
    <w:p>
      <w:pPr>
        <w:pStyle w:val="ListParagraph"/>
        <w:numPr>
          <w:ilvl w:val="2"/>
          <w:numId w:val="2"/>
        </w:numPr>
        <w:tabs>
          <w:tab w:pos="3279" w:val="left" w:leader="none"/>
          <w:tab w:pos="3280" w:val="left" w:leader="none"/>
        </w:tabs>
        <w:spacing w:line="240" w:lineRule="auto" w:before="118" w:after="0"/>
        <w:ind w:left="3280"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279" w:val="left" w:leader="none"/>
          <w:tab w:pos="3280" w:val="left" w:leader="none"/>
        </w:tabs>
        <w:spacing w:line="240" w:lineRule="auto" w:before="113" w:after="0"/>
        <w:ind w:left="3280"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279" w:val="left" w:leader="none"/>
          <w:tab w:pos="3280" w:val="left" w:leader="none"/>
        </w:tabs>
        <w:spacing w:line="240" w:lineRule="auto" w:before="51" w:after="0"/>
        <w:ind w:left="3280" w:right="0" w:hanging="735"/>
        <w:jc w:val="left"/>
        <w:rPr>
          <w:rFonts w:ascii="黑体" w:eastAsia="黑体" w:hint="eastAsia"/>
          <w:sz w:val="21"/>
        </w:rPr>
      </w:pPr>
      <w:r>
        <w:rPr>
          <w:rFonts w:ascii="Microsoft JhengHei" w:eastAsia="Microsoft JhengHei" w:hint="eastAsia"/>
          <w:b/>
          <w:spacing w:val="-4"/>
          <w:w w:val="100"/>
          <w:sz w:val="21"/>
        </w:rPr>
        <w:t>遗传性疾病</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10.16</w:t>
      </w:r>
      <w:r>
        <w:rPr>
          <w:rFonts w:ascii="黑体" w:eastAsia="黑体" w:hint="eastAsia"/>
          <w:spacing w:val="-111"/>
          <w:w w:val="100"/>
          <w:sz w:val="21"/>
        </w:rPr>
        <w:t>）</w:t>
      </w:r>
      <w:r>
        <w:rPr>
          <w:rFonts w:ascii="黑体" w:eastAsia="黑体" w:hint="eastAsia"/>
          <w:spacing w:val="-24"/>
          <w:w w:val="100"/>
          <w:sz w:val="21"/>
        </w:rPr>
        <w:t>，</w:t>
      </w:r>
      <w:r>
        <w:rPr>
          <w:rFonts w:ascii="Microsoft JhengHei" w:eastAsia="Microsoft JhengHei" w:hint="eastAsia"/>
          <w:b/>
          <w:spacing w:val="-6"/>
          <w:w w:val="100"/>
          <w:sz w:val="21"/>
        </w:rPr>
        <w:t>先天性畸形、变形或者染色体异常</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w:t>
      </w:r>
      <w:r>
        <w:rPr>
          <w:rFonts w:ascii="黑体" w:eastAsia="黑体" w:hint="eastAsia"/>
          <w:w w:val="100"/>
          <w:sz w:val="21"/>
        </w:rPr>
        <w:t>0.</w:t>
      </w:r>
      <w:r>
        <w:rPr>
          <w:rFonts w:ascii="黑体" w:eastAsia="黑体" w:hint="eastAsia"/>
          <w:spacing w:val="-1"/>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w w:val="100"/>
          <w:sz w:val="21"/>
        </w:rPr>
        <w:t>。</w:t>
      </w:r>
    </w:p>
    <w:p>
      <w:pPr>
        <w:pStyle w:val="BodyText"/>
        <w:spacing w:line="216" w:lineRule="auto" w:before="117"/>
        <w:ind w:left="2545" w:right="225"/>
        <w:rPr>
          <w:rFonts w:ascii="黑体" w:eastAsia="黑体" w:hint="eastAsia"/>
        </w:rPr>
      </w:pPr>
      <w:r>
        <w:rPr>
          <w:rFonts w:ascii="黑体" w:eastAsia="黑体" w:hint="eastAsia"/>
          <w:spacing w:val="-6"/>
        </w:rPr>
        <w:t>因上述第</w:t>
      </w:r>
      <w:r>
        <w:rPr>
          <w:rFonts w:ascii="黑体" w:eastAsia="黑体" w:hint="eastAsia"/>
          <w:spacing w:val="-10"/>
        </w:rPr>
        <w:t>（1）</w:t>
      </w:r>
      <w:r>
        <w:rPr>
          <w:rFonts w:ascii="黑体" w:eastAsia="黑体" w:hint="eastAsia"/>
          <w:spacing w:val="-3"/>
        </w:rPr>
        <w:t>项情形导致被保险人发</w:t>
      </w:r>
      <w:r>
        <w:rPr>
          <w:rFonts w:ascii="黑体" w:eastAsia="黑体" w:hint="eastAsia"/>
        </w:rPr>
        <w:t>Th</w:t>
      </w:r>
      <w:r>
        <w:rPr>
          <w:rFonts w:ascii="黑体" w:eastAsia="黑体" w:hint="eastAsia"/>
          <w:spacing w:val="-7"/>
        </w:rPr>
        <w:t>本附加合同定义的重大疾病的，本附加合</w:t>
      </w:r>
      <w:r>
        <w:rPr>
          <w:rFonts w:ascii="黑体" w:eastAsia="黑体" w:hint="eastAsia"/>
          <w:spacing w:val="-6"/>
          <w:w w:val="100"/>
        </w:rPr>
        <w:t>同终止，我们向被保险人给付本附加合同终止时的</w:t>
      </w:r>
      <w:r>
        <w:rPr>
          <w:rFonts w:ascii="Microsoft JhengHei" w:eastAsia="Microsoft JhengHei" w:hint="eastAsia"/>
          <w:b/>
          <w:w w:val="100"/>
        </w:rPr>
        <w:t>现金价值</w:t>
      </w:r>
      <w:r>
        <w:rPr>
          <w:rFonts w:ascii="黑体" w:eastAsia="黑体" w:hint="eastAsia"/>
          <w:w w:val="100"/>
        </w:rPr>
        <w:t>（见</w:t>
      </w:r>
      <w:r>
        <w:rPr>
          <w:rFonts w:ascii="黑体" w:eastAsia="黑体" w:hint="eastAsia"/>
          <w:spacing w:val="-53"/>
        </w:rPr>
        <w:t> </w:t>
      </w:r>
      <w:r>
        <w:rPr>
          <w:rFonts w:ascii="黑体" w:eastAsia="黑体" w:hint="eastAsia"/>
          <w:w w:val="100"/>
        </w:rPr>
        <w:t>10.1</w:t>
      </w:r>
      <w:r>
        <w:rPr>
          <w:rFonts w:ascii="黑体" w:eastAsia="黑体" w:hint="eastAsia"/>
          <w:spacing w:val="-5"/>
          <w:w w:val="100"/>
        </w:rPr>
        <w:t>8</w:t>
      </w:r>
      <w:r>
        <w:rPr>
          <w:rFonts w:ascii="黑体" w:eastAsia="黑体" w:hint="eastAsia"/>
          <w:spacing w:val="-106"/>
          <w:w w:val="100"/>
        </w:rPr>
        <w:t>）</w:t>
      </w:r>
      <w:r>
        <w:rPr>
          <w:rFonts w:ascii="黑体" w:eastAsia="黑体" w:hint="eastAsia"/>
          <w:w w:val="100"/>
        </w:rPr>
        <w:t>。</w:t>
      </w:r>
    </w:p>
    <w:p>
      <w:pPr>
        <w:pStyle w:val="BodyText"/>
        <w:spacing w:line="268" w:lineRule="auto" w:before="95"/>
        <w:ind w:left="2545" w:right="225"/>
        <w:rPr>
          <w:rFonts w:ascii="黑体" w:eastAsia="黑体" w:hint="eastAsia"/>
        </w:rPr>
      </w:pPr>
      <w:r>
        <w:rPr>
          <w:rFonts w:ascii="黑体" w:eastAsia="黑体" w:hint="eastAsia"/>
        </w:rPr>
        <w:t>因上述其他情形导致被保险人发Th本附加合同定义的重大疾病的，本附加合同终止，我们向您退还本附加合同终止时的现金价值。</w:t>
      </w:r>
    </w:p>
    <w:p>
      <w:pPr>
        <w:pStyle w:val="Heading2"/>
        <w:numPr>
          <w:ilvl w:val="0"/>
          <w:numId w:val="2"/>
        </w:numPr>
        <w:tabs>
          <w:tab w:pos="1023" w:val="left" w:leader="none"/>
          <w:tab w:pos="1024" w:val="left" w:leader="none"/>
        </w:tabs>
        <w:spacing w:line="240" w:lineRule="auto" w:before="169" w:after="0"/>
        <w:ind w:left="1024" w:right="0" w:hanging="802"/>
        <w:jc w:val="left"/>
      </w:pPr>
      <w:r>
        <w:rPr/>
        <w:pict>
          <v:group style="position:absolute;margin-left:51.84pt;margin-top:31.563646pt;width:496.1pt;height:1pt;mso-position-horizontal-relative:page;mso-position-vertical-relative:paragraph;z-index:1120;mso-wrap-distance-left:0;mso-wrap-distance-right:0" coordorigin="1037,631" coordsize="9922,20">
            <v:line style="position:absolute" from="1037,641" to="1834,641" stroked="true" strokeweight=".96pt" strokecolor="#000000">
              <v:stroke dashstyle="solid"/>
            </v:line>
            <v:rect style="position:absolute;left:1833;top:631;width:20;height:20" filled="true" fillcolor="#000000" stroked="false">
              <v:fill type="solid"/>
            </v:rect>
            <v:line style="position:absolute" from="1853,641" to="3360,641" stroked="true" strokeweight=".96pt" strokecolor="#000000">
              <v:stroke dashstyle="solid"/>
            </v:line>
            <v:rect style="position:absolute;left:3360;top:631;width:20;height:20" filled="true" fillcolor="#000000" stroked="false">
              <v:fill type="solid"/>
            </v:rect>
            <v:line style="position:absolute" from="3379,641" to="10958,641" stroked="true" strokeweight=".96pt" strokecolor="#000000">
              <v:stroke dashstyle="solid"/>
            </v:line>
            <w10:wrap type="topAndBottom"/>
          </v:group>
        </w:pict>
      </w:r>
      <w:r>
        <w:rPr/>
        <w:t>保险金的申请</w:t>
      </w:r>
    </w:p>
    <w:p>
      <w:pPr>
        <w:pStyle w:val="BodyText"/>
        <w:spacing w:before="16"/>
        <w:rPr>
          <w:rFonts w:ascii="Microsoft JhengHei"/>
          <w:b/>
          <w:sz w:val="6"/>
        </w:rPr>
      </w:pPr>
    </w:p>
    <w:p>
      <w:pPr>
        <w:pStyle w:val="ListParagraph"/>
        <w:numPr>
          <w:ilvl w:val="1"/>
          <w:numId w:val="2"/>
        </w:numPr>
        <w:tabs>
          <w:tab w:pos="1023" w:val="left" w:leader="none"/>
          <w:tab w:pos="1024" w:val="left" w:leader="none"/>
          <w:tab w:pos="2545" w:val="left" w:leader="none"/>
        </w:tabs>
        <w:spacing w:line="336" w:lineRule="exact" w:before="0" w:after="0"/>
        <w:ind w:left="2545" w:right="0" w:hanging="2323"/>
        <w:jc w:val="left"/>
        <w:rPr>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外，重</w:t>
      </w:r>
      <w:r>
        <w:rPr>
          <w:spacing w:val="-5"/>
          <w:sz w:val="21"/>
        </w:rPr>
        <w:t>大</w:t>
      </w:r>
      <w:r>
        <w:rPr>
          <w:sz w:val="21"/>
        </w:rPr>
        <w:t>疾病保</w:t>
      </w:r>
      <w:r>
        <w:rPr>
          <w:spacing w:val="-5"/>
          <w:sz w:val="21"/>
        </w:rPr>
        <w:t>险</w:t>
      </w:r>
      <w:r>
        <w:rPr>
          <w:sz w:val="21"/>
        </w:rPr>
        <w:t>金受益</w:t>
      </w:r>
      <w:r>
        <w:rPr>
          <w:spacing w:val="-5"/>
          <w:sz w:val="21"/>
        </w:rPr>
        <w:t>人</w:t>
      </w:r>
      <w:r>
        <w:rPr>
          <w:sz w:val="21"/>
        </w:rPr>
        <w:t>为被保</w:t>
      </w:r>
      <w:r>
        <w:rPr>
          <w:spacing w:val="-5"/>
          <w:sz w:val="21"/>
        </w:rPr>
        <w:t>险</w:t>
      </w:r>
      <w:r>
        <w:rPr>
          <w:sz w:val="21"/>
        </w:rPr>
        <w:t>人</w:t>
      </w:r>
      <w:r>
        <w:rPr>
          <w:spacing w:val="-5"/>
          <w:sz w:val="21"/>
        </w:rPr>
        <w:t>本</w:t>
      </w:r>
      <w:r>
        <w:rPr>
          <w:sz w:val="21"/>
        </w:rPr>
        <w:t>人。</w:t>
      </w:r>
    </w:p>
    <w:p>
      <w:pPr>
        <w:pStyle w:val="ListParagraph"/>
        <w:numPr>
          <w:ilvl w:val="1"/>
          <w:numId w:val="2"/>
        </w:numPr>
        <w:tabs>
          <w:tab w:pos="1024" w:val="left" w:leader="none"/>
        </w:tabs>
        <w:spacing w:line="264" w:lineRule="auto" w:before="162" w:after="0"/>
        <w:ind w:left="2545" w:right="225" w:hanging="2323"/>
        <w:jc w:val="both"/>
        <w:rPr>
          <w:rFonts w:ascii="黑体" w:eastAsia="黑体" w:hint="eastAsia"/>
          <w:sz w:val="21"/>
        </w:rPr>
      </w:pPr>
      <w:r>
        <w:rPr>
          <w:rFonts w:ascii="Microsoft JhengHei" w:eastAsia="Microsoft JhengHei" w:hint="eastAsia"/>
          <w:b/>
          <w:spacing w:val="1"/>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1"/>
          <w:sz w:val="21"/>
        </w:rPr>
        <w:t>后应当在 </w:t>
      </w:r>
      <w:r>
        <w:rPr>
          <w:rFonts w:ascii="黑体" w:eastAsia="黑体" w:hint="eastAsia"/>
          <w:sz w:val="21"/>
        </w:rPr>
        <w:t>10</w:t>
      </w:r>
      <w:r>
        <w:rPr>
          <w:rFonts w:ascii="黑体" w:eastAsia="黑体" w:hint="eastAsia"/>
          <w:spacing w:val="-13"/>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w:t>
      </w:r>
      <w:r>
        <w:rPr>
          <w:rFonts w:ascii="黑体" w:eastAsia="黑体" w:hint="eastAsia"/>
          <w:spacing w:val="-12"/>
          <w:sz w:val="21"/>
        </w:rPr>
        <w:t>或者虽未及时通知但不影响我们确定保险事故的性质、</w:t>
      </w:r>
    </w:p>
    <w:p>
      <w:pPr>
        <w:spacing w:after="0" w:line="264" w:lineRule="auto"/>
        <w:jc w:val="both"/>
        <w:rPr>
          <w:rFonts w:ascii="黑体" w:eastAsia="黑体" w:hint="eastAsia"/>
          <w:sz w:val="21"/>
        </w:rPr>
        <w:sectPr>
          <w:pgSz w:w="11900" w:h="16840"/>
          <w:pgMar w:top="1000" w:bottom="280" w:left="920" w:right="820"/>
        </w:sectPr>
      </w:pPr>
    </w:p>
    <w:p>
      <w:pPr>
        <w:pStyle w:val="BodyText"/>
        <w:spacing w:before="9"/>
        <w:ind w:left="2545"/>
        <w:jc w:val="both"/>
        <w:rPr>
          <w:rFonts w:ascii="黑体" w:eastAsia="黑体" w:hint="eastAsia"/>
        </w:rPr>
      </w:pPr>
      <w:r>
        <w:rPr>
          <w:rFonts w:ascii="黑体" w:eastAsia="黑体" w:hint="eastAsia"/>
        </w:rPr>
        <w:t>原因、损失程度的除外。</w:t>
      </w:r>
    </w:p>
    <w:p>
      <w:pPr>
        <w:pStyle w:val="BodyText"/>
        <w:spacing w:before="7"/>
        <w:rPr>
          <w:rFonts w:ascii="黑体"/>
          <w:sz w:val="14"/>
        </w:rPr>
      </w:pPr>
    </w:p>
    <w:p>
      <w:pPr>
        <w:pStyle w:val="ListParagraph"/>
        <w:numPr>
          <w:ilvl w:val="1"/>
          <w:numId w:val="2"/>
        </w:numPr>
        <w:tabs>
          <w:tab w:pos="1024" w:val="left" w:leader="none"/>
        </w:tabs>
        <w:spacing w:line="244" w:lineRule="auto" w:before="1" w:after="0"/>
        <w:ind w:left="2545" w:right="205" w:hanging="2323"/>
        <w:jc w:val="both"/>
        <w:rPr>
          <w:sz w:val="21"/>
        </w:rPr>
      </w:pPr>
      <w:r>
        <w:rPr>
          <w:rFonts w:ascii="Microsoft JhengHei" w:eastAsia="Microsoft JhengHei" w:hint="eastAsia"/>
          <w:b/>
          <w:spacing w:val="2"/>
          <w:sz w:val="21"/>
        </w:rPr>
        <w:t>保险金申请      </w:t>
      </w:r>
      <w:r>
        <w:rPr>
          <w:spacing w:val="-1"/>
          <w:sz w:val="21"/>
        </w:rPr>
        <w:t>在申请保险金时，重大疾病保险金受益人作为申请人须填写领取保险金申请书， </w:t>
      </w:r>
      <w:r>
        <w:rPr>
          <w:spacing w:val="-4"/>
          <w:sz w:val="21"/>
        </w:rPr>
        <w:t>并须提供下列证明和资料的原件：</w:t>
      </w:r>
    </w:p>
    <w:p>
      <w:pPr>
        <w:pStyle w:val="ListParagraph"/>
        <w:numPr>
          <w:ilvl w:val="0"/>
          <w:numId w:val="3"/>
        </w:numPr>
        <w:tabs>
          <w:tab w:pos="3285" w:val="left" w:leader="none"/>
        </w:tabs>
        <w:spacing w:line="240" w:lineRule="auto" w:before="114" w:after="0"/>
        <w:ind w:left="3284" w:right="0" w:hanging="739"/>
        <w:jc w:val="both"/>
        <w:rPr>
          <w:sz w:val="21"/>
        </w:rPr>
      </w:pPr>
      <w:r>
        <w:rPr>
          <w:spacing w:val="-1"/>
          <w:sz w:val="21"/>
        </w:rPr>
        <w:t>本附加合同；</w:t>
      </w:r>
    </w:p>
    <w:p>
      <w:pPr>
        <w:pStyle w:val="ListParagraph"/>
        <w:numPr>
          <w:ilvl w:val="0"/>
          <w:numId w:val="3"/>
        </w:numPr>
        <w:tabs>
          <w:tab w:pos="3285" w:val="left" w:leader="none"/>
        </w:tabs>
        <w:spacing w:line="240" w:lineRule="auto" w:before="113" w:after="0"/>
        <w:ind w:left="3284" w:right="0" w:hanging="739"/>
        <w:jc w:val="both"/>
        <w:rPr>
          <w:sz w:val="21"/>
        </w:rPr>
      </w:pPr>
      <w:r>
        <w:rPr>
          <w:spacing w:val="-4"/>
          <w:sz w:val="21"/>
        </w:rPr>
        <w:t>重大疾病保险金受益人的有效身份证件；</w:t>
      </w:r>
    </w:p>
    <w:p>
      <w:pPr>
        <w:pStyle w:val="ListParagraph"/>
        <w:numPr>
          <w:ilvl w:val="0"/>
          <w:numId w:val="3"/>
        </w:numPr>
        <w:tabs>
          <w:tab w:pos="3285" w:val="left" w:leader="none"/>
        </w:tabs>
        <w:spacing w:line="259" w:lineRule="auto" w:before="47" w:after="0"/>
        <w:ind w:left="3284" w:right="200" w:hanging="739"/>
        <w:jc w:val="both"/>
        <w:rPr>
          <w:sz w:val="21"/>
        </w:rPr>
      </w:pPr>
      <w:r>
        <w:rPr>
          <w:spacing w:val="-2"/>
          <w:sz w:val="21"/>
        </w:rPr>
        <w:t>由医院</w:t>
      </w:r>
      <w:r>
        <w:rPr>
          <w:rFonts w:ascii="Microsoft JhengHei" w:eastAsia="Microsoft JhengHei" w:hint="eastAsia"/>
          <w:b/>
          <w:spacing w:val="-2"/>
          <w:sz w:val="21"/>
        </w:rPr>
        <w:t>专科医生</w:t>
      </w:r>
      <w:r>
        <w:rPr>
          <w:sz w:val="21"/>
        </w:rPr>
        <w:t>（</w:t>
      </w:r>
      <w:r>
        <w:rPr>
          <w:spacing w:val="-11"/>
          <w:sz w:val="21"/>
        </w:rPr>
        <w:t>见 </w:t>
      </w:r>
      <w:r>
        <w:rPr>
          <w:spacing w:val="-3"/>
          <w:sz w:val="21"/>
        </w:rPr>
        <w:t>10.19）</w:t>
      </w:r>
      <w:r>
        <w:rPr>
          <w:spacing w:val="-5"/>
          <w:sz w:val="21"/>
        </w:rPr>
        <w:t>出具的被保险人的疾病诊断证明书，以及由</w:t>
      </w:r>
      <w:r>
        <w:rPr>
          <w:spacing w:val="-8"/>
          <w:sz w:val="21"/>
        </w:rPr>
        <w:t>医院出具的与该疾病诊断证明书相关的病理显微镜检查、血液检验及其他</w:t>
      </w:r>
      <w:r>
        <w:rPr>
          <w:spacing w:val="-6"/>
          <w:sz w:val="21"/>
        </w:rPr>
        <w:t>科学方法检验报告；</w:t>
      </w:r>
    </w:p>
    <w:p>
      <w:pPr>
        <w:pStyle w:val="ListParagraph"/>
        <w:numPr>
          <w:ilvl w:val="0"/>
          <w:numId w:val="3"/>
        </w:numPr>
        <w:tabs>
          <w:tab w:pos="3285" w:val="left" w:leader="none"/>
        </w:tabs>
        <w:spacing w:line="240" w:lineRule="auto" w:before="102" w:after="0"/>
        <w:ind w:left="3284" w:right="0" w:hanging="739"/>
        <w:jc w:val="both"/>
        <w:rPr>
          <w:sz w:val="21"/>
        </w:rPr>
      </w:pPr>
      <w:r>
        <w:rPr>
          <w:spacing w:val="-5"/>
          <w:sz w:val="21"/>
        </w:rPr>
        <w:t>所能提供的与确认保险事故的性质、原因等有关的其他证明和资料。</w:t>
      </w:r>
    </w:p>
    <w:p>
      <w:pPr>
        <w:pStyle w:val="BodyText"/>
        <w:spacing w:line="268" w:lineRule="auto" w:before="114"/>
        <w:ind w:left="2545" w:right="205"/>
        <w:jc w:val="both"/>
      </w:pPr>
      <w:r>
        <w:rPr/>
        <w:t>以上证明和资料不完整的，我们将及时一次性通知受益人补充提供有关的证明和资料。</w:t>
      </w:r>
    </w:p>
    <w:p>
      <w:pPr>
        <w:pStyle w:val="BodyText"/>
        <w:spacing w:line="268" w:lineRule="auto" w:before="93"/>
        <w:ind w:left="2545" w:right="206"/>
        <w:jc w:val="both"/>
      </w:pPr>
      <w:r>
        <w:rPr/>
        <w:t>委托他人领取保险金时，受托人还必须提供本人的有效身份证件及委托人亲笔签名的授权委托书。</w:t>
      </w:r>
    </w:p>
    <w:p>
      <w:pPr>
        <w:pStyle w:val="BodyText"/>
        <w:spacing w:line="273" w:lineRule="auto" w:before="93"/>
        <w:ind w:left="2545" w:right="205"/>
        <w:jc w:val="both"/>
      </w:pPr>
      <w:r>
        <w:rPr/>
        <w:t>保险金作为被保险人遗产时，继承人还必须提供可证明其合法继承权的相关权利文件。</w:t>
      </w:r>
    </w:p>
    <w:p>
      <w:pPr>
        <w:pStyle w:val="BodyText"/>
        <w:spacing w:line="271" w:lineRule="auto" w:before="89"/>
        <w:ind w:left="2545" w:right="205"/>
        <w:jc w:val="both"/>
      </w:pPr>
      <w:r>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BodyText"/>
        <w:spacing w:line="271" w:lineRule="auto" w:before="91"/>
        <w:ind w:left="2545" w:right="238"/>
        <w:jc w:val="both"/>
        <w:rPr>
          <w:rFonts w:ascii="黑体" w:eastAsia="黑体" w:hint="eastAsia"/>
        </w:rPr>
      </w:pPr>
      <w:r>
        <w:rPr/>
        <w:t>如果重大疾病保险金受益人已向我们书面申领重大疾病保险金，但在实际领取重大疾病保险金前被保险人身故，我们仅承担向重大疾病保险金受益人给付重大疾病保险金的责任</w:t>
      </w:r>
      <w:r>
        <w:rPr>
          <w:rFonts w:ascii="黑体" w:eastAsia="黑体" w:hint="eastAsia"/>
        </w:rPr>
        <w:t>，而不再承担主合同约定的给付身故保险金的责任。</w:t>
      </w:r>
    </w:p>
    <w:p>
      <w:pPr>
        <w:pStyle w:val="BodyText"/>
        <w:spacing w:line="271" w:lineRule="auto" w:before="91"/>
        <w:ind w:left="2545" w:right="205"/>
        <w:jc w:val="both"/>
        <w:rPr>
          <w:rFonts w:ascii="黑体" w:eastAsia="黑体" w:hint="eastAsia"/>
        </w:rPr>
      </w:pPr>
      <w:r>
        <w:rPr/>
        <w:t>如果在重大疾病保险金受益人提出申领重大疾病保险金书面申请之前被保险人身故，我们仅依主合同承担向身故保险金受益人给付身故保险金的责任</w:t>
      </w:r>
      <w:r>
        <w:rPr>
          <w:rFonts w:ascii="黑体" w:eastAsia="黑体" w:hint="eastAsia"/>
        </w:rPr>
        <w:t>，而不再承担本附加合同约定的保险责任。</w:t>
      </w:r>
    </w:p>
    <w:p>
      <w:pPr>
        <w:pStyle w:val="ListParagraph"/>
        <w:numPr>
          <w:ilvl w:val="1"/>
          <w:numId w:val="2"/>
        </w:numPr>
        <w:tabs>
          <w:tab w:pos="1024" w:val="left" w:leader="none"/>
        </w:tabs>
        <w:spacing w:line="259" w:lineRule="auto" w:before="163" w:after="0"/>
        <w:ind w:left="2545" w:right="205" w:hanging="2323"/>
        <w:jc w:val="both"/>
        <w:rPr>
          <w:sz w:val="21"/>
        </w:rPr>
      </w:pPr>
      <w:r>
        <w:rPr>
          <w:rFonts w:ascii="Microsoft JhengHei" w:eastAsia="Microsoft JhengHei" w:hint="eastAsia"/>
          <w:b/>
          <w:spacing w:val="1"/>
          <w:sz w:val="21"/>
        </w:rPr>
        <w:t>保险金给付      </w:t>
      </w:r>
      <w:r>
        <w:rPr>
          <w:spacing w:val="-6"/>
          <w:sz w:val="21"/>
        </w:rPr>
        <w:t>我们在收到领取保险金申请书及本附加合同约定的证明和资料后，将在 </w:t>
      </w:r>
      <w:r>
        <w:rPr>
          <w:sz w:val="21"/>
        </w:rPr>
        <w:t>5</w:t>
      </w:r>
      <w:r>
        <w:rPr>
          <w:spacing w:val="-9"/>
          <w:sz w:val="21"/>
        </w:rPr>
        <w:t> 日内作</w:t>
      </w:r>
      <w:r>
        <w:rPr>
          <w:spacing w:val="-13"/>
          <w:sz w:val="21"/>
        </w:rPr>
        <w:t>出核定；情形复杂的，在 </w:t>
      </w:r>
      <w:r>
        <w:rPr>
          <w:spacing w:val="-3"/>
          <w:sz w:val="21"/>
        </w:rPr>
        <w:t>30</w:t>
      </w:r>
      <w:r>
        <w:rPr>
          <w:spacing w:val="-9"/>
          <w:sz w:val="21"/>
        </w:rPr>
        <w:t> 日内作出核定。对属于保险责任的，我们在与受益人</w:t>
      </w:r>
      <w:r>
        <w:rPr>
          <w:spacing w:val="-10"/>
          <w:sz w:val="21"/>
        </w:rPr>
        <w:t>达成给付保险金的协议后 </w:t>
      </w:r>
      <w:r>
        <w:rPr>
          <w:sz w:val="21"/>
        </w:rPr>
        <w:t>10</w:t>
      </w:r>
      <w:r>
        <w:rPr>
          <w:spacing w:val="-8"/>
          <w:sz w:val="21"/>
        </w:rPr>
        <w:t> 日内，履行给付保险金义务。</w:t>
      </w:r>
    </w:p>
    <w:p>
      <w:pPr>
        <w:pStyle w:val="BodyText"/>
        <w:spacing w:line="271" w:lineRule="auto" w:before="101"/>
        <w:ind w:left="2545" w:right="205"/>
        <w:jc w:val="both"/>
      </w:pPr>
      <w:r>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68" w:lineRule="auto" w:before="91"/>
        <w:ind w:left="2545" w:right="205"/>
        <w:jc w:val="both"/>
      </w:pPr>
      <w:r>
        <w:rPr>
          <w:spacing w:val="-6"/>
        </w:rPr>
        <w:t>对不属于保险责任的，我们自作出核定之日起 </w:t>
      </w:r>
      <w:r>
        <w:rPr/>
        <w:t>3</w:t>
      </w:r>
      <w:r>
        <w:rPr>
          <w:spacing w:val="-5"/>
        </w:rPr>
        <w:t> 日内向受益人发出拒绝给付保险金通知书并说明理由。</w:t>
      </w:r>
    </w:p>
    <w:p>
      <w:pPr>
        <w:pStyle w:val="BodyText"/>
        <w:spacing w:line="271" w:lineRule="auto" w:before="93"/>
        <w:ind w:left="2545" w:right="205"/>
        <w:jc w:val="both"/>
      </w:pPr>
      <w:r>
        <w:rPr>
          <w:spacing w:val="-7"/>
        </w:rPr>
        <w:t>我们在收到领取保险金申请书及有关证明和资料之日起 </w:t>
      </w:r>
      <w:r>
        <w:rPr/>
        <w:t>60</w:t>
      </w:r>
      <w:r>
        <w:rPr>
          <w:spacing w:val="-13"/>
        </w:rPr>
        <w:t> 日内，对给付保险金的数额不能确定的，根据已有证明和资料可以确定的数额先予支付；我们最终确定</w:t>
      </w:r>
      <w:r>
        <w:rPr>
          <w:spacing w:val="-8"/>
        </w:rPr>
        <w:t>给付保险金的数额后，将支付相应的差额。</w:t>
      </w:r>
    </w:p>
    <w:p>
      <w:pPr>
        <w:pStyle w:val="ListParagraph"/>
        <w:numPr>
          <w:ilvl w:val="1"/>
          <w:numId w:val="2"/>
        </w:numPr>
        <w:tabs>
          <w:tab w:pos="1024" w:val="left" w:leader="none"/>
          <w:tab w:pos="2545" w:val="left" w:leader="none"/>
        </w:tabs>
        <w:spacing w:line="249" w:lineRule="auto" w:before="163" w:after="0"/>
        <w:ind w:left="2545" w:right="205" w:hanging="2323"/>
        <w:jc w:val="both"/>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w:t>
      </w:r>
      <w:r>
        <w:rPr>
          <w:spacing w:val="-5"/>
          <w:sz w:val="21"/>
        </w:rPr>
        <w:t>间</w:t>
      </w:r>
      <w:r>
        <w:rPr>
          <w:sz w:val="21"/>
        </w:rPr>
        <w:t>为</w:t>
      </w:r>
      <w:r>
        <w:rPr>
          <w:spacing w:val="-13"/>
          <w:sz w:val="21"/>
        </w:rPr>
        <w:t> </w:t>
      </w:r>
      <w:r>
        <w:rPr>
          <w:sz w:val="21"/>
        </w:rPr>
        <w:t>2</w:t>
      </w:r>
      <w:r>
        <w:rPr>
          <w:spacing w:val="-19"/>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pStyle w:val="BodyText"/>
        <w:spacing w:before="11"/>
        <w:rPr>
          <w:sz w:val="13"/>
        </w:rPr>
      </w:pPr>
    </w:p>
    <w:p>
      <w:pPr>
        <w:pStyle w:val="Heading2"/>
        <w:numPr>
          <w:ilvl w:val="0"/>
          <w:numId w:val="2"/>
        </w:numPr>
        <w:tabs>
          <w:tab w:pos="1023" w:val="left" w:leader="none"/>
          <w:tab w:pos="1024" w:val="left" w:leader="none"/>
        </w:tabs>
        <w:spacing w:line="240" w:lineRule="auto" w:before="0" w:after="0"/>
        <w:ind w:left="1024" w:right="0" w:hanging="802"/>
        <w:jc w:val="left"/>
      </w:pPr>
      <w:r>
        <w:rPr/>
        <w:pict>
          <v:group style="position:absolute;margin-left:51.84pt;margin-top:23.113647pt;width:496.1pt;height:1pt;mso-position-horizontal-relative:page;mso-position-vertical-relative:paragraph;z-index:1168;mso-wrap-distance-left:0;mso-wrap-distance-right:0" coordorigin="1037,462" coordsize="9922,20">
            <v:line style="position:absolute" from="1037,472" to="1834,472" stroked="true" strokeweight=".96pt" strokecolor="#000000">
              <v:stroke dashstyle="solid"/>
            </v:line>
            <v:rect style="position:absolute;left:1833;top:462;width:20;height:20" filled="true" fillcolor="#000000" stroked="false">
              <v:fill type="solid"/>
            </v:rect>
            <v:line style="position:absolute" from="1853,472" to="3360,472" stroked="true" strokeweight=".96pt" strokecolor="#000000">
              <v:stroke dashstyle="solid"/>
            </v:line>
            <v:rect style="position:absolute;left:3360;top:462;width:20;height:20" filled="true" fillcolor="#000000" stroked="false">
              <v:fill type="solid"/>
            </v:rect>
            <v:line style="position:absolute" from="3379,472" to="10958,472" stroked="true" strokeweight=".96pt" strokecolor="#000000">
              <v:stroke dashstyle="solid"/>
            </v:line>
            <w10:wrap type="topAndBottom"/>
          </v:group>
        </w:pict>
      </w:r>
      <w:r>
        <w:rPr/>
        <w:t>保险费的交纳</w:t>
      </w:r>
    </w:p>
    <w:p>
      <w:pPr>
        <w:pStyle w:val="BodyText"/>
        <w:spacing w:before="16"/>
        <w:rPr>
          <w:rFonts w:ascii="Microsoft JhengHei"/>
          <w:b/>
          <w:sz w:val="6"/>
        </w:rPr>
      </w:pPr>
    </w:p>
    <w:p>
      <w:pPr>
        <w:pStyle w:val="ListParagraph"/>
        <w:numPr>
          <w:ilvl w:val="1"/>
          <w:numId w:val="2"/>
        </w:numPr>
        <w:tabs>
          <w:tab w:pos="1023" w:val="left" w:leader="none"/>
          <w:tab w:pos="1024" w:val="left" w:leader="none"/>
          <w:tab w:pos="2545" w:val="left" w:leader="none"/>
        </w:tabs>
        <w:spacing w:line="336" w:lineRule="exact" w:before="0" w:after="0"/>
        <w:ind w:left="2545" w:right="0" w:hanging="2323"/>
        <w:jc w:val="left"/>
        <w:rPr>
          <w:sz w:val="21"/>
        </w:rPr>
      </w:pPr>
      <w:r>
        <w:rPr>
          <w:rFonts w:ascii="Microsoft JhengHei" w:eastAsia="Microsoft JhengHei" w:hint="eastAsia"/>
          <w:b/>
          <w:sz w:val="21"/>
        </w:rPr>
        <w:t>保险费的交纳</w:t>
        <w:tab/>
      </w:r>
      <w:r>
        <w:rPr>
          <w:sz w:val="21"/>
        </w:rPr>
        <w:t>本附加合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在投保</w:t>
      </w:r>
      <w:r>
        <w:rPr>
          <w:spacing w:val="-5"/>
          <w:sz w:val="21"/>
        </w:rPr>
        <w:t>时</w:t>
      </w:r>
      <w:r>
        <w:rPr>
          <w:sz w:val="21"/>
        </w:rPr>
        <w:t>与</w:t>
      </w:r>
      <w:r>
        <w:rPr>
          <w:spacing w:val="-5"/>
          <w:sz w:val="21"/>
        </w:rPr>
        <w:t>我</w:t>
      </w:r>
      <w:r>
        <w:rPr>
          <w:sz w:val="21"/>
        </w:rPr>
        <w:t>们约定</w:t>
      </w:r>
      <w:r>
        <w:rPr>
          <w:spacing w:val="-72"/>
          <w:sz w:val="21"/>
        </w:rPr>
        <w:t>，</w:t>
      </w:r>
      <w:r>
        <w:rPr>
          <w:sz w:val="21"/>
        </w:rPr>
        <w:t>并在</w:t>
      </w:r>
      <w:r>
        <w:rPr>
          <w:spacing w:val="-5"/>
          <w:sz w:val="21"/>
        </w:rPr>
        <w:t>保</w:t>
      </w:r>
      <w:r>
        <w:rPr>
          <w:sz w:val="21"/>
        </w:rPr>
        <w:t>险单上</w:t>
      </w:r>
      <w:r>
        <w:rPr>
          <w:spacing w:val="-5"/>
          <w:sz w:val="21"/>
        </w:rPr>
        <w:t>载</w:t>
      </w:r>
      <w:r>
        <w:rPr>
          <w:sz w:val="21"/>
        </w:rPr>
        <w:t>明。</w:t>
      </w:r>
    </w:p>
    <w:p>
      <w:pPr>
        <w:pStyle w:val="BodyText"/>
        <w:spacing w:before="95"/>
        <w:ind w:left="2545"/>
      </w:pPr>
      <w:r>
        <w:rPr/>
        <w:t>分期支付保险费的，在交纳首期保险费后，您应当在每个保险费约定交纳日交纳</w:t>
      </w:r>
    </w:p>
    <w:p>
      <w:pPr>
        <w:spacing w:after="0"/>
        <w:sectPr>
          <w:pgSz w:w="11900" w:h="16840"/>
          <w:pgMar w:top="1000" w:bottom="280" w:left="920" w:right="840"/>
        </w:sectPr>
      </w:pPr>
    </w:p>
    <w:p>
      <w:pPr>
        <w:pStyle w:val="BodyText"/>
        <w:spacing w:before="9"/>
        <w:ind w:left="2545"/>
      </w:pPr>
      <w:r>
        <w:rPr/>
        <w:t>其余各期的保险费。</w:t>
      </w:r>
    </w:p>
    <w:p>
      <w:pPr>
        <w:pStyle w:val="BodyText"/>
        <w:spacing w:before="7"/>
        <w:rPr>
          <w:sz w:val="14"/>
        </w:rPr>
      </w:pPr>
    </w:p>
    <w:p>
      <w:pPr>
        <w:pStyle w:val="ListParagraph"/>
        <w:numPr>
          <w:ilvl w:val="1"/>
          <w:numId w:val="2"/>
        </w:numPr>
        <w:tabs>
          <w:tab w:pos="1024" w:val="left" w:leader="none"/>
          <w:tab w:pos="2545" w:val="left" w:leader="none"/>
        </w:tabs>
        <w:spacing w:line="256" w:lineRule="auto" w:before="1" w:after="0"/>
        <w:ind w:left="2545" w:right="220" w:hanging="2323"/>
        <w:jc w:val="both"/>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72"/>
          <w:sz w:val="21"/>
        </w:rPr>
        <w:t>，</w:t>
      </w:r>
      <w:r>
        <w:rPr>
          <w:sz w:val="21"/>
        </w:rPr>
        <w:t>自保</w:t>
      </w:r>
      <w:r>
        <w:rPr>
          <w:spacing w:val="-5"/>
          <w:sz w:val="21"/>
        </w:rPr>
        <w:t>险</w:t>
      </w:r>
      <w:r>
        <w:rPr>
          <w:sz w:val="21"/>
        </w:rPr>
        <w:t>费约定</w:t>
      </w:r>
      <w:r>
        <w:rPr>
          <w:spacing w:val="-5"/>
          <w:sz w:val="21"/>
        </w:rPr>
        <w:t>交</w:t>
      </w:r>
      <w:r>
        <w:rPr>
          <w:sz w:val="21"/>
        </w:rPr>
        <w:t>纳日的</w:t>
      </w:r>
      <w:r>
        <w:rPr>
          <w:spacing w:val="-5"/>
          <w:sz w:val="21"/>
        </w:rPr>
        <w:t>次</w:t>
      </w:r>
      <w:r>
        <w:rPr>
          <w:sz w:val="21"/>
        </w:rPr>
        <w:t>日零时起</w:t>
      </w:r>
      <w:r>
        <w:rPr>
          <w:spacing w:val="-32"/>
          <w:sz w:val="21"/>
        </w:rPr>
        <w:t> </w:t>
      </w:r>
      <w:r>
        <w:rPr>
          <w:sz w:val="21"/>
        </w:rPr>
        <w:t>60</w:t>
      </w:r>
      <w:r>
        <w:rPr>
          <w:spacing w:val="-38"/>
          <w:sz w:val="21"/>
        </w:rPr>
        <w:t> </w:t>
      </w:r>
      <w:r>
        <w:rPr>
          <w:sz w:val="21"/>
        </w:rPr>
        <w:t>日为保</w:t>
      </w:r>
      <w:r>
        <w:rPr>
          <w:spacing w:val="-5"/>
          <w:sz w:val="21"/>
        </w:rPr>
        <w:t>险</w:t>
      </w:r>
      <w:r>
        <w:rPr>
          <w:sz w:val="21"/>
        </w:rPr>
        <w:t>费交纳的宽限期。宽限期内发生的保险事故，我们仍承担</w:t>
      </w:r>
      <w:r>
        <w:rPr>
          <w:spacing w:val="-5"/>
          <w:sz w:val="21"/>
        </w:rPr>
        <w:t>保</w:t>
      </w:r>
      <w:r>
        <w:rPr>
          <w:sz w:val="21"/>
        </w:rPr>
        <w:t>险责任，但在给付保险金时会扣除您</w:t>
      </w:r>
      <w:r>
        <w:rPr>
          <w:spacing w:val="-5"/>
          <w:sz w:val="21"/>
        </w:rPr>
        <w:t>欠</w:t>
      </w:r>
      <w:r>
        <w:rPr>
          <w:sz w:val="21"/>
        </w:rPr>
        <w:t>交的保</w:t>
      </w:r>
      <w:r>
        <w:rPr>
          <w:spacing w:val="-5"/>
          <w:sz w:val="21"/>
        </w:rPr>
        <w:t>险</w:t>
      </w:r>
      <w:r>
        <w:rPr>
          <w:sz w:val="21"/>
        </w:rPr>
        <w:t>费，其</w:t>
      </w:r>
      <w:r>
        <w:rPr>
          <w:spacing w:val="-5"/>
          <w:sz w:val="21"/>
        </w:rPr>
        <w:t>数</w:t>
      </w:r>
      <w:r>
        <w:rPr>
          <w:sz w:val="21"/>
        </w:rPr>
        <w:t>额以保</w:t>
      </w:r>
      <w:r>
        <w:rPr>
          <w:spacing w:val="-5"/>
          <w:sz w:val="21"/>
        </w:rPr>
        <w:t>险</w:t>
      </w:r>
      <w:r>
        <w:rPr>
          <w:sz w:val="21"/>
        </w:rPr>
        <w:t>单中载</w:t>
      </w:r>
      <w:r>
        <w:rPr>
          <w:spacing w:val="-5"/>
          <w:sz w:val="21"/>
        </w:rPr>
        <w:t>明</w:t>
      </w:r>
      <w:r>
        <w:rPr>
          <w:sz w:val="21"/>
        </w:rPr>
        <w:t>的</w:t>
      </w:r>
      <w:r>
        <w:rPr>
          <w:spacing w:val="-5"/>
          <w:sz w:val="21"/>
        </w:rPr>
        <w:t>每</w:t>
      </w:r>
      <w:r>
        <w:rPr>
          <w:sz w:val="21"/>
        </w:rPr>
        <w:t>期保险费</w:t>
      </w:r>
      <w:r>
        <w:rPr>
          <w:spacing w:val="-5"/>
          <w:sz w:val="21"/>
        </w:rPr>
        <w:t>数</w:t>
      </w:r>
      <w:r>
        <w:rPr>
          <w:sz w:val="21"/>
        </w:rPr>
        <w:t>额为准。</w:t>
      </w:r>
    </w:p>
    <w:p>
      <w:pPr>
        <w:pStyle w:val="BodyText"/>
        <w:spacing w:line="268" w:lineRule="auto" w:before="104"/>
        <w:ind w:left="2545" w:right="225"/>
      </w:pPr>
      <w:r>
        <w:rPr>
          <w:rFonts w:ascii="黑体" w:eastAsia="黑体" w:hint="eastAsia"/>
        </w:rPr>
        <w:t>如果您在宽限期内未交纳保险费，则本附加合同自宽限期满日的 24 时起效力中止，</w:t>
      </w:r>
      <w:r>
        <w:rPr/>
        <w:t>但本附加合同另有约定的除外。</w:t>
      </w:r>
    </w:p>
    <w:p>
      <w:pPr>
        <w:pStyle w:val="Heading2"/>
        <w:numPr>
          <w:ilvl w:val="0"/>
          <w:numId w:val="2"/>
        </w:numPr>
        <w:tabs>
          <w:tab w:pos="1023" w:val="left" w:leader="none"/>
          <w:tab w:pos="1024" w:val="left" w:leader="none"/>
        </w:tabs>
        <w:spacing w:line="240" w:lineRule="auto" w:before="169" w:after="0"/>
        <w:ind w:left="1024" w:right="0" w:hanging="802"/>
        <w:jc w:val="left"/>
      </w:pPr>
      <w:r>
        <w:rPr/>
        <w:pict>
          <v:group style="position:absolute;margin-left:51.84pt;margin-top:31.563623pt;width:496.1pt;height:1pt;mso-position-horizontal-relative:page;mso-position-vertical-relative:paragraph;z-index:1192;mso-wrap-distance-left:0;mso-wrap-distance-right:0" coordorigin="1037,631" coordsize="9922,20">
            <v:line style="position:absolute" from="1037,641" to="1834,641" stroked="true" strokeweight=".96pt" strokecolor="#000000">
              <v:stroke dashstyle="solid"/>
            </v:line>
            <v:rect style="position:absolute;left:1833;top:631;width:20;height:20" filled="true" fillcolor="#000000" stroked="false">
              <v:fill type="solid"/>
            </v:rect>
            <v:line style="position:absolute" from="1853,641" to="3360,641" stroked="true" strokeweight=".96pt" strokecolor="#000000">
              <v:stroke dashstyle="solid"/>
            </v:line>
            <v:rect style="position:absolute;left:3360;top:631;width:20;height:20" filled="true" fillcolor="#000000" stroked="false">
              <v:fill type="solid"/>
            </v:rect>
            <v:line style="position:absolute" from="3379,641" to="10958,641" stroked="true" strokeweight=".96pt" strokecolor="#000000">
              <v:stroke dashstyle="solid"/>
            </v:line>
            <w10:wrap type="topAndBottom"/>
          </v:group>
        </w:pict>
      </w:r>
      <w:r>
        <w:rPr/>
        <w:t>现金价值权益</w:t>
      </w:r>
    </w:p>
    <w:p>
      <w:pPr>
        <w:pStyle w:val="BodyText"/>
        <w:spacing w:before="16"/>
        <w:rPr>
          <w:rFonts w:ascii="Microsoft JhengHei"/>
          <w:b/>
          <w:sz w:val="6"/>
        </w:rPr>
      </w:pPr>
    </w:p>
    <w:p>
      <w:pPr>
        <w:pStyle w:val="ListParagraph"/>
        <w:numPr>
          <w:ilvl w:val="1"/>
          <w:numId w:val="2"/>
        </w:numPr>
        <w:tabs>
          <w:tab w:pos="1023" w:val="left" w:leader="none"/>
          <w:tab w:pos="1024" w:val="left" w:leader="none"/>
          <w:tab w:pos="2545" w:val="left" w:leader="none"/>
        </w:tabs>
        <w:spacing w:line="308" w:lineRule="exact" w:before="35" w:after="0"/>
        <w:ind w:left="2545" w:right="225" w:hanging="2323"/>
        <w:jc w:val="left"/>
        <w:rPr>
          <w:sz w:val="21"/>
        </w:rPr>
      </w:pPr>
      <w:r>
        <w:rPr>
          <w:rFonts w:ascii="Microsoft JhengHei" w:eastAsia="Microsoft JhengHei" w:hint="eastAsia"/>
          <w:b/>
          <w:sz w:val="21"/>
        </w:rPr>
        <w:t>现金价值</w:t>
        <w:tab/>
      </w:r>
      <w:r>
        <w:rPr>
          <w:sz w:val="21"/>
        </w:rPr>
        <w:t>本附加合同保单年度末的现金价值在保险单上载明</w:t>
      </w:r>
      <w:r>
        <w:rPr>
          <w:spacing w:val="-5"/>
          <w:sz w:val="21"/>
        </w:rPr>
        <w:t>，</w:t>
      </w:r>
      <w:r>
        <w:rPr>
          <w:sz w:val="21"/>
        </w:rPr>
        <w:t>保单年度内的现金价值您可 以向我们</w:t>
      </w:r>
      <w:r>
        <w:rPr>
          <w:spacing w:val="-5"/>
          <w:sz w:val="21"/>
        </w:rPr>
        <w:t>咨</w:t>
      </w:r>
      <w:r>
        <w:rPr>
          <w:sz w:val="21"/>
        </w:rPr>
        <w:t>询。</w:t>
      </w:r>
    </w:p>
    <w:p>
      <w:pPr>
        <w:pStyle w:val="ListParagraph"/>
        <w:numPr>
          <w:ilvl w:val="1"/>
          <w:numId w:val="2"/>
        </w:numPr>
        <w:tabs>
          <w:tab w:pos="1023" w:val="left" w:leader="none"/>
          <w:tab w:pos="1024" w:val="left" w:leader="none"/>
          <w:tab w:pos="2545" w:val="left" w:leader="none"/>
        </w:tabs>
        <w:spacing w:line="264" w:lineRule="auto" w:before="158" w:after="0"/>
        <w:ind w:left="2545" w:right="114" w:hanging="2323"/>
        <w:jc w:val="left"/>
        <w:rPr>
          <w:sz w:val="21"/>
        </w:rPr>
      </w:pPr>
      <w:r>
        <w:rPr>
          <w:rFonts w:ascii="Microsoft JhengHei" w:eastAsia="Microsoft JhengHei" w:hint="eastAsia"/>
          <w:b/>
          <w:sz w:val="21"/>
        </w:rPr>
        <w:t>保单贷款</w:t>
        <w:tab/>
      </w:r>
      <w:r>
        <w:rPr>
          <w:spacing w:val="-1"/>
          <w:sz w:val="21"/>
        </w:rPr>
        <w:t>在</w:t>
      </w:r>
      <w:r>
        <w:rPr>
          <w:sz w:val="21"/>
        </w:rPr>
        <w:t>本附加</w:t>
      </w:r>
      <w:r>
        <w:rPr>
          <w:spacing w:val="-5"/>
          <w:sz w:val="21"/>
        </w:rPr>
        <w:t>合</w:t>
      </w:r>
      <w:r>
        <w:rPr>
          <w:sz w:val="21"/>
        </w:rPr>
        <w:t>同和主</w:t>
      </w:r>
      <w:r>
        <w:rPr>
          <w:spacing w:val="-5"/>
          <w:sz w:val="21"/>
        </w:rPr>
        <w:t>合</w:t>
      </w:r>
      <w:r>
        <w:rPr>
          <w:sz w:val="21"/>
        </w:rPr>
        <w:t>同有效</w:t>
      </w:r>
      <w:r>
        <w:rPr>
          <w:spacing w:val="-5"/>
          <w:sz w:val="21"/>
        </w:rPr>
        <w:t>期</w:t>
      </w:r>
      <w:r>
        <w:rPr>
          <w:sz w:val="21"/>
        </w:rPr>
        <w:t>内</w:t>
      </w:r>
      <w:r>
        <w:rPr>
          <w:spacing w:val="-72"/>
          <w:sz w:val="21"/>
        </w:rPr>
        <w:t>，</w:t>
      </w:r>
      <w:r>
        <w:rPr>
          <w:sz w:val="21"/>
        </w:rPr>
        <w:t>您可以</w:t>
      </w:r>
      <w:r>
        <w:rPr>
          <w:spacing w:val="-5"/>
          <w:sz w:val="21"/>
        </w:rPr>
        <w:t>申</w:t>
      </w:r>
      <w:r>
        <w:rPr>
          <w:sz w:val="21"/>
        </w:rPr>
        <w:t>请并经</w:t>
      </w:r>
      <w:r>
        <w:rPr>
          <w:spacing w:val="-5"/>
          <w:sz w:val="21"/>
        </w:rPr>
        <w:t>我</w:t>
      </w:r>
      <w:r>
        <w:rPr>
          <w:sz w:val="21"/>
        </w:rPr>
        <w:t>们审核同</w:t>
      </w:r>
      <w:r>
        <w:rPr>
          <w:spacing w:val="-5"/>
          <w:sz w:val="21"/>
        </w:rPr>
        <w:t>意</w:t>
      </w:r>
      <w:r>
        <w:rPr>
          <w:sz w:val="21"/>
        </w:rPr>
        <w:t>后办理</w:t>
      </w:r>
      <w:r>
        <w:rPr>
          <w:spacing w:val="-5"/>
          <w:sz w:val="21"/>
        </w:rPr>
        <w:t>保</w:t>
      </w:r>
      <w:r>
        <w:rPr>
          <w:sz w:val="21"/>
        </w:rPr>
        <w:t>单贷款。 最高贷款金额不超过您申请时本附加合同和主合同</w:t>
      </w:r>
      <w:r>
        <w:rPr>
          <w:spacing w:val="-5"/>
          <w:sz w:val="21"/>
        </w:rPr>
        <w:t>的</w:t>
      </w:r>
      <w:r>
        <w:rPr>
          <w:sz w:val="21"/>
        </w:rPr>
        <w:t>现金价值之和扣除各项欠款及应付利息后余额的</w:t>
      </w:r>
      <w:r>
        <w:rPr>
          <w:spacing w:val="17"/>
          <w:sz w:val="21"/>
        </w:rPr>
        <w:t> </w:t>
      </w:r>
      <w:r>
        <w:rPr>
          <w:sz w:val="21"/>
        </w:rPr>
        <w:t>80%，且具体的贷款金额以您</w:t>
      </w:r>
      <w:r>
        <w:rPr>
          <w:spacing w:val="-5"/>
          <w:sz w:val="21"/>
        </w:rPr>
        <w:t>与</w:t>
      </w:r>
      <w:r>
        <w:rPr>
          <w:sz w:val="21"/>
        </w:rPr>
        <w:t>我们签订的贷款协议中的约定为准。</w:t>
      </w:r>
      <w:r>
        <w:rPr>
          <w:spacing w:val="-5"/>
          <w:sz w:val="21"/>
        </w:rPr>
        <w:t>每</w:t>
      </w:r>
      <w:r>
        <w:rPr>
          <w:sz w:val="21"/>
        </w:rPr>
        <w:t>次贷款</w:t>
      </w:r>
      <w:r>
        <w:rPr>
          <w:spacing w:val="-5"/>
          <w:sz w:val="21"/>
        </w:rPr>
        <w:t>期</w:t>
      </w:r>
      <w:r>
        <w:rPr>
          <w:sz w:val="21"/>
        </w:rPr>
        <w:t>限最长</w:t>
      </w:r>
      <w:r>
        <w:rPr>
          <w:spacing w:val="-5"/>
          <w:sz w:val="21"/>
        </w:rPr>
        <w:t>不</w:t>
      </w:r>
      <w:r>
        <w:rPr>
          <w:sz w:val="21"/>
        </w:rPr>
        <w:t>超过</w:t>
      </w:r>
      <w:r>
        <w:rPr>
          <w:spacing w:val="-24"/>
          <w:sz w:val="21"/>
        </w:rPr>
        <w:t> </w:t>
      </w:r>
      <w:r>
        <w:rPr>
          <w:sz w:val="21"/>
        </w:rPr>
        <w:t>180</w:t>
      </w:r>
      <w:r>
        <w:rPr>
          <w:spacing w:val="-25"/>
          <w:sz w:val="21"/>
        </w:rPr>
        <w:t> </w:t>
      </w:r>
      <w:r>
        <w:rPr>
          <w:spacing w:val="-5"/>
          <w:sz w:val="21"/>
        </w:rPr>
        <w:t>日</w:t>
      </w:r>
      <w:r>
        <w:rPr>
          <w:sz w:val="21"/>
        </w:rPr>
        <w:t>，贷款</w:t>
      </w:r>
      <w:r>
        <w:rPr>
          <w:spacing w:val="-5"/>
          <w:sz w:val="21"/>
        </w:rPr>
        <w:t>利率</w:t>
      </w:r>
      <w:r>
        <w:rPr>
          <w:sz w:val="21"/>
        </w:rPr>
        <w:t>按您与我</w:t>
      </w:r>
      <w:r>
        <w:rPr>
          <w:spacing w:val="-5"/>
          <w:sz w:val="21"/>
        </w:rPr>
        <w:t>们</w:t>
      </w:r>
      <w:r>
        <w:rPr>
          <w:sz w:val="21"/>
        </w:rPr>
        <w:t>签订的</w:t>
      </w:r>
      <w:r>
        <w:rPr>
          <w:spacing w:val="-5"/>
          <w:sz w:val="21"/>
        </w:rPr>
        <w:t>贷</w:t>
      </w:r>
      <w:r>
        <w:rPr>
          <w:sz w:val="21"/>
        </w:rPr>
        <w:t>款协议中约定的</w:t>
      </w:r>
      <w:r>
        <w:rPr>
          <w:spacing w:val="-5"/>
          <w:sz w:val="21"/>
        </w:rPr>
        <w:t>利</w:t>
      </w:r>
      <w:r>
        <w:rPr>
          <w:sz w:val="21"/>
        </w:rPr>
        <w:t>率执行</w:t>
      </w:r>
      <w:r>
        <w:rPr>
          <w:spacing w:val="-5"/>
          <w:sz w:val="21"/>
        </w:rPr>
        <w:t>。</w:t>
      </w:r>
      <w:r>
        <w:rPr>
          <w:sz w:val="21"/>
        </w:rPr>
        <w:t>在办理</w:t>
      </w:r>
      <w:r>
        <w:rPr>
          <w:spacing w:val="-5"/>
          <w:sz w:val="21"/>
        </w:rPr>
        <w:t>保</w:t>
      </w:r>
      <w:r>
        <w:rPr>
          <w:sz w:val="21"/>
        </w:rPr>
        <w:t>单贷款</w:t>
      </w:r>
      <w:r>
        <w:rPr>
          <w:spacing w:val="-5"/>
          <w:sz w:val="21"/>
        </w:rPr>
        <w:t>时</w:t>
      </w:r>
      <w:r>
        <w:rPr>
          <w:sz w:val="21"/>
        </w:rPr>
        <w:t>，您应</w:t>
      </w:r>
      <w:r>
        <w:rPr>
          <w:spacing w:val="-5"/>
          <w:sz w:val="21"/>
        </w:rPr>
        <w:t>当</w:t>
      </w:r>
      <w:r>
        <w:rPr>
          <w:sz w:val="21"/>
        </w:rPr>
        <w:t>取</w:t>
      </w:r>
      <w:r>
        <w:rPr>
          <w:spacing w:val="-5"/>
          <w:sz w:val="21"/>
        </w:rPr>
        <w:t>得</w:t>
      </w:r>
      <w:r>
        <w:rPr>
          <w:sz w:val="21"/>
        </w:rPr>
        <w:t>被保险人</w:t>
      </w:r>
      <w:r>
        <w:rPr>
          <w:spacing w:val="-5"/>
          <w:sz w:val="21"/>
        </w:rPr>
        <w:t>的</w:t>
      </w:r>
      <w:r>
        <w:rPr>
          <w:sz w:val="21"/>
        </w:rPr>
        <w:t>书面同</w:t>
      </w:r>
      <w:r>
        <w:rPr>
          <w:spacing w:val="-5"/>
          <w:sz w:val="21"/>
        </w:rPr>
        <w:t>意</w:t>
      </w:r>
      <w:r>
        <w:rPr>
          <w:sz w:val="21"/>
        </w:rPr>
        <w:t>。</w:t>
      </w:r>
    </w:p>
    <w:p>
      <w:pPr>
        <w:pStyle w:val="BodyText"/>
        <w:spacing w:line="273" w:lineRule="auto" w:before="97"/>
        <w:ind w:left="2545" w:right="225"/>
        <w:rPr>
          <w:rFonts w:ascii="黑体" w:eastAsia="黑体" w:hint="eastAsia"/>
        </w:rPr>
      </w:pPr>
      <w:r>
        <w:rPr>
          <w:rFonts w:ascii="黑体" w:eastAsia="黑体" w:hint="eastAsia"/>
        </w:rPr>
        <w:t>自贷款本金及利息加上其他各项欠款及应付利息达到本附加合同和主合同的现金价值之和的当日 24 时起，本附加合同和主合同效力中止。</w:t>
      </w:r>
    </w:p>
    <w:p>
      <w:pPr>
        <w:pStyle w:val="BodyText"/>
        <w:spacing w:before="89"/>
        <w:ind w:left="2545"/>
        <w:rPr>
          <w:rFonts w:ascii="黑体" w:eastAsia="黑体" w:hint="eastAsia"/>
        </w:rPr>
      </w:pPr>
      <w:r>
        <w:rPr>
          <w:rFonts w:ascii="黑体" w:eastAsia="黑体" w:hint="eastAsia"/>
        </w:rPr>
        <w:t>经我们审核不同意您的保单贷款申请的，我们不向您提供贷款。</w:t>
      </w:r>
    </w:p>
    <w:p>
      <w:pPr>
        <w:pStyle w:val="BodyText"/>
        <w:spacing w:before="12"/>
        <w:rPr>
          <w:rFonts w:ascii="黑体"/>
          <w:sz w:val="20"/>
        </w:rPr>
      </w:pPr>
    </w:p>
    <w:p>
      <w:pPr>
        <w:spacing w:after="0"/>
        <w:rPr>
          <w:rFonts w:ascii="黑体"/>
          <w:sz w:val="20"/>
        </w:rPr>
        <w:sectPr>
          <w:pgSz w:w="11900" w:h="16840"/>
          <w:pgMar w:top="1000" w:bottom="280" w:left="920" w:right="820"/>
        </w:sectPr>
      </w:pPr>
    </w:p>
    <w:p>
      <w:pPr>
        <w:pStyle w:val="Heading3"/>
        <w:numPr>
          <w:ilvl w:val="1"/>
          <w:numId w:val="2"/>
        </w:numPr>
        <w:tabs>
          <w:tab w:pos="1023" w:val="left" w:leader="none"/>
          <w:tab w:pos="1024" w:val="left" w:leader="none"/>
        </w:tabs>
        <w:spacing w:line="201" w:lineRule="auto" w:before="28" w:after="0"/>
        <w:ind w:left="1024" w:right="0" w:hanging="802"/>
        <w:jc w:val="left"/>
      </w:pPr>
      <w:r>
        <w:rPr/>
        <w:t>保险费自动垫交</w:t>
      </w:r>
    </w:p>
    <w:p>
      <w:pPr>
        <w:pStyle w:val="BodyText"/>
        <w:spacing w:line="271" w:lineRule="auto" w:before="37"/>
        <w:ind w:left="214" w:right="114"/>
        <w:jc w:val="both"/>
      </w:pPr>
      <w:r>
        <w:rPr/>
        <w:br w:type="column"/>
      </w:r>
      <w:r>
        <w:rPr>
          <w:spacing w:val="-1"/>
        </w:rPr>
        <w:t>您可以选择保险费自动垫交功能，即如果您在宽限期结束时仍未交纳保险费，我</w:t>
      </w:r>
      <w:r>
        <w:rPr>
          <w:spacing w:val="-2"/>
        </w:rPr>
        <w:t>们将以本附加合同和主合同的现金价值之和扣除各项欠款及应付利息后的余额自</w:t>
      </w:r>
      <w:r>
        <w:rPr>
          <w:spacing w:val="-9"/>
        </w:rPr>
        <w:t>动垫交到期应交的本附加合同和主合同的保险费，本附加合同和主合同继续有效。</w:t>
      </w:r>
    </w:p>
    <w:p>
      <w:pPr>
        <w:pStyle w:val="BodyText"/>
        <w:spacing w:line="309" w:lineRule="exact" w:before="0"/>
        <w:ind w:left="214"/>
      </w:pPr>
      <w:r>
        <w:rPr>
          <w:rFonts w:ascii="黑体" w:eastAsia="黑体" w:hint="eastAsia"/>
          <w:spacing w:val="-4"/>
          <w:w w:val="100"/>
        </w:rPr>
        <w:t>我们将对自动垫交的保险费计收</w:t>
      </w:r>
      <w:r>
        <w:rPr>
          <w:rFonts w:ascii="Microsoft JhengHei" w:eastAsia="Microsoft JhengHei" w:hint="eastAsia"/>
          <w:b/>
          <w:spacing w:val="0"/>
          <w:w w:val="100"/>
        </w:rPr>
        <w:t>利息</w:t>
      </w:r>
      <w:r>
        <w:rPr>
          <w:w w:val="100"/>
        </w:rPr>
        <w:t>（见</w:t>
      </w:r>
      <w:r>
        <w:rPr>
          <w:spacing w:val="-53"/>
        </w:rPr>
        <w:t> </w:t>
      </w:r>
      <w:r>
        <w:rPr>
          <w:spacing w:val="-5"/>
          <w:w w:val="100"/>
        </w:rPr>
        <w:t>1</w:t>
      </w:r>
      <w:r>
        <w:rPr>
          <w:w w:val="100"/>
        </w:rPr>
        <w:t>0</w:t>
      </w:r>
      <w:r>
        <w:rPr>
          <w:spacing w:val="-1"/>
          <w:w w:val="100"/>
        </w:rPr>
        <w:t>.</w:t>
      </w:r>
      <w:r>
        <w:rPr>
          <w:w w:val="100"/>
        </w:rPr>
        <w:t>20</w:t>
      </w:r>
      <w:r>
        <w:rPr>
          <w:spacing w:val="-106"/>
          <w:w w:val="100"/>
        </w:rPr>
        <w:t>）</w:t>
      </w:r>
      <w:r>
        <w:rPr>
          <w:w w:val="100"/>
        </w:rPr>
        <w:t>。</w:t>
      </w:r>
    </w:p>
    <w:p>
      <w:pPr>
        <w:pStyle w:val="BodyText"/>
        <w:spacing w:line="271" w:lineRule="auto" w:before="95"/>
        <w:ind w:left="214" w:right="220"/>
        <w:jc w:val="both"/>
        <w:rPr>
          <w:rFonts w:ascii="黑体" w:eastAsia="黑体" w:hint="eastAsia"/>
        </w:rPr>
      </w:pPr>
      <w:r>
        <w:rPr>
          <w:rFonts w:ascii="黑体" w:eastAsia="黑体" w:hint="eastAsia"/>
          <w:spacing w:val="-1"/>
        </w:rPr>
        <w:t>如果本附加合同和主合同的现金价值之和扣除各项欠款及应付利息后的余额不足</w:t>
      </w:r>
      <w:r>
        <w:rPr>
          <w:rFonts w:ascii="黑体" w:eastAsia="黑体" w:hint="eastAsia"/>
          <w:spacing w:val="-9"/>
        </w:rPr>
        <w:t>以全额垫交到期应交的保险费，则本附加合同和主合同自宽限期满日的 </w:t>
      </w:r>
      <w:r>
        <w:rPr>
          <w:rFonts w:ascii="黑体" w:eastAsia="黑体" w:hint="eastAsia"/>
        </w:rPr>
        <w:t>24</w:t>
      </w:r>
      <w:r>
        <w:rPr>
          <w:rFonts w:ascii="黑体" w:eastAsia="黑体" w:hint="eastAsia"/>
          <w:spacing w:val="-11"/>
        </w:rPr>
        <w:t> 时起效力中止。</w:t>
      </w:r>
    </w:p>
    <w:p>
      <w:pPr>
        <w:spacing w:after="0" w:line="271" w:lineRule="auto"/>
        <w:jc w:val="both"/>
        <w:rPr>
          <w:rFonts w:ascii="黑体" w:eastAsia="黑体" w:hint="eastAsia"/>
        </w:rPr>
        <w:sectPr>
          <w:type w:val="continuous"/>
          <w:pgSz w:w="11900" w:h="16840"/>
          <w:pgMar w:top="540" w:bottom="280" w:left="920" w:right="820"/>
          <w:cols w:num="2" w:equalWidth="0">
            <w:col w:w="2291" w:space="40"/>
            <w:col w:w="7829"/>
          </w:cols>
        </w:sectPr>
      </w:pPr>
    </w:p>
    <w:p>
      <w:pPr>
        <w:pStyle w:val="BodyText"/>
        <w:spacing w:before="12"/>
        <w:rPr>
          <w:rFonts w:ascii="黑体"/>
          <w:sz w:val="19"/>
        </w:rPr>
      </w:pPr>
    </w:p>
    <w:p>
      <w:pPr>
        <w:pStyle w:val="Heading2"/>
        <w:numPr>
          <w:ilvl w:val="0"/>
          <w:numId w:val="2"/>
        </w:numPr>
        <w:tabs>
          <w:tab w:pos="1023" w:val="left" w:leader="none"/>
          <w:tab w:pos="1024" w:val="left" w:leader="none"/>
        </w:tabs>
        <w:spacing w:line="368" w:lineRule="exact" w:before="0" w:after="0"/>
        <w:ind w:left="1024" w:right="0" w:hanging="802"/>
        <w:jc w:val="left"/>
      </w:pPr>
      <w:r>
        <w:rPr/>
        <w:pict>
          <v:group style="position:absolute;margin-left:51.84pt;margin-top:20.604973pt;width:496.1pt;height:1pt;mso-position-horizontal-relative:page;mso-position-vertical-relative:paragraph;z-index:1216;mso-wrap-distance-left:0;mso-wrap-distance-right:0" coordorigin="1037,412" coordsize="9922,20">
            <v:line style="position:absolute" from="1037,422" to="1834,422" stroked="true" strokeweight=".96pt" strokecolor="#000000">
              <v:stroke dashstyle="solid"/>
            </v:line>
            <v:rect style="position:absolute;left:1833;top:412;width:20;height:20" filled="true" fillcolor="#000000" stroked="false">
              <v:fill type="solid"/>
            </v:rect>
            <v:line style="position:absolute" from="1853,422" to="3360,422" stroked="true" strokeweight=".96pt" strokecolor="#000000">
              <v:stroke dashstyle="solid"/>
            </v:line>
            <v:rect style="position:absolute;left:3360;top:412;width:20;height:20" filled="true" fillcolor="#000000" stroked="false">
              <v:fill type="solid"/>
            </v:rect>
            <v:line style="position:absolute" from="3379,422" to="10958,422" stroked="true" strokeweight=".96pt" strokecolor="#000000">
              <v:stroke dashstyle="solid"/>
            </v:line>
            <w10:wrap type="topAndBottom"/>
          </v:group>
        </w:pict>
      </w:r>
      <w:r>
        <w:rPr/>
        <w:t>合同效力的中止及恢复</w:t>
      </w:r>
    </w:p>
    <w:p>
      <w:pPr>
        <w:pStyle w:val="BodyText"/>
        <w:spacing w:before="12"/>
        <w:rPr>
          <w:rFonts w:ascii="Microsoft JhengHei"/>
          <w:b/>
          <w:sz w:val="1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637"/>
        <w:gridCol w:w="7620"/>
      </w:tblGrid>
      <w:tr>
        <w:trPr>
          <w:trHeight w:val="371" w:hRule="atLeast"/>
        </w:trPr>
        <w:tc>
          <w:tcPr>
            <w:tcW w:w="665" w:type="dxa"/>
          </w:tcPr>
          <w:p>
            <w:pPr>
              <w:pStyle w:val="TableParagraph"/>
              <w:spacing w:line="235" w:lineRule="exact"/>
              <w:ind w:left="105"/>
              <w:rPr>
                <w:rFonts w:ascii="Microsoft JhengHei"/>
                <w:b/>
                <w:sz w:val="21"/>
              </w:rPr>
            </w:pPr>
            <w:r>
              <w:rPr>
                <w:rFonts w:ascii="Microsoft JhengHei"/>
                <w:b/>
                <w:w w:val="105"/>
                <w:sz w:val="21"/>
              </w:rPr>
              <w:t>6.1</w:t>
            </w:r>
          </w:p>
        </w:tc>
        <w:tc>
          <w:tcPr>
            <w:tcW w:w="1637" w:type="dxa"/>
          </w:tcPr>
          <w:p>
            <w:pPr>
              <w:pStyle w:val="TableParagraph"/>
              <w:spacing w:line="235" w:lineRule="exact"/>
              <w:ind w:left="242"/>
              <w:rPr>
                <w:rFonts w:ascii="Microsoft JhengHei" w:eastAsia="Microsoft JhengHei" w:hint="eastAsia"/>
                <w:b/>
                <w:sz w:val="21"/>
              </w:rPr>
            </w:pPr>
            <w:r>
              <w:rPr>
                <w:rFonts w:ascii="Microsoft JhengHei" w:eastAsia="Microsoft JhengHei" w:hint="eastAsia"/>
                <w:b/>
                <w:sz w:val="21"/>
              </w:rPr>
              <w:t>效力中止</w:t>
            </w:r>
          </w:p>
        </w:tc>
        <w:tc>
          <w:tcPr>
            <w:tcW w:w="7620" w:type="dxa"/>
          </w:tcPr>
          <w:p>
            <w:pPr>
              <w:pStyle w:val="TableParagraph"/>
              <w:spacing w:line="211" w:lineRule="exact"/>
              <w:ind w:left="126"/>
              <w:rPr>
                <w:sz w:val="21"/>
              </w:rPr>
            </w:pPr>
            <w:r>
              <w:rPr>
                <w:rFonts w:ascii="黑体" w:eastAsia="黑体" w:hint="eastAsia"/>
                <w:sz w:val="21"/>
              </w:rPr>
              <w:t>在本附加合同效力中止期间，我们不承担保险责任</w:t>
            </w:r>
            <w:r>
              <w:rPr>
                <w:sz w:val="21"/>
              </w:rPr>
              <w:t>。</w:t>
            </w:r>
          </w:p>
        </w:tc>
      </w:tr>
      <w:tr>
        <w:trPr>
          <w:trHeight w:val="1082" w:hRule="atLeast"/>
        </w:trPr>
        <w:tc>
          <w:tcPr>
            <w:tcW w:w="665" w:type="dxa"/>
          </w:tcPr>
          <w:p>
            <w:pPr>
              <w:pStyle w:val="TableParagraph"/>
              <w:spacing w:line="240" w:lineRule="auto" w:before="30"/>
              <w:ind w:left="105"/>
              <w:rPr>
                <w:rFonts w:ascii="Microsoft JhengHei"/>
                <w:b/>
                <w:sz w:val="21"/>
              </w:rPr>
            </w:pPr>
            <w:r>
              <w:rPr>
                <w:rFonts w:ascii="Microsoft JhengHei"/>
                <w:b/>
                <w:w w:val="105"/>
                <w:sz w:val="21"/>
              </w:rPr>
              <w:t>6.2</w:t>
            </w:r>
          </w:p>
        </w:tc>
        <w:tc>
          <w:tcPr>
            <w:tcW w:w="1637" w:type="dxa"/>
          </w:tcPr>
          <w:p>
            <w:pPr>
              <w:pStyle w:val="TableParagraph"/>
              <w:spacing w:line="240" w:lineRule="auto" w:before="30"/>
              <w:ind w:left="242"/>
              <w:rPr>
                <w:rFonts w:ascii="Microsoft JhengHei" w:eastAsia="Microsoft JhengHei" w:hint="eastAsia"/>
                <w:b/>
                <w:sz w:val="21"/>
              </w:rPr>
            </w:pPr>
            <w:r>
              <w:rPr>
                <w:rFonts w:ascii="Microsoft JhengHei" w:eastAsia="Microsoft JhengHei" w:hint="eastAsia"/>
                <w:b/>
                <w:sz w:val="21"/>
              </w:rPr>
              <w:t>效力恢复</w:t>
            </w:r>
          </w:p>
        </w:tc>
        <w:tc>
          <w:tcPr>
            <w:tcW w:w="7620" w:type="dxa"/>
          </w:tcPr>
          <w:p>
            <w:pPr>
              <w:pStyle w:val="TableParagraph"/>
              <w:spacing w:line="271" w:lineRule="auto" w:before="97"/>
              <w:ind w:left="126" w:right="104"/>
              <w:jc w:val="both"/>
              <w:rPr>
                <w:sz w:val="21"/>
              </w:rPr>
            </w:pPr>
            <w:r>
              <w:rPr>
                <w:spacing w:val="-4"/>
                <w:sz w:val="21"/>
              </w:rPr>
              <w:t>本附加合同效力中止之日起 </w:t>
            </w:r>
            <w:r>
              <w:rPr>
                <w:sz w:val="21"/>
              </w:rPr>
              <w:t>2</w:t>
            </w:r>
            <w:r>
              <w:rPr>
                <w:spacing w:val="-5"/>
                <w:sz w:val="21"/>
              </w:rPr>
              <w:t> 年内，您可以申请恢复合同效力。经您与我们协商并就恢复本附加合同效力达成一致同意的协议，自您补交保险费之日起，本附加合同效力恢复。</w:t>
            </w:r>
          </w:p>
        </w:tc>
      </w:tr>
      <w:tr>
        <w:trPr>
          <w:trHeight w:val="1094" w:hRule="atLeast"/>
        </w:trPr>
        <w:tc>
          <w:tcPr>
            <w:tcW w:w="665" w:type="dxa"/>
          </w:tcPr>
          <w:p>
            <w:pPr>
              <w:pStyle w:val="TableParagraph"/>
              <w:spacing w:line="240" w:lineRule="auto"/>
              <w:rPr>
                <w:rFonts w:ascii="Times New Roman"/>
                <w:sz w:val="20"/>
              </w:rPr>
            </w:pPr>
          </w:p>
        </w:tc>
        <w:tc>
          <w:tcPr>
            <w:tcW w:w="1637" w:type="dxa"/>
          </w:tcPr>
          <w:p>
            <w:pPr>
              <w:pStyle w:val="TableParagraph"/>
              <w:spacing w:line="240" w:lineRule="auto"/>
              <w:rPr>
                <w:rFonts w:ascii="Times New Roman"/>
                <w:sz w:val="20"/>
              </w:rPr>
            </w:pPr>
          </w:p>
        </w:tc>
        <w:tc>
          <w:tcPr>
            <w:tcW w:w="7620" w:type="dxa"/>
          </w:tcPr>
          <w:p>
            <w:pPr>
              <w:pStyle w:val="TableParagraph"/>
              <w:spacing w:line="271" w:lineRule="auto" w:before="27"/>
              <w:ind w:left="126" w:right="104"/>
              <w:jc w:val="both"/>
              <w:rPr>
                <w:rFonts w:ascii="黑体" w:eastAsia="黑体" w:hint="eastAsia"/>
                <w:sz w:val="21"/>
              </w:rPr>
            </w:pPr>
            <w:r>
              <w:rPr>
                <w:rFonts w:ascii="黑体" w:eastAsia="黑体" w:hint="eastAsia"/>
                <w:spacing w:val="-5"/>
                <w:sz w:val="21"/>
              </w:rPr>
              <w:t>自本附加合同效力中止之日起满 </w:t>
            </w:r>
            <w:r>
              <w:rPr>
                <w:rFonts w:ascii="黑体" w:eastAsia="黑体" w:hint="eastAsia"/>
                <w:sz w:val="21"/>
              </w:rPr>
              <w:t>2</w:t>
            </w:r>
            <w:r>
              <w:rPr>
                <w:rFonts w:ascii="黑体" w:eastAsia="黑体" w:hint="eastAsia"/>
                <w:spacing w:val="-5"/>
                <w:sz w:val="21"/>
              </w:rPr>
              <w:t> 年您和我们未就恢复本附加合同效力达成一致同意的协议，我们有权解除本附加合同。我们解除本附加合同的，我们向您退还本附加合同中止之日的现金价值。</w:t>
            </w:r>
          </w:p>
        </w:tc>
      </w:tr>
      <w:tr>
        <w:trPr>
          <w:trHeight w:val="483" w:hRule="atLeast"/>
        </w:trPr>
        <w:tc>
          <w:tcPr>
            <w:tcW w:w="665" w:type="dxa"/>
            <w:tcBorders>
              <w:bottom w:val="single" w:sz="8" w:space="0" w:color="000000"/>
            </w:tcBorders>
          </w:tcPr>
          <w:p>
            <w:pPr>
              <w:pStyle w:val="TableParagraph"/>
              <w:spacing w:line="240" w:lineRule="auto" w:before="22"/>
              <w:ind w:left="105"/>
              <w:rPr>
                <w:rFonts w:ascii="Microsoft JhengHei"/>
                <w:b/>
                <w:sz w:val="24"/>
              </w:rPr>
            </w:pPr>
            <w:r>
              <w:rPr>
                <w:rFonts w:ascii="Microsoft JhengHei"/>
                <w:b/>
                <w:w w:val="120"/>
                <w:sz w:val="24"/>
              </w:rPr>
              <w:t>7.</w:t>
            </w:r>
          </w:p>
        </w:tc>
        <w:tc>
          <w:tcPr>
            <w:tcW w:w="1637" w:type="dxa"/>
            <w:tcBorders>
              <w:bottom w:val="single" w:sz="8" w:space="0" w:color="000000"/>
            </w:tcBorders>
          </w:tcPr>
          <w:p>
            <w:pPr>
              <w:pStyle w:val="TableParagraph"/>
              <w:spacing w:line="240" w:lineRule="auto" w:before="22"/>
              <w:ind w:left="242"/>
              <w:rPr>
                <w:rFonts w:ascii="Microsoft JhengHei" w:eastAsia="Microsoft JhengHei" w:hint="eastAsia"/>
                <w:b/>
                <w:sz w:val="24"/>
              </w:rPr>
            </w:pPr>
            <w:r>
              <w:rPr>
                <w:rFonts w:ascii="Microsoft JhengHei" w:eastAsia="Microsoft JhengHei" w:hint="eastAsia"/>
                <w:b/>
                <w:sz w:val="24"/>
              </w:rPr>
              <w:t>合同解除</w:t>
            </w:r>
          </w:p>
        </w:tc>
        <w:tc>
          <w:tcPr>
            <w:tcW w:w="7620" w:type="dxa"/>
            <w:tcBorders>
              <w:bottom w:val="single" w:sz="8" w:space="0" w:color="000000"/>
            </w:tcBorders>
          </w:tcPr>
          <w:p>
            <w:pPr>
              <w:pStyle w:val="TableParagraph"/>
              <w:spacing w:line="240" w:lineRule="auto"/>
              <w:rPr>
                <w:rFonts w:ascii="Times New Roman"/>
                <w:sz w:val="20"/>
              </w:rPr>
            </w:pPr>
          </w:p>
        </w:tc>
      </w:tr>
      <w:tr>
        <w:trPr>
          <w:trHeight w:val="859" w:hRule="atLeast"/>
        </w:trPr>
        <w:tc>
          <w:tcPr>
            <w:tcW w:w="665" w:type="dxa"/>
            <w:tcBorders>
              <w:top w:val="single" w:sz="8" w:space="0" w:color="000000"/>
            </w:tcBorders>
          </w:tcPr>
          <w:p>
            <w:pPr>
              <w:pStyle w:val="TableParagraph"/>
              <w:spacing w:line="240" w:lineRule="auto" w:before="119"/>
              <w:ind w:left="105"/>
              <w:rPr>
                <w:rFonts w:ascii="Microsoft JhengHei"/>
                <w:b/>
                <w:sz w:val="21"/>
              </w:rPr>
            </w:pPr>
            <w:r>
              <w:rPr>
                <w:rFonts w:ascii="Microsoft JhengHei"/>
                <w:b/>
                <w:w w:val="105"/>
                <w:sz w:val="21"/>
              </w:rPr>
              <w:t>7.1</w:t>
            </w:r>
          </w:p>
        </w:tc>
        <w:tc>
          <w:tcPr>
            <w:tcW w:w="1637" w:type="dxa"/>
            <w:tcBorders>
              <w:top w:val="single" w:sz="8" w:space="0" w:color="000000"/>
            </w:tcBorders>
          </w:tcPr>
          <w:p>
            <w:pPr>
              <w:pStyle w:val="TableParagraph"/>
              <w:spacing w:line="201" w:lineRule="auto" w:before="178"/>
              <w:ind w:left="242" w:right="125"/>
              <w:rPr>
                <w:rFonts w:ascii="Microsoft JhengHei" w:eastAsia="Microsoft JhengHei" w:hint="eastAsia"/>
                <w:b/>
                <w:sz w:val="21"/>
              </w:rPr>
            </w:pPr>
            <w:r>
              <w:rPr>
                <w:rFonts w:ascii="Microsoft JhengHei" w:eastAsia="Microsoft JhengHei" w:hint="eastAsia"/>
                <w:b/>
                <w:sz w:val="21"/>
              </w:rPr>
              <w:t>您解除合同的手续及风险</w:t>
            </w:r>
          </w:p>
        </w:tc>
        <w:tc>
          <w:tcPr>
            <w:tcW w:w="7620" w:type="dxa"/>
            <w:tcBorders>
              <w:top w:val="single" w:sz="8" w:space="0" w:color="000000"/>
            </w:tcBorders>
          </w:tcPr>
          <w:p>
            <w:pPr>
              <w:pStyle w:val="TableParagraph"/>
              <w:spacing w:line="240" w:lineRule="auto" w:before="12"/>
              <w:rPr>
                <w:rFonts w:ascii="Microsoft JhengHei"/>
                <w:b/>
                <w:sz w:val="10"/>
              </w:rPr>
            </w:pPr>
          </w:p>
          <w:p>
            <w:pPr>
              <w:pStyle w:val="TableParagraph"/>
              <w:spacing w:line="268" w:lineRule="auto"/>
              <w:ind w:left="126" w:right="104"/>
              <w:rPr>
                <w:sz w:val="21"/>
              </w:rPr>
            </w:pPr>
            <w:r>
              <w:rPr>
                <w:sz w:val="21"/>
              </w:rPr>
              <w:t>如果被保险人未发生保险事故，且您在犹豫期后要求解除本附加合同，请填写解除合同申请书并向我们提供下列资料的原件：</w:t>
            </w:r>
          </w:p>
        </w:tc>
      </w:tr>
      <w:tr>
        <w:trPr>
          <w:trHeight w:val="391" w:hRule="atLeast"/>
        </w:trPr>
        <w:tc>
          <w:tcPr>
            <w:tcW w:w="665" w:type="dxa"/>
          </w:tcPr>
          <w:p>
            <w:pPr>
              <w:pStyle w:val="TableParagraph"/>
              <w:spacing w:line="240" w:lineRule="auto"/>
              <w:rPr>
                <w:rFonts w:ascii="Times New Roman"/>
                <w:sz w:val="20"/>
              </w:rPr>
            </w:pPr>
          </w:p>
        </w:tc>
        <w:tc>
          <w:tcPr>
            <w:tcW w:w="1637" w:type="dxa"/>
          </w:tcPr>
          <w:p>
            <w:pPr>
              <w:pStyle w:val="TableParagraph"/>
              <w:spacing w:line="240" w:lineRule="auto"/>
              <w:rPr>
                <w:rFonts w:ascii="Times New Roman"/>
                <w:sz w:val="20"/>
              </w:rPr>
            </w:pPr>
          </w:p>
        </w:tc>
        <w:tc>
          <w:tcPr>
            <w:tcW w:w="7620" w:type="dxa"/>
          </w:tcPr>
          <w:p>
            <w:pPr>
              <w:pStyle w:val="TableParagraph"/>
              <w:tabs>
                <w:tab w:pos="861" w:val="left" w:leader="none"/>
              </w:tabs>
              <w:spacing w:line="240" w:lineRule="auto" w:before="27"/>
              <w:ind w:left="126"/>
              <w:rPr>
                <w:sz w:val="21"/>
              </w:rPr>
            </w:pPr>
            <w:r>
              <w:rPr>
                <w:sz w:val="21"/>
              </w:rPr>
              <w:t>（1）</w:t>
              <w:tab/>
            </w:r>
            <w:r>
              <w:rPr>
                <w:spacing w:val="-1"/>
                <w:sz w:val="21"/>
              </w:rPr>
              <w:t>本附加合同；</w:t>
            </w:r>
          </w:p>
        </w:tc>
      </w:tr>
      <w:tr>
        <w:trPr>
          <w:trHeight w:val="299" w:hRule="atLeast"/>
        </w:trPr>
        <w:tc>
          <w:tcPr>
            <w:tcW w:w="665" w:type="dxa"/>
          </w:tcPr>
          <w:p>
            <w:pPr>
              <w:pStyle w:val="TableParagraph"/>
              <w:spacing w:line="240" w:lineRule="auto"/>
              <w:rPr>
                <w:rFonts w:ascii="Times New Roman"/>
                <w:sz w:val="20"/>
              </w:rPr>
            </w:pPr>
          </w:p>
        </w:tc>
        <w:tc>
          <w:tcPr>
            <w:tcW w:w="1637" w:type="dxa"/>
          </w:tcPr>
          <w:p>
            <w:pPr>
              <w:pStyle w:val="TableParagraph"/>
              <w:spacing w:line="240" w:lineRule="auto"/>
              <w:rPr>
                <w:rFonts w:ascii="Times New Roman"/>
                <w:sz w:val="20"/>
              </w:rPr>
            </w:pPr>
          </w:p>
        </w:tc>
        <w:tc>
          <w:tcPr>
            <w:tcW w:w="7620" w:type="dxa"/>
          </w:tcPr>
          <w:p>
            <w:pPr>
              <w:pStyle w:val="TableParagraph"/>
              <w:tabs>
                <w:tab w:pos="861" w:val="left" w:leader="none"/>
              </w:tabs>
              <w:spacing w:line="255" w:lineRule="exact" w:before="25"/>
              <w:ind w:left="126"/>
              <w:rPr>
                <w:sz w:val="21"/>
              </w:rPr>
            </w:pPr>
            <w:r>
              <w:rPr>
                <w:sz w:val="21"/>
              </w:rPr>
              <w:t>（2）</w:t>
              <w:tab/>
            </w:r>
            <w:r>
              <w:rPr>
                <w:spacing w:val="-1"/>
                <w:sz w:val="21"/>
              </w:rPr>
              <w:t>您的有效身份证件。</w:t>
            </w:r>
          </w:p>
        </w:tc>
      </w:tr>
    </w:tbl>
    <w:p>
      <w:pPr>
        <w:spacing w:after="0" w:line="255" w:lineRule="exact"/>
        <w:rPr>
          <w:sz w:val="21"/>
        </w:rPr>
        <w:sectPr>
          <w:type w:val="continuous"/>
          <w:pgSz w:w="11900" w:h="16840"/>
          <w:pgMar w:top="540" w:bottom="280" w:left="920" w:right="820"/>
        </w:sectPr>
      </w:pPr>
    </w:p>
    <w:p>
      <w:pPr>
        <w:pStyle w:val="BodyText"/>
        <w:spacing w:line="268" w:lineRule="auto" w:before="10"/>
        <w:ind w:left="2545" w:right="205"/>
      </w:pPr>
      <w:r>
        <w:rPr/>
        <w:t>自我们收到解除合同申请书时起，本附加合同终止，我们自收到解除合同申请书之日起 30 日内向您退还本附加合同终止时的现金价值。</w:t>
      </w:r>
    </w:p>
    <w:p>
      <w:pPr>
        <w:pStyle w:val="BodyText"/>
        <w:spacing w:before="93"/>
        <w:ind w:left="2545"/>
        <w:rPr>
          <w:rFonts w:ascii="黑体" w:eastAsia="黑体" w:hint="eastAsia"/>
        </w:rPr>
      </w:pPr>
      <w:r>
        <w:rPr>
          <w:rFonts w:ascii="黑体" w:eastAsia="黑体" w:hint="eastAsia"/>
        </w:rPr>
        <w:t>您在犹豫期后解除合同会遭受一定损失。</w:t>
      </w:r>
    </w:p>
    <w:p>
      <w:pPr>
        <w:pStyle w:val="BodyText"/>
        <w:spacing w:before="6"/>
        <w:rPr>
          <w:rFonts w:ascii="黑体"/>
          <w:sz w:val="14"/>
        </w:rPr>
      </w:pPr>
    </w:p>
    <w:p>
      <w:pPr>
        <w:pStyle w:val="Heading2"/>
        <w:numPr>
          <w:ilvl w:val="0"/>
          <w:numId w:val="4"/>
        </w:numPr>
        <w:tabs>
          <w:tab w:pos="1023" w:val="left" w:leader="none"/>
          <w:tab w:pos="1024" w:val="left" w:leader="none"/>
        </w:tabs>
        <w:spacing w:line="240" w:lineRule="auto" w:before="0" w:after="0"/>
        <w:ind w:left="1024" w:right="0" w:hanging="802"/>
        <w:jc w:val="left"/>
      </w:pPr>
      <w:r>
        <w:rPr/>
        <w:pict>
          <v:group style="position:absolute;margin-left:51.84pt;margin-top:23.113634pt;width:496.1pt;height:1pt;mso-position-horizontal-relative:page;mso-position-vertical-relative:paragraph;z-index:1240;mso-wrap-distance-left:0;mso-wrap-distance-right:0" coordorigin="1037,462" coordsize="9922,20">
            <v:line style="position:absolute" from="1037,472" to="1834,472" stroked="true" strokeweight=".96pt" strokecolor="#000000">
              <v:stroke dashstyle="solid"/>
            </v:line>
            <v:rect style="position:absolute;left:1833;top:462;width:20;height:20" filled="true" fillcolor="#000000" stroked="false">
              <v:fill type="solid"/>
            </v:rect>
            <v:line style="position:absolute" from="1853,472" to="3360,472" stroked="true" strokeweight=".96pt" strokecolor="#000000">
              <v:stroke dashstyle="solid"/>
            </v:line>
            <v:rect style="position:absolute;left:3360;top:462;width:20;height:20" filled="true" fillcolor="#000000" stroked="false">
              <v:fill type="solid"/>
            </v:rect>
            <v:line style="position:absolute" from="3379,472" to="10958,472" stroked="true" strokeweight=".96pt" strokecolor="#000000">
              <v:stroke dashstyle="solid"/>
            </v:line>
            <w10:wrap type="topAndBottom"/>
          </v:group>
        </w:pict>
      </w:r>
      <w:r>
        <w:rPr/>
        <w:t>其他需要关注的事项</w:t>
      </w:r>
    </w:p>
    <w:p>
      <w:pPr>
        <w:pStyle w:val="BodyText"/>
        <w:spacing w:before="16"/>
        <w:rPr>
          <w:rFonts w:ascii="Microsoft JhengHei"/>
          <w:b/>
          <w:sz w:val="6"/>
        </w:rPr>
      </w:pPr>
    </w:p>
    <w:p>
      <w:pPr>
        <w:pStyle w:val="ListParagraph"/>
        <w:numPr>
          <w:ilvl w:val="1"/>
          <w:numId w:val="4"/>
        </w:numPr>
        <w:tabs>
          <w:tab w:pos="1023" w:val="left" w:leader="none"/>
          <w:tab w:pos="1024" w:val="left" w:leader="none"/>
          <w:tab w:pos="2545" w:val="left" w:leader="none"/>
        </w:tabs>
        <w:spacing w:line="336" w:lineRule="exact" w:before="0" w:after="0"/>
        <w:ind w:left="1024" w:right="0" w:hanging="802"/>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2"/>
          <w:numId w:val="4"/>
        </w:numPr>
        <w:tabs>
          <w:tab w:pos="3284" w:val="left" w:leader="none"/>
          <w:tab w:pos="3285" w:val="left" w:leader="none"/>
        </w:tabs>
        <w:spacing w:line="240" w:lineRule="auto" w:before="90" w:after="0"/>
        <w:ind w:left="3284" w:right="0" w:hanging="739"/>
        <w:jc w:val="left"/>
        <w:rPr>
          <w:sz w:val="21"/>
        </w:rPr>
      </w:pPr>
      <w:r>
        <w:rPr>
          <w:spacing w:val="-1"/>
          <w:sz w:val="21"/>
        </w:rPr>
        <w:t>主合同效力终止；</w:t>
      </w:r>
    </w:p>
    <w:p>
      <w:pPr>
        <w:pStyle w:val="ListParagraph"/>
        <w:numPr>
          <w:ilvl w:val="2"/>
          <w:numId w:val="4"/>
        </w:numPr>
        <w:tabs>
          <w:tab w:pos="3284" w:val="left" w:leader="none"/>
          <w:tab w:pos="3285" w:val="left" w:leader="none"/>
        </w:tabs>
        <w:spacing w:line="240" w:lineRule="auto" w:before="114" w:after="0"/>
        <w:ind w:left="3284" w:right="0" w:hanging="739"/>
        <w:jc w:val="left"/>
        <w:rPr>
          <w:sz w:val="21"/>
        </w:rPr>
      </w:pPr>
      <w:r>
        <w:rPr>
          <w:spacing w:val="-3"/>
          <w:sz w:val="21"/>
        </w:rPr>
        <w:t>本附加合同约定的合同效力终止情况。</w:t>
      </w:r>
    </w:p>
    <w:p>
      <w:pPr>
        <w:pStyle w:val="BodyText"/>
        <w:spacing w:before="12"/>
        <w:rPr>
          <w:sz w:val="16"/>
        </w:rPr>
      </w:pPr>
    </w:p>
    <w:p>
      <w:pPr>
        <w:spacing w:after="0"/>
        <w:rPr>
          <w:sz w:val="16"/>
        </w:rPr>
        <w:sectPr>
          <w:pgSz w:w="11900" w:h="16840"/>
          <w:pgMar w:top="1080" w:bottom="280" w:left="920" w:right="840"/>
        </w:sectPr>
      </w:pPr>
    </w:p>
    <w:p>
      <w:pPr>
        <w:pStyle w:val="Heading3"/>
        <w:numPr>
          <w:ilvl w:val="1"/>
          <w:numId w:val="4"/>
        </w:numPr>
        <w:tabs>
          <w:tab w:pos="1023" w:val="left" w:leader="none"/>
          <w:tab w:pos="1024" w:val="left" w:leader="none"/>
        </w:tabs>
        <w:spacing w:line="201" w:lineRule="auto" w:before="28" w:after="0"/>
        <w:ind w:left="1024" w:right="0" w:hanging="802"/>
        <w:jc w:val="left"/>
      </w:pPr>
      <w:r>
        <w:rPr/>
        <w:t>适用主合同条款</w:t>
      </w:r>
    </w:p>
    <w:p>
      <w:pPr>
        <w:pStyle w:val="BodyText"/>
        <w:spacing w:before="36"/>
        <w:ind w:left="214"/>
      </w:pPr>
      <w:r>
        <w:rPr/>
        <w:br w:type="column"/>
      </w:r>
      <w:r>
        <w:rPr/>
        <w:t>主合同订立的下列各项条款适用于本附加合同：</w:t>
      </w:r>
    </w:p>
    <w:p>
      <w:pPr>
        <w:pStyle w:val="ListParagraph"/>
        <w:numPr>
          <w:ilvl w:val="0"/>
          <w:numId w:val="5"/>
        </w:numPr>
        <w:tabs>
          <w:tab w:pos="953" w:val="left" w:leader="none"/>
          <w:tab w:pos="954" w:val="left" w:leader="none"/>
        </w:tabs>
        <w:spacing w:line="240" w:lineRule="auto" w:before="113" w:after="0"/>
        <w:ind w:left="953" w:right="0" w:hanging="739"/>
        <w:jc w:val="left"/>
        <w:rPr>
          <w:sz w:val="21"/>
        </w:rPr>
      </w:pPr>
      <w:r>
        <w:rPr>
          <w:spacing w:val="-2"/>
          <w:sz w:val="21"/>
        </w:rPr>
        <w:t>明确说明与如实告知；</w:t>
      </w:r>
    </w:p>
    <w:p>
      <w:pPr>
        <w:pStyle w:val="ListParagraph"/>
        <w:numPr>
          <w:ilvl w:val="0"/>
          <w:numId w:val="5"/>
        </w:numPr>
        <w:tabs>
          <w:tab w:pos="953" w:val="left" w:leader="none"/>
          <w:tab w:pos="954" w:val="left" w:leader="none"/>
        </w:tabs>
        <w:spacing w:line="240" w:lineRule="auto" w:before="113" w:after="0"/>
        <w:ind w:left="953" w:right="0" w:hanging="739"/>
        <w:jc w:val="left"/>
        <w:rPr>
          <w:sz w:val="21"/>
        </w:rPr>
      </w:pPr>
      <w:r>
        <w:rPr>
          <w:spacing w:val="-2"/>
          <w:sz w:val="21"/>
        </w:rPr>
        <w:t>我们合同解除权的限制；</w:t>
      </w:r>
    </w:p>
    <w:p>
      <w:pPr>
        <w:pStyle w:val="ListParagraph"/>
        <w:numPr>
          <w:ilvl w:val="0"/>
          <w:numId w:val="5"/>
        </w:numPr>
        <w:tabs>
          <w:tab w:pos="953" w:val="left" w:leader="none"/>
          <w:tab w:pos="954" w:val="left" w:leader="none"/>
        </w:tabs>
        <w:spacing w:line="240" w:lineRule="auto" w:before="113" w:after="0"/>
        <w:ind w:left="953" w:right="0" w:hanging="739"/>
        <w:jc w:val="left"/>
        <w:rPr>
          <w:sz w:val="21"/>
        </w:rPr>
      </w:pPr>
      <w:r>
        <w:rPr>
          <w:spacing w:val="-1"/>
          <w:sz w:val="21"/>
        </w:rPr>
        <w:t>年龄性别错误；</w:t>
      </w:r>
    </w:p>
    <w:p>
      <w:pPr>
        <w:pStyle w:val="ListParagraph"/>
        <w:numPr>
          <w:ilvl w:val="0"/>
          <w:numId w:val="5"/>
        </w:numPr>
        <w:tabs>
          <w:tab w:pos="953" w:val="left" w:leader="none"/>
          <w:tab w:pos="954" w:val="left" w:leader="none"/>
        </w:tabs>
        <w:spacing w:line="240" w:lineRule="auto" w:before="118" w:after="0"/>
        <w:ind w:left="953" w:right="0" w:hanging="739"/>
        <w:jc w:val="left"/>
        <w:rPr>
          <w:sz w:val="21"/>
        </w:rPr>
      </w:pPr>
      <w:r>
        <w:rPr>
          <w:sz w:val="21"/>
        </w:rPr>
        <w:t>未还款项；</w:t>
      </w:r>
    </w:p>
    <w:p>
      <w:pPr>
        <w:pStyle w:val="ListParagraph"/>
        <w:numPr>
          <w:ilvl w:val="0"/>
          <w:numId w:val="5"/>
        </w:numPr>
        <w:tabs>
          <w:tab w:pos="953" w:val="left" w:leader="none"/>
          <w:tab w:pos="954" w:val="left" w:leader="none"/>
        </w:tabs>
        <w:spacing w:line="240" w:lineRule="auto" w:before="113" w:after="0"/>
        <w:ind w:left="953" w:right="0" w:hanging="739"/>
        <w:jc w:val="left"/>
        <w:rPr>
          <w:sz w:val="21"/>
        </w:rPr>
      </w:pPr>
      <w:r>
        <w:rPr>
          <w:spacing w:val="-1"/>
          <w:sz w:val="21"/>
        </w:rPr>
        <w:t>合同内容变更；</w:t>
      </w:r>
    </w:p>
    <w:p>
      <w:pPr>
        <w:pStyle w:val="ListParagraph"/>
        <w:numPr>
          <w:ilvl w:val="0"/>
          <w:numId w:val="5"/>
        </w:numPr>
        <w:tabs>
          <w:tab w:pos="953" w:val="left" w:leader="none"/>
          <w:tab w:pos="954" w:val="left" w:leader="none"/>
        </w:tabs>
        <w:spacing w:line="240" w:lineRule="auto" w:before="113" w:after="0"/>
        <w:ind w:left="953" w:right="0" w:hanging="739"/>
        <w:jc w:val="left"/>
        <w:rPr>
          <w:sz w:val="21"/>
        </w:rPr>
      </w:pPr>
      <w:r>
        <w:rPr>
          <w:spacing w:val="-1"/>
          <w:sz w:val="21"/>
        </w:rPr>
        <w:t>联系方式变更；</w:t>
      </w:r>
    </w:p>
    <w:p>
      <w:pPr>
        <w:pStyle w:val="ListParagraph"/>
        <w:numPr>
          <w:ilvl w:val="0"/>
          <w:numId w:val="5"/>
        </w:numPr>
        <w:tabs>
          <w:tab w:pos="953" w:val="left" w:leader="none"/>
          <w:tab w:pos="954" w:val="left" w:leader="none"/>
        </w:tabs>
        <w:spacing w:line="240" w:lineRule="auto" w:before="113" w:after="0"/>
        <w:ind w:left="953" w:right="0" w:hanging="739"/>
        <w:jc w:val="left"/>
        <w:rPr>
          <w:sz w:val="21"/>
        </w:rPr>
      </w:pPr>
      <w:r>
        <w:rPr>
          <w:sz w:val="21"/>
        </w:rPr>
        <w:t>争议处理；</w:t>
      </w:r>
    </w:p>
    <w:p>
      <w:pPr>
        <w:pStyle w:val="ListParagraph"/>
        <w:numPr>
          <w:ilvl w:val="0"/>
          <w:numId w:val="5"/>
        </w:numPr>
        <w:tabs>
          <w:tab w:pos="953" w:val="left" w:leader="none"/>
          <w:tab w:pos="954" w:val="left" w:leader="none"/>
        </w:tabs>
        <w:spacing w:line="240" w:lineRule="auto" w:before="118" w:after="0"/>
        <w:ind w:left="953" w:right="0" w:hanging="739"/>
        <w:jc w:val="left"/>
        <w:rPr>
          <w:sz w:val="21"/>
        </w:rPr>
      </w:pPr>
      <w:r>
        <w:rPr>
          <w:spacing w:val="-1"/>
          <w:sz w:val="21"/>
        </w:rPr>
        <w:t>保险事故鉴定。</w:t>
      </w:r>
    </w:p>
    <w:p>
      <w:pPr>
        <w:spacing w:after="0" w:line="240" w:lineRule="auto"/>
        <w:jc w:val="left"/>
        <w:rPr>
          <w:sz w:val="21"/>
        </w:rPr>
        <w:sectPr>
          <w:type w:val="continuous"/>
          <w:pgSz w:w="11900" w:h="16840"/>
          <w:pgMar w:top="540" w:bottom="280" w:left="920" w:right="840"/>
          <w:cols w:num="2" w:equalWidth="0">
            <w:col w:w="2291" w:space="40"/>
            <w:col w:w="7809"/>
          </w:cols>
        </w:sectPr>
      </w:pPr>
    </w:p>
    <w:p>
      <w:pPr>
        <w:pStyle w:val="BodyText"/>
        <w:spacing w:before="4"/>
        <w:rPr>
          <w:sz w:val="18"/>
        </w:rPr>
      </w:pPr>
    </w:p>
    <w:p>
      <w:pPr>
        <w:pStyle w:val="Heading2"/>
        <w:numPr>
          <w:ilvl w:val="0"/>
          <w:numId w:val="4"/>
        </w:numPr>
        <w:tabs>
          <w:tab w:pos="1023" w:val="left" w:leader="none"/>
          <w:tab w:pos="1024" w:val="left" w:leader="none"/>
        </w:tabs>
        <w:spacing w:line="368" w:lineRule="exact" w:before="0" w:after="0"/>
        <w:ind w:left="1024" w:right="0" w:hanging="802"/>
        <w:jc w:val="left"/>
      </w:pPr>
      <w:r>
        <w:rPr/>
        <w:pict>
          <v:group style="position:absolute;margin-left:51.84pt;margin-top:20.609663pt;width:496.1pt;height:1pt;mso-position-horizontal-relative:page;mso-position-vertical-relative:paragraph;z-index:1264;mso-wrap-distance-left:0;mso-wrap-distance-right:0" coordorigin="1037,412" coordsize="9922,20">
            <v:line style="position:absolute" from="1037,422" to="1834,422" stroked="true" strokeweight=".96pt" strokecolor="#000000">
              <v:stroke dashstyle="solid"/>
            </v:line>
            <v:rect style="position:absolute;left:1833;top:412;width:20;height:20" filled="true" fillcolor="#000000" stroked="false">
              <v:fill type="solid"/>
            </v:rect>
            <v:line style="position:absolute" from="1853,422" to="3360,422" stroked="true" strokeweight=".96pt" strokecolor="#000000">
              <v:stroke dashstyle="solid"/>
            </v:line>
            <v:rect style="position:absolute;left:3360;top:412;width:20;height:20" filled="true" fillcolor="#000000" stroked="false">
              <v:fill type="solid"/>
            </v:rect>
            <v:line style="position:absolute" from="3379,422" to="10958,422" stroked="true" strokeweight=".96pt" strokecolor="#000000">
              <v:stroke dashstyle="solid"/>
            </v:line>
            <w10:wrap type="topAndBottom"/>
          </v:group>
        </w:pict>
      </w:r>
      <w:r>
        <w:rPr/>
        <w:t>重大疾病定义</w:t>
      </w:r>
    </w:p>
    <w:p>
      <w:pPr>
        <w:pStyle w:val="BodyText"/>
        <w:spacing w:before="16"/>
        <w:rPr>
          <w:rFonts w:ascii="Microsoft JhengHei"/>
          <w:b/>
          <w:sz w:val="6"/>
        </w:rPr>
      </w:pPr>
    </w:p>
    <w:p>
      <w:pPr>
        <w:pStyle w:val="BodyText"/>
        <w:spacing w:line="271" w:lineRule="auto" w:before="37"/>
        <w:ind w:left="2540" w:right="210"/>
        <w:jc w:val="both"/>
      </w:pPr>
      <w:r>
        <w:rPr>
          <w:spacing w:val="-6"/>
        </w:rPr>
        <w:t>本附加合同所定义的重大疾病共有 </w:t>
      </w:r>
      <w:r>
        <w:rPr/>
        <w:t>42</w:t>
      </w:r>
      <w:r>
        <w:rPr>
          <w:spacing w:val="-14"/>
        </w:rPr>
        <w:t> 种，其中第 </w:t>
      </w:r>
      <w:r>
        <w:rPr/>
        <w:t>1</w:t>
      </w:r>
      <w:r>
        <w:rPr>
          <w:spacing w:val="-30"/>
        </w:rPr>
        <w:t> 至 </w:t>
      </w:r>
      <w:r>
        <w:rPr/>
        <w:t>25</w:t>
      </w:r>
      <w:r>
        <w:rPr>
          <w:spacing w:val="-7"/>
        </w:rPr>
        <w:t> 种重大疾病为中国保险</w:t>
      </w:r>
      <w:r>
        <w:rPr>
          <w:spacing w:val="-12"/>
          <w:w w:val="100"/>
        </w:rPr>
        <w:t>行业协会颁布的《重大疾病保险的疾病定义使用规范》</w:t>
      </w:r>
      <w:r>
        <w:rPr>
          <w:spacing w:val="-1"/>
          <w:w w:val="100"/>
        </w:rPr>
        <w:t>（</w:t>
      </w:r>
      <w:r>
        <w:rPr>
          <w:spacing w:val="-14"/>
          <w:w w:val="100"/>
        </w:rPr>
        <w:t>以下简称“规范”</w:t>
      </w:r>
      <w:r>
        <w:rPr>
          <w:w w:val="100"/>
        </w:rPr>
        <w:t>）规定</w:t>
      </w:r>
      <w:r>
        <w:rPr>
          <w:spacing w:val="-7"/>
        </w:rPr>
        <w:t>的疾病，且疾病名称和疾病定义与“规范”一致，第 </w:t>
      </w:r>
      <w:r>
        <w:rPr/>
        <w:t>26</w:t>
      </w:r>
      <w:r>
        <w:rPr>
          <w:spacing w:val="-23"/>
        </w:rPr>
        <w:t> 至 </w:t>
      </w:r>
      <w:r>
        <w:rPr/>
        <w:t>42</w:t>
      </w:r>
      <w:r>
        <w:rPr>
          <w:spacing w:val="-8"/>
        </w:rPr>
        <w:t> 种重大疾病为“规</w:t>
      </w:r>
      <w:r>
        <w:rPr>
          <w:spacing w:val="-6"/>
        </w:rPr>
        <w:t>范”规定范围之外的疾病。</w:t>
      </w:r>
    </w:p>
    <w:p>
      <w:pPr>
        <w:pStyle w:val="ListParagraph"/>
        <w:numPr>
          <w:ilvl w:val="1"/>
          <w:numId w:val="4"/>
        </w:numPr>
        <w:tabs>
          <w:tab w:pos="1023" w:val="left" w:leader="none"/>
          <w:tab w:pos="1024" w:val="left" w:leader="none"/>
          <w:tab w:pos="2540" w:val="left" w:leader="none"/>
        </w:tabs>
        <w:spacing w:line="261" w:lineRule="auto" w:before="164" w:after="0"/>
        <w:ind w:left="2540" w:right="99" w:hanging="2318"/>
        <w:jc w:val="left"/>
        <w:rPr>
          <w:sz w:val="21"/>
        </w:rPr>
      </w:pPr>
      <w:r>
        <w:rPr>
          <w:rFonts w:ascii="Microsoft JhengHei" w:eastAsia="Microsoft JhengHei" w:hint="eastAsia"/>
          <w:b/>
          <w:sz w:val="21"/>
        </w:rPr>
        <w:t>恶性肿瘤</w:t>
        <w:tab/>
      </w:r>
      <w:r>
        <w:rPr>
          <w:sz w:val="21"/>
        </w:rPr>
        <w:t>指恶性细胞不受控制的进行性增长和扩散，浸润和</w:t>
      </w:r>
      <w:r>
        <w:rPr>
          <w:spacing w:val="-5"/>
          <w:sz w:val="21"/>
        </w:rPr>
        <w:t>破</w:t>
      </w:r>
      <w:r>
        <w:rPr>
          <w:sz w:val="21"/>
        </w:rPr>
        <w:t>坏周围正常组织，可以经血 管</w:t>
      </w:r>
      <w:r>
        <w:rPr>
          <w:spacing w:val="-34"/>
          <w:sz w:val="21"/>
        </w:rPr>
        <w:t>、</w:t>
      </w:r>
      <w:r>
        <w:rPr>
          <w:sz w:val="21"/>
        </w:rPr>
        <w:t>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疾病</w:t>
      </w:r>
      <w:r>
        <w:rPr>
          <w:spacing w:val="-39"/>
          <w:sz w:val="21"/>
        </w:rPr>
        <w:t>。</w:t>
      </w:r>
      <w:r>
        <w:rPr>
          <w:sz w:val="21"/>
        </w:rPr>
        <w:t>经病理学</w:t>
      </w:r>
      <w:r>
        <w:rPr>
          <w:spacing w:val="-5"/>
          <w:sz w:val="21"/>
        </w:rPr>
        <w:t>检</w:t>
      </w:r>
      <w:r>
        <w:rPr>
          <w:sz w:val="21"/>
        </w:rPr>
        <w:t>查结果</w:t>
      </w:r>
      <w:r>
        <w:rPr>
          <w:spacing w:val="-5"/>
          <w:sz w:val="21"/>
        </w:rPr>
        <w:t>明</w:t>
      </w:r>
      <w:r>
        <w:rPr>
          <w:sz w:val="21"/>
        </w:rPr>
        <w:t>确诊断， 临床诊断</w:t>
      </w:r>
      <w:r>
        <w:rPr>
          <w:spacing w:val="-5"/>
          <w:sz w:val="21"/>
        </w:rPr>
        <w:t>属</w:t>
      </w:r>
      <w:r>
        <w:rPr>
          <w:sz w:val="21"/>
        </w:rPr>
        <w:t>于世界</w:t>
      </w:r>
      <w:r>
        <w:rPr>
          <w:spacing w:val="-5"/>
          <w:sz w:val="21"/>
        </w:rPr>
        <w:t>卫</w:t>
      </w:r>
      <w:r>
        <w:rPr>
          <w:sz w:val="21"/>
        </w:rPr>
        <w:t>生组</w:t>
      </w:r>
      <w:r>
        <w:rPr>
          <w:spacing w:val="-24"/>
          <w:sz w:val="21"/>
        </w:rPr>
        <w:t>织</w:t>
      </w:r>
      <w:r>
        <w:rPr>
          <w:sz w:val="21"/>
        </w:rPr>
        <w:t>《</w:t>
      </w:r>
      <w:r>
        <w:rPr>
          <w:spacing w:val="-5"/>
          <w:sz w:val="21"/>
        </w:rPr>
        <w:t>疾</w:t>
      </w:r>
      <w:r>
        <w:rPr>
          <w:sz w:val="21"/>
        </w:rPr>
        <w:t>病和有</w:t>
      </w:r>
      <w:r>
        <w:rPr>
          <w:spacing w:val="-5"/>
          <w:sz w:val="21"/>
        </w:rPr>
        <w:t>关</w:t>
      </w:r>
      <w:r>
        <w:rPr>
          <w:sz w:val="21"/>
        </w:rPr>
        <w:t>健康</w:t>
      </w:r>
      <w:r>
        <w:rPr>
          <w:spacing w:val="-5"/>
          <w:sz w:val="21"/>
        </w:rPr>
        <w:t>问</w:t>
      </w:r>
      <w:r>
        <w:rPr>
          <w:sz w:val="21"/>
        </w:rPr>
        <w:t>题</w:t>
      </w:r>
      <w:r>
        <w:rPr>
          <w:spacing w:val="-5"/>
          <w:sz w:val="21"/>
        </w:rPr>
        <w:t>的</w:t>
      </w:r>
      <w:r>
        <w:rPr>
          <w:sz w:val="21"/>
        </w:rPr>
        <w:t>国际统计</w:t>
      </w:r>
      <w:r>
        <w:rPr>
          <w:spacing w:val="-5"/>
          <w:sz w:val="21"/>
        </w:rPr>
        <w:t>分</w:t>
      </w:r>
      <w:r>
        <w:rPr>
          <w:sz w:val="21"/>
        </w:rPr>
        <w:t>类</w:t>
      </w:r>
      <w:r>
        <w:rPr>
          <w:spacing w:val="-130"/>
          <w:sz w:val="21"/>
        </w:rPr>
        <w:t>》</w:t>
      </w:r>
      <w:r>
        <w:rPr>
          <w:spacing w:val="-4"/>
          <w:sz w:val="21"/>
        </w:rPr>
        <w:t>（ICD-10）</w:t>
      </w:r>
      <w:r>
        <w:rPr>
          <w:sz w:val="21"/>
        </w:rPr>
        <w:t>的恶性肿瘤</w:t>
      </w:r>
      <w:r>
        <w:rPr>
          <w:spacing w:val="-5"/>
          <w:sz w:val="21"/>
        </w:rPr>
        <w:t>范</w:t>
      </w:r>
      <w:r>
        <w:rPr>
          <w:sz w:val="21"/>
        </w:rPr>
        <w:t>畴。</w:t>
      </w:r>
    </w:p>
    <w:p>
      <w:pPr>
        <w:pStyle w:val="BodyText"/>
        <w:spacing w:before="100"/>
        <w:ind w:left="2540"/>
        <w:jc w:val="both"/>
        <w:rPr>
          <w:rFonts w:ascii="黑体" w:eastAsia="黑体" w:hint="eastAsia"/>
        </w:rPr>
      </w:pPr>
      <w:r>
        <w:rPr>
          <w:rFonts w:ascii="黑体" w:eastAsia="黑体" w:hint="eastAsia"/>
        </w:rPr>
        <w:t>下列疾病不在保障范围内：</w:t>
      </w:r>
    </w:p>
    <w:p>
      <w:pPr>
        <w:pStyle w:val="ListParagraph"/>
        <w:numPr>
          <w:ilvl w:val="0"/>
          <w:numId w:val="6"/>
        </w:numPr>
        <w:tabs>
          <w:tab w:pos="3276" w:val="left" w:leader="none"/>
        </w:tabs>
        <w:spacing w:line="240" w:lineRule="auto" w:before="114" w:after="0"/>
        <w:ind w:left="3275" w:right="0" w:hanging="735"/>
        <w:jc w:val="both"/>
        <w:rPr>
          <w:rFonts w:ascii="黑体" w:eastAsia="黑体" w:hint="eastAsia"/>
          <w:sz w:val="21"/>
        </w:rPr>
      </w:pPr>
      <w:r>
        <w:rPr>
          <w:rFonts w:ascii="黑体" w:eastAsia="黑体" w:hint="eastAsia"/>
          <w:sz w:val="21"/>
        </w:rPr>
        <w:t>原位癌；</w:t>
      </w:r>
    </w:p>
    <w:p>
      <w:pPr>
        <w:pStyle w:val="ListParagraph"/>
        <w:numPr>
          <w:ilvl w:val="0"/>
          <w:numId w:val="6"/>
        </w:numPr>
        <w:tabs>
          <w:tab w:pos="3276" w:val="left" w:leader="none"/>
        </w:tabs>
        <w:spacing w:line="240" w:lineRule="auto" w:before="118" w:after="0"/>
        <w:ind w:left="3275" w:right="0" w:hanging="735"/>
        <w:jc w:val="both"/>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6"/>
        </w:numPr>
        <w:tabs>
          <w:tab w:pos="3276" w:val="left" w:leader="none"/>
        </w:tabs>
        <w:spacing w:line="240" w:lineRule="auto" w:before="113" w:after="0"/>
        <w:ind w:left="3275" w:right="0" w:hanging="735"/>
        <w:jc w:val="both"/>
        <w:rPr>
          <w:rFonts w:ascii="黑体" w:hAnsi="黑体" w:eastAsia="黑体" w:hint="eastAsia"/>
          <w:sz w:val="21"/>
        </w:rPr>
      </w:pPr>
      <w:r>
        <w:rPr>
          <w:rFonts w:ascii="黑体" w:hAnsi="黑体" w:eastAsia="黑体" w:hint="eastAsia"/>
          <w:spacing w:val="-12"/>
          <w:sz w:val="21"/>
        </w:rPr>
        <w:t>相当于 </w:t>
      </w:r>
      <w:r>
        <w:rPr>
          <w:rFonts w:ascii="黑体" w:hAnsi="黑体" w:eastAsia="黑体" w:hint="eastAsia"/>
          <w:sz w:val="21"/>
        </w:rPr>
        <w:t>Ann</w:t>
      </w:r>
      <w:r>
        <w:rPr>
          <w:rFonts w:ascii="黑体" w:hAnsi="黑体" w:eastAsia="黑体" w:hint="eastAsia"/>
          <w:spacing w:val="10"/>
          <w:sz w:val="21"/>
        </w:rPr>
        <w:t> </w:t>
      </w:r>
      <w:r>
        <w:rPr>
          <w:rFonts w:ascii="黑体" w:hAnsi="黑体" w:eastAsia="黑体" w:hint="eastAsia"/>
          <w:sz w:val="21"/>
        </w:rPr>
        <w:t>Arbor</w:t>
      </w:r>
      <w:r>
        <w:rPr>
          <w:rFonts w:ascii="黑体" w:hAnsi="黑体" w:eastAsia="黑体" w:hint="eastAsia"/>
          <w:spacing w:val="-8"/>
          <w:sz w:val="21"/>
        </w:rPr>
        <w:t> 分期方案Ⅰ期程度的何杰金氏病；</w:t>
      </w:r>
    </w:p>
    <w:p>
      <w:pPr>
        <w:pStyle w:val="ListParagraph"/>
        <w:numPr>
          <w:ilvl w:val="0"/>
          <w:numId w:val="6"/>
        </w:numPr>
        <w:tabs>
          <w:tab w:pos="3276" w:val="left" w:leader="none"/>
        </w:tabs>
        <w:spacing w:line="240" w:lineRule="auto" w:before="113" w:after="0"/>
        <w:ind w:left="3275" w:right="0" w:hanging="735"/>
        <w:jc w:val="both"/>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6"/>
        </w:numPr>
        <w:tabs>
          <w:tab w:pos="3276" w:val="left" w:leader="none"/>
        </w:tabs>
        <w:spacing w:line="240" w:lineRule="auto" w:before="113" w:after="0"/>
        <w:ind w:left="3275" w:right="0" w:hanging="735"/>
        <w:jc w:val="both"/>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0"/>
          <w:numId w:val="6"/>
        </w:numPr>
        <w:tabs>
          <w:tab w:pos="3276" w:val="left" w:leader="none"/>
        </w:tabs>
        <w:spacing w:line="240" w:lineRule="auto" w:before="119" w:after="0"/>
        <w:ind w:left="3275" w:right="0" w:hanging="735"/>
        <w:jc w:val="both"/>
        <w:rPr>
          <w:rFonts w:ascii="黑体" w:eastAsia="黑体" w:hint="eastAsia"/>
          <w:sz w:val="21"/>
        </w:rPr>
      </w:pPr>
      <w:r>
        <w:rPr>
          <w:rFonts w:ascii="黑体" w:eastAsia="黑体" w:hint="eastAsia"/>
          <w:spacing w:val="-4"/>
          <w:sz w:val="21"/>
        </w:rPr>
        <w:t>感染艾滋病病毒或患艾滋病期间所患恶性肿瘤。</w:t>
      </w:r>
    </w:p>
    <w:p>
      <w:pPr>
        <w:pStyle w:val="BodyText"/>
        <w:spacing w:before="2"/>
        <w:rPr>
          <w:rFonts w:ascii="黑体"/>
          <w:sz w:val="14"/>
        </w:rPr>
      </w:pPr>
    </w:p>
    <w:p>
      <w:pPr>
        <w:pStyle w:val="ListParagraph"/>
        <w:numPr>
          <w:ilvl w:val="1"/>
          <w:numId w:val="4"/>
        </w:numPr>
        <w:tabs>
          <w:tab w:pos="1023" w:val="left" w:leader="none"/>
          <w:tab w:pos="1024" w:val="left" w:leader="none"/>
          <w:tab w:pos="2540" w:val="left" w:leader="none"/>
        </w:tabs>
        <w:spacing w:line="244" w:lineRule="auto" w:before="1" w:after="0"/>
        <w:ind w:left="2540" w:right="210" w:hanging="2318"/>
        <w:jc w:val="left"/>
        <w:rPr>
          <w:rFonts w:ascii="黑体" w:eastAsia="黑体" w:hint="eastAsia"/>
          <w:sz w:val="21"/>
        </w:rPr>
      </w:pPr>
      <w:r>
        <w:rPr>
          <w:rFonts w:ascii="Microsoft JhengHei" w:eastAsia="Microsoft JhengHei" w:hint="eastAsia"/>
          <w:b/>
          <w:sz w:val="21"/>
        </w:rPr>
        <w:t>急性心肌梗塞</w:t>
        <w:tab/>
      </w:r>
      <w:r>
        <w:rPr>
          <w:sz w:val="21"/>
        </w:rPr>
        <w:t>指因冠状动脉阻塞导致的相应区域供血不足造成部</w:t>
      </w:r>
      <w:r>
        <w:rPr>
          <w:spacing w:val="-5"/>
          <w:sz w:val="21"/>
        </w:rPr>
        <w:t>分</w:t>
      </w:r>
      <w:r>
        <w:rPr>
          <w:sz w:val="21"/>
        </w:rPr>
        <w:t>心肌坏死。</w:t>
      </w:r>
      <w:r>
        <w:rPr>
          <w:rFonts w:ascii="黑体" w:eastAsia="黑体" w:hint="eastAsia"/>
          <w:sz w:val="21"/>
        </w:rPr>
        <w:t>须满足下列至少 三项条件：</w:t>
      </w:r>
    </w:p>
    <w:p>
      <w:pPr>
        <w:pStyle w:val="ListParagraph"/>
        <w:numPr>
          <w:ilvl w:val="0"/>
          <w:numId w:val="7"/>
        </w:numPr>
        <w:tabs>
          <w:tab w:pos="3276" w:val="left" w:leader="none"/>
        </w:tabs>
        <w:spacing w:line="240" w:lineRule="auto" w:before="114" w:after="0"/>
        <w:ind w:left="3215" w:right="0" w:hanging="675"/>
        <w:jc w:val="both"/>
        <w:rPr>
          <w:sz w:val="21"/>
        </w:rPr>
      </w:pPr>
      <w:r>
        <w:rPr>
          <w:spacing w:val="-4"/>
          <w:sz w:val="21"/>
        </w:rPr>
        <w:t>典型临床表现，例如急性胸痛等；</w:t>
      </w:r>
    </w:p>
    <w:p>
      <w:pPr>
        <w:pStyle w:val="ListParagraph"/>
        <w:numPr>
          <w:ilvl w:val="0"/>
          <w:numId w:val="7"/>
        </w:numPr>
        <w:tabs>
          <w:tab w:pos="3276" w:val="left" w:leader="none"/>
        </w:tabs>
        <w:spacing w:line="240" w:lineRule="auto" w:before="113" w:after="0"/>
        <w:ind w:left="3215" w:right="0" w:hanging="675"/>
        <w:jc w:val="both"/>
        <w:rPr>
          <w:sz w:val="21"/>
        </w:rPr>
      </w:pPr>
      <w:r>
        <w:rPr>
          <w:spacing w:val="-3"/>
          <w:sz w:val="21"/>
        </w:rPr>
        <w:t>新近的心电图改变提示急性心肌梗塞；</w:t>
      </w:r>
    </w:p>
    <w:p>
      <w:pPr>
        <w:spacing w:after="0" w:line="240" w:lineRule="auto"/>
        <w:jc w:val="both"/>
        <w:rPr>
          <w:sz w:val="21"/>
        </w:rPr>
        <w:sectPr>
          <w:type w:val="continuous"/>
          <w:pgSz w:w="11900" w:h="16840"/>
          <w:pgMar w:top="540" w:bottom="280" w:left="920" w:right="840"/>
        </w:sectPr>
      </w:pPr>
    </w:p>
    <w:p>
      <w:pPr>
        <w:pStyle w:val="ListParagraph"/>
        <w:numPr>
          <w:ilvl w:val="0"/>
          <w:numId w:val="7"/>
        </w:numPr>
        <w:tabs>
          <w:tab w:pos="3215" w:val="left" w:leader="none"/>
          <w:tab w:pos="3216" w:val="left" w:leader="none"/>
        </w:tabs>
        <w:spacing w:line="268" w:lineRule="auto" w:before="10" w:after="0"/>
        <w:ind w:left="3215" w:right="265" w:hanging="735"/>
        <w:jc w:val="left"/>
        <w:rPr>
          <w:sz w:val="21"/>
        </w:rPr>
      </w:pPr>
      <w:r>
        <w:rPr>
          <w:spacing w:val="-8"/>
          <w:sz w:val="21"/>
        </w:rPr>
        <w:t>心肌酶或肌钙蛋白有诊断意义的升高，或呈符合急性心肌梗塞的动态性变化；</w:t>
      </w:r>
    </w:p>
    <w:p>
      <w:pPr>
        <w:pStyle w:val="ListParagraph"/>
        <w:numPr>
          <w:ilvl w:val="0"/>
          <w:numId w:val="7"/>
        </w:numPr>
        <w:tabs>
          <w:tab w:pos="3215" w:val="left" w:leader="none"/>
          <w:tab w:pos="3216" w:val="left" w:leader="none"/>
        </w:tabs>
        <w:spacing w:line="240" w:lineRule="auto" w:before="93" w:after="0"/>
        <w:ind w:left="3215" w:right="0" w:hanging="735"/>
        <w:jc w:val="left"/>
        <w:rPr>
          <w:sz w:val="21"/>
        </w:rPr>
      </w:pPr>
      <w:r>
        <w:rPr>
          <w:spacing w:val="-14"/>
          <w:sz w:val="21"/>
        </w:rPr>
        <w:t>发病 </w:t>
      </w:r>
      <w:r>
        <w:rPr>
          <w:sz w:val="21"/>
        </w:rPr>
        <w:t>90</w:t>
      </w:r>
      <w:r>
        <w:rPr>
          <w:spacing w:val="-11"/>
          <w:sz w:val="21"/>
        </w:rPr>
        <w:t> 天后，经检查证实左心室功能降低，如左心室射血分数低于 </w:t>
      </w:r>
      <w:r>
        <w:rPr>
          <w:sz w:val="21"/>
        </w:rPr>
        <w:t>50%。</w:t>
      </w:r>
    </w:p>
    <w:p>
      <w:pPr>
        <w:pStyle w:val="BodyText"/>
        <w:spacing w:before="3"/>
        <w:rPr>
          <w:sz w:val="14"/>
        </w:rPr>
      </w:pPr>
    </w:p>
    <w:p>
      <w:pPr>
        <w:pStyle w:val="ListParagraph"/>
        <w:numPr>
          <w:ilvl w:val="1"/>
          <w:numId w:val="4"/>
        </w:numPr>
        <w:tabs>
          <w:tab w:pos="964" w:val="left" w:leader="none"/>
        </w:tabs>
        <w:spacing w:line="256" w:lineRule="auto" w:before="0" w:after="0"/>
        <w:ind w:left="2480" w:right="265" w:hanging="2318"/>
        <w:jc w:val="both"/>
        <w:rPr>
          <w:sz w:val="21"/>
        </w:rPr>
      </w:pPr>
      <w:r>
        <w:rPr>
          <w:rFonts w:ascii="Microsoft JhengHei" w:eastAsia="Microsoft JhengHei" w:hint="eastAsia"/>
          <w:b/>
          <w:spacing w:val="2"/>
          <w:sz w:val="21"/>
        </w:rPr>
        <w:t>脑中风后遗症  </w:t>
      </w:r>
      <w:r>
        <w:rPr>
          <w:spacing w:val="-1"/>
          <w:sz w:val="21"/>
        </w:rPr>
        <w:t>指因脑血管的突发病变引起脑血管出血、栓塞或梗塞，并导致神经系统永久性的</w:t>
      </w:r>
      <w:r>
        <w:rPr>
          <w:spacing w:val="-6"/>
          <w:sz w:val="21"/>
        </w:rPr>
        <w:t>功能障碍。神经系统永久性的功能障碍，指疾病确诊 </w:t>
      </w:r>
      <w:r>
        <w:rPr>
          <w:sz w:val="21"/>
        </w:rPr>
        <w:t>180</w:t>
      </w:r>
      <w:r>
        <w:rPr>
          <w:spacing w:val="-5"/>
          <w:sz w:val="21"/>
        </w:rPr>
        <w:t> 天后，仍遗留下列一种或一种以上障碍：</w:t>
      </w:r>
    </w:p>
    <w:p>
      <w:pPr>
        <w:pStyle w:val="ListParagraph"/>
        <w:numPr>
          <w:ilvl w:val="0"/>
          <w:numId w:val="8"/>
        </w:numPr>
        <w:tabs>
          <w:tab w:pos="3215" w:val="left" w:leader="none"/>
          <w:tab w:pos="3216" w:val="left" w:leader="none"/>
        </w:tabs>
        <w:spacing w:line="240" w:lineRule="auto" w:before="37" w:after="0"/>
        <w:ind w:left="3215" w:right="0" w:hanging="735"/>
        <w:jc w:val="left"/>
        <w:rPr>
          <w:sz w:val="21"/>
        </w:rPr>
      </w:pPr>
      <w:r>
        <w:rPr>
          <w:spacing w:val="-2"/>
          <w:w w:val="100"/>
          <w:sz w:val="21"/>
        </w:rPr>
        <w:t>一肢或一肢以上</w:t>
      </w:r>
      <w:r>
        <w:rPr>
          <w:rFonts w:ascii="Microsoft JhengHei" w:eastAsia="Microsoft JhengHei" w:hint="eastAsia"/>
          <w:b/>
          <w:w w:val="100"/>
          <w:sz w:val="21"/>
        </w:rPr>
        <w:t>肢体机能完全丧失</w:t>
      </w:r>
      <w:r>
        <w:rPr>
          <w:w w:val="100"/>
          <w:sz w:val="21"/>
        </w:rPr>
        <w:t>（见</w:t>
      </w:r>
      <w:r>
        <w:rPr>
          <w:spacing w:val="-53"/>
          <w:sz w:val="21"/>
        </w:rPr>
        <w:t> </w:t>
      </w:r>
      <w:r>
        <w:rPr>
          <w:w w:val="100"/>
          <w:sz w:val="21"/>
        </w:rPr>
        <w:t>10</w:t>
      </w:r>
      <w:r>
        <w:rPr>
          <w:spacing w:val="-5"/>
          <w:w w:val="100"/>
          <w:sz w:val="21"/>
        </w:rPr>
        <w:t>.</w:t>
      </w:r>
      <w:r>
        <w:rPr>
          <w:spacing w:val="-1"/>
          <w:w w:val="100"/>
          <w:sz w:val="21"/>
        </w:rPr>
        <w:t>2</w:t>
      </w:r>
      <w:r>
        <w:rPr>
          <w:w w:val="100"/>
          <w:sz w:val="21"/>
        </w:rPr>
        <w:t>1</w:t>
      </w:r>
      <w:r>
        <w:rPr>
          <w:spacing w:val="-106"/>
          <w:w w:val="100"/>
          <w:sz w:val="21"/>
        </w:rPr>
        <w:t>）</w:t>
      </w:r>
      <w:r>
        <w:rPr>
          <w:w w:val="100"/>
          <w:sz w:val="21"/>
        </w:rPr>
        <w:t>；</w:t>
      </w:r>
    </w:p>
    <w:p>
      <w:pPr>
        <w:pStyle w:val="ListParagraph"/>
        <w:numPr>
          <w:ilvl w:val="0"/>
          <w:numId w:val="8"/>
        </w:numPr>
        <w:tabs>
          <w:tab w:pos="3215" w:val="left" w:leader="none"/>
          <w:tab w:pos="3216" w:val="left" w:leader="none"/>
        </w:tabs>
        <w:spacing w:line="240" w:lineRule="auto" w:before="28" w:after="0"/>
        <w:ind w:left="3215" w:right="0" w:hanging="735"/>
        <w:jc w:val="left"/>
        <w:rPr>
          <w:sz w:val="21"/>
        </w:rPr>
      </w:pPr>
      <w:r>
        <w:rPr>
          <w:rFonts w:ascii="Microsoft JhengHei" w:eastAsia="Microsoft JhengHei" w:hint="eastAsia"/>
          <w:b/>
          <w:w w:val="100"/>
          <w:sz w:val="21"/>
        </w:rPr>
        <w:t>语言能力或咀嚼吞咽能力完全丧失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w w:val="100"/>
          <w:sz w:val="21"/>
        </w:rPr>
        <w:t>2</w:t>
      </w:r>
      <w:r>
        <w:rPr>
          <w:spacing w:val="-106"/>
          <w:w w:val="100"/>
          <w:sz w:val="21"/>
        </w:rPr>
        <w:t>）</w:t>
      </w:r>
      <w:r>
        <w:rPr>
          <w:w w:val="100"/>
          <w:sz w:val="21"/>
        </w:rPr>
        <w:t>；</w:t>
      </w:r>
    </w:p>
    <w:p>
      <w:pPr>
        <w:pStyle w:val="ListParagraph"/>
        <w:numPr>
          <w:ilvl w:val="0"/>
          <w:numId w:val="8"/>
        </w:numPr>
        <w:tabs>
          <w:tab w:pos="3215" w:val="left" w:leader="none"/>
          <w:tab w:pos="3216" w:val="left" w:leader="none"/>
        </w:tabs>
        <w:spacing w:line="244" w:lineRule="auto" w:before="23" w:after="0"/>
        <w:ind w:left="3215" w:right="159" w:hanging="735"/>
        <w:jc w:val="left"/>
        <w:rPr>
          <w:sz w:val="21"/>
        </w:rPr>
      </w:pPr>
      <w:r>
        <w:rPr>
          <w:spacing w:val="-8"/>
          <w:sz w:val="21"/>
        </w:rPr>
        <w:t>自主生活能力完全丧失，无法独立完成</w:t>
      </w:r>
      <w:r>
        <w:rPr>
          <w:rFonts w:ascii="Microsoft JhengHei" w:eastAsia="Microsoft JhengHei" w:hint="eastAsia"/>
          <w:b/>
          <w:spacing w:val="-7"/>
          <w:sz w:val="21"/>
        </w:rPr>
        <w:t>六项基本日常生活活动</w:t>
      </w:r>
      <w:r>
        <w:rPr>
          <w:spacing w:val="-5"/>
          <w:sz w:val="21"/>
        </w:rPr>
        <w:t>（</w:t>
      </w:r>
      <w:r>
        <w:rPr>
          <w:spacing w:val="-10"/>
          <w:sz w:val="21"/>
        </w:rPr>
        <w:t>见 </w:t>
      </w:r>
      <w:r>
        <w:rPr>
          <w:sz w:val="21"/>
        </w:rPr>
        <w:t>10.23） </w:t>
      </w:r>
      <w:r>
        <w:rPr>
          <w:spacing w:val="-2"/>
          <w:sz w:val="21"/>
        </w:rPr>
        <w:t>中的三项或三项以上。</w:t>
      </w:r>
    </w:p>
    <w:p>
      <w:pPr>
        <w:pStyle w:val="BodyText"/>
        <w:spacing w:before="8"/>
        <w:rPr>
          <w:sz w:val="16"/>
        </w:rPr>
      </w:pPr>
    </w:p>
    <w:p>
      <w:pPr>
        <w:spacing w:after="0"/>
        <w:rPr>
          <w:sz w:val="16"/>
        </w:rPr>
        <w:sectPr>
          <w:pgSz w:w="11900" w:h="16840"/>
          <w:pgMar w:top="1080" w:bottom="280" w:left="980" w:right="780"/>
        </w:sectPr>
      </w:pPr>
    </w:p>
    <w:p>
      <w:pPr>
        <w:pStyle w:val="Heading3"/>
        <w:numPr>
          <w:ilvl w:val="1"/>
          <w:numId w:val="4"/>
        </w:numPr>
        <w:tabs>
          <w:tab w:pos="964" w:val="left" w:leader="none"/>
        </w:tabs>
        <w:spacing w:line="204" w:lineRule="auto" w:before="24" w:after="0"/>
        <w:ind w:left="964" w:right="0" w:hanging="802"/>
        <w:jc w:val="both"/>
      </w:pPr>
      <w:r>
        <w:rPr>
          <w:spacing w:val="3"/>
        </w:rPr>
        <w:t>重大器官移植术或造血干细胞移植术</w:t>
      </w:r>
    </w:p>
    <w:p>
      <w:pPr>
        <w:pStyle w:val="BodyText"/>
        <w:spacing w:line="268" w:lineRule="auto" w:before="36"/>
        <w:ind w:left="162" w:right="270"/>
        <w:jc w:val="both"/>
      </w:pPr>
      <w:r>
        <w:rPr/>
        <w:br w:type="column"/>
      </w:r>
      <w:r>
        <w:rPr/>
        <w:t>重大器官移植术，指因相应器官功能衰竭，已经实施了肾脏、肝脏、心脏或肺脏的异体移植手术。</w:t>
      </w:r>
    </w:p>
    <w:p>
      <w:pPr>
        <w:pStyle w:val="BodyText"/>
        <w:spacing w:line="273" w:lineRule="auto" w:before="93"/>
        <w:ind w:left="162" w:right="27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540" w:bottom="280" w:left="980" w:right="780"/>
          <w:cols w:num="2" w:equalWidth="0">
            <w:col w:w="2274" w:space="44"/>
            <w:col w:w="7822"/>
          </w:cols>
        </w:sectPr>
      </w:pPr>
    </w:p>
    <w:p>
      <w:pPr>
        <w:pStyle w:val="BodyText"/>
        <w:spacing w:before="8"/>
        <w:rPr>
          <w:sz w:val="14"/>
        </w:rPr>
      </w:pPr>
    </w:p>
    <w:p>
      <w:pPr>
        <w:spacing w:after="0"/>
        <w:rPr>
          <w:sz w:val="14"/>
        </w:rPr>
        <w:sectPr>
          <w:type w:val="continuous"/>
          <w:pgSz w:w="11900" w:h="16840"/>
          <w:pgMar w:top="540" w:bottom="280" w:left="980" w:right="780"/>
        </w:sectPr>
      </w:pPr>
    </w:p>
    <w:p>
      <w:pPr>
        <w:pStyle w:val="Heading3"/>
        <w:numPr>
          <w:ilvl w:val="1"/>
          <w:numId w:val="4"/>
        </w:numPr>
        <w:tabs>
          <w:tab w:pos="963" w:val="left" w:leader="none"/>
          <w:tab w:pos="964" w:val="left" w:leader="none"/>
        </w:tabs>
        <w:spacing w:line="201" w:lineRule="auto" w:before="28" w:after="0"/>
        <w:ind w:left="964" w:right="0" w:hanging="802"/>
        <w:jc w:val="left"/>
      </w:pPr>
      <w:r>
        <w:rPr>
          <w:spacing w:val="3"/>
        </w:rPr>
        <w:t>冠状动脉搭桥</w:t>
      </w:r>
      <w:r>
        <w:rPr>
          <w:spacing w:val="7"/>
        </w:rPr>
        <w:t>术（</w:t>
      </w:r>
      <w:r>
        <w:rPr>
          <w:spacing w:val="2"/>
        </w:rPr>
        <w:t>或称冠状</w:t>
      </w:r>
    </w:p>
    <w:p>
      <w:pPr>
        <w:pStyle w:val="BodyText"/>
        <w:spacing w:before="37"/>
        <w:ind w:left="162"/>
      </w:pPr>
      <w:r>
        <w:rPr/>
        <w:br w:type="column"/>
      </w:r>
      <w:r>
        <w:rPr/>
        <w:t>指为治疗严重的冠心病，实际实施了开胸进行的冠状动脉血管旁路移植的手术。</w:t>
      </w:r>
    </w:p>
    <w:p>
      <w:pPr>
        <w:pStyle w:val="BodyText"/>
        <w:spacing w:before="114"/>
        <w:ind w:left="162"/>
        <w:rPr>
          <w:rFonts w:ascii="黑体" w:eastAsia="黑体" w:hint="eastAsia"/>
        </w:rPr>
      </w:pPr>
      <w:r>
        <w:rPr>
          <w:rFonts w:ascii="黑体" w:eastAsia="黑体" w:hint="eastAsia"/>
        </w:rPr>
        <w:t>冠状动脉支架植入术、心导管球囊扩张术、激光射频技术及其它非开胸的介入手</w:t>
      </w:r>
    </w:p>
    <w:p>
      <w:pPr>
        <w:spacing w:after="0"/>
        <w:rPr>
          <w:rFonts w:ascii="黑体" w:eastAsia="黑体" w:hint="eastAsia"/>
        </w:rPr>
        <w:sectPr>
          <w:type w:val="continuous"/>
          <w:pgSz w:w="11900" w:h="16840"/>
          <w:pgMar w:top="540" w:bottom="280" w:left="980" w:right="780"/>
          <w:cols w:num="2" w:equalWidth="0">
            <w:col w:w="2275" w:space="44"/>
            <w:col w:w="7821"/>
          </w:cols>
        </w:sectPr>
      </w:pPr>
    </w:p>
    <w:p>
      <w:pPr>
        <w:pStyle w:val="BodyText"/>
        <w:spacing w:before="4"/>
        <w:rPr>
          <w:rFonts w:ascii="黑体"/>
          <w:sz w:val="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1603"/>
        <w:gridCol w:w="7646"/>
      </w:tblGrid>
      <w:tr>
        <w:trPr>
          <w:trHeight w:val="223" w:hRule="atLeast"/>
        </w:trPr>
        <w:tc>
          <w:tcPr>
            <w:tcW w:w="662" w:type="dxa"/>
            <w:vMerge w:val="restart"/>
          </w:tcPr>
          <w:p>
            <w:pPr>
              <w:pStyle w:val="TableParagraph"/>
              <w:spacing w:line="240" w:lineRule="auto"/>
              <w:rPr>
                <w:rFonts w:ascii="Times New Roman"/>
                <w:sz w:val="20"/>
              </w:rPr>
            </w:pPr>
          </w:p>
        </w:tc>
        <w:tc>
          <w:tcPr>
            <w:tcW w:w="1603" w:type="dxa"/>
          </w:tcPr>
          <w:p>
            <w:pPr>
              <w:pStyle w:val="TableParagraph"/>
              <w:spacing w:line="158" w:lineRule="exact"/>
              <w:ind w:left="189"/>
              <w:rPr>
                <w:rFonts w:ascii="Microsoft JhengHei" w:eastAsia="Microsoft JhengHei" w:hint="eastAsia"/>
                <w:b/>
                <w:sz w:val="21"/>
              </w:rPr>
            </w:pPr>
            <w:r>
              <w:rPr>
                <w:rFonts w:ascii="Microsoft JhengHei" w:eastAsia="Microsoft JhengHei" w:hint="eastAsia"/>
                <w:b/>
                <w:sz w:val="21"/>
              </w:rPr>
              <w:t>动脉旁路移植</w:t>
            </w:r>
          </w:p>
        </w:tc>
        <w:tc>
          <w:tcPr>
            <w:tcW w:w="7646" w:type="dxa"/>
          </w:tcPr>
          <w:p>
            <w:pPr>
              <w:pStyle w:val="TableParagraph"/>
              <w:spacing w:line="203" w:lineRule="exact"/>
              <w:ind w:left="103"/>
              <w:rPr>
                <w:sz w:val="21"/>
              </w:rPr>
            </w:pPr>
            <w:r>
              <w:rPr>
                <w:rFonts w:ascii="黑体" w:eastAsia="黑体" w:hint="eastAsia"/>
                <w:sz w:val="21"/>
              </w:rPr>
              <w:t>术、腔镜手术不在保障范围内</w:t>
            </w:r>
            <w:r>
              <w:rPr>
                <w:sz w:val="21"/>
              </w:rPr>
              <w:t>。</w:t>
            </w:r>
          </w:p>
        </w:tc>
      </w:tr>
      <w:tr>
        <w:trPr>
          <w:trHeight w:val="384" w:hRule="atLeast"/>
        </w:trPr>
        <w:tc>
          <w:tcPr>
            <w:tcW w:w="662" w:type="dxa"/>
            <w:vMerge/>
            <w:tcBorders>
              <w:top w:val="nil"/>
            </w:tcBorders>
          </w:tcPr>
          <w:p>
            <w:pPr>
              <w:rPr>
                <w:sz w:val="2"/>
                <w:szCs w:val="2"/>
              </w:rPr>
            </w:pPr>
          </w:p>
        </w:tc>
        <w:tc>
          <w:tcPr>
            <w:tcW w:w="1603" w:type="dxa"/>
          </w:tcPr>
          <w:p>
            <w:pPr>
              <w:pStyle w:val="TableParagraph"/>
              <w:spacing w:line="247" w:lineRule="exact"/>
              <w:ind w:left="189"/>
              <w:rPr>
                <w:rFonts w:ascii="Microsoft JhengHei" w:eastAsia="Microsoft JhengHei" w:hint="eastAsia"/>
                <w:b/>
                <w:sz w:val="21"/>
              </w:rPr>
            </w:pPr>
            <w:r>
              <w:rPr>
                <w:rFonts w:ascii="Microsoft JhengHei" w:eastAsia="Microsoft JhengHei" w:hint="eastAsia"/>
                <w:b/>
                <w:sz w:val="21"/>
              </w:rPr>
              <w:t>术）</w:t>
            </w:r>
          </w:p>
        </w:tc>
        <w:tc>
          <w:tcPr>
            <w:tcW w:w="7646" w:type="dxa"/>
          </w:tcPr>
          <w:p>
            <w:pPr>
              <w:pStyle w:val="TableParagraph"/>
              <w:spacing w:line="240" w:lineRule="auto"/>
              <w:rPr>
                <w:rFonts w:ascii="Times New Roman"/>
                <w:sz w:val="20"/>
              </w:rPr>
            </w:pPr>
          </w:p>
        </w:tc>
      </w:tr>
      <w:tr>
        <w:trPr>
          <w:trHeight w:val="1463" w:hRule="atLeast"/>
        </w:trPr>
        <w:tc>
          <w:tcPr>
            <w:tcW w:w="662" w:type="dxa"/>
          </w:tcPr>
          <w:p>
            <w:pPr>
              <w:pStyle w:val="TableParagraph"/>
              <w:spacing w:line="240" w:lineRule="auto" w:before="30"/>
              <w:ind w:left="50"/>
              <w:rPr>
                <w:rFonts w:ascii="Microsoft JhengHei"/>
                <w:b/>
                <w:sz w:val="21"/>
              </w:rPr>
            </w:pPr>
            <w:r>
              <w:rPr>
                <w:rFonts w:ascii="Microsoft JhengHei"/>
                <w:b/>
                <w:w w:val="105"/>
                <w:sz w:val="21"/>
              </w:rPr>
              <w:t>9.6</w:t>
            </w:r>
          </w:p>
        </w:tc>
        <w:tc>
          <w:tcPr>
            <w:tcW w:w="1603" w:type="dxa"/>
          </w:tcPr>
          <w:p>
            <w:pPr>
              <w:pStyle w:val="TableParagraph"/>
              <w:spacing w:line="336" w:lineRule="exact" w:before="30"/>
              <w:ind w:left="189"/>
              <w:rPr>
                <w:rFonts w:ascii="Microsoft JhengHei" w:eastAsia="Microsoft JhengHei" w:hint="eastAsia"/>
                <w:b/>
                <w:sz w:val="21"/>
              </w:rPr>
            </w:pPr>
            <w:r>
              <w:rPr>
                <w:rFonts w:ascii="Microsoft JhengHei" w:eastAsia="Microsoft JhengHei" w:hint="eastAsia"/>
                <w:b/>
                <w:sz w:val="21"/>
              </w:rPr>
              <w:t>终 末 期 肾 病</w:t>
            </w:r>
          </w:p>
          <w:p>
            <w:pPr>
              <w:pStyle w:val="TableParagraph"/>
              <w:spacing w:line="204" w:lineRule="auto" w:before="25"/>
              <w:ind w:left="189" w:right="101"/>
              <w:jc w:val="both"/>
              <w:rPr>
                <w:rFonts w:ascii="Microsoft JhengHei" w:eastAsia="Microsoft JhengHei" w:hint="eastAsia"/>
                <w:b/>
                <w:sz w:val="21"/>
              </w:rPr>
            </w:pPr>
            <w:r>
              <w:rPr>
                <w:rFonts w:ascii="Microsoft JhengHei" w:eastAsia="Microsoft JhengHei" w:hint="eastAsia"/>
                <w:b/>
                <w:sz w:val="21"/>
              </w:rPr>
              <w:t>（或称慢性肾功能衰竭尿毒症期）</w:t>
            </w:r>
          </w:p>
        </w:tc>
        <w:tc>
          <w:tcPr>
            <w:tcW w:w="7646" w:type="dxa"/>
          </w:tcPr>
          <w:p>
            <w:pPr>
              <w:pStyle w:val="TableParagraph"/>
              <w:spacing w:line="268" w:lineRule="auto" w:before="97"/>
              <w:ind w:left="103" w:right="148"/>
              <w:rPr>
                <w:sz w:val="21"/>
              </w:rPr>
            </w:pPr>
            <w:r>
              <w:rPr>
                <w:spacing w:val="-9"/>
                <w:sz w:val="21"/>
              </w:rPr>
              <w:t>指双肾功能慢性不可逆性衰竭，达到尿毒症期，经诊断后已经进行了至少 </w:t>
            </w:r>
            <w:r>
              <w:rPr>
                <w:sz w:val="21"/>
              </w:rPr>
              <w:t>90</w:t>
            </w:r>
            <w:r>
              <w:rPr>
                <w:spacing w:val="-12"/>
                <w:sz w:val="21"/>
              </w:rPr>
              <w:t> 天的</w:t>
            </w:r>
            <w:r>
              <w:rPr>
                <w:spacing w:val="-8"/>
                <w:sz w:val="21"/>
              </w:rPr>
              <w:t>规律性透析治疗或实施了肾脏移植手术。</w:t>
            </w:r>
          </w:p>
        </w:tc>
      </w:tr>
      <w:tr>
        <w:trPr>
          <w:trHeight w:val="840" w:hRule="atLeast"/>
        </w:trPr>
        <w:tc>
          <w:tcPr>
            <w:tcW w:w="662" w:type="dxa"/>
          </w:tcPr>
          <w:p>
            <w:pPr>
              <w:pStyle w:val="TableParagraph"/>
              <w:spacing w:line="240" w:lineRule="auto" w:before="30"/>
              <w:ind w:left="50"/>
              <w:rPr>
                <w:rFonts w:ascii="Microsoft JhengHei"/>
                <w:b/>
                <w:sz w:val="21"/>
              </w:rPr>
            </w:pPr>
            <w:r>
              <w:rPr>
                <w:rFonts w:ascii="Microsoft JhengHei"/>
                <w:b/>
                <w:w w:val="105"/>
                <w:sz w:val="21"/>
              </w:rPr>
              <w:t>9.7</w:t>
            </w:r>
          </w:p>
        </w:tc>
        <w:tc>
          <w:tcPr>
            <w:tcW w:w="1603" w:type="dxa"/>
          </w:tcPr>
          <w:p>
            <w:pPr>
              <w:pStyle w:val="TableParagraph"/>
              <w:spacing w:line="240" w:lineRule="auto" w:before="30"/>
              <w:ind w:left="189"/>
              <w:rPr>
                <w:rFonts w:ascii="Microsoft JhengHei" w:eastAsia="Microsoft JhengHei" w:hint="eastAsia"/>
                <w:b/>
                <w:sz w:val="21"/>
              </w:rPr>
            </w:pPr>
            <w:r>
              <w:rPr>
                <w:rFonts w:ascii="Microsoft JhengHei" w:eastAsia="Microsoft JhengHei" w:hint="eastAsia"/>
                <w:b/>
                <w:sz w:val="21"/>
              </w:rPr>
              <w:t>多个肢体缺失</w:t>
            </w:r>
          </w:p>
        </w:tc>
        <w:tc>
          <w:tcPr>
            <w:tcW w:w="7646" w:type="dxa"/>
          </w:tcPr>
          <w:p>
            <w:pPr>
              <w:pStyle w:val="TableParagraph"/>
              <w:spacing w:line="268" w:lineRule="auto" w:before="97"/>
              <w:ind w:left="103" w:right="153"/>
              <w:rPr>
                <w:sz w:val="21"/>
              </w:rPr>
            </w:pPr>
            <w:r>
              <w:rPr>
                <w:sz w:val="21"/>
              </w:rPr>
              <w:t>指因疾病或意外伤害导致两个或两个以上肢体自腕关节或踝关节近端（靠近躯干端）以上完全性断离。</w:t>
            </w:r>
          </w:p>
        </w:tc>
      </w:tr>
      <w:tr>
        <w:trPr>
          <w:trHeight w:val="770" w:hRule="atLeast"/>
        </w:trPr>
        <w:tc>
          <w:tcPr>
            <w:tcW w:w="662" w:type="dxa"/>
          </w:tcPr>
          <w:p>
            <w:pPr>
              <w:pStyle w:val="TableParagraph"/>
              <w:spacing w:line="240" w:lineRule="auto" w:before="30"/>
              <w:ind w:left="50"/>
              <w:rPr>
                <w:rFonts w:ascii="Microsoft JhengHei"/>
                <w:b/>
                <w:sz w:val="21"/>
              </w:rPr>
            </w:pPr>
            <w:r>
              <w:rPr>
                <w:rFonts w:ascii="Microsoft JhengHei"/>
                <w:b/>
                <w:w w:val="105"/>
                <w:sz w:val="21"/>
              </w:rPr>
              <w:t>9.8</w:t>
            </w:r>
          </w:p>
        </w:tc>
        <w:tc>
          <w:tcPr>
            <w:tcW w:w="1603" w:type="dxa"/>
          </w:tcPr>
          <w:p>
            <w:pPr>
              <w:pStyle w:val="TableParagraph"/>
              <w:spacing w:line="201" w:lineRule="auto" w:before="88"/>
              <w:ind w:left="189" w:right="101"/>
              <w:rPr>
                <w:rFonts w:ascii="Microsoft JhengHei" w:eastAsia="Microsoft JhengHei" w:hint="eastAsia"/>
                <w:b/>
                <w:sz w:val="21"/>
              </w:rPr>
            </w:pPr>
            <w:r>
              <w:rPr>
                <w:rFonts w:ascii="Microsoft JhengHei" w:eastAsia="Microsoft JhengHei" w:hint="eastAsia"/>
                <w:b/>
                <w:sz w:val="21"/>
              </w:rPr>
              <w:t>急性或亚急性重症肝炎</w:t>
            </w:r>
          </w:p>
        </w:tc>
        <w:tc>
          <w:tcPr>
            <w:tcW w:w="7646" w:type="dxa"/>
          </w:tcPr>
          <w:p>
            <w:pPr>
              <w:pStyle w:val="TableParagraph"/>
              <w:spacing w:line="268" w:lineRule="auto" w:before="97"/>
              <w:ind w:left="103" w:right="153"/>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tc>
      </w:tr>
      <w:tr>
        <w:trPr>
          <w:trHeight w:val="393" w:hRule="atLeast"/>
        </w:trPr>
        <w:tc>
          <w:tcPr>
            <w:tcW w:w="662" w:type="dxa"/>
          </w:tcPr>
          <w:p>
            <w:pPr>
              <w:pStyle w:val="TableParagraph"/>
              <w:spacing w:line="240" w:lineRule="auto"/>
              <w:rPr>
                <w:rFonts w:ascii="Times New Roman"/>
                <w:sz w:val="20"/>
              </w:rPr>
            </w:pPr>
          </w:p>
        </w:tc>
        <w:tc>
          <w:tcPr>
            <w:tcW w:w="1603" w:type="dxa"/>
          </w:tcPr>
          <w:p>
            <w:pPr>
              <w:pStyle w:val="TableParagraph"/>
              <w:spacing w:line="240" w:lineRule="auto"/>
              <w:rPr>
                <w:rFonts w:ascii="Times New Roman"/>
                <w:sz w:val="20"/>
              </w:rPr>
            </w:pPr>
          </w:p>
        </w:tc>
        <w:tc>
          <w:tcPr>
            <w:tcW w:w="7646" w:type="dxa"/>
          </w:tcPr>
          <w:p>
            <w:pPr>
              <w:pStyle w:val="TableParagraph"/>
              <w:tabs>
                <w:tab w:pos="837" w:val="left" w:leader="none"/>
              </w:tabs>
              <w:spacing w:line="240" w:lineRule="auto" w:before="27"/>
              <w:ind w:left="103"/>
              <w:rPr>
                <w:sz w:val="21"/>
              </w:rPr>
            </w:pPr>
            <w:r>
              <w:rPr>
                <w:sz w:val="18"/>
              </w:rPr>
              <w:t>（1）</w:t>
              <w:tab/>
            </w:r>
            <w:r>
              <w:rPr>
                <w:spacing w:val="-2"/>
                <w:sz w:val="21"/>
              </w:rPr>
              <w:t>重度黄疸或黄疸迅速加重；</w:t>
            </w:r>
          </w:p>
        </w:tc>
      </w:tr>
      <w:tr>
        <w:trPr>
          <w:trHeight w:val="391" w:hRule="atLeast"/>
        </w:trPr>
        <w:tc>
          <w:tcPr>
            <w:tcW w:w="662" w:type="dxa"/>
          </w:tcPr>
          <w:p>
            <w:pPr>
              <w:pStyle w:val="TableParagraph"/>
              <w:spacing w:line="240" w:lineRule="auto"/>
              <w:rPr>
                <w:rFonts w:ascii="Times New Roman"/>
                <w:sz w:val="20"/>
              </w:rPr>
            </w:pPr>
          </w:p>
        </w:tc>
        <w:tc>
          <w:tcPr>
            <w:tcW w:w="1603" w:type="dxa"/>
          </w:tcPr>
          <w:p>
            <w:pPr>
              <w:pStyle w:val="TableParagraph"/>
              <w:spacing w:line="240" w:lineRule="auto"/>
              <w:rPr>
                <w:rFonts w:ascii="Times New Roman"/>
                <w:sz w:val="20"/>
              </w:rPr>
            </w:pPr>
          </w:p>
        </w:tc>
        <w:tc>
          <w:tcPr>
            <w:tcW w:w="7646" w:type="dxa"/>
          </w:tcPr>
          <w:p>
            <w:pPr>
              <w:pStyle w:val="TableParagraph"/>
              <w:tabs>
                <w:tab w:pos="837" w:val="left" w:leader="none"/>
              </w:tabs>
              <w:spacing w:line="240" w:lineRule="auto" w:before="27"/>
              <w:ind w:left="103"/>
              <w:rPr>
                <w:sz w:val="21"/>
              </w:rPr>
            </w:pPr>
            <w:r>
              <w:rPr>
                <w:sz w:val="18"/>
              </w:rPr>
              <w:t>（2）</w:t>
              <w:tab/>
            </w:r>
            <w:r>
              <w:rPr>
                <w:sz w:val="21"/>
              </w:rPr>
              <w:t>肝性脑病；</w:t>
            </w:r>
          </w:p>
        </w:tc>
      </w:tr>
      <w:tr>
        <w:trPr>
          <w:trHeight w:val="388" w:hRule="atLeast"/>
        </w:trPr>
        <w:tc>
          <w:tcPr>
            <w:tcW w:w="662" w:type="dxa"/>
          </w:tcPr>
          <w:p>
            <w:pPr>
              <w:pStyle w:val="TableParagraph"/>
              <w:spacing w:line="240" w:lineRule="auto"/>
              <w:rPr>
                <w:rFonts w:ascii="Times New Roman"/>
                <w:sz w:val="20"/>
              </w:rPr>
            </w:pPr>
          </w:p>
        </w:tc>
        <w:tc>
          <w:tcPr>
            <w:tcW w:w="1603" w:type="dxa"/>
          </w:tcPr>
          <w:p>
            <w:pPr>
              <w:pStyle w:val="TableParagraph"/>
              <w:spacing w:line="240" w:lineRule="auto"/>
              <w:rPr>
                <w:rFonts w:ascii="Times New Roman"/>
                <w:sz w:val="20"/>
              </w:rPr>
            </w:pPr>
          </w:p>
        </w:tc>
        <w:tc>
          <w:tcPr>
            <w:tcW w:w="7646" w:type="dxa"/>
          </w:tcPr>
          <w:p>
            <w:pPr>
              <w:pStyle w:val="TableParagraph"/>
              <w:tabs>
                <w:tab w:pos="837" w:val="left" w:leader="none"/>
              </w:tabs>
              <w:spacing w:line="240" w:lineRule="auto" w:before="25"/>
              <w:ind w:left="103"/>
              <w:rPr>
                <w:sz w:val="21"/>
              </w:rPr>
            </w:pPr>
            <w:r>
              <w:rPr>
                <w:sz w:val="18"/>
              </w:rPr>
              <w:t>（3）</w:t>
              <w:tab/>
            </w:r>
            <w:r>
              <w:rPr>
                <w:sz w:val="21"/>
              </w:rPr>
              <w:t>B</w:t>
            </w:r>
            <w:r>
              <w:rPr>
                <w:spacing w:val="-6"/>
                <w:sz w:val="21"/>
              </w:rPr>
              <w:t> 超或其它影像学检查显示肝脏体积急速萎缩；</w:t>
            </w:r>
          </w:p>
        </w:tc>
      </w:tr>
      <w:tr>
        <w:trPr>
          <w:trHeight w:val="458" w:hRule="atLeast"/>
        </w:trPr>
        <w:tc>
          <w:tcPr>
            <w:tcW w:w="662" w:type="dxa"/>
          </w:tcPr>
          <w:p>
            <w:pPr>
              <w:pStyle w:val="TableParagraph"/>
              <w:spacing w:line="240" w:lineRule="auto"/>
              <w:rPr>
                <w:rFonts w:ascii="Times New Roman"/>
                <w:sz w:val="20"/>
              </w:rPr>
            </w:pPr>
          </w:p>
        </w:tc>
        <w:tc>
          <w:tcPr>
            <w:tcW w:w="1603" w:type="dxa"/>
          </w:tcPr>
          <w:p>
            <w:pPr>
              <w:pStyle w:val="TableParagraph"/>
              <w:spacing w:line="240" w:lineRule="auto"/>
              <w:rPr>
                <w:rFonts w:ascii="Times New Roman"/>
                <w:sz w:val="20"/>
              </w:rPr>
            </w:pPr>
          </w:p>
        </w:tc>
        <w:tc>
          <w:tcPr>
            <w:tcW w:w="7646" w:type="dxa"/>
          </w:tcPr>
          <w:p>
            <w:pPr>
              <w:pStyle w:val="TableParagraph"/>
              <w:tabs>
                <w:tab w:pos="837" w:val="left" w:leader="none"/>
              </w:tabs>
              <w:spacing w:line="240" w:lineRule="auto" w:before="25"/>
              <w:ind w:left="103"/>
              <w:rPr>
                <w:sz w:val="21"/>
              </w:rPr>
            </w:pPr>
            <w:r>
              <w:rPr>
                <w:sz w:val="21"/>
              </w:rPr>
              <w:t>（4）</w:t>
              <w:tab/>
            </w:r>
            <w:r>
              <w:rPr>
                <w:spacing w:val="-2"/>
                <w:sz w:val="21"/>
              </w:rPr>
              <w:t>肝功能指标进行性恶化。</w:t>
            </w:r>
          </w:p>
        </w:tc>
      </w:tr>
      <w:tr>
        <w:trPr>
          <w:trHeight w:val="1084" w:hRule="atLeast"/>
        </w:trPr>
        <w:tc>
          <w:tcPr>
            <w:tcW w:w="662" w:type="dxa"/>
          </w:tcPr>
          <w:p>
            <w:pPr>
              <w:pStyle w:val="TableParagraph"/>
              <w:spacing w:line="240" w:lineRule="auto" w:before="28"/>
              <w:ind w:left="50"/>
              <w:rPr>
                <w:rFonts w:ascii="Microsoft JhengHei"/>
                <w:b/>
                <w:sz w:val="21"/>
              </w:rPr>
            </w:pPr>
            <w:r>
              <w:rPr>
                <w:rFonts w:ascii="Microsoft JhengHei"/>
                <w:b/>
                <w:w w:val="105"/>
                <w:sz w:val="21"/>
              </w:rPr>
              <w:t>9.9</w:t>
            </w:r>
          </w:p>
        </w:tc>
        <w:tc>
          <w:tcPr>
            <w:tcW w:w="1603" w:type="dxa"/>
          </w:tcPr>
          <w:p>
            <w:pPr>
              <w:pStyle w:val="TableParagraph"/>
              <w:spacing w:line="240" w:lineRule="auto" w:before="28"/>
              <w:ind w:left="189"/>
              <w:rPr>
                <w:rFonts w:ascii="Microsoft JhengHei" w:eastAsia="Microsoft JhengHei" w:hint="eastAsia"/>
                <w:b/>
                <w:sz w:val="21"/>
              </w:rPr>
            </w:pPr>
            <w:r>
              <w:rPr>
                <w:rFonts w:ascii="Microsoft JhengHei" w:eastAsia="Microsoft JhengHei" w:hint="eastAsia"/>
                <w:b/>
                <w:sz w:val="21"/>
              </w:rPr>
              <w:t>良性脑肿瘤</w:t>
            </w:r>
          </w:p>
        </w:tc>
        <w:tc>
          <w:tcPr>
            <w:tcW w:w="7646" w:type="dxa"/>
          </w:tcPr>
          <w:p>
            <w:pPr>
              <w:pStyle w:val="TableParagraph"/>
              <w:spacing w:line="273" w:lineRule="auto" w:before="94"/>
              <w:ind w:left="103" w:right="47"/>
              <w:jc w:val="both"/>
              <w:rPr>
                <w:sz w:val="21"/>
              </w:rPr>
            </w:pPr>
            <w:r>
              <w:rPr>
                <w:spacing w:val="-8"/>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（CT</w:t>
            </w:r>
            <w:r>
              <w:rPr>
                <w:spacing w:val="-111"/>
                <w:w w:val="100"/>
                <w:sz w:val="21"/>
              </w:rPr>
              <w:t>）</w:t>
            </w:r>
            <w:r>
              <w:rPr>
                <w:spacing w:val="-31"/>
                <w:w w:val="100"/>
                <w:sz w:val="21"/>
              </w:rPr>
              <w:t>、核磁共振检查</w:t>
            </w:r>
            <w:r>
              <w:rPr>
                <w:w w:val="100"/>
                <w:sz w:val="21"/>
              </w:rPr>
              <w:t>（M</w:t>
            </w:r>
            <w:r>
              <w:rPr>
                <w:spacing w:val="-5"/>
                <w:w w:val="100"/>
                <w:sz w:val="21"/>
              </w:rPr>
              <w:t>R</w:t>
            </w:r>
            <w:r>
              <w:rPr>
                <w:spacing w:val="-1"/>
                <w:w w:val="100"/>
                <w:sz w:val="21"/>
              </w:rPr>
              <w:t>I</w:t>
            </w:r>
            <w:r>
              <w:rPr>
                <w:w w:val="100"/>
                <w:sz w:val="21"/>
              </w:rPr>
              <w:t>）</w:t>
            </w:r>
            <w:r>
              <w:rPr>
                <w:spacing w:val="-3"/>
                <w:sz w:val="21"/>
              </w:rPr>
              <w:t>或正电子发射断层扫描</w:t>
            </w:r>
            <w:r>
              <w:rPr>
                <w:sz w:val="21"/>
              </w:rPr>
              <w:t>（PET）</w:t>
            </w:r>
            <w:r>
              <w:rPr>
                <w:spacing w:val="-5"/>
                <w:sz w:val="21"/>
              </w:rPr>
              <w:t>等影像学检查证实，并须满足下列至少一项条件：</w:t>
            </w:r>
          </w:p>
        </w:tc>
      </w:tr>
      <w:tr>
        <w:trPr>
          <w:trHeight w:val="391" w:hRule="atLeast"/>
        </w:trPr>
        <w:tc>
          <w:tcPr>
            <w:tcW w:w="662" w:type="dxa"/>
          </w:tcPr>
          <w:p>
            <w:pPr>
              <w:pStyle w:val="TableParagraph"/>
              <w:spacing w:line="240" w:lineRule="auto"/>
              <w:rPr>
                <w:rFonts w:ascii="Times New Roman"/>
                <w:sz w:val="20"/>
              </w:rPr>
            </w:pPr>
          </w:p>
        </w:tc>
        <w:tc>
          <w:tcPr>
            <w:tcW w:w="1603" w:type="dxa"/>
          </w:tcPr>
          <w:p>
            <w:pPr>
              <w:pStyle w:val="TableParagraph"/>
              <w:spacing w:line="240" w:lineRule="auto"/>
              <w:rPr>
                <w:rFonts w:ascii="Times New Roman"/>
                <w:sz w:val="20"/>
              </w:rPr>
            </w:pPr>
          </w:p>
        </w:tc>
        <w:tc>
          <w:tcPr>
            <w:tcW w:w="7646" w:type="dxa"/>
          </w:tcPr>
          <w:p>
            <w:pPr>
              <w:pStyle w:val="TableParagraph"/>
              <w:tabs>
                <w:tab w:pos="837" w:val="left" w:leader="none"/>
              </w:tabs>
              <w:spacing w:line="240" w:lineRule="auto" w:before="27"/>
              <w:ind w:left="103"/>
              <w:rPr>
                <w:sz w:val="21"/>
              </w:rPr>
            </w:pPr>
            <w:r>
              <w:rPr>
                <w:sz w:val="21"/>
              </w:rPr>
              <w:t>（1）</w:t>
              <w:tab/>
            </w:r>
            <w:r>
              <w:rPr>
                <w:spacing w:val="-5"/>
                <w:sz w:val="21"/>
              </w:rPr>
              <w:t>实际实施了开颅进行的脑肿瘤完全切除或部分切除的手术；</w:t>
            </w:r>
          </w:p>
        </w:tc>
      </w:tr>
      <w:tr>
        <w:trPr>
          <w:trHeight w:val="388" w:hRule="atLeast"/>
        </w:trPr>
        <w:tc>
          <w:tcPr>
            <w:tcW w:w="662" w:type="dxa"/>
          </w:tcPr>
          <w:p>
            <w:pPr>
              <w:pStyle w:val="TableParagraph"/>
              <w:spacing w:line="240" w:lineRule="auto"/>
              <w:rPr>
                <w:rFonts w:ascii="Times New Roman"/>
                <w:sz w:val="20"/>
              </w:rPr>
            </w:pPr>
          </w:p>
        </w:tc>
        <w:tc>
          <w:tcPr>
            <w:tcW w:w="1603" w:type="dxa"/>
          </w:tcPr>
          <w:p>
            <w:pPr>
              <w:pStyle w:val="TableParagraph"/>
              <w:spacing w:line="240" w:lineRule="auto"/>
              <w:rPr>
                <w:rFonts w:ascii="Times New Roman"/>
                <w:sz w:val="20"/>
              </w:rPr>
            </w:pPr>
          </w:p>
        </w:tc>
        <w:tc>
          <w:tcPr>
            <w:tcW w:w="7646" w:type="dxa"/>
          </w:tcPr>
          <w:p>
            <w:pPr>
              <w:pStyle w:val="TableParagraph"/>
              <w:tabs>
                <w:tab w:pos="837" w:val="left" w:leader="none"/>
              </w:tabs>
              <w:spacing w:line="240" w:lineRule="auto" w:before="25"/>
              <w:ind w:left="103"/>
              <w:rPr>
                <w:sz w:val="21"/>
              </w:rPr>
            </w:pPr>
            <w:r>
              <w:rPr>
                <w:sz w:val="21"/>
              </w:rPr>
              <w:t>（2）</w:t>
              <w:tab/>
            </w:r>
            <w:r>
              <w:rPr>
                <w:spacing w:val="-3"/>
                <w:sz w:val="21"/>
              </w:rPr>
              <w:t>实际实施了对脑肿瘤进行的放射治疗。</w:t>
            </w:r>
          </w:p>
        </w:tc>
      </w:tr>
      <w:tr>
        <w:trPr>
          <w:trHeight w:val="458" w:hRule="atLeast"/>
        </w:trPr>
        <w:tc>
          <w:tcPr>
            <w:tcW w:w="662" w:type="dxa"/>
          </w:tcPr>
          <w:p>
            <w:pPr>
              <w:pStyle w:val="TableParagraph"/>
              <w:spacing w:line="240" w:lineRule="auto"/>
              <w:rPr>
                <w:rFonts w:ascii="Times New Roman"/>
                <w:sz w:val="20"/>
              </w:rPr>
            </w:pPr>
          </w:p>
        </w:tc>
        <w:tc>
          <w:tcPr>
            <w:tcW w:w="1603" w:type="dxa"/>
          </w:tcPr>
          <w:p>
            <w:pPr>
              <w:pStyle w:val="TableParagraph"/>
              <w:spacing w:line="240" w:lineRule="auto"/>
              <w:rPr>
                <w:rFonts w:ascii="Times New Roman"/>
                <w:sz w:val="20"/>
              </w:rPr>
            </w:pPr>
          </w:p>
        </w:tc>
        <w:tc>
          <w:tcPr>
            <w:tcW w:w="7646" w:type="dxa"/>
          </w:tcPr>
          <w:p>
            <w:pPr>
              <w:pStyle w:val="TableParagraph"/>
              <w:spacing w:line="240" w:lineRule="auto" w:before="25"/>
              <w:ind w:left="103"/>
              <w:rPr>
                <w:sz w:val="21"/>
              </w:rPr>
            </w:pPr>
            <w:r>
              <w:rPr>
                <w:rFonts w:ascii="黑体" w:eastAsia="黑体" w:hint="eastAsia"/>
                <w:sz w:val="21"/>
              </w:rPr>
              <w:t>脑垂体瘤、脑囊肿、脑血管性疾病不在保障范围内</w:t>
            </w:r>
            <w:r>
              <w:rPr>
                <w:sz w:val="21"/>
              </w:rPr>
              <w:t>。</w:t>
            </w:r>
          </w:p>
        </w:tc>
      </w:tr>
      <w:tr>
        <w:trPr>
          <w:trHeight w:val="369" w:hRule="atLeast"/>
        </w:trPr>
        <w:tc>
          <w:tcPr>
            <w:tcW w:w="662" w:type="dxa"/>
          </w:tcPr>
          <w:p>
            <w:pPr>
              <w:pStyle w:val="TableParagraph"/>
              <w:spacing w:line="322" w:lineRule="exact" w:before="28"/>
              <w:ind w:left="50"/>
              <w:rPr>
                <w:rFonts w:ascii="Microsoft JhengHei"/>
                <w:b/>
                <w:sz w:val="21"/>
              </w:rPr>
            </w:pPr>
            <w:r>
              <w:rPr>
                <w:rFonts w:ascii="Microsoft JhengHei"/>
                <w:b/>
                <w:sz w:val="21"/>
              </w:rPr>
              <w:t>9.10</w:t>
            </w:r>
          </w:p>
        </w:tc>
        <w:tc>
          <w:tcPr>
            <w:tcW w:w="1603" w:type="dxa"/>
          </w:tcPr>
          <w:p>
            <w:pPr>
              <w:pStyle w:val="TableParagraph"/>
              <w:spacing w:line="322" w:lineRule="exact" w:before="28"/>
              <w:ind w:left="189"/>
              <w:rPr>
                <w:rFonts w:ascii="Microsoft JhengHei" w:eastAsia="Microsoft JhengHei" w:hint="eastAsia"/>
                <w:b/>
                <w:sz w:val="21"/>
              </w:rPr>
            </w:pPr>
            <w:r>
              <w:rPr>
                <w:rFonts w:ascii="Microsoft JhengHei" w:eastAsia="Microsoft JhengHei" w:hint="eastAsia"/>
                <w:b/>
                <w:sz w:val="21"/>
              </w:rPr>
              <w:t>慢性肝功能衰</w:t>
            </w:r>
          </w:p>
        </w:tc>
        <w:tc>
          <w:tcPr>
            <w:tcW w:w="7646" w:type="dxa"/>
          </w:tcPr>
          <w:p>
            <w:pPr>
              <w:pStyle w:val="TableParagraph"/>
              <w:spacing w:line="255" w:lineRule="exact" w:before="94"/>
              <w:ind w:left="103"/>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spacing w:after="0" w:line="255" w:lineRule="exact"/>
        <w:rPr>
          <w:rFonts w:ascii="黑体" w:eastAsia="黑体" w:hint="eastAsia"/>
          <w:sz w:val="21"/>
        </w:rPr>
        <w:sectPr>
          <w:type w:val="continuous"/>
          <w:pgSz w:w="11900" w:h="16840"/>
          <w:pgMar w:top="540" w:bottom="280" w:left="980" w:right="780"/>
        </w:sectPr>
      </w:pPr>
    </w:p>
    <w:p>
      <w:pPr>
        <w:tabs>
          <w:tab w:pos="2420" w:val="left" w:leader="none"/>
          <w:tab w:pos="3155" w:val="left" w:leader="none"/>
        </w:tabs>
        <w:spacing w:line="366" w:lineRule="exact" w:before="0"/>
        <w:ind w:left="904" w:right="0" w:firstLine="0"/>
        <w:jc w:val="left"/>
        <w:rPr>
          <w:sz w:val="21"/>
        </w:rPr>
      </w:pPr>
      <w:r>
        <w:rPr>
          <w:rFonts w:ascii="Microsoft JhengHei" w:eastAsia="Microsoft JhengHei" w:hint="eastAsia"/>
          <w:b/>
          <w:position w:val="8"/>
          <w:sz w:val="21"/>
        </w:rPr>
        <w:t>竭失代偿期</w:t>
        <w:tab/>
      </w:r>
      <w:r>
        <w:rPr>
          <w:sz w:val="21"/>
        </w:rPr>
        <w:t>（1）</w:t>
        <w:tab/>
        <w:t>持续性黄</w:t>
      </w:r>
      <w:r>
        <w:rPr>
          <w:spacing w:val="-5"/>
          <w:sz w:val="21"/>
        </w:rPr>
        <w:t>疸</w:t>
      </w:r>
      <w:r>
        <w:rPr>
          <w:sz w:val="21"/>
        </w:rPr>
        <w:t>；</w:t>
      </w:r>
    </w:p>
    <w:p>
      <w:pPr>
        <w:pStyle w:val="ListParagraph"/>
        <w:numPr>
          <w:ilvl w:val="0"/>
          <w:numId w:val="9"/>
        </w:numPr>
        <w:tabs>
          <w:tab w:pos="3155" w:val="left" w:leader="none"/>
          <w:tab w:pos="3156" w:val="left" w:leader="none"/>
        </w:tabs>
        <w:spacing w:line="240" w:lineRule="auto" w:before="114" w:after="0"/>
        <w:ind w:left="3155" w:right="0" w:hanging="735"/>
        <w:jc w:val="left"/>
        <w:rPr>
          <w:sz w:val="21"/>
        </w:rPr>
      </w:pPr>
      <w:r>
        <w:rPr>
          <w:sz w:val="21"/>
        </w:rPr>
        <w:t>腹水；</w:t>
      </w:r>
    </w:p>
    <w:p>
      <w:pPr>
        <w:pStyle w:val="ListParagraph"/>
        <w:numPr>
          <w:ilvl w:val="0"/>
          <w:numId w:val="9"/>
        </w:numPr>
        <w:tabs>
          <w:tab w:pos="3155" w:val="left" w:leader="none"/>
          <w:tab w:pos="3156" w:val="left" w:leader="none"/>
        </w:tabs>
        <w:spacing w:line="240" w:lineRule="auto" w:before="114" w:after="0"/>
        <w:ind w:left="3155" w:right="0" w:hanging="735"/>
        <w:jc w:val="left"/>
        <w:rPr>
          <w:sz w:val="21"/>
        </w:rPr>
      </w:pPr>
      <w:r>
        <w:rPr>
          <w:sz w:val="21"/>
        </w:rPr>
        <w:t>肝性脑病；</w:t>
      </w:r>
    </w:p>
    <w:p>
      <w:pPr>
        <w:pStyle w:val="ListParagraph"/>
        <w:numPr>
          <w:ilvl w:val="0"/>
          <w:numId w:val="9"/>
        </w:numPr>
        <w:tabs>
          <w:tab w:pos="3155" w:val="left" w:leader="none"/>
          <w:tab w:pos="3156" w:val="left" w:leader="none"/>
        </w:tabs>
        <w:spacing w:line="240" w:lineRule="auto" w:before="114" w:after="0"/>
        <w:ind w:left="3155" w:right="0" w:hanging="735"/>
        <w:jc w:val="left"/>
        <w:rPr>
          <w:sz w:val="21"/>
        </w:rPr>
      </w:pPr>
      <w:r>
        <w:rPr>
          <w:spacing w:val="-5"/>
          <w:sz w:val="21"/>
        </w:rPr>
        <w:t>充血性脾肿大伴脾功能亢进或食管胃底静脉曲张。</w:t>
      </w:r>
    </w:p>
    <w:p>
      <w:pPr>
        <w:pStyle w:val="BodyText"/>
        <w:spacing w:before="118"/>
        <w:ind w:left="2420"/>
      </w:pPr>
      <w:r>
        <w:rPr>
          <w:rFonts w:ascii="黑体" w:eastAsia="黑体" w:hint="eastAsia"/>
        </w:rPr>
        <w:t>因酗酒或药物滥用导致的肝功能衰竭不在保障范围内</w:t>
      </w:r>
      <w:r>
        <w:rPr/>
        <w:t>。</w:t>
      </w:r>
    </w:p>
    <w:p>
      <w:pPr>
        <w:pStyle w:val="BodyText"/>
        <w:spacing w:before="6"/>
        <w:rPr>
          <w:sz w:val="16"/>
        </w:rPr>
      </w:pPr>
    </w:p>
    <w:p>
      <w:pPr>
        <w:spacing w:after="0"/>
        <w:rPr>
          <w:sz w:val="16"/>
        </w:rPr>
        <w:sectPr>
          <w:pgSz w:w="11900" w:h="16840"/>
          <w:pgMar w:top="1000" w:bottom="280" w:left="1040" w:right="840"/>
        </w:sectPr>
      </w:pPr>
    </w:p>
    <w:p>
      <w:pPr>
        <w:pStyle w:val="Heading3"/>
        <w:numPr>
          <w:ilvl w:val="1"/>
          <w:numId w:val="10"/>
        </w:numPr>
        <w:tabs>
          <w:tab w:pos="903" w:val="left" w:leader="none"/>
          <w:tab w:pos="904" w:val="left" w:leader="none"/>
        </w:tabs>
        <w:spacing w:line="307" w:lineRule="exact" w:before="0" w:after="0"/>
        <w:ind w:left="2420" w:right="0" w:hanging="2318"/>
        <w:jc w:val="left"/>
      </w:pPr>
      <w:r>
        <w:rPr>
          <w:spacing w:val="3"/>
        </w:rPr>
        <w:t>脑炎后遗症或</w:t>
      </w:r>
    </w:p>
    <w:p>
      <w:pPr>
        <w:spacing w:line="336" w:lineRule="exact" w:before="0"/>
        <w:ind w:left="904"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68" w:lineRule="auto" w:before="37"/>
        <w:ind w:left="102" w:right="21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1"/>
        </w:numPr>
        <w:tabs>
          <w:tab w:pos="836" w:val="left" w:leader="none"/>
          <w:tab w:pos="837" w:val="left" w:leader="none"/>
        </w:tabs>
        <w:spacing w:line="240" w:lineRule="auto" w:before="93" w:after="0"/>
        <w:ind w:left="836" w:right="0" w:hanging="734"/>
        <w:jc w:val="left"/>
        <w:rPr>
          <w:sz w:val="21"/>
        </w:rPr>
      </w:pPr>
      <w:r>
        <w:rPr>
          <w:spacing w:val="-3"/>
          <w:sz w:val="21"/>
        </w:rPr>
        <w:t>一肢或一肢以上肢体机能完全丧失；</w:t>
      </w:r>
    </w:p>
    <w:p>
      <w:pPr>
        <w:pStyle w:val="ListParagraph"/>
        <w:numPr>
          <w:ilvl w:val="0"/>
          <w:numId w:val="11"/>
        </w:numPr>
        <w:tabs>
          <w:tab w:pos="836" w:val="left" w:leader="none"/>
          <w:tab w:pos="837" w:val="left" w:leader="none"/>
        </w:tabs>
        <w:spacing w:line="240" w:lineRule="auto" w:before="113" w:after="0"/>
        <w:ind w:left="836" w:right="0" w:hanging="734"/>
        <w:jc w:val="left"/>
        <w:rPr>
          <w:sz w:val="21"/>
        </w:rPr>
      </w:pPr>
      <w:r>
        <w:rPr>
          <w:spacing w:val="-3"/>
          <w:sz w:val="21"/>
        </w:rPr>
        <w:t>语言能力或咀嚼吞咽能力完全丧失；</w:t>
      </w:r>
    </w:p>
    <w:p>
      <w:pPr>
        <w:pStyle w:val="ListParagraph"/>
        <w:numPr>
          <w:ilvl w:val="0"/>
          <w:numId w:val="11"/>
        </w:numPr>
        <w:tabs>
          <w:tab w:pos="836" w:val="left" w:leader="none"/>
          <w:tab w:pos="837" w:val="left" w:leader="none"/>
        </w:tabs>
        <w:spacing w:line="268" w:lineRule="auto" w:before="118" w:after="0"/>
        <w:ind w:left="836" w:right="205" w:hanging="734"/>
        <w:jc w:val="left"/>
        <w:rPr>
          <w:sz w:val="21"/>
        </w:rPr>
      </w:pPr>
      <w:r>
        <w:rPr>
          <w:spacing w:val="-9"/>
          <w:sz w:val="21"/>
        </w:rPr>
        <w:t>自主生活能力完全丧失，无法独立完成六项基本日常生活活动中的三项或三项以上。</w:t>
      </w:r>
    </w:p>
    <w:p>
      <w:pPr>
        <w:spacing w:after="0" w:line="268" w:lineRule="auto"/>
        <w:jc w:val="left"/>
        <w:rPr>
          <w:sz w:val="21"/>
        </w:rPr>
        <w:sectPr>
          <w:type w:val="continuous"/>
          <w:pgSz w:w="11900" w:h="16840"/>
          <w:pgMar w:top="540" w:bottom="280" w:left="1040" w:right="840"/>
          <w:cols w:num="2" w:equalWidth="0">
            <w:col w:w="2214" w:space="104"/>
            <w:col w:w="7702"/>
          </w:cols>
        </w:sectPr>
      </w:pPr>
    </w:p>
    <w:p>
      <w:pPr>
        <w:pStyle w:val="BodyText"/>
        <w:spacing w:before="12"/>
        <w:rPr>
          <w:sz w:val="14"/>
        </w:rPr>
      </w:pPr>
    </w:p>
    <w:p>
      <w:pPr>
        <w:pStyle w:val="ListParagraph"/>
        <w:numPr>
          <w:ilvl w:val="1"/>
          <w:numId w:val="10"/>
        </w:numPr>
        <w:tabs>
          <w:tab w:pos="903" w:val="left" w:leader="none"/>
          <w:tab w:pos="904" w:val="left" w:leader="none"/>
          <w:tab w:pos="2420" w:val="left" w:leader="none"/>
        </w:tabs>
        <w:spacing w:line="308" w:lineRule="exact" w:before="36" w:after="0"/>
        <w:ind w:left="2420" w:right="209" w:hanging="2318"/>
        <w:jc w:val="left"/>
        <w:rPr>
          <w:sz w:val="21"/>
        </w:rPr>
      </w:pPr>
      <w:r>
        <w:rPr>
          <w:rFonts w:ascii="Microsoft JhengHei" w:eastAsia="Microsoft JhengHei" w:hint="eastAsia"/>
          <w:b/>
          <w:sz w:val="21"/>
        </w:rPr>
        <w:t>深度昏迷</w:t>
        <w:tab/>
      </w:r>
      <w:r>
        <w:rPr>
          <w:sz w:val="21"/>
        </w:rPr>
        <w:t>指因疾病或意外伤害导致意识丧失，对外界刺激和</w:t>
      </w:r>
      <w:r>
        <w:rPr>
          <w:spacing w:val="-5"/>
          <w:sz w:val="21"/>
        </w:rPr>
        <w:t>体</w:t>
      </w:r>
      <w:r>
        <w:rPr>
          <w:sz w:val="21"/>
        </w:rPr>
        <w:t>内需求均无反应，昏迷程度 按照格拉</w:t>
      </w:r>
      <w:r>
        <w:rPr>
          <w:spacing w:val="-5"/>
          <w:sz w:val="21"/>
        </w:rPr>
        <w:t>斯</w:t>
      </w:r>
      <w:r>
        <w:rPr>
          <w:sz w:val="21"/>
        </w:rPr>
        <w:t>哥昏迷</w:t>
      </w:r>
      <w:r>
        <w:rPr>
          <w:spacing w:val="-5"/>
          <w:sz w:val="21"/>
        </w:rPr>
        <w:t>分</w:t>
      </w:r>
      <w:r>
        <w:rPr>
          <w:sz w:val="21"/>
        </w:rPr>
        <w:t>级（Glasgow</w:t>
      </w:r>
      <w:r>
        <w:rPr>
          <w:spacing w:val="5"/>
          <w:sz w:val="21"/>
        </w:rPr>
        <w:t> </w:t>
      </w:r>
      <w:r>
        <w:rPr>
          <w:sz w:val="21"/>
        </w:rPr>
        <w:t>coma scale）结</w:t>
      </w:r>
      <w:r>
        <w:rPr>
          <w:spacing w:val="-5"/>
          <w:sz w:val="21"/>
        </w:rPr>
        <w:t>果</w:t>
      </w:r>
      <w:r>
        <w:rPr>
          <w:sz w:val="21"/>
        </w:rPr>
        <w:t>为</w:t>
      </w:r>
      <w:r>
        <w:rPr>
          <w:spacing w:val="-40"/>
          <w:sz w:val="21"/>
        </w:rPr>
        <w:t> </w:t>
      </w:r>
      <w:r>
        <w:rPr>
          <w:sz w:val="21"/>
        </w:rPr>
        <w:t>5</w:t>
      </w:r>
      <w:r>
        <w:rPr>
          <w:spacing w:val="-40"/>
          <w:sz w:val="21"/>
        </w:rPr>
        <w:t> </w:t>
      </w:r>
      <w:r>
        <w:rPr>
          <w:spacing w:val="-5"/>
          <w:sz w:val="21"/>
        </w:rPr>
        <w:t>分</w:t>
      </w:r>
      <w:r>
        <w:rPr>
          <w:sz w:val="21"/>
        </w:rPr>
        <w:t>或</w:t>
      </w:r>
      <w:r>
        <w:rPr>
          <w:spacing w:val="-40"/>
          <w:sz w:val="21"/>
        </w:rPr>
        <w:t> </w:t>
      </w:r>
      <w:r>
        <w:rPr>
          <w:sz w:val="21"/>
        </w:rPr>
        <w:t>5</w:t>
      </w:r>
      <w:r>
        <w:rPr>
          <w:spacing w:val="-40"/>
          <w:sz w:val="21"/>
        </w:rPr>
        <w:t> </w:t>
      </w:r>
      <w:r>
        <w:rPr>
          <w:spacing w:val="-5"/>
          <w:sz w:val="21"/>
        </w:rPr>
        <w:t>分</w:t>
      </w:r>
      <w:r>
        <w:rPr>
          <w:sz w:val="21"/>
        </w:rPr>
        <w:t>以下，</w:t>
      </w:r>
      <w:r>
        <w:rPr>
          <w:spacing w:val="-5"/>
          <w:sz w:val="21"/>
        </w:rPr>
        <w:t>且</w:t>
      </w:r>
      <w:r>
        <w:rPr>
          <w:sz w:val="21"/>
        </w:rPr>
        <w:t>已经</w:t>
      </w:r>
    </w:p>
    <w:p>
      <w:pPr>
        <w:pStyle w:val="BodyText"/>
        <w:spacing w:before="5"/>
        <w:ind w:left="2420"/>
      </w:pPr>
      <w:r>
        <w:rPr/>
        <w:t>持续使用呼吸机及其它生命维持系统 96 小时以上。</w:t>
      </w:r>
    </w:p>
    <w:p>
      <w:pPr>
        <w:pStyle w:val="BodyText"/>
        <w:spacing w:before="118"/>
        <w:ind w:left="2420"/>
        <w:rPr>
          <w:rFonts w:ascii="黑体" w:eastAsia="黑体" w:hint="eastAsia"/>
        </w:rPr>
      </w:pPr>
      <w:r>
        <w:rPr>
          <w:rFonts w:ascii="黑体" w:eastAsia="黑体" w:hint="eastAsia"/>
        </w:rPr>
        <w:t>因酗酒或药物滥用导致的深度昏迷不在保障范围内。</w:t>
      </w:r>
    </w:p>
    <w:p>
      <w:pPr>
        <w:pStyle w:val="BodyText"/>
        <w:spacing w:before="2"/>
        <w:rPr>
          <w:rFonts w:ascii="黑体"/>
          <w:sz w:val="14"/>
        </w:rPr>
      </w:pPr>
    </w:p>
    <w:p>
      <w:pPr>
        <w:pStyle w:val="ListParagraph"/>
        <w:numPr>
          <w:ilvl w:val="1"/>
          <w:numId w:val="10"/>
        </w:numPr>
        <w:tabs>
          <w:tab w:pos="903" w:val="left" w:leader="none"/>
          <w:tab w:pos="904" w:val="left" w:leader="none"/>
          <w:tab w:pos="2420" w:val="left" w:leader="none"/>
        </w:tabs>
        <w:spacing w:line="240" w:lineRule="auto" w:before="0" w:after="0"/>
        <w:ind w:left="2420" w:right="0" w:hanging="2318"/>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z w:val="21"/>
        </w:rPr>
        <w:t>（见</w:t>
      </w:r>
      <w:r>
        <w:rPr>
          <w:spacing w:val="-39"/>
          <w:sz w:val="21"/>
        </w:rPr>
        <w:t> </w:t>
      </w:r>
      <w:r>
        <w:rPr>
          <w:spacing w:val="-4"/>
          <w:sz w:val="21"/>
        </w:rPr>
        <w:t>10.24）</w:t>
      </w:r>
      <w:r>
        <w:rPr>
          <w:sz w:val="21"/>
        </w:rPr>
        <w:t>性丧</w:t>
      </w:r>
      <w:r>
        <w:rPr>
          <w:spacing w:val="-5"/>
          <w:sz w:val="21"/>
        </w:rPr>
        <w:t>失，</w:t>
      </w:r>
      <w:r>
        <w:rPr>
          <w:sz w:val="21"/>
        </w:rPr>
        <w:t>在</w:t>
      </w:r>
      <w:r>
        <w:rPr>
          <w:spacing w:val="-39"/>
          <w:sz w:val="21"/>
        </w:rPr>
        <w:t> </w:t>
      </w:r>
      <w:r>
        <w:rPr>
          <w:sz w:val="21"/>
        </w:rPr>
        <w:t>500</w:t>
      </w:r>
      <w:r>
        <w:rPr>
          <w:spacing w:val="-44"/>
          <w:sz w:val="21"/>
        </w:rPr>
        <w:t> </w:t>
      </w:r>
      <w:r>
        <w:rPr>
          <w:sz w:val="21"/>
        </w:rPr>
        <w:t>赫兹、</w:t>
      </w:r>
    </w:p>
    <w:p>
      <w:pPr>
        <w:pStyle w:val="BodyText"/>
        <w:spacing w:line="273" w:lineRule="auto" w:before="13"/>
        <w:ind w:left="2420" w:right="190"/>
      </w:pPr>
      <w:r>
        <w:rPr/>
        <w:t>1000</w:t>
      </w:r>
      <w:r>
        <w:rPr>
          <w:spacing w:val="-20"/>
        </w:rPr>
        <w:t> 赫兹和 </w:t>
      </w:r>
      <w:r>
        <w:rPr/>
        <w:t>2000</w:t>
      </w:r>
      <w:r>
        <w:rPr>
          <w:spacing w:val="-11"/>
        </w:rPr>
        <w:t> 赫兹语音频率下，平均听阈大于 </w:t>
      </w:r>
      <w:r>
        <w:rPr/>
        <w:t>90</w:t>
      </w:r>
      <w:r>
        <w:rPr>
          <w:spacing w:val="-8"/>
        </w:rPr>
        <w:t> 分贝，且经纯音听力测试、</w:t>
      </w:r>
      <w:r>
        <w:rPr>
          <w:spacing w:val="-6"/>
        </w:rPr>
        <w:t>声导抗检测或听觉诱发电位检测等证实。</w:t>
      </w:r>
    </w:p>
    <w:p>
      <w:pPr>
        <w:pStyle w:val="BodyText"/>
        <w:spacing w:before="89"/>
        <w:ind w:left="2420"/>
        <w:rPr>
          <w:rFonts w:ascii="黑体" w:eastAsia="黑体" w:hint="eastAsia"/>
        </w:rPr>
      </w:pPr>
      <w:r>
        <w:rPr>
          <w:rFonts w:ascii="黑体" w:eastAsia="黑体" w:hint="eastAsia"/>
        </w:rPr>
        <w:t>被保险人在 3 周岁之前因疾病导致的双耳失聪不在保障范围内。</w:t>
      </w:r>
    </w:p>
    <w:p>
      <w:pPr>
        <w:pStyle w:val="BodyText"/>
        <w:spacing w:before="2"/>
        <w:rPr>
          <w:rFonts w:ascii="黑体"/>
          <w:sz w:val="14"/>
        </w:rPr>
      </w:pPr>
    </w:p>
    <w:p>
      <w:pPr>
        <w:pStyle w:val="ListParagraph"/>
        <w:numPr>
          <w:ilvl w:val="1"/>
          <w:numId w:val="10"/>
        </w:numPr>
        <w:tabs>
          <w:tab w:pos="903" w:val="left" w:leader="none"/>
          <w:tab w:pos="904" w:val="left" w:leader="none"/>
          <w:tab w:pos="2420" w:val="left" w:leader="none"/>
        </w:tabs>
        <w:spacing w:line="244" w:lineRule="auto" w:before="0" w:after="0"/>
        <w:ind w:left="2420" w:right="210" w:hanging="2318"/>
        <w:jc w:val="left"/>
        <w:rPr>
          <w:sz w:val="21"/>
        </w:rPr>
      </w:pPr>
      <w:r>
        <w:rPr>
          <w:rFonts w:ascii="Microsoft JhengHei" w:eastAsia="Microsoft JhengHei" w:hint="eastAsia"/>
          <w:b/>
          <w:sz w:val="21"/>
        </w:rPr>
        <w:t>双目失明</w:t>
        <w:tab/>
      </w:r>
      <w:r>
        <w:rPr>
          <w:sz w:val="21"/>
        </w:rPr>
        <w:t>指因疾病或意外伤害导致双眼视力永久不可逆性丧</w:t>
      </w:r>
      <w:r>
        <w:rPr>
          <w:spacing w:val="-5"/>
          <w:sz w:val="21"/>
        </w:rPr>
        <w:t>失</w:t>
      </w:r>
      <w:r>
        <w:rPr>
          <w:sz w:val="21"/>
        </w:rPr>
        <w:t>，双眼中较好眼须满足下列 至少一项</w:t>
      </w:r>
      <w:r>
        <w:rPr>
          <w:spacing w:val="-5"/>
          <w:sz w:val="21"/>
        </w:rPr>
        <w:t>条</w:t>
      </w:r>
      <w:r>
        <w:rPr>
          <w:sz w:val="21"/>
        </w:rPr>
        <w:t>件：</w:t>
      </w:r>
    </w:p>
    <w:p>
      <w:pPr>
        <w:pStyle w:val="ListParagraph"/>
        <w:numPr>
          <w:ilvl w:val="2"/>
          <w:numId w:val="10"/>
        </w:numPr>
        <w:tabs>
          <w:tab w:pos="3155" w:val="left" w:leader="none"/>
          <w:tab w:pos="3156" w:val="left" w:leader="none"/>
        </w:tabs>
        <w:spacing w:line="240" w:lineRule="auto" w:before="114" w:after="0"/>
        <w:ind w:left="3155" w:right="0" w:hanging="735"/>
        <w:jc w:val="left"/>
        <w:rPr>
          <w:sz w:val="21"/>
        </w:rPr>
      </w:pPr>
      <w:r>
        <w:rPr>
          <w:spacing w:val="-1"/>
          <w:sz w:val="21"/>
        </w:rPr>
        <w:t>眼球缺失或摘除；</w:t>
      </w:r>
    </w:p>
    <w:p>
      <w:pPr>
        <w:pStyle w:val="ListParagraph"/>
        <w:numPr>
          <w:ilvl w:val="2"/>
          <w:numId w:val="10"/>
        </w:numPr>
        <w:tabs>
          <w:tab w:pos="3155" w:val="left" w:leader="none"/>
          <w:tab w:pos="3156" w:val="left" w:leader="none"/>
        </w:tabs>
        <w:spacing w:line="273" w:lineRule="auto" w:before="114" w:after="0"/>
        <w:ind w:left="3155" w:right="210" w:hanging="735"/>
        <w:jc w:val="left"/>
        <w:rPr>
          <w:sz w:val="21"/>
        </w:rPr>
      </w:pPr>
      <w:r>
        <w:rPr>
          <w:spacing w:val="3"/>
          <w:sz w:val="21"/>
        </w:rPr>
        <w:t>矫正视力低于 </w:t>
      </w:r>
      <w:r>
        <w:rPr>
          <w:sz w:val="21"/>
        </w:rPr>
        <w:t>0.02（采用国际标准视力表，如果使用其它视力表应进行</w:t>
      </w:r>
      <w:r>
        <w:rPr>
          <w:w w:val="100"/>
          <w:sz w:val="21"/>
        </w:rPr>
        <w:t>换算</w:t>
      </w:r>
      <w:r>
        <w:rPr>
          <w:spacing w:val="-106"/>
          <w:w w:val="100"/>
          <w:sz w:val="21"/>
        </w:rPr>
        <w:t>）</w:t>
      </w:r>
      <w:r>
        <w:rPr>
          <w:w w:val="100"/>
          <w:sz w:val="21"/>
        </w:rPr>
        <w:t>；</w:t>
      </w:r>
    </w:p>
    <w:p>
      <w:pPr>
        <w:pStyle w:val="ListParagraph"/>
        <w:numPr>
          <w:ilvl w:val="2"/>
          <w:numId w:val="10"/>
        </w:numPr>
        <w:tabs>
          <w:tab w:pos="3155" w:val="left" w:leader="none"/>
          <w:tab w:pos="3156" w:val="left" w:leader="none"/>
        </w:tabs>
        <w:spacing w:line="240" w:lineRule="auto" w:before="89" w:after="0"/>
        <w:ind w:left="3155" w:right="0" w:hanging="735"/>
        <w:jc w:val="left"/>
        <w:rPr>
          <w:sz w:val="21"/>
        </w:rPr>
      </w:pPr>
      <w:r>
        <w:rPr>
          <w:spacing w:val="-8"/>
          <w:sz w:val="21"/>
        </w:rPr>
        <w:t>视野半径小于 </w:t>
      </w:r>
      <w:r>
        <w:rPr>
          <w:sz w:val="21"/>
        </w:rPr>
        <w:t>5</w:t>
      </w:r>
      <w:r>
        <w:rPr>
          <w:spacing w:val="-17"/>
          <w:sz w:val="21"/>
        </w:rPr>
        <w:t> 度。</w:t>
      </w:r>
    </w:p>
    <w:p>
      <w:pPr>
        <w:pStyle w:val="BodyText"/>
        <w:ind w:left="2420"/>
        <w:rPr>
          <w:rFonts w:ascii="黑体" w:eastAsia="黑体" w:hint="eastAsia"/>
        </w:rPr>
      </w:pPr>
      <w:r>
        <w:rPr>
          <w:rFonts w:ascii="黑体" w:eastAsia="黑体" w:hint="eastAsia"/>
        </w:rPr>
        <w:t>被保险人在 3 周岁之前因疾病导致的双目失明不在保障范围内。</w:t>
      </w:r>
    </w:p>
    <w:p>
      <w:pPr>
        <w:pStyle w:val="BodyText"/>
        <w:spacing w:before="2"/>
        <w:rPr>
          <w:rFonts w:ascii="黑体"/>
          <w:sz w:val="14"/>
        </w:rPr>
      </w:pPr>
    </w:p>
    <w:p>
      <w:pPr>
        <w:pStyle w:val="ListParagraph"/>
        <w:numPr>
          <w:ilvl w:val="1"/>
          <w:numId w:val="10"/>
        </w:numPr>
        <w:tabs>
          <w:tab w:pos="904" w:val="left" w:leader="none"/>
          <w:tab w:pos="2420" w:val="left" w:leader="none"/>
        </w:tabs>
        <w:spacing w:line="256" w:lineRule="auto" w:before="0" w:after="0"/>
        <w:ind w:left="2420" w:right="210" w:hanging="2318"/>
        <w:jc w:val="both"/>
        <w:rPr>
          <w:sz w:val="21"/>
        </w:rPr>
      </w:pPr>
      <w:r>
        <w:rPr>
          <w:rFonts w:ascii="Microsoft JhengHei" w:eastAsia="Microsoft JhengHei" w:hint="eastAsia"/>
          <w:b/>
          <w:sz w:val="21"/>
        </w:rPr>
        <w:t>瘫痪</w:t>
        <w:tab/>
      </w:r>
      <w:r>
        <w:rPr>
          <w:sz w:val="21"/>
        </w:rPr>
        <w:t>指因疾病或意外伤害导致两肢或两肢以上肢体机能</w:t>
      </w:r>
      <w:r>
        <w:rPr>
          <w:spacing w:val="-5"/>
          <w:sz w:val="21"/>
        </w:rPr>
        <w:t>永</w:t>
      </w:r>
      <w:r>
        <w:rPr>
          <w:sz w:val="21"/>
        </w:rPr>
        <w:t>久完全丧失。肢体机能永久 完全丧失</w:t>
      </w:r>
      <w:r>
        <w:rPr>
          <w:spacing w:val="-5"/>
          <w:sz w:val="21"/>
        </w:rPr>
        <w:t>，</w:t>
      </w:r>
      <w:r>
        <w:rPr>
          <w:sz w:val="21"/>
        </w:rPr>
        <w:t>指疾病</w:t>
      </w:r>
      <w:r>
        <w:rPr>
          <w:spacing w:val="-5"/>
          <w:sz w:val="21"/>
        </w:rPr>
        <w:t>确</w:t>
      </w:r>
      <w:r>
        <w:rPr>
          <w:sz w:val="21"/>
        </w:rPr>
        <w:t>诊</w:t>
      </w:r>
      <w:r>
        <w:rPr>
          <w:spacing w:val="-35"/>
          <w:sz w:val="21"/>
        </w:rPr>
        <w:t> </w:t>
      </w:r>
      <w:r>
        <w:rPr>
          <w:sz w:val="21"/>
        </w:rPr>
        <w:t>180</w:t>
      </w:r>
      <w:r>
        <w:rPr>
          <w:spacing w:val="-41"/>
          <w:sz w:val="21"/>
        </w:rPr>
        <w:t> </w:t>
      </w:r>
      <w:r>
        <w:rPr>
          <w:sz w:val="21"/>
        </w:rPr>
        <w:t>天后或</w:t>
      </w:r>
      <w:r>
        <w:rPr>
          <w:spacing w:val="-5"/>
          <w:sz w:val="21"/>
        </w:rPr>
        <w:t>意</w:t>
      </w:r>
      <w:r>
        <w:rPr>
          <w:sz w:val="21"/>
        </w:rPr>
        <w:t>外伤害</w:t>
      </w:r>
      <w:r>
        <w:rPr>
          <w:spacing w:val="-5"/>
          <w:sz w:val="21"/>
        </w:rPr>
        <w:t>发</w:t>
      </w:r>
      <w:r>
        <w:rPr>
          <w:sz w:val="21"/>
        </w:rPr>
        <w:t>生</w:t>
      </w:r>
      <w:r>
        <w:rPr>
          <w:spacing w:val="-35"/>
          <w:sz w:val="21"/>
        </w:rPr>
        <w:t> </w:t>
      </w:r>
      <w:r>
        <w:rPr>
          <w:sz w:val="21"/>
        </w:rPr>
        <w:t>180</w:t>
      </w:r>
      <w:r>
        <w:rPr>
          <w:spacing w:val="-41"/>
          <w:sz w:val="21"/>
        </w:rPr>
        <w:t> </w:t>
      </w:r>
      <w:r>
        <w:rPr>
          <w:sz w:val="21"/>
        </w:rPr>
        <w:t>天后，每</w:t>
      </w:r>
      <w:r>
        <w:rPr>
          <w:spacing w:val="-5"/>
          <w:sz w:val="21"/>
        </w:rPr>
        <w:t>肢</w:t>
      </w:r>
      <w:r>
        <w:rPr>
          <w:sz w:val="21"/>
        </w:rPr>
        <w:t>三大关</w:t>
      </w:r>
      <w:r>
        <w:rPr>
          <w:spacing w:val="-5"/>
          <w:sz w:val="21"/>
        </w:rPr>
        <w:t>节</w:t>
      </w:r>
      <w:r>
        <w:rPr>
          <w:sz w:val="21"/>
        </w:rPr>
        <w:t>中的两</w:t>
      </w:r>
      <w:r>
        <w:rPr>
          <w:spacing w:val="-1"/>
          <w:sz w:val="21"/>
        </w:rPr>
        <w:t>大</w:t>
      </w:r>
      <w:r>
        <w:rPr>
          <w:sz w:val="21"/>
        </w:rPr>
        <w:t>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ListParagraph"/>
        <w:numPr>
          <w:ilvl w:val="1"/>
          <w:numId w:val="10"/>
        </w:numPr>
        <w:tabs>
          <w:tab w:pos="903" w:val="left" w:leader="none"/>
          <w:tab w:pos="904" w:val="left" w:leader="none"/>
          <w:tab w:pos="2420" w:val="left" w:leader="none"/>
        </w:tabs>
        <w:spacing w:line="240" w:lineRule="auto" w:before="176" w:after="0"/>
        <w:ind w:left="2420" w:right="0" w:hanging="2318"/>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9"/>
        <w:rPr>
          <w:sz w:val="14"/>
        </w:rPr>
      </w:pPr>
    </w:p>
    <w:p>
      <w:pPr>
        <w:spacing w:after="0"/>
        <w:rPr>
          <w:sz w:val="14"/>
        </w:rPr>
        <w:sectPr>
          <w:type w:val="continuous"/>
          <w:pgSz w:w="11900" w:h="16840"/>
          <w:pgMar w:top="540" w:bottom="280" w:left="1040" w:right="840"/>
        </w:sectPr>
      </w:pPr>
    </w:p>
    <w:p>
      <w:pPr>
        <w:pStyle w:val="Heading3"/>
        <w:numPr>
          <w:ilvl w:val="1"/>
          <w:numId w:val="10"/>
        </w:numPr>
        <w:tabs>
          <w:tab w:pos="903" w:val="left" w:leader="none"/>
          <w:tab w:pos="904" w:val="left" w:leader="none"/>
        </w:tabs>
        <w:spacing w:line="204" w:lineRule="auto" w:before="25" w:after="0"/>
        <w:ind w:left="904" w:right="0" w:hanging="802"/>
        <w:jc w:val="left"/>
      </w:pPr>
      <w:r>
        <w:rPr>
          <w:spacing w:val="3"/>
        </w:rPr>
        <w:t>严重阿尔茨海默病</w:t>
      </w:r>
    </w:p>
    <w:p>
      <w:pPr>
        <w:pStyle w:val="BodyText"/>
        <w:spacing w:line="273" w:lineRule="auto" w:before="37"/>
        <w:ind w:left="102" w:right="210"/>
        <w:jc w:val="both"/>
      </w:pPr>
      <w:r>
        <w:rPr/>
        <w:br w:type="column"/>
      </w:r>
      <w:r>
        <w:rPr>
          <w:spacing w:val="-1"/>
        </w:rPr>
        <w:t>指因大脑进行性、不可逆性改变导致智能严重衰退或丧失，临床表现为明显的认</w:t>
      </w:r>
      <w:r>
        <w:rPr>
          <w:spacing w:val="-2"/>
        </w:rPr>
        <w:t>知能力障碍、行为异常和社交能力减退，其日常生活必须持续受到他人监护。须</w:t>
      </w:r>
      <w:r>
        <w:rPr>
          <w:spacing w:val="-4"/>
          <w:w w:val="100"/>
        </w:rPr>
        <w:t>由头颅断层扫描</w:t>
      </w:r>
      <w:r>
        <w:rPr>
          <w:spacing w:val="-5"/>
          <w:w w:val="100"/>
        </w:rPr>
        <w:t>（</w:t>
      </w:r>
      <w:r>
        <w:rPr>
          <w:w w:val="100"/>
        </w:rPr>
        <w:t>CT</w:t>
      </w:r>
      <w:r>
        <w:rPr>
          <w:spacing w:val="-111"/>
          <w:w w:val="100"/>
        </w:rPr>
        <w:t>）</w:t>
      </w:r>
      <w:r>
        <w:rPr>
          <w:spacing w:val="-6"/>
          <w:w w:val="100"/>
        </w:rPr>
        <w:t>、核磁共振检查</w:t>
      </w:r>
      <w:r>
        <w:rPr>
          <w:w w:val="100"/>
        </w:rPr>
        <w:t>（MR</w:t>
      </w:r>
      <w:r>
        <w:rPr>
          <w:spacing w:val="-5"/>
          <w:w w:val="100"/>
        </w:rPr>
        <w:t>I</w:t>
      </w:r>
      <w:r>
        <w:rPr>
          <w:spacing w:val="-10"/>
          <w:w w:val="100"/>
        </w:rPr>
        <w:t>）</w:t>
      </w:r>
      <w:r>
        <w:rPr>
          <w:spacing w:val="-5"/>
          <w:w w:val="100"/>
        </w:rPr>
        <w:t>或正电子发射断层扫描（</w:t>
      </w:r>
      <w:r>
        <w:rPr>
          <w:w w:val="100"/>
        </w:rPr>
        <w:t>PE</w:t>
      </w:r>
      <w:r>
        <w:rPr>
          <w:spacing w:val="-5"/>
          <w:w w:val="100"/>
        </w:rPr>
        <w:t>T</w:t>
      </w:r>
      <w:r>
        <w:rPr>
          <w:spacing w:val="-10"/>
          <w:w w:val="100"/>
        </w:rPr>
        <w:t>）</w:t>
      </w:r>
      <w:r>
        <w:rPr>
          <w:w w:val="100"/>
        </w:rPr>
        <w:t>等影</w:t>
      </w:r>
      <w:r>
        <w:rPr>
          <w:spacing w:val="-1"/>
        </w:rPr>
        <w:t>像学检查证实，且自主生活能力完全丧失，无法独立完成六项基本日常生活活动</w:t>
      </w:r>
      <w:r>
        <w:rPr>
          <w:spacing w:val="-3"/>
        </w:rPr>
        <w:t>中的三项或三项以上。</w:t>
      </w:r>
    </w:p>
    <w:p>
      <w:pPr>
        <w:pStyle w:val="BodyText"/>
        <w:spacing w:before="89"/>
        <w:ind w:left="10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540" w:bottom="280" w:left="1040" w:right="840"/>
          <w:cols w:num="2" w:equalWidth="0">
            <w:col w:w="2214" w:space="104"/>
            <w:col w:w="7702"/>
          </w:cols>
        </w:sectPr>
      </w:pPr>
    </w:p>
    <w:p>
      <w:pPr>
        <w:pStyle w:val="BodyText"/>
        <w:spacing w:before="7"/>
        <w:rPr>
          <w:rFonts w:ascii="黑体"/>
          <w:sz w:val="16"/>
        </w:rPr>
      </w:pPr>
    </w:p>
    <w:p>
      <w:pPr>
        <w:pStyle w:val="ListParagraph"/>
        <w:numPr>
          <w:ilvl w:val="1"/>
          <w:numId w:val="10"/>
        </w:numPr>
        <w:tabs>
          <w:tab w:pos="903" w:val="left" w:leader="none"/>
          <w:tab w:pos="904" w:val="left" w:leader="none"/>
          <w:tab w:pos="2420" w:val="left" w:leader="none"/>
        </w:tabs>
        <w:spacing w:line="308" w:lineRule="exact" w:before="35" w:after="0"/>
        <w:ind w:left="2420" w:right="104" w:hanging="2318"/>
        <w:jc w:val="left"/>
        <w:rPr>
          <w:sz w:val="21"/>
        </w:rPr>
      </w:pPr>
      <w:r>
        <w:rPr>
          <w:rFonts w:ascii="Microsoft JhengHei" w:eastAsia="Microsoft JhengHei" w:hint="eastAsia"/>
          <w:b/>
          <w:sz w:val="21"/>
        </w:rPr>
        <w:t>严重脑损伤</w:t>
        <w:tab/>
      </w:r>
      <w:r>
        <w:rPr>
          <w:sz w:val="21"/>
        </w:rPr>
        <w:t>指因头部遭受机械性外力，引起脑重要部位损伤，</w:t>
      </w:r>
      <w:r>
        <w:rPr>
          <w:spacing w:val="-5"/>
          <w:sz w:val="21"/>
        </w:rPr>
        <w:t>导</w:t>
      </w:r>
      <w:r>
        <w:rPr>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（CT</w:t>
      </w:r>
      <w:r>
        <w:rPr>
          <w:spacing w:val="-111"/>
          <w:w w:val="100"/>
          <w:sz w:val="21"/>
        </w:rPr>
        <w:t>）</w:t>
      </w:r>
      <w:r>
        <w:rPr>
          <w:spacing w:val="-29"/>
          <w:w w:val="100"/>
          <w:sz w:val="21"/>
        </w:rPr>
        <w:t>、</w:t>
      </w:r>
      <w:r>
        <w:rPr>
          <w:w w:val="100"/>
          <w:sz w:val="21"/>
        </w:rPr>
        <w:t>核磁</w:t>
      </w:r>
      <w:r>
        <w:rPr>
          <w:spacing w:val="-5"/>
          <w:w w:val="100"/>
          <w:sz w:val="21"/>
        </w:rPr>
        <w:t>共</w:t>
      </w:r>
      <w:r>
        <w:rPr>
          <w:w w:val="100"/>
          <w:sz w:val="21"/>
        </w:rPr>
        <w:t>振检</w:t>
      </w:r>
      <w:r>
        <w:rPr>
          <w:spacing w:val="-34"/>
          <w:w w:val="100"/>
          <w:sz w:val="21"/>
        </w:rPr>
        <w:t>查</w:t>
      </w:r>
      <w:r>
        <w:rPr>
          <w:w w:val="100"/>
          <w:sz w:val="21"/>
        </w:rPr>
        <w:t>（MRI</w:t>
      </w:r>
      <w:r>
        <w:rPr>
          <w:spacing w:val="-34"/>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p>
    <w:p>
      <w:pPr>
        <w:spacing w:after="0" w:line="308" w:lineRule="exact"/>
        <w:jc w:val="left"/>
        <w:rPr>
          <w:sz w:val="21"/>
        </w:rPr>
        <w:sectPr>
          <w:type w:val="continuous"/>
          <w:pgSz w:w="11900" w:h="16840"/>
          <w:pgMar w:top="540" w:bottom="280" w:left="1040" w:right="840"/>
        </w:sectPr>
      </w:pPr>
    </w:p>
    <w:p>
      <w:pPr>
        <w:pStyle w:val="BodyText"/>
        <w:spacing w:line="273" w:lineRule="auto" w:before="9"/>
        <w:ind w:left="2420" w:right="41"/>
      </w:pPr>
      <w:r>
        <w:rPr/>
        <w:t>等影像学检查证实。神经系统永久性的功能障碍，指脑损伤 180 天后，仍遗留下列一种或一种以上障碍：</w:t>
      </w:r>
    </w:p>
    <w:p>
      <w:pPr>
        <w:pStyle w:val="ListParagraph"/>
        <w:numPr>
          <w:ilvl w:val="0"/>
          <w:numId w:val="12"/>
        </w:numPr>
        <w:tabs>
          <w:tab w:pos="3155" w:val="left" w:leader="none"/>
          <w:tab w:pos="3156" w:val="left" w:leader="none"/>
        </w:tabs>
        <w:spacing w:line="240" w:lineRule="auto" w:before="89" w:after="0"/>
        <w:ind w:left="3155" w:right="0" w:hanging="735"/>
        <w:jc w:val="left"/>
        <w:rPr>
          <w:sz w:val="21"/>
        </w:rPr>
      </w:pPr>
      <w:r>
        <w:rPr>
          <w:spacing w:val="-3"/>
          <w:sz w:val="21"/>
        </w:rPr>
        <w:t>一肢或一肢以上肢体机能完全丧失；</w:t>
      </w:r>
    </w:p>
    <w:p>
      <w:pPr>
        <w:pStyle w:val="ListParagraph"/>
        <w:numPr>
          <w:ilvl w:val="0"/>
          <w:numId w:val="12"/>
        </w:numPr>
        <w:tabs>
          <w:tab w:pos="3155" w:val="left" w:leader="none"/>
          <w:tab w:pos="3156" w:val="left" w:leader="none"/>
        </w:tabs>
        <w:spacing w:line="240" w:lineRule="auto" w:before="113" w:after="0"/>
        <w:ind w:left="3155" w:right="0" w:hanging="735"/>
        <w:jc w:val="left"/>
        <w:rPr>
          <w:sz w:val="21"/>
        </w:rPr>
      </w:pPr>
      <w:r>
        <w:rPr>
          <w:spacing w:val="-3"/>
          <w:sz w:val="21"/>
        </w:rPr>
        <w:t>语言能力或咀嚼吞咽能力完全丧失；</w:t>
      </w:r>
    </w:p>
    <w:p>
      <w:pPr>
        <w:pStyle w:val="ListParagraph"/>
        <w:numPr>
          <w:ilvl w:val="0"/>
          <w:numId w:val="12"/>
        </w:numPr>
        <w:tabs>
          <w:tab w:pos="3155" w:val="left" w:leader="none"/>
          <w:tab w:pos="3156" w:val="left" w:leader="none"/>
        </w:tabs>
        <w:spacing w:line="268" w:lineRule="auto" w:before="113" w:after="0"/>
        <w:ind w:left="3155" w:right="105" w:hanging="735"/>
        <w:jc w:val="left"/>
        <w:rPr>
          <w:sz w:val="21"/>
        </w:rPr>
      </w:pPr>
      <w:r>
        <w:rPr>
          <w:spacing w:val="-9"/>
          <w:sz w:val="21"/>
        </w:rPr>
        <w:t>自主生活能力完全丧失，无法独立完成六项基本日常生活活动中的三项或三项以上。</w:t>
      </w:r>
    </w:p>
    <w:p>
      <w:pPr>
        <w:pStyle w:val="ListParagraph"/>
        <w:numPr>
          <w:ilvl w:val="1"/>
          <w:numId w:val="10"/>
        </w:numPr>
        <w:tabs>
          <w:tab w:pos="903" w:val="left" w:leader="none"/>
          <w:tab w:pos="904" w:val="left" w:leader="none"/>
          <w:tab w:pos="2420" w:val="left" w:leader="none"/>
        </w:tabs>
        <w:spacing w:line="249" w:lineRule="auto" w:before="165" w:after="0"/>
        <w:ind w:left="2420" w:right="110" w:hanging="2318"/>
        <w:jc w:val="left"/>
        <w:rPr>
          <w:rFonts w:ascii="黑体" w:eastAsia="黑体" w:hint="eastAsia"/>
          <w:sz w:val="21"/>
        </w:rPr>
      </w:pPr>
      <w:r>
        <w:rPr>
          <w:rFonts w:ascii="Microsoft JhengHei" w:eastAsia="Microsoft JhengHei" w:hint="eastAsia"/>
          <w:b/>
          <w:sz w:val="21"/>
        </w:rPr>
        <w:t>严重帕金森病</w:t>
        <w:tab/>
      </w:r>
      <w:r>
        <w:rPr>
          <w:sz w:val="21"/>
        </w:rPr>
        <w:t>是一种中枢神经系统的退行性疾病，临床表现为震</w:t>
      </w:r>
      <w:r>
        <w:rPr>
          <w:spacing w:val="-5"/>
          <w:sz w:val="21"/>
        </w:rPr>
        <w:t>颤</w:t>
      </w:r>
      <w:r>
        <w:rPr>
          <w:sz w:val="21"/>
        </w:rPr>
        <w:t>麻痹、共济失调等。</w:t>
      </w:r>
      <w:r>
        <w:rPr>
          <w:rFonts w:ascii="黑体" w:eastAsia="黑体" w:hint="eastAsia"/>
          <w:sz w:val="21"/>
        </w:rPr>
        <w:t>须满足 下列全部</w:t>
      </w:r>
      <w:r>
        <w:rPr>
          <w:rFonts w:ascii="黑体" w:eastAsia="黑体" w:hint="eastAsia"/>
          <w:spacing w:val="-5"/>
          <w:sz w:val="21"/>
        </w:rPr>
        <w:t>条</w:t>
      </w:r>
      <w:r>
        <w:rPr>
          <w:rFonts w:ascii="黑体" w:eastAsia="黑体" w:hint="eastAsia"/>
          <w:sz w:val="21"/>
        </w:rPr>
        <w:t>件：</w:t>
      </w:r>
    </w:p>
    <w:p>
      <w:pPr>
        <w:pStyle w:val="ListParagraph"/>
        <w:numPr>
          <w:ilvl w:val="0"/>
          <w:numId w:val="13"/>
        </w:numPr>
        <w:tabs>
          <w:tab w:pos="3155" w:val="left" w:leader="none"/>
          <w:tab w:pos="3156" w:val="left" w:leader="none"/>
        </w:tabs>
        <w:spacing w:line="240" w:lineRule="auto" w:before="109" w:after="0"/>
        <w:ind w:left="3155" w:right="0" w:hanging="735"/>
        <w:jc w:val="left"/>
        <w:rPr>
          <w:sz w:val="21"/>
        </w:rPr>
      </w:pPr>
      <w:r>
        <w:rPr>
          <w:spacing w:val="-2"/>
          <w:sz w:val="21"/>
        </w:rPr>
        <w:t>药物治疗无法控制病情；</w:t>
      </w:r>
    </w:p>
    <w:p>
      <w:pPr>
        <w:pStyle w:val="ListParagraph"/>
        <w:numPr>
          <w:ilvl w:val="0"/>
          <w:numId w:val="13"/>
        </w:numPr>
        <w:tabs>
          <w:tab w:pos="3155" w:val="left" w:leader="none"/>
          <w:tab w:pos="3156" w:val="left" w:leader="none"/>
        </w:tabs>
        <w:spacing w:line="268" w:lineRule="auto" w:before="113" w:after="0"/>
        <w:ind w:left="3155" w:right="105" w:hanging="735"/>
        <w:jc w:val="left"/>
        <w:rPr>
          <w:sz w:val="21"/>
        </w:rPr>
      </w:pPr>
      <w:r>
        <w:rPr>
          <w:spacing w:val="-9"/>
          <w:sz w:val="21"/>
        </w:rPr>
        <w:t>自主生活能力完全丧失，无法独立完成六项基本日常生活活动中的三项或三项以上。</w:t>
      </w:r>
    </w:p>
    <w:p>
      <w:pPr>
        <w:pStyle w:val="BodyText"/>
        <w:spacing w:before="93"/>
        <w:ind w:left="2420"/>
        <w:rPr>
          <w:rFonts w:ascii="黑体" w:eastAsia="黑体" w:hint="eastAsia"/>
        </w:rPr>
      </w:pPr>
      <w:r>
        <w:rPr>
          <w:rFonts w:ascii="黑体" w:eastAsia="黑体" w:hint="eastAsia"/>
        </w:rPr>
        <w:t>继发性帕金森综合征不在保障范围内。</w:t>
      </w:r>
    </w:p>
    <w:p>
      <w:pPr>
        <w:pStyle w:val="BodyText"/>
        <w:spacing w:before="2"/>
        <w:rPr>
          <w:rFonts w:ascii="黑体"/>
          <w:sz w:val="14"/>
        </w:rPr>
      </w:pPr>
    </w:p>
    <w:p>
      <w:pPr>
        <w:pStyle w:val="ListParagraph"/>
        <w:numPr>
          <w:ilvl w:val="1"/>
          <w:numId w:val="10"/>
        </w:numPr>
        <w:tabs>
          <w:tab w:pos="903" w:val="left" w:leader="none"/>
          <w:tab w:pos="904" w:val="left" w:leader="none"/>
          <w:tab w:pos="2420" w:val="left" w:leader="none"/>
        </w:tabs>
        <w:spacing w:line="249" w:lineRule="auto" w:before="1" w:after="0"/>
        <w:ind w:left="2420" w:right="110" w:hanging="2318"/>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w:t>
      </w:r>
      <w:r>
        <w:rPr>
          <w:spacing w:val="-5"/>
          <w:sz w:val="21"/>
        </w:rPr>
        <w:t>度</w:t>
      </w:r>
      <w:r>
        <w:rPr>
          <w:spacing w:val="-34"/>
          <w:sz w:val="21"/>
        </w:rPr>
        <w:t>，</w:t>
      </w:r>
      <w:r>
        <w:rPr>
          <w:sz w:val="21"/>
        </w:rPr>
        <w:t>且Ⅲ</w:t>
      </w:r>
      <w:r>
        <w:rPr>
          <w:spacing w:val="-5"/>
          <w:sz w:val="21"/>
        </w:rPr>
        <w:t>度</w:t>
      </w:r>
      <w:r>
        <w:rPr>
          <w:sz w:val="21"/>
        </w:rPr>
        <w:t>烧伤的</w:t>
      </w:r>
      <w:r>
        <w:rPr>
          <w:spacing w:val="-5"/>
          <w:sz w:val="21"/>
        </w:rPr>
        <w:t>面</w:t>
      </w:r>
      <w:r>
        <w:rPr>
          <w:sz w:val="21"/>
        </w:rPr>
        <w:t>积达到</w:t>
      </w:r>
      <w:r>
        <w:rPr>
          <w:spacing w:val="-5"/>
          <w:sz w:val="21"/>
        </w:rPr>
        <w:t>全</w:t>
      </w:r>
      <w:r>
        <w:rPr>
          <w:sz w:val="21"/>
        </w:rPr>
        <w:t>身体</w:t>
      </w:r>
      <w:r>
        <w:rPr>
          <w:spacing w:val="-5"/>
          <w:sz w:val="21"/>
        </w:rPr>
        <w:t>表</w:t>
      </w:r>
      <w:r>
        <w:rPr>
          <w:sz w:val="21"/>
        </w:rPr>
        <w:t>面积的</w:t>
      </w:r>
      <w:r>
        <w:rPr>
          <w:spacing w:val="-36"/>
          <w:sz w:val="21"/>
        </w:rPr>
        <w:t> </w:t>
      </w:r>
      <w:r>
        <w:rPr>
          <w:sz w:val="21"/>
        </w:rPr>
        <w:t>20％或</w:t>
      </w:r>
      <w:r>
        <w:rPr>
          <w:spacing w:val="-36"/>
          <w:sz w:val="21"/>
        </w:rPr>
        <w:t> </w:t>
      </w:r>
      <w:r>
        <w:rPr>
          <w:sz w:val="21"/>
        </w:rPr>
        <w:t>20％</w:t>
      </w:r>
      <w:r>
        <w:rPr>
          <w:spacing w:val="-5"/>
          <w:sz w:val="21"/>
        </w:rPr>
        <w:t>以</w:t>
      </w:r>
      <w:r>
        <w:rPr>
          <w:sz w:val="21"/>
        </w:rPr>
        <w:t>上</w:t>
      </w:r>
      <w:r>
        <w:rPr>
          <w:spacing w:val="-39"/>
          <w:sz w:val="21"/>
        </w:rPr>
        <w:t>。</w:t>
      </w:r>
      <w:r>
        <w:rPr>
          <w:sz w:val="21"/>
        </w:rPr>
        <w:t>体表面积根</w:t>
      </w:r>
      <w:r>
        <w:rPr>
          <w:spacing w:val="-5"/>
          <w:sz w:val="21"/>
        </w:rPr>
        <w:t>据</w:t>
      </w:r>
      <w:r>
        <w:rPr>
          <w:sz w:val="21"/>
        </w:rPr>
        <w:t>《中国</w:t>
      </w:r>
      <w:r>
        <w:rPr>
          <w:spacing w:val="-5"/>
          <w:sz w:val="21"/>
        </w:rPr>
        <w:t>新</w:t>
      </w:r>
      <w:r>
        <w:rPr>
          <w:sz w:val="21"/>
        </w:rPr>
        <w:t>九分法</w:t>
      </w:r>
      <w:r>
        <w:rPr>
          <w:spacing w:val="-5"/>
          <w:sz w:val="21"/>
        </w:rPr>
        <w:t>》</w:t>
      </w:r>
      <w:r>
        <w:rPr>
          <w:sz w:val="21"/>
        </w:rPr>
        <w:t>计算。</w:t>
      </w:r>
    </w:p>
    <w:p>
      <w:pPr>
        <w:pStyle w:val="BodyText"/>
        <w:spacing w:before="4"/>
        <w:rPr>
          <w:sz w:val="16"/>
        </w:rPr>
      </w:pPr>
    </w:p>
    <w:p>
      <w:pPr>
        <w:spacing w:after="0"/>
        <w:rPr>
          <w:sz w:val="16"/>
        </w:rPr>
        <w:sectPr>
          <w:pgSz w:w="11900" w:h="16840"/>
          <w:pgMar w:top="1000" w:bottom="280" w:left="1040" w:right="940"/>
        </w:sectPr>
      </w:pPr>
    </w:p>
    <w:p>
      <w:pPr>
        <w:pStyle w:val="Heading3"/>
        <w:numPr>
          <w:ilvl w:val="1"/>
          <w:numId w:val="10"/>
        </w:numPr>
        <w:tabs>
          <w:tab w:pos="903" w:val="left" w:leader="none"/>
          <w:tab w:pos="904" w:val="left" w:leader="none"/>
        </w:tabs>
        <w:spacing w:line="306" w:lineRule="exact" w:before="0" w:after="0"/>
        <w:ind w:left="2420" w:right="0" w:hanging="2318"/>
        <w:jc w:val="left"/>
      </w:pPr>
      <w:r>
        <w:rPr>
          <w:spacing w:val="3"/>
        </w:rPr>
        <w:t>严重原发性肺</w:t>
      </w:r>
    </w:p>
    <w:p>
      <w:pPr>
        <w:spacing w:line="336" w:lineRule="exact" w:before="0"/>
        <w:ind w:left="904"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1" w:lineRule="auto" w:before="36"/>
        <w:ind w:left="102" w:right="110"/>
        <w:jc w:val="both"/>
      </w:pPr>
      <w:r>
        <w:rPr/>
        <w:br w:type="column"/>
      </w:r>
      <w:r>
        <w:rPr>
          <w:spacing w:val="-1"/>
        </w:rPr>
        <w:t>指不明原因的肺动脉压力持续性增高，进行性发展而导致的慢性疾病，已经造成</w:t>
      </w:r>
      <w:r>
        <w:rPr>
          <w:spacing w:val="-6"/>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type w:val="continuous"/>
          <w:pgSz w:w="11900" w:h="16840"/>
          <w:pgMar w:top="540" w:bottom="280" w:left="1040" w:right="940"/>
          <w:cols w:num="2" w:equalWidth="0">
            <w:col w:w="2214" w:space="104"/>
            <w:col w:w="7602"/>
          </w:cols>
        </w:sectPr>
      </w:pPr>
    </w:p>
    <w:p>
      <w:pPr>
        <w:pStyle w:val="BodyText"/>
        <w:spacing w:before="10"/>
        <w:rPr>
          <w:sz w:val="14"/>
        </w:rPr>
      </w:pPr>
    </w:p>
    <w:p>
      <w:pPr>
        <w:spacing w:after="0"/>
        <w:rPr>
          <w:sz w:val="14"/>
        </w:rPr>
        <w:sectPr>
          <w:type w:val="continuous"/>
          <w:pgSz w:w="11900" w:h="16840"/>
          <w:pgMar w:top="540" w:bottom="280" w:left="1040" w:right="940"/>
        </w:sectPr>
      </w:pPr>
    </w:p>
    <w:p>
      <w:pPr>
        <w:pStyle w:val="Heading3"/>
        <w:numPr>
          <w:ilvl w:val="1"/>
          <w:numId w:val="10"/>
        </w:numPr>
        <w:tabs>
          <w:tab w:pos="903" w:val="left" w:leader="none"/>
          <w:tab w:pos="904" w:val="left" w:leader="none"/>
        </w:tabs>
        <w:spacing w:line="201" w:lineRule="auto" w:before="29" w:after="0"/>
        <w:ind w:left="904" w:right="0" w:hanging="802"/>
        <w:jc w:val="left"/>
      </w:pPr>
      <w:r>
        <w:rPr>
          <w:spacing w:val="3"/>
        </w:rPr>
        <w:t>严重运动神经元病</w:t>
      </w:r>
    </w:p>
    <w:p>
      <w:pPr>
        <w:pStyle w:val="BodyText"/>
        <w:spacing w:line="271" w:lineRule="auto" w:before="37"/>
        <w:ind w:left="102" w:right="1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1" w:lineRule="auto"/>
        <w:jc w:val="both"/>
        <w:sectPr>
          <w:type w:val="continuous"/>
          <w:pgSz w:w="11900" w:h="16840"/>
          <w:pgMar w:top="540" w:bottom="280" w:left="1040" w:right="940"/>
          <w:cols w:num="2" w:equalWidth="0">
            <w:col w:w="2214" w:space="104"/>
            <w:col w:w="7602"/>
          </w:cols>
        </w:sectPr>
      </w:pPr>
    </w:p>
    <w:p>
      <w:pPr>
        <w:pStyle w:val="BodyText"/>
        <w:spacing w:before="11"/>
        <w:rPr>
          <w:sz w:val="14"/>
        </w:rPr>
      </w:pPr>
    </w:p>
    <w:p>
      <w:pPr>
        <w:pStyle w:val="ListParagraph"/>
        <w:numPr>
          <w:ilvl w:val="1"/>
          <w:numId w:val="10"/>
        </w:numPr>
        <w:tabs>
          <w:tab w:pos="903" w:val="left" w:leader="none"/>
          <w:tab w:pos="904" w:val="left" w:leader="none"/>
          <w:tab w:pos="2420" w:val="left" w:leader="none"/>
        </w:tabs>
        <w:spacing w:line="308" w:lineRule="exact" w:before="35" w:after="0"/>
        <w:ind w:left="2420" w:right="109" w:hanging="2318"/>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39"/>
          <w:sz w:val="21"/>
        </w:rPr>
        <w:t>，</w:t>
      </w:r>
      <w:r>
        <w:rPr>
          <w:sz w:val="21"/>
        </w:rPr>
        <w:t>经过</w:t>
      </w:r>
      <w:r>
        <w:rPr>
          <w:spacing w:val="-5"/>
          <w:sz w:val="21"/>
        </w:rPr>
        <w:t>积</w:t>
      </w:r>
      <w:r>
        <w:rPr>
          <w:sz w:val="21"/>
        </w:rPr>
        <w:t>极治疗至少</w:t>
      </w:r>
      <w:r>
        <w:rPr>
          <w:spacing w:val="-33"/>
          <w:sz w:val="21"/>
        </w:rPr>
        <w:t> </w:t>
      </w:r>
      <w:r>
        <w:rPr>
          <w:spacing w:val="-3"/>
          <w:sz w:val="21"/>
        </w:rPr>
        <w:t>12</w:t>
      </w:r>
      <w:r>
        <w:rPr>
          <w:spacing w:val="-33"/>
          <w:sz w:val="21"/>
        </w:rPr>
        <w:t> </w:t>
      </w:r>
      <w:r>
        <w:rPr>
          <w:sz w:val="21"/>
        </w:rPr>
        <w:t>个</w:t>
      </w:r>
      <w:r>
        <w:rPr>
          <w:spacing w:val="-39"/>
          <w:sz w:val="21"/>
        </w:rPr>
        <w:t>月</w:t>
      </w:r>
      <w:r>
        <w:rPr>
          <w:sz w:val="21"/>
        </w:rPr>
        <w:t>（声</w:t>
      </w:r>
      <w:r>
        <w:rPr>
          <w:spacing w:val="-5"/>
          <w:sz w:val="21"/>
        </w:rPr>
        <w:t>带</w:t>
      </w:r>
      <w:r>
        <w:rPr>
          <w:sz w:val="21"/>
        </w:rPr>
        <w:t>完</w:t>
      </w:r>
      <w:r>
        <w:rPr>
          <w:w w:val="100"/>
          <w:sz w:val="21"/>
        </w:rPr>
        <w:t>全切除不</w:t>
      </w:r>
      <w:r>
        <w:rPr>
          <w:spacing w:val="-5"/>
          <w:w w:val="100"/>
          <w:sz w:val="21"/>
        </w:rPr>
        <w:t>受</w:t>
      </w:r>
      <w:r>
        <w:rPr>
          <w:w w:val="100"/>
          <w:sz w:val="21"/>
        </w:rPr>
        <w:t>此时间</w:t>
      </w:r>
      <w:r>
        <w:rPr>
          <w:spacing w:val="-5"/>
          <w:w w:val="100"/>
          <w:sz w:val="21"/>
        </w:rPr>
        <w:t>限</w:t>
      </w:r>
      <w:r>
        <w:rPr>
          <w:w w:val="100"/>
          <w:sz w:val="21"/>
        </w:rPr>
        <w:t>制</w:t>
      </w:r>
      <w:r>
        <w:rPr>
          <w:spacing w:val="-106"/>
          <w:w w:val="100"/>
          <w:sz w:val="21"/>
        </w:rPr>
        <w:t>）</w:t>
      </w:r>
      <w:r>
        <w:rPr>
          <w:spacing w:val="-1"/>
          <w:w w:val="100"/>
          <w:sz w:val="21"/>
        </w:rPr>
        <w:t>，</w:t>
      </w:r>
      <w:r>
        <w:rPr>
          <w:w w:val="100"/>
          <w:sz w:val="21"/>
        </w:rPr>
        <w:t>仍</w:t>
      </w:r>
      <w:r>
        <w:rPr>
          <w:spacing w:val="-5"/>
          <w:w w:val="100"/>
          <w:sz w:val="21"/>
        </w:rPr>
        <w:t>无</w:t>
      </w:r>
      <w:r>
        <w:rPr>
          <w:w w:val="100"/>
          <w:sz w:val="21"/>
        </w:rPr>
        <w:t>法通过</w:t>
      </w:r>
      <w:r>
        <w:rPr>
          <w:spacing w:val="-5"/>
          <w:w w:val="100"/>
          <w:sz w:val="21"/>
        </w:rPr>
        <w:t>现</w:t>
      </w:r>
      <w:r>
        <w:rPr>
          <w:w w:val="100"/>
          <w:sz w:val="21"/>
        </w:rPr>
        <w:t>有医</w:t>
      </w:r>
      <w:r>
        <w:rPr>
          <w:spacing w:val="-5"/>
          <w:w w:val="100"/>
          <w:sz w:val="21"/>
        </w:rPr>
        <w:t>疗</w:t>
      </w:r>
      <w:r>
        <w:rPr>
          <w:w w:val="100"/>
          <w:sz w:val="21"/>
        </w:rPr>
        <w:t>手</w:t>
      </w:r>
      <w:r>
        <w:rPr>
          <w:spacing w:val="-5"/>
          <w:w w:val="100"/>
          <w:sz w:val="21"/>
        </w:rPr>
        <w:t>段</w:t>
      </w:r>
      <w:r>
        <w:rPr>
          <w:w w:val="100"/>
          <w:sz w:val="21"/>
        </w:rPr>
        <w:t>恢</w:t>
      </w:r>
      <w:r>
        <w:rPr>
          <w:spacing w:val="-1"/>
          <w:w w:val="100"/>
          <w:sz w:val="21"/>
        </w:rPr>
        <w:t>复</w:t>
      </w:r>
      <w:r>
        <w:rPr>
          <w:w w:val="100"/>
          <w:sz w:val="21"/>
        </w:rPr>
        <w:t>。</w:t>
      </w:r>
    </w:p>
    <w:p>
      <w:pPr>
        <w:pStyle w:val="BodyText"/>
        <w:spacing w:before="86"/>
        <w:ind w:left="2420"/>
      </w:pPr>
      <w:r>
        <w:rPr>
          <w:rFonts w:ascii="黑体" w:eastAsia="黑体" w:hint="eastAsia"/>
        </w:rPr>
        <w:t>精神心理因素所致的语言能力丧失不在保障范围内</w:t>
      </w:r>
      <w:r>
        <w:rPr/>
        <w:t>。</w:t>
      </w:r>
    </w:p>
    <w:p>
      <w:pPr>
        <w:pStyle w:val="BodyText"/>
        <w:ind w:left="2420"/>
        <w:rPr>
          <w:rFonts w:ascii="黑体" w:eastAsia="黑体" w:hint="eastAsia"/>
        </w:rPr>
      </w:pPr>
      <w:r>
        <w:rPr>
          <w:rFonts w:ascii="黑体" w:eastAsia="黑体" w:hint="eastAsia"/>
        </w:rPr>
        <w:t>被保险人在 3 周岁之前因疾病导致的语言能力丧失不在保障范围内。</w:t>
      </w:r>
    </w:p>
    <w:p>
      <w:pPr>
        <w:pStyle w:val="BodyText"/>
        <w:spacing w:before="11"/>
        <w:rPr>
          <w:rFonts w:ascii="黑体"/>
          <w:sz w:val="16"/>
        </w:rPr>
      </w:pPr>
    </w:p>
    <w:p>
      <w:pPr>
        <w:spacing w:after="0"/>
        <w:rPr>
          <w:rFonts w:ascii="黑体"/>
          <w:sz w:val="16"/>
        </w:rPr>
        <w:sectPr>
          <w:type w:val="continuous"/>
          <w:pgSz w:w="11900" w:h="16840"/>
          <w:pgMar w:top="540" w:bottom="280" w:left="1040" w:right="940"/>
        </w:sectPr>
      </w:pPr>
    </w:p>
    <w:p>
      <w:pPr>
        <w:pStyle w:val="Heading3"/>
        <w:numPr>
          <w:ilvl w:val="1"/>
          <w:numId w:val="10"/>
        </w:numPr>
        <w:tabs>
          <w:tab w:pos="903" w:val="left" w:leader="none"/>
          <w:tab w:pos="904" w:val="left" w:leader="none"/>
        </w:tabs>
        <w:spacing w:line="201" w:lineRule="auto" w:before="29" w:after="0"/>
        <w:ind w:left="904" w:right="0" w:hanging="802"/>
        <w:jc w:val="left"/>
      </w:pPr>
      <w:r>
        <w:rPr>
          <w:spacing w:val="3"/>
        </w:rPr>
        <w:t>重型再生障碍性贫血</w:t>
      </w:r>
    </w:p>
    <w:p>
      <w:pPr>
        <w:pStyle w:val="BodyText"/>
        <w:spacing w:before="37"/>
        <w:ind w:left="102"/>
      </w:pPr>
      <w:r>
        <w:rPr/>
        <w:br w:type="column"/>
      </w:r>
      <w:r>
        <w:rPr/>
        <w:t>指因骨髓造血功能慢性持续性衰竭导致的贫血、中性粒细胞减少及血小板减少。</w:t>
      </w:r>
    </w:p>
    <w:p>
      <w:pPr>
        <w:pStyle w:val="BodyText"/>
        <w:spacing w:before="32"/>
        <w:ind w:left="102"/>
        <w:rPr>
          <w:rFonts w:ascii="黑体" w:eastAsia="黑体" w:hint="eastAsia"/>
        </w:rPr>
      </w:pPr>
      <w:r>
        <w:rPr>
          <w:rFonts w:ascii="黑体" w:eastAsia="黑体" w:hint="eastAsia"/>
        </w:rPr>
        <w:t>须满足下列全部条件：</w:t>
      </w:r>
    </w:p>
    <w:p>
      <w:pPr>
        <w:pStyle w:val="ListParagraph"/>
        <w:numPr>
          <w:ilvl w:val="0"/>
          <w:numId w:val="14"/>
        </w:numPr>
        <w:tabs>
          <w:tab w:pos="836" w:val="left" w:leader="none"/>
          <w:tab w:pos="837" w:val="left" w:leader="none"/>
        </w:tabs>
        <w:spacing w:line="240" w:lineRule="auto" w:before="118" w:after="0"/>
        <w:ind w:left="836" w:right="0" w:hanging="734"/>
        <w:jc w:val="left"/>
        <w:rPr>
          <w:sz w:val="21"/>
        </w:rPr>
      </w:pPr>
      <w:r>
        <w:rPr>
          <w:spacing w:val="-4"/>
          <w:sz w:val="21"/>
        </w:rPr>
        <w:t>骨髓穿刺检查或骨髓活检结果支持诊断；</w:t>
      </w:r>
    </w:p>
    <w:p>
      <w:pPr>
        <w:pStyle w:val="ListParagraph"/>
        <w:numPr>
          <w:ilvl w:val="0"/>
          <w:numId w:val="14"/>
        </w:numPr>
        <w:tabs>
          <w:tab w:pos="836" w:val="left" w:leader="none"/>
          <w:tab w:pos="837" w:val="left" w:leader="none"/>
        </w:tabs>
        <w:spacing w:line="240" w:lineRule="auto" w:before="113" w:after="0"/>
        <w:ind w:left="836" w:right="0" w:hanging="734"/>
        <w:jc w:val="left"/>
        <w:rPr>
          <w:sz w:val="21"/>
        </w:rPr>
      </w:pPr>
      <w:r>
        <w:rPr>
          <w:spacing w:val="-3"/>
          <w:sz w:val="21"/>
        </w:rPr>
        <w:t>外周血象须具备以下三项条件：</w:t>
      </w:r>
    </w:p>
    <w:p>
      <w:pPr>
        <w:pStyle w:val="BodyText"/>
        <w:spacing w:before="106"/>
        <w:ind w:left="822"/>
      </w:pPr>
      <w:r>
        <w:rPr>
          <w:sz w:val="22"/>
        </w:rPr>
        <w:t>① </w:t>
      </w:r>
      <w:r>
        <w:rPr/>
        <w:t>中性粒细胞绝对值≤0.5×10</w:t>
      </w:r>
      <w:r>
        <w:rPr>
          <w:position w:val="11"/>
          <w:sz w:val="11"/>
        </w:rPr>
        <w:t>9</w:t>
      </w:r>
      <w:r>
        <w:rPr/>
        <w:t>/L ；</w:t>
      </w:r>
    </w:p>
    <w:p>
      <w:pPr>
        <w:pStyle w:val="BodyText"/>
        <w:spacing w:before="105"/>
        <w:ind w:left="822"/>
      </w:pPr>
      <w:r>
        <w:rPr>
          <w:sz w:val="22"/>
        </w:rPr>
        <w:t>② </w:t>
      </w:r>
      <w:r>
        <w:rPr/>
        <w:t>网织红细胞＜1%；</w:t>
      </w:r>
    </w:p>
    <w:p>
      <w:pPr>
        <w:pStyle w:val="BodyText"/>
        <w:spacing w:before="101"/>
        <w:ind w:left="822"/>
      </w:pPr>
      <w:r>
        <w:rPr>
          <w:sz w:val="22"/>
        </w:rPr>
        <w:t>③ </w:t>
      </w:r>
      <w:r>
        <w:rPr/>
        <w:t>血小板绝对值≤20×10</w:t>
      </w:r>
      <w:r>
        <w:rPr>
          <w:position w:val="11"/>
          <w:sz w:val="11"/>
        </w:rPr>
        <w:t>9</w:t>
      </w:r>
      <w:r>
        <w:rPr/>
        <w:t>/L。</w:t>
      </w:r>
    </w:p>
    <w:p>
      <w:pPr>
        <w:spacing w:after="0"/>
        <w:sectPr>
          <w:type w:val="continuous"/>
          <w:pgSz w:w="11900" w:h="16840"/>
          <w:pgMar w:top="540" w:bottom="280" w:left="1040" w:right="940"/>
          <w:cols w:num="2" w:equalWidth="0">
            <w:col w:w="2214" w:space="104"/>
            <w:col w:w="7602"/>
          </w:cols>
        </w:sectPr>
      </w:pPr>
    </w:p>
    <w:p>
      <w:pPr>
        <w:pStyle w:val="BodyText"/>
        <w:spacing w:before="1"/>
        <w:rPr>
          <w:sz w:val="16"/>
        </w:rPr>
      </w:pPr>
    </w:p>
    <w:p>
      <w:pPr>
        <w:pStyle w:val="ListParagraph"/>
        <w:numPr>
          <w:ilvl w:val="1"/>
          <w:numId w:val="10"/>
        </w:numPr>
        <w:tabs>
          <w:tab w:pos="903" w:val="left" w:leader="none"/>
          <w:tab w:pos="904" w:val="left" w:leader="none"/>
          <w:tab w:pos="2420" w:val="left" w:leader="none"/>
        </w:tabs>
        <w:spacing w:line="308" w:lineRule="exact" w:before="35" w:after="0"/>
        <w:ind w:left="2420" w:right="110" w:hanging="2318"/>
        <w:jc w:val="left"/>
        <w:rPr>
          <w:rFonts w:ascii="黑体" w:eastAsia="黑体" w:hint="eastAsia"/>
          <w:sz w:val="21"/>
        </w:rPr>
      </w:pPr>
      <w:r>
        <w:rPr>
          <w:rFonts w:ascii="Microsoft JhengHei" w:eastAsia="Microsoft JhengHei" w:hint="eastAsia"/>
          <w:b/>
          <w:sz w:val="21"/>
        </w:rPr>
        <w:t>主动脉手术</w:t>
        <w:tab/>
      </w:r>
      <w:r>
        <w:rPr>
          <w:sz w:val="21"/>
        </w:rPr>
        <w:t>指为治疗主动脉疾病，实际实施了开胸或开腹进行</w:t>
      </w:r>
      <w:r>
        <w:rPr>
          <w:spacing w:val="-5"/>
          <w:sz w:val="21"/>
        </w:rPr>
        <w:t>的</w:t>
      </w:r>
      <w:r>
        <w:rPr>
          <w:sz w:val="21"/>
        </w:rPr>
        <w:t>切除、置换、修补病损主动 脉血管的手术。主动脉指胸主动脉和腹主动脉，</w:t>
      </w:r>
      <w:r>
        <w:rPr>
          <w:rFonts w:ascii="黑体" w:eastAsia="黑体" w:hint="eastAsia"/>
          <w:sz w:val="21"/>
        </w:rPr>
        <w:t>不</w:t>
      </w:r>
      <w:r>
        <w:rPr>
          <w:rFonts w:ascii="黑体" w:eastAsia="黑体" w:hint="eastAsia"/>
          <w:spacing w:val="-5"/>
          <w:sz w:val="21"/>
        </w:rPr>
        <w:t>包</w:t>
      </w:r>
      <w:r>
        <w:rPr>
          <w:rFonts w:ascii="黑体" w:eastAsia="黑体" w:hint="eastAsia"/>
          <w:sz w:val="21"/>
        </w:rPr>
        <w:t>括胸主动脉和腹主动脉的分</w:t>
      </w:r>
    </w:p>
    <w:p>
      <w:pPr>
        <w:pStyle w:val="BodyText"/>
        <w:spacing w:before="4"/>
        <w:ind w:left="2420"/>
        <w:rPr>
          <w:rFonts w:ascii="黑体" w:eastAsia="黑体" w:hint="eastAsia"/>
        </w:rPr>
      </w:pPr>
      <w:r>
        <w:rPr>
          <w:rFonts w:ascii="黑体" w:eastAsia="黑体" w:hint="eastAsia"/>
        </w:rPr>
        <w:t>支血管。</w:t>
      </w:r>
    </w:p>
    <w:p>
      <w:pPr>
        <w:pStyle w:val="BodyText"/>
        <w:spacing w:before="118"/>
        <w:ind w:left="2420"/>
      </w:pPr>
      <w:r>
        <w:rPr>
          <w:rFonts w:ascii="黑体" w:eastAsia="黑体" w:hint="eastAsia"/>
        </w:rPr>
        <w:t>动脉内血管成形术不在保障范围内</w:t>
      </w:r>
      <w:r>
        <w:rPr/>
        <w:t>。</w:t>
      </w:r>
    </w:p>
    <w:p>
      <w:pPr>
        <w:pStyle w:val="BodyText"/>
        <w:spacing w:before="12"/>
        <w:rPr>
          <w:sz w:val="16"/>
        </w:rPr>
      </w:pPr>
    </w:p>
    <w:p>
      <w:pPr>
        <w:spacing w:after="0"/>
        <w:rPr>
          <w:sz w:val="16"/>
        </w:rPr>
        <w:sectPr>
          <w:type w:val="continuous"/>
          <w:pgSz w:w="11900" w:h="16840"/>
          <w:pgMar w:top="540" w:bottom="280" w:left="1040" w:right="940"/>
        </w:sectPr>
      </w:pPr>
    </w:p>
    <w:p>
      <w:pPr>
        <w:pStyle w:val="Heading3"/>
        <w:numPr>
          <w:ilvl w:val="1"/>
          <w:numId w:val="10"/>
        </w:numPr>
        <w:tabs>
          <w:tab w:pos="903" w:val="left" w:leader="none"/>
          <w:tab w:pos="904" w:val="left" w:leader="none"/>
        </w:tabs>
        <w:spacing w:line="306" w:lineRule="exact" w:before="0" w:after="0"/>
        <w:ind w:left="2420" w:right="0" w:hanging="2318"/>
        <w:jc w:val="left"/>
      </w:pPr>
      <w:r>
        <w:rPr>
          <w:spacing w:val="3"/>
        </w:rPr>
        <w:t>严重多发性硬</w:t>
      </w:r>
    </w:p>
    <w:p>
      <w:pPr>
        <w:spacing w:line="336" w:lineRule="exact" w:before="0"/>
        <w:ind w:left="0" w:right="192" w:firstLine="0"/>
        <w:jc w:val="center"/>
        <w:rPr>
          <w:rFonts w:ascii="Microsoft JhengHei" w:eastAsia="Microsoft JhengHei" w:hint="eastAsia"/>
          <w:b/>
          <w:sz w:val="21"/>
        </w:rPr>
      </w:pPr>
      <w:r>
        <w:rPr>
          <w:rFonts w:ascii="Microsoft JhengHei" w:eastAsia="Microsoft JhengHei" w:hint="eastAsia"/>
          <w:b/>
          <w:w w:val="100"/>
          <w:sz w:val="21"/>
        </w:rPr>
        <w:t>化</w:t>
      </w:r>
    </w:p>
    <w:p>
      <w:pPr>
        <w:pStyle w:val="BodyText"/>
        <w:spacing w:before="36"/>
        <w:ind w:left="102"/>
      </w:pPr>
      <w:r>
        <w:rPr/>
        <w:br w:type="column"/>
      </w:r>
      <w:r>
        <w:rPr/>
        <w:t>指被保险人因脑及脊髓内的脱髓鞘病变而出现神经系统多灶性（多发性）多时相</w:t>
      </w:r>
    </w:p>
    <w:p>
      <w:pPr>
        <w:pStyle w:val="BodyText"/>
        <w:spacing w:line="273" w:lineRule="auto" w:before="32"/>
        <w:ind w:left="102" w:right="110"/>
      </w:pPr>
      <w:r>
        <w:rPr/>
        <w:t>（</w:t>
      </w:r>
      <w:r>
        <w:rPr>
          <w:spacing w:val="-7"/>
        </w:rPr>
        <w:t>至少 </w:t>
      </w:r>
      <w:r>
        <w:rPr/>
        <w:t>6</w:t>
      </w:r>
      <w:r>
        <w:rPr>
          <w:spacing w:val="-5"/>
        </w:rPr>
        <w:t> 个月以内有一次以上（</w:t>
      </w:r>
      <w:r>
        <w:rPr>
          <w:spacing w:val="-2"/>
        </w:rPr>
        <w:t>不包含一次</w:t>
      </w:r>
      <w:r>
        <w:rPr/>
        <w:t>）</w:t>
      </w:r>
      <w:r>
        <w:rPr>
          <w:spacing w:val="-4"/>
        </w:rPr>
        <w:t>的发作</w:t>
      </w:r>
      <w:r>
        <w:rPr/>
        <w:t>）</w:t>
      </w:r>
      <w:r>
        <w:rPr>
          <w:spacing w:val="-3"/>
        </w:rPr>
        <w:t>的病变，须由计算机断层</w:t>
      </w:r>
      <w:r>
        <w:rPr>
          <w:spacing w:val="-7"/>
          <w:w w:val="100"/>
        </w:rPr>
        <w:t>扫描</w:t>
      </w:r>
      <w:r>
        <w:rPr>
          <w:w w:val="100"/>
        </w:rPr>
        <w:t>（C</w:t>
      </w:r>
      <w:r>
        <w:rPr>
          <w:spacing w:val="-5"/>
          <w:w w:val="100"/>
        </w:rPr>
        <w:t>T</w:t>
      </w:r>
      <w:r>
        <w:rPr>
          <w:spacing w:val="-106"/>
          <w:w w:val="100"/>
        </w:rPr>
        <w:t>）</w:t>
      </w:r>
      <w:r>
        <w:rPr>
          <w:spacing w:val="-7"/>
          <w:w w:val="100"/>
        </w:rPr>
        <w:t>、核磁共振检查</w:t>
      </w:r>
      <w:r>
        <w:rPr>
          <w:w w:val="100"/>
        </w:rPr>
        <w:t>（MR</w:t>
      </w:r>
      <w:r>
        <w:rPr>
          <w:spacing w:val="-5"/>
          <w:w w:val="100"/>
        </w:rPr>
        <w:t>I</w:t>
      </w:r>
      <w:r>
        <w:rPr>
          <w:spacing w:val="-10"/>
          <w:w w:val="100"/>
        </w:rPr>
        <w:t>）</w:t>
      </w:r>
      <w:r>
        <w:rPr>
          <w:spacing w:val="-5"/>
          <w:w w:val="100"/>
        </w:rPr>
        <w:t>或正电子发射断层扫描</w:t>
      </w:r>
      <w:r>
        <w:rPr>
          <w:w w:val="100"/>
        </w:rPr>
        <w:t>（P</w:t>
      </w:r>
      <w:r>
        <w:rPr>
          <w:spacing w:val="-5"/>
          <w:w w:val="100"/>
        </w:rPr>
        <w:t>E</w:t>
      </w:r>
      <w:r>
        <w:rPr>
          <w:spacing w:val="-1"/>
          <w:w w:val="100"/>
        </w:rPr>
        <w:t>T</w:t>
      </w:r>
      <w:r>
        <w:rPr>
          <w:spacing w:val="-15"/>
          <w:w w:val="100"/>
        </w:rPr>
        <w:t>）</w:t>
      </w:r>
      <w:r>
        <w:rPr>
          <w:spacing w:val="-2"/>
          <w:w w:val="100"/>
        </w:rPr>
        <w:t>等影像学检查证</w:t>
      </w:r>
    </w:p>
    <w:p>
      <w:pPr>
        <w:spacing w:after="0" w:line="273" w:lineRule="auto"/>
        <w:sectPr>
          <w:type w:val="continuous"/>
          <w:pgSz w:w="11900" w:h="16840"/>
          <w:pgMar w:top="540" w:bottom="280" w:left="1040" w:right="940"/>
          <w:cols w:num="2" w:equalWidth="0">
            <w:col w:w="2214" w:space="104"/>
            <w:col w:w="7602"/>
          </w:cols>
        </w:sectPr>
      </w:pPr>
    </w:p>
    <w:p>
      <w:pPr>
        <w:pStyle w:val="BodyText"/>
        <w:spacing w:line="273" w:lineRule="auto" w:before="9"/>
        <w:ind w:left="2420" w:right="110"/>
      </w:pPr>
      <w:r>
        <w:rPr/>
        <w:t>实，且已经造成自主生活能力完全丧失，无法独立完成六项基本日常生活活动中的三项或三项以上，持续至少 180 天。</w:t>
      </w:r>
    </w:p>
    <w:p>
      <w:pPr>
        <w:pStyle w:val="ListParagraph"/>
        <w:numPr>
          <w:ilvl w:val="1"/>
          <w:numId w:val="10"/>
        </w:numPr>
        <w:tabs>
          <w:tab w:pos="903" w:val="left" w:leader="none"/>
          <w:tab w:pos="904" w:val="left" w:leader="none"/>
          <w:tab w:pos="2420" w:val="left" w:leader="none"/>
        </w:tabs>
        <w:spacing w:line="244" w:lineRule="auto" w:before="161" w:after="0"/>
        <w:ind w:left="2420" w:right="110" w:hanging="2318"/>
        <w:jc w:val="left"/>
        <w:rPr>
          <w:sz w:val="21"/>
        </w:rPr>
      </w:pPr>
      <w:r>
        <w:rPr>
          <w:rFonts w:ascii="Microsoft JhengHei" w:eastAsia="Microsoft JhengHei" w:hint="eastAsia"/>
          <w:b/>
          <w:sz w:val="21"/>
        </w:rPr>
        <w:t>终末期肺病</w:t>
        <w:tab/>
      </w:r>
      <w:r>
        <w:rPr>
          <w:sz w:val="21"/>
        </w:rPr>
        <w:t>指慢性肺部疾病导致永久不可逆性的慢性呼吸功能</w:t>
      </w:r>
      <w:r>
        <w:rPr>
          <w:spacing w:val="-5"/>
          <w:sz w:val="21"/>
        </w:rPr>
        <w:t>衰</w:t>
      </w:r>
      <w:r>
        <w:rPr>
          <w:sz w:val="21"/>
        </w:rPr>
        <w:t>竭。慢性呼吸功能衰竭必须 明确诊断</w:t>
      </w:r>
      <w:r>
        <w:rPr>
          <w:spacing w:val="-5"/>
          <w:sz w:val="21"/>
        </w:rPr>
        <w:t>并</w:t>
      </w:r>
      <w:r>
        <w:rPr>
          <w:sz w:val="21"/>
        </w:rPr>
        <w:t>满足下</w:t>
      </w:r>
      <w:r>
        <w:rPr>
          <w:spacing w:val="-5"/>
          <w:sz w:val="21"/>
        </w:rPr>
        <w:t>列</w:t>
      </w:r>
      <w:r>
        <w:rPr>
          <w:sz w:val="21"/>
        </w:rPr>
        <w:t>至少三</w:t>
      </w:r>
      <w:r>
        <w:rPr>
          <w:spacing w:val="-5"/>
          <w:sz w:val="21"/>
        </w:rPr>
        <w:t>个</w:t>
      </w:r>
      <w:r>
        <w:rPr>
          <w:sz w:val="21"/>
        </w:rPr>
        <w:t>条件：</w:t>
      </w:r>
    </w:p>
    <w:p>
      <w:pPr>
        <w:pStyle w:val="ListParagraph"/>
        <w:numPr>
          <w:ilvl w:val="0"/>
          <w:numId w:val="15"/>
        </w:numPr>
        <w:tabs>
          <w:tab w:pos="3155" w:val="left" w:leader="none"/>
          <w:tab w:pos="3156" w:val="left" w:leader="none"/>
        </w:tabs>
        <w:spacing w:line="240" w:lineRule="auto" w:before="114" w:after="0"/>
        <w:ind w:left="3155" w:right="0" w:hanging="735"/>
        <w:jc w:val="left"/>
        <w:rPr>
          <w:sz w:val="21"/>
        </w:rPr>
      </w:pPr>
      <w:r>
        <w:rPr>
          <w:spacing w:val="-3"/>
          <w:sz w:val="21"/>
        </w:rPr>
        <w:t>肺功能测试：一秒用力呼气容积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15"/>
        </w:numPr>
        <w:tabs>
          <w:tab w:pos="3155" w:val="left" w:leader="none"/>
          <w:tab w:pos="3156" w:val="left" w:leader="none"/>
        </w:tabs>
        <w:spacing w:line="240" w:lineRule="auto" w:before="114" w:after="0"/>
        <w:ind w:left="3155" w:right="0" w:hanging="735"/>
        <w:jc w:val="left"/>
        <w:rPr>
          <w:sz w:val="21"/>
        </w:rPr>
      </w:pPr>
      <w:r>
        <w:rPr>
          <w:spacing w:val="-2"/>
          <w:sz w:val="21"/>
        </w:rPr>
        <w:t>动脉血氧分压</w:t>
      </w:r>
      <w:r>
        <w:rPr>
          <w:spacing w:val="-1"/>
          <w:sz w:val="21"/>
        </w:rPr>
        <w:t>（PaO2）＜55mmHg；</w:t>
      </w:r>
    </w:p>
    <w:p>
      <w:pPr>
        <w:pStyle w:val="ListParagraph"/>
        <w:numPr>
          <w:ilvl w:val="0"/>
          <w:numId w:val="15"/>
        </w:numPr>
        <w:tabs>
          <w:tab w:pos="3155" w:val="left" w:leader="none"/>
          <w:tab w:pos="3156" w:val="left" w:leader="none"/>
        </w:tabs>
        <w:spacing w:line="240" w:lineRule="auto" w:before="114" w:after="0"/>
        <w:ind w:left="3155" w:right="0" w:hanging="735"/>
        <w:jc w:val="left"/>
        <w:rPr>
          <w:sz w:val="21"/>
        </w:rPr>
      </w:pPr>
      <w:r>
        <w:rPr>
          <w:spacing w:val="-2"/>
          <w:sz w:val="21"/>
        </w:rPr>
        <w:t>动脉血氧饱和度</w:t>
      </w:r>
      <w:r>
        <w:rPr>
          <w:spacing w:val="-1"/>
          <w:sz w:val="21"/>
        </w:rPr>
        <w:t>（SaO2）＜80%；</w:t>
      </w:r>
    </w:p>
    <w:p>
      <w:pPr>
        <w:pStyle w:val="ListParagraph"/>
        <w:numPr>
          <w:ilvl w:val="0"/>
          <w:numId w:val="15"/>
        </w:numPr>
        <w:tabs>
          <w:tab w:pos="3155" w:val="left" w:leader="none"/>
          <w:tab w:pos="3156" w:val="left" w:leader="none"/>
        </w:tabs>
        <w:spacing w:line="240" w:lineRule="auto" w:before="119" w:after="0"/>
        <w:ind w:left="3155" w:right="0" w:hanging="735"/>
        <w:jc w:val="left"/>
        <w:rPr>
          <w:sz w:val="21"/>
        </w:rPr>
      </w:pPr>
      <w:r>
        <w:rPr>
          <w:spacing w:val="-5"/>
          <w:sz w:val="21"/>
        </w:rPr>
        <w:t>休息时出现呼吸困难；因缺氧必须广泛而持续地进行输氧治疗。</w:t>
      </w:r>
    </w:p>
    <w:p>
      <w:pPr>
        <w:pStyle w:val="BodyText"/>
        <w:spacing w:before="3"/>
        <w:rPr>
          <w:sz w:val="14"/>
        </w:rPr>
      </w:pPr>
    </w:p>
    <w:p>
      <w:pPr>
        <w:pStyle w:val="ListParagraph"/>
        <w:numPr>
          <w:ilvl w:val="1"/>
          <w:numId w:val="10"/>
        </w:numPr>
        <w:tabs>
          <w:tab w:pos="903" w:val="left" w:leader="none"/>
          <w:tab w:pos="904" w:val="left" w:leader="none"/>
          <w:tab w:pos="2420" w:val="left" w:leader="none"/>
        </w:tabs>
        <w:spacing w:line="244" w:lineRule="auto" w:before="0" w:after="0"/>
        <w:ind w:left="2420" w:right="110" w:hanging="2318"/>
        <w:jc w:val="left"/>
        <w:rPr>
          <w:sz w:val="21"/>
        </w:rPr>
      </w:pPr>
      <w:r>
        <w:rPr>
          <w:rFonts w:ascii="Microsoft JhengHei" w:eastAsia="Microsoft JhengHei" w:hint="eastAsia"/>
          <w:b/>
          <w:sz w:val="21"/>
        </w:rPr>
        <w:t>颅脑手术</w:t>
        <w:tab/>
      </w:r>
      <w:r>
        <w:rPr>
          <w:sz w:val="21"/>
        </w:rPr>
        <w:t>指被保险人因疾病已实施全麻下的开颅手术（以切</w:t>
      </w:r>
      <w:r>
        <w:rPr>
          <w:spacing w:val="-5"/>
          <w:sz w:val="21"/>
        </w:rPr>
        <w:t>开</w:t>
      </w:r>
      <w:r>
        <w:rPr>
          <w:sz w:val="21"/>
        </w:rPr>
        <w:t>硬脑膜为准；</w:t>
      </w:r>
      <w:r>
        <w:rPr>
          <w:rFonts w:ascii="黑体" w:eastAsia="黑体" w:hint="eastAsia"/>
          <w:sz w:val="21"/>
        </w:rPr>
        <w:t>不包括颅骨钻 孔手术、</w:t>
      </w:r>
      <w:r>
        <w:rPr>
          <w:rFonts w:ascii="黑体" w:eastAsia="黑体" w:hint="eastAsia"/>
          <w:spacing w:val="-5"/>
          <w:sz w:val="21"/>
        </w:rPr>
        <w:t>不</w:t>
      </w:r>
      <w:r>
        <w:rPr>
          <w:rFonts w:ascii="黑体" w:eastAsia="黑体" w:hint="eastAsia"/>
          <w:sz w:val="21"/>
        </w:rPr>
        <w:t>包括经</w:t>
      </w:r>
      <w:r>
        <w:rPr>
          <w:rFonts w:ascii="黑体" w:eastAsia="黑体" w:hint="eastAsia"/>
          <w:spacing w:val="-5"/>
          <w:sz w:val="21"/>
        </w:rPr>
        <w:t>鼻</w:t>
      </w:r>
      <w:r>
        <w:rPr>
          <w:rFonts w:ascii="黑体" w:eastAsia="黑体" w:hint="eastAsia"/>
          <w:sz w:val="21"/>
        </w:rPr>
        <w:t>蝶窦入</w:t>
      </w:r>
      <w:r>
        <w:rPr>
          <w:rFonts w:ascii="黑体" w:eastAsia="黑体" w:hint="eastAsia"/>
          <w:spacing w:val="-5"/>
          <w:sz w:val="21"/>
        </w:rPr>
        <w:t>颅</w:t>
      </w:r>
      <w:r>
        <w:rPr>
          <w:rFonts w:ascii="黑体" w:eastAsia="黑体" w:hint="eastAsia"/>
          <w:sz w:val="21"/>
        </w:rPr>
        <w:t>的手术</w:t>
      </w:r>
      <w:r>
        <w:rPr>
          <w:spacing w:val="-106"/>
          <w:sz w:val="21"/>
        </w:rPr>
        <w:t>）</w:t>
      </w:r>
      <w:r>
        <w:rPr>
          <w:sz w:val="21"/>
        </w:rPr>
        <w:t>。</w:t>
      </w:r>
    </w:p>
    <w:p>
      <w:pPr>
        <w:pStyle w:val="BodyText"/>
        <w:spacing w:line="244" w:lineRule="auto" w:before="47"/>
        <w:ind w:left="2420" w:right="110"/>
      </w:pPr>
      <w:r>
        <w:rPr/>
        <w:t>理赔时必须提供由</w:t>
      </w:r>
      <w:r>
        <w:rPr>
          <w:rFonts w:ascii="Microsoft JhengHei" w:eastAsia="Microsoft JhengHei" w:hint="eastAsia"/>
          <w:b/>
        </w:rPr>
        <w:t>本公司认可的医院</w:t>
      </w:r>
      <w:r>
        <w:rPr/>
        <w:t>（见 10.25）的神经外科医生出具的诊断书及手术报告。</w:t>
      </w:r>
    </w:p>
    <w:p>
      <w:pPr>
        <w:pStyle w:val="BodyText"/>
        <w:spacing w:before="114"/>
        <w:ind w:left="2420"/>
        <w:rPr>
          <w:rFonts w:ascii="黑体" w:eastAsia="黑体" w:hint="eastAsia"/>
        </w:rPr>
      </w:pPr>
      <w:r>
        <w:rPr>
          <w:rFonts w:ascii="黑体" w:eastAsia="黑体" w:hint="eastAsia"/>
        </w:rPr>
        <w:t>因外伤而实施的颅脑手术不在保障范围内。</w:t>
      </w:r>
    </w:p>
    <w:p>
      <w:pPr>
        <w:pStyle w:val="BodyText"/>
        <w:spacing w:before="12"/>
        <w:rPr>
          <w:rFonts w:ascii="黑体"/>
          <w:sz w:val="16"/>
        </w:rPr>
      </w:pPr>
    </w:p>
    <w:p>
      <w:pPr>
        <w:spacing w:after="0"/>
        <w:rPr>
          <w:rFonts w:ascii="黑体"/>
          <w:sz w:val="16"/>
        </w:rPr>
        <w:sectPr>
          <w:pgSz w:w="11900" w:h="16840"/>
          <w:pgMar w:top="1000" w:bottom="280" w:left="1040" w:right="940"/>
        </w:sectPr>
      </w:pPr>
    </w:p>
    <w:p>
      <w:pPr>
        <w:pStyle w:val="Heading3"/>
        <w:numPr>
          <w:ilvl w:val="1"/>
          <w:numId w:val="10"/>
        </w:numPr>
        <w:tabs>
          <w:tab w:pos="903" w:val="left" w:leader="none"/>
          <w:tab w:pos="904" w:val="left" w:leader="none"/>
        </w:tabs>
        <w:spacing w:line="306" w:lineRule="exact" w:before="0" w:after="0"/>
        <w:ind w:left="2420" w:right="0" w:hanging="2318"/>
        <w:jc w:val="left"/>
      </w:pPr>
      <w:r>
        <w:rPr>
          <w:spacing w:val="3"/>
        </w:rPr>
        <w:t>严重Ｉ型糖尿</w:t>
      </w:r>
    </w:p>
    <w:p>
      <w:pPr>
        <w:spacing w:line="336" w:lineRule="exact" w:before="0"/>
        <w:ind w:left="0" w:right="192" w:firstLine="0"/>
        <w:jc w:val="center"/>
        <w:rPr>
          <w:rFonts w:ascii="Microsoft JhengHei" w:eastAsia="Microsoft JhengHei" w:hint="eastAsia"/>
          <w:b/>
          <w:sz w:val="21"/>
        </w:rPr>
      </w:pPr>
      <w:r>
        <w:rPr>
          <w:rFonts w:ascii="Microsoft JhengHei" w:eastAsia="Microsoft JhengHei" w:hint="eastAsia"/>
          <w:b/>
          <w:w w:val="100"/>
          <w:sz w:val="21"/>
        </w:rPr>
        <w:t>病</w:t>
      </w:r>
    </w:p>
    <w:p>
      <w:pPr>
        <w:pStyle w:val="BodyText"/>
        <w:spacing w:line="271" w:lineRule="auto" w:before="36"/>
        <w:ind w:left="102" w:right="105"/>
        <w:jc w:val="both"/>
      </w:pPr>
      <w:r>
        <w:rPr/>
        <w:br w:type="column"/>
      </w:r>
      <w:r>
        <w:rPr>
          <w:spacing w:val="-1"/>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8"/>
        </w:rPr>
        <w:t> 肽测定检查证实，且被保险人已经接受了持续的胰岛素治疗 </w:t>
      </w:r>
      <w:r>
        <w:rPr/>
        <w:t>180</w:t>
      </w:r>
      <w:r>
        <w:rPr>
          <w:spacing w:val="-17"/>
        </w:rPr>
        <w:t> 天</w:t>
      </w:r>
      <w:r>
        <w:rPr>
          <w:spacing w:val="-10"/>
        </w:rPr>
        <w:t>以上，并须满足下列至少一项条件：</w:t>
      </w:r>
    </w:p>
    <w:p>
      <w:pPr>
        <w:pStyle w:val="ListParagraph"/>
        <w:numPr>
          <w:ilvl w:val="0"/>
          <w:numId w:val="16"/>
        </w:numPr>
        <w:tabs>
          <w:tab w:pos="837" w:val="left" w:leader="none"/>
        </w:tabs>
        <w:spacing w:line="240" w:lineRule="auto" w:before="91" w:after="0"/>
        <w:ind w:left="836" w:right="0" w:hanging="734"/>
        <w:jc w:val="both"/>
        <w:rPr>
          <w:sz w:val="21"/>
        </w:rPr>
      </w:pPr>
      <w:r>
        <w:rPr>
          <w:spacing w:val="-2"/>
          <w:sz w:val="21"/>
        </w:rPr>
        <w:t>并发增殖性视网膜病变；</w:t>
      </w:r>
    </w:p>
    <w:p>
      <w:pPr>
        <w:pStyle w:val="ListParagraph"/>
        <w:numPr>
          <w:ilvl w:val="0"/>
          <w:numId w:val="16"/>
        </w:numPr>
        <w:tabs>
          <w:tab w:pos="837" w:val="left" w:leader="none"/>
        </w:tabs>
        <w:spacing w:line="240" w:lineRule="auto" w:before="114" w:after="0"/>
        <w:ind w:left="836" w:right="0" w:hanging="734"/>
        <w:jc w:val="both"/>
        <w:rPr>
          <w:sz w:val="21"/>
        </w:rPr>
      </w:pPr>
      <w:r>
        <w:rPr>
          <w:spacing w:val="-3"/>
          <w:sz w:val="21"/>
        </w:rPr>
        <w:t>并发心脏病变，已经植入心脏起搏器；</w:t>
      </w:r>
    </w:p>
    <w:p>
      <w:pPr>
        <w:pStyle w:val="ListParagraph"/>
        <w:numPr>
          <w:ilvl w:val="0"/>
          <w:numId w:val="16"/>
        </w:numPr>
        <w:tabs>
          <w:tab w:pos="837" w:val="left" w:leader="none"/>
        </w:tabs>
        <w:spacing w:line="240" w:lineRule="auto" w:before="114" w:after="0"/>
        <w:ind w:left="836" w:right="0" w:hanging="734"/>
        <w:jc w:val="both"/>
        <w:rPr>
          <w:sz w:val="21"/>
        </w:rPr>
      </w:pPr>
      <w:r>
        <w:rPr>
          <w:spacing w:val="-4"/>
          <w:sz w:val="21"/>
        </w:rPr>
        <w:t>至少一个脚趾发生坏疽并已经实施手术切除。</w:t>
      </w:r>
    </w:p>
    <w:p>
      <w:pPr>
        <w:spacing w:after="0" w:line="240" w:lineRule="auto"/>
        <w:jc w:val="both"/>
        <w:rPr>
          <w:sz w:val="21"/>
        </w:rPr>
        <w:sectPr>
          <w:type w:val="continuous"/>
          <w:pgSz w:w="11900" w:h="16840"/>
          <w:pgMar w:top="540" w:bottom="280" w:left="1040" w:right="940"/>
          <w:cols w:num="2" w:equalWidth="0">
            <w:col w:w="2215" w:space="104"/>
            <w:col w:w="7601"/>
          </w:cols>
        </w:sectPr>
      </w:pPr>
    </w:p>
    <w:p>
      <w:pPr>
        <w:pStyle w:val="BodyText"/>
        <w:spacing w:before="12"/>
        <w:rPr>
          <w:sz w:val="16"/>
        </w:rPr>
      </w:pPr>
    </w:p>
    <w:p>
      <w:pPr>
        <w:spacing w:after="0"/>
        <w:rPr>
          <w:sz w:val="16"/>
        </w:rPr>
        <w:sectPr>
          <w:type w:val="continuous"/>
          <w:pgSz w:w="11900" w:h="16840"/>
          <w:pgMar w:top="540" w:bottom="280" w:left="1040" w:right="940"/>
        </w:sectPr>
      </w:pPr>
    </w:p>
    <w:p>
      <w:pPr>
        <w:pStyle w:val="Heading3"/>
        <w:numPr>
          <w:ilvl w:val="1"/>
          <w:numId w:val="10"/>
        </w:numPr>
        <w:tabs>
          <w:tab w:pos="903" w:val="left" w:leader="none"/>
          <w:tab w:pos="904" w:val="left" w:leader="none"/>
        </w:tabs>
        <w:spacing w:line="201" w:lineRule="auto" w:before="28" w:after="0"/>
        <w:ind w:left="904" w:right="0" w:hanging="802"/>
        <w:jc w:val="left"/>
      </w:pPr>
      <w:r>
        <w:rPr>
          <w:spacing w:val="3"/>
        </w:rPr>
        <w:t>严重类风湿性关节炎</w:t>
      </w:r>
    </w:p>
    <w:p>
      <w:pPr>
        <w:pStyle w:val="BodyText"/>
        <w:spacing w:line="271" w:lineRule="auto" w:before="36"/>
        <w:ind w:left="102" w:right="110"/>
        <w:jc w:val="both"/>
        <w:rPr>
          <w:rFonts w:ascii="黑体" w:eastAsia="黑体" w:hint="eastAsia"/>
        </w:rPr>
      </w:pPr>
      <w:r>
        <w:rPr/>
        <w:br w:type="column"/>
      </w:r>
      <w:r>
        <w:rPr>
          <w:spacing w:val="-1"/>
        </w:rPr>
        <w:t>指广泛分布的慢性进行性多关节病变，表现为关节严重变形，侵犯至少三个主要关节（</w:t>
      </w:r>
      <w:r>
        <w:rPr>
          <w:spacing w:val="-2"/>
        </w:rPr>
        <w:t>腕关节、肘关节、肩关节、踝关节、膝关节、髋关节</w:t>
      </w:r>
      <w:r>
        <w:rPr/>
        <w:t>）或关节组（如手的</w:t>
      </w:r>
      <w:r>
        <w:rPr>
          <w:spacing w:val="-8"/>
        </w:rPr>
        <w:t>多个指间、掌指关节，足的多个足趾、跖趾关节等</w:t>
      </w:r>
      <w:r>
        <w:rPr>
          <w:spacing w:val="-66"/>
        </w:rPr>
        <w:t>）</w:t>
      </w:r>
      <w:r>
        <w:rPr>
          <w:spacing w:val="-10"/>
        </w:rPr>
        <w:t>，并已达到类风湿性关节炎功</w:t>
      </w:r>
      <w:r>
        <w:rPr>
          <w:spacing w:val="-18"/>
        </w:rPr>
        <w:t>能分类 </w:t>
      </w:r>
      <w:r>
        <w:rPr/>
        <w:t>IV</w:t>
      </w:r>
      <w:r>
        <w:rPr>
          <w:spacing w:val="-2"/>
        </w:rPr>
        <w:t> 级的永久不可逆性关节功能障碍，</w:t>
      </w:r>
      <w:r>
        <w:rPr>
          <w:rFonts w:ascii="黑体" w:eastAsia="黑体" w:hint="eastAsia"/>
          <w:spacing w:val="-4"/>
        </w:rPr>
        <w:t>且须满足下列全部条件：</w:t>
      </w:r>
    </w:p>
    <w:p>
      <w:pPr>
        <w:pStyle w:val="ListParagraph"/>
        <w:numPr>
          <w:ilvl w:val="0"/>
          <w:numId w:val="17"/>
        </w:numPr>
        <w:tabs>
          <w:tab w:pos="837" w:val="left" w:leader="none"/>
        </w:tabs>
        <w:spacing w:line="240" w:lineRule="auto" w:before="91" w:after="0"/>
        <w:ind w:left="836" w:right="0" w:hanging="734"/>
        <w:jc w:val="both"/>
        <w:rPr>
          <w:sz w:val="21"/>
        </w:rPr>
      </w:pPr>
      <w:r>
        <w:rPr>
          <w:sz w:val="21"/>
        </w:rPr>
        <w:t>晨僵；</w:t>
      </w:r>
    </w:p>
    <w:p>
      <w:pPr>
        <w:pStyle w:val="ListParagraph"/>
        <w:numPr>
          <w:ilvl w:val="0"/>
          <w:numId w:val="17"/>
        </w:numPr>
        <w:tabs>
          <w:tab w:pos="837" w:val="left" w:leader="none"/>
        </w:tabs>
        <w:spacing w:line="240" w:lineRule="auto" w:before="114" w:after="0"/>
        <w:ind w:left="836" w:right="0" w:hanging="734"/>
        <w:jc w:val="both"/>
        <w:rPr>
          <w:sz w:val="21"/>
        </w:rPr>
      </w:pPr>
      <w:r>
        <w:rPr>
          <w:spacing w:val="-1"/>
          <w:sz w:val="21"/>
        </w:rPr>
        <w:t>对称性关节炎；</w:t>
      </w:r>
    </w:p>
    <w:p>
      <w:pPr>
        <w:pStyle w:val="ListParagraph"/>
        <w:numPr>
          <w:ilvl w:val="0"/>
          <w:numId w:val="17"/>
        </w:numPr>
        <w:tabs>
          <w:tab w:pos="837" w:val="left" w:leader="none"/>
        </w:tabs>
        <w:spacing w:line="240" w:lineRule="auto" w:before="114" w:after="0"/>
        <w:ind w:left="836" w:right="0" w:hanging="734"/>
        <w:jc w:val="both"/>
        <w:rPr>
          <w:sz w:val="21"/>
        </w:rPr>
      </w:pPr>
      <w:r>
        <w:rPr>
          <w:spacing w:val="-1"/>
          <w:sz w:val="21"/>
        </w:rPr>
        <w:t>类风湿性皮下结节；</w:t>
      </w:r>
    </w:p>
    <w:p>
      <w:pPr>
        <w:pStyle w:val="ListParagraph"/>
        <w:numPr>
          <w:ilvl w:val="0"/>
          <w:numId w:val="17"/>
        </w:numPr>
        <w:tabs>
          <w:tab w:pos="837" w:val="left" w:leader="none"/>
        </w:tabs>
        <w:spacing w:line="240" w:lineRule="auto" w:before="119" w:after="0"/>
        <w:ind w:left="836" w:right="0" w:hanging="734"/>
        <w:jc w:val="both"/>
        <w:rPr>
          <w:sz w:val="21"/>
        </w:rPr>
      </w:pPr>
      <w:r>
        <w:rPr>
          <w:spacing w:val="-2"/>
          <w:sz w:val="21"/>
        </w:rPr>
        <w:t>类风湿因子滴度升高；</w:t>
      </w:r>
    </w:p>
    <w:p>
      <w:pPr>
        <w:pStyle w:val="ListParagraph"/>
        <w:numPr>
          <w:ilvl w:val="0"/>
          <w:numId w:val="17"/>
        </w:numPr>
        <w:tabs>
          <w:tab w:pos="837" w:val="left" w:leader="none"/>
        </w:tabs>
        <w:spacing w:line="240" w:lineRule="auto" w:before="114" w:after="0"/>
        <w:ind w:left="836" w:right="0" w:hanging="734"/>
        <w:jc w:val="both"/>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type w:val="continuous"/>
          <w:pgSz w:w="11900" w:h="16840"/>
          <w:pgMar w:top="540" w:bottom="280" w:left="1040" w:right="940"/>
          <w:cols w:num="2" w:equalWidth="0">
            <w:col w:w="2214" w:space="104"/>
            <w:col w:w="7602"/>
          </w:cols>
        </w:sectPr>
      </w:pPr>
    </w:p>
    <w:p>
      <w:pPr>
        <w:pStyle w:val="BodyText"/>
        <w:spacing w:before="7"/>
        <w:rPr>
          <w:sz w:val="16"/>
        </w:rPr>
      </w:pPr>
    </w:p>
    <w:p>
      <w:pPr>
        <w:spacing w:after="0"/>
        <w:rPr>
          <w:sz w:val="16"/>
        </w:rPr>
        <w:sectPr>
          <w:type w:val="continuous"/>
          <w:pgSz w:w="11900" w:h="16840"/>
          <w:pgMar w:top="540" w:bottom="280" w:left="1040" w:right="940"/>
        </w:sectPr>
      </w:pPr>
    </w:p>
    <w:p>
      <w:pPr>
        <w:pStyle w:val="Heading3"/>
        <w:numPr>
          <w:ilvl w:val="1"/>
          <w:numId w:val="10"/>
        </w:numPr>
        <w:tabs>
          <w:tab w:pos="903" w:val="left" w:leader="none"/>
          <w:tab w:pos="904" w:val="left" w:leader="none"/>
        </w:tabs>
        <w:spacing w:line="306" w:lineRule="exact" w:before="0" w:after="0"/>
        <w:ind w:left="2420" w:right="0" w:hanging="2318"/>
        <w:jc w:val="left"/>
      </w:pPr>
      <w:r>
        <w:rPr>
          <w:spacing w:val="3"/>
        </w:rPr>
        <w:t>急性出血坏死</w:t>
      </w:r>
    </w:p>
    <w:p>
      <w:pPr>
        <w:spacing w:line="204" w:lineRule="auto" w:before="25"/>
        <w:ind w:left="904" w:right="0" w:firstLine="0"/>
        <w:jc w:val="left"/>
        <w:rPr>
          <w:rFonts w:ascii="Microsoft JhengHei" w:eastAsia="Microsoft JhengHei" w:hint="eastAsia"/>
          <w:b/>
          <w:sz w:val="21"/>
        </w:rPr>
      </w:pPr>
      <w:r>
        <w:rPr>
          <w:rFonts w:ascii="Microsoft JhengHei" w:eastAsia="Microsoft JhengHei" w:hint="eastAsia"/>
          <w:b/>
          <w:sz w:val="21"/>
        </w:rPr>
        <w:t>性胰腺炎开腹手术</w:t>
      </w:r>
    </w:p>
    <w:p>
      <w:pPr>
        <w:pStyle w:val="BodyText"/>
        <w:spacing w:line="268" w:lineRule="auto" w:before="36"/>
        <w:ind w:left="102" w:right="110"/>
      </w:pPr>
      <w:r>
        <w:rPr/>
        <w:br w:type="column"/>
      </w:r>
      <w:r>
        <w:rPr/>
        <w:t>指被保险人因为急性出血坏死性胰腺炎已经接受了外科开腹手术治疗，以进行坏死组织清除、坏死病灶切除或胰腺切除。</w:t>
      </w:r>
    </w:p>
    <w:p>
      <w:pPr>
        <w:pStyle w:val="BodyText"/>
        <w:spacing w:line="268" w:lineRule="auto" w:before="93"/>
        <w:ind w:left="102" w:right="115"/>
        <w:rPr>
          <w:rFonts w:ascii="黑体" w:eastAsia="黑体" w:hint="eastAsia"/>
        </w:rPr>
      </w:pPr>
      <w:r>
        <w:rPr>
          <w:rFonts w:ascii="黑体" w:eastAsia="黑体" w:hint="eastAsia"/>
        </w:rPr>
        <w:t>因饮酒所致的急性出血坏死性胰腺炎或经腹腔镜手术进行的治疗不在保障范围内。</w:t>
      </w:r>
    </w:p>
    <w:p>
      <w:pPr>
        <w:spacing w:after="0" w:line="268" w:lineRule="auto"/>
        <w:rPr>
          <w:rFonts w:ascii="黑体" w:eastAsia="黑体" w:hint="eastAsia"/>
        </w:rPr>
        <w:sectPr>
          <w:type w:val="continuous"/>
          <w:pgSz w:w="11900" w:h="16840"/>
          <w:pgMar w:top="540" w:bottom="280" w:left="1040" w:right="940"/>
          <w:cols w:num="2" w:equalWidth="0">
            <w:col w:w="2214" w:space="104"/>
            <w:col w:w="7602"/>
          </w:cols>
        </w:sectPr>
      </w:pPr>
    </w:p>
    <w:p>
      <w:pPr>
        <w:pStyle w:val="BodyText"/>
        <w:spacing w:before="0"/>
        <w:rPr>
          <w:rFonts w:ascii="黑体"/>
          <w:sz w:val="15"/>
        </w:rPr>
      </w:pPr>
    </w:p>
    <w:p>
      <w:pPr>
        <w:spacing w:after="0"/>
        <w:rPr>
          <w:rFonts w:ascii="黑体"/>
          <w:sz w:val="15"/>
        </w:rPr>
        <w:sectPr>
          <w:type w:val="continuous"/>
          <w:pgSz w:w="11900" w:h="16840"/>
          <w:pgMar w:top="540" w:bottom="280" w:left="1040" w:right="940"/>
        </w:sectPr>
      </w:pPr>
    </w:p>
    <w:p>
      <w:pPr>
        <w:pStyle w:val="Heading3"/>
        <w:numPr>
          <w:ilvl w:val="1"/>
          <w:numId w:val="10"/>
        </w:numPr>
        <w:tabs>
          <w:tab w:pos="903" w:val="left" w:leader="none"/>
          <w:tab w:pos="904" w:val="left" w:leader="none"/>
        </w:tabs>
        <w:spacing w:line="309" w:lineRule="exact" w:before="0" w:after="0"/>
        <w:ind w:left="2420" w:right="0" w:hanging="2318"/>
        <w:jc w:val="left"/>
      </w:pPr>
      <w:r>
        <w:rPr>
          <w:spacing w:val="3"/>
        </w:rPr>
        <w:t>侵蚀性葡萄胎</w:t>
      </w:r>
    </w:p>
    <w:p>
      <w:pPr>
        <w:spacing w:line="204" w:lineRule="auto" w:before="28"/>
        <w:ind w:left="904"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73" w:lineRule="auto" w:before="36"/>
        <w:ind w:left="102" w:right="110"/>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00" w:h="16840"/>
          <w:pgMar w:top="540" w:bottom="280" w:left="1040" w:right="940"/>
          <w:cols w:num="2" w:equalWidth="0">
            <w:col w:w="2214" w:space="104"/>
            <w:col w:w="7602"/>
          </w:cols>
        </w:sectPr>
      </w:pPr>
    </w:p>
    <w:p>
      <w:pPr>
        <w:pStyle w:val="BodyText"/>
        <w:spacing w:before="1"/>
        <w:rPr>
          <w:sz w:val="15"/>
        </w:rPr>
      </w:pPr>
    </w:p>
    <w:p>
      <w:pPr>
        <w:spacing w:after="0"/>
        <w:rPr>
          <w:sz w:val="15"/>
        </w:rPr>
        <w:sectPr>
          <w:type w:val="continuous"/>
          <w:pgSz w:w="11900" w:h="16840"/>
          <w:pgMar w:top="540" w:bottom="280" w:left="1040" w:right="940"/>
        </w:sectPr>
      </w:pPr>
    </w:p>
    <w:p>
      <w:pPr>
        <w:pStyle w:val="Heading3"/>
        <w:numPr>
          <w:ilvl w:val="1"/>
          <w:numId w:val="10"/>
        </w:numPr>
        <w:tabs>
          <w:tab w:pos="903" w:val="left" w:leader="none"/>
          <w:tab w:pos="904" w:val="left" w:leader="none"/>
        </w:tabs>
        <w:spacing w:line="306" w:lineRule="exact" w:before="0" w:after="0"/>
        <w:ind w:left="2420" w:right="0" w:hanging="2318"/>
        <w:jc w:val="left"/>
      </w:pPr>
      <w:r>
        <w:rPr>
          <w:spacing w:val="3"/>
        </w:rPr>
        <w:t>经输血导致的</w:t>
      </w:r>
    </w:p>
    <w:p>
      <w:pPr>
        <w:spacing w:line="336" w:lineRule="exact" w:before="0"/>
        <w:ind w:left="904" w:right="0" w:firstLine="0"/>
        <w:jc w:val="left"/>
        <w:rPr>
          <w:rFonts w:ascii="Microsoft JhengHei" w:eastAsia="Microsoft JhengHei" w:hint="eastAsia"/>
          <w:b/>
          <w:sz w:val="21"/>
        </w:rPr>
      </w:pPr>
      <w:r>
        <w:rPr>
          <w:rFonts w:ascii="Microsoft JhengHei" w:eastAsia="Microsoft JhengHei" w:hint="eastAsia"/>
          <w:b/>
          <w:sz w:val="21"/>
        </w:rPr>
        <w:t>感染艾滋病病</w:t>
      </w:r>
    </w:p>
    <w:p>
      <w:pPr>
        <w:pStyle w:val="BodyText"/>
        <w:spacing w:before="36"/>
        <w:ind w:left="102"/>
        <w:rPr>
          <w:rFonts w:ascii="黑体" w:eastAsia="黑体" w:hint="eastAsia"/>
        </w:rPr>
      </w:pPr>
      <w:r>
        <w:rPr/>
        <w:br w:type="column"/>
      </w:r>
      <w:r>
        <w:rPr/>
        <w:t>指被保险人感染艾滋病病毒或者患艾滋病</w:t>
      </w:r>
      <w:r>
        <w:rPr>
          <w:rFonts w:ascii="黑体" w:eastAsia="黑体" w:hint="eastAsia"/>
        </w:rPr>
        <w:t>且须满足下列全部条件：</w:t>
      </w:r>
    </w:p>
    <w:p>
      <w:pPr>
        <w:pStyle w:val="ListParagraph"/>
        <w:numPr>
          <w:ilvl w:val="0"/>
          <w:numId w:val="18"/>
        </w:numPr>
        <w:tabs>
          <w:tab w:pos="841" w:val="left" w:leader="none"/>
          <w:tab w:pos="842" w:val="left" w:leader="none"/>
        </w:tabs>
        <w:spacing w:line="240" w:lineRule="auto" w:before="113" w:after="0"/>
        <w:ind w:left="901" w:right="0" w:hanging="794"/>
        <w:jc w:val="left"/>
        <w:rPr>
          <w:sz w:val="21"/>
        </w:rPr>
      </w:pPr>
      <w:r>
        <w:rPr>
          <w:spacing w:val="-4"/>
          <w:sz w:val="21"/>
        </w:rPr>
        <w:t>在保险责任起始日或复效日之后因输血而感染；</w:t>
      </w:r>
    </w:p>
    <w:p>
      <w:pPr>
        <w:spacing w:after="0" w:line="240" w:lineRule="auto"/>
        <w:jc w:val="left"/>
        <w:rPr>
          <w:sz w:val="21"/>
        </w:rPr>
        <w:sectPr>
          <w:type w:val="continuous"/>
          <w:pgSz w:w="11900" w:h="16840"/>
          <w:pgMar w:top="540" w:bottom="280" w:left="1040" w:right="940"/>
          <w:cols w:num="2" w:equalWidth="0">
            <w:col w:w="2214" w:space="99"/>
            <w:col w:w="7607"/>
          </w:cols>
        </w:sectPr>
      </w:pPr>
    </w:p>
    <w:p>
      <w:pPr>
        <w:pStyle w:val="Heading3"/>
        <w:spacing w:line="204" w:lineRule="auto"/>
        <w:ind w:firstLine="0"/>
      </w:pPr>
      <w:r>
        <w:rPr/>
        <w:t>毒或者患艾滋病</w:t>
      </w:r>
    </w:p>
    <w:p>
      <w:pPr>
        <w:pStyle w:val="ListParagraph"/>
        <w:numPr>
          <w:ilvl w:val="0"/>
          <w:numId w:val="18"/>
        </w:numPr>
        <w:tabs>
          <w:tab w:pos="901" w:val="left" w:leader="none"/>
          <w:tab w:pos="902" w:val="left" w:leader="none"/>
        </w:tabs>
        <w:spacing w:line="271" w:lineRule="auto" w:before="90" w:after="0"/>
        <w:ind w:left="901" w:right="138" w:hanging="734"/>
        <w:jc w:val="left"/>
        <w:rPr>
          <w:sz w:val="21"/>
        </w:rPr>
      </w:pPr>
      <w:r>
        <w:rPr>
          <w:w w:val="100"/>
          <w:sz w:val="21"/>
        </w:rPr>
        <w:br w:type="column"/>
      </w:r>
      <w:r>
        <w:rPr>
          <w:spacing w:val="-5"/>
          <w:sz w:val="21"/>
        </w:rPr>
        <w:t>提供输血治疗的输血中心或医院出具的该项输血感染属医疗事故的报告， </w:t>
      </w:r>
      <w:r>
        <w:rPr>
          <w:sz w:val="21"/>
        </w:rPr>
        <w:t>或者法院确认被保险人系因输血导致感染艾滋病病毒或者患艾滋病的生效判决；</w:t>
      </w:r>
    </w:p>
    <w:p>
      <w:pPr>
        <w:pStyle w:val="ListParagraph"/>
        <w:numPr>
          <w:ilvl w:val="0"/>
          <w:numId w:val="18"/>
        </w:numPr>
        <w:tabs>
          <w:tab w:pos="901" w:val="left" w:leader="none"/>
          <w:tab w:pos="902" w:val="left" w:leader="none"/>
        </w:tabs>
        <w:spacing w:line="240" w:lineRule="auto" w:before="90" w:after="0"/>
        <w:ind w:left="901" w:right="0" w:hanging="734"/>
        <w:jc w:val="left"/>
        <w:rPr>
          <w:sz w:val="21"/>
        </w:rPr>
      </w:pPr>
      <w:r>
        <w:rPr>
          <w:rFonts w:ascii="黑体" w:eastAsia="黑体" w:hint="eastAsia"/>
          <w:spacing w:val="-3"/>
          <w:sz w:val="21"/>
        </w:rPr>
        <w:t>受感染的被保险人不是血友病患者</w:t>
      </w:r>
      <w:r>
        <w:rPr>
          <w:sz w:val="21"/>
        </w:rPr>
        <w:t>。</w:t>
      </w:r>
    </w:p>
    <w:p>
      <w:pPr>
        <w:pStyle w:val="BodyText"/>
        <w:spacing w:line="268" w:lineRule="auto"/>
        <w:ind w:left="162" w:right="211"/>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93"/>
        <w:ind w:left="167" w:right="210"/>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pgSz w:w="11900" w:h="16840"/>
          <w:pgMar w:top="1000" w:bottom="280" w:left="1040" w:right="840"/>
          <w:cols w:num="2" w:equalWidth="0">
            <w:col w:w="2214" w:space="40"/>
            <w:col w:w="7766"/>
          </w:cols>
        </w:sectPr>
      </w:pPr>
    </w:p>
    <w:p>
      <w:pPr>
        <w:pStyle w:val="BodyText"/>
        <w:spacing w:before="8"/>
        <w:rPr>
          <w:rFonts w:ascii="黑体"/>
          <w:sz w:val="14"/>
        </w:rPr>
      </w:pPr>
    </w:p>
    <w:p>
      <w:pPr>
        <w:spacing w:after="0"/>
        <w:rPr>
          <w:rFonts w:ascii="黑体"/>
          <w:sz w:val="14"/>
        </w:rPr>
        <w:sectPr>
          <w:type w:val="continuous"/>
          <w:pgSz w:w="11900" w:h="16840"/>
          <w:pgMar w:top="540" w:bottom="280" w:left="1040" w:right="840"/>
        </w:sectPr>
      </w:pPr>
    </w:p>
    <w:p>
      <w:pPr>
        <w:pStyle w:val="Heading3"/>
        <w:numPr>
          <w:ilvl w:val="1"/>
          <w:numId w:val="10"/>
        </w:numPr>
        <w:tabs>
          <w:tab w:pos="903" w:val="left" w:leader="none"/>
          <w:tab w:pos="904" w:val="left" w:leader="none"/>
        </w:tabs>
        <w:spacing w:line="307" w:lineRule="exact" w:before="0" w:after="0"/>
        <w:ind w:left="2420" w:right="0" w:hanging="2318"/>
        <w:jc w:val="left"/>
      </w:pPr>
      <w:r>
        <w:rPr>
          <w:spacing w:val="3"/>
        </w:rPr>
        <w:t>系统性红斑狼</w:t>
      </w:r>
    </w:p>
    <w:p>
      <w:pPr>
        <w:spacing w:line="204" w:lineRule="auto" w:before="25"/>
        <w:ind w:left="904" w:right="0" w:firstLine="0"/>
        <w:jc w:val="left"/>
        <w:rPr>
          <w:rFonts w:ascii="Microsoft JhengHei" w:eastAsia="Microsoft JhengHei" w:hint="eastAsia"/>
          <w:b/>
          <w:sz w:val="21"/>
        </w:rPr>
      </w:pPr>
      <w:r>
        <w:rPr>
          <w:rFonts w:ascii="Microsoft JhengHei" w:eastAsia="Microsoft JhengHei" w:hint="eastAsia"/>
          <w:b/>
          <w:sz w:val="21"/>
        </w:rPr>
        <w:t>疮并发重度的肾功能损害</w:t>
      </w:r>
    </w:p>
    <w:p>
      <w:pPr>
        <w:pStyle w:val="BodyText"/>
        <w:spacing w:before="37"/>
        <w:ind w:left="102"/>
      </w:pPr>
      <w:r>
        <w:rPr/>
        <w:br w:type="column"/>
      </w:r>
      <w:r>
        <w:rPr/>
        <w:t>指系统性红斑狼疮累及肾脏（经肾脏活检确认的，符合 WHO 诊断标准定义Ⅲ型或</w:t>
      </w:r>
    </w:p>
    <w:p>
      <w:pPr>
        <w:pStyle w:val="BodyText"/>
        <w:spacing w:before="32"/>
        <w:ind w:left="102"/>
      </w:pPr>
      <w:r>
        <w:rPr/>
        <w:t>Ⅲ型以上狼疮性肾炎）的系统性红斑狼疮。</w:t>
      </w:r>
    </w:p>
    <w:p>
      <w:pPr>
        <w:pStyle w:val="BodyText"/>
        <w:spacing w:line="268" w:lineRule="auto" w:before="118"/>
        <w:ind w:left="102" w:right="99"/>
      </w:pPr>
      <w:r>
        <w:rPr>
          <w:rFonts w:ascii="黑体" w:eastAsia="黑体" w:hint="eastAsia"/>
          <w:spacing w:val="-7"/>
        </w:rPr>
        <w:t>其他类型的红斑性狼疮，如盘状狼疮、仅累及血液及关节的狼疮不在保障范围内</w:t>
      </w:r>
      <w:r>
        <w:rPr/>
        <w:t>。</w:t>
      </w:r>
      <w:r>
        <w:rPr>
          <w:spacing w:val="-2"/>
        </w:rPr>
        <w:t>世界卫生组织</w:t>
      </w:r>
      <w:r>
        <w:rPr/>
        <w:t>（WHO）</w:t>
      </w:r>
      <w:r>
        <w:rPr>
          <w:spacing w:val="-2"/>
        </w:rPr>
        <w:t>狼疮性肾炎分型：</w:t>
      </w:r>
    </w:p>
    <w:p>
      <w:pPr>
        <w:pStyle w:val="BodyText"/>
        <w:spacing w:before="93"/>
        <w:ind w:left="102"/>
      </w:pPr>
      <w:r>
        <w:rPr/>
        <w:t>I 型微小病变型</w:t>
      </w:r>
    </w:p>
    <w:p>
      <w:pPr>
        <w:pStyle w:val="BodyText"/>
        <w:spacing w:before="114"/>
        <w:ind w:left="102"/>
      </w:pPr>
      <w:r>
        <w:rPr/>
        <w:t>Ⅱ型系膜病变型</w:t>
      </w:r>
    </w:p>
    <w:p>
      <w:pPr>
        <w:pStyle w:val="BodyText"/>
        <w:spacing w:before="119"/>
        <w:ind w:left="102"/>
      </w:pPr>
      <w:r>
        <w:rPr/>
        <w:t>Ⅲ型局灶及节段增生型</w:t>
      </w:r>
    </w:p>
    <w:p>
      <w:pPr>
        <w:pStyle w:val="BodyText"/>
        <w:spacing w:before="114"/>
        <w:ind w:left="102"/>
      </w:pPr>
      <w:r>
        <w:rPr/>
        <w:t>Ⅳ型弥漫增生型</w:t>
      </w:r>
    </w:p>
    <w:p>
      <w:pPr>
        <w:pStyle w:val="ListParagraph"/>
        <w:numPr>
          <w:ilvl w:val="0"/>
          <w:numId w:val="19"/>
        </w:numPr>
        <w:tabs>
          <w:tab w:pos="261" w:val="left" w:leader="none"/>
        </w:tabs>
        <w:spacing w:line="240" w:lineRule="auto" w:before="114" w:after="0"/>
        <w:ind w:left="260" w:right="0" w:hanging="158"/>
        <w:jc w:val="left"/>
        <w:rPr>
          <w:sz w:val="21"/>
        </w:rPr>
      </w:pPr>
      <w:r>
        <w:rPr>
          <w:sz w:val="21"/>
        </w:rPr>
        <w:t>型膜型</w:t>
      </w:r>
    </w:p>
    <w:p>
      <w:pPr>
        <w:pStyle w:val="ListParagraph"/>
        <w:numPr>
          <w:ilvl w:val="0"/>
          <w:numId w:val="19"/>
        </w:numPr>
        <w:tabs>
          <w:tab w:pos="367" w:val="left" w:leader="none"/>
        </w:tabs>
        <w:spacing w:line="240" w:lineRule="auto" w:before="114" w:after="0"/>
        <w:ind w:left="366" w:right="0" w:hanging="264"/>
        <w:jc w:val="left"/>
        <w:rPr>
          <w:sz w:val="21"/>
        </w:rPr>
      </w:pPr>
      <w:r>
        <w:rPr>
          <w:spacing w:val="-2"/>
          <w:sz w:val="21"/>
        </w:rPr>
        <w:t>型肾小球硬化型</w:t>
      </w:r>
    </w:p>
    <w:p>
      <w:pPr>
        <w:spacing w:after="0" w:line="240" w:lineRule="auto"/>
        <w:jc w:val="left"/>
        <w:rPr>
          <w:sz w:val="21"/>
        </w:rPr>
        <w:sectPr>
          <w:type w:val="continuous"/>
          <w:pgSz w:w="11900" w:h="16840"/>
          <w:pgMar w:top="540" w:bottom="280" w:left="1040" w:right="840"/>
          <w:cols w:num="2" w:equalWidth="0">
            <w:col w:w="2214" w:space="104"/>
            <w:col w:w="7702"/>
          </w:cols>
        </w:sectPr>
      </w:pPr>
    </w:p>
    <w:p>
      <w:pPr>
        <w:pStyle w:val="BodyText"/>
        <w:spacing w:before="12"/>
        <w:rPr>
          <w:sz w:val="16"/>
        </w:rPr>
      </w:pPr>
    </w:p>
    <w:p>
      <w:pPr>
        <w:pStyle w:val="ListParagraph"/>
        <w:numPr>
          <w:ilvl w:val="1"/>
          <w:numId w:val="10"/>
        </w:numPr>
        <w:tabs>
          <w:tab w:pos="903" w:val="left" w:leader="none"/>
          <w:tab w:pos="904" w:val="left" w:leader="none"/>
          <w:tab w:pos="2420" w:val="left" w:leader="none"/>
        </w:tabs>
        <w:spacing w:line="308" w:lineRule="exact" w:before="35" w:after="0"/>
        <w:ind w:left="2420" w:right="210" w:hanging="2318"/>
        <w:jc w:val="left"/>
        <w:rPr>
          <w:sz w:val="21"/>
        </w:rPr>
      </w:pPr>
      <w:r>
        <w:rPr>
          <w:rFonts w:ascii="Microsoft JhengHei" w:eastAsia="Microsoft JhengHei" w:hint="eastAsia"/>
          <w:b/>
          <w:sz w:val="21"/>
        </w:rPr>
        <w:t>重症肌无力</w:t>
        <w:tab/>
      </w:r>
      <w:r>
        <w:rPr>
          <w:sz w:val="21"/>
        </w:rPr>
        <w:t>指一种神经与肌肉接头部位传递障碍的自身免疫性</w:t>
      </w:r>
      <w:r>
        <w:rPr>
          <w:spacing w:val="-5"/>
          <w:sz w:val="21"/>
        </w:rPr>
        <w:t>疾</w:t>
      </w:r>
      <w:r>
        <w:rPr>
          <w:sz w:val="21"/>
        </w:rPr>
        <w:t>病，临床特征是局部或全身 横纹肌于活动时易于疲劳无力，颅神经眼外肌最易</w:t>
      </w:r>
      <w:r>
        <w:rPr>
          <w:spacing w:val="-5"/>
          <w:sz w:val="21"/>
        </w:rPr>
        <w:t>累</w:t>
      </w:r>
      <w:r>
        <w:rPr>
          <w:sz w:val="21"/>
        </w:rPr>
        <w:t>及，也可涉及呼吸肌、下肢</w:t>
      </w:r>
    </w:p>
    <w:p>
      <w:pPr>
        <w:pStyle w:val="BodyText"/>
        <w:spacing w:before="4"/>
        <w:ind w:left="2420"/>
        <w:rPr>
          <w:rFonts w:ascii="黑体" w:eastAsia="黑体" w:hint="eastAsia"/>
        </w:rPr>
      </w:pPr>
      <w:r>
        <w:rPr/>
        <w:t>近端肌群以至全身肌肉。</w:t>
      </w:r>
      <w:r>
        <w:rPr>
          <w:rFonts w:ascii="黑体" w:eastAsia="黑体" w:hint="eastAsia"/>
        </w:rPr>
        <w:t>且须满足下列全部条件：</w:t>
      </w:r>
    </w:p>
    <w:p>
      <w:pPr>
        <w:pStyle w:val="ListParagraph"/>
        <w:numPr>
          <w:ilvl w:val="0"/>
          <w:numId w:val="20"/>
        </w:numPr>
        <w:tabs>
          <w:tab w:pos="3155" w:val="left" w:leader="none"/>
          <w:tab w:pos="3156" w:val="left" w:leader="none"/>
        </w:tabs>
        <w:spacing w:line="240" w:lineRule="auto" w:before="118" w:after="0"/>
        <w:ind w:left="3155" w:right="0" w:hanging="735"/>
        <w:jc w:val="left"/>
        <w:rPr>
          <w:sz w:val="21"/>
        </w:rPr>
      </w:pPr>
      <w:r>
        <w:rPr>
          <w:spacing w:val="-5"/>
          <w:sz w:val="21"/>
        </w:rPr>
        <w:t>经药物治疗和胸腺手术治疗一年以上无法控制病情；</w:t>
      </w:r>
    </w:p>
    <w:p>
      <w:pPr>
        <w:pStyle w:val="ListParagraph"/>
        <w:numPr>
          <w:ilvl w:val="0"/>
          <w:numId w:val="20"/>
        </w:numPr>
        <w:tabs>
          <w:tab w:pos="3155" w:val="left" w:leader="none"/>
          <w:tab w:pos="3156" w:val="left" w:leader="none"/>
        </w:tabs>
        <w:spacing w:line="268" w:lineRule="auto" w:before="114" w:after="0"/>
        <w:ind w:left="3155" w:right="205" w:hanging="735"/>
        <w:jc w:val="left"/>
        <w:rPr>
          <w:sz w:val="21"/>
        </w:rPr>
      </w:pPr>
      <w:r>
        <w:rPr>
          <w:spacing w:val="-9"/>
          <w:sz w:val="21"/>
        </w:rPr>
        <w:t>自主生活能力完全丧失，无法独立完成六项基本日常生活活动中的三项或三项以上。</w:t>
      </w:r>
    </w:p>
    <w:p>
      <w:pPr>
        <w:pStyle w:val="BodyText"/>
        <w:spacing w:before="0"/>
        <w:rPr>
          <w:sz w:val="15"/>
        </w:rPr>
      </w:pPr>
    </w:p>
    <w:p>
      <w:pPr>
        <w:spacing w:after="0"/>
        <w:rPr>
          <w:sz w:val="15"/>
        </w:rPr>
        <w:sectPr>
          <w:type w:val="continuous"/>
          <w:pgSz w:w="11900" w:h="16840"/>
          <w:pgMar w:top="540" w:bottom="280" w:left="1040" w:right="840"/>
        </w:sectPr>
      </w:pPr>
    </w:p>
    <w:p>
      <w:pPr>
        <w:pStyle w:val="Heading3"/>
        <w:numPr>
          <w:ilvl w:val="1"/>
          <w:numId w:val="10"/>
        </w:numPr>
        <w:tabs>
          <w:tab w:pos="903" w:val="left" w:leader="none"/>
          <w:tab w:pos="904" w:val="left" w:leader="none"/>
        </w:tabs>
        <w:spacing w:line="309" w:lineRule="exact" w:before="0" w:after="0"/>
        <w:ind w:left="2420" w:right="0" w:hanging="2318"/>
        <w:jc w:val="left"/>
      </w:pPr>
      <w:r>
        <w:rPr>
          <w:spacing w:val="3"/>
        </w:rPr>
        <w:t>持续植物人状</w:t>
      </w:r>
    </w:p>
    <w:p>
      <w:pPr>
        <w:spacing w:line="339" w:lineRule="exact" w:before="0"/>
        <w:ind w:left="0" w:right="192" w:firstLine="0"/>
        <w:jc w:val="center"/>
        <w:rPr>
          <w:rFonts w:ascii="Microsoft JhengHei" w:eastAsia="Microsoft JhengHei" w:hint="eastAsia"/>
          <w:b/>
          <w:sz w:val="21"/>
        </w:rPr>
      </w:pPr>
      <w:r>
        <w:rPr>
          <w:rFonts w:ascii="Microsoft JhengHei" w:eastAsia="Microsoft JhengHei" w:hint="eastAsia"/>
          <w:b/>
          <w:w w:val="100"/>
          <w:sz w:val="21"/>
        </w:rPr>
        <w:t>态</w:t>
      </w:r>
    </w:p>
    <w:p>
      <w:pPr>
        <w:pStyle w:val="BodyText"/>
        <w:spacing w:line="273" w:lineRule="auto" w:before="36"/>
        <w:ind w:left="107" w:right="210" w:hanging="5"/>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1"/>
        </w:numPr>
        <w:tabs>
          <w:tab w:pos="842" w:val="left" w:leader="none"/>
        </w:tabs>
        <w:spacing w:line="240" w:lineRule="auto" w:before="88" w:after="0"/>
        <w:ind w:left="841" w:right="0" w:hanging="734"/>
        <w:jc w:val="both"/>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21"/>
        </w:numPr>
        <w:tabs>
          <w:tab w:pos="842" w:val="left" w:leader="none"/>
        </w:tabs>
        <w:spacing w:line="240" w:lineRule="auto" w:before="113" w:after="0"/>
        <w:ind w:left="841" w:right="0" w:hanging="734"/>
        <w:jc w:val="both"/>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spacing w:after="0" w:line="240" w:lineRule="auto"/>
        <w:jc w:val="both"/>
        <w:rPr>
          <w:sz w:val="21"/>
        </w:rPr>
        <w:sectPr>
          <w:type w:val="continuous"/>
          <w:pgSz w:w="11900" w:h="16840"/>
          <w:pgMar w:top="540" w:bottom="280" w:left="1040" w:right="840"/>
          <w:cols w:num="2" w:equalWidth="0">
            <w:col w:w="2214" w:space="99"/>
            <w:col w:w="7707"/>
          </w:cols>
        </w:sectPr>
      </w:pPr>
    </w:p>
    <w:p>
      <w:pPr>
        <w:pStyle w:val="BodyText"/>
        <w:spacing w:before="7"/>
        <w:rPr>
          <w:sz w:val="16"/>
        </w:rPr>
      </w:pPr>
    </w:p>
    <w:p>
      <w:pPr>
        <w:spacing w:after="0"/>
        <w:rPr>
          <w:sz w:val="16"/>
        </w:rPr>
        <w:sectPr>
          <w:type w:val="continuous"/>
          <w:pgSz w:w="11900" w:h="16840"/>
          <w:pgMar w:top="540" w:bottom="280" w:left="1040" w:right="840"/>
        </w:sectPr>
      </w:pPr>
    </w:p>
    <w:p>
      <w:pPr>
        <w:pStyle w:val="Heading3"/>
        <w:numPr>
          <w:ilvl w:val="1"/>
          <w:numId w:val="10"/>
        </w:numPr>
        <w:tabs>
          <w:tab w:pos="903" w:val="left" w:leader="none"/>
          <w:tab w:pos="904" w:val="left" w:leader="none"/>
        </w:tabs>
        <w:spacing w:line="201" w:lineRule="auto" w:before="28" w:after="0"/>
        <w:ind w:left="904" w:right="0" w:hanging="802"/>
        <w:jc w:val="left"/>
      </w:pPr>
      <w:r>
        <w:rPr>
          <w:spacing w:val="3"/>
        </w:rPr>
        <w:t>严重原发性心肌病</w:t>
      </w:r>
    </w:p>
    <w:p>
      <w:pPr>
        <w:pStyle w:val="BodyText"/>
        <w:spacing w:line="271" w:lineRule="auto" w:before="36"/>
        <w:ind w:left="107" w:right="210"/>
        <w:jc w:val="both"/>
      </w:pPr>
      <w:r>
        <w:rPr/>
        <w:br w:type="column"/>
      </w:r>
      <w:r>
        <w:rPr>
          <w:spacing w:val="-1"/>
        </w:rPr>
        <w:t>指不明原因引起的一类心肌病变，包括原发性扩张型心肌病、原发性肥厚型心肌</w:t>
      </w:r>
      <w:r>
        <w:rPr>
          <w:spacing w:val="-2"/>
        </w:rPr>
        <w:t>病及原发性限制型心肌病三种，病变必须已造成事实上心室功能障碍而出现明显的心功能衰竭（</w:t>
      </w:r>
      <w:r>
        <w:rPr>
          <w:spacing w:val="-3"/>
        </w:rPr>
        <w:t>指按照美国纽约心脏病学会提出的心功能状态分级的标准判定， </w:t>
      </w:r>
      <w:r>
        <w:rPr>
          <w:spacing w:val="-9"/>
        </w:rPr>
        <w:t>心功能状态已达到 </w:t>
      </w:r>
      <w:r>
        <w:rPr/>
        <w:t>IV</w:t>
      </w:r>
      <w:r>
        <w:rPr>
          <w:spacing w:val="-24"/>
        </w:rPr>
        <w:t> 级</w:t>
      </w:r>
      <w:r>
        <w:rPr>
          <w:spacing w:val="-73"/>
        </w:rPr>
        <w:t>）</w:t>
      </w:r>
      <w:r>
        <w:rPr>
          <w:spacing w:val="-13"/>
        </w:rPr>
        <w:t>，且有相关住院医疗记录显示 </w:t>
      </w:r>
      <w:r>
        <w:rPr/>
        <w:t>IV</w:t>
      </w:r>
      <w:r>
        <w:rPr>
          <w:spacing w:val="-11"/>
        </w:rPr>
        <w:t> 级心功能衰竭状态。本病须经本公司认可的医院的专科医生明确诊断。理赔时需提供超声心动图或其它</w:t>
      </w:r>
      <w:r>
        <w:rPr>
          <w:spacing w:val="-7"/>
        </w:rPr>
        <w:t>支持性检查结果及诊断报告。</w:t>
      </w:r>
    </w:p>
    <w:p>
      <w:pPr>
        <w:pStyle w:val="BodyText"/>
        <w:spacing w:before="91"/>
        <w:ind w:left="102"/>
        <w:rPr>
          <w:rFonts w:ascii="黑体" w:eastAsia="黑体" w:hint="eastAsia"/>
        </w:rPr>
      </w:pPr>
      <w:r>
        <w:rPr>
          <w:rFonts w:ascii="黑体" w:eastAsia="黑体" w:hint="eastAsia"/>
        </w:rPr>
        <w:t>酗酒或者滥用药物引起的心肌病不在保障范围内。</w:t>
      </w:r>
    </w:p>
    <w:p>
      <w:pPr>
        <w:pStyle w:val="BodyText"/>
        <w:spacing w:line="268" w:lineRule="auto" w:before="119"/>
        <w:ind w:left="107" w:right="210" w:hanging="5"/>
        <w:jc w:val="both"/>
      </w:pPr>
      <w:r>
        <w:rPr/>
        <w:t>注：美国纽约心脏病学会心功能状态分级Ⅳ级是指不能从事任何体力活动，休息时亦有症状。</w:t>
      </w:r>
    </w:p>
    <w:p>
      <w:pPr>
        <w:spacing w:after="0" w:line="268" w:lineRule="auto"/>
        <w:jc w:val="both"/>
        <w:sectPr>
          <w:type w:val="continuous"/>
          <w:pgSz w:w="11900" w:h="16840"/>
          <w:pgMar w:top="540" w:bottom="280" w:left="1040" w:right="840"/>
          <w:cols w:num="2" w:equalWidth="0">
            <w:col w:w="2215" w:space="99"/>
            <w:col w:w="7706"/>
          </w:cols>
        </w:sectPr>
      </w:pPr>
    </w:p>
    <w:p>
      <w:pPr>
        <w:pStyle w:val="BodyText"/>
        <w:spacing w:before="0"/>
        <w:rPr>
          <w:sz w:val="15"/>
        </w:rPr>
      </w:pPr>
    </w:p>
    <w:p>
      <w:pPr>
        <w:pStyle w:val="ListParagraph"/>
        <w:numPr>
          <w:ilvl w:val="1"/>
          <w:numId w:val="10"/>
        </w:numPr>
        <w:tabs>
          <w:tab w:pos="903" w:val="left" w:leader="none"/>
          <w:tab w:pos="904" w:val="left" w:leader="none"/>
          <w:tab w:pos="2420" w:val="left" w:leader="none"/>
        </w:tabs>
        <w:spacing w:line="335" w:lineRule="exact" w:before="0" w:after="0"/>
        <w:ind w:left="2420" w:right="0" w:hanging="2318"/>
        <w:jc w:val="left"/>
        <w:rPr>
          <w:sz w:val="21"/>
        </w:rPr>
      </w:pPr>
      <w:r>
        <w:rPr>
          <w:rFonts w:ascii="Microsoft JhengHei" w:eastAsia="Microsoft JhengHei" w:hint="eastAsia"/>
          <w:b/>
          <w:spacing w:val="7"/>
          <w:sz w:val="21"/>
        </w:rPr>
        <w:t>严重</w:t>
      </w:r>
      <w:r>
        <w:rPr>
          <w:rFonts w:ascii="Microsoft JhengHei" w:eastAsia="Microsoft JhengHei" w:hint="eastAsia"/>
          <w:b/>
          <w:spacing w:val="2"/>
          <w:sz w:val="21"/>
        </w:rPr>
        <w:t>溃</w:t>
      </w:r>
      <w:r>
        <w:rPr>
          <w:rFonts w:ascii="Microsoft JhengHei" w:eastAsia="Microsoft JhengHei" w:hint="eastAsia"/>
          <w:b/>
          <w:spacing w:val="7"/>
          <w:sz w:val="21"/>
        </w:rPr>
        <w:t>疡性</w:t>
      </w:r>
      <w:r>
        <w:rPr>
          <w:rFonts w:ascii="Microsoft JhengHei" w:eastAsia="Microsoft JhengHei" w:hint="eastAsia"/>
          <w:b/>
          <w:sz w:val="21"/>
        </w:rPr>
        <w:t>结</w:t>
        <w:tab/>
      </w:r>
      <w:r>
        <w:rPr>
          <w:sz w:val="21"/>
        </w:rPr>
        <w:t>指伴有致命性电解质紊乱的急性暴发性溃疡性结肠</w:t>
      </w:r>
      <w:r>
        <w:rPr>
          <w:spacing w:val="-4"/>
          <w:sz w:val="21"/>
        </w:rPr>
        <w:t>炎</w:t>
      </w:r>
      <w:r>
        <w:rPr>
          <w:sz w:val="21"/>
        </w:rPr>
        <w:t>，病变累及全结肠，表现为</w:t>
      </w:r>
    </w:p>
    <w:p>
      <w:pPr>
        <w:spacing w:after="0" w:line="335" w:lineRule="exact"/>
        <w:jc w:val="left"/>
        <w:rPr>
          <w:sz w:val="21"/>
        </w:rPr>
        <w:sectPr>
          <w:type w:val="continuous"/>
          <w:pgSz w:w="11900" w:h="16840"/>
          <w:pgMar w:top="540" w:bottom="280" w:left="1040" w:right="840"/>
        </w:sectPr>
      </w:pPr>
    </w:p>
    <w:p>
      <w:pPr>
        <w:pStyle w:val="BodyText"/>
        <w:tabs>
          <w:tab w:pos="2540" w:val="left" w:leader="none"/>
        </w:tabs>
        <w:spacing w:line="312" w:lineRule="exact" w:before="4"/>
        <w:ind w:left="2540" w:right="210" w:hanging="1517"/>
      </w:pPr>
      <w:r>
        <w:rPr>
          <w:rFonts w:ascii="Microsoft JhengHei" w:eastAsia="Microsoft JhengHei" w:hint="eastAsia"/>
          <w:b/>
        </w:rPr>
        <w:t>肠炎</w:t>
        <w:tab/>
      </w:r>
      <w:r>
        <w:rPr/>
        <w:t>严重的血便和系统性症状体征，须根据组织病理学</w:t>
      </w:r>
      <w:r>
        <w:rPr>
          <w:spacing w:val="-5"/>
        </w:rPr>
        <w:t>特</w:t>
      </w:r>
      <w:r>
        <w:rPr/>
        <w:t>点诊断，并且被保险人已经 接受了全</w:t>
      </w:r>
      <w:r>
        <w:rPr>
          <w:spacing w:val="-5"/>
        </w:rPr>
        <w:t>结</w:t>
      </w:r>
      <w:r>
        <w:rPr/>
        <w:t>肠切除</w:t>
      </w:r>
      <w:r>
        <w:rPr>
          <w:spacing w:val="-5"/>
        </w:rPr>
        <w:t>和</w:t>
      </w:r>
      <w:r>
        <w:rPr/>
        <w:t>回肠造</w:t>
      </w:r>
      <w:r>
        <w:rPr>
          <w:spacing w:val="-5"/>
        </w:rPr>
        <w:t>瘘</w:t>
      </w:r>
      <w:r>
        <w:rPr/>
        <w:t>术。</w:t>
      </w:r>
    </w:p>
    <w:p>
      <w:pPr>
        <w:pStyle w:val="BodyText"/>
        <w:spacing w:before="4"/>
        <w:rPr>
          <w:sz w:val="14"/>
        </w:rPr>
      </w:pPr>
    </w:p>
    <w:p>
      <w:pPr>
        <w:spacing w:after="0"/>
        <w:rPr>
          <w:sz w:val="14"/>
        </w:rPr>
        <w:sectPr>
          <w:pgSz w:w="11900" w:h="16840"/>
          <w:pgMar w:top="1000" w:bottom="280" w:left="920" w:right="840"/>
        </w:sectPr>
      </w:pPr>
    </w:p>
    <w:p>
      <w:pPr>
        <w:pStyle w:val="Heading3"/>
        <w:numPr>
          <w:ilvl w:val="1"/>
          <w:numId w:val="10"/>
        </w:numPr>
        <w:tabs>
          <w:tab w:pos="1023" w:val="left" w:leader="none"/>
          <w:tab w:pos="1024" w:val="left" w:leader="none"/>
        </w:tabs>
        <w:spacing w:line="307" w:lineRule="exact" w:before="0" w:after="0"/>
        <w:ind w:left="1024" w:right="0" w:hanging="802"/>
        <w:jc w:val="left"/>
      </w:pPr>
      <w:r>
        <w:rPr>
          <w:spacing w:val="3"/>
        </w:rPr>
        <w:t>溶血性链球菌</w:t>
      </w:r>
    </w:p>
    <w:p>
      <w:pPr>
        <w:spacing w:line="336" w:lineRule="exact" w:before="0"/>
        <w:ind w:left="1024" w:right="0" w:firstLine="0"/>
        <w:jc w:val="left"/>
        <w:rPr>
          <w:rFonts w:ascii="Microsoft JhengHei" w:eastAsia="Microsoft JhengHei" w:hint="eastAsia"/>
          <w:b/>
          <w:sz w:val="21"/>
        </w:rPr>
      </w:pPr>
      <w:r>
        <w:rPr>
          <w:rFonts w:ascii="Microsoft JhengHei" w:eastAsia="Microsoft JhengHei" w:hint="eastAsia"/>
          <w:b/>
          <w:sz w:val="21"/>
        </w:rPr>
        <w:t>引起的坏疽</w:t>
      </w:r>
    </w:p>
    <w:p>
      <w:pPr>
        <w:pStyle w:val="BodyText"/>
        <w:spacing w:line="271" w:lineRule="auto" w:before="37"/>
        <w:ind w:left="167" w:right="210"/>
        <w:jc w:val="both"/>
      </w:pPr>
      <w:r>
        <w:rPr/>
        <w:br w:type="column"/>
      </w:r>
      <w:r>
        <w:rPr/>
        <w:t>指包围肢体或躯干的浅筋膜或深筋膜受到溶血性链球菌的感染，病情在短时间内急剧恶化，且已经立刻进行了手术治疗。最后的诊断必须由微生物或病理学专家进行相关检查后证实。</w:t>
      </w:r>
    </w:p>
    <w:p>
      <w:pPr>
        <w:spacing w:after="0" w:line="271" w:lineRule="auto"/>
        <w:jc w:val="both"/>
        <w:sectPr>
          <w:type w:val="continuous"/>
          <w:pgSz w:w="11900" w:h="16840"/>
          <w:pgMar w:top="540" w:bottom="280" w:left="920" w:right="840"/>
          <w:cols w:num="2" w:equalWidth="0">
            <w:col w:w="2334" w:space="40"/>
            <w:col w:w="7766"/>
          </w:cols>
        </w:sectPr>
      </w:pPr>
    </w:p>
    <w:p>
      <w:pPr>
        <w:pStyle w:val="BodyText"/>
        <w:spacing w:before="11"/>
        <w:rPr>
          <w:sz w:val="14"/>
        </w:rPr>
      </w:pPr>
    </w:p>
    <w:p>
      <w:pPr>
        <w:pStyle w:val="ListParagraph"/>
        <w:numPr>
          <w:ilvl w:val="1"/>
          <w:numId w:val="10"/>
        </w:numPr>
        <w:tabs>
          <w:tab w:pos="1023" w:val="left" w:leader="none"/>
          <w:tab w:pos="1024" w:val="left" w:leader="none"/>
          <w:tab w:pos="2540" w:val="left" w:leader="none"/>
        </w:tabs>
        <w:spacing w:line="308" w:lineRule="exact" w:before="35" w:after="0"/>
        <w:ind w:left="2540" w:right="104" w:hanging="2318"/>
        <w:jc w:val="left"/>
        <w:rPr>
          <w:rFonts w:ascii="黑体" w:eastAsia="黑体" w:hint="eastAsia"/>
          <w:sz w:val="21"/>
        </w:rPr>
      </w:pPr>
      <w:r>
        <w:rPr>
          <w:rFonts w:ascii="Microsoft JhengHei" w:eastAsia="Microsoft JhengHei" w:hint="eastAsia"/>
          <w:b/>
          <w:sz w:val="21"/>
        </w:rPr>
        <w:t>坏死性筋膜炎</w:t>
        <w:tab/>
      </w:r>
      <w:r>
        <w:rPr>
          <w:spacing w:val="-1"/>
          <w:sz w:val="21"/>
        </w:rPr>
        <w:t>是</w:t>
      </w:r>
      <w:r>
        <w:rPr>
          <w:sz w:val="21"/>
        </w:rPr>
        <w:t>一种由</w:t>
      </w:r>
      <w:r>
        <w:rPr>
          <w:spacing w:val="-5"/>
          <w:sz w:val="21"/>
        </w:rPr>
        <w:t>细</w:t>
      </w:r>
      <w:r>
        <w:rPr>
          <w:sz w:val="21"/>
        </w:rPr>
        <w:t>菌侵入</w:t>
      </w:r>
      <w:r>
        <w:rPr>
          <w:spacing w:val="-5"/>
          <w:sz w:val="21"/>
        </w:rPr>
        <w:t>皮</w:t>
      </w:r>
      <w:r>
        <w:rPr>
          <w:sz w:val="21"/>
        </w:rPr>
        <w:t>下组织</w:t>
      </w:r>
      <w:r>
        <w:rPr>
          <w:spacing w:val="-5"/>
          <w:sz w:val="21"/>
        </w:rPr>
        <w:t>和</w:t>
      </w:r>
      <w:r>
        <w:rPr>
          <w:sz w:val="21"/>
        </w:rPr>
        <w:t>筋膜引</w:t>
      </w:r>
      <w:r>
        <w:rPr>
          <w:spacing w:val="-5"/>
          <w:sz w:val="21"/>
        </w:rPr>
        <w:t>起</w:t>
      </w:r>
      <w:r>
        <w:rPr>
          <w:sz w:val="21"/>
        </w:rPr>
        <w:t>的急性</w:t>
      </w:r>
      <w:r>
        <w:rPr>
          <w:spacing w:val="-5"/>
          <w:sz w:val="21"/>
        </w:rPr>
        <w:t>坏</w:t>
      </w:r>
      <w:r>
        <w:rPr>
          <w:sz w:val="21"/>
        </w:rPr>
        <w:t>死</w:t>
      </w:r>
      <w:r>
        <w:rPr>
          <w:spacing w:val="-5"/>
          <w:sz w:val="21"/>
        </w:rPr>
        <w:t>性</w:t>
      </w:r>
      <w:r>
        <w:rPr>
          <w:sz w:val="21"/>
        </w:rPr>
        <w:t>软组织感染</w:t>
      </w:r>
      <w:r>
        <w:rPr>
          <w:spacing w:val="-72"/>
          <w:sz w:val="21"/>
        </w:rPr>
        <w:t>，</w:t>
      </w:r>
      <w:r>
        <w:rPr>
          <w:spacing w:val="-5"/>
          <w:sz w:val="21"/>
        </w:rPr>
        <w:t>可</w:t>
      </w:r>
      <w:r>
        <w:rPr>
          <w:sz w:val="21"/>
        </w:rPr>
        <w:t>伴有毒</w:t>
      </w:r>
      <w:r>
        <w:rPr>
          <w:spacing w:val="-5"/>
          <w:sz w:val="21"/>
        </w:rPr>
        <w:t>血</w:t>
      </w:r>
      <w:r>
        <w:rPr>
          <w:sz w:val="21"/>
        </w:rPr>
        <w:t>症、 </w:t>
      </w:r>
      <w:r>
        <w:rPr>
          <w:spacing w:val="-1"/>
          <w:sz w:val="21"/>
        </w:rPr>
        <w:t>败</w:t>
      </w:r>
      <w:r>
        <w:rPr>
          <w:sz w:val="21"/>
        </w:rPr>
        <w:t>血症</w:t>
      </w:r>
      <w:r>
        <w:rPr>
          <w:spacing w:val="-24"/>
          <w:sz w:val="21"/>
        </w:rPr>
        <w:t>、</w:t>
      </w:r>
      <w:r>
        <w:rPr>
          <w:sz w:val="21"/>
        </w:rPr>
        <w:t>中</w:t>
      </w:r>
      <w:r>
        <w:rPr>
          <w:spacing w:val="-5"/>
          <w:sz w:val="21"/>
        </w:rPr>
        <w:t>毒</w:t>
      </w:r>
      <w:r>
        <w:rPr>
          <w:sz w:val="21"/>
        </w:rPr>
        <w:t>性休克</w:t>
      </w:r>
      <w:r>
        <w:rPr>
          <w:spacing w:val="-29"/>
          <w:sz w:val="21"/>
        </w:rPr>
        <w:t>、</w:t>
      </w:r>
      <w:r>
        <w:rPr>
          <w:sz w:val="21"/>
        </w:rPr>
        <w:t>弥漫性</w:t>
      </w:r>
      <w:r>
        <w:rPr>
          <w:spacing w:val="-5"/>
          <w:sz w:val="21"/>
        </w:rPr>
        <w:t>血</w:t>
      </w:r>
      <w:r>
        <w:rPr>
          <w:sz w:val="21"/>
        </w:rPr>
        <w:t>管内凝</w:t>
      </w:r>
      <w:r>
        <w:rPr>
          <w:spacing w:val="-5"/>
          <w:sz w:val="21"/>
        </w:rPr>
        <w:t>血</w:t>
      </w:r>
      <w:r>
        <w:rPr>
          <w:sz w:val="21"/>
        </w:rPr>
        <w:t>及多器</w:t>
      </w:r>
      <w:r>
        <w:rPr>
          <w:spacing w:val="-5"/>
          <w:sz w:val="21"/>
        </w:rPr>
        <w:t>官衰</w:t>
      </w:r>
      <w:r>
        <w:rPr>
          <w:sz w:val="21"/>
        </w:rPr>
        <w:t>竭</w:t>
      </w:r>
      <w:r>
        <w:rPr>
          <w:spacing w:val="-24"/>
          <w:sz w:val="21"/>
        </w:rPr>
        <w:t>。</w:t>
      </w:r>
      <w:r>
        <w:rPr>
          <w:rFonts w:ascii="黑体" w:eastAsia="黑体" w:hint="eastAsia"/>
          <w:sz w:val="21"/>
        </w:rPr>
        <w:t>必须满</w:t>
      </w:r>
      <w:r>
        <w:rPr>
          <w:rFonts w:ascii="黑体" w:eastAsia="黑体" w:hint="eastAsia"/>
          <w:spacing w:val="-5"/>
          <w:sz w:val="21"/>
        </w:rPr>
        <w:t>足</w:t>
      </w:r>
      <w:r>
        <w:rPr>
          <w:rFonts w:ascii="黑体" w:eastAsia="黑体" w:hint="eastAsia"/>
          <w:sz w:val="21"/>
        </w:rPr>
        <w:t>以下所</w:t>
      </w:r>
      <w:r>
        <w:rPr>
          <w:rFonts w:ascii="黑体" w:eastAsia="黑体" w:hint="eastAsia"/>
          <w:spacing w:val="-5"/>
          <w:sz w:val="21"/>
        </w:rPr>
        <w:t>有</w:t>
      </w:r>
      <w:r>
        <w:rPr>
          <w:rFonts w:ascii="黑体" w:eastAsia="黑体" w:hint="eastAsia"/>
          <w:sz w:val="21"/>
        </w:rPr>
        <w:t>条件：</w:t>
      </w:r>
    </w:p>
    <w:p>
      <w:pPr>
        <w:pStyle w:val="ListParagraph"/>
        <w:numPr>
          <w:ilvl w:val="0"/>
          <w:numId w:val="22"/>
        </w:numPr>
        <w:tabs>
          <w:tab w:pos="3275" w:val="left" w:leader="none"/>
          <w:tab w:pos="3276" w:val="left" w:leader="none"/>
        </w:tabs>
        <w:spacing w:line="240" w:lineRule="auto" w:before="86" w:after="0"/>
        <w:ind w:left="3275" w:right="0" w:hanging="735"/>
        <w:jc w:val="left"/>
        <w:rPr>
          <w:sz w:val="21"/>
        </w:rPr>
      </w:pPr>
      <w:r>
        <w:rPr>
          <w:spacing w:val="-3"/>
          <w:sz w:val="21"/>
        </w:rPr>
        <w:t>符合坏死性筋膜炎的一般临床表现；</w:t>
      </w:r>
    </w:p>
    <w:p>
      <w:pPr>
        <w:pStyle w:val="ListParagraph"/>
        <w:numPr>
          <w:ilvl w:val="0"/>
          <w:numId w:val="22"/>
        </w:numPr>
        <w:tabs>
          <w:tab w:pos="3275" w:val="left" w:leader="none"/>
          <w:tab w:pos="3276" w:val="left" w:leader="none"/>
        </w:tabs>
        <w:spacing w:line="240" w:lineRule="auto" w:before="113" w:after="0"/>
        <w:ind w:left="3275" w:right="0" w:hanging="735"/>
        <w:jc w:val="left"/>
        <w:rPr>
          <w:sz w:val="21"/>
        </w:rPr>
      </w:pPr>
      <w:r>
        <w:rPr>
          <w:spacing w:val="-2"/>
          <w:sz w:val="21"/>
        </w:rPr>
        <w:t>细菌培养检出致病菌；</w:t>
      </w:r>
    </w:p>
    <w:p>
      <w:pPr>
        <w:pStyle w:val="ListParagraph"/>
        <w:numPr>
          <w:ilvl w:val="0"/>
          <w:numId w:val="22"/>
        </w:numPr>
        <w:tabs>
          <w:tab w:pos="3275" w:val="left" w:leader="none"/>
          <w:tab w:pos="3276" w:val="left" w:leader="none"/>
        </w:tabs>
        <w:spacing w:line="240" w:lineRule="auto" w:before="118" w:after="0"/>
        <w:ind w:left="3275" w:right="0" w:hanging="735"/>
        <w:jc w:val="left"/>
        <w:rPr>
          <w:sz w:val="21"/>
        </w:rPr>
      </w:pPr>
      <w:r>
        <w:rPr>
          <w:spacing w:val="-2"/>
          <w:sz w:val="21"/>
        </w:rPr>
        <w:t>受感染肢体已被截肢</w:t>
      </w:r>
      <w:r>
        <w:rPr>
          <w:sz w:val="21"/>
        </w:rPr>
        <w:t>（</w:t>
      </w:r>
      <w:r>
        <w:rPr>
          <w:spacing w:val="-3"/>
          <w:sz w:val="21"/>
        </w:rPr>
        <w:t>自腕关节或踝关节近端</w:t>
      </w:r>
      <w:r>
        <w:rPr>
          <w:spacing w:val="-111"/>
          <w:sz w:val="21"/>
        </w:rPr>
        <w:t>）</w:t>
      </w:r>
      <w:r>
        <w:rPr>
          <w:sz w:val="21"/>
        </w:rPr>
        <w:t>。</w:t>
      </w:r>
    </w:p>
    <w:p>
      <w:pPr>
        <w:pStyle w:val="BodyText"/>
        <w:spacing w:before="2"/>
        <w:rPr>
          <w:sz w:val="14"/>
        </w:rPr>
      </w:pPr>
    </w:p>
    <w:p>
      <w:pPr>
        <w:pStyle w:val="ListParagraph"/>
        <w:numPr>
          <w:ilvl w:val="1"/>
          <w:numId w:val="10"/>
        </w:numPr>
        <w:tabs>
          <w:tab w:pos="1023" w:val="left" w:leader="none"/>
          <w:tab w:pos="1024" w:val="left" w:leader="none"/>
          <w:tab w:pos="2540" w:val="left" w:leader="none"/>
        </w:tabs>
        <w:spacing w:line="244" w:lineRule="auto" w:before="1" w:after="0"/>
        <w:ind w:left="2540" w:right="210" w:hanging="2318"/>
        <w:jc w:val="left"/>
        <w:rPr>
          <w:rFonts w:ascii="黑体" w:eastAsia="黑体" w:hint="eastAsia"/>
          <w:sz w:val="21"/>
        </w:rPr>
      </w:pPr>
      <w:r>
        <w:rPr>
          <w:rFonts w:ascii="Microsoft JhengHei" w:eastAsia="Microsoft JhengHei" w:hint="eastAsia"/>
          <w:b/>
          <w:sz w:val="21"/>
        </w:rPr>
        <w:t>系统性硬皮病</w:t>
        <w:tab/>
      </w:r>
      <w:r>
        <w:rPr>
          <w:sz w:val="21"/>
        </w:rPr>
        <w:t>一种系统性胶原血管病引起进行性的皮肤、血管和</w:t>
      </w:r>
      <w:r>
        <w:rPr>
          <w:spacing w:val="-5"/>
          <w:sz w:val="21"/>
        </w:rPr>
        <w:t>内</w:t>
      </w:r>
      <w:r>
        <w:rPr>
          <w:sz w:val="21"/>
        </w:rPr>
        <w:t>脏器官的弥漫性纤维化。本 病症须经</w:t>
      </w:r>
      <w:r>
        <w:rPr>
          <w:spacing w:val="-5"/>
          <w:sz w:val="21"/>
        </w:rPr>
        <w:t>专</w:t>
      </w:r>
      <w:r>
        <w:rPr>
          <w:sz w:val="21"/>
        </w:rPr>
        <w:t>科医生</w:t>
      </w:r>
      <w:r>
        <w:rPr>
          <w:spacing w:val="-5"/>
          <w:sz w:val="21"/>
        </w:rPr>
        <w:t>明</w:t>
      </w:r>
      <w:r>
        <w:rPr>
          <w:sz w:val="21"/>
        </w:rPr>
        <w:t>确诊断</w:t>
      </w:r>
      <w:r>
        <w:rPr>
          <w:spacing w:val="-5"/>
          <w:sz w:val="21"/>
        </w:rPr>
        <w:t>，</w:t>
      </w:r>
      <w:r>
        <w:rPr>
          <w:rFonts w:ascii="黑体" w:eastAsia="黑体" w:hint="eastAsia"/>
          <w:sz w:val="21"/>
        </w:rPr>
        <w:t>且须满</w:t>
      </w:r>
      <w:r>
        <w:rPr>
          <w:rFonts w:ascii="黑体" w:eastAsia="黑体" w:hint="eastAsia"/>
          <w:spacing w:val="-5"/>
          <w:sz w:val="21"/>
        </w:rPr>
        <w:t>足</w:t>
      </w:r>
      <w:r>
        <w:rPr>
          <w:rFonts w:ascii="黑体" w:eastAsia="黑体" w:hint="eastAsia"/>
          <w:sz w:val="21"/>
        </w:rPr>
        <w:t>下列全</w:t>
      </w:r>
      <w:r>
        <w:rPr>
          <w:rFonts w:ascii="黑体" w:eastAsia="黑体" w:hint="eastAsia"/>
          <w:spacing w:val="-5"/>
          <w:sz w:val="21"/>
        </w:rPr>
        <w:t>部</w:t>
      </w:r>
      <w:r>
        <w:rPr>
          <w:rFonts w:ascii="黑体" w:eastAsia="黑体" w:hint="eastAsia"/>
          <w:sz w:val="21"/>
        </w:rPr>
        <w:t>条</w:t>
      </w:r>
      <w:r>
        <w:rPr>
          <w:rFonts w:ascii="黑体" w:eastAsia="黑体" w:hint="eastAsia"/>
          <w:spacing w:val="-5"/>
          <w:sz w:val="21"/>
        </w:rPr>
        <w:t>件</w:t>
      </w:r>
      <w:r>
        <w:rPr>
          <w:rFonts w:ascii="黑体" w:eastAsia="黑体" w:hint="eastAsia"/>
          <w:sz w:val="21"/>
        </w:rPr>
        <w:t>：</w:t>
      </w:r>
    </w:p>
    <w:p>
      <w:pPr>
        <w:pStyle w:val="ListParagraph"/>
        <w:numPr>
          <w:ilvl w:val="0"/>
          <w:numId w:val="23"/>
        </w:numPr>
        <w:tabs>
          <w:tab w:pos="3380" w:val="left" w:leader="none"/>
          <w:tab w:pos="3381" w:val="left" w:leader="none"/>
        </w:tabs>
        <w:spacing w:line="240" w:lineRule="auto" w:before="114" w:after="0"/>
        <w:ind w:left="3380" w:right="0" w:hanging="840"/>
        <w:jc w:val="left"/>
        <w:rPr>
          <w:sz w:val="21"/>
        </w:rPr>
      </w:pPr>
      <w:r>
        <w:rPr>
          <w:spacing w:val="-2"/>
          <w:sz w:val="21"/>
        </w:rPr>
        <w:t>由活检和血清学证据支持；</w:t>
      </w:r>
    </w:p>
    <w:p>
      <w:pPr>
        <w:pStyle w:val="ListParagraph"/>
        <w:numPr>
          <w:ilvl w:val="0"/>
          <w:numId w:val="23"/>
        </w:numPr>
        <w:tabs>
          <w:tab w:pos="3380" w:val="left" w:leader="none"/>
          <w:tab w:pos="3381" w:val="left" w:leader="none"/>
        </w:tabs>
        <w:spacing w:line="240" w:lineRule="auto" w:before="113" w:after="0"/>
        <w:ind w:left="3380" w:right="0" w:hanging="840"/>
        <w:jc w:val="left"/>
        <w:rPr>
          <w:sz w:val="21"/>
        </w:rPr>
      </w:pPr>
      <w:r>
        <w:rPr>
          <w:spacing w:val="-5"/>
          <w:sz w:val="21"/>
        </w:rPr>
        <w:t>疾病已经影响到肺脏、心脏或肾脏等内脏器官并且达到下列标准之一：</w:t>
      </w:r>
    </w:p>
    <w:p>
      <w:pPr>
        <w:pStyle w:val="BodyText"/>
        <w:tabs>
          <w:tab w:pos="3803" w:val="left" w:leader="none"/>
        </w:tabs>
        <w:spacing w:before="118"/>
        <w:ind w:left="3380"/>
      </w:pPr>
      <w:r>
        <w:rPr/>
        <w:t>①</w:t>
        <w:tab/>
      </w:r>
      <w:r>
        <w:rPr>
          <w:spacing w:val="-5"/>
        </w:rPr>
        <w:t>肺脏：已造成肺脏纤维化，并同时出现肺动脉高压和肺心病；</w:t>
      </w:r>
    </w:p>
    <w:p>
      <w:pPr>
        <w:pStyle w:val="BodyText"/>
        <w:tabs>
          <w:tab w:pos="3803" w:val="left" w:leader="none"/>
        </w:tabs>
        <w:ind w:left="3380"/>
      </w:pPr>
      <w:r>
        <w:rPr/>
        <w:t>②</w:t>
        <w:tab/>
        <w:t>心脏：心脏功能衰竭程度达到美国纽约心脏病学会心功能状态分级</w:t>
      </w:r>
    </w:p>
    <w:p>
      <w:pPr>
        <w:pStyle w:val="BodyText"/>
        <w:spacing w:before="32"/>
        <w:ind w:left="3760" w:right="5605"/>
        <w:jc w:val="center"/>
      </w:pPr>
      <w:r>
        <w:rPr/>
        <w:t>IV 级；</w:t>
      </w:r>
    </w:p>
    <w:p>
      <w:pPr>
        <w:pStyle w:val="BodyText"/>
        <w:tabs>
          <w:tab w:pos="3803" w:val="left" w:leader="none"/>
        </w:tabs>
        <w:spacing w:before="119"/>
        <w:ind w:left="3380"/>
      </w:pPr>
      <w:r>
        <w:rPr/>
        <w:t>③</w:t>
        <w:tab/>
      </w:r>
      <w:r>
        <w:rPr>
          <w:spacing w:val="-5"/>
        </w:rPr>
        <w:t>肾脏：已造成肾脏损害，并出现肾功能衰竭。</w:t>
      </w:r>
    </w:p>
    <w:p>
      <w:pPr>
        <w:pStyle w:val="BodyText"/>
        <w:spacing w:before="114"/>
        <w:ind w:left="2540"/>
        <w:rPr>
          <w:rFonts w:ascii="黑体" w:eastAsia="黑体" w:hint="eastAsia"/>
        </w:rPr>
      </w:pPr>
      <w:r>
        <w:rPr>
          <w:rFonts w:ascii="黑体" w:eastAsia="黑体" w:hint="eastAsia"/>
        </w:rPr>
        <w:t>局限性硬皮病、嗜酸细胞筋膜炎和 CREST 综合征不在保障范围内。</w:t>
      </w:r>
    </w:p>
    <w:p>
      <w:pPr>
        <w:pStyle w:val="BodyText"/>
        <w:spacing w:line="268" w:lineRule="auto" w:before="118"/>
        <w:ind w:left="2540" w:right="210"/>
      </w:pPr>
      <w:r>
        <w:rPr/>
        <w:t>注：美国纽约心脏病学会心功能状态分级Ⅳ级是指不能从事任何体力活动，休息时亦有症状。</w:t>
      </w:r>
    </w:p>
    <w:p>
      <w:pPr>
        <w:pStyle w:val="ListParagraph"/>
        <w:numPr>
          <w:ilvl w:val="1"/>
          <w:numId w:val="10"/>
        </w:numPr>
        <w:tabs>
          <w:tab w:pos="1023" w:val="left" w:leader="none"/>
          <w:tab w:pos="1024" w:val="left" w:leader="none"/>
          <w:tab w:pos="2540" w:val="left" w:leader="none"/>
        </w:tabs>
        <w:spacing w:line="244" w:lineRule="auto" w:before="165" w:after="0"/>
        <w:ind w:left="2540" w:right="210" w:hanging="2318"/>
        <w:jc w:val="left"/>
        <w:rPr>
          <w:sz w:val="21"/>
        </w:rPr>
      </w:pPr>
      <w:r>
        <w:rPr>
          <w:rFonts w:ascii="Microsoft JhengHei" w:eastAsia="Microsoft JhengHei" w:hint="eastAsia"/>
          <w:b/>
          <w:sz w:val="21"/>
        </w:rPr>
        <w:t>严重克隆病</w:t>
        <w:tab/>
      </w:r>
      <w:r>
        <w:rPr>
          <w:sz w:val="21"/>
        </w:rPr>
        <w:t>指一种慢性肉芽肿性肠炎，具有特征性的克隆病病</w:t>
      </w:r>
      <w:r>
        <w:rPr>
          <w:spacing w:val="-5"/>
          <w:sz w:val="21"/>
        </w:rPr>
        <w:t>理</w:t>
      </w:r>
      <w:r>
        <w:rPr>
          <w:sz w:val="21"/>
        </w:rPr>
        <w:t>组织学变化，须由病理学检 </w:t>
      </w:r>
      <w:r>
        <w:rPr>
          <w:spacing w:val="-1"/>
          <w:sz w:val="21"/>
        </w:rPr>
        <w:t>查</w:t>
      </w:r>
      <w:r>
        <w:rPr>
          <w:sz w:val="21"/>
        </w:rPr>
        <w:t>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pStyle w:val="BodyText"/>
        <w:spacing w:before="6"/>
        <w:rPr>
          <w:sz w:val="14"/>
        </w:rPr>
      </w:pPr>
    </w:p>
    <w:p>
      <w:pPr>
        <w:pStyle w:val="Heading2"/>
        <w:numPr>
          <w:ilvl w:val="0"/>
          <w:numId w:val="4"/>
        </w:numPr>
        <w:tabs>
          <w:tab w:pos="1023" w:val="left" w:leader="none"/>
          <w:tab w:pos="1024" w:val="left" w:leader="none"/>
        </w:tabs>
        <w:spacing w:line="240" w:lineRule="auto" w:before="1" w:after="0"/>
        <w:ind w:left="1024" w:right="0" w:hanging="802"/>
        <w:jc w:val="left"/>
      </w:pPr>
      <w:r>
        <w:rPr/>
        <w:pict>
          <v:group style="position:absolute;margin-left:51.84pt;margin-top:23.163651pt;width:496.1pt;height:1pt;mso-position-horizontal-relative:page;mso-position-vertical-relative:paragraph;z-index:1288;mso-wrap-distance-left:0;mso-wrap-distance-right:0" coordorigin="1037,463" coordsize="9922,20">
            <v:line style="position:absolute" from="1037,473" to="1834,473" stroked="true" strokeweight=".96pt" strokecolor="#000000">
              <v:stroke dashstyle="solid"/>
            </v:line>
            <v:rect style="position:absolute;left:1833;top:463;width:20;height:20" filled="true" fillcolor="#000000" stroked="false">
              <v:fill type="solid"/>
            </v:rect>
            <v:line style="position:absolute" from="1853,473" to="3360,473" stroked="true" strokeweight=".96pt" strokecolor="#000000">
              <v:stroke dashstyle="solid"/>
            </v:line>
            <v:rect style="position:absolute;left:3360;top:463;width:20;height:20" filled="true" fillcolor="#000000" stroked="false">
              <v:fill type="solid"/>
            </v:rect>
            <v:line style="position:absolute" from="3379,473" to="10958,473" stroked="true" strokeweight=".96pt" strokecolor="#000000">
              <v:stroke dashstyle="solid"/>
            </v:line>
            <w10:wrap type="topAndBottom"/>
          </v:group>
        </w:pict>
      </w:r>
      <w:r>
        <w:rPr>
          <w:w w:val="95"/>
        </w:rPr>
        <w:t>释义</w:t>
      </w:r>
    </w:p>
    <w:p>
      <w:pPr>
        <w:pStyle w:val="BodyText"/>
        <w:spacing w:before="16"/>
        <w:rPr>
          <w:rFonts w:ascii="Microsoft JhengHei"/>
          <w:b/>
          <w:sz w:val="6"/>
        </w:rPr>
      </w:pPr>
    </w:p>
    <w:p>
      <w:pPr>
        <w:pStyle w:val="ListParagraph"/>
        <w:numPr>
          <w:ilvl w:val="1"/>
          <w:numId w:val="4"/>
        </w:numPr>
        <w:tabs>
          <w:tab w:pos="1024" w:val="left" w:leader="none"/>
          <w:tab w:pos="2545" w:val="left" w:leader="none"/>
        </w:tabs>
        <w:spacing w:line="308" w:lineRule="exact" w:before="35" w:after="0"/>
        <w:ind w:left="2545" w:right="205" w:hanging="2323"/>
        <w:jc w:val="both"/>
        <w:rPr>
          <w:sz w:val="21"/>
        </w:rPr>
      </w:pPr>
      <w:r>
        <w:rPr>
          <w:rFonts w:ascii="Microsoft JhengHei" w:eastAsia="Microsoft JhengHei" w:hint="eastAsia"/>
          <w:b/>
          <w:sz w:val="21"/>
        </w:rPr>
        <w:t>合法有效</w:t>
        <w:tab/>
      </w:r>
      <w:r>
        <w:rPr>
          <w:sz w:val="21"/>
        </w:rPr>
        <w:t>本附加合同所指合法有效均以中华人民共和国法律</w:t>
      </w:r>
      <w:r>
        <w:rPr>
          <w:spacing w:val="-5"/>
          <w:sz w:val="21"/>
        </w:rPr>
        <w:t>、</w:t>
      </w:r>
      <w:r>
        <w:rPr>
          <w:sz w:val="21"/>
        </w:rPr>
        <w:t>行政法规、地方性法规、行 政规章及</w:t>
      </w:r>
      <w:r>
        <w:rPr>
          <w:spacing w:val="-5"/>
          <w:sz w:val="21"/>
        </w:rPr>
        <w:t>有</w:t>
      </w:r>
      <w:r>
        <w:rPr>
          <w:sz w:val="21"/>
        </w:rPr>
        <w:t>关规范</w:t>
      </w:r>
      <w:r>
        <w:rPr>
          <w:spacing w:val="-5"/>
          <w:sz w:val="21"/>
        </w:rPr>
        <w:t>性</w:t>
      </w:r>
      <w:r>
        <w:rPr>
          <w:sz w:val="21"/>
        </w:rPr>
        <w:t>法律文</w:t>
      </w:r>
      <w:r>
        <w:rPr>
          <w:spacing w:val="-5"/>
          <w:sz w:val="21"/>
        </w:rPr>
        <w:t>件</w:t>
      </w:r>
      <w:r>
        <w:rPr>
          <w:sz w:val="21"/>
        </w:rPr>
        <w:t>的规定</w:t>
      </w:r>
      <w:r>
        <w:rPr>
          <w:spacing w:val="-5"/>
          <w:sz w:val="21"/>
        </w:rPr>
        <w:t>为</w:t>
      </w:r>
      <w:r>
        <w:rPr>
          <w:sz w:val="21"/>
        </w:rPr>
        <w:t>判定依</w:t>
      </w:r>
      <w:r>
        <w:rPr>
          <w:spacing w:val="-5"/>
          <w:sz w:val="21"/>
        </w:rPr>
        <w:t>据</w:t>
      </w:r>
      <w:r>
        <w:rPr>
          <w:sz w:val="21"/>
        </w:rPr>
        <w:t>。</w:t>
      </w:r>
    </w:p>
    <w:p>
      <w:pPr>
        <w:pStyle w:val="BodyText"/>
        <w:spacing w:before="3"/>
        <w:rPr>
          <w:sz w:val="14"/>
        </w:rPr>
      </w:pPr>
    </w:p>
    <w:p>
      <w:pPr>
        <w:pStyle w:val="ListParagraph"/>
        <w:numPr>
          <w:ilvl w:val="1"/>
          <w:numId w:val="4"/>
        </w:numPr>
        <w:tabs>
          <w:tab w:pos="1024" w:val="left" w:leader="none"/>
          <w:tab w:pos="2545" w:val="left" w:leader="none"/>
        </w:tabs>
        <w:spacing w:line="259" w:lineRule="auto" w:before="1" w:after="0"/>
        <w:ind w:left="2545" w:right="200" w:hanging="2323"/>
        <w:jc w:val="both"/>
        <w:rPr>
          <w:sz w:val="21"/>
        </w:rPr>
      </w:pPr>
      <w:r>
        <w:rPr>
          <w:rFonts w:ascii="Microsoft JhengHei" w:eastAsia="Microsoft JhengHei" w:hint="eastAsia"/>
          <w:b/>
          <w:sz w:val="21"/>
        </w:rPr>
        <w:t>保单年度</w:t>
        <w:tab/>
      </w:r>
      <w:r>
        <w:rPr>
          <w:sz w:val="21"/>
        </w:rPr>
        <w:t>从保险合同生效日或者年生效对应日零时起至下一</w:t>
      </w:r>
      <w:r>
        <w:rPr>
          <w:spacing w:val="-5"/>
          <w:sz w:val="21"/>
        </w:rPr>
        <w:t>年</w:t>
      </w:r>
      <w:r>
        <w:rPr>
          <w:sz w:val="21"/>
        </w:rPr>
        <w:t>度保险合同年生效对应日的 前一日</w:t>
      </w:r>
      <w:r>
        <w:rPr>
          <w:spacing w:val="-35"/>
          <w:sz w:val="21"/>
        </w:rPr>
        <w:t> </w:t>
      </w:r>
      <w:r>
        <w:rPr>
          <w:sz w:val="21"/>
        </w:rPr>
        <w:t>24</w:t>
      </w:r>
      <w:r>
        <w:rPr>
          <w:spacing w:val="-35"/>
          <w:sz w:val="21"/>
        </w:rPr>
        <w:t> </w:t>
      </w:r>
      <w:r>
        <w:rPr>
          <w:spacing w:val="-5"/>
          <w:sz w:val="21"/>
        </w:rPr>
        <w:t>时</w:t>
      </w:r>
      <w:r>
        <w:rPr>
          <w:sz w:val="21"/>
        </w:rPr>
        <w:t>止为一</w:t>
      </w:r>
      <w:r>
        <w:rPr>
          <w:spacing w:val="-5"/>
          <w:sz w:val="21"/>
        </w:rPr>
        <w:t>个</w:t>
      </w:r>
      <w:r>
        <w:rPr>
          <w:sz w:val="21"/>
        </w:rPr>
        <w:t>保单年</w:t>
      </w:r>
      <w:r>
        <w:rPr>
          <w:spacing w:val="-5"/>
          <w:sz w:val="21"/>
        </w:rPr>
        <w:t>度</w:t>
      </w:r>
      <w:r>
        <w:rPr>
          <w:spacing w:val="-34"/>
          <w:sz w:val="21"/>
        </w:rPr>
        <w:t>。</w:t>
      </w:r>
      <w:r>
        <w:rPr>
          <w:spacing w:val="-5"/>
          <w:sz w:val="21"/>
        </w:rPr>
        <w:t>如</w:t>
      </w:r>
      <w:r>
        <w:rPr>
          <w:sz w:val="21"/>
        </w:rPr>
        <w:t>果当月</w:t>
      </w:r>
      <w:r>
        <w:rPr>
          <w:spacing w:val="-5"/>
          <w:sz w:val="21"/>
        </w:rPr>
        <w:t>无</w:t>
      </w:r>
      <w:r>
        <w:rPr>
          <w:sz w:val="21"/>
        </w:rPr>
        <w:t>对应的</w:t>
      </w:r>
      <w:r>
        <w:rPr>
          <w:spacing w:val="-5"/>
          <w:sz w:val="21"/>
        </w:rPr>
        <w:t>同</w:t>
      </w:r>
      <w:r>
        <w:rPr>
          <w:sz w:val="21"/>
        </w:rPr>
        <w:t>一日</w:t>
      </w:r>
      <w:r>
        <w:rPr>
          <w:spacing w:val="-34"/>
          <w:sz w:val="21"/>
        </w:rPr>
        <w:t>，</w:t>
      </w:r>
      <w:r>
        <w:rPr>
          <w:spacing w:val="-5"/>
          <w:sz w:val="21"/>
        </w:rPr>
        <w:t>则</w:t>
      </w:r>
      <w:r>
        <w:rPr>
          <w:sz w:val="21"/>
        </w:rPr>
        <w:t>以该月</w:t>
      </w:r>
      <w:r>
        <w:rPr>
          <w:spacing w:val="-5"/>
          <w:sz w:val="21"/>
        </w:rPr>
        <w:t>最</w:t>
      </w:r>
      <w:r>
        <w:rPr>
          <w:sz w:val="21"/>
        </w:rPr>
        <w:t>后一日为对应日。</w:t>
      </w:r>
    </w:p>
    <w:p>
      <w:pPr>
        <w:pStyle w:val="BodyText"/>
        <w:spacing w:before="11"/>
        <w:rPr>
          <w:sz w:val="17"/>
        </w:rPr>
      </w:pPr>
    </w:p>
    <w:p>
      <w:pPr>
        <w:spacing w:after="0"/>
        <w:rPr>
          <w:sz w:val="17"/>
        </w:rPr>
        <w:sectPr>
          <w:type w:val="continuous"/>
          <w:pgSz w:w="11900" w:h="16840"/>
          <w:pgMar w:top="540" w:bottom="280" w:left="920" w:right="840"/>
        </w:sectPr>
      </w:pPr>
    </w:p>
    <w:p>
      <w:pPr>
        <w:pStyle w:val="Heading3"/>
        <w:numPr>
          <w:ilvl w:val="1"/>
          <w:numId w:val="4"/>
        </w:numPr>
        <w:tabs>
          <w:tab w:pos="1023" w:val="left" w:leader="none"/>
          <w:tab w:pos="1024" w:val="left" w:leader="none"/>
        </w:tabs>
        <w:spacing w:line="201" w:lineRule="auto" w:before="28" w:after="0"/>
        <w:ind w:left="1024" w:right="0" w:hanging="802"/>
        <w:jc w:val="left"/>
      </w:pPr>
      <w:r>
        <w:rPr/>
        <w:t>保险费约定交纳日</w:t>
      </w:r>
    </w:p>
    <w:p>
      <w:pPr>
        <w:pStyle w:val="BodyText"/>
        <w:spacing w:line="268" w:lineRule="auto" w:before="36"/>
        <w:ind w:left="214" w:right="32"/>
      </w:pPr>
      <w:r>
        <w:rPr/>
        <w:br w:type="column"/>
      </w:r>
      <w:r>
        <w:rPr/>
        <w:t>保险合同生效日在每月、每季、每半年或者每年（根据交费方式确定）的对应日。如果当月无对应的同一日，则以该月最后一日为对应日。</w:t>
      </w:r>
    </w:p>
    <w:p>
      <w:pPr>
        <w:spacing w:after="0" w:line="268" w:lineRule="auto"/>
        <w:sectPr>
          <w:type w:val="continuous"/>
          <w:pgSz w:w="11900" w:h="16840"/>
          <w:pgMar w:top="540" w:bottom="280" w:left="920" w:right="840"/>
          <w:cols w:num="2" w:equalWidth="0">
            <w:col w:w="2291" w:space="40"/>
            <w:col w:w="7809"/>
          </w:cols>
        </w:sectPr>
      </w:pPr>
    </w:p>
    <w:p>
      <w:pPr>
        <w:pStyle w:val="BodyText"/>
        <w:spacing w:before="7"/>
        <w:rPr>
          <w:sz w:val="17"/>
        </w:rPr>
      </w:pPr>
    </w:p>
    <w:p>
      <w:pPr>
        <w:pStyle w:val="ListParagraph"/>
        <w:numPr>
          <w:ilvl w:val="1"/>
          <w:numId w:val="4"/>
        </w:numPr>
        <w:tabs>
          <w:tab w:pos="1023" w:val="left" w:leader="none"/>
          <w:tab w:pos="1024" w:val="left" w:leader="none"/>
          <w:tab w:pos="2545" w:val="left" w:leader="none"/>
        </w:tabs>
        <w:spacing w:line="308" w:lineRule="exact" w:before="35" w:after="0"/>
        <w:ind w:left="2545" w:right="205" w:hanging="2323"/>
        <w:jc w:val="left"/>
        <w:rPr>
          <w:sz w:val="21"/>
        </w:rPr>
      </w:pPr>
      <w:r>
        <w:rPr>
          <w:rFonts w:ascii="Microsoft JhengHei" w:eastAsia="Microsoft JhengHei" w:hint="eastAsia"/>
          <w:b/>
          <w:sz w:val="21"/>
        </w:rPr>
        <w:t>周岁</w:t>
        <w:tab/>
      </w:r>
      <w:r>
        <w:rPr>
          <w:sz w:val="21"/>
        </w:rPr>
        <w:t>指按有效身份证件中记载的出生日期计算的年龄，</w:t>
      </w:r>
      <w:r>
        <w:rPr>
          <w:spacing w:val="-5"/>
          <w:sz w:val="21"/>
        </w:rPr>
        <w:t>自</w:t>
      </w:r>
      <w:r>
        <w:rPr>
          <w:sz w:val="21"/>
        </w:rPr>
        <w:t>出生之日起为零周岁，每经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24"/>
          <w:sz w:val="21"/>
        </w:rPr>
        <w:t> </w:t>
      </w:r>
      <w:r>
        <w:rPr>
          <w:sz w:val="21"/>
        </w:rPr>
        <w:t>2000</w:t>
      </w:r>
      <w:r>
        <w:rPr>
          <w:spacing w:val="-28"/>
          <w:sz w:val="21"/>
        </w:rPr>
        <w:t> </w:t>
      </w:r>
      <w:r>
        <w:rPr>
          <w:sz w:val="21"/>
        </w:rPr>
        <w:t>年</w:t>
      </w:r>
      <w:r>
        <w:rPr>
          <w:spacing w:val="-24"/>
          <w:sz w:val="21"/>
        </w:rPr>
        <w:t> </w:t>
      </w:r>
      <w:r>
        <w:rPr>
          <w:sz w:val="21"/>
        </w:rPr>
        <w:t>9</w:t>
      </w:r>
      <w:r>
        <w:rPr>
          <w:spacing w:val="-24"/>
          <w:sz w:val="21"/>
        </w:rPr>
        <w:t> </w:t>
      </w:r>
      <w:r>
        <w:rPr>
          <w:sz w:val="21"/>
        </w:rPr>
        <w:t>月</w:t>
      </w:r>
      <w:r>
        <w:rPr>
          <w:spacing w:val="-28"/>
          <w:sz w:val="21"/>
        </w:rPr>
        <w:t> </w:t>
      </w:r>
      <w:r>
        <w:rPr>
          <w:sz w:val="21"/>
        </w:rPr>
        <w:t>1</w:t>
      </w:r>
      <w:r>
        <w:rPr>
          <w:spacing w:val="-24"/>
          <w:sz w:val="21"/>
        </w:rPr>
        <w:t> </w:t>
      </w:r>
      <w:r>
        <w:rPr>
          <w:sz w:val="21"/>
        </w:rPr>
        <w:t>日，2000</w:t>
      </w:r>
    </w:p>
    <w:p>
      <w:pPr>
        <w:pStyle w:val="BodyText"/>
        <w:spacing w:before="5"/>
        <w:ind w:left="2545"/>
      </w:pPr>
      <w:r>
        <w:rPr>
          <w:spacing w:val="-24"/>
        </w:rPr>
        <w:t>年 </w:t>
      </w:r>
      <w:r>
        <w:rPr/>
        <w:t>9</w:t>
      </w:r>
      <w:r>
        <w:rPr>
          <w:spacing w:val="-34"/>
        </w:rPr>
        <w:t> 月 </w:t>
      </w:r>
      <w:r>
        <w:rPr/>
        <w:t>1</w:t>
      </w:r>
      <w:r>
        <w:rPr>
          <w:spacing w:val="-24"/>
        </w:rPr>
        <w:t> 日至 </w:t>
      </w:r>
      <w:r>
        <w:rPr/>
        <w:t>2001</w:t>
      </w:r>
      <w:r>
        <w:rPr>
          <w:spacing w:val="-34"/>
        </w:rPr>
        <w:t> 年 </w:t>
      </w:r>
      <w:r>
        <w:rPr/>
        <w:t>8</w:t>
      </w:r>
      <w:r>
        <w:rPr>
          <w:spacing w:val="-32"/>
        </w:rPr>
        <w:t> 月 </w:t>
      </w:r>
      <w:r>
        <w:rPr>
          <w:spacing w:val="-3"/>
        </w:rPr>
        <w:t>31</w:t>
      </w:r>
      <w:r>
        <w:rPr>
          <w:spacing w:val="-18"/>
        </w:rPr>
        <w:t> 日期间为 </w:t>
      </w:r>
      <w:r>
        <w:rPr/>
        <w:t>0</w:t>
      </w:r>
      <w:r>
        <w:rPr>
          <w:spacing w:val="-18"/>
        </w:rPr>
        <w:t> 周岁</w:t>
      </w:r>
      <w:r>
        <w:rPr/>
        <w:t>，2001</w:t>
      </w:r>
      <w:r>
        <w:rPr>
          <w:spacing w:val="-32"/>
        </w:rPr>
        <w:t> 年 </w:t>
      </w:r>
      <w:r>
        <w:rPr/>
        <w:t>9</w:t>
      </w:r>
      <w:r>
        <w:rPr>
          <w:spacing w:val="-33"/>
        </w:rPr>
        <w:t> 月 </w:t>
      </w:r>
      <w:r>
        <w:rPr/>
        <w:t>1</w:t>
      </w:r>
      <w:r>
        <w:rPr>
          <w:spacing w:val="-26"/>
        </w:rPr>
        <w:t> 日至 </w:t>
      </w:r>
      <w:r>
        <w:rPr/>
        <w:t>2002</w:t>
      </w:r>
      <w:r>
        <w:rPr>
          <w:spacing w:val="-33"/>
        </w:rPr>
        <w:t> 年 </w:t>
      </w:r>
      <w:r>
        <w:rPr/>
        <w:t>8</w:t>
      </w:r>
      <w:r>
        <w:rPr>
          <w:spacing w:val="-24"/>
        </w:rPr>
        <w:t> 月</w:t>
      </w:r>
    </w:p>
    <w:p>
      <w:pPr>
        <w:pStyle w:val="BodyText"/>
        <w:spacing w:before="37"/>
        <w:ind w:left="2545"/>
      </w:pPr>
      <w:r>
        <w:rPr/>
        <w:t>31 日期间为 1 周岁，依此类推。</w:t>
      </w:r>
    </w:p>
    <w:p>
      <w:pPr>
        <w:pStyle w:val="BodyText"/>
        <w:spacing w:before="7"/>
        <w:rPr>
          <w:sz w:val="14"/>
        </w:rPr>
      </w:pPr>
    </w:p>
    <w:p>
      <w:pPr>
        <w:pStyle w:val="ListParagraph"/>
        <w:numPr>
          <w:ilvl w:val="1"/>
          <w:numId w:val="4"/>
        </w:numPr>
        <w:tabs>
          <w:tab w:pos="1023" w:val="left" w:leader="none"/>
          <w:tab w:pos="1024" w:val="left" w:leader="none"/>
          <w:tab w:pos="2545" w:val="left" w:leader="none"/>
        </w:tabs>
        <w:spacing w:line="244" w:lineRule="auto" w:before="0" w:after="0"/>
        <w:ind w:left="2545" w:right="205" w:hanging="2323"/>
        <w:jc w:val="left"/>
        <w:rPr>
          <w:sz w:val="21"/>
        </w:rPr>
      </w:pPr>
      <w:r>
        <w:rPr>
          <w:rFonts w:ascii="Microsoft JhengHei" w:eastAsia="Microsoft JhengHei" w:hint="eastAsia"/>
          <w:b/>
          <w:sz w:val="21"/>
        </w:rPr>
        <w:t>有效身份证件</w:t>
        <w:tab/>
      </w:r>
      <w:r>
        <w:rPr>
          <w:sz w:val="21"/>
        </w:rPr>
        <w:t>指由中华人民共和国政府主管部门规定的能够证明</w:t>
      </w:r>
      <w:r>
        <w:rPr>
          <w:spacing w:val="-5"/>
          <w:sz w:val="21"/>
        </w:rPr>
        <w:t>其</w:t>
      </w:r>
      <w:r>
        <w:rPr>
          <w:sz w:val="21"/>
        </w:rPr>
        <w:t>身份的证件，如：居民身份 证、军官证、警官证、士兵证、户口簿以及中华人</w:t>
      </w:r>
      <w:r>
        <w:rPr>
          <w:spacing w:val="-5"/>
          <w:sz w:val="21"/>
        </w:rPr>
        <w:t>民</w:t>
      </w:r>
      <w:r>
        <w:rPr>
          <w:sz w:val="21"/>
        </w:rPr>
        <w:t>共和国政府主管部门颁发或</w:t>
      </w:r>
    </w:p>
    <w:p>
      <w:pPr>
        <w:spacing w:after="0" w:line="244" w:lineRule="auto"/>
        <w:jc w:val="left"/>
        <w:rPr>
          <w:sz w:val="21"/>
        </w:rPr>
        <w:sectPr>
          <w:type w:val="continuous"/>
          <w:pgSz w:w="11900" w:h="16840"/>
          <w:pgMar w:top="540" w:bottom="280" w:left="920" w:right="840"/>
        </w:sectPr>
      </w:pPr>
    </w:p>
    <w:p>
      <w:pPr>
        <w:pStyle w:val="BodyText"/>
        <w:spacing w:before="9"/>
        <w:ind w:left="2425"/>
      </w:pPr>
      <w:r>
        <w:rPr/>
        <w:t>者认可的有效护照或者其他身份证明文件。</w:t>
      </w:r>
    </w:p>
    <w:p>
      <w:pPr>
        <w:pStyle w:val="BodyText"/>
        <w:spacing w:before="12"/>
        <w:rPr>
          <w:sz w:val="16"/>
        </w:rPr>
      </w:pPr>
    </w:p>
    <w:p>
      <w:pPr>
        <w:spacing w:after="0"/>
        <w:rPr>
          <w:sz w:val="16"/>
        </w:rPr>
        <w:sectPr>
          <w:pgSz w:w="11900" w:h="16840"/>
          <w:pgMar w:top="1000" w:bottom="280" w:left="1040" w:right="820"/>
        </w:sectPr>
      </w:pPr>
    </w:p>
    <w:p>
      <w:pPr>
        <w:pStyle w:val="Heading3"/>
        <w:numPr>
          <w:ilvl w:val="1"/>
          <w:numId w:val="4"/>
        </w:numPr>
        <w:tabs>
          <w:tab w:pos="903" w:val="left" w:leader="none"/>
          <w:tab w:pos="904" w:val="left" w:leader="none"/>
        </w:tabs>
        <w:spacing w:line="306" w:lineRule="exact" w:before="0" w:after="0"/>
        <w:ind w:left="904" w:right="0" w:hanging="802"/>
        <w:jc w:val="left"/>
      </w:pPr>
      <w:r>
        <w:rPr/>
        <w:t>与基本保险金</w:t>
      </w:r>
    </w:p>
    <w:p>
      <w:pPr>
        <w:spacing w:line="204" w:lineRule="auto" w:before="25"/>
        <w:ind w:left="904" w:right="0" w:firstLine="0"/>
        <w:jc w:val="both"/>
        <w:rPr>
          <w:rFonts w:ascii="Microsoft JhengHei" w:eastAsia="Microsoft JhengHei" w:hint="eastAsia"/>
          <w:b/>
          <w:sz w:val="21"/>
        </w:rPr>
      </w:pPr>
      <w:r>
        <w:rPr>
          <w:rFonts w:ascii="Microsoft JhengHei" w:eastAsia="Microsoft JhengHei" w:hint="eastAsia"/>
          <w:b/>
          <w:sz w:val="21"/>
        </w:rPr>
        <w:t>额减少部分相对应的现金价值</w:t>
      </w:r>
    </w:p>
    <w:p>
      <w:pPr>
        <w:pStyle w:val="BodyText"/>
        <w:spacing w:line="271" w:lineRule="auto" w:before="36"/>
        <w:ind w:left="102" w:right="220"/>
        <w:jc w:val="both"/>
      </w:pPr>
      <w:r>
        <w:rPr/>
        <w:br w:type="column"/>
      </w:r>
      <w:r>
        <w:rPr>
          <w:spacing w:val="-1"/>
        </w:rPr>
        <w:t>指您减保时我们退还的那部分金额，额度等于您申请减保时保险合同的现金价值</w:t>
      </w:r>
      <w:r>
        <w:rPr>
          <w:spacing w:val="-2"/>
        </w:rPr>
        <w:t>乘以减少的基本保险金额与减保前的基本保险金额的比例。例如：您减保前投保</w:t>
      </w:r>
      <w:r>
        <w:rPr>
          <w:spacing w:val="-8"/>
        </w:rPr>
        <w:t>的基本保险金额是 </w:t>
      </w:r>
      <w:r>
        <w:rPr/>
        <w:t>10</w:t>
      </w:r>
      <w:r>
        <w:rPr>
          <w:spacing w:val="-14"/>
        </w:rPr>
        <w:t> 万元，对应的现金价值为 </w:t>
      </w:r>
      <w:r>
        <w:rPr/>
        <w:t>8</w:t>
      </w:r>
      <w:r>
        <w:rPr>
          <w:spacing w:val="-11"/>
        </w:rPr>
        <w:t> 万元，您申请将基本保险金额从</w:t>
      </w:r>
    </w:p>
    <w:p>
      <w:pPr>
        <w:pStyle w:val="ListParagraph"/>
        <w:numPr>
          <w:ilvl w:val="0"/>
          <w:numId w:val="10"/>
        </w:numPr>
        <w:tabs>
          <w:tab w:pos="348" w:val="left" w:leader="none"/>
        </w:tabs>
        <w:spacing w:line="240" w:lineRule="auto" w:before="9" w:after="0"/>
        <w:ind w:left="347" w:right="0" w:hanging="245"/>
        <w:jc w:val="both"/>
        <w:rPr>
          <w:sz w:val="21"/>
        </w:rPr>
      </w:pPr>
      <w:r>
        <w:rPr>
          <w:spacing w:val="5"/>
          <w:w w:val="100"/>
          <w:sz w:val="21"/>
        </w:rPr>
        <w:t>万元减保至</w:t>
      </w:r>
      <w:r>
        <w:rPr>
          <w:w w:val="100"/>
          <w:sz w:val="21"/>
        </w:rPr>
        <w:t>6</w:t>
      </w:r>
      <w:r>
        <w:rPr>
          <w:spacing w:val="-72"/>
          <w:sz w:val="21"/>
        </w:rPr>
        <w:t> </w:t>
      </w:r>
      <w:r>
        <w:rPr>
          <w:spacing w:val="-11"/>
          <w:w w:val="100"/>
          <w:sz w:val="21"/>
        </w:rPr>
        <w:t>万元，那么基本保险金额减少部分相对应的现金价值为</w:t>
      </w:r>
      <w:r>
        <w:rPr>
          <w:w w:val="100"/>
          <w:sz w:val="21"/>
        </w:rPr>
        <w:t>8*</w:t>
      </w:r>
      <w:r>
        <w:rPr>
          <w:spacing w:val="-106"/>
          <w:w w:val="100"/>
          <w:sz w:val="21"/>
        </w:rPr>
        <w:t>[</w:t>
      </w:r>
      <w:r>
        <w:rPr>
          <w:w w:val="100"/>
          <w:sz w:val="21"/>
        </w:rPr>
        <w:t>（</w:t>
      </w:r>
      <w:r>
        <w:rPr>
          <w:spacing w:val="-5"/>
          <w:w w:val="100"/>
          <w:sz w:val="21"/>
        </w:rPr>
        <w:t>1</w:t>
      </w:r>
      <w:r>
        <w:rPr>
          <w:spacing w:val="-1"/>
          <w:w w:val="100"/>
          <w:sz w:val="21"/>
        </w:rPr>
        <w:t>0</w:t>
      </w:r>
      <w:r>
        <w:rPr>
          <w:w w:val="100"/>
          <w:sz w:val="21"/>
        </w:rPr>
        <w:t>-6）</w:t>
      </w:r>
    </w:p>
    <w:p>
      <w:pPr>
        <w:pStyle w:val="BodyText"/>
        <w:spacing w:before="36"/>
        <w:ind w:left="102"/>
        <w:jc w:val="both"/>
      </w:pPr>
      <w:r>
        <w:rPr/>
        <w:t>/10]=3.2 万元。</w:t>
      </w:r>
    </w:p>
    <w:p>
      <w:pPr>
        <w:spacing w:after="0"/>
        <w:jc w:val="both"/>
        <w:sectPr>
          <w:type w:val="continuous"/>
          <w:pgSz w:w="11900" w:h="16840"/>
          <w:pgMar w:top="540" w:bottom="280" w:left="1040" w:right="820"/>
          <w:cols w:num="2" w:equalWidth="0">
            <w:col w:w="2172" w:space="152"/>
            <w:col w:w="7716"/>
          </w:cols>
        </w:sectPr>
      </w:pPr>
    </w:p>
    <w:p>
      <w:pPr>
        <w:pStyle w:val="BodyText"/>
        <w:spacing w:before="11"/>
        <w:rPr>
          <w:sz w:val="16"/>
        </w:rPr>
      </w:pPr>
    </w:p>
    <w:p>
      <w:pPr>
        <w:pStyle w:val="ListParagraph"/>
        <w:numPr>
          <w:ilvl w:val="1"/>
          <w:numId w:val="4"/>
        </w:numPr>
        <w:tabs>
          <w:tab w:pos="904" w:val="left" w:leader="none"/>
          <w:tab w:pos="2425" w:val="left" w:leader="none"/>
        </w:tabs>
        <w:spacing w:line="308" w:lineRule="exact" w:before="35" w:after="0"/>
        <w:ind w:left="2425" w:right="225" w:hanging="2323"/>
        <w:jc w:val="both"/>
        <w:rPr>
          <w:rFonts w:ascii="黑体" w:eastAsia="黑体" w:hint="eastAsia"/>
          <w:sz w:val="21"/>
        </w:rPr>
      </w:pPr>
      <w:r>
        <w:rPr>
          <w:rFonts w:ascii="Microsoft JhengHei" w:eastAsia="Microsoft JhengHei" w:hint="eastAsia"/>
          <w:b/>
          <w:sz w:val="21"/>
        </w:rPr>
        <w:t>医院</w:t>
        <w:tab/>
      </w:r>
      <w:r>
        <w:rPr>
          <w:spacing w:val="7"/>
          <w:sz w:val="21"/>
        </w:rPr>
        <w:t>指</w:t>
      </w:r>
      <w:r>
        <w:rPr>
          <w:spacing w:val="2"/>
          <w:sz w:val="21"/>
        </w:rPr>
        <w:t>国务院</w:t>
      </w:r>
      <w:r>
        <w:rPr>
          <w:spacing w:val="7"/>
          <w:sz w:val="21"/>
        </w:rPr>
        <w:t>卫</w:t>
      </w:r>
      <w:r>
        <w:rPr>
          <w:spacing w:val="2"/>
          <w:sz w:val="21"/>
        </w:rPr>
        <w:t>生行</w:t>
      </w:r>
      <w:r>
        <w:rPr>
          <w:spacing w:val="7"/>
          <w:sz w:val="21"/>
        </w:rPr>
        <w:t>政</w:t>
      </w:r>
      <w:r>
        <w:rPr>
          <w:spacing w:val="2"/>
          <w:sz w:val="21"/>
        </w:rPr>
        <w:t>主管部</w:t>
      </w:r>
      <w:r>
        <w:rPr>
          <w:spacing w:val="10"/>
          <w:sz w:val="21"/>
        </w:rPr>
        <w:t>门</w:t>
      </w:r>
      <w:r>
        <w:rPr>
          <w:spacing w:val="2"/>
          <w:sz w:val="21"/>
        </w:rPr>
        <w:t>医院</w:t>
      </w:r>
      <w:r>
        <w:rPr>
          <w:spacing w:val="7"/>
          <w:sz w:val="21"/>
        </w:rPr>
        <w:t>等</w:t>
      </w:r>
      <w:r>
        <w:rPr>
          <w:spacing w:val="2"/>
          <w:sz w:val="21"/>
        </w:rPr>
        <w:t>级分</w:t>
      </w:r>
      <w:r>
        <w:rPr>
          <w:spacing w:val="7"/>
          <w:sz w:val="21"/>
        </w:rPr>
        <w:t>类</w:t>
      </w:r>
      <w:r>
        <w:rPr>
          <w:spacing w:val="2"/>
          <w:sz w:val="21"/>
        </w:rPr>
        <w:t>中</w:t>
      </w:r>
      <w:r>
        <w:rPr>
          <w:spacing w:val="5"/>
          <w:sz w:val="21"/>
        </w:rPr>
        <w:t>的</w:t>
      </w:r>
      <w:r>
        <w:rPr>
          <w:rFonts w:ascii="黑体" w:eastAsia="黑体" w:hint="eastAsia"/>
          <w:spacing w:val="2"/>
          <w:sz w:val="21"/>
        </w:rPr>
        <w:t>二级</w:t>
      </w:r>
      <w:r>
        <w:rPr>
          <w:rFonts w:ascii="黑体" w:eastAsia="黑体" w:hint="eastAsia"/>
          <w:spacing w:val="7"/>
          <w:sz w:val="21"/>
        </w:rPr>
        <w:t>合</w:t>
      </w:r>
      <w:r>
        <w:rPr>
          <w:rFonts w:ascii="黑体" w:eastAsia="黑体" w:hint="eastAsia"/>
          <w:spacing w:val="2"/>
          <w:sz w:val="21"/>
        </w:rPr>
        <w:t>格或者</w:t>
      </w:r>
      <w:r>
        <w:rPr>
          <w:rFonts w:ascii="黑体" w:eastAsia="黑体" w:hint="eastAsia"/>
          <w:spacing w:val="7"/>
          <w:sz w:val="21"/>
        </w:rPr>
        <w:t>二</w:t>
      </w:r>
      <w:r>
        <w:rPr>
          <w:rFonts w:ascii="黑体" w:eastAsia="黑体" w:hint="eastAsia"/>
          <w:spacing w:val="2"/>
          <w:sz w:val="21"/>
        </w:rPr>
        <w:t>级合</w:t>
      </w:r>
      <w:r>
        <w:rPr>
          <w:rFonts w:ascii="黑体" w:eastAsia="黑体" w:hint="eastAsia"/>
          <w:spacing w:val="7"/>
          <w:sz w:val="21"/>
        </w:rPr>
        <w:t>格</w:t>
      </w:r>
      <w:r>
        <w:rPr>
          <w:rFonts w:ascii="黑体" w:eastAsia="黑体" w:hint="eastAsia"/>
          <w:spacing w:val="2"/>
          <w:sz w:val="21"/>
        </w:rPr>
        <w:t>以上</w:t>
      </w:r>
      <w:r>
        <w:rPr>
          <w:rFonts w:ascii="黑体" w:eastAsia="黑体" w:hint="eastAsia"/>
          <w:spacing w:val="7"/>
          <w:sz w:val="21"/>
        </w:rPr>
        <w:t>的</w:t>
      </w:r>
      <w:r>
        <w:rPr>
          <w:rFonts w:ascii="黑体" w:eastAsia="黑体" w:hint="eastAsia"/>
          <w:sz w:val="21"/>
        </w:rPr>
        <w:t>医 院，不包括以康复、护理、疗养、戒酒、戒毒或者</w:t>
      </w:r>
      <w:r>
        <w:rPr>
          <w:rFonts w:ascii="黑体" w:eastAsia="黑体" w:hint="eastAsia"/>
          <w:spacing w:val="-5"/>
          <w:sz w:val="21"/>
        </w:rPr>
        <w:t>类</w:t>
      </w:r>
      <w:r>
        <w:rPr>
          <w:rFonts w:ascii="黑体" w:eastAsia="黑体" w:hint="eastAsia"/>
          <w:sz w:val="21"/>
        </w:rPr>
        <w:t>似功能为主要功能的医疗机</w:t>
      </w:r>
    </w:p>
    <w:p>
      <w:pPr>
        <w:pStyle w:val="BodyText"/>
        <w:spacing w:before="4"/>
        <w:ind w:left="2425"/>
        <w:rPr>
          <w:rFonts w:ascii="黑体" w:eastAsia="黑体" w:hint="eastAsia"/>
        </w:rPr>
      </w:pPr>
      <w:r>
        <w:rPr>
          <w:rFonts w:ascii="黑体" w:eastAsia="黑体" w:hint="eastAsia"/>
        </w:rPr>
        <w:t>构。</w:t>
      </w:r>
    </w:p>
    <w:p>
      <w:pPr>
        <w:pStyle w:val="BodyText"/>
        <w:spacing w:before="7"/>
        <w:rPr>
          <w:rFonts w:ascii="黑体"/>
          <w:sz w:val="14"/>
        </w:rPr>
      </w:pPr>
    </w:p>
    <w:p>
      <w:pPr>
        <w:pStyle w:val="ListParagraph"/>
        <w:numPr>
          <w:ilvl w:val="1"/>
          <w:numId w:val="4"/>
        </w:numPr>
        <w:tabs>
          <w:tab w:pos="904" w:val="left" w:leader="none"/>
          <w:tab w:pos="2425" w:val="left" w:leader="none"/>
        </w:tabs>
        <w:spacing w:line="256" w:lineRule="auto" w:before="0" w:after="0"/>
        <w:ind w:left="2425" w:right="220" w:hanging="2323"/>
        <w:jc w:val="both"/>
        <w:rPr>
          <w:sz w:val="21"/>
        </w:rPr>
      </w:pPr>
      <w:r>
        <w:rPr>
          <w:rFonts w:ascii="Microsoft JhengHei" w:eastAsia="Microsoft JhengHei" w:hint="eastAsia"/>
          <w:b/>
          <w:sz w:val="21"/>
        </w:rPr>
        <w:t>初次确诊</w:t>
        <w:tab/>
      </w:r>
      <w:r>
        <w:rPr>
          <w:sz w:val="21"/>
        </w:rPr>
        <w:t>指自被保险人出生之日起第一次经医院确诊患有某</w:t>
      </w:r>
      <w:r>
        <w:rPr>
          <w:spacing w:val="-5"/>
          <w:sz w:val="21"/>
        </w:rPr>
        <w:t>种</w:t>
      </w:r>
      <w:r>
        <w:rPr>
          <w:sz w:val="21"/>
        </w:rPr>
        <w:t>疾病，</w:t>
      </w:r>
      <w:r>
        <w:rPr>
          <w:rFonts w:ascii="黑体" w:eastAsia="黑体" w:hint="eastAsia"/>
          <w:sz w:val="21"/>
        </w:rPr>
        <w:t>而不是指自本附加合 同Th效</w:t>
      </w:r>
      <w:r>
        <w:rPr>
          <w:rFonts w:ascii="黑体" w:eastAsia="黑体" w:hint="eastAsia"/>
          <w:spacing w:val="-5"/>
          <w:sz w:val="21"/>
        </w:rPr>
        <w:t>、复</w:t>
      </w:r>
      <w:r>
        <w:rPr>
          <w:rFonts w:ascii="黑体" w:eastAsia="黑体" w:hint="eastAsia"/>
          <w:sz w:val="21"/>
        </w:rPr>
        <w:t>效之</w:t>
      </w:r>
      <w:r>
        <w:rPr>
          <w:rFonts w:ascii="黑体" w:eastAsia="黑体" w:hint="eastAsia"/>
          <w:spacing w:val="-5"/>
          <w:sz w:val="21"/>
        </w:rPr>
        <w:t>后</w:t>
      </w:r>
      <w:r>
        <w:rPr>
          <w:rFonts w:ascii="黑体" w:eastAsia="黑体" w:hint="eastAsia"/>
          <w:sz w:val="21"/>
        </w:rPr>
        <w:t>第一次</w:t>
      </w:r>
      <w:r>
        <w:rPr>
          <w:rFonts w:ascii="黑体" w:eastAsia="黑体" w:hint="eastAsia"/>
          <w:spacing w:val="-5"/>
          <w:sz w:val="21"/>
        </w:rPr>
        <w:t>经</w:t>
      </w:r>
      <w:r>
        <w:rPr>
          <w:rFonts w:ascii="黑体" w:eastAsia="黑体" w:hint="eastAsia"/>
          <w:sz w:val="21"/>
        </w:rPr>
        <w:t>医院确</w:t>
      </w:r>
      <w:r>
        <w:rPr>
          <w:rFonts w:ascii="黑体" w:eastAsia="黑体" w:hint="eastAsia"/>
          <w:spacing w:val="-5"/>
          <w:sz w:val="21"/>
        </w:rPr>
        <w:t>诊</w:t>
      </w:r>
      <w:r>
        <w:rPr>
          <w:rFonts w:ascii="黑体" w:eastAsia="黑体" w:hint="eastAsia"/>
          <w:sz w:val="21"/>
        </w:rPr>
        <w:t>患有某</w:t>
      </w:r>
      <w:r>
        <w:rPr>
          <w:rFonts w:ascii="黑体" w:eastAsia="黑体" w:hint="eastAsia"/>
          <w:spacing w:val="-5"/>
          <w:sz w:val="21"/>
        </w:rPr>
        <w:t>种</w:t>
      </w:r>
      <w:r>
        <w:rPr>
          <w:rFonts w:ascii="黑体" w:eastAsia="黑体" w:hint="eastAsia"/>
          <w:sz w:val="21"/>
        </w:rPr>
        <w:t>疾病</w:t>
      </w:r>
      <w:r>
        <w:rPr>
          <w:spacing w:val="-10"/>
          <w:sz w:val="21"/>
        </w:rPr>
        <w:t>。</w:t>
      </w:r>
      <w:r>
        <w:rPr>
          <w:sz w:val="21"/>
        </w:rPr>
        <w:t>例如，2010</w:t>
      </w:r>
      <w:r>
        <w:rPr>
          <w:spacing w:val="-48"/>
          <w:sz w:val="21"/>
        </w:rPr>
        <w:t> </w:t>
      </w:r>
      <w:r>
        <w:rPr>
          <w:sz w:val="21"/>
        </w:rPr>
        <w:t>年</w:t>
      </w:r>
      <w:r>
        <w:rPr>
          <w:spacing w:val="-48"/>
          <w:sz w:val="21"/>
        </w:rPr>
        <w:t> </w:t>
      </w:r>
      <w:r>
        <w:rPr>
          <w:sz w:val="21"/>
        </w:rPr>
        <w:t>1</w:t>
      </w:r>
      <w:r>
        <w:rPr>
          <w:spacing w:val="-48"/>
          <w:sz w:val="21"/>
        </w:rPr>
        <w:t> </w:t>
      </w:r>
      <w:r>
        <w:rPr>
          <w:sz w:val="21"/>
        </w:rPr>
        <w:t>月</w:t>
      </w:r>
      <w:r>
        <w:rPr>
          <w:spacing w:val="-52"/>
          <w:sz w:val="21"/>
        </w:rPr>
        <w:t> </w:t>
      </w:r>
      <w:r>
        <w:rPr>
          <w:sz w:val="21"/>
        </w:rPr>
        <w:t>1</w:t>
      </w:r>
      <w:r>
        <w:rPr>
          <w:spacing w:val="-48"/>
          <w:sz w:val="21"/>
        </w:rPr>
        <w:t> </w:t>
      </w:r>
      <w:r>
        <w:rPr>
          <w:sz w:val="21"/>
        </w:rPr>
        <w:t>日本附加合同经</w:t>
      </w:r>
      <w:r>
        <w:rPr>
          <w:spacing w:val="-5"/>
          <w:sz w:val="21"/>
        </w:rPr>
        <w:t>首</w:t>
      </w:r>
      <w:r>
        <w:rPr>
          <w:sz w:val="21"/>
        </w:rPr>
        <w:t>次投保</w:t>
      </w:r>
      <w:r>
        <w:rPr>
          <w:spacing w:val="-5"/>
          <w:sz w:val="21"/>
        </w:rPr>
        <w:t>后</w:t>
      </w:r>
      <w:r>
        <w:rPr>
          <w:sz w:val="21"/>
        </w:rPr>
        <w:t>生效，</w:t>
      </w:r>
      <w:r>
        <w:rPr>
          <w:spacing w:val="-5"/>
          <w:sz w:val="21"/>
        </w:rPr>
        <w:t>若</w:t>
      </w:r>
      <w:r>
        <w:rPr>
          <w:sz w:val="21"/>
        </w:rPr>
        <w:t>：</w:t>
      </w:r>
    </w:p>
    <w:p>
      <w:pPr>
        <w:pStyle w:val="ListParagraph"/>
        <w:numPr>
          <w:ilvl w:val="0"/>
          <w:numId w:val="24"/>
        </w:numPr>
        <w:tabs>
          <w:tab w:pos="3184" w:val="left" w:leader="none"/>
        </w:tabs>
        <w:spacing w:line="240" w:lineRule="auto" w:before="103" w:after="0"/>
        <w:ind w:left="3184"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6"/>
        <w:ind w:left="3184"/>
      </w:pPr>
      <w:r>
        <w:rPr>
          <w:w w:val="100"/>
        </w:rPr>
        <w:t>2010</w:t>
      </w:r>
      <w:r>
        <w:rPr>
          <w:spacing w:val="-53"/>
        </w:rPr>
        <w:t> </w:t>
      </w:r>
      <w:r>
        <w:rPr>
          <w:w w:val="100"/>
        </w:rPr>
        <w:t>年</w:t>
      </w:r>
      <w:r>
        <w:rPr>
          <w:spacing w:val="-53"/>
        </w:rPr>
        <w:t> </w:t>
      </w:r>
      <w:r>
        <w:rPr>
          <w:w w:val="100"/>
        </w:rPr>
        <w:t>1</w:t>
      </w:r>
      <w:r>
        <w:rPr>
          <w:spacing w:val="-53"/>
        </w:rPr>
        <w:t> </w:t>
      </w:r>
      <w:r>
        <w:rPr>
          <w:w w:val="100"/>
        </w:rPr>
        <w:t>月</w:t>
      </w:r>
      <w:r>
        <w:rPr>
          <w:spacing w:val="-57"/>
        </w:rPr>
        <w:t> </w:t>
      </w:r>
      <w:r>
        <w:rPr>
          <w:w w:val="100"/>
        </w:rPr>
        <w:t>10</w:t>
      </w:r>
      <w:r>
        <w:rPr>
          <w:spacing w:val="-53"/>
        </w:rPr>
        <w:t> </w:t>
      </w:r>
      <w:r>
        <w:rPr>
          <w:spacing w:val="-12"/>
          <w:w w:val="100"/>
        </w:rPr>
        <w:t>日被保险人再次经医院确诊罹患“恶性肿瘤”，则</w:t>
      </w:r>
      <w:r>
        <w:rPr>
          <w:spacing w:val="-57"/>
        </w:rPr>
        <w:t> </w:t>
      </w:r>
      <w:r>
        <w:rPr>
          <w:w w:val="100"/>
        </w:rPr>
        <w:t>2009</w:t>
      </w:r>
      <w:r>
        <w:rPr>
          <w:spacing w:val="-53"/>
        </w:rPr>
        <w:t> </w:t>
      </w:r>
      <w:r>
        <w:rPr>
          <w:w w:val="100"/>
        </w:rPr>
        <w:t>年</w:t>
      </w:r>
    </w:p>
    <w:p>
      <w:pPr>
        <w:pStyle w:val="BodyText"/>
        <w:spacing w:line="273" w:lineRule="auto" w:before="36"/>
        <w:ind w:left="3184" w:right="220"/>
        <w:jc w:val="both"/>
      </w:pPr>
      <w:r>
        <w:rPr/>
        <w:t>1</w:t>
      </w:r>
      <w:r>
        <w:rPr>
          <w:spacing w:val="-28"/>
        </w:rPr>
        <w:t> 月 </w:t>
      </w:r>
      <w:r>
        <w:rPr/>
        <w:t>1</w:t>
      </w:r>
      <w:r>
        <w:rPr>
          <w:spacing w:val="-11"/>
        </w:rPr>
        <w:t> 日为被保险人经医院初次确诊罹患“恶性肿瘤”的时间，由于“初</w:t>
      </w:r>
      <w:r>
        <w:rPr>
          <w:spacing w:val="-12"/>
        </w:rPr>
        <w:t>次确诊”发生在本附加合同生效之前，因此不属于保险责任范围，我们不</w:t>
      </w:r>
      <w:r>
        <w:rPr>
          <w:spacing w:val="-8"/>
        </w:rPr>
        <w:t>承担给付重大疾病保险金的责任；</w:t>
      </w:r>
    </w:p>
    <w:p>
      <w:pPr>
        <w:pStyle w:val="ListParagraph"/>
        <w:numPr>
          <w:ilvl w:val="0"/>
          <w:numId w:val="24"/>
        </w:numPr>
        <w:tabs>
          <w:tab w:pos="3184" w:val="left" w:leader="none"/>
        </w:tabs>
        <w:spacing w:line="240" w:lineRule="auto" w:before="89" w:after="0"/>
        <w:ind w:left="3184" w:right="0" w:hanging="720"/>
        <w:jc w:val="left"/>
        <w:rPr>
          <w:sz w:val="21"/>
        </w:rPr>
      </w:pPr>
      <w:r>
        <w:rPr>
          <w:sz w:val="21"/>
        </w:rPr>
        <w:t>2010</w:t>
      </w:r>
      <w:r>
        <w:rPr>
          <w:spacing w:val="-23"/>
          <w:sz w:val="21"/>
        </w:rPr>
        <w:t> 年 </w:t>
      </w:r>
      <w:r>
        <w:rPr>
          <w:sz w:val="21"/>
        </w:rPr>
        <w:t>2</w:t>
      </w:r>
      <w:r>
        <w:rPr>
          <w:spacing w:val="-23"/>
          <w:sz w:val="21"/>
        </w:rPr>
        <w:t> 月 </w:t>
      </w:r>
      <w:r>
        <w:rPr>
          <w:sz w:val="21"/>
        </w:rPr>
        <w:t>2</w:t>
      </w:r>
      <w:r>
        <w:rPr>
          <w:spacing w:val="-7"/>
          <w:sz w:val="21"/>
        </w:rPr>
        <w:t> 日被保险人自出生后第一次经医院确诊非因意外伤害罹患</w:t>
      </w:r>
    </w:p>
    <w:p>
      <w:pPr>
        <w:pStyle w:val="BodyText"/>
        <w:spacing w:before="32"/>
        <w:ind w:left="3184"/>
      </w:pPr>
      <w:r>
        <w:rPr>
          <w:spacing w:val="-32"/>
          <w:w w:val="100"/>
        </w:rPr>
        <w:t>“恶性肿瘤”，</w:t>
      </w:r>
      <w:r>
        <w:rPr>
          <w:w w:val="100"/>
        </w:rPr>
        <w:t>2010</w:t>
      </w:r>
      <w:r>
        <w:rPr>
          <w:spacing w:val="-62"/>
        </w:rPr>
        <w:t> </w:t>
      </w:r>
      <w:r>
        <w:rPr>
          <w:w w:val="100"/>
        </w:rPr>
        <w:t>年</w:t>
      </w:r>
      <w:r>
        <w:rPr>
          <w:spacing w:val="-62"/>
        </w:rPr>
        <w:t> </w:t>
      </w:r>
      <w:r>
        <w:rPr>
          <w:w w:val="100"/>
        </w:rPr>
        <w:t>5</w:t>
      </w:r>
      <w:r>
        <w:rPr>
          <w:spacing w:val="-62"/>
        </w:rPr>
        <w:t> </w:t>
      </w:r>
      <w:r>
        <w:rPr>
          <w:w w:val="100"/>
        </w:rPr>
        <w:t>月</w:t>
      </w:r>
      <w:r>
        <w:rPr>
          <w:spacing w:val="-62"/>
        </w:rPr>
        <w:t> </w:t>
      </w:r>
      <w:r>
        <w:rPr>
          <w:w w:val="100"/>
        </w:rPr>
        <w:t>5</w:t>
      </w:r>
      <w:r>
        <w:rPr>
          <w:spacing w:val="-62"/>
        </w:rPr>
        <w:t> </w:t>
      </w:r>
      <w:r>
        <w:rPr>
          <w:spacing w:val="-16"/>
          <w:w w:val="100"/>
        </w:rPr>
        <w:t>日被保险人再次经医院确诊罹患“恶性肿瘤”，</w:t>
      </w:r>
    </w:p>
    <w:p>
      <w:pPr>
        <w:pStyle w:val="BodyText"/>
        <w:spacing w:before="36"/>
        <w:ind w:left="3184"/>
      </w:pPr>
      <w:r>
        <w:rPr>
          <w:spacing w:val="-24"/>
        </w:rPr>
        <w:t>则 </w:t>
      </w:r>
      <w:r>
        <w:rPr/>
        <w:t>2010</w:t>
      </w:r>
      <w:r>
        <w:rPr>
          <w:spacing w:val="-32"/>
        </w:rPr>
        <w:t> 年 </w:t>
      </w:r>
      <w:r>
        <w:rPr/>
        <w:t>2</w:t>
      </w:r>
      <w:r>
        <w:rPr>
          <w:spacing w:val="-34"/>
        </w:rPr>
        <w:t> 月 </w:t>
      </w:r>
      <w:r>
        <w:rPr/>
        <w:t>2</w:t>
      </w:r>
      <w:r>
        <w:rPr>
          <w:spacing w:val="-13"/>
        </w:rPr>
        <w:t> 日为被保险人经医院初次确诊罹患“恶性肿瘤”的时间，</w:t>
      </w:r>
    </w:p>
    <w:p>
      <w:pPr>
        <w:pStyle w:val="BodyText"/>
        <w:spacing w:line="256" w:lineRule="auto" w:before="36"/>
        <w:ind w:left="3184" w:right="220"/>
        <w:jc w:val="both"/>
      </w:pPr>
      <w:r>
        <w:rPr>
          <w:spacing w:val="-11"/>
        </w:rPr>
        <w:t>由于“初次确诊”发生在本附加合同生效之日起 </w:t>
      </w:r>
      <w:r>
        <w:rPr>
          <w:rFonts w:ascii="Times New Roman" w:hAnsi="Times New Roman" w:eastAsia="Times New Roman"/>
        </w:rPr>
        <w:t>180 </w:t>
      </w:r>
      <w:r>
        <w:rPr>
          <w:spacing w:val="-6"/>
        </w:rPr>
        <w:t>日内，我们按您累计</w:t>
      </w:r>
      <w:r>
        <w:rPr>
          <w:spacing w:val="-5"/>
        </w:rPr>
        <w:t>已交纳的本附加合同及主合同的保险费数额（</w:t>
      </w:r>
      <w:r>
        <w:rPr>
          <w:spacing w:val="-2"/>
        </w:rPr>
        <w:t>不计息</w:t>
      </w:r>
      <w:r>
        <w:rPr/>
        <w:t>）</w:t>
      </w:r>
      <w:r>
        <w:rPr>
          <w:spacing w:val="-13"/>
        </w:rPr>
        <w:t>的 </w:t>
      </w:r>
      <w:r>
        <w:rPr>
          <w:rFonts w:ascii="Times New Roman" w:hAnsi="Times New Roman" w:eastAsia="Times New Roman"/>
        </w:rPr>
        <w:t>105%</w:t>
      </w:r>
      <w:r>
        <w:rPr>
          <w:spacing w:val="-2"/>
        </w:rPr>
        <w:t>向重大疾</w:t>
      </w:r>
      <w:r>
        <w:rPr>
          <w:spacing w:val="-5"/>
        </w:rPr>
        <w:t>病保险金受益人给付重大疾病保险金，本附加合同和主合同同时终止；</w:t>
      </w:r>
    </w:p>
    <w:p>
      <w:pPr>
        <w:pStyle w:val="ListParagraph"/>
        <w:numPr>
          <w:ilvl w:val="0"/>
          <w:numId w:val="24"/>
        </w:numPr>
        <w:tabs>
          <w:tab w:pos="3184" w:val="left" w:leader="none"/>
        </w:tabs>
        <w:spacing w:line="240" w:lineRule="auto" w:before="103" w:after="0"/>
        <w:ind w:left="3184"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2"/>
        <w:ind w:left="3184"/>
      </w:pPr>
      <w:r>
        <w:rPr>
          <w:spacing w:val="-24"/>
        </w:rPr>
        <w:t>则 </w:t>
      </w:r>
      <w:r>
        <w:rPr/>
        <w:t>2011</w:t>
      </w:r>
      <w:r>
        <w:rPr>
          <w:spacing w:val="-32"/>
        </w:rPr>
        <w:t> 年 </w:t>
      </w:r>
      <w:r>
        <w:rPr/>
        <w:t>5</w:t>
      </w:r>
      <w:r>
        <w:rPr>
          <w:spacing w:val="-34"/>
        </w:rPr>
        <w:t> 月 </w:t>
      </w:r>
      <w:r>
        <w:rPr/>
        <w:t>5</w:t>
      </w:r>
      <w:r>
        <w:rPr>
          <w:spacing w:val="-13"/>
        </w:rPr>
        <w:t> 日为被保险人经医院初次确诊罹患“恶性肿瘤”的时间，</w:t>
      </w:r>
    </w:p>
    <w:p>
      <w:pPr>
        <w:pStyle w:val="BodyText"/>
        <w:spacing w:line="264" w:lineRule="auto" w:before="37"/>
        <w:ind w:left="3184" w:right="220"/>
        <w:jc w:val="both"/>
      </w:pPr>
      <w:r>
        <w:rPr>
          <w:spacing w:val="-11"/>
        </w:rPr>
        <w:t>由于“初次确诊”发生在本附加合同生效之日起 </w:t>
      </w:r>
      <w:r>
        <w:rPr>
          <w:rFonts w:ascii="Times New Roman" w:hAnsi="Times New Roman" w:eastAsia="Times New Roman"/>
        </w:rPr>
        <w:t>180 </w:t>
      </w:r>
      <w:r>
        <w:rPr>
          <w:spacing w:val="-6"/>
        </w:rPr>
        <w:t>日后，我们按本附加</w:t>
      </w:r>
      <w:r>
        <w:rPr>
          <w:spacing w:val="-8"/>
        </w:rPr>
        <w:t>合同的基本保险金额向重大疾病保险金受益人给付重大疾病保险金，本附</w:t>
      </w:r>
      <w:r>
        <w:rPr>
          <w:spacing w:val="-6"/>
        </w:rPr>
        <w:t>加合同和主合同同时终止。</w:t>
      </w:r>
    </w:p>
    <w:p>
      <w:pPr>
        <w:pStyle w:val="ListParagraph"/>
        <w:numPr>
          <w:ilvl w:val="1"/>
          <w:numId w:val="4"/>
        </w:numPr>
        <w:tabs>
          <w:tab w:pos="904" w:val="left" w:leader="none"/>
          <w:tab w:pos="2425" w:val="left" w:leader="none"/>
        </w:tabs>
        <w:spacing w:line="256" w:lineRule="auto" w:before="170" w:after="0"/>
        <w:ind w:left="2425" w:right="225" w:hanging="2323"/>
        <w:jc w:val="both"/>
        <w:rPr>
          <w:rFonts w:ascii="黑体" w:eastAsia="黑体" w:hint="eastAsia"/>
          <w:sz w:val="21"/>
        </w:rPr>
      </w:pPr>
      <w:r>
        <w:rPr>
          <w:rFonts w:ascii="Microsoft JhengHei" w:eastAsia="Microsoft JhengHei" w:hint="eastAsia"/>
          <w:b/>
          <w:sz w:val="21"/>
        </w:rPr>
        <w:t>意外伤害</w:t>
        <w:tab/>
      </w:r>
      <w:r>
        <w:rPr>
          <w:sz w:val="21"/>
        </w:rPr>
        <w:t>指外来的、突然的、非本意的、非疾病的使身体受</w:t>
      </w:r>
      <w:r>
        <w:rPr>
          <w:spacing w:val="-5"/>
          <w:sz w:val="21"/>
        </w:rPr>
        <w:t>到</w:t>
      </w:r>
      <w:r>
        <w:rPr>
          <w:sz w:val="21"/>
        </w:rPr>
        <w:t>伤害的客观事件，并以此客 观事件为直接且单独原因导致身体蒙受伤害或者身</w:t>
      </w:r>
      <w:r>
        <w:rPr>
          <w:spacing w:val="-4"/>
          <w:sz w:val="21"/>
        </w:rPr>
        <w:t>故</w:t>
      </w:r>
      <w:r>
        <w:rPr>
          <w:sz w:val="21"/>
        </w:rPr>
        <w:t>，</w:t>
      </w:r>
      <w:r>
        <w:rPr>
          <w:rFonts w:ascii="黑体" w:eastAsia="黑体" w:hint="eastAsia"/>
          <w:sz w:val="21"/>
        </w:rPr>
        <w:t>猝死、自杀以及自伤均不属于意外</w:t>
      </w:r>
      <w:r>
        <w:rPr>
          <w:rFonts w:ascii="黑体" w:eastAsia="黑体" w:hint="eastAsia"/>
          <w:spacing w:val="-5"/>
          <w:sz w:val="21"/>
        </w:rPr>
        <w:t>伤</w:t>
      </w:r>
      <w:r>
        <w:rPr>
          <w:rFonts w:ascii="黑体" w:eastAsia="黑体" w:hint="eastAsia"/>
          <w:sz w:val="21"/>
        </w:rPr>
        <w:t>害。</w:t>
      </w:r>
    </w:p>
    <w:p>
      <w:pPr>
        <w:pStyle w:val="BodyText"/>
        <w:spacing w:line="273" w:lineRule="auto" w:before="104"/>
        <w:ind w:left="2425" w:right="220"/>
      </w:pPr>
      <w:r>
        <w:rPr>
          <w:spacing w:val="-9"/>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ListParagraph"/>
        <w:numPr>
          <w:ilvl w:val="1"/>
          <w:numId w:val="4"/>
        </w:numPr>
        <w:tabs>
          <w:tab w:pos="903" w:val="left" w:leader="none"/>
          <w:tab w:pos="904" w:val="left" w:leader="none"/>
          <w:tab w:pos="2425" w:val="left" w:leader="none"/>
        </w:tabs>
        <w:spacing w:line="259" w:lineRule="auto" w:before="156" w:after="0"/>
        <w:ind w:left="2425" w:right="153" w:hanging="2323"/>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大麻、 可卡因以及国家规定管制的其他能够使人形成瘾癖</w:t>
      </w:r>
      <w:r>
        <w:rPr>
          <w:spacing w:val="-5"/>
          <w:sz w:val="21"/>
        </w:rPr>
        <w:t>的</w:t>
      </w:r>
      <w:r>
        <w:rPr>
          <w:sz w:val="21"/>
        </w:rPr>
        <w:t>麻醉药品和精神药品，但不包括由医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ListParagraph"/>
        <w:numPr>
          <w:ilvl w:val="1"/>
          <w:numId w:val="4"/>
        </w:numPr>
        <w:tabs>
          <w:tab w:pos="904" w:val="left" w:leader="none"/>
          <w:tab w:pos="2425" w:val="left" w:leader="none"/>
        </w:tabs>
        <w:spacing w:line="256" w:lineRule="auto" w:before="173" w:after="0"/>
        <w:ind w:left="2425" w:right="225" w:hanging="2323"/>
        <w:jc w:val="both"/>
        <w:rPr>
          <w:sz w:val="21"/>
        </w:rPr>
      </w:pPr>
      <w:r>
        <w:rPr>
          <w:rFonts w:ascii="Microsoft JhengHei" w:eastAsia="Microsoft JhengHei" w:hint="eastAsia"/>
          <w:b/>
          <w:sz w:val="21"/>
        </w:rPr>
        <w:t>酒后驾驶</w:t>
        <w:tab/>
      </w:r>
      <w:r>
        <w:rPr>
          <w:sz w:val="21"/>
        </w:rPr>
        <w:t>指经检测或者鉴定，发生保险事故时每百毫升血液</w:t>
      </w:r>
      <w:r>
        <w:rPr>
          <w:spacing w:val="-5"/>
          <w:sz w:val="21"/>
        </w:rPr>
        <w:t>中</w:t>
      </w:r>
      <w:r>
        <w:rPr>
          <w:sz w:val="21"/>
        </w:rPr>
        <w:t>的酒精含量达到或者超过一 定的标准，是否达到前述标准由公安机关交通管理</w:t>
      </w:r>
      <w:r>
        <w:rPr>
          <w:spacing w:val="-5"/>
          <w:sz w:val="21"/>
        </w:rPr>
        <w:t>部</w:t>
      </w:r>
      <w:r>
        <w:rPr>
          <w:sz w:val="21"/>
        </w:rPr>
        <w:t>门依据《道路交通安全法》的规定认</w:t>
      </w:r>
      <w:r>
        <w:rPr>
          <w:spacing w:val="-5"/>
          <w:sz w:val="21"/>
        </w:rPr>
        <w:t>定</w:t>
      </w:r>
      <w:r>
        <w:rPr>
          <w:sz w:val="21"/>
        </w:rPr>
        <w:t>，我们</w:t>
      </w:r>
      <w:r>
        <w:rPr>
          <w:spacing w:val="-5"/>
          <w:sz w:val="21"/>
        </w:rPr>
        <w:t>根</w:t>
      </w:r>
      <w:r>
        <w:rPr>
          <w:sz w:val="21"/>
        </w:rPr>
        <w:t>据公安</w:t>
      </w:r>
      <w:r>
        <w:rPr>
          <w:spacing w:val="-5"/>
          <w:sz w:val="21"/>
        </w:rPr>
        <w:t>机</w:t>
      </w:r>
      <w:r>
        <w:rPr>
          <w:sz w:val="21"/>
        </w:rPr>
        <w:t>关交通</w:t>
      </w:r>
      <w:r>
        <w:rPr>
          <w:spacing w:val="-5"/>
          <w:sz w:val="21"/>
        </w:rPr>
        <w:t>管</w:t>
      </w:r>
      <w:r>
        <w:rPr>
          <w:sz w:val="21"/>
        </w:rPr>
        <w:t>理部门</w:t>
      </w:r>
      <w:r>
        <w:rPr>
          <w:spacing w:val="-5"/>
          <w:sz w:val="21"/>
        </w:rPr>
        <w:t>的</w:t>
      </w:r>
      <w:r>
        <w:rPr>
          <w:sz w:val="21"/>
        </w:rPr>
        <w:t>认</w:t>
      </w:r>
      <w:r>
        <w:rPr>
          <w:spacing w:val="-5"/>
          <w:sz w:val="21"/>
        </w:rPr>
        <w:t>定</w:t>
      </w:r>
      <w:r>
        <w:rPr>
          <w:sz w:val="21"/>
        </w:rPr>
        <w:t>确认是否</w:t>
      </w:r>
      <w:r>
        <w:rPr>
          <w:spacing w:val="-5"/>
          <w:sz w:val="21"/>
        </w:rPr>
        <w:t>属</w:t>
      </w:r>
      <w:r>
        <w:rPr>
          <w:sz w:val="21"/>
        </w:rPr>
        <w:t>于酒后</w:t>
      </w:r>
      <w:r>
        <w:rPr>
          <w:spacing w:val="-5"/>
          <w:sz w:val="21"/>
        </w:rPr>
        <w:t>驾</w:t>
      </w:r>
      <w:r>
        <w:rPr>
          <w:sz w:val="21"/>
        </w:rPr>
        <w:t>驶。</w:t>
      </w:r>
    </w:p>
    <w:p>
      <w:pPr>
        <w:pStyle w:val="BodyText"/>
        <w:spacing w:before="4"/>
        <w:rPr>
          <w:sz w:val="14"/>
        </w:rPr>
      </w:pPr>
    </w:p>
    <w:p>
      <w:pPr>
        <w:spacing w:after="0"/>
        <w:rPr>
          <w:sz w:val="14"/>
        </w:rPr>
        <w:sectPr>
          <w:type w:val="continuous"/>
          <w:pgSz w:w="11900" w:h="16840"/>
          <w:pgMar w:top="540" w:bottom="280" w:left="1040" w:right="820"/>
        </w:sectPr>
      </w:pPr>
    </w:p>
    <w:p>
      <w:pPr>
        <w:pStyle w:val="Heading3"/>
        <w:numPr>
          <w:ilvl w:val="1"/>
          <w:numId w:val="4"/>
        </w:numPr>
        <w:tabs>
          <w:tab w:pos="903" w:val="left" w:leader="none"/>
          <w:tab w:pos="904" w:val="left" w:leader="none"/>
        </w:tabs>
        <w:spacing w:line="325" w:lineRule="exact" w:before="0" w:after="0"/>
        <w:ind w:left="904" w:right="0" w:hanging="802"/>
        <w:jc w:val="left"/>
      </w:pPr>
      <w:r>
        <w:rPr/>
        <w:t>无合法有效驾</w:t>
      </w:r>
    </w:p>
    <w:p>
      <w:pPr>
        <w:spacing w:line="336" w:lineRule="exact" w:before="0"/>
        <w:ind w:left="904"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36"/>
        <w:ind w:left="102"/>
      </w:pPr>
      <w:r>
        <w:rPr/>
        <w:br w:type="column"/>
      </w:r>
      <w:r>
        <w:rPr/>
        <w:t>指下列情形之一：</w:t>
      </w:r>
    </w:p>
    <w:p>
      <w:pPr>
        <w:pStyle w:val="ListParagraph"/>
        <w:numPr>
          <w:ilvl w:val="0"/>
          <w:numId w:val="25"/>
        </w:numPr>
        <w:tabs>
          <w:tab w:pos="823" w:val="left" w:leader="none"/>
        </w:tabs>
        <w:spacing w:line="240" w:lineRule="auto" w:before="113" w:after="0"/>
        <w:ind w:left="822" w:right="0" w:hanging="720"/>
        <w:jc w:val="left"/>
        <w:rPr>
          <w:sz w:val="21"/>
        </w:rPr>
      </w:pPr>
      <w:r>
        <w:rPr>
          <w:spacing w:val="-5"/>
          <w:sz w:val="21"/>
        </w:rPr>
        <w:t>没有取得中华人民共和国有关主管部门颁发或者认可的驾驶资格证书；</w:t>
      </w:r>
    </w:p>
    <w:p>
      <w:pPr>
        <w:spacing w:after="0" w:line="240" w:lineRule="auto"/>
        <w:jc w:val="left"/>
        <w:rPr>
          <w:sz w:val="21"/>
        </w:rPr>
        <w:sectPr>
          <w:type w:val="continuous"/>
          <w:pgSz w:w="11900" w:h="16840"/>
          <w:pgMar w:top="540" w:bottom="280" w:left="1040" w:right="820"/>
          <w:cols w:num="2" w:equalWidth="0">
            <w:col w:w="2171" w:space="152"/>
            <w:col w:w="7717"/>
          </w:cols>
        </w:sectPr>
      </w:pPr>
    </w:p>
    <w:p>
      <w:pPr>
        <w:pStyle w:val="ListParagraph"/>
        <w:numPr>
          <w:ilvl w:val="1"/>
          <w:numId w:val="25"/>
        </w:numPr>
        <w:tabs>
          <w:tab w:pos="3146" w:val="left" w:leader="none"/>
        </w:tabs>
        <w:spacing w:line="240" w:lineRule="auto" w:before="10" w:after="0"/>
        <w:ind w:left="3145" w:right="0" w:hanging="720"/>
        <w:jc w:val="left"/>
        <w:rPr>
          <w:sz w:val="21"/>
        </w:rPr>
      </w:pPr>
      <w:r>
        <w:rPr>
          <w:spacing w:val="-5"/>
          <w:sz w:val="21"/>
        </w:rPr>
        <w:t>驾驶与合法有效驾驶证准驾车型不相符合的车辆；</w:t>
      </w:r>
    </w:p>
    <w:p>
      <w:pPr>
        <w:pStyle w:val="ListParagraph"/>
        <w:numPr>
          <w:ilvl w:val="1"/>
          <w:numId w:val="25"/>
        </w:numPr>
        <w:tabs>
          <w:tab w:pos="3146" w:val="left" w:leader="none"/>
        </w:tabs>
        <w:spacing w:line="240" w:lineRule="auto" w:before="113" w:after="0"/>
        <w:ind w:left="3145" w:right="0" w:hanging="720"/>
        <w:jc w:val="left"/>
        <w:rPr>
          <w:sz w:val="21"/>
        </w:rPr>
      </w:pPr>
      <w:r>
        <w:rPr>
          <w:spacing w:val="-2"/>
          <w:sz w:val="21"/>
        </w:rPr>
        <w:t>持审验不合格的驾驶证驾驶；</w:t>
      </w:r>
    </w:p>
    <w:p>
      <w:pPr>
        <w:pStyle w:val="ListParagraph"/>
        <w:numPr>
          <w:ilvl w:val="1"/>
          <w:numId w:val="25"/>
        </w:numPr>
        <w:tabs>
          <w:tab w:pos="3146" w:val="left" w:leader="none"/>
        </w:tabs>
        <w:spacing w:line="268" w:lineRule="auto" w:before="113" w:after="0"/>
        <w:ind w:left="3145" w:right="225" w:hanging="720"/>
        <w:jc w:val="left"/>
        <w:rPr>
          <w:sz w:val="21"/>
        </w:rPr>
      </w:pPr>
      <w:r>
        <w:rPr>
          <w:spacing w:val="-7"/>
          <w:sz w:val="21"/>
        </w:rPr>
        <w:t>在驾驶证有效期内未按照中华人民共和国法律、行政法规的规定，定期对</w:t>
      </w:r>
      <w:r>
        <w:rPr>
          <w:spacing w:val="-6"/>
          <w:sz w:val="21"/>
        </w:rPr>
        <w:t>机动车驾驶证实施审验的；</w:t>
      </w:r>
    </w:p>
    <w:p>
      <w:pPr>
        <w:pStyle w:val="ListParagraph"/>
        <w:numPr>
          <w:ilvl w:val="1"/>
          <w:numId w:val="25"/>
        </w:numPr>
        <w:tabs>
          <w:tab w:pos="3146" w:val="left" w:leader="none"/>
        </w:tabs>
        <w:spacing w:line="240" w:lineRule="auto" w:before="93" w:after="0"/>
        <w:ind w:left="3145" w:right="0" w:hanging="720"/>
        <w:jc w:val="left"/>
        <w:rPr>
          <w:sz w:val="21"/>
        </w:rPr>
      </w:pPr>
      <w:r>
        <w:rPr>
          <w:spacing w:val="-2"/>
          <w:sz w:val="21"/>
        </w:rPr>
        <w:t>驾驶证已过有效期的。</w:t>
      </w:r>
    </w:p>
    <w:p>
      <w:pPr>
        <w:pStyle w:val="BodyText"/>
        <w:spacing w:before="6"/>
        <w:rPr>
          <w:sz w:val="15"/>
        </w:rPr>
      </w:pPr>
    </w:p>
    <w:p>
      <w:pPr>
        <w:spacing w:after="0"/>
        <w:rPr>
          <w:sz w:val="15"/>
        </w:rPr>
        <w:sectPr>
          <w:pgSz w:w="11900" w:h="16840"/>
          <w:pgMar w:top="1080" w:bottom="280" w:left="1040" w:right="820"/>
        </w:sectPr>
      </w:pPr>
    </w:p>
    <w:p>
      <w:pPr>
        <w:pStyle w:val="Heading3"/>
        <w:numPr>
          <w:ilvl w:val="1"/>
          <w:numId w:val="4"/>
        </w:numPr>
        <w:tabs>
          <w:tab w:pos="903" w:val="left" w:leader="none"/>
          <w:tab w:pos="904" w:val="left" w:leader="none"/>
        </w:tabs>
        <w:spacing w:line="201" w:lineRule="auto" w:before="47" w:after="0"/>
        <w:ind w:left="904" w:right="0" w:hanging="802"/>
        <w:jc w:val="left"/>
      </w:pPr>
      <w:r>
        <w:rPr/>
        <w:t>无合法有效行驶证</w:t>
      </w:r>
    </w:p>
    <w:p>
      <w:pPr>
        <w:pStyle w:val="BodyText"/>
        <w:spacing w:line="268" w:lineRule="auto" w:before="36"/>
        <w:ind w:left="102" w:right="226"/>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26"/>
        </w:numPr>
        <w:tabs>
          <w:tab w:pos="823" w:val="left" w:leader="none"/>
        </w:tabs>
        <w:spacing w:line="240" w:lineRule="auto" w:before="93" w:after="0"/>
        <w:ind w:left="822" w:right="0" w:hanging="720"/>
        <w:jc w:val="left"/>
        <w:rPr>
          <w:sz w:val="21"/>
        </w:rPr>
      </w:pPr>
      <w:r>
        <w:rPr>
          <w:spacing w:val="-4"/>
          <w:sz w:val="21"/>
        </w:rPr>
        <w:t>未办理行驶证或者行驶证在申办过程中的；</w:t>
      </w:r>
    </w:p>
    <w:p>
      <w:pPr>
        <w:pStyle w:val="ListParagraph"/>
        <w:numPr>
          <w:ilvl w:val="0"/>
          <w:numId w:val="26"/>
        </w:numPr>
        <w:tabs>
          <w:tab w:pos="823" w:val="left" w:leader="none"/>
        </w:tabs>
        <w:spacing w:line="240" w:lineRule="auto" w:before="114" w:after="0"/>
        <w:ind w:left="822" w:right="0" w:hanging="720"/>
        <w:jc w:val="left"/>
        <w:rPr>
          <w:sz w:val="21"/>
        </w:rPr>
      </w:pPr>
      <w:r>
        <w:rPr>
          <w:spacing w:val="-3"/>
          <w:sz w:val="21"/>
        </w:rPr>
        <w:t>机动车行驶证被依法注销登记的；</w:t>
      </w:r>
    </w:p>
    <w:p>
      <w:pPr>
        <w:pStyle w:val="ListParagraph"/>
        <w:numPr>
          <w:ilvl w:val="0"/>
          <w:numId w:val="26"/>
        </w:numPr>
        <w:tabs>
          <w:tab w:pos="823" w:val="left" w:leader="none"/>
        </w:tabs>
        <w:spacing w:line="268" w:lineRule="auto" w:before="118" w:after="0"/>
        <w:ind w:left="822" w:right="230" w:hanging="720"/>
        <w:jc w:val="left"/>
        <w:rPr>
          <w:sz w:val="21"/>
        </w:rPr>
      </w:pPr>
      <w:r>
        <w:rPr>
          <w:sz w:val="21"/>
        </w:rPr>
        <w:t>未在行驶证检验有效期内依法按时进行或者未通过机动车安全技术检验的。</w:t>
      </w:r>
    </w:p>
    <w:p>
      <w:pPr>
        <w:spacing w:after="0" w:line="268" w:lineRule="auto"/>
        <w:jc w:val="left"/>
        <w:rPr>
          <w:sz w:val="21"/>
        </w:rPr>
        <w:sectPr>
          <w:type w:val="continuous"/>
          <w:pgSz w:w="11900" w:h="16840"/>
          <w:pgMar w:top="540" w:bottom="280" w:left="1040" w:right="820"/>
          <w:cols w:num="2" w:equalWidth="0">
            <w:col w:w="2171" w:space="152"/>
            <w:col w:w="7717"/>
          </w:cols>
        </w:sectPr>
      </w:pPr>
    </w:p>
    <w:p>
      <w:pPr>
        <w:pStyle w:val="BodyText"/>
        <w:spacing w:before="12"/>
        <w:rPr>
          <w:sz w:val="14"/>
        </w:rPr>
      </w:pPr>
    </w:p>
    <w:p>
      <w:pPr>
        <w:pStyle w:val="ListParagraph"/>
        <w:numPr>
          <w:ilvl w:val="1"/>
          <w:numId w:val="4"/>
        </w:numPr>
        <w:tabs>
          <w:tab w:pos="903" w:val="left" w:leader="none"/>
          <w:tab w:pos="904" w:val="left" w:leader="none"/>
          <w:tab w:pos="2425" w:val="left" w:leader="none"/>
        </w:tabs>
        <w:spacing w:line="308" w:lineRule="exact" w:before="35" w:after="0"/>
        <w:ind w:left="2425" w:right="225" w:hanging="2323"/>
        <w:jc w:val="left"/>
        <w:rPr>
          <w:sz w:val="21"/>
        </w:rPr>
      </w:pPr>
      <w:r>
        <w:rPr>
          <w:rFonts w:ascii="Microsoft JhengHei" w:eastAsia="Microsoft JhengHei" w:hint="eastAsia"/>
          <w:b/>
          <w:sz w:val="21"/>
        </w:rPr>
        <w:t>机动车</w:t>
        <w:tab/>
      </w:r>
      <w:r>
        <w:rPr>
          <w:sz w:val="21"/>
        </w:rPr>
        <w:t>指以动力装置驱动或者牵引，上道路行驶的供人员</w:t>
      </w:r>
      <w:r>
        <w:rPr>
          <w:spacing w:val="-5"/>
          <w:sz w:val="21"/>
        </w:rPr>
        <w:t>乘</w:t>
      </w:r>
      <w:r>
        <w:rPr>
          <w:sz w:val="21"/>
        </w:rPr>
        <w:t>用或者用于运送物品以及进 行工程专</w:t>
      </w:r>
      <w:r>
        <w:rPr>
          <w:spacing w:val="-5"/>
          <w:sz w:val="21"/>
        </w:rPr>
        <w:t>项</w:t>
      </w:r>
      <w:r>
        <w:rPr>
          <w:sz w:val="21"/>
        </w:rPr>
        <w:t>作业的</w:t>
      </w:r>
      <w:r>
        <w:rPr>
          <w:spacing w:val="-5"/>
          <w:sz w:val="21"/>
        </w:rPr>
        <w:t>轮</w:t>
      </w:r>
      <w:r>
        <w:rPr>
          <w:sz w:val="21"/>
        </w:rPr>
        <w:t>式车辆。</w:t>
      </w:r>
    </w:p>
    <w:p>
      <w:pPr>
        <w:pStyle w:val="BodyText"/>
        <w:spacing w:before="5"/>
        <w:rPr>
          <w:sz w:val="14"/>
        </w:rPr>
      </w:pPr>
    </w:p>
    <w:p>
      <w:pPr>
        <w:spacing w:after="0"/>
        <w:rPr>
          <w:sz w:val="14"/>
        </w:rPr>
        <w:sectPr>
          <w:type w:val="continuous"/>
          <w:pgSz w:w="11900" w:h="16840"/>
          <w:pgMar w:top="540" w:bottom="280" w:left="1040" w:right="820"/>
        </w:sectPr>
      </w:pPr>
    </w:p>
    <w:p>
      <w:pPr>
        <w:pStyle w:val="Heading3"/>
        <w:numPr>
          <w:ilvl w:val="1"/>
          <w:numId w:val="4"/>
        </w:numPr>
        <w:tabs>
          <w:tab w:pos="903" w:val="left" w:leader="none"/>
          <w:tab w:pos="904" w:val="left" w:leader="none"/>
        </w:tabs>
        <w:spacing w:line="307" w:lineRule="exact" w:before="0" w:after="0"/>
        <w:ind w:left="904" w:right="0" w:hanging="802"/>
        <w:jc w:val="left"/>
      </w:pPr>
      <w:r>
        <w:rPr/>
        <w:t>感染艾滋病病</w:t>
      </w:r>
    </w:p>
    <w:p>
      <w:pPr>
        <w:spacing w:line="204" w:lineRule="auto" w:before="25"/>
        <w:ind w:left="904" w:right="0" w:firstLine="0"/>
        <w:jc w:val="left"/>
        <w:rPr>
          <w:rFonts w:ascii="Microsoft JhengHei" w:eastAsia="Microsoft JhengHei" w:hint="eastAsia"/>
          <w:b/>
          <w:sz w:val="21"/>
        </w:rPr>
      </w:pPr>
      <w:r>
        <w:rPr>
          <w:rFonts w:ascii="Microsoft JhengHei" w:eastAsia="Microsoft JhengHei" w:hint="eastAsia"/>
          <w:b/>
          <w:sz w:val="21"/>
        </w:rPr>
        <w:t>毒或者患艾滋病</w:t>
      </w:r>
    </w:p>
    <w:p>
      <w:pPr>
        <w:pStyle w:val="BodyText"/>
        <w:spacing w:line="268" w:lineRule="auto" w:before="37"/>
        <w:ind w:left="102" w:right="225"/>
      </w:pPr>
      <w:r>
        <w:rPr/>
        <w:br w:type="column"/>
      </w:r>
      <w:r>
        <w:rPr/>
        <w:t>艾滋病病毒指人类免疫缺陷病毒，英文缩写为 HIV。艾滋病指人类免疫缺陷病毒引起的获得性免疫缺陷综合征，英文缩写为 AIDS。</w:t>
      </w:r>
    </w:p>
    <w:p>
      <w:pPr>
        <w:pStyle w:val="BodyText"/>
        <w:spacing w:line="273" w:lineRule="auto" w:before="93"/>
        <w:ind w:left="102" w:right="114"/>
      </w:pPr>
      <w:r>
        <w:rPr>
          <w:spacing w:val="-1"/>
        </w:rPr>
        <w:t>在人体血液或者其他样本中检测到艾滋病病毒或者其抗体呈阳性，没有出现临床</w:t>
      </w:r>
      <w:r>
        <w:rPr>
          <w:spacing w:val="-9"/>
        </w:rPr>
        <w:t>症状或者体征的，为感染艾滋病病毒；如果同时出现了明显临床症状或者体征的， </w:t>
      </w:r>
      <w:r>
        <w:rPr>
          <w:spacing w:val="-8"/>
        </w:rPr>
        <w:t>为患艾滋病。</w:t>
      </w:r>
    </w:p>
    <w:p>
      <w:pPr>
        <w:spacing w:after="0" w:line="273" w:lineRule="auto"/>
        <w:sectPr>
          <w:type w:val="continuous"/>
          <w:pgSz w:w="11900" w:h="16840"/>
          <w:pgMar w:top="540" w:bottom="280" w:left="1040" w:right="820"/>
          <w:cols w:num="2" w:equalWidth="0">
            <w:col w:w="2171" w:space="152"/>
            <w:col w:w="7717"/>
          </w:cols>
        </w:sectPr>
      </w:pPr>
    </w:p>
    <w:p>
      <w:pPr>
        <w:pStyle w:val="BodyText"/>
        <w:spacing w:before="8"/>
        <w:rPr>
          <w:sz w:val="14"/>
        </w:rPr>
      </w:pPr>
    </w:p>
    <w:p>
      <w:pPr>
        <w:pStyle w:val="ListParagraph"/>
        <w:numPr>
          <w:ilvl w:val="1"/>
          <w:numId w:val="4"/>
        </w:numPr>
        <w:tabs>
          <w:tab w:pos="903" w:val="left" w:leader="none"/>
          <w:tab w:pos="904" w:val="left" w:leader="none"/>
          <w:tab w:pos="2425" w:val="left" w:leader="none"/>
        </w:tabs>
        <w:spacing w:line="308" w:lineRule="exact" w:before="35" w:after="0"/>
        <w:ind w:left="2425" w:right="225" w:hanging="2323"/>
        <w:jc w:val="left"/>
        <w:rPr>
          <w:sz w:val="21"/>
        </w:rPr>
      </w:pPr>
      <w:r>
        <w:rPr>
          <w:rFonts w:ascii="Microsoft JhengHei" w:eastAsia="Microsoft JhengHei" w:hint="eastAsia"/>
          <w:b/>
          <w:sz w:val="21"/>
        </w:rPr>
        <w:t>遗传性疾病</w:t>
        <w:tab/>
      </w:r>
      <w:r>
        <w:rPr>
          <w:sz w:val="21"/>
        </w:rPr>
        <w:t>指生殖细胞或者受精卵的遗传物质（染色体和基因</w:t>
      </w:r>
      <w:r>
        <w:rPr>
          <w:spacing w:val="-5"/>
          <w:sz w:val="21"/>
        </w:rPr>
        <w:t>）</w:t>
      </w:r>
      <w:r>
        <w:rPr>
          <w:sz w:val="21"/>
        </w:rPr>
        <w:t>发生突变或者畸变所引起的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5"/>
        <w:rPr>
          <w:sz w:val="14"/>
        </w:rPr>
      </w:pPr>
    </w:p>
    <w:p>
      <w:pPr>
        <w:spacing w:after="0"/>
        <w:rPr>
          <w:sz w:val="14"/>
        </w:rPr>
        <w:sectPr>
          <w:type w:val="continuous"/>
          <w:pgSz w:w="11900" w:h="16840"/>
          <w:pgMar w:top="540" w:bottom="280" w:left="1040" w:right="820"/>
        </w:sectPr>
      </w:pPr>
    </w:p>
    <w:p>
      <w:pPr>
        <w:pStyle w:val="Heading3"/>
        <w:numPr>
          <w:ilvl w:val="1"/>
          <w:numId w:val="4"/>
        </w:numPr>
        <w:tabs>
          <w:tab w:pos="903" w:val="left" w:leader="none"/>
          <w:tab w:pos="904" w:val="left" w:leader="none"/>
        </w:tabs>
        <w:spacing w:line="307" w:lineRule="exact" w:before="0" w:after="0"/>
        <w:ind w:left="904" w:right="0" w:hanging="802"/>
        <w:jc w:val="left"/>
      </w:pPr>
      <w:r>
        <w:rPr/>
        <w:t>先天性畸形、</w:t>
      </w:r>
    </w:p>
    <w:p>
      <w:pPr>
        <w:spacing w:line="204" w:lineRule="auto" w:before="25"/>
        <w:ind w:left="904" w:right="0" w:firstLine="0"/>
        <w:jc w:val="left"/>
        <w:rPr>
          <w:rFonts w:ascii="Microsoft JhengHei" w:eastAsia="Microsoft JhengHei" w:hint="eastAsia"/>
          <w:b/>
          <w:sz w:val="21"/>
        </w:rPr>
      </w:pPr>
      <w:r>
        <w:rPr>
          <w:rFonts w:ascii="Microsoft JhengHei" w:eastAsia="Microsoft JhengHei" w:hint="eastAsia"/>
          <w:b/>
          <w:sz w:val="21"/>
        </w:rPr>
        <w:t>变形或者染色体异常</w:t>
      </w:r>
    </w:p>
    <w:p>
      <w:pPr>
        <w:pStyle w:val="BodyText"/>
        <w:spacing w:line="271" w:lineRule="auto" w:before="37"/>
        <w:ind w:left="102" w:right="225"/>
        <w:jc w:val="both"/>
      </w:pPr>
      <w:r>
        <w:rPr/>
        <w:br w:type="column"/>
      </w:r>
      <w:r>
        <w:rPr>
          <w:spacing w:val="-1"/>
        </w:rPr>
        <w:t>指被保险人出生时就具有的畸形、变形或者染色体异常。先天性畸形、变形和染</w:t>
      </w:r>
      <w:r>
        <w:rPr>
          <w:spacing w:val="-5"/>
        </w:rPr>
        <w:t>色体异常依照世界卫生组织《疾病和有关健康问题的国际统计分类</w:t>
      </w:r>
      <w:r>
        <w:rPr>
          <w:spacing w:val="-130"/>
        </w:rPr>
        <w:t>》</w:t>
      </w:r>
      <w:r>
        <w:rPr>
          <w:spacing w:val="-4"/>
        </w:rPr>
        <w:t>（ICD-10）</w:t>
      </w:r>
      <w:r>
        <w:rPr/>
        <w:t>确定。</w:t>
      </w:r>
    </w:p>
    <w:p>
      <w:pPr>
        <w:spacing w:after="0" w:line="271" w:lineRule="auto"/>
        <w:jc w:val="both"/>
        <w:sectPr>
          <w:type w:val="continuous"/>
          <w:pgSz w:w="11900" w:h="16840"/>
          <w:pgMar w:top="540" w:bottom="280" w:left="1040" w:right="820"/>
          <w:cols w:num="2" w:equalWidth="0">
            <w:col w:w="2172" w:space="152"/>
            <w:col w:w="7716"/>
          </w:cols>
        </w:sectPr>
      </w:pPr>
    </w:p>
    <w:p>
      <w:pPr>
        <w:pStyle w:val="BodyText"/>
        <w:spacing w:before="11"/>
        <w:rPr>
          <w:sz w:val="14"/>
        </w:rPr>
      </w:pPr>
    </w:p>
    <w:p>
      <w:pPr>
        <w:pStyle w:val="ListParagraph"/>
        <w:numPr>
          <w:ilvl w:val="1"/>
          <w:numId w:val="4"/>
        </w:numPr>
        <w:tabs>
          <w:tab w:pos="903" w:val="left" w:leader="none"/>
          <w:tab w:pos="904" w:val="left" w:leader="none"/>
          <w:tab w:pos="2425" w:val="left" w:leader="none"/>
        </w:tabs>
        <w:spacing w:line="308" w:lineRule="exact" w:before="35" w:after="0"/>
        <w:ind w:left="2425" w:right="225" w:hanging="2323"/>
        <w:jc w:val="left"/>
        <w:rPr>
          <w:sz w:val="21"/>
        </w:rPr>
      </w:pPr>
      <w:r>
        <w:rPr>
          <w:rFonts w:ascii="Microsoft JhengHei" w:eastAsia="Microsoft JhengHei" w:hint="eastAsia"/>
          <w:b/>
          <w:sz w:val="21"/>
        </w:rPr>
        <w:t>现金价值</w:t>
        <w:tab/>
      </w:r>
      <w:r>
        <w:rPr>
          <w:sz w:val="21"/>
        </w:rPr>
        <w:t>指保险合同所具有的价值，通常体现为解除合同时</w:t>
      </w:r>
      <w:r>
        <w:rPr>
          <w:spacing w:val="-5"/>
          <w:sz w:val="21"/>
        </w:rPr>
        <w:t>，</w:t>
      </w:r>
      <w:r>
        <w:rPr>
          <w:sz w:val="21"/>
        </w:rPr>
        <w:t>根据精算原理计算的，由我 们退还的</w:t>
      </w:r>
      <w:r>
        <w:rPr>
          <w:spacing w:val="-5"/>
          <w:sz w:val="21"/>
        </w:rPr>
        <w:t>那</w:t>
      </w:r>
      <w:r>
        <w:rPr>
          <w:sz w:val="21"/>
        </w:rPr>
        <w:t>部分金</w:t>
      </w:r>
      <w:r>
        <w:rPr>
          <w:spacing w:val="-5"/>
          <w:sz w:val="21"/>
        </w:rPr>
        <w:t>额</w:t>
      </w:r>
      <w:r>
        <w:rPr>
          <w:sz w:val="21"/>
        </w:rPr>
        <w:t>。</w:t>
      </w:r>
    </w:p>
    <w:p>
      <w:pPr>
        <w:pStyle w:val="ListParagraph"/>
        <w:numPr>
          <w:ilvl w:val="1"/>
          <w:numId w:val="4"/>
        </w:numPr>
        <w:tabs>
          <w:tab w:pos="903" w:val="left" w:leader="none"/>
          <w:tab w:pos="904" w:val="left" w:leader="none"/>
          <w:tab w:pos="2425" w:val="left" w:leader="none"/>
        </w:tabs>
        <w:spacing w:line="240" w:lineRule="auto" w:before="158" w:after="0"/>
        <w:ind w:left="904" w:right="0" w:hanging="802"/>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27"/>
        </w:numPr>
        <w:tabs>
          <w:tab w:pos="3164" w:val="left" w:leader="none"/>
          <w:tab w:pos="3165" w:val="left" w:leader="none"/>
        </w:tabs>
        <w:spacing w:line="240" w:lineRule="auto" w:before="89" w:after="0"/>
        <w:ind w:left="3164" w:right="0" w:hanging="739"/>
        <w:jc w:val="left"/>
        <w:rPr>
          <w:sz w:val="21"/>
        </w:rPr>
      </w:pPr>
      <w:r>
        <w:rPr>
          <w:spacing w:val="-10"/>
          <w:sz w:val="21"/>
        </w:rPr>
        <w:t>具有有效的中华人民共和国《医师资格证书》；</w:t>
      </w:r>
    </w:p>
    <w:p>
      <w:pPr>
        <w:pStyle w:val="ListParagraph"/>
        <w:numPr>
          <w:ilvl w:val="0"/>
          <w:numId w:val="27"/>
        </w:numPr>
        <w:tabs>
          <w:tab w:pos="3164" w:val="left" w:leader="none"/>
          <w:tab w:pos="3165" w:val="left" w:leader="none"/>
        </w:tabs>
        <w:spacing w:line="268" w:lineRule="auto" w:before="118" w:after="0"/>
        <w:ind w:left="3164" w:right="225" w:hanging="739"/>
        <w:jc w:val="left"/>
        <w:rPr>
          <w:sz w:val="21"/>
        </w:rPr>
      </w:pPr>
      <w:r>
        <w:rPr>
          <w:spacing w:val="-6"/>
          <w:sz w:val="21"/>
        </w:rPr>
        <w:t>具有有效的中华人民共和国《医师执业证书》，并按期到相关部门登记注册；</w:t>
      </w:r>
    </w:p>
    <w:p>
      <w:pPr>
        <w:pStyle w:val="ListParagraph"/>
        <w:numPr>
          <w:ilvl w:val="0"/>
          <w:numId w:val="27"/>
        </w:numPr>
        <w:tabs>
          <w:tab w:pos="3164" w:val="left" w:leader="none"/>
          <w:tab w:pos="3165" w:val="left" w:leader="none"/>
        </w:tabs>
        <w:spacing w:line="268" w:lineRule="auto" w:before="93" w:after="0"/>
        <w:ind w:left="3164" w:right="220" w:hanging="739"/>
        <w:jc w:val="left"/>
        <w:rPr>
          <w:sz w:val="21"/>
        </w:rPr>
      </w:pPr>
      <w:r>
        <w:rPr>
          <w:spacing w:val="-8"/>
          <w:sz w:val="21"/>
        </w:rPr>
        <w:t>具有有效的中华人民共和国主治医师或者主治医师以上职称的《医师职称</w:t>
      </w:r>
      <w:r>
        <w:rPr>
          <w:spacing w:val="-31"/>
          <w:sz w:val="21"/>
        </w:rPr>
        <w:t>证书》；</w:t>
      </w:r>
    </w:p>
    <w:p>
      <w:pPr>
        <w:pStyle w:val="ListParagraph"/>
        <w:numPr>
          <w:ilvl w:val="0"/>
          <w:numId w:val="27"/>
        </w:numPr>
        <w:tabs>
          <w:tab w:pos="3164" w:val="left" w:leader="none"/>
          <w:tab w:pos="3165" w:val="left" w:leader="none"/>
        </w:tabs>
        <w:spacing w:line="240" w:lineRule="auto" w:before="93" w:after="0"/>
        <w:ind w:left="3164" w:right="0" w:hanging="739"/>
        <w:jc w:val="left"/>
        <w:rPr>
          <w:sz w:val="21"/>
        </w:rPr>
      </w:pPr>
      <w:r>
        <w:rPr>
          <w:spacing w:val="-5"/>
          <w:sz w:val="21"/>
        </w:rPr>
        <w:t>在二级或者二级以上医院的相应科室从事临床工作三年以上。</w:t>
      </w:r>
    </w:p>
    <w:p>
      <w:pPr>
        <w:pStyle w:val="BodyText"/>
        <w:spacing w:before="2"/>
        <w:rPr>
          <w:sz w:val="14"/>
        </w:rPr>
      </w:pPr>
    </w:p>
    <w:p>
      <w:pPr>
        <w:pStyle w:val="ListParagraph"/>
        <w:numPr>
          <w:ilvl w:val="1"/>
          <w:numId w:val="4"/>
        </w:numPr>
        <w:tabs>
          <w:tab w:pos="903" w:val="left" w:leader="none"/>
          <w:tab w:pos="904" w:val="left" w:leader="none"/>
          <w:tab w:pos="2425" w:val="left" w:leader="none"/>
        </w:tabs>
        <w:spacing w:line="264" w:lineRule="auto" w:before="0" w:after="0"/>
        <w:ind w:left="2425" w:right="119" w:hanging="2323"/>
        <w:jc w:val="left"/>
        <w:rPr>
          <w:sz w:val="21"/>
        </w:rPr>
      </w:pPr>
      <w:r>
        <w:rPr>
          <w:rFonts w:ascii="Microsoft JhengHei" w:hAnsi="Microsoft JhengHei" w:eastAsia="Microsoft JhengHei" w:hint="eastAsia"/>
          <w:b/>
          <w:sz w:val="21"/>
        </w:rPr>
        <w:t>利息</w:t>
        <w:tab/>
      </w:r>
      <w:r>
        <w:rPr>
          <w:sz w:val="21"/>
        </w:rPr>
        <w:t>涉及垫交</w:t>
      </w:r>
      <w:r>
        <w:rPr>
          <w:spacing w:val="-5"/>
          <w:sz w:val="21"/>
        </w:rPr>
        <w:t>保</w:t>
      </w:r>
      <w:r>
        <w:rPr>
          <w:sz w:val="21"/>
        </w:rPr>
        <w:t>险费的</w:t>
      </w:r>
      <w:r>
        <w:rPr>
          <w:spacing w:val="-5"/>
          <w:sz w:val="21"/>
        </w:rPr>
        <w:t>利</w:t>
      </w:r>
      <w:r>
        <w:rPr>
          <w:sz w:val="21"/>
        </w:rPr>
        <w:t>息</w:t>
      </w:r>
      <w:r>
        <w:rPr>
          <w:spacing w:val="-34"/>
          <w:sz w:val="21"/>
        </w:rPr>
        <w:t>，</w:t>
      </w:r>
      <w:r>
        <w:rPr>
          <w:spacing w:val="-5"/>
          <w:sz w:val="21"/>
        </w:rPr>
        <w:t>以</w:t>
      </w:r>
      <w:r>
        <w:rPr>
          <w:sz w:val="21"/>
        </w:rPr>
        <w:t>垫交的</w:t>
      </w:r>
      <w:r>
        <w:rPr>
          <w:spacing w:val="-5"/>
          <w:sz w:val="21"/>
        </w:rPr>
        <w:t>保</w:t>
      </w:r>
      <w:r>
        <w:rPr>
          <w:sz w:val="21"/>
        </w:rPr>
        <w:t>险费数</w:t>
      </w:r>
      <w:r>
        <w:rPr>
          <w:spacing w:val="-5"/>
          <w:sz w:val="21"/>
        </w:rPr>
        <w:t>额</w:t>
      </w:r>
      <w:r>
        <w:rPr>
          <w:sz w:val="21"/>
        </w:rPr>
        <w:t>为基</w:t>
      </w:r>
      <w:r>
        <w:rPr>
          <w:spacing w:val="-5"/>
          <w:sz w:val="21"/>
        </w:rPr>
        <w:t>数</w:t>
      </w:r>
      <w:r>
        <w:rPr>
          <w:spacing w:val="-34"/>
          <w:sz w:val="21"/>
        </w:rPr>
        <w:t>，</w:t>
      </w:r>
      <w:r>
        <w:rPr>
          <w:sz w:val="21"/>
        </w:rPr>
        <w:t>自宽</w:t>
      </w:r>
      <w:r>
        <w:rPr>
          <w:spacing w:val="-5"/>
          <w:sz w:val="21"/>
        </w:rPr>
        <w:t>限</w:t>
      </w:r>
      <w:r>
        <w:rPr>
          <w:sz w:val="21"/>
        </w:rPr>
        <w:t>期满的</w:t>
      </w:r>
      <w:r>
        <w:rPr>
          <w:spacing w:val="-5"/>
          <w:sz w:val="21"/>
        </w:rPr>
        <w:t>次</w:t>
      </w:r>
      <w:r>
        <w:rPr>
          <w:sz w:val="21"/>
        </w:rPr>
        <w:t>日零时</w:t>
      </w:r>
      <w:r>
        <w:rPr>
          <w:spacing w:val="-5"/>
          <w:sz w:val="21"/>
        </w:rPr>
        <w:t>起</w:t>
      </w:r>
      <w:r>
        <w:rPr>
          <w:sz w:val="21"/>
        </w:rPr>
        <w:t>， 至本附加</w:t>
      </w:r>
      <w:r>
        <w:rPr>
          <w:spacing w:val="-5"/>
          <w:sz w:val="21"/>
        </w:rPr>
        <w:t>合</w:t>
      </w:r>
      <w:r>
        <w:rPr>
          <w:sz w:val="21"/>
        </w:rPr>
        <w:t>同效力</w:t>
      </w:r>
      <w:r>
        <w:rPr>
          <w:spacing w:val="-5"/>
          <w:sz w:val="21"/>
        </w:rPr>
        <w:t>中</w:t>
      </w:r>
      <w:r>
        <w:rPr>
          <w:sz w:val="21"/>
        </w:rPr>
        <w:t>止</w:t>
      </w:r>
      <w:r>
        <w:rPr>
          <w:spacing w:val="-24"/>
          <w:sz w:val="21"/>
        </w:rPr>
        <w:t>、</w:t>
      </w:r>
      <w:r>
        <w:rPr>
          <w:sz w:val="21"/>
        </w:rPr>
        <w:t>终止</w:t>
      </w:r>
      <w:r>
        <w:rPr>
          <w:spacing w:val="-5"/>
          <w:sz w:val="21"/>
        </w:rPr>
        <w:t>或</w:t>
      </w:r>
      <w:r>
        <w:rPr>
          <w:sz w:val="21"/>
        </w:rPr>
        <w:t>者您补</w:t>
      </w:r>
      <w:r>
        <w:rPr>
          <w:spacing w:val="-5"/>
          <w:sz w:val="21"/>
        </w:rPr>
        <w:t>齐</w:t>
      </w:r>
      <w:r>
        <w:rPr>
          <w:sz w:val="21"/>
        </w:rPr>
        <w:t>垫交</w:t>
      </w:r>
      <w:r>
        <w:rPr>
          <w:spacing w:val="-5"/>
          <w:sz w:val="21"/>
        </w:rPr>
        <w:t>的</w:t>
      </w:r>
      <w:r>
        <w:rPr>
          <w:sz w:val="21"/>
        </w:rPr>
        <w:t>保</w:t>
      </w:r>
      <w:r>
        <w:rPr>
          <w:spacing w:val="-5"/>
          <w:sz w:val="21"/>
        </w:rPr>
        <w:t>险</w:t>
      </w:r>
      <w:r>
        <w:rPr>
          <w:sz w:val="21"/>
        </w:rPr>
        <w:t>费之日的</w:t>
      </w:r>
      <w:r>
        <w:rPr>
          <w:spacing w:val="-44"/>
          <w:sz w:val="21"/>
        </w:rPr>
        <w:t> </w:t>
      </w:r>
      <w:r>
        <w:rPr>
          <w:sz w:val="21"/>
        </w:rPr>
        <w:t>24</w:t>
      </w:r>
      <w:r>
        <w:rPr>
          <w:spacing w:val="-48"/>
          <w:sz w:val="21"/>
        </w:rPr>
        <w:t> </w:t>
      </w:r>
      <w:r>
        <w:rPr>
          <w:sz w:val="21"/>
        </w:rPr>
        <w:t>时止</w:t>
      </w:r>
      <w:r>
        <w:rPr>
          <w:spacing w:val="-24"/>
          <w:sz w:val="21"/>
        </w:rPr>
        <w:t>，按</w:t>
      </w:r>
      <w:r>
        <w:rPr>
          <w:spacing w:val="-5"/>
          <w:sz w:val="21"/>
        </w:rPr>
        <w:t>“</w:t>
      </w:r>
      <w:r>
        <w:rPr>
          <w:sz w:val="21"/>
        </w:rPr>
        <w:t>同期中国人民</w:t>
      </w:r>
      <w:r>
        <w:rPr>
          <w:spacing w:val="-5"/>
          <w:sz w:val="21"/>
        </w:rPr>
        <w:t>银</w:t>
      </w:r>
      <w:r>
        <w:rPr>
          <w:sz w:val="21"/>
        </w:rPr>
        <w:t>行两年</w:t>
      </w:r>
      <w:r>
        <w:rPr>
          <w:spacing w:val="-5"/>
          <w:sz w:val="21"/>
        </w:rPr>
        <w:t>期</w:t>
      </w:r>
      <w:r>
        <w:rPr>
          <w:sz w:val="21"/>
        </w:rPr>
        <w:t>居民定</w:t>
      </w:r>
      <w:r>
        <w:rPr>
          <w:spacing w:val="-5"/>
          <w:sz w:val="21"/>
        </w:rPr>
        <w:t>期</w:t>
      </w:r>
      <w:r>
        <w:rPr>
          <w:sz w:val="21"/>
        </w:rPr>
        <w:t>储蓄存</w:t>
      </w:r>
      <w:r>
        <w:rPr>
          <w:spacing w:val="-5"/>
          <w:sz w:val="21"/>
        </w:rPr>
        <w:t>款</w:t>
      </w:r>
      <w:r>
        <w:rPr>
          <w:sz w:val="21"/>
        </w:rPr>
        <w:t>利率</w:t>
      </w:r>
      <w:r>
        <w:rPr>
          <w:spacing w:val="-10"/>
          <w:sz w:val="21"/>
        </w:rPr>
        <w:t>+2%”</w:t>
      </w:r>
      <w:r>
        <w:rPr>
          <w:sz w:val="21"/>
        </w:rPr>
        <w:t>的</w:t>
      </w:r>
      <w:r>
        <w:rPr>
          <w:spacing w:val="-5"/>
          <w:sz w:val="21"/>
        </w:rPr>
        <w:t>年</w:t>
      </w:r>
      <w:r>
        <w:rPr>
          <w:sz w:val="21"/>
        </w:rPr>
        <w:t>复利计</w:t>
      </w:r>
      <w:r>
        <w:rPr>
          <w:spacing w:val="-5"/>
          <w:sz w:val="21"/>
        </w:rPr>
        <w:t>算</w:t>
      </w:r>
      <w:r>
        <w:rPr>
          <w:spacing w:val="-34"/>
          <w:sz w:val="21"/>
        </w:rPr>
        <w:t>。</w:t>
      </w:r>
      <w:r>
        <w:rPr>
          <w:sz w:val="21"/>
        </w:rPr>
        <w:t>如果</w:t>
      </w:r>
      <w:r>
        <w:rPr>
          <w:spacing w:val="-5"/>
          <w:sz w:val="21"/>
        </w:rPr>
        <w:t>没</w:t>
      </w:r>
      <w:r>
        <w:rPr>
          <w:sz w:val="21"/>
        </w:rPr>
        <w:t>有中国人民银行相</w:t>
      </w:r>
      <w:r>
        <w:rPr>
          <w:spacing w:val="-5"/>
          <w:sz w:val="21"/>
        </w:rPr>
        <w:t>应</w:t>
      </w:r>
      <w:r>
        <w:rPr>
          <w:sz w:val="21"/>
        </w:rPr>
        <w:t>存款利</w:t>
      </w:r>
      <w:r>
        <w:rPr>
          <w:spacing w:val="-5"/>
          <w:sz w:val="21"/>
        </w:rPr>
        <w:t>率</w:t>
      </w:r>
      <w:r>
        <w:rPr>
          <w:sz w:val="21"/>
        </w:rPr>
        <w:t>作为参</w:t>
      </w:r>
      <w:r>
        <w:rPr>
          <w:spacing w:val="-5"/>
          <w:sz w:val="21"/>
        </w:rPr>
        <w:t>照</w:t>
      </w:r>
      <w:r>
        <w:rPr>
          <w:sz w:val="21"/>
        </w:rPr>
        <w:t>，我们</w:t>
      </w:r>
      <w:r>
        <w:rPr>
          <w:spacing w:val="-5"/>
          <w:sz w:val="21"/>
        </w:rPr>
        <w:t>将</w:t>
      </w:r>
      <w:r>
        <w:rPr>
          <w:sz w:val="21"/>
        </w:rPr>
        <w:t>按照国</w:t>
      </w:r>
      <w:r>
        <w:rPr>
          <w:spacing w:val="-5"/>
          <w:sz w:val="21"/>
        </w:rPr>
        <w:t>家</w:t>
      </w:r>
      <w:r>
        <w:rPr>
          <w:sz w:val="21"/>
        </w:rPr>
        <w:t>相</w:t>
      </w:r>
      <w:r>
        <w:rPr>
          <w:spacing w:val="-5"/>
          <w:sz w:val="21"/>
        </w:rPr>
        <w:t>关</w:t>
      </w:r>
      <w:r>
        <w:rPr>
          <w:sz w:val="21"/>
        </w:rPr>
        <w:t>法律法规</w:t>
      </w:r>
      <w:r>
        <w:rPr>
          <w:spacing w:val="-5"/>
          <w:sz w:val="21"/>
        </w:rPr>
        <w:t>确</w:t>
      </w:r>
      <w:r>
        <w:rPr>
          <w:sz w:val="21"/>
        </w:rPr>
        <w:t>定适用</w:t>
      </w:r>
      <w:r>
        <w:rPr>
          <w:spacing w:val="-5"/>
          <w:sz w:val="21"/>
        </w:rPr>
        <w:t>利</w:t>
      </w:r>
      <w:r>
        <w:rPr>
          <w:sz w:val="21"/>
        </w:rPr>
        <w:t>率。</w:t>
      </w:r>
    </w:p>
    <w:p>
      <w:pPr>
        <w:spacing w:line="280" w:lineRule="auto" w:before="68"/>
        <w:ind w:left="2425" w:right="225" w:firstLine="0"/>
        <w:jc w:val="left"/>
        <w:rPr>
          <w:sz w:val="21"/>
        </w:rPr>
      </w:pPr>
      <w:r>
        <w:rPr>
          <w:spacing w:val="-1"/>
          <w:sz w:val="21"/>
        </w:rPr>
        <w:t>年复利指每年的利息计入下年的本金并以此为基数计算下年的利息。复利计算的</w:t>
      </w:r>
      <w:r>
        <w:rPr>
          <w:spacing w:val="-12"/>
          <w:sz w:val="21"/>
        </w:rPr>
        <w:t>公式为 </w:t>
      </w:r>
      <w:r>
        <w:rPr>
          <w:rFonts w:ascii="Times New Roman" w:hAnsi="Times New Roman" w:eastAsia="Times New Roman"/>
          <w:i/>
          <w:sz w:val="25"/>
        </w:rPr>
        <w:t>A </w:t>
      </w:r>
      <w:r>
        <w:rPr>
          <w:rFonts w:ascii="Symbol" w:hAnsi="Symbol" w:eastAsia="Symbol"/>
          <w:sz w:val="25"/>
        </w:rPr>
        <w:t></w:t>
      </w:r>
      <w:r>
        <w:rPr>
          <w:rFonts w:ascii="Times New Roman" w:hAnsi="Times New Roman" w:eastAsia="Times New Roman"/>
          <w:sz w:val="25"/>
        </w:rPr>
        <w:t> </w:t>
      </w:r>
      <w:r>
        <w:rPr>
          <w:rFonts w:ascii="Times New Roman" w:hAnsi="Times New Roman" w:eastAsia="Times New Roman"/>
          <w:i/>
          <w:sz w:val="25"/>
        </w:rPr>
        <w:t>P </w:t>
      </w:r>
      <w:r>
        <w:rPr>
          <w:rFonts w:ascii="Symbol" w:hAnsi="Symbol" w:eastAsia="Symbol"/>
          <w:sz w:val="25"/>
        </w:rPr>
        <w:t></w:t>
      </w:r>
      <w:r>
        <w:rPr>
          <w:rFonts w:ascii="Times New Roman" w:hAnsi="Times New Roman" w:eastAsia="Times New Roman"/>
          <w:sz w:val="25"/>
        </w:rPr>
        <w:t>(1</w:t>
      </w:r>
      <w:r>
        <w:rPr>
          <w:rFonts w:ascii="Symbol" w:hAnsi="Symbol" w:eastAsia="Symbol"/>
          <w:sz w:val="25"/>
        </w:rPr>
        <w:t></w:t>
      </w:r>
      <w:r>
        <w:rPr>
          <w:rFonts w:ascii="Times New Roman" w:hAnsi="Times New Roman" w:eastAsia="Times New Roman"/>
          <w:sz w:val="25"/>
        </w:rPr>
        <w:t> </w:t>
      </w:r>
      <w:r>
        <w:rPr>
          <w:rFonts w:ascii="Times New Roman" w:hAnsi="Times New Roman" w:eastAsia="Times New Roman"/>
          <w:i/>
          <w:spacing w:val="-21"/>
          <w:sz w:val="25"/>
        </w:rPr>
        <w:t>r</w:t>
      </w:r>
      <w:r>
        <w:rPr>
          <w:rFonts w:ascii="Times New Roman" w:hAnsi="Times New Roman" w:eastAsia="Times New Roman"/>
          <w:spacing w:val="-21"/>
          <w:position w:val="-5"/>
          <w:sz w:val="14"/>
        </w:rPr>
        <w:t>1 </w:t>
      </w:r>
      <w:r>
        <w:rPr>
          <w:rFonts w:ascii="Times New Roman" w:hAnsi="Times New Roman" w:eastAsia="Times New Roman"/>
          <w:spacing w:val="6"/>
          <w:sz w:val="25"/>
        </w:rPr>
        <w:t>)</w:t>
      </w:r>
      <w:r>
        <w:rPr>
          <w:rFonts w:ascii="Symbol" w:hAnsi="Symbol" w:eastAsia="Symbol"/>
          <w:spacing w:val="6"/>
          <w:sz w:val="25"/>
        </w:rPr>
        <w:t></w:t>
      </w:r>
      <w:r>
        <w:rPr>
          <w:rFonts w:ascii="Times New Roman" w:hAnsi="Times New Roman" w:eastAsia="Times New Roman"/>
          <w:spacing w:val="-19"/>
          <w:sz w:val="25"/>
        </w:rPr>
        <w:t> (</w:t>
      </w:r>
      <w:r>
        <w:rPr>
          <w:rFonts w:ascii="Times New Roman" w:hAnsi="Times New Roman" w:eastAsia="Times New Roman"/>
          <w:spacing w:val="-6"/>
          <w:sz w:val="25"/>
        </w:rPr>
        <w:t>1</w:t>
      </w:r>
      <w:r>
        <w:rPr>
          <w:rFonts w:ascii="Symbol" w:hAnsi="Symbol" w:eastAsia="Symbol"/>
          <w:spacing w:val="-6"/>
          <w:sz w:val="25"/>
        </w:rPr>
        <w:t></w:t>
      </w:r>
      <w:r>
        <w:rPr>
          <w:rFonts w:ascii="Times New Roman" w:hAnsi="Times New Roman" w:eastAsia="Times New Roman"/>
          <w:spacing w:val="-6"/>
          <w:sz w:val="25"/>
        </w:rPr>
        <w:t> </w:t>
      </w:r>
      <w:r>
        <w:rPr>
          <w:rFonts w:ascii="Times New Roman" w:hAnsi="Times New Roman" w:eastAsia="Times New Roman"/>
          <w:i/>
          <w:spacing w:val="-16"/>
          <w:sz w:val="25"/>
        </w:rPr>
        <w:t>r</w:t>
      </w:r>
      <w:r>
        <w:rPr>
          <w:rFonts w:ascii="Times New Roman" w:hAnsi="Times New Roman" w:eastAsia="Times New Roman"/>
          <w:spacing w:val="-16"/>
          <w:position w:val="-5"/>
          <w:sz w:val="14"/>
        </w:rPr>
        <w:t>2 </w:t>
      </w:r>
      <w:r>
        <w:rPr>
          <w:rFonts w:ascii="Times New Roman" w:hAnsi="Times New Roman" w:eastAsia="Times New Roman"/>
          <w:spacing w:val="3"/>
          <w:sz w:val="25"/>
        </w:rPr>
        <w:t>)</w:t>
      </w:r>
      <w:r>
        <w:rPr>
          <w:rFonts w:ascii="Symbol" w:hAnsi="Symbol" w:eastAsia="Symbol"/>
          <w:spacing w:val="3"/>
          <w:sz w:val="25"/>
        </w:rPr>
        <w:t></w:t>
      </w:r>
      <w:r>
        <w:rPr>
          <w:rFonts w:ascii="Arial" w:hAnsi="Arial" w:eastAsia="Arial"/>
          <w:spacing w:val="3"/>
          <w:sz w:val="25"/>
        </w:rPr>
        <w:t></w:t>
      </w:r>
      <w:r>
        <w:rPr>
          <w:rFonts w:ascii="Symbol" w:hAnsi="Symbol" w:eastAsia="Symbol"/>
          <w:spacing w:val="3"/>
          <w:sz w:val="25"/>
        </w:rPr>
        <w:t></w:t>
      </w:r>
      <w:r>
        <w:rPr>
          <w:rFonts w:ascii="Times New Roman" w:hAnsi="Times New Roman" w:eastAsia="Times New Roman"/>
          <w:spacing w:val="-19"/>
          <w:sz w:val="25"/>
        </w:rPr>
        <w:t> (</w:t>
      </w:r>
      <w:r>
        <w:rPr>
          <w:rFonts w:ascii="Times New Roman" w:hAnsi="Times New Roman" w:eastAsia="Times New Roman"/>
          <w:spacing w:val="-6"/>
          <w:sz w:val="25"/>
        </w:rPr>
        <w:t>1</w:t>
      </w:r>
      <w:r>
        <w:rPr>
          <w:rFonts w:ascii="Symbol" w:hAnsi="Symbol" w:eastAsia="Symbol"/>
          <w:spacing w:val="-6"/>
          <w:sz w:val="25"/>
        </w:rPr>
        <w:t></w:t>
      </w:r>
      <w:r>
        <w:rPr>
          <w:rFonts w:ascii="Times New Roman" w:hAnsi="Times New Roman" w:eastAsia="Times New Roman"/>
          <w:spacing w:val="-6"/>
          <w:sz w:val="25"/>
        </w:rPr>
        <w:t> </w:t>
      </w:r>
      <w:r>
        <w:rPr>
          <w:rFonts w:ascii="Times New Roman" w:hAnsi="Times New Roman" w:eastAsia="Times New Roman"/>
          <w:i/>
          <w:spacing w:val="-16"/>
          <w:sz w:val="25"/>
        </w:rPr>
        <w:t>r</w:t>
      </w:r>
      <w:r>
        <w:rPr>
          <w:rFonts w:ascii="Times New Roman" w:hAnsi="Times New Roman" w:eastAsia="Times New Roman"/>
          <w:i/>
          <w:spacing w:val="-16"/>
          <w:position w:val="-5"/>
          <w:sz w:val="14"/>
        </w:rPr>
        <w:t>n </w:t>
      </w:r>
      <w:r>
        <w:rPr>
          <w:rFonts w:ascii="Times New Roman" w:hAnsi="Times New Roman" w:eastAsia="Times New Roman"/>
          <w:spacing w:val="-14"/>
          <w:sz w:val="25"/>
        </w:rPr>
        <w:t>) </w:t>
      </w:r>
      <w:r>
        <w:rPr>
          <w:spacing w:val="-21"/>
          <w:sz w:val="21"/>
        </w:rPr>
        <w:t>；式中 </w:t>
      </w:r>
      <w:r>
        <w:rPr>
          <w:rFonts w:ascii="Times New Roman" w:hAnsi="Times New Roman" w:eastAsia="Times New Roman"/>
          <w:i/>
          <w:sz w:val="23"/>
        </w:rPr>
        <w:t>A </w:t>
      </w:r>
      <w:r>
        <w:rPr>
          <w:spacing w:val="-1"/>
          <w:sz w:val="21"/>
        </w:rPr>
        <w:t>代表本金与利息之和，</w:t>
      </w:r>
      <w:r>
        <w:rPr>
          <w:rFonts w:ascii="Times New Roman" w:hAnsi="Times New Roman" w:eastAsia="Times New Roman"/>
          <w:i/>
          <w:sz w:val="23"/>
        </w:rPr>
        <w:t>P </w:t>
      </w:r>
      <w:r>
        <w:rPr>
          <w:spacing w:val="-77"/>
          <w:sz w:val="21"/>
        </w:rPr>
        <w:t>代</w:t>
      </w:r>
    </w:p>
    <w:p>
      <w:pPr>
        <w:spacing w:after="0" w:line="280" w:lineRule="auto"/>
        <w:jc w:val="left"/>
        <w:rPr>
          <w:sz w:val="21"/>
        </w:rPr>
        <w:sectPr>
          <w:type w:val="continuous"/>
          <w:pgSz w:w="11900" w:h="16840"/>
          <w:pgMar w:top="540" w:bottom="280" w:left="1040" w:right="820"/>
        </w:sectPr>
      </w:pPr>
    </w:p>
    <w:p>
      <w:pPr>
        <w:spacing w:before="62"/>
        <w:ind w:left="2425" w:right="0" w:firstLine="0"/>
        <w:jc w:val="left"/>
        <w:rPr>
          <w:sz w:val="21"/>
        </w:rPr>
      </w:pPr>
      <w:r>
        <w:rPr>
          <w:sz w:val="21"/>
        </w:rPr>
        <w:t>表本金， </w:t>
      </w:r>
      <w:r>
        <w:rPr>
          <w:rFonts w:ascii="Times New Roman" w:eastAsia="Times New Roman"/>
          <w:i/>
          <w:position w:val="1"/>
          <w:sz w:val="25"/>
        </w:rPr>
        <w:t>r</w:t>
      </w:r>
      <w:r>
        <w:rPr>
          <w:rFonts w:ascii="Times New Roman" w:eastAsia="Times New Roman"/>
          <w:i/>
          <w:position w:val="-4"/>
          <w:sz w:val="14"/>
        </w:rPr>
        <w:t>i </w:t>
      </w:r>
      <w:r>
        <w:rPr>
          <w:sz w:val="21"/>
        </w:rPr>
        <w:t>代表第</w:t>
      </w:r>
      <w:r>
        <w:rPr>
          <w:rFonts w:ascii="Times New Roman" w:eastAsia="Times New Roman"/>
          <w:i/>
          <w:sz w:val="23"/>
        </w:rPr>
        <w:t>i </w:t>
      </w:r>
      <w:r>
        <w:rPr>
          <w:sz w:val="21"/>
        </w:rPr>
        <w:t>年利率， </w:t>
      </w:r>
      <w:r>
        <w:rPr>
          <w:rFonts w:ascii="Times New Roman" w:eastAsia="Times New Roman"/>
          <w:i/>
          <w:sz w:val="24"/>
        </w:rPr>
        <w:t>n</w:t>
      </w:r>
      <w:r>
        <w:rPr>
          <w:sz w:val="21"/>
        </w:rPr>
        <w:t>代表年数。</w:t>
      </w:r>
    </w:p>
    <w:p>
      <w:pPr>
        <w:pStyle w:val="BodyText"/>
        <w:spacing w:before="7"/>
        <w:rPr>
          <w:sz w:val="15"/>
        </w:rPr>
      </w:pPr>
    </w:p>
    <w:p>
      <w:pPr>
        <w:spacing w:after="0"/>
        <w:rPr>
          <w:sz w:val="15"/>
        </w:rPr>
        <w:sectPr>
          <w:pgSz w:w="11900" w:h="16840"/>
          <w:pgMar w:top="980" w:bottom="280" w:left="1040" w:right="820"/>
        </w:sectPr>
      </w:pPr>
    </w:p>
    <w:p>
      <w:pPr>
        <w:pStyle w:val="Heading3"/>
        <w:numPr>
          <w:ilvl w:val="1"/>
          <w:numId w:val="4"/>
        </w:numPr>
        <w:tabs>
          <w:tab w:pos="903" w:val="left" w:leader="none"/>
          <w:tab w:pos="904" w:val="left" w:leader="none"/>
        </w:tabs>
        <w:spacing w:line="201" w:lineRule="auto" w:before="28" w:after="0"/>
        <w:ind w:left="904" w:right="0" w:hanging="802"/>
        <w:jc w:val="left"/>
      </w:pPr>
      <w:r>
        <w:rPr/>
        <w:t>肢体机能完全丧失</w:t>
      </w:r>
    </w:p>
    <w:p>
      <w:pPr>
        <w:pStyle w:val="BodyText"/>
        <w:spacing w:line="268" w:lineRule="auto" w:before="37"/>
        <w:ind w:left="102" w:right="225"/>
      </w:pPr>
      <w:r>
        <w:rPr/>
        <w:br w:type="column"/>
      </w:r>
      <w:r>
        <w:rPr/>
        <w:t>指肢体的三大关节中的两大关节僵硬，或者不能随意识活动。肢体是指包括肩关节的整个上肢或者包括髋关节的整个下肢。</w:t>
      </w:r>
    </w:p>
    <w:p>
      <w:pPr>
        <w:spacing w:after="0" w:line="268" w:lineRule="auto"/>
        <w:sectPr>
          <w:type w:val="continuous"/>
          <w:pgSz w:w="11900" w:h="16840"/>
          <w:pgMar w:top="540" w:bottom="280" w:left="1040" w:right="820"/>
          <w:cols w:num="2" w:equalWidth="0">
            <w:col w:w="2171" w:space="152"/>
            <w:col w:w="7717"/>
          </w:cols>
        </w:sectPr>
      </w:pPr>
    </w:p>
    <w:p>
      <w:pPr>
        <w:pStyle w:val="BodyText"/>
        <w:spacing w:before="0"/>
        <w:rPr>
          <w:sz w:val="15"/>
        </w:rPr>
      </w:pPr>
    </w:p>
    <w:p>
      <w:pPr>
        <w:spacing w:after="0"/>
        <w:rPr>
          <w:sz w:val="15"/>
        </w:rPr>
        <w:sectPr>
          <w:type w:val="continuous"/>
          <w:pgSz w:w="11900" w:h="16840"/>
          <w:pgMar w:top="540" w:bottom="280" w:left="1040" w:right="820"/>
        </w:sectPr>
      </w:pPr>
    </w:p>
    <w:p>
      <w:pPr>
        <w:pStyle w:val="Heading3"/>
        <w:numPr>
          <w:ilvl w:val="1"/>
          <w:numId w:val="4"/>
        </w:numPr>
        <w:tabs>
          <w:tab w:pos="903" w:val="left" w:leader="none"/>
          <w:tab w:pos="904" w:val="left" w:leader="none"/>
        </w:tabs>
        <w:spacing w:line="306" w:lineRule="exact" w:before="0" w:after="0"/>
        <w:ind w:left="904" w:right="0" w:hanging="802"/>
        <w:jc w:val="left"/>
      </w:pPr>
      <w:r>
        <w:rPr/>
        <w:t>语言能力或咀</w:t>
      </w:r>
    </w:p>
    <w:p>
      <w:pPr>
        <w:spacing w:line="204" w:lineRule="auto" w:before="25"/>
        <w:ind w:left="904"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68" w:lineRule="auto" w:before="36"/>
        <w:ind w:left="102" w:right="114"/>
      </w:pPr>
      <w:r>
        <w:rPr/>
        <w:br w:type="column"/>
      </w:r>
      <w:r>
        <w:rPr/>
        <w:t>语言能力完全丧失，指无法发出四种语音（</w:t>
      </w:r>
      <w:r>
        <w:rPr>
          <w:spacing w:val="-2"/>
        </w:rPr>
        <w:t>包括口唇音、齿舌音、口盖音和喉头音</w:t>
      </w:r>
      <w:r>
        <w:rPr>
          <w:spacing w:val="-24"/>
        </w:rPr>
        <w:t>）</w:t>
      </w:r>
      <w:r>
        <w:rPr>
          <w:spacing w:val="-8"/>
        </w:rPr>
        <w:t>中的任何三种、或者声带全部切除，或者因大脑语言中枢受伤害而患失语症。</w:t>
      </w:r>
    </w:p>
    <w:p>
      <w:pPr>
        <w:pStyle w:val="BodyText"/>
        <w:spacing w:line="273" w:lineRule="auto" w:before="93"/>
        <w:ind w:left="102" w:right="225"/>
      </w:pPr>
      <w:r>
        <w:rPr/>
        <w:t>咀嚼吞咽能力完全丧失，指因牙齿以外的原因导致器质障碍或者机能障碍，以致不能作咀嚼吞咽运动，除流质食物外不能摄取或者吞咽的状态。</w:t>
      </w:r>
    </w:p>
    <w:p>
      <w:pPr>
        <w:spacing w:after="0" w:line="273" w:lineRule="auto"/>
        <w:sectPr>
          <w:type w:val="continuous"/>
          <w:pgSz w:w="11900" w:h="16840"/>
          <w:pgMar w:top="540" w:bottom="280" w:left="1040" w:right="820"/>
          <w:cols w:num="2" w:equalWidth="0">
            <w:col w:w="2171" w:space="152"/>
            <w:col w:w="7717"/>
          </w:cols>
        </w:sectPr>
      </w:pPr>
    </w:p>
    <w:p>
      <w:pPr>
        <w:pStyle w:val="BodyText"/>
        <w:spacing w:before="9"/>
        <w:rPr>
          <w:sz w:val="14"/>
        </w:rPr>
      </w:pPr>
    </w:p>
    <w:p>
      <w:pPr>
        <w:spacing w:after="0"/>
        <w:rPr>
          <w:sz w:val="14"/>
        </w:rPr>
        <w:sectPr>
          <w:type w:val="continuous"/>
          <w:pgSz w:w="11900" w:h="16840"/>
          <w:pgMar w:top="540" w:bottom="280" w:left="1040" w:right="820"/>
        </w:sectPr>
      </w:pPr>
    </w:p>
    <w:p>
      <w:pPr>
        <w:pStyle w:val="Heading3"/>
        <w:numPr>
          <w:ilvl w:val="1"/>
          <w:numId w:val="4"/>
        </w:numPr>
        <w:tabs>
          <w:tab w:pos="903" w:val="left" w:leader="none"/>
          <w:tab w:pos="904" w:val="left" w:leader="none"/>
        </w:tabs>
        <w:spacing w:line="306" w:lineRule="exact" w:before="0" w:after="0"/>
        <w:ind w:left="904" w:right="0" w:hanging="802"/>
        <w:jc w:val="left"/>
      </w:pPr>
      <w:r>
        <w:rPr/>
        <w:t>六项基本日常</w:t>
      </w:r>
    </w:p>
    <w:p>
      <w:pPr>
        <w:spacing w:line="336" w:lineRule="exact" w:before="0"/>
        <w:ind w:left="904"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6"/>
        <w:ind w:left="102"/>
      </w:pPr>
      <w:r>
        <w:rPr/>
        <w:br w:type="column"/>
      </w:r>
      <w:r>
        <w:rPr/>
        <w:t>六项基本日常生活活动是指：</w:t>
      </w:r>
    </w:p>
    <w:p>
      <w:pPr>
        <w:pStyle w:val="ListParagraph"/>
        <w:numPr>
          <w:ilvl w:val="0"/>
          <w:numId w:val="28"/>
        </w:numPr>
        <w:tabs>
          <w:tab w:pos="836" w:val="left" w:leader="none"/>
          <w:tab w:pos="837" w:val="left" w:leader="none"/>
        </w:tabs>
        <w:spacing w:line="240" w:lineRule="auto" w:before="113" w:after="0"/>
        <w:ind w:left="836" w:right="0" w:hanging="734"/>
        <w:jc w:val="left"/>
        <w:rPr>
          <w:sz w:val="21"/>
        </w:rPr>
      </w:pPr>
      <w:r>
        <w:rPr>
          <w:spacing w:val="-2"/>
          <w:sz w:val="21"/>
        </w:rPr>
        <w:t>穿衣：自己能够穿衣及脱衣；</w:t>
      </w:r>
    </w:p>
    <w:p>
      <w:pPr>
        <w:pStyle w:val="ListParagraph"/>
        <w:numPr>
          <w:ilvl w:val="0"/>
          <w:numId w:val="28"/>
        </w:numPr>
        <w:tabs>
          <w:tab w:pos="836" w:val="left" w:leader="none"/>
          <w:tab w:pos="837" w:val="left" w:leader="none"/>
        </w:tabs>
        <w:spacing w:line="240" w:lineRule="auto" w:before="113" w:after="0"/>
        <w:ind w:left="836" w:right="0" w:hanging="734"/>
        <w:jc w:val="left"/>
        <w:rPr>
          <w:sz w:val="21"/>
        </w:rPr>
      </w:pPr>
      <w:r>
        <w:rPr>
          <w:spacing w:val="-3"/>
          <w:sz w:val="21"/>
        </w:rPr>
        <w:t>移动：自己从一个房间到另一个房间；</w:t>
      </w:r>
    </w:p>
    <w:p>
      <w:pPr>
        <w:pStyle w:val="ListParagraph"/>
        <w:numPr>
          <w:ilvl w:val="0"/>
          <w:numId w:val="28"/>
        </w:numPr>
        <w:tabs>
          <w:tab w:pos="836" w:val="left" w:leader="none"/>
          <w:tab w:pos="837" w:val="left" w:leader="none"/>
        </w:tabs>
        <w:spacing w:line="240" w:lineRule="auto" w:before="113" w:after="0"/>
        <w:ind w:left="836" w:right="0" w:hanging="734"/>
        <w:jc w:val="left"/>
        <w:rPr>
          <w:sz w:val="21"/>
        </w:rPr>
      </w:pPr>
      <w:r>
        <w:rPr>
          <w:spacing w:val="-3"/>
          <w:sz w:val="21"/>
        </w:rPr>
        <w:t>行动：自己上下床或者上下轮椅；</w:t>
      </w:r>
    </w:p>
    <w:p>
      <w:pPr>
        <w:pStyle w:val="ListParagraph"/>
        <w:numPr>
          <w:ilvl w:val="0"/>
          <w:numId w:val="28"/>
        </w:numPr>
        <w:tabs>
          <w:tab w:pos="836" w:val="left" w:leader="none"/>
          <w:tab w:pos="837" w:val="left" w:leader="none"/>
        </w:tabs>
        <w:spacing w:line="240" w:lineRule="auto" w:before="118" w:after="0"/>
        <w:ind w:left="836" w:right="0" w:hanging="734"/>
        <w:jc w:val="left"/>
        <w:rPr>
          <w:sz w:val="21"/>
        </w:rPr>
      </w:pPr>
      <w:r>
        <w:rPr>
          <w:spacing w:val="-2"/>
          <w:sz w:val="21"/>
        </w:rPr>
        <w:t>如厕：自己控制进行大小便；</w:t>
      </w:r>
    </w:p>
    <w:p>
      <w:pPr>
        <w:pStyle w:val="ListParagraph"/>
        <w:numPr>
          <w:ilvl w:val="0"/>
          <w:numId w:val="28"/>
        </w:numPr>
        <w:tabs>
          <w:tab w:pos="836" w:val="left" w:leader="none"/>
          <w:tab w:pos="837" w:val="left" w:leader="none"/>
        </w:tabs>
        <w:spacing w:line="240" w:lineRule="auto" w:before="113" w:after="0"/>
        <w:ind w:left="836" w:right="0" w:hanging="734"/>
        <w:jc w:val="left"/>
        <w:rPr>
          <w:sz w:val="21"/>
        </w:rPr>
      </w:pPr>
      <w:r>
        <w:rPr>
          <w:spacing w:val="-5"/>
          <w:sz w:val="21"/>
        </w:rPr>
        <w:t>进食：自己从已准备好的碗或者碟中取食物放入口中；</w:t>
      </w:r>
    </w:p>
    <w:p>
      <w:pPr>
        <w:pStyle w:val="ListParagraph"/>
        <w:numPr>
          <w:ilvl w:val="0"/>
          <w:numId w:val="28"/>
        </w:numPr>
        <w:tabs>
          <w:tab w:pos="836" w:val="left" w:leader="none"/>
          <w:tab w:pos="837" w:val="left" w:leader="none"/>
        </w:tabs>
        <w:spacing w:line="240" w:lineRule="auto" w:before="113" w:after="0"/>
        <w:ind w:left="836" w:right="0" w:hanging="734"/>
        <w:jc w:val="left"/>
        <w:rPr>
          <w:sz w:val="21"/>
        </w:rPr>
      </w:pPr>
      <w:r>
        <w:rPr>
          <w:spacing w:val="-3"/>
          <w:sz w:val="21"/>
        </w:rPr>
        <w:t>洗澡：自己进行淋浴或者盆浴。</w:t>
      </w:r>
    </w:p>
    <w:p>
      <w:pPr>
        <w:spacing w:after="0" w:line="240" w:lineRule="auto"/>
        <w:jc w:val="left"/>
        <w:rPr>
          <w:sz w:val="21"/>
        </w:rPr>
        <w:sectPr>
          <w:type w:val="continuous"/>
          <w:pgSz w:w="11900" w:h="16840"/>
          <w:pgMar w:top="540" w:bottom="280" w:left="1040" w:right="820"/>
          <w:cols w:num="2" w:equalWidth="0">
            <w:col w:w="2171" w:space="152"/>
            <w:col w:w="7717"/>
          </w:cols>
        </w:sectPr>
      </w:pPr>
    </w:p>
    <w:p>
      <w:pPr>
        <w:pStyle w:val="BodyText"/>
        <w:spacing w:before="7"/>
        <w:rPr>
          <w:sz w:val="16"/>
        </w:rPr>
      </w:pPr>
    </w:p>
    <w:p>
      <w:pPr>
        <w:pStyle w:val="ListParagraph"/>
        <w:numPr>
          <w:ilvl w:val="1"/>
          <w:numId w:val="4"/>
        </w:numPr>
        <w:tabs>
          <w:tab w:pos="903" w:val="left" w:leader="none"/>
          <w:tab w:pos="904" w:val="left" w:leader="none"/>
          <w:tab w:pos="2425" w:val="left" w:leader="none"/>
        </w:tabs>
        <w:spacing w:line="308" w:lineRule="exact" w:before="35" w:after="0"/>
        <w:ind w:left="2425" w:right="225" w:hanging="2323"/>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14"/>
          <w:sz w:val="21"/>
        </w:rPr>
        <w:t> </w:t>
      </w:r>
      <w:r>
        <w:rPr>
          <w:sz w:val="21"/>
        </w:rPr>
        <w:t>180</w:t>
      </w:r>
      <w:r>
        <w:rPr>
          <w:spacing w:val="-19"/>
          <w:sz w:val="21"/>
        </w:rPr>
        <w:t> </w:t>
      </w:r>
      <w:r>
        <w:rPr>
          <w:sz w:val="21"/>
        </w:rPr>
        <w:t>天后</w:t>
      </w:r>
      <w:r>
        <w:rPr>
          <w:spacing w:val="-5"/>
          <w:sz w:val="21"/>
        </w:rPr>
        <w:t>，</w:t>
      </w:r>
      <w:r>
        <w:rPr>
          <w:sz w:val="21"/>
        </w:rPr>
        <w:t>仍无法</w:t>
      </w:r>
      <w:r>
        <w:rPr>
          <w:spacing w:val="-5"/>
          <w:sz w:val="21"/>
        </w:rPr>
        <w:t>通</w:t>
      </w:r>
      <w:r>
        <w:rPr>
          <w:sz w:val="21"/>
        </w:rPr>
        <w:t>过现有医疗手</w:t>
      </w:r>
      <w:r>
        <w:rPr>
          <w:spacing w:val="-5"/>
          <w:sz w:val="21"/>
        </w:rPr>
        <w:t>段</w:t>
      </w:r>
      <w:r>
        <w:rPr>
          <w:sz w:val="21"/>
        </w:rPr>
        <w:t>恢复。</w:t>
      </w:r>
    </w:p>
    <w:p>
      <w:pPr>
        <w:pStyle w:val="BodyText"/>
        <w:spacing w:before="10"/>
        <w:rPr>
          <w:sz w:val="14"/>
        </w:rPr>
      </w:pPr>
    </w:p>
    <w:p>
      <w:pPr>
        <w:spacing w:after="0"/>
        <w:rPr>
          <w:sz w:val="14"/>
        </w:rPr>
        <w:sectPr>
          <w:type w:val="continuous"/>
          <w:pgSz w:w="11900" w:h="16840"/>
          <w:pgMar w:top="540" w:bottom="280" w:left="1040" w:right="820"/>
        </w:sectPr>
      </w:pPr>
    </w:p>
    <w:p>
      <w:pPr>
        <w:pStyle w:val="Heading3"/>
        <w:numPr>
          <w:ilvl w:val="1"/>
          <w:numId w:val="4"/>
        </w:numPr>
        <w:tabs>
          <w:tab w:pos="903" w:val="left" w:leader="none"/>
          <w:tab w:pos="904" w:val="left" w:leader="none"/>
        </w:tabs>
        <w:spacing w:line="201" w:lineRule="auto" w:before="28" w:after="0"/>
        <w:ind w:left="904" w:right="0" w:hanging="802"/>
        <w:jc w:val="left"/>
      </w:pPr>
      <w:r>
        <w:rPr/>
        <w:t>本公司认可的医院</w:t>
      </w:r>
    </w:p>
    <w:p>
      <w:pPr>
        <w:pStyle w:val="BodyText"/>
        <w:spacing w:before="37"/>
        <w:ind w:left="107"/>
        <w:rPr>
          <w:rFonts w:ascii="黑体" w:eastAsia="黑体" w:hint="eastAsia"/>
        </w:rPr>
      </w:pPr>
      <w:r>
        <w:rPr/>
        <w:br w:type="column"/>
      </w:r>
      <w:r>
        <w:rPr>
          <w:rFonts w:ascii="黑体" w:eastAsia="黑体" w:hint="eastAsia"/>
        </w:rPr>
        <w:t>指符合下列条件的医疗机构：</w:t>
      </w:r>
    </w:p>
    <w:p>
      <w:pPr>
        <w:pStyle w:val="ListParagraph"/>
        <w:numPr>
          <w:ilvl w:val="0"/>
          <w:numId w:val="29"/>
        </w:numPr>
        <w:tabs>
          <w:tab w:pos="823" w:val="left" w:leader="none"/>
        </w:tabs>
        <w:spacing w:line="240" w:lineRule="auto" w:before="114" w:after="0"/>
        <w:ind w:left="822" w:right="0" w:hanging="720"/>
        <w:jc w:val="left"/>
        <w:rPr>
          <w:rFonts w:ascii="黑体" w:eastAsia="黑体" w:hint="eastAsia"/>
          <w:sz w:val="21"/>
        </w:rPr>
      </w:pPr>
      <w:r>
        <w:rPr>
          <w:rFonts w:ascii="黑体" w:eastAsia="黑体" w:hint="eastAsia"/>
          <w:spacing w:val="-3"/>
          <w:sz w:val="21"/>
        </w:rPr>
        <w:t>拥有所在国家的合法经营执照；</w:t>
      </w:r>
    </w:p>
    <w:p>
      <w:pPr>
        <w:pStyle w:val="ListParagraph"/>
        <w:numPr>
          <w:ilvl w:val="0"/>
          <w:numId w:val="29"/>
        </w:numPr>
        <w:tabs>
          <w:tab w:pos="823" w:val="left" w:leader="none"/>
        </w:tabs>
        <w:spacing w:line="240" w:lineRule="auto" w:before="119" w:after="0"/>
        <w:ind w:left="822" w:right="0" w:hanging="720"/>
        <w:jc w:val="left"/>
        <w:rPr>
          <w:rFonts w:ascii="黑体" w:eastAsia="黑体" w:hint="eastAsia"/>
          <w:sz w:val="21"/>
        </w:rPr>
      </w:pPr>
      <w:r>
        <w:rPr>
          <w:rFonts w:ascii="黑体" w:eastAsia="黑体" w:hint="eastAsia"/>
          <w:spacing w:val="-5"/>
          <w:sz w:val="21"/>
        </w:rPr>
        <w:t>设立的主要目的为向受伤者和患病者提供留院治疗和护理服务；</w:t>
      </w:r>
    </w:p>
    <w:p>
      <w:pPr>
        <w:pStyle w:val="ListParagraph"/>
        <w:numPr>
          <w:ilvl w:val="0"/>
          <w:numId w:val="29"/>
        </w:numPr>
        <w:tabs>
          <w:tab w:pos="823" w:val="left" w:leader="none"/>
        </w:tabs>
        <w:spacing w:line="244" w:lineRule="auto" w:before="47" w:after="0"/>
        <w:ind w:left="822" w:right="225" w:hanging="720"/>
        <w:jc w:val="left"/>
        <w:rPr>
          <w:rFonts w:ascii="黑体" w:eastAsia="黑体" w:hint="eastAsia"/>
          <w:sz w:val="21"/>
        </w:rPr>
      </w:pPr>
      <w:r>
        <w:rPr>
          <w:rFonts w:ascii="黑体" w:eastAsia="黑体" w:hint="eastAsia"/>
          <w:spacing w:val="-3"/>
          <w:sz w:val="21"/>
        </w:rPr>
        <w:t>有在所在国合法注册的</w:t>
      </w:r>
      <w:r>
        <w:rPr>
          <w:rFonts w:ascii="Microsoft JhengHei" w:eastAsia="Microsoft JhengHei" w:hint="eastAsia"/>
          <w:b/>
          <w:sz w:val="21"/>
        </w:rPr>
        <w:t>医</w:t>
      </w:r>
      <w:r>
        <w:rPr>
          <w:rFonts w:ascii="Microsoft JhengHei" w:eastAsia="Microsoft JhengHei" w:hint="eastAsia"/>
          <w:b/>
          <w:spacing w:val="-5"/>
          <w:sz w:val="21"/>
        </w:rPr>
        <w:t>Th</w:t>
      </w:r>
      <w:r>
        <w:rPr>
          <w:rFonts w:ascii="黑体" w:eastAsia="黑体" w:hint="eastAsia"/>
          <w:spacing w:val="-5"/>
          <w:sz w:val="21"/>
        </w:rPr>
        <w:t>（</w:t>
      </w:r>
      <w:r>
        <w:rPr>
          <w:rFonts w:ascii="黑体" w:eastAsia="黑体" w:hint="eastAsia"/>
          <w:spacing w:val="-29"/>
          <w:sz w:val="21"/>
        </w:rPr>
        <w:t>见 </w:t>
      </w:r>
      <w:r>
        <w:rPr>
          <w:rFonts w:ascii="黑体" w:eastAsia="黑体" w:hint="eastAsia"/>
          <w:spacing w:val="-4"/>
          <w:sz w:val="21"/>
        </w:rPr>
        <w:t>10.26）</w:t>
      </w:r>
      <w:r>
        <w:rPr>
          <w:rFonts w:ascii="黑体" w:eastAsia="黑体" w:hint="eastAsia"/>
          <w:spacing w:val="-10"/>
          <w:sz w:val="21"/>
        </w:rPr>
        <w:t>和护士常驻执业，并提供全日 </w:t>
      </w:r>
      <w:r>
        <w:rPr>
          <w:rFonts w:ascii="黑体" w:eastAsia="黑体" w:hint="eastAsia"/>
          <w:sz w:val="21"/>
        </w:rPr>
        <w:t>24 </w:t>
      </w:r>
      <w:r>
        <w:rPr>
          <w:rFonts w:ascii="黑体" w:eastAsia="黑体" w:hint="eastAsia"/>
          <w:spacing w:val="-2"/>
          <w:sz w:val="21"/>
        </w:rPr>
        <w:t>小时的医疗和护理服务。</w:t>
      </w:r>
    </w:p>
    <w:p>
      <w:pPr>
        <w:pStyle w:val="BodyText"/>
        <w:spacing w:line="268" w:lineRule="auto" w:before="114"/>
        <w:ind w:left="107" w:right="225"/>
        <w:rPr>
          <w:rFonts w:ascii="黑体" w:eastAsia="黑体" w:hint="eastAsia"/>
        </w:rPr>
      </w:pPr>
      <w:r>
        <w:rPr>
          <w:rFonts w:ascii="黑体" w:eastAsia="黑体" w:hint="eastAsia"/>
        </w:rPr>
        <w:t>不包括护理机构、矿泉疗养院、水疗所、疗养所、康复机构、戒酒机构、酒精或者药物滥用看护机构、戒毒机构、疗养院或者养老院等其他类似目的的机构。</w:t>
      </w:r>
    </w:p>
    <w:p>
      <w:pPr>
        <w:pStyle w:val="BodyText"/>
        <w:spacing w:before="93"/>
        <w:ind w:left="107"/>
        <w:rPr>
          <w:rFonts w:ascii="黑体" w:eastAsia="黑体" w:hint="eastAsia"/>
        </w:rPr>
      </w:pPr>
      <w:r>
        <w:rPr>
          <w:rFonts w:ascii="黑体" w:eastAsia="黑体" w:hint="eastAsia"/>
        </w:rPr>
        <w:t>不包括接受治疗的被保险人或者其家庭拥有全部或者部分所有权的医疗机构。</w:t>
      </w:r>
    </w:p>
    <w:p>
      <w:pPr>
        <w:pStyle w:val="BodyText"/>
        <w:spacing w:line="271" w:lineRule="auto" w:before="118"/>
        <w:ind w:left="107" w:right="225"/>
        <w:jc w:val="both"/>
      </w:pPr>
      <w:r>
        <w:rPr>
          <w:rFonts w:ascii="黑体" w:eastAsia="黑体" w:hint="eastAsia"/>
          <w:spacing w:val="-1"/>
        </w:rPr>
        <w:t>本公司保留对上述定义做出适当调整的权利，医院范围和指定医院名单以本公司</w:t>
      </w:r>
      <w:r>
        <w:rPr>
          <w:rFonts w:ascii="黑体" w:eastAsia="黑体" w:hint="eastAsia"/>
          <w:spacing w:val="-5"/>
        </w:rPr>
        <w:t>网站的最近公布信息为准。</w:t>
      </w:r>
      <w:r>
        <w:rPr>
          <w:spacing w:val="-8"/>
        </w:rPr>
        <w:t>您可以登陆泰康人寿官网</w:t>
      </w:r>
      <w:hyperlink r:id="rId8">
        <w:r>
          <w:rPr>
            <w:spacing w:val="-1"/>
          </w:rPr>
          <w:t>（www.taikanglife.com</w:t>
        </w:r>
      </w:hyperlink>
      <w:r>
        <w:rPr>
          <w:spacing w:val="-1"/>
        </w:rPr>
        <w:t>）</w:t>
      </w:r>
      <w:r>
        <w:rPr/>
        <w:t>查</w:t>
      </w:r>
      <w:r>
        <w:rPr>
          <w:spacing w:val="-9"/>
        </w:rPr>
        <w:t>询或者拨打 </w:t>
      </w:r>
      <w:r>
        <w:rPr>
          <w:spacing w:val="-3"/>
        </w:rPr>
        <w:t>24</w:t>
      </w:r>
      <w:r>
        <w:rPr>
          <w:spacing w:val="-15"/>
        </w:rPr>
        <w:t> 小时服务热线 </w:t>
      </w:r>
      <w:r>
        <w:rPr/>
        <w:t>95522</w:t>
      </w:r>
      <w:r>
        <w:rPr>
          <w:spacing w:val="-15"/>
        </w:rPr>
        <w:t> 咨询。</w:t>
      </w:r>
    </w:p>
    <w:p>
      <w:pPr>
        <w:spacing w:after="0" w:line="271" w:lineRule="auto"/>
        <w:jc w:val="both"/>
        <w:sectPr>
          <w:type w:val="continuous"/>
          <w:pgSz w:w="11900" w:h="16840"/>
          <w:pgMar w:top="540" w:bottom="280" w:left="1040" w:right="820"/>
          <w:cols w:num="2" w:equalWidth="0">
            <w:col w:w="2171" w:space="147"/>
            <w:col w:w="7722"/>
          </w:cols>
        </w:sectPr>
      </w:pPr>
    </w:p>
    <w:p>
      <w:pPr>
        <w:pStyle w:val="BodyText"/>
        <w:spacing w:before="10"/>
        <w:rPr>
          <w:sz w:val="14"/>
        </w:rPr>
      </w:pPr>
    </w:p>
    <w:p>
      <w:pPr>
        <w:pStyle w:val="ListParagraph"/>
        <w:numPr>
          <w:ilvl w:val="1"/>
          <w:numId w:val="4"/>
        </w:numPr>
        <w:tabs>
          <w:tab w:pos="903" w:val="left" w:leader="none"/>
          <w:tab w:pos="904" w:val="left" w:leader="none"/>
          <w:tab w:pos="2425" w:val="left" w:leader="none"/>
        </w:tabs>
        <w:spacing w:line="336" w:lineRule="exact" w:before="0" w:after="0"/>
        <w:ind w:left="904" w:right="0" w:hanging="802"/>
        <w:jc w:val="left"/>
        <w:rPr>
          <w:sz w:val="21"/>
        </w:rPr>
      </w:pPr>
      <w:r>
        <w:rPr>
          <w:rFonts w:ascii="Microsoft JhengHei" w:eastAsia="Microsoft JhengHei" w:hint="eastAsia"/>
          <w:b/>
          <w:sz w:val="21"/>
        </w:rPr>
        <w:t>医生</w:t>
        <w:tab/>
      </w:r>
      <w:r>
        <w:rPr>
          <w:spacing w:val="-1"/>
          <w:sz w:val="21"/>
        </w:rPr>
        <w:t>指在</w:t>
      </w:r>
      <w:r>
        <w:rPr>
          <w:sz w:val="21"/>
        </w:rPr>
        <w:t>所在</w:t>
      </w:r>
      <w:r>
        <w:rPr>
          <w:spacing w:val="-5"/>
          <w:sz w:val="21"/>
        </w:rPr>
        <w:t>国</w:t>
      </w:r>
      <w:r>
        <w:rPr>
          <w:sz w:val="21"/>
        </w:rPr>
        <w:t>合法注</w:t>
      </w:r>
      <w:r>
        <w:rPr>
          <w:spacing w:val="-5"/>
          <w:sz w:val="21"/>
        </w:rPr>
        <w:t>册</w:t>
      </w:r>
      <w:r>
        <w:rPr>
          <w:sz w:val="21"/>
        </w:rPr>
        <w:t>的具有</w:t>
      </w:r>
      <w:r>
        <w:rPr>
          <w:spacing w:val="-5"/>
          <w:sz w:val="21"/>
        </w:rPr>
        <w:t>医</w:t>
      </w:r>
      <w:r>
        <w:rPr>
          <w:sz w:val="21"/>
        </w:rPr>
        <w:t>师执业</w:t>
      </w:r>
      <w:r>
        <w:rPr>
          <w:spacing w:val="-5"/>
          <w:sz w:val="21"/>
        </w:rPr>
        <w:t>资</w:t>
      </w:r>
      <w:r>
        <w:rPr>
          <w:sz w:val="21"/>
        </w:rPr>
        <w:t>格和诊</w:t>
      </w:r>
      <w:r>
        <w:rPr>
          <w:spacing w:val="-5"/>
          <w:sz w:val="21"/>
        </w:rPr>
        <w:t>断</w:t>
      </w:r>
      <w:r>
        <w:rPr>
          <w:sz w:val="21"/>
        </w:rPr>
        <w:t>处</w:t>
      </w:r>
      <w:r>
        <w:rPr>
          <w:spacing w:val="-5"/>
          <w:sz w:val="21"/>
        </w:rPr>
        <w:t>方</w:t>
      </w:r>
      <w:r>
        <w:rPr>
          <w:sz w:val="21"/>
        </w:rPr>
        <w:t>权且正在</w:t>
      </w:r>
      <w:r>
        <w:rPr>
          <w:spacing w:val="-5"/>
          <w:sz w:val="21"/>
        </w:rPr>
        <w:t>执</w:t>
      </w:r>
      <w:r>
        <w:rPr>
          <w:sz w:val="21"/>
        </w:rPr>
        <w:t>业的医</w:t>
      </w:r>
      <w:r>
        <w:rPr>
          <w:spacing w:val="-5"/>
          <w:sz w:val="21"/>
        </w:rPr>
        <w:t>师</w:t>
      </w:r>
      <w:r>
        <w:rPr>
          <w:sz w:val="21"/>
        </w:rPr>
        <w:t>。</w:t>
      </w:r>
    </w:p>
    <w:sectPr>
      <w:type w:val="continuous"/>
      <w:pgSz w:w="11900" w:h="16840"/>
      <w:pgMar w:top="540" w:bottom="280" w:left="10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822" w:hanging="720"/>
        <w:jc w:val="left"/>
      </w:pPr>
      <w:rPr>
        <w:rFonts w:hint="default" w:ascii="黑体" w:hAnsi="黑体" w:eastAsia="黑体" w:cs="黑体"/>
        <w:w w:val="100"/>
        <w:sz w:val="21"/>
        <w:szCs w:val="21"/>
      </w:rPr>
    </w:lvl>
    <w:lvl w:ilvl="1">
      <w:start w:val="0"/>
      <w:numFmt w:val="bullet"/>
      <w:lvlText w:val="•"/>
      <w:lvlJc w:val="left"/>
      <w:pPr>
        <w:ind w:left="1510" w:hanging="720"/>
      </w:pPr>
      <w:rPr>
        <w:rFonts w:hint="default"/>
      </w:rPr>
    </w:lvl>
    <w:lvl w:ilvl="2">
      <w:start w:val="0"/>
      <w:numFmt w:val="bullet"/>
      <w:lvlText w:val="•"/>
      <w:lvlJc w:val="left"/>
      <w:pPr>
        <w:ind w:left="2200" w:hanging="720"/>
      </w:pPr>
      <w:rPr>
        <w:rFonts w:hint="default"/>
      </w:rPr>
    </w:lvl>
    <w:lvl w:ilvl="3">
      <w:start w:val="0"/>
      <w:numFmt w:val="bullet"/>
      <w:lvlText w:val="•"/>
      <w:lvlJc w:val="left"/>
      <w:pPr>
        <w:ind w:left="2890" w:hanging="720"/>
      </w:pPr>
      <w:rPr>
        <w:rFonts w:hint="default"/>
      </w:rPr>
    </w:lvl>
    <w:lvl w:ilvl="4">
      <w:start w:val="0"/>
      <w:numFmt w:val="bullet"/>
      <w:lvlText w:val="•"/>
      <w:lvlJc w:val="left"/>
      <w:pPr>
        <w:ind w:left="3580" w:hanging="720"/>
      </w:pPr>
      <w:rPr>
        <w:rFonts w:hint="default"/>
      </w:rPr>
    </w:lvl>
    <w:lvl w:ilvl="5">
      <w:start w:val="0"/>
      <w:numFmt w:val="bullet"/>
      <w:lvlText w:val="•"/>
      <w:lvlJc w:val="left"/>
      <w:pPr>
        <w:ind w:left="4270" w:hanging="720"/>
      </w:pPr>
      <w:rPr>
        <w:rFonts w:hint="default"/>
      </w:rPr>
    </w:lvl>
    <w:lvl w:ilvl="6">
      <w:start w:val="0"/>
      <w:numFmt w:val="bullet"/>
      <w:lvlText w:val="•"/>
      <w:lvlJc w:val="left"/>
      <w:pPr>
        <w:ind w:left="4960" w:hanging="720"/>
      </w:pPr>
      <w:rPr>
        <w:rFonts w:hint="default"/>
      </w:rPr>
    </w:lvl>
    <w:lvl w:ilvl="7">
      <w:start w:val="0"/>
      <w:numFmt w:val="bullet"/>
      <w:lvlText w:val="•"/>
      <w:lvlJc w:val="left"/>
      <w:pPr>
        <w:ind w:left="5651" w:hanging="720"/>
      </w:pPr>
      <w:rPr>
        <w:rFonts w:hint="default"/>
      </w:rPr>
    </w:lvl>
    <w:lvl w:ilvl="8">
      <w:start w:val="0"/>
      <w:numFmt w:val="bullet"/>
      <w:lvlText w:val="•"/>
      <w:lvlJc w:val="left"/>
      <w:pPr>
        <w:ind w:left="6341" w:hanging="720"/>
      </w:pPr>
      <w:rPr>
        <w:rFonts w:hint="default"/>
      </w:rPr>
    </w:lvl>
  </w:abstractNum>
  <w:abstractNum w:abstractNumId="2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5" w:hanging="735"/>
      </w:pPr>
      <w:rPr>
        <w:rFonts w:hint="default"/>
      </w:rPr>
    </w:lvl>
    <w:lvl w:ilvl="3">
      <w:start w:val="0"/>
      <w:numFmt w:val="bullet"/>
      <w:lvlText w:val="•"/>
      <w:lvlJc w:val="left"/>
      <w:pPr>
        <w:ind w:left="2903" w:hanging="735"/>
      </w:pPr>
      <w:rPr>
        <w:rFonts w:hint="default"/>
      </w:rPr>
    </w:lvl>
    <w:lvl w:ilvl="4">
      <w:start w:val="0"/>
      <w:numFmt w:val="bullet"/>
      <w:lvlText w:val="•"/>
      <w:lvlJc w:val="left"/>
      <w:pPr>
        <w:ind w:left="3590" w:hanging="735"/>
      </w:pPr>
      <w:rPr>
        <w:rFonts w:hint="default"/>
      </w:rPr>
    </w:lvl>
    <w:lvl w:ilvl="5">
      <w:start w:val="0"/>
      <w:numFmt w:val="bullet"/>
      <w:lvlText w:val="•"/>
      <w:lvlJc w:val="left"/>
      <w:pPr>
        <w:ind w:left="4278" w:hanging="735"/>
      </w:pPr>
      <w:rPr>
        <w:rFonts w:hint="default"/>
      </w:rPr>
    </w:lvl>
    <w:lvl w:ilvl="6">
      <w:start w:val="0"/>
      <w:numFmt w:val="bullet"/>
      <w:lvlText w:val="•"/>
      <w:lvlJc w:val="left"/>
      <w:pPr>
        <w:ind w:left="4966" w:hanging="735"/>
      </w:pPr>
      <w:rPr>
        <w:rFonts w:hint="default"/>
      </w:rPr>
    </w:lvl>
    <w:lvl w:ilvl="7">
      <w:start w:val="0"/>
      <w:numFmt w:val="bullet"/>
      <w:lvlText w:val="•"/>
      <w:lvlJc w:val="left"/>
      <w:pPr>
        <w:ind w:left="5653" w:hanging="735"/>
      </w:pPr>
      <w:rPr>
        <w:rFonts w:hint="default"/>
      </w:rPr>
    </w:lvl>
    <w:lvl w:ilvl="8">
      <w:start w:val="0"/>
      <w:numFmt w:val="bullet"/>
      <w:lvlText w:val="•"/>
      <w:lvlJc w:val="left"/>
      <w:pPr>
        <w:ind w:left="6341" w:hanging="735"/>
      </w:pPr>
      <w:rPr>
        <w:rFonts w:hint="default"/>
      </w:rPr>
    </w:lvl>
  </w:abstractNum>
  <w:abstractNum w:abstractNumId="26">
    <w:multiLevelType w:val="hybridMultilevel"/>
    <w:lvl w:ilvl="0">
      <w:start w:val="1"/>
      <w:numFmt w:val="decimal"/>
      <w:lvlText w:val="（%1）"/>
      <w:lvlJc w:val="left"/>
      <w:pPr>
        <w:ind w:left="3164" w:hanging="740"/>
        <w:jc w:val="left"/>
      </w:pPr>
      <w:rPr>
        <w:rFonts w:hint="default" w:ascii="宋体" w:hAnsi="宋体" w:eastAsia="宋体" w:cs="宋体"/>
        <w:w w:val="100"/>
        <w:sz w:val="21"/>
        <w:szCs w:val="21"/>
      </w:rPr>
    </w:lvl>
    <w:lvl w:ilvl="1">
      <w:start w:val="0"/>
      <w:numFmt w:val="bullet"/>
      <w:lvlText w:val="•"/>
      <w:lvlJc w:val="left"/>
      <w:pPr>
        <w:ind w:left="3848" w:hanging="740"/>
      </w:pPr>
      <w:rPr>
        <w:rFonts w:hint="default"/>
      </w:rPr>
    </w:lvl>
    <w:lvl w:ilvl="2">
      <w:start w:val="0"/>
      <w:numFmt w:val="bullet"/>
      <w:lvlText w:val="•"/>
      <w:lvlJc w:val="left"/>
      <w:pPr>
        <w:ind w:left="4536" w:hanging="740"/>
      </w:pPr>
      <w:rPr>
        <w:rFonts w:hint="default"/>
      </w:rPr>
    </w:lvl>
    <w:lvl w:ilvl="3">
      <w:start w:val="0"/>
      <w:numFmt w:val="bullet"/>
      <w:lvlText w:val="•"/>
      <w:lvlJc w:val="left"/>
      <w:pPr>
        <w:ind w:left="5224" w:hanging="740"/>
      </w:pPr>
      <w:rPr>
        <w:rFonts w:hint="default"/>
      </w:rPr>
    </w:lvl>
    <w:lvl w:ilvl="4">
      <w:start w:val="0"/>
      <w:numFmt w:val="bullet"/>
      <w:lvlText w:val="•"/>
      <w:lvlJc w:val="left"/>
      <w:pPr>
        <w:ind w:left="5912" w:hanging="740"/>
      </w:pPr>
      <w:rPr>
        <w:rFonts w:hint="default"/>
      </w:rPr>
    </w:lvl>
    <w:lvl w:ilvl="5">
      <w:start w:val="0"/>
      <w:numFmt w:val="bullet"/>
      <w:lvlText w:val="•"/>
      <w:lvlJc w:val="left"/>
      <w:pPr>
        <w:ind w:left="6600" w:hanging="740"/>
      </w:pPr>
      <w:rPr>
        <w:rFonts w:hint="default"/>
      </w:rPr>
    </w:lvl>
    <w:lvl w:ilvl="6">
      <w:start w:val="0"/>
      <w:numFmt w:val="bullet"/>
      <w:lvlText w:val="•"/>
      <w:lvlJc w:val="left"/>
      <w:pPr>
        <w:ind w:left="7288" w:hanging="740"/>
      </w:pPr>
      <w:rPr>
        <w:rFonts w:hint="default"/>
      </w:rPr>
    </w:lvl>
    <w:lvl w:ilvl="7">
      <w:start w:val="0"/>
      <w:numFmt w:val="bullet"/>
      <w:lvlText w:val="•"/>
      <w:lvlJc w:val="left"/>
      <w:pPr>
        <w:ind w:left="7976" w:hanging="740"/>
      </w:pPr>
      <w:rPr>
        <w:rFonts w:hint="default"/>
      </w:rPr>
    </w:lvl>
    <w:lvl w:ilvl="8">
      <w:start w:val="0"/>
      <w:numFmt w:val="bullet"/>
      <w:lvlText w:val="•"/>
      <w:lvlJc w:val="left"/>
      <w:pPr>
        <w:ind w:left="8664" w:hanging="740"/>
      </w:pPr>
      <w:rPr>
        <w:rFonts w:hint="default"/>
      </w:rPr>
    </w:lvl>
  </w:abstractNum>
  <w:abstractNum w:abstractNumId="25">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509" w:hanging="720"/>
      </w:pPr>
      <w:rPr>
        <w:rFonts w:hint="default"/>
      </w:rPr>
    </w:lvl>
    <w:lvl w:ilvl="2">
      <w:start w:val="0"/>
      <w:numFmt w:val="bullet"/>
      <w:lvlText w:val="•"/>
      <w:lvlJc w:val="left"/>
      <w:pPr>
        <w:ind w:left="2199" w:hanging="720"/>
      </w:pPr>
      <w:rPr>
        <w:rFonts w:hint="default"/>
      </w:rPr>
    </w:lvl>
    <w:lvl w:ilvl="3">
      <w:start w:val="0"/>
      <w:numFmt w:val="bullet"/>
      <w:lvlText w:val="•"/>
      <w:lvlJc w:val="left"/>
      <w:pPr>
        <w:ind w:left="2889" w:hanging="720"/>
      </w:pPr>
      <w:rPr>
        <w:rFonts w:hint="default"/>
      </w:rPr>
    </w:lvl>
    <w:lvl w:ilvl="4">
      <w:start w:val="0"/>
      <w:numFmt w:val="bullet"/>
      <w:lvlText w:val="•"/>
      <w:lvlJc w:val="left"/>
      <w:pPr>
        <w:ind w:left="3578" w:hanging="720"/>
      </w:pPr>
      <w:rPr>
        <w:rFonts w:hint="default"/>
      </w:rPr>
    </w:lvl>
    <w:lvl w:ilvl="5">
      <w:start w:val="0"/>
      <w:numFmt w:val="bullet"/>
      <w:lvlText w:val="•"/>
      <w:lvlJc w:val="left"/>
      <w:pPr>
        <w:ind w:left="4268" w:hanging="720"/>
      </w:pPr>
      <w:rPr>
        <w:rFonts w:hint="default"/>
      </w:rPr>
    </w:lvl>
    <w:lvl w:ilvl="6">
      <w:start w:val="0"/>
      <w:numFmt w:val="bullet"/>
      <w:lvlText w:val="•"/>
      <w:lvlJc w:val="left"/>
      <w:pPr>
        <w:ind w:left="4958" w:hanging="720"/>
      </w:pPr>
      <w:rPr>
        <w:rFonts w:hint="default"/>
      </w:rPr>
    </w:lvl>
    <w:lvl w:ilvl="7">
      <w:start w:val="0"/>
      <w:numFmt w:val="bullet"/>
      <w:lvlText w:val="•"/>
      <w:lvlJc w:val="left"/>
      <w:pPr>
        <w:ind w:left="5647" w:hanging="720"/>
      </w:pPr>
      <w:rPr>
        <w:rFonts w:hint="default"/>
      </w:rPr>
    </w:lvl>
    <w:lvl w:ilvl="8">
      <w:start w:val="0"/>
      <w:numFmt w:val="bullet"/>
      <w:lvlText w:val="•"/>
      <w:lvlJc w:val="left"/>
      <w:pPr>
        <w:ind w:left="6337" w:hanging="720"/>
      </w:pPr>
      <w:rPr>
        <w:rFonts w:hint="default"/>
      </w:rPr>
    </w:lvl>
  </w:abstractNum>
  <w:abstractNum w:abstractNumId="24">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2"/>
      <w:numFmt w:val="decimal"/>
      <w:lvlText w:val="（%2）"/>
      <w:lvlJc w:val="left"/>
      <w:pPr>
        <w:ind w:left="3145" w:hanging="720"/>
        <w:jc w:val="left"/>
      </w:pPr>
      <w:rPr>
        <w:rFonts w:hint="default" w:ascii="宋体" w:hAnsi="宋体" w:eastAsia="宋体" w:cs="宋体"/>
        <w:w w:val="100"/>
        <w:sz w:val="21"/>
        <w:szCs w:val="21"/>
      </w:rPr>
    </w:lvl>
    <w:lvl w:ilvl="2">
      <w:start w:val="0"/>
      <w:numFmt w:val="bullet"/>
      <w:lvlText w:val="•"/>
      <w:lvlJc w:val="left"/>
      <w:pPr>
        <w:ind w:left="3648" w:hanging="720"/>
      </w:pPr>
      <w:rPr>
        <w:rFonts w:hint="default"/>
      </w:rPr>
    </w:lvl>
    <w:lvl w:ilvl="3">
      <w:start w:val="0"/>
      <w:numFmt w:val="bullet"/>
      <w:lvlText w:val="•"/>
      <w:lvlJc w:val="left"/>
      <w:pPr>
        <w:ind w:left="4157" w:hanging="720"/>
      </w:pPr>
      <w:rPr>
        <w:rFonts w:hint="default"/>
      </w:rPr>
    </w:lvl>
    <w:lvl w:ilvl="4">
      <w:start w:val="0"/>
      <w:numFmt w:val="bullet"/>
      <w:lvlText w:val="•"/>
      <w:lvlJc w:val="left"/>
      <w:pPr>
        <w:ind w:left="4665" w:hanging="720"/>
      </w:pPr>
      <w:rPr>
        <w:rFonts w:hint="default"/>
      </w:rPr>
    </w:lvl>
    <w:lvl w:ilvl="5">
      <w:start w:val="0"/>
      <w:numFmt w:val="bullet"/>
      <w:lvlText w:val="•"/>
      <w:lvlJc w:val="left"/>
      <w:pPr>
        <w:ind w:left="5174" w:hanging="720"/>
      </w:pPr>
      <w:rPr>
        <w:rFonts w:hint="default"/>
      </w:rPr>
    </w:lvl>
    <w:lvl w:ilvl="6">
      <w:start w:val="0"/>
      <w:numFmt w:val="bullet"/>
      <w:lvlText w:val="•"/>
      <w:lvlJc w:val="left"/>
      <w:pPr>
        <w:ind w:left="5682" w:hanging="720"/>
      </w:pPr>
      <w:rPr>
        <w:rFonts w:hint="default"/>
      </w:rPr>
    </w:lvl>
    <w:lvl w:ilvl="7">
      <w:start w:val="0"/>
      <w:numFmt w:val="bullet"/>
      <w:lvlText w:val="•"/>
      <w:lvlJc w:val="left"/>
      <w:pPr>
        <w:ind w:left="6191" w:hanging="720"/>
      </w:pPr>
      <w:rPr>
        <w:rFonts w:hint="default"/>
      </w:rPr>
    </w:lvl>
    <w:lvl w:ilvl="8">
      <w:start w:val="0"/>
      <w:numFmt w:val="bullet"/>
      <w:lvlText w:val="•"/>
      <w:lvlJc w:val="left"/>
      <w:pPr>
        <w:ind w:left="6699" w:hanging="720"/>
      </w:pPr>
      <w:rPr>
        <w:rFonts w:hint="default"/>
      </w:rPr>
    </w:lvl>
  </w:abstractNum>
  <w:abstractNum w:abstractNumId="23">
    <w:multiLevelType w:val="hybridMultilevel"/>
    <w:lvl w:ilvl="0">
      <w:start w:val="1"/>
      <w:numFmt w:val="decimal"/>
      <w:lvlText w:val="（%1）"/>
      <w:lvlJc w:val="left"/>
      <w:pPr>
        <w:ind w:left="3184" w:hanging="720"/>
        <w:jc w:val="left"/>
      </w:pPr>
      <w:rPr>
        <w:rFonts w:hint="default" w:ascii="宋体" w:hAnsi="宋体" w:eastAsia="宋体" w:cs="宋体"/>
        <w:w w:val="100"/>
        <w:sz w:val="21"/>
        <w:szCs w:val="21"/>
      </w:rPr>
    </w:lvl>
    <w:lvl w:ilvl="1">
      <w:start w:val="0"/>
      <w:numFmt w:val="bullet"/>
      <w:lvlText w:val="•"/>
      <w:lvlJc w:val="left"/>
      <w:pPr>
        <w:ind w:left="3866" w:hanging="720"/>
      </w:pPr>
      <w:rPr>
        <w:rFonts w:hint="default"/>
      </w:rPr>
    </w:lvl>
    <w:lvl w:ilvl="2">
      <w:start w:val="0"/>
      <w:numFmt w:val="bullet"/>
      <w:lvlText w:val="•"/>
      <w:lvlJc w:val="left"/>
      <w:pPr>
        <w:ind w:left="4552" w:hanging="720"/>
      </w:pPr>
      <w:rPr>
        <w:rFonts w:hint="default"/>
      </w:rPr>
    </w:lvl>
    <w:lvl w:ilvl="3">
      <w:start w:val="0"/>
      <w:numFmt w:val="bullet"/>
      <w:lvlText w:val="•"/>
      <w:lvlJc w:val="left"/>
      <w:pPr>
        <w:ind w:left="5238" w:hanging="720"/>
      </w:pPr>
      <w:rPr>
        <w:rFonts w:hint="default"/>
      </w:rPr>
    </w:lvl>
    <w:lvl w:ilvl="4">
      <w:start w:val="0"/>
      <w:numFmt w:val="bullet"/>
      <w:lvlText w:val="•"/>
      <w:lvlJc w:val="left"/>
      <w:pPr>
        <w:ind w:left="5924" w:hanging="720"/>
      </w:pPr>
      <w:rPr>
        <w:rFonts w:hint="default"/>
      </w:rPr>
    </w:lvl>
    <w:lvl w:ilvl="5">
      <w:start w:val="0"/>
      <w:numFmt w:val="bullet"/>
      <w:lvlText w:val="•"/>
      <w:lvlJc w:val="left"/>
      <w:pPr>
        <w:ind w:left="6610" w:hanging="720"/>
      </w:pPr>
      <w:rPr>
        <w:rFonts w:hint="default"/>
      </w:rPr>
    </w:lvl>
    <w:lvl w:ilvl="6">
      <w:start w:val="0"/>
      <w:numFmt w:val="bullet"/>
      <w:lvlText w:val="•"/>
      <w:lvlJc w:val="left"/>
      <w:pPr>
        <w:ind w:left="7296" w:hanging="720"/>
      </w:pPr>
      <w:rPr>
        <w:rFonts w:hint="default"/>
      </w:rPr>
    </w:lvl>
    <w:lvl w:ilvl="7">
      <w:start w:val="0"/>
      <w:numFmt w:val="bullet"/>
      <w:lvlText w:val="•"/>
      <w:lvlJc w:val="left"/>
      <w:pPr>
        <w:ind w:left="7982" w:hanging="720"/>
      </w:pPr>
      <w:rPr>
        <w:rFonts w:hint="default"/>
      </w:rPr>
    </w:lvl>
    <w:lvl w:ilvl="8">
      <w:start w:val="0"/>
      <w:numFmt w:val="bullet"/>
      <w:lvlText w:val="•"/>
      <w:lvlJc w:val="left"/>
      <w:pPr>
        <w:ind w:left="8668" w:hanging="720"/>
      </w:pPr>
      <w:rPr>
        <w:rFonts w:hint="default"/>
      </w:rPr>
    </w:lvl>
  </w:abstractNum>
  <w:abstractNum w:abstractNumId="22">
    <w:multiLevelType w:val="hybridMultilevel"/>
    <w:lvl w:ilvl="0">
      <w:start w:val="1"/>
      <w:numFmt w:val="decimal"/>
      <w:lvlText w:val="（%1）"/>
      <w:lvlJc w:val="left"/>
      <w:pPr>
        <w:ind w:left="3380" w:hanging="840"/>
        <w:jc w:val="left"/>
      </w:pPr>
      <w:rPr>
        <w:rFonts w:hint="default" w:ascii="宋体" w:hAnsi="宋体" w:eastAsia="宋体" w:cs="宋体"/>
        <w:w w:val="100"/>
        <w:sz w:val="21"/>
        <w:szCs w:val="21"/>
      </w:rPr>
    </w:lvl>
    <w:lvl w:ilvl="1">
      <w:start w:val="0"/>
      <w:numFmt w:val="bullet"/>
      <w:lvlText w:val="•"/>
      <w:lvlJc w:val="left"/>
      <w:pPr>
        <w:ind w:left="4056" w:hanging="840"/>
      </w:pPr>
      <w:rPr>
        <w:rFonts w:hint="default"/>
      </w:rPr>
    </w:lvl>
    <w:lvl w:ilvl="2">
      <w:start w:val="0"/>
      <w:numFmt w:val="bullet"/>
      <w:lvlText w:val="•"/>
      <w:lvlJc w:val="left"/>
      <w:pPr>
        <w:ind w:left="4732" w:hanging="840"/>
      </w:pPr>
      <w:rPr>
        <w:rFonts w:hint="default"/>
      </w:rPr>
    </w:lvl>
    <w:lvl w:ilvl="3">
      <w:start w:val="0"/>
      <w:numFmt w:val="bullet"/>
      <w:lvlText w:val="•"/>
      <w:lvlJc w:val="left"/>
      <w:pPr>
        <w:ind w:left="5408" w:hanging="840"/>
      </w:pPr>
      <w:rPr>
        <w:rFonts w:hint="default"/>
      </w:rPr>
    </w:lvl>
    <w:lvl w:ilvl="4">
      <w:start w:val="0"/>
      <w:numFmt w:val="bullet"/>
      <w:lvlText w:val="•"/>
      <w:lvlJc w:val="left"/>
      <w:pPr>
        <w:ind w:left="6084" w:hanging="840"/>
      </w:pPr>
      <w:rPr>
        <w:rFonts w:hint="default"/>
      </w:rPr>
    </w:lvl>
    <w:lvl w:ilvl="5">
      <w:start w:val="0"/>
      <w:numFmt w:val="bullet"/>
      <w:lvlText w:val="•"/>
      <w:lvlJc w:val="left"/>
      <w:pPr>
        <w:ind w:left="6760" w:hanging="840"/>
      </w:pPr>
      <w:rPr>
        <w:rFonts w:hint="default"/>
      </w:rPr>
    </w:lvl>
    <w:lvl w:ilvl="6">
      <w:start w:val="0"/>
      <w:numFmt w:val="bullet"/>
      <w:lvlText w:val="•"/>
      <w:lvlJc w:val="left"/>
      <w:pPr>
        <w:ind w:left="7436" w:hanging="840"/>
      </w:pPr>
      <w:rPr>
        <w:rFonts w:hint="default"/>
      </w:rPr>
    </w:lvl>
    <w:lvl w:ilvl="7">
      <w:start w:val="0"/>
      <w:numFmt w:val="bullet"/>
      <w:lvlText w:val="•"/>
      <w:lvlJc w:val="left"/>
      <w:pPr>
        <w:ind w:left="8112" w:hanging="840"/>
      </w:pPr>
      <w:rPr>
        <w:rFonts w:hint="default"/>
      </w:rPr>
    </w:lvl>
    <w:lvl w:ilvl="8">
      <w:start w:val="0"/>
      <w:numFmt w:val="bullet"/>
      <w:lvlText w:val="•"/>
      <w:lvlJc w:val="left"/>
      <w:pPr>
        <w:ind w:left="8788" w:hanging="840"/>
      </w:pPr>
      <w:rPr>
        <w:rFonts w:hint="default"/>
      </w:rPr>
    </w:lvl>
  </w:abstractNum>
  <w:abstractNum w:abstractNumId="21">
    <w:multiLevelType w:val="hybridMultilevel"/>
    <w:lvl w:ilvl="0">
      <w:start w:val="1"/>
      <w:numFmt w:val="decimal"/>
      <w:lvlText w:val="（%1）"/>
      <w:lvlJc w:val="left"/>
      <w:pPr>
        <w:ind w:left="3275" w:hanging="735"/>
        <w:jc w:val="left"/>
      </w:pPr>
      <w:rPr>
        <w:rFonts w:hint="default" w:ascii="宋体" w:hAnsi="宋体" w:eastAsia="宋体" w:cs="宋体"/>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3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10" w:hanging="735"/>
      </w:pPr>
      <w:rPr>
        <w:rFonts w:hint="default"/>
      </w:rPr>
    </w:lvl>
    <w:lvl w:ilvl="6">
      <w:start w:val="0"/>
      <w:numFmt w:val="bullet"/>
      <w:lvlText w:val="•"/>
      <w:lvlJc w:val="left"/>
      <w:pPr>
        <w:ind w:left="7396"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68" w:hanging="735"/>
      </w:pPr>
      <w:rPr>
        <w:rFonts w:hint="default"/>
      </w:rPr>
    </w:lvl>
  </w:abstractNum>
  <w:abstractNum w:abstractNumId="20">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2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99"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73" w:hanging="735"/>
      </w:pPr>
      <w:rPr>
        <w:rFonts w:hint="default"/>
      </w:rPr>
    </w:lvl>
    <w:lvl w:ilvl="6">
      <w:start w:val="0"/>
      <w:numFmt w:val="bullet"/>
      <w:lvlText w:val="•"/>
      <w:lvlJc w:val="left"/>
      <w:pPr>
        <w:ind w:left="4959" w:hanging="735"/>
      </w:pPr>
      <w:rPr>
        <w:rFonts w:hint="default"/>
      </w:rPr>
    </w:lvl>
    <w:lvl w:ilvl="7">
      <w:start w:val="0"/>
      <w:numFmt w:val="bullet"/>
      <w:lvlText w:val="•"/>
      <w:lvlJc w:val="left"/>
      <w:pPr>
        <w:ind w:left="5646" w:hanging="735"/>
      </w:pPr>
      <w:rPr>
        <w:rFonts w:hint="default"/>
      </w:rPr>
    </w:lvl>
    <w:lvl w:ilvl="8">
      <w:start w:val="0"/>
      <w:numFmt w:val="bullet"/>
      <w:lvlText w:val="•"/>
      <w:lvlJc w:val="left"/>
      <w:pPr>
        <w:ind w:left="6333" w:hanging="735"/>
      </w:pPr>
      <w:rPr>
        <w:rFonts w:hint="default"/>
      </w:rPr>
    </w:lvl>
  </w:abstractNum>
  <w:abstractNum w:abstractNumId="19">
    <w:multiLevelType w:val="hybridMultilevel"/>
    <w:lvl w:ilvl="0">
      <w:start w:val="1"/>
      <w:numFmt w:val="decimal"/>
      <w:lvlText w:val="（%1）"/>
      <w:lvlJc w:val="left"/>
      <w:pPr>
        <w:ind w:left="3155" w:hanging="735"/>
        <w:jc w:val="left"/>
      </w:pPr>
      <w:rPr>
        <w:rFonts w:hint="default" w:ascii="宋体" w:hAnsi="宋体" w:eastAsia="宋体" w:cs="宋体"/>
        <w:w w:val="100"/>
        <w:sz w:val="21"/>
        <w:szCs w:val="21"/>
      </w:rPr>
    </w:lvl>
    <w:lvl w:ilvl="1">
      <w:start w:val="0"/>
      <w:numFmt w:val="bullet"/>
      <w:lvlText w:val="•"/>
      <w:lvlJc w:val="left"/>
      <w:pPr>
        <w:ind w:left="384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18" w:hanging="735"/>
      </w:pPr>
      <w:rPr>
        <w:rFonts w:hint="default"/>
      </w:rPr>
    </w:lvl>
    <w:lvl w:ilvl="4">
      <w:start w:val="0"/>
      <w:numFmt w:val="bullet"/>
      <w:lvlText w:val="•"/>
      <w:lvlJc w:val="left"/>
      <w:pPr>
        <w:ind w:left="5904" w:hanging="735"/>
      </w:pPr>
      <w:rPr>
        <w:rFonts w:hint="default"/>
      </w:rPr>
    </w:lvl>
    <w:lvl w:ilvl="5">
      <w:start w:val="0"/>
      <w:numFmt w:val="bullet"/>
      <w:lvlText w:val="•"/>
      <w:lvlJc w:val="left"/>
      <w:pPr>
        <w:ind w:left="6590" w:hanging="735"/>
      </w:pPr>
      <w:rPr>
        <w:rFonts w:hint="default"/>
      </w:rPr>
    </w:lvl>
    <w:lvl w:ilvl="6">
      <w:start w:val="0"/>
      <w:numFmt w:val="bullet"/>
      <w:lvlText w:val="•"/>
      <w:lvlJc w:val="left"/>
      <w:pPr>
        <w:ind w:left="7276" w:hanging="735"/>
      </w:pPr>
      <w:rPr>
        <w:rFonts w:hint="default"/>
      </w:rPr>
    </w:lvl>
    <w:lvl w:ilvl="7">
      <w:start w:val="0"/>
      <w:numFmt w:val="bullet"/>
      <w:lvlText w:val="•"/>
      <w:lvlJc w:val="left"/>
      <w:pPr>
        <w:ind w:left="7962" w:hanging="735"/>
      </w:pPr>
      <w:rPr>
        <w:rFonts w:hint="default"/>
      </w:rPr>
    </w:lvl>
    <w:lvl w:ilvl="8">
      <w:start w:val="0"/>
      <w:numFmt w:val="bullet"/>
      <w:lvlText w:val="•"/>
      <w:lvlJc w:val="left"/>
      <w:pPr>
        <w:ind w:left="8648" w:hanging="735"/>
      </w:pPr>
      <w:rPr>
        <w:rFonts w:hint="default"/>
      </w:rPr>
    </w:lvl>
  </w:abstractNum>
  <w:abstractNum w:abstractNumId="18">
    <w:multiLevelType w:val="hybridMultilevel"/>
    <w:lvl w:ilvl="0">
      <w:start w:val="5"/>
      <w:numFmt w:val="upperRoman"/>
      <w:lvlText w:val="%1"/>
      <w:lvlJc w:val="left"/>
      <w:pPr>
        <w:ind w:left="260" w:hanging="159"/>
        <w:jc w:val="left"/>
      </w:pPr>
      <w:rPr>
        <w:rFonts w:hint="default" w:ascii="宋体" w:hAnsi="宋体" w:eastAsia="宋体" w:cs="宋体"/>
        <w:w w:val="100"/>
        <w:sz w:val="21"/>
        <w:szCs w:val="21"/>
      </w:rPr>
    </w:lvl>
    <w:lvl w:ilvl="1">
      <w:start w:val="0"/>
      <w:numFmt w:val="bullet"/>
      <w:lvlText w:val="•"/>
      <w:lvlJc w:val="left"/>
      <w:pPr>
        <w:ind w:left="1004" w:hanging="159"/>
      </w:pPr>
      <w:rPr>
        <w:rFonts w:hint="default"/>
      </w:rPr>
    </w:lvl>
    <w:lvl w:ilvl="2">
      <w:start w:val="0"/>
      <w:numFmt w:val="bullet"/>
      <w:lvlText w:val="•"/>
      <w:lvlJc w:val="left"/>
      <w:pPr>
        <w:ind w:left="1748" w:hanging="159"/>
      </w:pPr>
      <w:rPr>
        <w:rFonts w:hint="default"/>
      </w:rPr>
    </w:lvl>
    <w:lvl w:ilvl="3">
      <w:start w:val="0"/>
      <w:numFmt w:val="bullet"/>
      <w:lvlText w:val="•"/>
      <w:lvlJc w:val="left"/>
      <w:pPr>
        <w:ind w:left="2492" w:hanging="159"/>
      </w:pPr>
      <w:rPr>
        <w:rFonts w:hint="default"/>
      </w:rPr>
    </w:lvl>
    <w:lvl w:ilvl="4">
      <w:start w:val="0"/>
      <w:numFmt w:val="bullet"/>
      <w:lvlText w:val="•"/>
      <w:lvlJc w:val="left"/>
      <w:pPr>
        <w:ind w:left="3236" w:hanging="159"/>
      </w:pPr>
      <w:rPr>
        <w:rFonts w:hint="default"/>
      </w:rPr>
    </w:lvl>
    <w:lvl w:ilvl="5">
      <w:start w:val="0"/>
      <w:numFmt w:val="bullet"/>
      <w:lvlText w:val="•"/>
      <w:lvlJc w:val="left"/>
      <w:pPr>
        <w:ind w:left="3980" w:hanging="159"/>
      </w:pPr>
      <w:rPr>
        <w:rFonts w:hint="default"/>
      </w:rPr>
    </w:lvl>
    <w:lvl w:ilvl="6">
      <w:start w:val="0"/>
      <w:numFmt w:val="bullet"/>
      <w:lvlText w:val="•"/>
      <w:lvlJc w:val="left"/>
      <w:pPr>
        <w:ind w:left="4724" w:hanging="159"/>
      </w:pPr>
      <w:rPr>
        <w:rFonts w:hint="default"/>
      </w:rPr>
    </w:lvl>
    <w:lvl w:ilvl="7">
      <w:start w:val="0"/>
      <w:numFmt w:val="bullet"/>
      <w:lvlText w:val="•"/>
      <w:lvlJc w:val="left"/>
      <w:pPr>
        <w:ind w:left="5469" w:hanging="159"/>
      </w:pPr>
      <w:rPr>
        <w:rFonts w:hint="default"/>
      </w:rPr>
    </w:lvl>
    <w:lvl w:ilvl="8">
      <w:start w:val="0"/>
      <w:numFmt w:val="bullet"/>
      <w:lvlText w:val="•"/>
      <w:lvlJc w:val="left"/>
      <w:pPr>
        <w:ind w:left="6213" w:hanging="159"/>
      </w:pPr>
      <w:rPr>
        <w:rFonts w:hint="default"/>
      </w:rPr>
    </w:lvl>
  </w:abstractNum>
  <w:abstractNum w:abstractNumId="17">
    <w:multiLevelType w:val="hybridMultilevel"/>
    <w:lvl w:ilvl="0">
      <w:start w:val="1"/>
      <w:numFmt w:val="decimal"/>
      <w:lvlText w:val="（%1）"/>
      <w:lvlJc w:val="left"/>
      <w:pPr>
        <w:ind w:left="901" w:hanging="735"/>
        <w:jc w:val="left"/>
      </w:pPr>
      <w:rPr>
        <w:rFonts w:hint="default" w:ascii="宋体" w:hAnsi="宋体" w:eastAsia="宋体" w:cs="宋体"/>
        <w:w w:val="100"/>
        <w:sz w:val="21"/>
        <w:szCs w:val="21"/>
      </w:rPr>
    </w:lvl>
    <w:lvl w:ilvl="1">
      <w:start w:val="0"/>
      <w:numFmt w:val="bullet"/>
      <w:lvlText w:val="•"/>
      <w:lvlJc w:val="left"/>
      <w:pPr>
        <w:ind w:left="1570" w:hanging="735"/>
      </w:pPr>
      <w:rPr>
        <w:rFonts w:hint="default"/>
      </w:rPr>
    </w:lvl>
    <w:lvl w:ilvl="2">
      <w:start w:val="0"/>
      <w:numFmt w:val="bullet"/>
      <w:lvlText w:val="•"/>
      <w:lvlJc w:val="left"/>
      <w:pPr>
        <w:ind w:left="2241" w:hanging="735"/>
      </w:pPr>
      <w:rPr>
        <w:rFonts w:hint="default"/>
      </w:rPr>
    </w:lvl>
    <w:lvl w:ilvl="3">
      <w:start w:val="0"/>
      <w:numFmt w:val="bullet"/>
      <w:lvlText w:val="•"/>
      <w:lvlJc w:val="left"/>
      <w:pPr>
        <w:ind w:left="2911"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53" w:hanging="735"/>
      </w:pPr>
      <w:rPr>
        <w:rFonts w:hint="default"/>
      </w:rPr>
    </w:lvl>
    <w:lvl w:ilvl="6">
      <w:start w:val="0"/>
      <w:numFmt w:val="bullet"/>
      <w:lvlText w:val="•"/>
      <w:lvlJc w:val="left"/>
      <w:pPr>
        <w:ind w:left="4923"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65" w:hanging="735"/>
      </w:pPr>
      <w:rPr>
        <w:rFonts w:hint="default"/>
      </w:rPr>
    </w:lvl>
  </w:abstractNum>
  <w:abstractNum w:abstractNumId="16">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6" w:hanging="735"/>
      </w:pPr>
      <w:rPr>
        <w:rFonts w:hint="default"/>
      </w:rPr>
    </w:lvl>
    <w:lvl w:ilvl="2">
      <w:start w:val="0"/>
      <w:numFmt w:val="bullet"/>
      <w:lvlText w:val="•"/>
      <w:lvlJc w:val="left"/>
      <w:pPr>
        <w:ind w:left="2192" w:hanging="735"/>
      </w:pPr>
      <w:rPr>
        <w:rFonts w:hint="default"/>
      </w:rPr>
    </w:lvl>
    <w:lvl w:ilvl="3">
      <w:start w:val="0"/>
      <w:numFmt w:val="bullet"/>
      <w:lvlText w:val="•"/>
      <w:lvlJc w:val="left"/>
      <w:pPr>
        <w:ind w:left="2868" w:hanging="735"/>
      </w:pPr>
      <w:rPr>
        <w:rFonts w:hint="default"/>
      </w:rPr>
    </w:lvl>
    <w:lvl w:ilvl="4">
      <w:start w:val="0"/>
      <w:numFmt w:val="bullet"/>
      <w:lvlText w:val="•"/>
      <w:lvlJc w:val="left"/>
      <w:pPr>
        <w:ind w:left="3544" w:hanging="735"/>
      </w:pPr>
      <w:rPr>
        <w:rFonts w:hint="default"/>
      </w:rPr>
    </w:lvl>
    <w:lvl w:ilvl="5">
      <w:start w:val="0"/>
      <w:numFmt w:val="bullet"/>
      <w:lvlText w:val="•"/>
      <w:lvlJc w:val="left"/>
      <w:pPr>
        <w:ind w:left="4220" w:hanging="735"/>
      </w:pPr>
      <w:rPr>
        <w:rFonts w:hint="default"/>
      </w:rPr>
    </w:lvl>
    <w:lvl w:ilvl="6">
      <w:start w:val="0"/>
      <w:numFmt w:val="bullet"/>
      <w:lvlText w:val="•"/>
      <w:lvlJc w:val="left"/>
      <w:pPr>
        <w:ind w:left="4896"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9" w:hanging="735"/>
      </w:pPr>
      <w:rPr>
        <w:rFonts w:hint="default"/>
      </w:rPr>
    </w:lvl>
  </w:abstractNum>
  <w:abstractNum w:abstractNumId="15">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6" w:hanging="735"/>
      </w:pPr>
      <w:rPr>
        <w:rFonts w:hint="default"/>
      </w:rPr>
    </w:lvl>
    <w:lvl w:ilvl="2">
      <w:start w:val="0"/>
      <w:numFmt w:val="bullet"/>
      <w:lvlText w:val="•"/>
      <w:lvlJc w:val="left"/>
      <w:pPr>
        <w:ind w:left="2192" w:hanging="735"/>
      </w:pPr>
      <w:rPr>
        <w:rFonts w:hint="default"/>
      </w:rPr>
    </w:lvl>
    <w:lvl w:ilvl="3">
      <w:start w:val="0"/>
      <w:numFmt w:val="bullet"/>
      <w:lvlText w:val="•"/>
      <w:lvlJc w:val="left"/>
      <w:pPr>
        <w:ind w:left="2868" w:hanging="735"/>
      </w:pPr>
      <w:rPr>
        <w:rFonts w:hint="default"/>
      </w:rPr>
    </w:lvl>
    <w:lvl w:ilvl="4">
      <w:start w:val="0"/>
      <w:numFmt w:val="bullet"/>
      <w:lvlText w:val="•"/>
      <w:lvlJc w:val="left"/>
      <w:pPr>
        <w:ind w:left="3544" w:hanging="735"/>
      </w:pPr>
      <w:rPr>
        <w:rFonts w:hint="default"/>
      </w:rPr>
    </w:lvl>
    <w:lvl w:ilvl="5">
      <w:start w:val="0"/>
      <w:numFmt w:val="bullet"/>
      <w:lvlText w:val="•"/>
      <w:lvlJc w:val="left"/>
      <w:pPr>
        <w:ind w:left="4220" w:hanging="735"/>
      </w:pPr>
      <w:rPr>
        <w:rFonts w:hint="default"/>
      </w:rPr>
    </w:lvl>
    <w:lvl w:ilvl="6">
      <w:start w:val="0"/>
      <w:numFmt w:val="bullet"/>
      <w:lvlText w:val="•"/>
      <w:lvlJc w:val="left"/>
      <w:pPr>
        <w:ind w:left="4896"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9" w:hanging="735"/>
      </w:pPr>
      <w:rPr>
        <w:rFonts w:hint="default"/>
      </w:rPr>
    </w:lvl>
  </w:abstractNum>
  <w:abstractNum w:abstractNumId="14">
    <w:multiLevelType w:val="hybridMultilevel"/>
    <w:lvl w:ilvl="0">
      <w:start w:val="1"/>
      <w:numFmt w:val="decimal"/>
      <w:lvlText w:val="（%1）"/>
      <w:lvlJc w:val="left"/>
      <w:pPr>
        <w:ind w:left="3155" w:hanging="735"/>
        <w:jc w:val="left"/>
      </w:pPr>
      <w:rPr>
        <w:rFonts w:hint="default" w:ascii="宋体" w:hAnsi="宋体" w:eastAsia="宋体" w:cs="宋体"/>
        <w:w w:val="100"/>
        <w:sz w:val="21"/>
        <w:szCs w:val="21"/>
      </w:rPr>
    </w:lvl>
    <w:lvl w:ilvl="1">
      <w:start w:val="0"/>
      <w:numFmt w:val="bullet"/>
      <w:lvlText w:val="•"/>
      <w:lvlJc w:val="left"/>
      <w:pPr>
        <w:ind w:left="3836" w:hanging="735"/>
      </w:pPr>
      <w:rPr>
        <w:rFonts w:hint="default"/>
      </w:rPr>
    </w:lvl>
    <w:lvl w:ilvl="2">
      <w:start w:val="0"/>
      <w:numFmt w:val="bullet"/>
      <w:lvlText w:val="•"/>
      <w:lvlJc w:val="left"/>
      <w:pPr>
        <w:ind w:left="4512" w:hanging="735"/>
      </w:pPr>
      <w:rPr>
        <w:rFonts w:hint="default"/>
      </w:rPr>
    </w:lvl>
    <w:lvl w:ilvl="3">
      <w:start w:val="0"/>
      <w:numFmt w:val="bullet"/>
      <w:lvlText w:val="•"/>
      <w:lvlJc w:val="left"/>
      <w:pPr>
        <w:ind w:left="5188" w:hanging="735"/>
      </w:pPr>
      <w:rPr>
        <w:rFonts w:hint="default"/>
      </w:rPr>
    </w:lvl>
    <w:lvl w:ilvl="4">
      <w:start w:val="0"/>
      <w:numFmt w:val="bullet"/>
      <w:lvlText w:val="•"/>
      <w:lvlJc w:val="left"/>
      <w:pPr>
        <w:ind w:left="5864" w:hanging="735"/>
      </w:pPr>
      <w:rPr>
        <w:rFonts w:hint="default"/>
      </w:rPr>
    </w:lvl>
    <w:lvl w:ilvl="5">
      <w:start w:val="0"/>
      <w:numFmt w:val="bullet"/>
      <w:lvlText w:val="•"/>
      <w:lvlJc w:val="left"/>
      <w:pPr>
        <w:ind w:left="6540" w:hanging="735"/>
      </w:pPr>
      <w:rPr>
        <w:rFonts w:hint="default"/>
      </w:rPr>
    </w:lvl>
    <w:lvl w:ilvl="6">
      <w:start w:val="0"/>
      <w:numFmt w:val="bullet"/>
      <w:lvlText w:val="•"/>
      <w:lvlJc w:val="left"/>
      <w:pPr>
        <w:ind w:left="7216" w:hanging="735"/>
      </w:pPr>
      <w:rPr>
        <w:rFonts w:hint="default"/>
      </w:rPr>
    </w:lvl>
    <w:lvl w:ilvl="7">
      <w:start w:val="0"/>
      <w:numFmt w:val="bullet"/>
      <w:lvlText w:val="•"/>
      <w:lvlJc w:val="left"/>
      <w:pPr>
        <w:ind w:left="7892" w:hanging="735"/>
      </w:pPr>
      <w:rPr>
        <w:rFonts w:hint="default"/>
      </w:rPr>
    </w:lvl>
    <w:lvl w:ilvl="8">
      <w:start w:val="0"/>
      <w:numFmt w:val="bullet"/>
      <w:lvlText w:val="•"/>
      <w:lvlJc w:val="left"/>
      <w:pPr>
        <w:ind w:left="8568" w:hanging="735"/>
      </w:pPr>
      <w:rPr>
        <w:rFonts w:hint="default"/>
      </w:rPr>
    </w:lvl>
  </w:abstractNum>
  <w:abstractNum w:abstractNumId="13">
    <w:multiLevelType w:val="hybridMultilevel"/>
    <w:lvl w:ilvl="0">
      <w:start w:val="1"/>
      <w:numFmt w:val="decimal"/>
      <w:lvlText w:val="（%1）"/>
      <w:lvlJc w:val="left"/>
      <w:pPr>
        <w:ind w:left="836" w:hanging="735"/>
        <w:jc w:val="left"/>
      </w:pPr>
      <w:rPr>
        <w:rFonts w:hint="default" w:ascii="宋体" w:hAnsi="宋体" w:eastAsia="宋体" w:cs="宋体"/>
        <w:w w:val="101"/>
        <w:sz w:val="18"/>
        <w:szCs w:val="18"/>
      </w:rPr>
    </w:lvl>
    <w:lvl w:ilvl="1">
      <w:start w:val="0"/>
      <w:numFmt w:val="bullet"/>
      <w:lvlText w:val="•"/>
      <w:lvlJc w:val="left"/>
      <w:pPr>
        <w:ind w:left="1516" w:hanging="735"/>
      </w:pPr>
      <w:rPr>
        <w:rFonts w:hint="default"/>
      </w:rPr>
    </w:lvl>
    <w:lvl w:ilvl="2">
      <w:start w:val="0"/>
      <w:numFmt w:val="bullet"/>
      <w:lvlText w:val="•"/>
      <w:lvlJc w:val="left"/>
      <w:pPr>
        <w:ind w:left="2192" w:hanging="735"/>
      </w:pPr>
      <w:rPr>
        <w:rFonts w:hint="default"/>
      </w:rPr>
    </w:lvl>
    <w:lvl w:ilvl="3">
      <w:start w:val="0"/>
      <w:numFmt w:val="bullet"/>
      <w:lvlText w:val="•"/>
      <w:lvlJc w:val="left"/>
      <w:pPr>
        <w:ind w:left="2868" w:hanging="735"/>
      </w:pPr>
      <w:rPr>
        <w:rFonts w:hint="default"/>
      </w:rPr>
    </w:lvl>
    <w:lvl w:ilvl="4">
      <w:start w:val="0"/>
      <w:numFmt w:val="bullet"/>
      <w:lvlText w:val="•"/>
      <w:lvlJc w:val="left"/>
      <w:pPr>
        <w:ind w:left="3544" w:hanging="735"/>
      </w:pPr>
      <w:rPr>
        <w:rFonts w:hint="default"/>
      </w:rPr>
    </w:lvl>
    <w:lvl w:ilvl="5">
      <w:start w:val="0"/>
      <w:numFmt w:val="bullet"/>
      <w:lvlText w:val="•"/>
      <w:lvlJc w:val="left"/>
      <w:pPr>
        <w:ind w:left="4220" w:hanging="735"/>
      </w:pPr>
      <w:rPr>
        <w:rFonts w:hint="default"/>
      </w:rPr>
    </w:lvl>
    <w:lvl w:ilvl="6">
      <w:start w:val="0"/>
      <w:numFmt w:val="bullet"/>
      <w:lvlText w:val="•"/>
      <w:lvlJc w:val="left"/>
      <w:pPr>
        <w:ind w:left="4896"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9" w:hanging="735"/>
      </w:pPr>
      <w:rPr>
        <w:rFonts w:hint="default"/>
      </w:rPr>
    </w:lvl>
  </w:abstractNum>
  <w:abstractNum w:abstractNumId="12">
    <w:multiLevelType w:val="hybridMultilevel"/>
    <w:lvl w:ilvl="0">
      <w:start w:val="1"/>
      <w:numFmt w:val="decimal"/>
      <w:lvlText w:val="（%1）"/>
      <w:lvlJc w:val="left"/>
      <w:pPr>
        <w:ind w:left="3155" w:hanging="735"/>
        <w:jc w:val="left"/>
      </w:pPr>
      <w:rPr>
        <w:rFonts w:hint="default" w:ascii="宋体" w:hAnsi="宋体" w:eastAsia="宋体" w:cs="宋体"/>
        <w:w w:val="100"/>
        <w:sz w:val="21"/>
        <w:szCs w:val="21"/>
      </w:rPr>
    </w:lvl>
    <w:lvl w:ilvl="1">
      <w:start w:val="0"/>
      <w:numFmt w:val="bullet"/>
      <w:lvlText w:val="•"/>
      <w:lvlJc w:val="left"/>
      <w:pPr>
        <w:ind w:left="3836" w:hanging="735"/>
      </w:pPr>
      <w:rPr>
        <w:rFonts w:hint="default"/>
      </w:rPr>
    </w:lvl>
    <w:lvl w:ilvl="2">
      <w:start w:val="0"/>
      <w:numFmt w:val="bullet"/>
      <w:lvlText w:val="•"/>
      <w:lvlJc w:val="left"/>
      <w:pPr>
        <w:ind w:left="4512" w:hanging="735"/>
      </w:pPr>
      <w:rPr>
        <w:rFonts w:hint="default"/>
      </w:rPr>
    </w:lvl>
    <w:lvl w:ilvl="3">
      <w:start w:val="0"/>
      <w:numFmt w:val="bullet"/>
      <w:lvlText w:val="•"/>
      <w:lvlJc w:val="left"/>
      <w:pPr>
        <w:ind w:left="5188" w:hanging="735"/>
      </w:pPr>
      <w:rPr>
        <w:rFonts w:hint="default"/>
      </w:rPr>
    </w:lvl>
    <w:lvl w:ilvl="4">
      <w:start w:val="0"/>
      <w:numFmt w:val="bullet"/>
      <w:lvlText w:val="•"/>
      <w:lvlJc w:val="left"/>
      <w:pPr>
        <w:ind w:left="5864" w:hanging="735"/>
      </w:pPr>
      <w:rPr>
        <w:rFonts w:hint="default"/>
      </w:rPr>
    </w:lvl>
    <w:lvl w:ilvl="5">
      <w:start w:val="0"/>
      <w:numFmt w:val="bullet"/>
      <w:lvlText w:val="•"/>
      <w:lvlJc w:val="left"/>
      <w:pPr>
        <w:ind w:left="6540" w:hanging="735"/>
      </w:pPr>
      <w:rPr>
        <w:rFonts w:hint="default"/>
      </w:rPr>
    </w:lvl>
    <w:lvl w:ilvl="6">
      <w:start w:val="0"/>
      <w:numFmt w:val="bullet"/>
      <w:lvlText w:val="•"/>
      <w:lvlJc w:val="left"/>
      <w:pPr>
        <w:ind w:left="7216" w:hanging="735"/>
      </w:pPr>
      <w:rPr>
        <w:rFonts w:hint="default"/>
      </w:rPr>
    </w:lvl>
    <w:lvl w:ilvl="7">
      <w:start w:val="0"/>
      <w:numFmt w:val="bullet"/>
      <w:lvlText w:val="•"/>
      <w:lvlJc w:val="left"/>
      <w:pPr>
        <w:ind w:left="7892" w:hanging="735"/>
      </w:pPr>
      <w:rPr>
        <w:rFonts w:hint="default"/>
      </w:rPr>
    </w:lvl>
    <w:lvl w:ilvl="8">
      <w:start w:val="0"/>
      <w:numFmt w:val="bullet"/>
      <w:lvlText w:val="•"/>
      <w:lvlJc w:val="left"/>
      <w:pPr>
        <w:ind w:left="8568" w:hanging="735"/>
      </w:pPr>
      <w:rPr>
        <w:rFonts w:hint="default"/>
      </w:rPr>
    </w:lvl>
  </w:abstractNum>
  <w:abstractNum w:abstractNumId="11">
    <w:multiLevelType w:val="hybridMultilevel"/>
    <w:lvl w:ilvl="0">
      <w:start w:val="1"/>
      <w:numFmt w:val="decimal"/>
      <w:lvlText w:val="（%1）"/>
      <w:lvlJc w:val="left"/>
      <w:pPr>
        <w:ind w:left="3155" w:hanging="735"/>
        <w:jc w:val="left"/>
      </w:pPr>
      <w:rPr>
        <w:rFonts w:hint="default" w:ascii="宋体" w:hAnsi="宋体" w:eastAsia="宋体" w:cs="宋体"/>
        <w:w w:val="100"/>
        <w:sz w:val="21"/>
        <w:szCs w:val="21"/>
      </w:rPr>
    </w:lvl>
    <w:lvl w:ilvl="1">
      <w:start w:val="0"/>
      <w:numFmt w:val="bullet"/>
      <w:lvlText w:val="•"/>
      <w:lvlJc w:val="left"/>
      <w:pPr>
        <w:ind w:left="3836" w:hanging="735"/>
      </w:pPr>
      <w:rPr>
        <w:rFonts w:hint="default"/>
      </w:rPr>
    </w:lvl>
    <w:lvl w:ilvl="2">
      <w:start w:val="0"/>
      <w:numFmt w:val="bullet"/>
      <w:lvlText w:val="•"/>
      <w:lvlJc w:val="left"/>
      <w:pPr>
        <w:ind w:left="4512" w:hanging="735"/>
      </w:pPr>
      <w:rPr>
        <w:rFonts w:hint="default"/>
      </w:rPr>
    </w:lvl>
    <w:lvl w:ilvl="3">
      <w:start w:val="0"/>
      <w:numFmt w:val="bullet"/>
      <w:lvlText w:val="•"/>
      <w:lvlJc w:val="left"/>
      <w:pPr>
        <w:ind w:left="5188" w:hanging="735"/>
      </w:pPr>
      <w:rPr>
        <w:rFonts w:hint="default"/>
      </w:rPr>
    </w:lvl>
    <w:lvl w:ilvl="4">
      <w:start w:val="0"/>
      <w:numFmt w:val="bullet"/>
      <w:lvlText w:val="•"/>
      <w:lvlJc w:val="left"/>
      <w:pPr>
        <w:ind w:left="5864" w:hanging="735"/>
      </w:pPr>
      <w:rPr>
        <w:rFonts w:hint="default"/>
      </w:rPr>
    </w:lvl>
    <w:lvl w:ilvl="5">
      <w:start w:val="0"/>
      <w:numFmt w:val="bullet"/>
      <w:lvlText w:val="•"/>
      <w:lvlJc w:val="left"/>
      <w:pPr>
        <w:ind w:left="6540" w:hanging="735"/>
      </w:pPr>
      <w:rPr>
        <w:rFonts w:hint="default"/>
      </w:rPr>
    </w:lvl>
    <w:lvl w:ilvl="6">
      <w:start w:val="0"/>
      <w:numFmt w:val="bullet"/>
      <w:lvlText w:val="•"/>
      <w:lvlJc w:val="left"/>
      <w:pPr>
        <w:ind w:left="7216" w:hanging="735"/>
      </w:pPr>
      <w:rPr>
        <w:rFonts w:hint="default"/>
      </w:rPr>
    </w:lvl>
    <w:lvl w:ilvl="7">
      <w:start w:val="0"/>
      <w:numFmt w:val="bullet"/>
      <w:lvlText w:val="•"/>
      <w:lvlJc w:val="left"/>
      <w:pPr>
        <w:ind w:left="7892" w:hanging="735"/>
      </w:pPr>
      <w:rPr>
        <w:rFonts w:hint="default"/>
      </w:rPr>
    </w:lvl>
    <w:lvl w:ilvl="8">
      <w:start w:val="0"/>
      <w:numFmt w:val="bullet"/>
      <w:lvlText w:val="•"/>
      <w:lvlJc w:val="left"/>
      <w:pPr>
        <w:ind w:left="8568" w:hanging="735"/>
      </w:pPr>
      <w:rPr>
        <w:rFonts w:hint="default"/>
      </w:rPr>
    </w:lvl>
  </w:abstractNum>
  <w:abstractNum w:abstractNumId="10">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6" w:hanging="735"/>
      </w:pPr>
      <w:rPr>
        <w:rFonts w:hint="default"/>
      </w:rPr>
    </w:lvl>
    <w:lvl w:ilvl="7">
      <w:start w:val="0"/>
      <w:numFmt w:val="bullet"/>
      <w:lvlText w:val="•"/>
      <w:lvlJc w:val="left"/>
      <w:pPr>
        <w:ind w:left="5643" w:hanging="735"/>
      </w:pPr>
      <w:rPr>
        <w:rFonts w:hint="default"/>
      </w:rPr>
    </w:lvl>
    <w:lvl w:ilvl="8">
      <w:start w:val="0"/>
      <w:numFmt w:val="bullet"/>
      <w:lvlText w:val="•"/>
      <w:lvlJc w:val="left"/>
      <w:pPr>
        <w:ind w:left="6329" w:hanging="735"/>
      </w:pPr>
      <w:rPr>
        <w:rFonts w:hint="default"/>
      </w:rPr>
    </w:lvl>
  </w:abstractNum>
  <w:abstractNum w:abstractNumId="9">
    <w:multiLevelType w:val="hybridMultilevel"/>
    <w:lvl w:ilvl="0">
      <w:start w:val="9"/>
      <w:numFmt w:val="decimal"/>
      <w:lvlText w:val="%1"/>
      <w:lvlJc w:val="left"/>
      <w:pPr>
        <w:ind w:left="2420" w:hanging="802"/>
        <w:jc w:val="left"/>
      </w:pPr>
      <w:rPr>
        <w:rFonts w:hint="default"/>
      </w:rPr>
    </w:lvl>
    <w:lvl w:ilvl="1">
      <w:start w:val="11"/>
      <w:numFmt w:val="decimal"/>
      <w:lvlText w:val="%1.%2"/>
      <w:lvlJc w:val="left"/>
      <w:pPr>
        <w:ind w:left="2420" w:hanging="802"/>
        <w:jc w:val="right"/>
      </w:pPr>
      <w:rPr>
        <w:rFonts w:hint="default" w:ascii="Microsoft JhengHei" w:hAnsi="Microsoft JhengHei" w:eastAsia="Microsoft JhengHei" w:cs="Microsoft JhengHei"/>
        <w:b/>
        <w:bCs/>
        <w:w w:val="84"/>
        <w:sz w:val="21"/>
        <w:szCs w:val="21"/>
      </w:rPr>
    </w:lvl>
    <w:lvl w:ilvl="2">
      <w:start w:val="1"/>
      <w:numFmt w:val="decimal"/>
      <w:lvlText w:val="（%3）"/>
      <w:lvlJc w:val="left"/>
      <w:pPr>
        <w:ind w:left="3155" w:hanging="735"/>
        <w:jc w:val="left"/>
      </w:pPr>
      <w:rPr>
        <w:rFonts w:hint="default" w:ascii="宋体" w:hAnsi="宋体" w:eastAsia="宋体" w:cs="宋体"/>
        <w:w w:val="100"/>
        <w:sz w:val="21"/>
        <w:szCs w:val="21"/>
      </w:rPr>
    </w:lvl>
    <w:lvl w:ilvl="3">
      <w:start w:val="0"/>
      <w:numFmt w:val="bullet"/>
      <w:lvlText w:val="•"/>
      <w:lvlJc w:val="left"/>
      <w:pPr>
        <w:ind w:left="2949" w:hanging="735"/>
      </w:pPr>
      <w:rPr>
        <w:rFonts w:hint="default"/>
      </w:rPr>
    </w:lvl>
    <w:lvl w:ilvl="4">
      <w:start w:val="0"/>
      <w:numFmt w:val="bullet"/>
      <w:lvlText w:val="•"/>
      <w:lvlJc w:val="left"/>
      <w:pPr>
        <w:ind w:left="2844" w:hanging="735"/>
      </w:pPr>
      <w:rPr>
        <w:rFonts w:hint="default"/>
      </w:rPr>
    </w:lvl>
    <w:lvl w:ilvl="5">
      <w:start w:val="0"/>
      <w:numFmt w:val="bullet"/>
      <w:lvlText w:val="•"/>
      <w:lvlJc w:val="left"/>
      <w:pPr>
        <w:ind w:left="2739" w:hanging="735"/>
      </w:pPr>
      <w:rPr>
        <w:rFonts w:hint="default"/>
      </w:rPr>
    </w:lvl>
    <w:lvl w:ilvl="6">
      <w:start w:val="0"/>
      <w:numFmt w:val="bullet"/>
      <w:lvlText w:val="•"/>
      <w:lvlJc w:val="left"/>
      <w:pPr>
        <w:ind w:left="2634" w:hanging="735"/>
      </w:pPr>
      <w:rPr>
        <w:rFonts w:hint="default"/>
      </w:rPr>
    </w:lvl>
    <w:lvl w:ilvl="7">
      <w:start w:val="0"/>
      <w:numFmt w:val="bullet"/>
      <w:lvlText w:val="•"/>
      <w:lvlJc w:val="left"/>
      <w:pPr>
        <w:ind w:left="2529" w:hanging="735"/>
      </w:pPr>
      <w:rPr>
        <w:rFonts w:hint="default"/>
      </w:rPr>
    </w:lvl>
    <w:lvl w:ilvl="8">
      <w:start w:val="0"/>
      <w:numFmt w:val="bullet"/>
      <w:lvlText w:val="•"/>
      <w:lvlJc w:val="left"/>
      <w:pPr>
        <w:ind w:left="2423" w:hanging="735"/>
      </w:pPr>
      <w:rPr>
        <w:rFonts w:hint="default"/>
      </w:rPr>
    </w:lvl>
  </w:abstractNum>
  <w:abstractNum w:abstractNumId="8">
    <w:multiLevelType w:val="hybridMultilevel"/>
    <w:lvl w:ilvl="0">
      <w:start w:val="2"/>
      <w:numFmt w:val="decimal"/>
      <w:lvlText w:val="（%1）"/>
      <w:lvlJc w:val="left"/>
      <w:pPr>
        <w:ind w:left="3155" w:hanging="735"/>
        <w:jc w:val="left"/>
      </w:pPr>
      <w:rPr>
        <w:rFonts w:hint="default" w:ascii="宋体" w:hAnsi="宋体" w:eastAsia="宋体" w:cs="宋体"/>
        <w:w w:val="100"/>
        <w:sz w:val="21"/>
        <w:szCs w:val="21"/>
      </w:rPr>
    </w:lvl>
    <w:lvl w:ilvl="1">
      <w:start w:val="0"/>
      <w:numFmt w:val="bullet"/>
      <w:lvlText w:val="•"/>
      <w:lvlJc w:val="left"/>
      <w:pPr>
        <w:ind w:left="384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18" w:hanging="735"/>
      </w:pPr>
      <w:rPr>
        <w:rFonts w:hint="default"/>
      </w:rPr>
    </w:lvl>
    <w:lvl w:ilvl="4">
      <w:start w:val="0"/>
      <w:numFmt w:val="bullet"/>
      <w:lvlText w:val="•"/>
      <w:lvlJc w:val="left"/>
      <w:pPr>
        <w:ind w:left="5904" w:hanging="735"/>
      </w:pPr>
      <w:rPr>
        <w:rFonts w:hint="default"/>
      </w:rPr>
    </w:lvl>
    <w:lvl w:ilvl="5">
      <w:start w:val="0"/>
      <w:numFmt w:val="bullet"/>
      <w:lvlText w:val="•"/>
      <w:lvlJc w:val="left"/>
      <w:pPr>
        <w:ind w:left="6590" w:hanging="735"/>
      </w:pPr>
      <w:rPr>
        <w:rFonts w:hint="default"/>
      </w:rPr>
    </w:lvl>
    <w:lvl w:ilvl="6">
      <w:start w:val="0"/>
      <w:numFmt w:val="bullet"/>
      <w:lvlText w:val="•"/>
      <w:lvlJc w:val="left"/>
      <w:pPr>
        <w:ind w:left="7276" w:hanging="735"/>
      </w:pPr>
      <w:rPr>
        <w:rFonts w:hint="default"/>
      </w:rPr>
    </w:lvl>
    <w:lvl w:ilvl="7">
      <w:start w:val="0"/>
      <w:numFmt w:val="bullet"/>
      <w:lvlText w:val="•"/>
      <w:lvlJc w:val="left"/>
      <w:pPr>
        <w:ind w:left="7962" w:hanging="735"/>
      </w:pPr>
      <w:rPr>
        <w:rFonts w:hint="default"/>
      </w:rPr>
    </w:lvl>
    <w:lvl w:ilvl="8">
      <w:start w:val="0"/>
      <w:numFmt w:val="bullet"/>
      <w:lvlText w:val="•"/>
      <w:lvlJc w:val="left"/>
      <w:pPr>
        <w:ind w:left="8648" w:hanging="735"/>
      </w:pPr>
      <w:rPr>
        <w:rFonts w:hint="default"/>
      </w:rPr>
    </w:lvl>
  </w:abstractNum>
  <w:abstractNum w:abstractNumId="7">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12" w:hanging="735"/>
      </w:pPr>
      <w:rPr>
        <w:rFonts w:hint="default"/>
      </w:rPr>
    </w:lvl>
    <w:lvl w:ilvl="2">
      <w:start w:val="0"/>
      <w:numFmt w:val="bullet"/>
      <w:lvlText w:val="•"/>
      <w:lvlJc w:val="left"/>
      <w:pPr>
        <w:ind w:left="4604" w:hanging="735"/>
      </w:pPr>
      <w:rPr>
        <w:rFonts w:hint="default"/>
      </w:rPr>
    </w:lvl>
    <w:lvl w:ilvl="3">
      <w:start w:val="0"/>
      <w:numFmt w:val="bullet"/>
      <w:lvlText w:val="•"/>
      <w:lvlJc w:val="left"/>
      <w:pPr>
        <w:ind w:left="5296" w:hanging="735"/>
      </w:pPr>
      <w:rPr>
        <w:rFonts w:hint="default"/>
      </w:rPr>
    </w:lvl>
    <w:lvl w:ilvl="4">
      <w:start w:val="0"/>
      <w:numFmt w:val="bullet"/>
      <w:lvlText w:val="•"/>
      <w:lvlJc w:val="left"/>
      <w:pPr>
        <w:ind w:left="5988"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72" w:hanging="735"/>
      </w:pPr>
      <w:rPr>
        <w:rFonts w:hint="default"/>
      </w:rPr>
    </w:lvl>
    <w:lvl w:ilvl="7">
      <w:start w:val="0"/>
      <w:numFmt w:val="bullet"/>
      <w:lvlText w:val="•"/>
      <w:lvlJc w:val="left"/>
      <w:pPr>
        <w:ind w:left="8064" w:hanging="735"/>
      </w:pPr>
      <w:rPr>
        <w:rFonts w:hint="default"/>
      </w:rPr>
    </w:lvl>
    <w:lvl w:ilvl="8">
      <w:start w:val="0"/>
      <w:numFmt w:val="bullet"/>
      <w:lvlText w:val="•"/>
      <w:lvlJc w:val="left"/>
      <w:pPr>
        <w:ind w:left="8756" w:hanging="735"/>
      </w:pPr>
      <w:rPr>
        <w:rFonts w:hint="default"/>
      </w:rPr>
    </w:lvl>
  </w:abstractNum>
  <w:abstractNum w:abstractNumId="6">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12" w:hanging="735"/>
      </w:pPr>
      <w:rPr>
        <w:rFonts w:hint="default"/>
      </w:rPr>
    </w:lvl>
    <w:lvl w:ilvl="2">
      <w:start w:val="0"/>
      <w:numFmt w:val="bullet"/>
      <w:lvlText w:val="•"/>
      <w:lvlJc w:val="left"/>
      <w:pPr>
        <w:ind w:left="4604" w:hanging="735"/>
      </w:pPr>
      <w:rPr>
        <w:rFonts w:hint="default"/>
      </w:rPr>
    </w:lvl>
    <w:lvl w:ilvl="3">
      <w:start w:val="0"/>
      <w:numFmt w:val="bullet"/>
      <w:lvlText w:val="•"/>
      <w:lvlJc w:val="left"/>
      <w:pPr>
        <w:ind w:left="5296" w:hanging="735"/>
      </w:pPr>
      <w:rPr>
        <w:rFonts w:hint="default"/>
      </w:rPr>
    </w:lvl>
    <w:lvl w:ilvl="4">
      <w:start w:val="0"/>
      <w:numFmt w:val="bullet"/>
      <w:lvlText w:val="•"/>
      <w:lvlJc w:val="left"/>
      <w:pPr>
        <w:ind w:left="5988"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72" w:hanging="735"/>
      </w:pPr>
      <w:rPr>
        <w:rFonts w:hint="default"/>
      </w:rPr>
    </w:lvl>
    <w:lvl w:ilvl="7">
      <w:start w:val="0"/>
      <w:numFmt w:val="bullet"/>
      <w:lvlText w:val="•"/>
      <w:lvlJc w:val="left"/>
      <w:pPr>
        <w:ind w:left="8064" w:hanging="735"/>
      </w:pPr>
      <w:rPr>
        <w:rFonts w:hint="default"/>
      </w:rPr>
    </w:lvl>
    <w:lvl w:ilvl="8">
      <w:start w:val="0"/>
      <w:numFmt w:val="bullet"/>
      <w:lvlText w:val="•"/>
      <w:lvlJc w:val="left"/>
      <w:pPr>
        <w:ind w:left="8756" w:hanging="735"/>
      </w:pPr>
      <w:rPr>
        <w:rFonts w:hint="default"/>
      </w:rPr>
    </w:lvl>
  </w:abstractNum>
  <w:abstractNum w:abstractNumId="5">
    <w:multiLevelType w:val="hybridMultilevel"/>
    <w:lvl w:ilvl="0">
      <w:start w:val="1"/>
      <w:numFmt w:val="decimal"/>
      <w:lvlText w:val="（%1）"/>
      <w:lvlJc w:val="left"/>
      <w:pPr>
        <w:ind w:left="3275" w:hanging="735"/>
        <w:jc w:val="left"/>
      </w:pPr>
      <w:rPr>
        <w:rFonts w:hint="default" w:ascii="黑体" w:hAnsi="黑体" w:eastAsia="黑体" w:cs="黑体"/>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3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10" w:hanging="735"/>
      </w:pPr>
      <w:rPr>
        <w:rFonts w:hint="default"/>
      </w:rPr>
    </w:lvl>
    <w:lvl w:ilvl="6">
      <w:start w:val="0"/>
      <w:numFmt w:val="bullet"/>
      <w:lvlText w:val="•"/>
      <w:lvlJc w:val="left"/>
      <w:pPr>
        <w:ind w:left="7396"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68" w:hanging="735"/>
      </w:pPr>
      <w:rPr>
        <w:rFonts w:hint="default"/>
      </w:rPr>
    </w:lvl>
  </w:abstractNum>
  <w:abstractNum w:abstractNumId="4">
    <w:multiLevelType w:val="hybridMultilevel"/>
    <w:lvl w:ilvl="0">
      <w:start w:val="1"/>
      <w:numFmt w:val="decimal"/>
      <w:lvlText w:val="（%1）"/>
      <w:lvlJc w:val="left"/>
      <w:pPr>
        <w:ind w:left="953" w:hanging="740"/>
        <w:jc w:val="left"/>
      </w:pPr>
      <w:rPr>
        <w:rFonts w:hint="default" w:ascii="宋体" w:hAnsi="宋体" w:eastAsia="宋体" w:cs="宋体"/>
        <w:w w:val="100"/>
        <w:sz w:val="21"/>
        <w:szCs w:val="21"/>
      </w:rPr>
    </w:lvl>
    <w:lvl w:ilvl="1">
      <w:start w:val="0"/>
      <w:numFmt w:val="bullet"/>
      <w:lvlText w:val="•"/>
      <w:lvlJc w:val="left"/>
      <w:pPr>
        <w:ind w:left="1644" w:hanging="740"/>
      </w:pPr>
      <w:rPr>
        <w:rFonts w:hint="default"/>
      </w:rPr>
    </w:lvl>
    <w:lvl w:ilvl="2">
      <w:start w:val="0"/>
      <w:numFmt w:val="bullet"/>
      <w:lvlText w:val="•"/>
      <w:lvlJc w:val="left"/>
      <w:pPr>
        <w:ind w:left="2329" w:hanging="740"/>
      </w:pPr>
      <w:rPr>
        <w:rFonts w:hint="default"/>
      </w:rPr>
    </w:lvl>
    <w:lvl w:ilvl="3">
      <w:start w:val="0"/>
      <w:numFmt w:val="bullet"/>
      <w:lvlText w:val="•"/>
      <w:lvlJc w:val="left"/>
      <w:pPr>
        <w:ind w:left="3014" w:hanging="740"/>
      </w:pPr>
      <w:rPr>
        <w:rFonts w:hint="default"/>
      </w:rPr>
    </w:lvl>
    <w:lvl w:ilvl="4">
      <w:start w:val="0"/>
      <w:numFmt w:val="bullet"/>
      <w:lvlText w:val="•"/>
      <w:lvlJc w:val="left"/>
      <w:pPr>
        <w:ind w:left="3699" w:hanging="740"/>
      </w:pPr>
      <w:rPr>
        <w:rFonts w:hint="default"/>
      </w:rPr>
    </w:lvl>
    <w:lvl w:ilvl="5">
      <w:start w:val="0"/>
      <w:numFmt w:val="bullet"/>
      <w:lvlText w:val="•"/>
      <w:lvlJc w:val="left"/>
      <w:pPr>
        <w:ind w:left="4384" w:hanging="740"/>
      </w:pPr>
      <w:rPr>
        <w:rFonts w:hint="default"/>
      </w:rPr>
    </w:lvl>
    <w:lvl w:ilvl="6">
      <w:start w:val="0"/>
      <w:numFmt w:val="bullet"/>
      <w:lvlText w:val="•"/>
      <w:lvlJc w:val="left"/>
      <w:pPr>
        <w:ind w:left="5069" w:hanging="740"/>
      </w:pPr>
      <w:rPr>
        <w:rFonts w:hint="default"/>
      </w:rPr>
    </w:lvl>
    <w:lvl w:ilvl="7">
      <w:start w:val="0"/>
      <w:numFmt w:val="bullet"/>
      <w:lvlText w:val="•"/>
      <w:lvlJc w:val="left"/>
      <w:pPr>
        <w:ind w:left="5754" w:hanging="740"/>
      </w:pPr>
      <w:rPr>
        <w:rFonts w:hint="default"/>
      </w:rPr>
    </w:lvl>
    <w:lvl w:ilvl="8">
      <w:start w:val="0"/>
      <w:numFmt w:val="bullet"/>
      <w:lvlText w:val="•"/>
      <w:lvlJc w:val="left"/>
      <w:pPr>
        <w:ind w:left="6439" w:hanging="740"/>
      </w:pPr>
      <w:rPr>
        <w:rFonts w:hint="default"/>
      </w:rPr>
    </w:lvl>
  </w:abstractNum>
  <w:abstractNum w:abstractNumId="3">
    <w:multiLevelType w:val="hybridMultilevel"/>
    <w:lvl w:ilvl="0">
      <w:start w:val="8"/>
      <w:numFmt w:val="decimal"/>
      <w:lvlText w:val="%1."/>
      <w:lvlJc w:val="left"/>
      <w:pPr>
        <w:ind w:left="1024" w:hanging="80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1024" w:hanging="80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84" w:hanging="740"/>
        <w:jc w:val="left"/>
      </w:pPr>
      <w:rPr>
        <w:rFonts w:hint="default"/>
        <w:w w:val="100"/>
      </w:rPr>
    </w:lvl>
    <w:lvl w:ilvl="3">
      <w:start w:val="0"/>
      <w:numFmt w:val="bullet"/>
      <w:lvlText w:val="•"/>
      <w:lvlJc w:val="left"/>
      <w:pPr>
        <w:ind w:left="4137" w:hanging="740"/>
      </w:pPr>
      <w:rPr>
        <w:rFonts w:hint="default"/>
      </w:rPr>
    </w:lvl>
    <w:lvl w:ilvl="4">
      <w:start w:val="0"/>
      <w:numFmt w:val="bullet"/>
      <w:lvlText w:val="•"/>
      <w:lvlJc w:val="left"/>
      <w:pPr>
        <w:ind w:left="4995" w:hanging="740"/>
      </w:pPr>
      <w:rPr>
        <w:rFonts w:hint="default"/>
      </w:rPr>
    </w:lvl>
    <w:lvl w:ilvl="5">
      <w:start w:val="0"/>
      <w:numFmt w:val="bullet"/>
      <w:lvlText w:val="•"/>
      <w:lvlJc w:val="left"/>
      <w:pPr>
        <w:ind w:left="5852" w:hanging="740"/>
      </w:pPr>
      <w:rPr>
        <w:rFonts w:hint="default"/>
      </w:rPr>
    </w:lvl>
    <w:lvl w:ilvl="6">
      <w:start w:val="0"/>
      <w:numFmt w:val="bullet"/>
      <w:lvlText w:val="•"/>
      <w:lvlJc w:val="left"/>
      <w:pPr>
        <w:ind w:left="6710" w:hanging="740"/>
      </w:pPr>
      <w:rPr>
        <w:rFonts w:hint="default"/>
      </w:rPr>
    </w:lvl>
    <w:lvl w:ilvl="7">
      <w:start w:val="0"/>
      <w:numFmt w:val="bullet"/>
      <w:lvlText w:val="•"/>
      <w:lvlJc w:val="left"/>
      <w:pPr>
        <w:ind w:left="7567" w:hanging="740"/>
      </w:pPr>
      <w:rPr>
        <w:rFonts w:hint="default"/>
      </w:rPr>
    </w:lvl>
    <w:lvl w:ilvl="8">
      <w:start w:val="0"/>
      <w:numFmt w:val="bullet"/>
      <w:lvlText w:val="•"/>
      <w:lvlJc w:val="left"/>
      <w:pPr>
        <w:ind w:left="8425" w:hanging="740"/>
      </w:pPr>
      <w:rPr>
        <w:rFonts w:hint="default"/>
      </w:rPr>
    </w:lvl>
  </w:abstractNum>
  <w:abstractNum w:abstractNumId="2">
    <w:multiLevelType w:val="hybridMultilevel"/>
    <w:lvl w:ilvl="0">
      <w:start w:val="1"/>
      <w:numFmt w:val="decimal"/>
      <w:lvlText w:val="（%1）"/>
      <w:lvlJc w:val="left"/>
      <w:pPr>
        <w:ind w:left="3284" w:hanging="740"/>
        <w:jc w:val="left"/>
      </w:pPr>
      <w:rPr>
        <w:rFonts w:hint="default" w:ascii="宋体" w:hAnsi="宋体" w:eastAsia="宋体" w:cs="宋体"/>
        <w:w w:val="100"/>
        <w:sz w:val="21"/>
        <w:szCs w:val="21"/>
      </w:rPr>
    </w:lvl>
    <w:lvl w:ilvl="1">
      <w:start w:val="0"/>
      <w:numFmt w:val="bullet"/>
      <w:lvlText w:val="•"/>
      <w:lvlJc w:val="left"/>
      <w:pPr>
        <w:ind w:left="3966" w:hanging="740"/>
      </w:pPr>
      <w:rPr>
        <w:rFonts w:hint="default"/>
      </w:rPr>
    </w:lvl>
    <w:lvl w:ilvl="2">
      <w:start w:val="0"/>
      <w:numFmt w:val="bullet"/>
      <w:lvlText w:val="•"/>
      <w:lvlJc w:val="left"/>
      <w:pPr>
        <w:ind w:left="4652" w:hanging="740"/>
      </w:pPr>
      <w:rPr>
        <w:rFonts w:hint="default"/>
      </w:rPr>
    </w:lvl>
    <w:lvl w:ilvl="3">
      <w:start w:val="0"/>
      <w:numFmt w:val="bullet"/>
      <w:lvlText w:val="•"/>
      <w:lvlJc w:val="left"/>
      <w:pPr>
        <w:ind w:left="5338" w:hanging="740"/>
      </w:pPr>
      <w:rPr>
        <w:rFonts w:hint="default"/>
      </w:rPr>
    </w:lvl>
    <w:lvl w:ilvl="4">
      <w:start w:val="0"/>
      <w:numFmt w:val="bullet"/>
      <w:lvlText w:val="•"/>
      <w:lvlJc w:val="left"/>
      <w:pPr>
        <w:ind w:left="6024" w:hanging="740"/>
      </w:pPr>
      <w:rPr>
        <w:rFonts w:hint="default"/>
      </w:rPr>
    </w:lvl>
    <w:lvl w:ilvl="5">
      <w:start w:val="0"/>
      <w:numFmt w:val="bullet"/>
      <w:lvlText w:val="•"/>
      <w:lvlJc w:val="left"/>
      <w:pPr>
        <w:ind w:left="6710" w:hanging="740"/>
      </w:pPr>
      <w:rPr>
        <w:rFonts w:hint="default"/>
      </w:rPr>
    </w:lvl>
    <w:lvl w:ilvl="6">
      <w:start w:val="0"/>
      <w:numFmt w:val="bullet"/>
      <w:lvlText w:val="•"/>
      <w:lvlJc w:val="left"/>
      <w:pPr>
        <w:ind w:left="7396" w:hanging="740"/>
      </w:pPr>
      <w:rPr>
        <w:rFonts w:hint="default"/>
      </w:rPr>
    </w:lvl>
    <w:lvl w:ilvl="7">
      <w:start w:val="0"/>
      <w:numFmt w:val="bullet"/>
      <w:lvlText w:val="•"/>
      <w:lvlJc w:val="left"/>
      <w:pPr>
        <w:ind w:left="8082" w:hanging="740"/>
      </w:pPr>
      <w:rPr>
        <w:rFonts w:hint="default"/>
      </w:rPr>
    </w:lvl>
    <w:lvl w:ilvl="8">
      <w:start w:val="0"/>
      <w:numFmt w:val="bullet"/>
      <w:lvlText w:val="•"/>
      <w:lvlJc w:val="left"/>
      <w:pPr>
        <w:ind w:left="8768" w:hanging="740"/>
      </w:pPr>
      <w:rPr>
        <w:rFonts w:hint="default"/>
      </w:rPr>
    </w:lvl>
  </w:abstractNum>
  <w:abstractNum w:abstractNumId="1">
    <w:multiLevelType w:val="hybridMultilevel"/>
    <w:lvl w:ilvl="0">
      <w:start w:val="1"/>
      <w:numFmt w:val="decimal"/>
      <w:lvlText w:val="%1."/>
      <w:lvlJc w:val="left"/>
      <w:pPr>
        <w:ind w:left="1024" w:hanging="80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45" w:hanging="80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80" w:hanging="735"/>
        <w:jc w:val="left"/>
      </w:pPr>
      <w:rPr>
        <w:rFonts w:hint="default"/>
        <w:w w:val="100"/>
      </w:rPr>
    </w:lvl>
    <w:lvl w:ilvl="3">
      <w:start w:val="0"/>
      <w:numFmt w:val="bullet"/>
      <w:lvlText w:val="•"/>
      <w:lvlJc w:val="left"/>
      <w:pPr>
        <w:ind w:left="4137" w:hanging="735"/>
      </w:pPr>
      <w:rPr>
        <w:rFonts w:hint="default"/>
      </w:rPr>
    </w:lvl>
    <w:lvl w:ilvl="4">
      <w:start w:val="0"/>
      <w:numFmt w:val="bullet"/>
      <w:lvlText w:val="•"/>
      <w:lvlJc w:val="left"/>
      <w:pPr>
        <w:ind w:left="4995" w:hanging="735"/>
      </w:pPr>
      <w:rPr>
        <w:rFonts w:hint="default"/>
      </w:rPr>
    </w:lvl>
    <w:lvl w:ilvl="5">
      <w:start w:val="0"/>
      <w:numFmt w:val="bullet"/>
      <w:lvlText w:val="•"/>
      <w:lvlJc w:val="left"/>
      <w:pPr>
        <w:ind w:left="5852" w:hanging="735"/>
      </w:pPr>
      <w:rPr>
        <w:rFonts w:hint="default"/>
      </w:rPr>
    </w:lvl>
    <w:lvl w:ilvl="6">
      <w:start w:val="0"/>
      <w:numFmt w:val="bullet"/>
      <w:lvlText w:val="•"/>
      <w:lvlJc w:val="left"/>
      <w:pPr>
        <w:ind w:left="6710" w:hanging="735"/>
      </w:pPr>
      <w:rPr>
        <w:rFonts w:hint="default"/>
      </w:rPr>
    </w:lvl>
    <w:lvl w:ilvl="7">
      <w:start w:val="0"/>
      <w:numFmt w:val="bullet"/>
      <w:lvlText w:val="•"/>
      <w:lvlJc w:val="left"/>
      <w:pPr>
        <w:ind w:left="7567" w:hanging="735"/>
      </w:pPr>
      <w:rPr>
        <w:rFonts w:hint="default"/>
      </w:rPr>
    </w:lvl>
    <w:lvl w:ilvl="8">
      <w:start w:val="0"/>
      <w:numFmt w:val="bullet"/>
      <w:lvlText w:val="•"/>
      <w:lvlJc w:val="left"/>
      <w:pPr>
        <w:ind w:left="8425" w:hanging="735"/>
      </w:pPr>
      <w:rPr>
        <w:rFonts w:hint="default"/>
      </w:rPr>
    </w:lvl>
  </w:abstractNum>
  <w:abstractNum w:abstractNumId="0">
    <w:multiLevelType w:val="hybridMultilevel"/>
    <w:lvl w:ilvl="0">
      <w:start w:val="0"/>
      <w:numFmt w:val="bullet"/>
      <w:lvlText w:val=""/>
      <w:lvlJc w:val="left"/>
      <w:pPr>
        <w:ind w:left="1276" w:hanging="399"/>
      </w:pPr>
      <w:rPr>
        <w:rFonts w:hint="default" w:ascii="Wingdings" w:hAnsi="Wingdings" w:eastAsia="Wingdings" w:cs="Wingdings"/>
        <w:w w:val="100"/>
        <w:sz w:val="21"/>
        <w:szCs w:val="21"/>
      </w:rPr>
    </w:lvl>
    <w:lvl w:ilvl="1">
      <w:start w:val="0"/>
      <w:numFmt w:val="bullet"/>
      <w:lvlText w:val="•"/>
      <w:lvlJc w:val="left"/>
      <w:pPr>
        <w:ind w:left="2220" w:hanging="399"/>
      </w:pPr>
      <w:rPr>
        <w:rFonts w:hint="default"/>
      </w:rPr>
    </w:lvl>
    <w:lvl w:ilvl="2">
      <w:start w:val="0"/>
      <w:numFmt w:val="bullet"/>
      <w:lvlText w:val="•"/>
      <w:lvlJc w:val="left"/>
      <w:pPr>
        <w:ind w:left="3160" w:hanging="399"/>
      </w:pPr>
      <w:rPr>
        <w:rFonts w:hint="default"/>
      </w:rPr>
    </w:lvl>
    <w:lvl w:ilvl="3">
      <w:start w:val="0"/>
      <w:numFmt w:val="bullet"/>
      <w:lvlText w:val="•"/>
      <w:lvlJc w:val="left"/>
      <w:pPr>
        <w:ind w:left="4100" w:hanging="399"/>
      </w:pPr>
      <w:rPr>
        <w:rFonts w:hint="default"/>
      </w:rPr>
    </w:lvl>
    <w:lvl w:ilvl="4">
      <w:start w:val="0"/>
      <w:numFmt w:val="bullet"/>
      <w:lvlText w:val="•"/>
      <w:lvlJc w:val="left"/>
      <w:pPr>
        <w:ind w:left="5040" w:hanging="399"/>
      </w:pPr>
      <w:rPr>
        <w:rFonts w:hint="default"/>
      </w:rPr>
    </w:lvl>
    <w:lvl w:ilvl="5">
      <w:start w:val="0"/>
      <w:numFmt w:val="bullet"/>
      <w:lvlText w:val="•"/>
      <w:lvlJc w:val="left"/>
      <w:pPr>
        <w:ind w:left="5980" w:hanging="399"/>
      </w:pPr>
      <w:rPr>
        <w:rFonts w:hint="default"/>
      </w:rPr>
    </w:lvl>
    <w:lvl w:ilvl="6">
      <w:start w:val="0"/>
      <w:numFmt w:val="bullet"/>
      <w:lvlText w:val="•"/>
      <w:lvlJc w:val="left"/>
      <w:pPr>
        <w:ind w:left="6920" w:hanging="399"/>
      </w:pPr>
      <w:rPr>
        <w:rFonts w:hint="default"/>
      </w:rPr>
    </w:lvl>
    <w:lvl w:ilvl="7">
      <w:start w:val="0"/>
      <w:numFmt w:val="bullet"/>
      <w:lvlText w:val="•"/>
      <w:lvlJc w:val="left"/>
      <w:pPr>
        <w:ind w:left="7860" w:hanging="399"/>
      </w:pPr>
      <w:rPr>
        <w:rFonts w:hint="default"/>
      </w:rPr>
    </w:lvl>
    <w:lvl w:ilvl="8">
      <w:start w:val="0"/>
      <w:numFmt w:val="bullet"/>
      <w:lvlText w:val="•"/>
      <w:lvlJc w:val="left"/>
      <w:pPr>
        <w:ind w:left="8800" w:hanging="399"/>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3"/>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24" w:hanging="80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904" w:hanging="80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420" w:hanging="735"/>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taikanglife.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2018-10-20T00:15:35Z</dcterms:created>
  <dcterms:modified xsi:type="dcterms:W3CDTF">2018-10-20T00:15:35Z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2017-03-29T00:00:00Z</vt:filetime>
  </property>
  <property fmtid="{D5CDD505-2E9C-101B-9397-08002B2CF9AE}" pid="3" name="LastSaved">
    <vt:filetime>2017-03-29T00:00:00Z</vt:filetime>
  </property>
</Properties>
</file>