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1" w:lineRule="exact" w:before="0"/>
        <w:ind w:left="7453" w:right="0" w:firstLine="0"/>
        <w:jc w:val="left"/>
        <w:rPr>
          <w:rFonts w:ascii="Microsoft JhengHei" w:eastAsia="Microsoft JhengHei" w:hint="eastAsia"/>
          <w:b/>
          <w:sz w:val="20"/>
        </w:rPr>
      </w:pPr>
      <w:r>
        <w:rPr/>
        <w:drawing>
          <wp:anchor distT="0" distB="0" distL="0" distR="0" allowOverlap="1" layoutInCell="1" locked="0" behindDoc="0" simplePos="0" relativeHeight="0">
            <wp:simplePos x="0" y="0"/>
            <wp:positionH relativeFrom="page">
              <wp:posOffset>6070091</wp:posOffset>
            </wp:positionH>
            <wp:positionV relativeFrom="paragraph">
              <wp:posOffset>248665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Microsoft JhengHei" w:eastAsia="Microsoft JhengHei" w:hint="eastAsia"/>
          <w:b/>
          <w:w w:val="95"/>
          <w:sz w:val="20"/>
        </w:rPr>
        <w:t>请扫描以查询验证条款</w:t>
      </w:r>
    </w:p>
    <w:p>
      <w:pPr>
        <w:spacing w:line="276" w:lineRule="auto" w:before="30"/>
        <w:ind w:left="7648" w:right="315" w:firstLine="0"/>
        <w:jc w:val="center"/>
        <w:rPr>
          <w:sz w:val="20"/>
        </w:rPr>
      </w:pPr>
      <w:r>
        <w:rPr>
          <w:sz w:val="20"/>
        </w:rPr>
        <w:t>中新大东方[2009] 疾病保险 052 号</w:t>
      </w:r>
    </w:p>
    <w:p>
      <w:pPr>
        <w:pStyle w:val="BodyText"/>
        <w:spacing w:before="12"/>
        <w:rPr>
          <w:sz w:val="28"/>
        </w:rPr>
      </w:pPr>
    </w:p>
    <w:p>
      <w:pPr>
        <w:spacing w:line="472" w:lineRule="exact" w:before="0"/>
        <w:ind w:left="2019" w:right="2699" w:firstLine="0"/>
        <w:jc w:val="center"/>
        <w:rPr>
          <w:rFonts w:ascii="Microsoft JhengHei UI" w:eastAsia="Microsoft JhengHei UI" w:hint="eastAsia"/>
          <w:b/>
          <w:sz w:val="30"/>
        </w:rPr>
      </w:pPr>
      <w:r>
        <w:rPr>
          <w:rFonts w:ascii="Microsoft JhengHei UI" w:eastAsia="Microsoft JhengHei UI" w:hint="eastAsia"/>
          <w:b/>
          <w:sz w:val="30"/>
        </w:rPr>
        <w:t>中新大东方附加投保人豁免保险费</w:t>
      </w:r>
    </w:p>
    <w:p>
      <w:pPr>
        <w:spacing w:before="125"/>
        <w:ind w:left="2019" w:right="2701" w:firstLine="0"/>
        <w:jc w:val="center"/>
        <w:rPr>
          <w:rFonts w:ascii="Microsoft JhengHei UI" w:eastAsia="Microsoft JhengHei UI" w:hint="eastAsia"/>
          <w:b/>
          <w:sz w:val="30"/>
        </w:rPr>
      </w:pPr>
      <w:r>
        <w:rPr>
          <w:rFonts w:ascii="Microsoft JhengHei UI" w:eastAsia="Microsoft JhengHei UI" w:hint="eastAsia"/>
          <w:b/>
          <w:sz w:val="30"/>
        </w:rPr>
        <w:t>重大疾病保险二代合同条款</w:t>
      </w:r>
    </w:p>
    <w:p>
      <w:pPr>
        <w:pStyle w:val="BodyText"/>
        <w:spacing w:before="225"/>
        <w:ind w:left="2019" w:right="2851"/>
        <w:jc w:val="center"/>
      </w:pPr>
      <w:r>
        <w:rPr/>
        <w:t>感谢您选择了我们 </w:t>
      </w:r>
      <w:r>
        <w:rPr>
          <w:rFonts w:ascii="Microsoft JhengHei UI" w:eastAsia="Microsoft JhengHei UI" w:hint="eastAsia"/>
          <w:b/>
        </w:rPr>
        <w:t>- </w:t>
      </w:r>
      <w:r>
        <w:rPr/>
        <w:t>中新大东方人寿保险有限公司</w:t>
      </w:r>
    </w:p>
    <w:p>
      <w:pPr>
        <w:pStyle w:val="BodyText"/>
        <w:rPr>
          <w:sz w:val="26"/>
        </w:rPr>
      </w:pPr>
    </w:p>
    <w:p>
      <w:pPr>
        <w:pStyle w:val="BodyText"/>
        <w:spacing w:before="8"/>
        <w:rPr>
          <w:sz w:val="36"/>
        </w:rPr>
      </w:pPr>
    </w:p>
    <w:p>
      <w:pPr>
        <w:pStyle w:val="Heading1"/>
        <w:ind w:left="1728" w:right="2851"/>
        <w:jc w:val="center"/>
      </w:pPr>
      <w:r>
        <w:rPr/>
        <w:t>阅  读  指  引</w:t>
      </w:r>
    </w:p>
    <w:p>
      <w:pPr>
        <w:pStyle w:val="BodyText"/>
        <w:spacing w:before="288"/>
        <w:ind w:left="424"/>
      </w:pPr>
      <w:r>
        <w:rPr>
          <w:w w:val="95"/>
        </w:rPr>
        <w:t>本阅读指引有助于您理解条款，对本附加险合同内容的解释以相应合同条款为准。</w:t>
      </w:r>
    </w:p>
    <w:p>
      <w:pPr>
        <w:pStyle w:val="BodyText"/>
        <w:rPr>
          <w:sz w:val="26"/>
        </w:rPr>
      </w:pPr>
    </w:p>
    <w:p>
      <w:pPr>
        <w:pStyle w:val="BodyText"/>
        <w:spacing w:before="6"/>
        <w:rPr>
          <w:sz w:val="26"/>
        </w:rPr>
      </w:pPr>
    </w:p>
    <w:p>
      <w:pPr>
        <w:pStyle w:val="Heading2"/>
        <w:spacing w:before="1"/>
        <w:ind w:left="431" w:firstLine="0"/>
      </w:pPr>
      <w:r>
        <w:rPr>
          <w:w w:val="95"/>
        </w:rPr>
        <w:t>您的权益</w:t>
      </w:r>
    </w:p>
    <w:p>
      <w:pPr>
        <w:pStyle w:val="ListParagraph"/>
        <w:numPr>
          <w:ilvl w:val="0"/>
          <w:numId w:val="1"/>
        </w:numPr>
        <w:tabs>
          <w:tab w:pos="957" w:val="left" w:leader="none"/>
          <w:tab w:pos="958" w:val="left" w:leader="none"/>
        </w:tabs>
        <w:spacing w:line="240" w:lineRule="auto" w:before="171" w:after="0"/>
        <w:ind w:left="957" w:right="0" w:hanging="414"/>
        <w:jc w:val="left"/>
        <w:rPr>
          <w:sz w:val="21"/>
        </w:rPr>
      </w:pPr>
      <w:r>
        <w:rPr>
          <w:w w:val="95"/>
          <w:sz w:val="21"/>
        </w:rPr>
        <w:t>您可以选择将投保日期回溯（4）</w:t>
      </w:r>
    </w:p>
    <w:p>
      <w:pPr>
        <w:pStyle w:val="BodyText"/>
        <w:spacing w:before="6"/>
        <w:rPr>
          <w:sz w:val="19"/>
        </w:rPr>
      </w:pPr>
    </w:p>
    <w:p>
      <w:pPr>
        <w:pStyle w:val="ListParagraph"/>
        <w:numPr>
          <w:ilvl w:val="0"/>
          <w:numId w:val="1"/>
        </w:numPr>
        <w:tabs>
          <w:tab w:pos="957" w:val="left" w:leader="none"/>
          <w:tab w:pos="958" w:val="left" w:leader="none"/>
        </w:tabs>
        <w:spacing w:line="240" w:lineRule="auto" w:before="0" w:after="0"/>
        <w:ind w:left="957" w:right="0" w:hanging="420"/>
        <w:jc w:val="left"/>
        <w:rPr>
          <w:sz w:val="21"/>
        </w:rPr>
      </w:pPr>
      <w:r>
        <w:rPr>
          <w:w w:val="99"/>
          <w:sz w:val="21"/>
        </w:rPr>
        <w:t>投保人享有我们提供的保障</w:t>
      </w:r>
      <w:r>
        <w:rPr>
          <w:spacing w:val="-1"/>
          <w:w w:val="99"/>
          <w:sz w:val="21"/>
        </w:rPr>
        <w:t>（</w:t>
      </w:r>
      <w:r>
        <w:rPr>
          <w:w w:val="93"/>
          <w:sz w:val="21"/>
        </w:rPr>
        <w:t>5</w:t>
      </w:r>
      <w:r>
        <w:rPr>
          <w:spacing w:val="-1"/>
          <w:w w:val="43"/>
          <w:sz w:val="21"/>
        </w:rPr>
        <w:t>.</w:t>
      </w:r>
      <w:r>
        <w:rPr>
          <w:w w:val="93"/>
          <w:sz w:val="21"/>
        </w:rPr>
        <w:t>3</w:t>
      </w:r>
      <w:r>
        <w:rPr>
          <w:w w:val="99"/>
          <w:sz w:val="21"/>
        </w:rPr>
        <w:t>）</w:t>
      </w:r>
    </w:p>
    <w:p>
      <w:pPr>
        <w:pStyle w:val="BodyText"/>
        <w:spacing w:before="7"/>
        <w:rPr>
          <w:sz w:val="25"/>
        </w:rPr>
      </w:pPr>
    </w:p>
    <w:p>
      <w:pPr>
        <w:pStyle w:val="ListParagraph"/>
        <w:numPr>
          <w:ilvl w:val="0"/>
          <w:numId w:val="1"/>
        </w:numPr>
        <w:tabs>
          <w:tab w:pos="957" w:val="left" w:leader="none"/>
          <w:tab w:pos="958" w:val="left" w:leader="none"/>
        </w:tabs>
        <w:spacing w:line="240" w:lineRule="auto" w:before="0" w:after="0"/>
        <w:ind w:left="957" w:right="0" w:hanging="420"/>
        <w:jc w:val="left"/>
        <w:rPr>
          <w:sz w:val="21"/>
        </w:rPr>
      </w:pPr>
      <w:r>
        <w:rPr>
          <w:w w:val="99"/>
          <w:sz w:val="21"/>
        </w:rPr>
        <w:t>您有退保的权利</w:t>
      </w:r>
      <w:r>
        <w:rPr>
          <w:spacing w:val="-1"/>
          <w:w w:val="99"/>
          <w:sz w:val="21"/>
        </w:rPr>
        <w:t>（</w:t>
      </w:r>
      <w:r>
        <w:rPr>
          <w:w w:val="93"/>
          <w:sz w:val="21"/>
        </w:rPr>
        <w:t>8</w:t>
      </w:r>
      <w:r>
        <w:rPr>
          <w:spacing w:val="-1"/>
          <w:w w:val="43"/>
          <w:sz w:val="21"/>
        </w:rPr>
        <w:t>.</w:t>
      </w:r>
      <w:r>
        <w:rPr>
          <w:w w:val="93"/>
          <w:sz w:val="21"/>
        </w:rPr>
        <w:t>4</w:t>
      </w:r>
      <w:r>
        <w:rPr>
          <w:w w:val="99"/>
          <w:sz w:val="21"/>
        </w:rPr>
        <w:t>）</w:t>
      </w:r>
    </w:p>
    <w:p>
      <w:pPr>
        <w:pStyle w:val="Heading2"/>
        <w:spacing w:before="204"/>
        <w:ind w:left="431" w:firstLine="0"/>
      </w:pPr>
      <w:r>
        <w:rPr>
          <w:w w:val="95"/>
        </w:rPr>
        <w:t>注意事项</w:t>
      </w:r>
    </w:p>
    <w:p>
      <w:pPr>
        <w:pStyle w:val="ListParagraph"/>
        <w:numPr>
          <w:ilvl w:val="0"/>
          <w:numId w:val="2"/>
        </w:numPr>
        <w:tabs>
          <w:tab w:pos="853" w:val="left" w:leader="none"/>
          <w:tab w:pos="854" w:val="left" w:leader="none"/>
        </w:tabs>
        <w:spacing w:line="240" w:lineRule="auto" w:before="197" w:after="0"/>
        <w:ind w:left="853" w:right="0" w:hanging="422"/>
        <w:jc w:val="left"/>
        <w:rPr>
          <w:rFonts w:ascii="Microsoft JhengHei UI" w:eastAsia="Microsoft JhengHei UI" w:hint="eastAsia"/>
          <w:b/>
          <w:sz w:val="21"/>
        </w:rPr>
      </w:pPr>
      <w:r>
        <w:rPr>
          <w:rFonts w:ascii="Microsoft JhengHei UI" w:eastAsia="Microsoft JhengHei UI" w:hint="eastAsia"/>
          <w:b/>
          <w:w w:val="95"/>
          <w:sz w:val="21"/>
        </w:rPr>
        <w:t>责任免除条款中列明了我们在某些情况下不承担的保险责任（</w:t>
      </w:r>
      <w:r>
        <w:rPr>
          <w:rFonts w:ascii="Microsoft JhengHei UI" w:eastAsia="Microsoft JhengHei UI" w:hint="eastAsia"/>
          <w:b/>
          <w:spacing w:val="1"/>
          <w:w w:val="95"/>
          <w:sz w:val="21"/>
        </w:rPr>
        <w:t>     </w:t>
      </w:r>
      <w:r>
        <w:rPr>
          <w:rFonts w:ascii="Microsoft JhengHei UI" w:eastAsia="Microsoft JhengHei UI" w:hint="eastAsia"/>
          <w:b/>
          <w:w w:val="95"/>
          <w:sz w:val="21"/>
        </w:rPr>
        <w:t>5.4）</w:t>
      </w:r>
    </w:p>
    <w:p>
      <w:pPr>
        <w:pStyle w:val="BodyText"/>
        <w:spacing w:before="9"/>
        <w:rPr>
          <w:rFonts w:ascii="Microsoft JhengHei UI"/>
          <w:b/>
          <w:sz w:val="19"/>
        </w:rPr>
      </w:pPr>
    </w:p>
    <w:p>
      <w:pPr>
        <w:pStyle w:val="ListParagraph"/>
        <w:numPr>
          <w:ilvl w:val="0"/>
          <w:numId w:val="2"/>
        </w:numPr>
        <w:tabs>
          <w:tab w:pos="847" w:val="left" w:leader="none"/>
          <w:tab w:pos="848" w:val="left" w:leader="none"/>
        </w:tabs>
        <w:spacing w:line="240" w:lineRule="auto" w:before="0" w:after="0"/>
        <w:ind w:left="847" w:right="0" w:hanging="423"/>
        <w:jc w:val="left"/>
        <w:rPr>
          <w:sz w:val="21"/>
        </w:rPr>
      </w:pPr>
      <w:r>
        <w:rPr>
          <w:w w:val="99"/>
          <w:sz w:val="21"/>
        </w:rPr>
        <w:t>没有按时交纳保险费将会导致合同中止</w:t>
      </w:r>
      <w:r>
        <w:rPr>
          <w:spacing w:val="-1"/>
          <w:w w:val="99"/>
          <w:sz w:val="21"/>
        </w:rPr>
        <w:t>（</w:t>
      </w:r>
      <w:r>
        <w:rPr>
          <w:w w:val="93"/>
          <w:sz w:val="21"/>
        </w:rPr>
        <w:t>6</w:t>
      </w:r>
      <w:r>
        <w:rPr>
          <w:spacing w:val="-1"/>
          <w:w w:val="43"/>
          <w:sz w:val="21"/>
        </w:rPr>
        <w:t>.</w:t>
      </w:r>
      <w:r>
        <w:rPr>
          <w:spacing w:val="-2"/>
          <w:w w:val="93"/>
          <w:sz w:val="21"/>
        </w:rPr>
        <w:t>2</w:t>
      </w:r>
      <w:r>
        <w:rPr>
          <w:w w:val="99"/>
          <w:sz w:val="21"/>
        </w:rPr>
        <w:t>）</w:t>
      </w:r>
    </w:p>
    <w:p>
      <w:pPr>
        <w:pStyle w:val="BodyText"/>
        <w:spacing w:before="7"/>
        <w:rPr>
          <w:sz w:val="25"/>
        </w:rPr>
      </w:pPr>
    </w:p>
    <w:p>
      <w:pPr>
        <w:pStyle w:val="ListParagraph"/>
        <w:numPr>
          <w:ilvl w:val="0"/>
          <w:numId w:val="2"/>
        </w:numPr>
        <w:tabs>
          <w:tab w:pos="847" w:val="left" w:leader="none"/>
          <w:tab w:pos="848" w:val="left" w:leader="none"/>
        </w:tabs>
        <w:spacing w:line="240" w:lineRule="auto" w:before="0" w:after="0"/>
        <w:ind w:left="847" w:right="0" w:hanging="423"/>
        <w:jc w:val="left"/>
        <w:rPr>
          <w:sz w:val="21"/>
        </w:rPr>
      </w:pPr>
      <w:r>
        <w:rPr>
          <w:w w:val="99"/>
          <w:sz w:val="21"/>
        </w:rPr>
        <w:t>保险事故发生后，请及时通知我们</w:t>
      </w:r>
      <w:r>
        <w:rPr>
          <w:spacing w:val="-1"/>
          <w:w w:val="99"/>
          <w:sz w:val="21"/>
        </w:rPr>
        <w:t>（</w:t>
      </w:r>
      <w:r>
        <w:rPr>
          <w:w w:val="93"/>
          <w:sz w:val="21"/>
        </w:rPr>
        <w:t>7</w:t>
      </w:r>
      <w:r>
        <w:rPr>
          <w:spacing w:val="-1"/>
          <w:w w:val="43"/>
          <w:sz w:val="21"/>
        </w:rPr>
        <w:t>.</w:t>
      </w:r>
      <w:r>
        <w:rPr>
          <w:spacing w:val="-2"/>
          <w:w w:val="93"/>
          <w:sz w:val="21"/>
        </w:rPr>
        <w:t>1</w:t>
      </w:r>
      <w:r>
        <w:rPr>
          <w:w w:val="99"/>
          <w:sz w:val="21"/>
        </w:rPr>
        <w:t>）</w:t>
      </w:r>
    </w:p>
    <w:p>
      <w:pPr>
        <w:pStyle w:val="BodyText"/>
        <w:spacing w:before="7"/>
        <w:rPr>
          <w:sz w:val="25"/>
        </w:rPr>
      </w:pPr>
    </w:p>
    <w:p>
      <w:pPr>
        <w:pStyle w:val="ListParagraph"/>
        <w:numPr>
          <w:ilvl w:val="0"/>
          <w:numId w:val="2"/>
        </w:numPr>
        <w:tabs>
          <w:tab w:pos="847" w:val="left" w:leader="none"/>
          <w:tab w:pos="848" w:val="left" w:leader="none"/>
        </w:tabs>
        <w:spacing w:line="240" w:lineRule="auto" w:before="0" w:after="0"/>
        <w:ind w:left="847" w:right="0" w:hanging="423"/>
        <w:jc w:val="left"/>
        <w:rPr>
          <w:sz w:val="21"/>
        </w:rPr>
      </w:pPr>
      <w:r>
        <w:rPr>
          <w:w w:val="99"/>
          <w:sz w:val="21"/>
        </w:rPr>
        <w:t>退保会给您带来一定损失，请慎重决策</w:t>
      </w:r>
      <w:r>
        <w:rPr>
          <w:spacing w:val="-1"/>
          <w:w w:val="99"/>
          <w:sz w:val="21"/>
        </w:rPr>
        <w:t>（</w:t>
      </w:r>
      <w:r>
        <w:rPr>
          <w:w w:val="93"/>
          <w:sz w:val="21"/>
        </w:rPr>
        <w:t>8</w:t>
      </w:r>
      <w:r>
        <w:rPr>
          <w:spacing w:val="-1"/>
          <w:w w:val="43"/>
          <w:sz w:val="21"/>
        </w:rPr>
        <w:t>.</w:t>
      </w:r>
      <w:r>
        <w:rPr>
          <w:spacing w:val="-2"/>
          <w:w w:val="93"/>
          <w:sz w:val="21"/>
        </w:rPr>
        <w:t>4</w:t>
      </w:r>
      <w:r>
        <w:rPr>
          <w:w w:val="99"/>
          <w:sz w:val="21"/>
        </w:rPr>
        <w:t>）</w:t>
      </w:r>
    </w:p>
    <w:p>
      <w:pPr>
        <w:pStyle w:val="BodyText"/>
        <w:spacing w:before="7"/>
        <w:rPr>
          <w:sz w:val="25"/>
        </w:rPr>
      </w:pPr>
    </w:p>
    <w:p>
      <w:pPr>
        <w:pStyle w:val="ListParagraph"/>
        <w:numPr>
          <w:ilvl w:val="0"/>
          <w:numId w:val="2"/>
        </w:numPr>
        <w:tabs>
          <w:tab w:pos="847" w:val="left" w:leader="none"/>
          <w:tab w:pos="848" w:val="left" w:leader="none"/>
        </w:tabs>
        <w:spacing w:line="240" w:lineRule="auto" w:before="0" w:after="0"/>
        <w:ind w:left="847" w:right="0" w:hanging="423"/>
        <w:jc w:val="left"/>
        <w:rPr>
          <w:sz w:val="21"/>
        </w:rPr>
      </w:pPr>
      <w:r>
        <w:rPr>
          <w:spacing w:val="-1"/>
          <w:w w:val="99"/>
          <w:sz w:val="21"/>
        </w:rPr>
        <w:t>主险合同的某些变动会导致本附加险合同效力终止</w:t>
      </w:r>
      <w:r>
        <w:rPr>
          <w:spacing w:val="-1"/>
          <w:w w:val="58"/>
          <w:sz w:val="21"/>
        </w:rPr>
        <w:t>(</w:t>
      </w:r>
      <w:r>
        <w:rPr>
          <w:w w:val="93"/>
          <w:sz w:val="21"/>
        </w:rPr>
        <w:t>8</w:t>
      </w:r>
      <w:r>
        <w:rPr>
          <w:spacing w:val="-1"/>
          <w:w w:val="43"/>
          <w:sz w:val="21"/>
        </w:rPr>
        <w:t>.</w:t>
      </w:r>
      <w:r>
        <w:rPr>
          <w:w w:val="93"/>
          <w:sz w:val="21"/>
        </w:rPr>
        <w:t>5</w:t>
      </w:r>
      <w:r>
        <w:rPr>
          <w:w w:val="58"/>
          <w:sz w:val="21"/>
        </w:rPr>
        <w:t>)</w:t>
      </w:r>
    </w:p>
    <w:p>
      <w:pPr>
        <w:pStyle w:val="BodyText"/>
        <w:spacing w:before="7"/>
        <w:rPr>
          <w:sz w:val="25"/>
        </w:rPr>
      </w:pPr>
    </w:p>
    <w:p>
      <w:pPr>
        <w:pStyle w:val="ListParagraph"/>
        <w:numPr>
          <w:ilvl w:val="0"/>
          <w:numId w:val="2"/>
        </w:numPr>
        <w:tabs>
          <w:tab w:pos="847" w:val="left" w:leader="none"/>
          <w:tab w:pos="848" w:val="left" w:leader="none"/>
        </w:tabs>
        <w:spacing w:line="240" w:lineRule="auto" w:before="0" w:after="0"/>
        <w:ind w:left="847" w:right="0" w:hanging="423"/>
        <w:jc w:val="left"/>
        <w:rPr>
          <w:sz w:val="21"/>
        </w:rPr>
      </w:pPr>
      <w:r>
        <w:rPr>
          <w:w w:val="95"/>
          <w:sz w:val="21"/>
        </w:rPr>
        <w:t>您有如实告知的义务（10）</w:t>
      </w:r>
    </w:p>
    <w:p>
      <w:pPr>
        <w:pStyle w:val="BodyText"/>
        <w:spacing w:before="7"/>
        <w:rPr>
          <w:sz w:val="25"/>
        </w:rPr>
      </w:pPr>
    </w:p>
    <w:p>
      <w:pPr>
        <w:pStyle w:val="ListParagraph"/>
        <w:numPr>
          <w:ilvl w:val="0"/>
          <w:numId w:val="2"/>
        </w:numPr>
        <w:tabs>
          <w:tab w:pos="847" w:val="left" w:leader="none"/>
          <w:tab w:pos="848" w:val="left" w:leader="none"/>
        </w:tabs>
        <w:spacing w:line="240" w:lineRule="auto" w:before="0" w:after="0"/>
        <w:ind w:left="847" w:right="0" w:hanging="423"/>
        <w:jc w:val="left"/>
        <w:rPr>
          <w:sz w:val="21"/>
        </w:rPr>
      </w:pPr>
      <w:r>
        <w:rPr>
          <w:w w:val="95"/>
          <w:sz w:val="21"/>
        </w:rPr>
        <w:t>我们对一些重要术语作了显著标记，并进行了解释（11）</w:t>
      </w:r>
    </w:p>
    <w:p>
      <w:pPr>
        <w:spacing w:after="0" w:line="240" w:lineRule="auto"/>
        <w:jc w:val="left"/>
        <w:rPr>
          <w:sz w:val="21"/>
        </w:rPr>
        <w:sectPr>
          <w:type w:val="continuous"/>
          <w:pgSz w:w="11910" w:h="16840"/>
          <w:pgMar w:top="320" w:bottom="280" w:left="1680" w:right="660"/>
        </w:sectPr>
      </w:pPr>
    </w:p>
    <w:p>
      <w:pPr>
        <w:pStyle w:val="Heading2"/>
        <w:spacing w:before="1"/>
        <w:ind w:left="4003" w:right="4108" w:firstLine="0"/>
        <w:jc w:val="center"/>
      </w:pPr>
      <w:r>
        <w:rPr>
          <w:w w:val="95"/>
        </w:rPr>
        <w:t>目录</w:t>
      </w:r>
    </w:p>
    <w:p>
      <w:pPr>
        <w:spacing w:after="0"/>
        <w:jc w:val="center"/>
        <w:sectPr>
          <w:footerReference w:type="default" r:id="rId6"/>
          <w:pgSz w:w="11910" w:h="16840"/>
          <w:pgMar w:footer="1074" w:header="0" w:top="1420" w:bottom="1542" w:left="1680" w:right="1680"/>
        </w:sectPr>
      </w:pPr>
    </w:p>
    <w:sdt>
      <w:sdtPr>
        <w:docPartObj>
          <w:docPartGallery w:val="Table of Contents"/>
          <w:docPartUnique/>
        </w:docPartObj>
      </w:sdtPr>
      <w:sdtEndPr/>
      <w:sdtContent>
        <w:p>
          <w:pPr>
            <w:pStyle w:val="TOC1"/>
            <w:numPr>
              <w:ilvl w:val="0"/>
              <w:numId w:val="3"/>
            </w:numPr>
            <w:tabs>
              <w:tab w:pos="537" w:val="left" w:leader="none"/>
              <w:tab w:pos="538" w:val="left" w:leader="none"/>
              <w:tab w:pos="8413" w:val="right" w:leader="dot"/>
            </w:tabs>
            <w:spacing w:line="240" w:lineRule="auto" w:before="92" w:after="0"/>
            <w:ind w:left="537" w:right="0" w:hanging="420"/>
            <w:jc w:val="left"/>
            <w:rPr>
              <w:rFonts w:ascii="Times New Roman" w:eastAsia="Times New Roman"/>
            </w:rPr>
          </w:pPr>
          <w:hyperlink w:history="true" w:anchor="_TOC_250082">
            <w:r>
              <w:rPr/>
              <w:t>合同订立</w:t>
              <w:tab/>
            </w:r>
            <w:r>
              <w:rPr>
                <w:rFonts w:ascii="Times New Roman" w:eastAsia="Times New Roman"/>
              </w:rPr>
              <w:t>3</w:t>
            </w:r>
          </w:hyperlink>
        </w:p>
        <w:p>
          <w:pPr>
            <w:pStyle w:val="TOC1"/>
            <w:numPr>
              <w:ilvl w:val="0"/>
              <w:numId w:val="3"/>
            </w:numPr>
            <w:tabs>
              <w:tab w:pos="537" w:val="left" w:leader="none"/>
              <w:tab w:pos="538" w:val="left" w:leader="none"/>
              <w:tab w:pos="8413" w:val="right" w:leader="dot"/>
            </w:tabs>
            <w:spacing w:line="240" w:lineRule="auto" w:before="21" w:after="0"/>
            <w:ind w:left="537" w:right="0" w:hanging="420"/>
            <w:jc w:val="left"/>
            <w:rPr>
              <w:rFonts w:ascii="Times New Roman" w:eastAsia="Times New Roman"/>
            </w:rPr>
          </w:pPr>
          <w:hyperlink w:history="true" w:anchor="_TOC_250081">
            <w:r>
              <w:rPr/>
              <w:t>投保年龄</w:t>
              <w:tab/>
            </w:r>
            <w:r>
              <w:rPr>
                <w:rFonts w:ascii="Times New Roman" w:eastAsia="Times New Roman"/>
              </w:rPr>
              <w:t>3</w:t>
            </w:r>
          </w:hyperlink>
        </w:p>
        <w:p>
          <w:pPr>
            <w:pStyle w:val="TOC1"/>
            <w:numPr>
              <w:ilvl w:val="0"/>
              <w:numId w:val="3"/>
            </w:numPr>
            <w:tabs>
              <w:tab w:pos="537" w:val="left" w:leader="none"/>
              <w:tab w:pos="538" w:val="left" w:leader="none"/>
              <w:tab w:pos="8413" w:val="right" w:leader="dot"/>
            </w:tabs>
            <w:spacing w:line="240" w:lineRule="auto" w:before="21" w:after="0"/>
            <w:ind w:left="537" w:right="0" w:hanging="420"/>
            <w:jc w:val="left"/>
            <w:rPr>
              <w:rFonts w:ascii="Times New Roman" w:eastAsia="Times New Roman"/>
            </w:rPr>
          </w:pPr>
          <w:hyperlink w:history="true" w:anchor="_TOC_250080">
            <w:r>
              <w:rPr/>
              <w:t>合同生效</w:t>
              <w:tab/>
            </w:r>
            <w:r>
              <w:rPr>
                <w:rFonts w:ascii="Times New Roman" w:eastAsia="Times New Roman"/>
              </w:rPr>
              <w:t>3</w:t>
            </w:r>
          </w:hyperlink>
        </w:p>
        <w:p>
          <w:pPr>
            <w:pStyle w:val="TOC1"/>
            <w:numPr>
              <w:ilvl w:val="0"/>
              <w:numId w:val="3"/>
            </w:numPr>
            <w:tabs>
              <w:tab w:pos="537" w:val="left" w:leader="none"/>
              <w:tab w:pos="538" w:val="left" w:leader="none"/>
              <w:tab w:pos="8413" w:val="right" w:leader="dot"/>
            </w:tabs>
            <w:spacing w:line="240" w:lineRule="auto" w:before="21" w:after="0"/>
            <w:ind w:left="537" w:right="0" w:hanging="420"/>
            <w:jc w:val="left"/>
            <w:rPr>
              <w:rFonts w:ascii="Times New Roman" w:eastAsia="Times New Roman"/>
            </w:rPr>
          </w:pPr>
          <w:hyperlink w:history="true" w:anchor="_TOC_250079">
            <w:r>
              <w:rPr/>
              <w:t>投保日期回溯选择权</w:t>
              <w:tab/>
            </w:r>
            <w:r>
              <w:rPr>
                <w:rFonts w:ascii="Times New Roman" w:eastAsia="Times New Roman"/>
              </w:rPr>
              <w:t>3</w:t>
            </w:r>
          </w:hyperlink>
        </w:p>
        <w:p>
          <w:pPr>
            <w:pStyle w:val="TOC1"/>
            <w:numPr>
              <w:ilvl w:val="0"/>
              <w:numId w:val="3"/>
            </w:numPr>
            <w:tabs>
              <w:tab w:pos="537" w:val="left" w:leader="none"/>
              <w:tab w:pos="538" w:val="left" w:leader="none"/>
              <w:tab w:pos="8413" w:val="right" w:leader="dot"/>
            </w:tabs>
            <w:spacing w:line="240" w:lineRule="auto" w:before="21" w:after="0"/>
            <w:ind w:left="537" w:right="0" w:hanging="420"/>
            <w:jc w:val="left"/>
            <w:rPr>
              <w:rFonts w:ascii="Times New Roman" w:eastAsia="Times New Roman"/>
            </w:rPr>
          </w:pPr>
          <w:hyperlink w:history="true" w:anchor="_TOC_250078">
            <w:r>
              <w:rPr/>
              <w:t>保险责任</w:t>
              <w:tab/>
            </w:r>
            <w:r>
              <w:rPr>
                <w:rFonts w:ascii="Times New Roman" w:eastAsia="Times New Roman"/>
              </w:rPr>
              <w:t>4</w:t>
            </w:r>
          </w:hyperlink>
        </w:p>
        <w:p>
          <w:pPr>
            <w:pStyle w:val="TOC2"/>
            <w:numPr>
              <w:ilvl w:val="1"/>
              <w:numId w:val="3"/>
            </w:numPr>
            <w:tabs>
              <w:tab w:pos="1166" w:val="left" w:leader="none"/>
              <w:tab w:pos="1167" w:val="left" w:leader="none"/>
              <w:tab w:pos="8413" w:val="right" w:leader="dot"/>
            </w:tabs>
            <w:spacing w:line="240" w:lineRule="auto" w:before="21" w:after="0"/>
            <w:ind w:left="1166" w:right="0" w:hanging="629"/>
            <w:jc w:val="left"/>
            <w:rPr>
              <w:rFonts w:ascii="Times New Roman" w:eastAsia="Times New Roman"/>
            </w:rPr>
          </w:pPr>
          <w:hyperlink w:history="true" w:anchor="_TOC_250077">
            <w:r>
              <w:rPr/>
              <w:t>保险责任的开始</w:t>
              <w:tab/>
            </w:r>
            <w:r>
              <w:rPr>
                <w:rFonts w:ascii="Times New Roman" w:eastAsia="Times New Roman"/>
              </w:rPr>
              <w:t>4</w:t>
            </w:r>
          </w:hyperlink>
        </w:p>
        <w:p>
          <w:pPr>
            <w:pStyle w:val="TOC3"/>
            <w:numPr>
              <w:ilvl w:val="2"/>
              <w:numId w:val="3"/>
            </w:numPr>
            <w:tabs>
              <w:tab w:pos="1797" w:val="left" w:leader="none"/>
              <w:tab w:pos="1798" w:val="left" w:leader="none"/>
              <w:tab w:pos="8413" w:val="right" w:leader="dot"/>
            </w:tabs>
            <w:spacing w:line="240" w:lineRule="auto" w:before="21" w:after="0"/>
            <w:ind w:left="1797" w:right="0" w:hanging="840"/>
            <w:jc w:val="left"/>
            <w:rPr>
              <w:rFonts w:ascii="Times New Roman" w:eastAsia="Times New Roman"/>
            </w:rPr>
          </w:pPr>
          <w:hyperlink w:history="true" w:anchor="_TOC_250076">
            <w:r>
              <w:rPr/>
              <w:t>投保人身故或永久完全残疾保险费豁免责任的开始</w:t>
              <w:tab/>
            </w:r>
            <w:r>
              <w:rPr>
                <w:rFonts w:ascii="Times New Roman" w:eastAsia="Times New Roman"/>
              </w:rPr>
              <w:t>4</w:t>
            </w:r>
          </w:hyperlink>
        </w:p>
        <w:p>
          <w:pPr>
            <w:pStyle w:val="TOC3"/>
            <w:numPr>
              <w:ilvl w:val="2"/>
              <w:numId w:val="3"/>
            </w:numPr>
            <w:tabs>
              <w:tab w:pos="1797" w:val="left" w:leader="none"/>
              <w:tab w:pos="1798" w:val="left" w:leader="none"/>
              <w:tab w:pos="8413" w:val="right" w:leader="dot"/>
            </w:tabs>
            <w:spacing w:line="240" w:lineRule="auto" w:before="21" w:after="0"/>
            <w:ind w:left="1797" w:right="0" w:hanging="840"/>
            <w:jc w:val="left"/>
            <w:rPr>
              <w:rFonts w:ascii="Times New Roman" w:eastAsia="Times New Roman"/>
            </w:rPr>
          </w:pPr>
          <w:hyperlink w:history="true" w:anchor="_TOC_250075">
            <w:r>
              <w:rPr/>
              <w:t>投保人重大疾病保险费豁免责任的开始</w:t>
              <w:tab/>
            </w:r>
            <w:r>
              <w:rPr>
                <w:rFonts w:ascii="Times New Roman" w:eastAsia="Times New Roman"/>
              </w:rPr>
              <w:t>4</w:t>
            </w:r>
          </w:hyperlink>
        </w:p>
        <w:p>
          <w:pPr>
            <w:pStyle w:val="TOC2"/>
            <w:numPr>
              <w:ilvl w:val="1"/>
              <w:numId w:val="3"/>
            </w:numPr>
            <w:tabs>
              <w:tab w:pos="1166" w:val="left" w:leader="none"/>
              <w:tab w:pos="1167" w:val="left" w:leader="none"/>
              <w:tab w:pos="8413" w:val="right" w:leader="dot"/>
            </w:tabs>
            <w:spacing w:line="240" w:lineRule="auto" w:before="21" w:after="0"/>
            <w:ind w:left="1166" w:right="0" w:hanging="629"/>
            <w:jc w:val="left"/>
            <w:rPr>
              <w:rFonts w:ascii="Times New Roman" w:eastAsia="Times New Roman"/>
            </w:rPr>
          </w:pPr>
          <w:hyperlink w:history="true" w:anchor="_TOC_250074">
            <w:r>
              <w:rPr/>
              <w:t>保险期间</w:t>
              <w:tab/>
            </w:r>
            <w:r>
              <w:rPr>
                <w:rFonts w:ascii="Times New Roman" w:eastAsia="Times New Roman"/>
              </w:rPr>
              <w:t>4</w:t>
            </w:r>
          </w:hyperlink>
        </w:p>
        <w:p>
          <w:pPr>
            <w:pStyle w:val="TOC2"/>
            <w:numPr>
              <w:ilvl w:val="1"/>
              <w:numId w:val="3"/>
            </w:numPr>
            <w:tabs>
              <w:tab w:pos="1166" w:val="left" w:leader="none"/>
              <w:tab w:pos="1167" w:val="left" w:leader="none"/>
              <w:tab w:pos="8413" w:val="right" w:leader="dot"/>
            </w:tabs>
            <w:spacing w:line="240" w:lineRule="auto" w:before="21" w:after="0"/>
            <w:ind w:left="1166" w:right="0" w:hanging="629"/>
            <w:jc w:val="left"/>
            <w:rPr>
              <w:rFonts w:ascii="Times New Roman" w:eastAsia="Times New Roman"/>
            </w:rPr>
          </w:pPr>
          <w:hyperlink w:history="true" w:anchor="_TOC_250073">
            <w:r>
              <w:rPr/>
              <w:t>我们承担的保险责任</w:t>
              <w:tab/>
            </w:r>
            <w:r>
              <w:rPr>
                <w:rFonts w:ascii="Times New Roman" w:eastAsia="Times New Roman"/>
              </w:rPr>
              <w:t>4</w:t>
            </w:r>
          </w:hyperlink>
        </w:p>
        <w:p>
          <w:pPr>
            <w:pStyle w:val="TOC3"/>
            <w:numPr>
              <w:ilvl w:val="2"/>
              <w:numId w:val="3"/>
            </w:numPr>
            <w:tabs>
              <w:tab w:pos="1797" w:val="left" w:leader="none"/>
              <w:tab w:pos="1798" w:val="left" w:leader="none"/>
              <w:tab w:pos="8413" w:val="right" w:leader="dot"/>
            </w:tabs>
            <w:spacing w:line="240" w:lineRule="auto" w:before="21" w:after="0"/>
            <w:ind w:left="1797" w:right="0" w:hanging="840"/>
            <w:jc w:val="left"/>
            <w:rPr>
              <w:rFonts w:ascii="Times New Roman" w:eastAsia="Times New Roman"/>
            </w:rPr>
          </w:pPr>
          <w:hyperlink w:history="true" w:anchor="_TOC_250072">
            <w:r>
              <w:rPr/>
              <w:t>投保人身故或永久完全残疾保险费豁免</w:t>
              <w:tab/>
            </w:r>
            <w:r>
              <w:rPr>
                <w:rFonts w:ascii="Times New Roman" w:eastAsia="Times New Roman"/>
              </w:rPr>
              <w:t>4</w:t>
            </w:r>
          </w:hyperlink>
        </w:p>
        <w:p>
          <w:pPr>
            <w:pStyle w:val="TOC3"/>
            <w:numPr>
              <w:ilvl w:val="2"/>
              <w:numId w:val="3"/>
            </w:numPr>
            <w:tabs>
              <w:tab w:pos="1797" w:val="left" w:leader="none"/>
              <w:tab w:pos="1798" w:val="left" w:leader="none"/>
              <w:tab w:pos="8413" w:val="right" w:leader="dot"/>
            </w:tabs>
            <w:spacing w:line="240" w:lineRule="auto" w:before="21" w:after="0"/>
            <w:ind w:left="1797" w:right="0" w:hanging="840"/>
            <w:jc w:val="left"/>
            <w:rPr>
              <w:rFonts w:ascii="Times New Roman" w:eastAsia="Times New Roman"/>
            </w:rPr>
          </w:pPr>
          <w:hyperlink w:history="true" w:anchor="_TOC_250071">
            <w:r>
              <w:rPr/>
              <w:t>投保人重大疾病保险费豁免</w:t>
              <w:tab/>
            </w:r>
            <w:r>
              <w:rPr>
                <w:rFonts w:ascii="Times New Roman" w:eastAsia="Times New Roman"/>
              </w:rPr>
              <w:t>5</w:t>
            </w:r>
          </w:hyperlink>
        </w:p>
        <w:p>
          <w:pPr>
            <w:pStyle w:val="TOC2"/>
            <w:numPr>
              <w:ilvl w:val="1"/>
              <w:numId w:val="3"/>
            </w:numPr>
            <w:tabs>
              <w:tab w:pos="1166" w:val="left" w:leader="none"/>
              <w:tab w:pos="1167" w:val="left" w:leader="none"/>
              <w:tab w:pos="8413" w:val="right" w:leader="dot"/>
            </w:tabs>
            <w:spacing w:line="240" w:lineRule="auto" w:before="21" w:after="0"/>
            <w:ind w:left="1166" w:right="0" w:hanging="629"/>
            <w:jc w:val="left"/>
            <w:rPr>
              <w:rFonts w:ascii="Times New Roman" w:eastAsia="Times New Roman"/>
            </w:rPr>
          </w:pPr>
          <w:hyperlink w:history="true" w:anchor="_TOC_250070">
            <w:r>
              <w:rPr/>
              <w:t>责任免除</w:t>
              <w:tab/>
            </w:r>
            <w:r>
              <w:rPr>
                <w:rFonts w:ascii="Times New Roman" w:eastAsia="Times New Roman"/>
              </w:rPr>
              <w:t>5</w:t>
            </w:r>
          </w:hyperlink>
        </w:p>
        <w:p>
          <w:pPr>
            <w:pStyle w:val="TOC1"/>
            <w:numPr>
              <w:ilvl w:val="0"/>
              <w:numId w:val="3"/>
            </w:numPr>
            <w:tabs>
              <w:tab w:pos="537" w:val="left" w:leader="none"/>
              <w:tab w:pos="538" w:val="left" w:leader="none"/>
              <w:tab w:pos="8413" w:val="right" w:leader="dot"/>
            </w:tabs>
            <w:spacing w:line="240" w:lineRule="auto" w:before="21" w:after="0"/>
            <w:ind w:left="537" w:right="0" w:hanging="420"/>
            <w:jc w:val="left"/>
            <w:rPr>
              <w:rFonts w:ascii="Times New Roman" w:eastAsia="Times New Roman"/>
            </w:rPr>
          </w:pPr>
          <w:hyperlink w:history="true" w:anchor="_TOC_250069">
            <w:r>
              <w:rPr/>
              <w:t>保险费</w:t>
              <w:tab/>
            </w:r>
            <w:r>
              <w:rPr>
                <w:rFonts w:ascii="Times New Roman" w:eastAsia="Times New Roman"/>
              </w:rPr>
              <w:t>5</w:t>
            </w:r>
          </w:hyperlink>
        </w:p>
        <w:p>
          <w:pPr>
            <w:pStyle w:val="TOC2"/>
            <w:numPr>
              <w:ilvl w:val="1"/>
              <w:numId w:val="3"/>
            </w:numPr>
            <w:tabs>
              <w:tab w:pos="1166" w:val="left" w:leader="none"/>
              <w:tab w:pos="1167" w:val="left" w:leader="none"/>
              <w:tab w:pos="8413" w:val="right" w:leader="dot"/>
            </w:tabs>
            <w:spacing w:line="240" w:lineRule="auto" w:before="21" w:after="0"/>
            <w:ind w:left="1166" w:right="0" w:hanging="629"/>
            <w:jc w:val="left"/>
            <w:rPr>
              <w:rFonts w:ascii="Times New Roman" w:eastAsia="Times New Roman"/>
            </w:rPr>
          </w:pPr>
          <w:hyperlink w:history="true" w:anchor="_TOC_250068">
            <w:r>
              <w:rPr/>
              <w:t>保险费交纳方式</w:t>
              <w:tab/>
            </w:r>
            <w:r>
              <w:rPr>
                <w:rFonts w:ascii="Times New Roman" w:eastAsia="Times New Roman"/>
              </w:rPr>
              <w:t>5</w:t>
            </w:r>
          </w:hyperlink>
        </w:p>
        <w:p>
          <w:pPr>
            <w:pStyle w:val="TOC2"/>
            <w:numPr>
              <w:ilvl w:val="1"/>
              <w:numId w:val="3"/>
            </w:numPr>
            <w:tabs>
              <w:tab w:pos="1166" w:val="left" w:leader="none"/>
              <w:tab w:pos="1167" w:val="left" w:leader="none"/>
              <w:tab w:pos="8413" w:val="right" w:leader="dot"/>
            </w:tabs>
            <w:spacing w:line="240" w:lineRule="auto" w:before="21" w:after="0"/>
            <w:ind w:left="1166" w:right="0" w:hanging="629"/>
            <w:jc w:val="left"/>
            <w:rPr>
              <w:rFonts w:ascii="Times New Roman" w:eastAsia="Times New Roman"/>
            </w:rPr>
          </w:pPr>
          <w:hyperlink w:history="true" w:anchor="_TOC_250067">
            <w:r>
              <w:rPr/>
              <w:t>宽限期</w:t>
              <w:tab/>
            </w:r>
            <w:r>
              <w:rPr>
                <w:rFonts w:ascii="Times New Roman" w:eastAsia="Times New Roman"/>
              </w:rPr>
              <w:t>6</w:t>
            </w:r>
          </w:hyperlink>
        </w:p>
        <w:p>
          <w:pPr>
            <w:pStyle w:val="TOC1"/>
            <w:numPr>
              <w:ilvl w:val="0"/>
              <w:numId w:val="3"/>
            </w:numPr>
            <w:tabs>
              <w:tab w:pos="537" w:val="left" w:leader="none"/>
              <w:tab w:pos="538" w:val="left" w:leader="none"/>
              <w:tab w:pos="8413" w:val="right" w:leader="dot"/>
            </w:tabs>
            <w:spacing w:line="240" w:lineRule="auto" w:before="21" w:after="0"/>
            <w:ind w:left="537" w:right="0" w:hanging="420"/>
            <w:jc w:val="left"/>
            <w:rPr>
              <w:rFonts w:ascii="Times New Roman" w:eastAsia="Times New Roman"/>
            </w:rPr>
          </w:pPr>
          <w:hyperlink w:history="true" w:anchor="_TOC_250066">
            <w:r>
              <w:rPr/>
              <w:t>豁免保险费的申请</w:t>
              <w:tab/>
            </w:r>
            <w:r>
              <w:rPr>
                <w:rFonts w:ascii="Times New Roman" w:eastAsia="Times New Roman"/>
              </w:rPr>
              <w:t>6</w:t>
            </w:r>
          </w:hyperlink>
        </w:p>
        <w:p>
          <w:pPr>
            <w:pStyle w:val="TOC2"/>
            <w:numPr>
              <w:ilvl w:val="1"/>
              <w:numId w:val="3"/>
            </w:numPr>
            <w:tabs>
              <w:tab w:pos="1166" w:val="left" w:leader="none"/>
              <w:tab w:pos="1167" w:val="left" w:leader="none"/>
              <w:tab w:pos="8413" w:val="right" w:leader="dot"/>
            </w:tabs>
            <w:spacing w:line="240" w:lineRule="auto" w:before="21" w:after="0"/>
            <w:ind w:left="1166" w:right="0" w:hanging="629"/>
            <w:jc w:val="left"/>
            <w:rPr>
              <w:rFonts w:ascii="Times New Roman" w:eastAsia="Times New Roman"/>
            </w:rPr>
          </w:pPr>
          <w:hyperlink w:history="true" w:anchor="_TOC_250065">
            <w:r>
              <w:rPr/>
              <w:t>保险事故的通知</w:t>
              <w:tab/>
            </w:r>
            <w:r>
              <w:rPr>
                <w:rFonts w:ascii="Times New Roman" w:eastAsia="Times New Roman"/>
              </w:rPr>
              <w:t>6</w:t>
            </w:r>
          </w:hyperlink>
        </w:p>
        <w:p>
          <w:pPr>
            <w:pStyle w:val="TOC2"/>
            <w:numPr>
              <w:ilvl w:val="1"/>
              <w:numId w:val="3"/>
            </w:numPr>
            <w:tabs>
              <w:tab w:pos="1166" w:val="left" w:leader="none"/>
              <w:tab w:pos="1167" w:val="left" w:leader="none"/>
              <w:tab w:pos="8413" w:val="right" w:leader="dot"/>
            </w:tabs>
            <w:spacing w:line="240" w:lineRule="auto" w:before="21" w:after="0"/>
            <w:ind w:left="1166" w:right="0" w:hanging="629"/>
            <w:jc w:val="left"/>
            <w:rPr>
              <w:rFonts w:ascii="Times New Roman" w:eastAsia="Times New Roman"/>
            </w:rPr>
          </w:pPr>
          <w:hyperlink w:history="true" w:anchor="_TOC_250064">
            <w:r>
              <w:rPr/>
              <w:t>豁免保险费申请</w:t>
              <w:tab/>
            </w:r>
            <w:r>
              <w:rPr>
                <w:rFonts w:ascii="Times New Roman" w:eastAsia="Times New Roman"/>
              </w:rPr>
              <w:t>6</w:t>
            </w:r>
          </w:hyperlink>
        </w:p>
        <w:p>
          <w:pPr>
            <w:pStyle w:val="TOC3"/>
            <w:numPr>
              <w:ilvl w:val="2"/>
              <w:numId w:val="3"/>
            </w:numPr>
            <w:tabs>
              <w:tab w:pos="1797" w:val="left" w:leader="none"/>
              <w:tab w:pos="1798" w:val="left" w:leader="none"/>
              <w:tab w:pos="8413" w:val="right" w:leader="dot"/>
            </w:tabs>
            <w:spacing w:line="240" w:lineRule="auto" w:before="21" w:after="0"/>
            <w:ind w:left="1797" w:right="0" w:hanging="840"/>
            <w:jc w:val="left"/>
            <w:rPr>
              <w:rFonts w:ascii="Times New Roman" w:eastAsia="Times New Roman"/>
            </w:rPr>
          </w:pPr>
          <w:hyperlink w:history="true" w:anchor="_TOC_250063">
            <w:r>
              <w:rPr/>
              <w:t>投保人永久完全残疾后的保险费豁免申请</w:t>
              <w:tab/>
            </w:r>
            <w:r>
              <w:rPr>
                <w:rFonts w:ascii="Times New Roman" w:eastAsia="Times New Roman"/>
              </w:rPr>
              <w:t>6</w:t>
            </w:r>
          </w:hyperlink>
        </w:p>
        <w:p>
          <w:pPr>
            <w:pStyle w:val="TOC3"/>
            <w:numPr>
              <w:ilvl w:val="2"/>
              <w:numId w:val="3"/>
            </w:numPr>
            <w:tabs>
              <w:tab w:pos="1797" w:val="left" w:leader="none"/>
              <w:tab w:pos="1798" w:val="left" w:leader="none"/>
              <w:tab w:pos="8413" w:val="right" w:leader="dot"/>
            </w:tabs>
            <w:spacing w:line="240" w:lineRule="auto" w:before="21" w:after="0"/>
            <w:ind w:left="1797" w:right="0" w:hanging="840"/>
            <w:jc w:val="left"/>
            <w:rPr>
              <w:rFonts w:ascii="Times New Roman" w:eastAsia="Times New Roman"/>
            </w:rPr>
          </w:pPr>
          <w:hyperlink w:history="true" w:anchor="_TOC_250062">
            <w:r>
              <w:rPr/>
              <w:t>投保人身故后的保险费豁免申请</w:t>
              <w:tab/>
            </w:r>
            <w:r>
              <w:rPr>
                <w:rFonts w:ascii="Times New Roman" w:eastAsia="Times New Roman"/>
              </w:rPr>
              <w:t>7</w:t>
            </w:r>
          </w:hyperlink>
        </w:p>
        <w:p>
          <w:pPr>
            <w:pStyle w:val="TOC3"/>
            <w:numPr>
              <w:ilvl w:val="2"/>
              <w:numId w:val="3"/>
            </w:numPr>
            <w:tabs>
              <w:tab w:pos="1797" w:val="left" w:leader="none"/>
              <w:tab w:pos="1798" w:val="left" w:leader="none"/>
              <w:tab w:pos="8413" w:val="right" w:leader="dot"/>
            </w:tabs>
            <w:spacing w:line="240" w:lineRule="auto" w:before="21" w:after="0"/>
            <w:ind w:left="1797" w:right="0" w:hanging="840"/>
            <w:jc w:val="left"/>
            <w:rPr>
              <w:rFonts w:ascii="Times New Roman" w:eastAsia="Times New Roman"/>
            </w:rPr>
          </w:pPr>
          <w:hyperlink w:history="true" w:anchor="_TOC_250061">
            <w:r>
              <w:rPr/>
              <w:t>投保人罹患重疾后的保险费豁免申请</w:t>
              <w:tab/>
            </w:r>
            <w:r>
              <w:rPr>
                <w:rFonts w:ascii="Times New Roman" w:eastAsia="Times New Roman"/>
              </w:rPr>
              <w:t>7</w:t>
            </w:r>
          </w:hyperlink>
        </w:p>
        <w:p>
          <w:pPr>
            <w:pStyle w:val="TOC2"/>
            <w:numPr>
              <w:ilvl w:val="1"/>
              <w:numId w:val="3"/>
            </w:numPr>
            <w:tabs>
              <w:tab w:pos="1166" w:val="left" w:leader="none"/>
              <w:tab w:pos="1167" w:val="left" w:leader="none"/>
              <w:tab w:pos="8413" w:val="right" w:leader="dot"/>
            </w:tabs>
            <w:spacing w:line="240" w:lineRule="auto" w:before="21" w:after="0"/>
            <w:ind w:left="1166" w:right="0" w:hanging="629"/>
            <w:jc w:val="left"/>
            <w:rPr>
              <w:rFonts w:ascii="Times New Roman" w:eastAsia="Times New Roman"/>
            </w:rPr>
          </w:pPr>
          <w:hyperlink w:history="true" w:anchor="_TOC_250060">
            <w:r>
              <w:rPr/>
              <w:t>诉讼时效</w:t>
              <w:tab/>
            </w:r>
            <w:r>
              <w:rPr>
                <w:rFonts w:ascii="Times New Roman" w:eastAsia="Times New Roman"/>
              </w:rPr>
              <w:t>7</w:t>
            </w:r>
          </w:hyperlink>
        </w:p>
        <w:p>
          <w:pPr>
            <w:pStyle w:val="TOC2"/>
            <w:numPr>
              <w:ilvl w:val="1"/>
              <w:numId w:val="3"/>
            </w:numPr>
            <w:tabs>
              <w:tab w:pos="1166" w:val="left" w:leader="none"/>
              <w:tab w:pos="1167" w:val="left" w:leader="none"/>
              <w:tab w:pos="8413" w:val="right" w:leader="dot"/>
            </w:tabs>
            <w:spacing w:line="240" w:lineRule="auto" w:before="21" w:after="0"/>
            <w:ind w:left="1166" w:right="0" w:hanging="629"/>
            <w:jc w:val="left"/>
            <w:rPr>
              <w:rFonts w:ascii="Times New Roman" w:eastAsia="Times New Roman"/>
            </w:rPr>
          </w:pPr>
          <w:hyperlink w:history="true" w:anchor="_TOC_250059">
            <w:r>
              <w:rPr/>
              <w:t>保险费的豁免</w:t>
              <w:tab/>
            </w:r>
            <w:r>
              <w:rPr>
                <w:rFonts w:ascii="Times New Roman" w:eastAsia="Times New Roman"/>
              </w:rPr>
              <w:t>7</w:t>
            </w:r>
          </w:hyperlink>
        </w:p>
        <w:p>
          <w:pPr>
            <w:pStyle w:val="TOC1"/>
            <w:numPr>
              <w:ilvl w:val="0"/>
              <w:numId w:val="3"/>
            </w:numPr>
            <w:tabs>
              <w:tab w:pos="537" w:val="left" w:leader="none"/>
              <w:tab w:pos="538" w:val="left" w:leader="none"/>
              <w:tab w:pos="8413" w:val="right" w:leader="dot"/>
            </w:tabs>
            <w:spacing w:line="240" w:lineRule="auto" w:before="21" w:after="0"/>
            <w:ind w:left="537" w:right="0" w:hanging="420"/>
            <w:jc w:val="left"/>
            <w:rPr>
              <w:rFonts w:ascii="Times New Roman" w:eastAsia="Times New Roman"/>
            </w:rPr>
          </w:pPr>
          <w:hyperlink w:history="true" w:anchor="_TOC_250058">
            <w:r>
              <w:rPr/>
              <w:t>合同效力的变动</w:t>
              <w:tab/>
            </w:r>
            <w:r>
              <w:rPr>
                <w:rFonts w:ascii="Times New Roman" w:eastAsia="Times New Roman"/>
              </w:rPr>
              <w:t>8</w:t>
            </w:r>
          </w:hyperlink>
        </w:p>
        <w:p>
          <w:pPr>
            <w:pStyle w:val="TOC2"/>
            <w:numPr>
              <w:ilvl w:val="1"/>
              <w:numId w:val="3"/>
            </w:numPr>
            <w:tabs>
              <w:tab w:pos="1166" w:val="left" w:leader="none"/>
              <w:tab w:pos="1167" w:val="left" w:leader="none"/>
              <w:tab w:pos="8413" w:val="right" w:leader="dot"/>
            </w:tabs>
            <w:spacing w:line="240" w:lineRule="auto" w:before="21" w:after="0"/>
            <w:ind w:left="1166" w:right="0" w:hanging="629"/>
            <w:jc w:val="left"/>
            <w:rPr>
              <w:rFonts w:ascii="Times New Roman" w:eastAsia="Times New Roman"/>
            </w:rPr>
          </w:pPr>
          <w:hyperlink w:history="true" w:anchor="_TOC_250057">
            <w:r>
              <w:rPr/>
              <w:t>合同内容变更</w:t>
              <w:tab/>
            </w:r>
            <w:r>
              <w:rPr>
                <w:rFonts w:ascii="Times New Roman" w:eastAsia="Times New Roman"/>
              </w:rPr>
              <w:t>8</w:t>
            </w:r>
          </w:hyperlink>
        </w:p>
        <w:p>
          <w:pPr>
            <w:pStyle w:val="TOC2"/>
            <w:numPr>
              <w:ilvl w:val="1"/>
              <w:numId w:val="3"/>
            </w:numPr>
            <w:tabs>
              <w:tab w:pos="1166" w:val="left" w:leader="none"/>
              <w:tab w:pos="1167" w:val="left" w:leader="none"/>
              <w:tab w:pos="8413" w:val="right" w:leader="dot"/>
            </w:tabs>
            <w:spacing w:line="240" w:lineRule="auto" w:before="21" w:after="0"/>
            <w:ind w:left="1166" w:right="0" w:hanging="629"/>
            <w:jc w:val="left"/>
            <w:rPr>
              <w:rFonts w:ascii="Times New Roman" w:eastAsia="Times New Roman"/>
            </w:rPr>
          </w:pPr>
          <w:hyperlink w:history="true" w:anchor="_TOC_250056">
            <w:r>
              <w:rPr/>
              <w:t>合同效力的中止</w:t>
              <w:tab/>
            </w:r>
            <w:r>
              <w:rPr>
                <w:rFonts w:ascii="Times New Roman" w:eastAsia="Times New Roman"/>
              </w:rPr>
              <w:t>8</w:t>
            </w:r>
          </w:hyperlink>
        </w:p>
        <w:p>
          <w:pPr>
            <w:pStyle w:val="TOC2"/>
            <w:numPr>
              <w:ilvl w:val="1"/>
              <w:numId w:val="3"/>
            </w:numPr>
            <w:tabs>
              <w:tab w:pos="1166" w:val="left" w:leader="none"/>
              <w:tab w:pos="1167" w:val="left" w:leader="none"/>
              <w:tab w:pos="8413" w:val="right" w:leader="dot"/>
            </w:tabs>
            <w:spacing w:line="240" w:lineRule="auto" w:before="21" w:after="0"/>
            <w:ind w:left="1166" w:right="0" w:hanging="629"/>
            <w:jc w:val="left"/>
            <w:rPr>
              <w:rFonts w:ascii="Times New Roman" w:eastAsia="Times New Roman"/>
            </w:rPr>
          </w:pPr>
          <w:hyperlink w:history="true" w:anchor="_TOC_250055">
            <w:r>
              <w:rPr/>
              <w:t>合同效力的恢复</w:t>
              <w:tab/>
            </w:r>
            <w:r>
              <w:rPr>
                <w:rFonts w:ascii="Times New Roman" w:eastAsia="Times New Roman"/>
              </w:rPr>
              <w:t>8</w:t>
            </w:r>
          </w:hyperlink>
        </w:p>
        <w:p>
          <w:pPr>
            <w:pStyle w:val="TOC2"/>
            <w:numPr>
              <w:ilvl w:val="1"/>
              <w:numId w:val="3"/>
            </w:numPr>
            <w:tabs>
              <w:tab w:pos="1166" w:val="left" w:leader="none"/>
              <w:tab w:pos="1167" w:val="left" w:leader="none"/>
              <w:tab w:pos="8413" w:val="right" w:leader="dot"/>
            </w:tabs>
            <w:spacing w:line="240" w:lineRule="auto" w:before="21" w:after="0"/>
            <w:ind w:left="1166" w:right="0" w:hanging="629"/>
            <w:jc w:val="left"/>
            <w:rPr>
              <w:rFonts w:ascii="Times New Roman" w:hAnsi="Times New Roman" w:eastAsia="Times New Roman"/>
            </w:rPr>
          </w:pPr>
          <w:hyperlink w:history="true" w:anchor="_TOC_250054">
            <w:r>
              <w:rPr/>
              <w:t>合同的解除——退保</w:t>
              <w:tab/>
            </w:r>
            <w:r>
              <w:rPr>
                <w:rFonts w:ascii="Times New Roman" w:hAnsi="Times New Roman" w:eastAsia="Times New Roman"/>
              </w:rPr>
              <w:t>8</w:t>
            </w:r>
          </w:hyperlink>
        </w:p>
        <w:p>
          <w:pPr>
            <w:pStyle w:val="TOC3"/>
            <w:numPr>
              <w:ilvl w:val="2"/>
              <w:numId w:val="3"/>
            </w:numPr>
            <w:tabs>
              <w:tab w:pos="1797" w:val="left" w:leader="none"/>
              <w:tab w:pos="1798" w:val="left" w:leader="none"/>
              <w:tab w:pos="8413" w:val="right" w:leader="dot"/>
            </w:tabs>
            <w:spacing w:line="240" w:lineRule="auto" w:before="21" w:after="0"/>
            <w:ind w:left="1797" w:right="0" w:hanging="840"/>
            <w:jc w:val="left"/>
            <w:rPr>
              <w:rFonts w:ascii="Times New Roman" w:eastAsia="Times New Roman"/>
            </w:rPr>
          </w:pPr>
          <w:hyperlink w:history="true" w:anchor="_TOC_250053">
            <w:r>
              <w:rPr/>
              <w:t>犹豫期</w:t>
              <w:tab/>
            </w:r>
            <w:r>
              <w:rPr>
                <w:rFonts w:ascii="Times New Roman" w:eastAsia="Times New Roman"/>
              </w:rPr>
              <w:t>8</w:t>
            </w:r>
          </w:hyperlink>
        </w:p>
        <w:p>
          <w:pPr>
            <w:pStyle w:val="TOC3"/>
            <w:numPr>
              <w:ilvl w:val="2"/>
              <w:numId w:val="3"/>
            </w:numPr>
            <w:tabs>
              <w:tab w:pos="1797" w:val="left" w:leader="none"/>
              <w:tab w:pos="1798" w:val="left" w:leader="none"/>
              <w:tab w:pos="8413" w:val="right" w:leader="dot"/>
            </w:tabs>
            <w:spacing w:line="240" w:lineRule="auto" w:before="21" w:after="0"/>
            <w:ind w:left="1797" w:right="0" w:hanging="840"/>
            <w:jc w:val="left"/>
            <w:rPr>
              <w:rFonts w:ascii="Times New Roman" w:eastAsia="Times New Roman"/>
            </w:rPr>
          </w:pPr>
          <w:hyperlink w:history="true" w:anchor="_TOC_250052">
            <w:r>
              <w:rPr/>
              <w:t>犹豫期之后申请退保</w:t>
              <w:tab/>
            </w:r>
            <w:r>
              <w:rPr>
                <w:rFonts w:ascii="Times New Roman" w:eastAsia="Times New Roman"/>
              </w:rPr>
              <w:t>9</w:t>
            </w:r>
          </w:hyperlink>
        </w:p>
        <w:p>
          <w:pPr>
            <w:pStyle w:val="TOC3"/>
            <w:numPr>
              <w:ilvl w:val="2"/>
              <w:numId w:val="3"/>
            </w:numPr>
            <w:tabs>
              <w:tab w:pos="1797" w:val="left" w:leader="none"/>
              <w:tab w:pos="1798" w:val="left" w:leader="none"/>
              <w:tab w:pos="8413" w:val="right" w:leader="dot"/>
            </w:tabs>
            <w:spacing w:line="240" w:lineRule="auto" w:before="21" w:after="0"/>
            <w:ind w:left="1797" w:right="0" w:hanging="840"/>
            <w:jc w:val="left"/>
            <w:rPr>
              <w:rFonts w:ascii="Times New Roman" w:eastAsia="Times New Roman"/>
            </w:rPr>
          </w:pPr>
          <w:hyperlink w:history="true" w:anchor="_TOC_250051">
            <w:r>
              <w:rPr/>
              <w:t>退保申请</w:t>
              <w:tab/>
            </w:r>
            <w:r>
              <w:rPr>
                <w:rFonts w:ascii="Times New Roman" w:eastAsia="Times New Roman"/>
              </w:rPr>
              <w:t>9</w:t>
            </w:r>
          </w:hyperlink>
        </w:p>
        <w:p>
          <w:pPr>
            <w:pStyle w:val="TOC2"/>
            <w:numPr>
              <w:ilvl w:val="1"/>
              <w:numId w:val="3"/>
            </w:numPr>
            <w:tabs>
              <w:tab w:pos="1166" w:val="left" w:leader="none"/>
              <w:tab w:pos="1167" w:val="left" w:leader="none"/>
              <w:tab w:pos="8413" w:val="right" w:leader="dot"/>
            </w:tabs>
            <w:spacing w:line="240" w:lineRule="auto" w:before="21" w:after="0"/>
            <w:ind w:left="1166" w:right="0" w:hanging="629"/>
            <w:jc w:val="left"/>
            <w:rPr>
              <w:rFonts w:ascii="Times New Roman" w:eastAsia="Times New Roman"/>
            </w:rPr>
          </w:pPr>
          <w:hyperlink w:history="true" w:anchor="_TOC_250050">
            <w:r>
              <w:rPr/>
              <w:t>合同的终止</w:t>
              <w:tab/>
            </w:r>
            <w:r>
              <w:rPr>
                <w:rFonts w:ascii="Times New Roman" w:eastAsia="Times New Roman"/>
              </w:rPr>
              <w:t>9</w:t>
            </w:r>
          </w:hyperlink>
        </w:p>
        <w:p>
          <w:pPr>
            <w:pStyle w:val="TOC1"/>
            <w:numPr>
              <w:ilvl w:val="0"/>
              <w:numId w:val="3"/>
            </w:numPr>
            <w:tabs>
              <w:tab w:pos="537" w:val="left" w:leader="none"/>
              <w:tab w:pos="538" w:val="left" w:leader="none"/>
              <w:tab w:pos="8413" w:val="right" w:leader="dot"/>
            </w:tabs>
            <w:spacing w:line="240" w:lineRule="auto" w:before="21" w:after="0"/>
            <w:ind w:left="537" w:right="0" w:hanging="420"/>
            <w:jc w:val="left"/>
            <w:rPr>
              <w:rFonts w:ascii="Times New Roman" w:eastAsia="Times New Roman"/>
            </w:rPr>
          </w:pPr>
          <w:hyperlink w:history="true" w:anchor="_TOC_250049">
            <w:r>
              <w:rPr/>
              <w:t>投保人年龄确定错误处理</w:t>
              <w:tab/>
            </w:r>
            <w:r>
              <w:rPr>
                <w:rFonts w:ascii="Times New Roman" w:eastAsia="Times New Roman"/>
              </w:rPr>
              <w:t>9</w:t>
            </w:r>
          </w:hyperlink>
        </w:p>
        <w:p>
          <w:pPr>
            <w:pStyle w:val="TOC1"/>
            <w:numPr>
              <w:ilvl w:val="0"/>
              <w:numId w:val="3"/>
            </w:numPr>
            <w:tabs>
              <w:tab w:pos="957" w:val="left" w:leader="none"/>
              <w:tab w:pos="958" w:val="left" w:leader="none"/>
              <w:tab w:pos="8413" w:val="right" w:leader="dot"/>
            </w:tabs>
            <w:spacing w:line="240" w:lineRule="auto" w:before="21" w:after="0"/>
            <w:ind w:left="957" w:right="0" w:hanging="840"/>
            <w:jc w:val="left"/>
            <w:rPr>
              <w:rFonts w:ascii="Times New Roman" w:eastAsia="Times New Roman"/>
            </w:rPr>
          </w:pPr>
          <w:hyperlink w:history="true" w:anchor="_TOC_250048">
            <w:r>
              <w:rPr/>
              <w:t>适用主险合同条款</w:t>
              <w:tab/>
            </w:r>
            <w:r>
              <w:rPr>
                <w:rFonts w:ascii="Times New Roman" w:eastAsia="Times New Roman"/>
              </w:rPr>
              <w:t>10</w:t>
            </w:r>
          </w:hyperlink>
        </w:p>
        <w:p>
          <w:pPr>
            <w:pStyle w:val="TOC1"/>
            <w:tabs>
              <w:tab w:pos="957" w:val="left" w:leader="none"/>
              <w:tab w:pos="8413" w:val="right" w:leader="dot"/>
            </w:tabs>
            <w:ind w:left="117" w:firstLine="0"/>
            <w:rPr>
              <w:rFonts w:ascii="Times New Roman" w:eastAsia="Times New Roman"/>
            </w:rPr>
          </w:pPr>
          <w:hyperlink w:history="true" w:anchor="_TOC_250047">
            <w:r>
              <w:rPr/>
              <w:t>11</w:t>
              <w:tab/>
              <w:t>释义</w:t>
              <w:tab/>
            </w:r>
            <w:r>
              <w:rPr>
                <w:rFonts w:ascii="Times New Roman" w:eastAsia="Times New Roman"/>
              </w:rPr>
              <w:t>10</w:t>
            </w:r>
          </w:hyperlink>
        </w:p>
        <w:p>
          <w:pPr>
            <w:pStyle w:val="TOC2"/>
            <w:tabs>
              <w:tab w:pos="1166" w:val="left" w:leader="none"/>
              <w:tab w:pos="8413" w:val="right" w:leader="dot"/>
            </w:tabs>
            <w:ind w:left="537" w:firstLine="0"/>
            <w:rPr>
              <w:rFonts w:ascii="Times New Roman" w:eastAsia="Times New Roman"/>
            </w:rPr>
          </w:pPr>
          <w:hyperlink w:history="true" w:anchor="_TOC_250046">
            <w:r>
              <w:rPr>
                <w:w w:val="93"/>
              </w:rPr>
              <w:t>11</w:t>
            </w:r>
            <w:r>
              <w:rPr>
                <w:spacing w:val="-1"/>
                <w:w w:val="43"/>
              </w:rPr>
              <w:t>.</w:t>
            </w:r>
            <w:r>
              <w:rPr>
                <w:w w:val="93"/>
              </w:rPr>
              <w:t>1</w:t>
            </w:r>
            <w:r>
              <w:rPr/>
              <w:tab/>
            </w:r>
            <w:r>
              <w:rPr>
                <w:spacing w:val="1"/>
                <w:w w:val="99"/>
              </w:rPr>
              <w:t>周</w:t>
            </w:r>
            <w:r>
              <w:rPr>
                <w:w w:val="99"/>
              </w:rPr>
              <w:t>岁</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0</w:t>
            </w:r>
          </w:hyperlink>
        </w:p>
        <w:p>
          <w:pPr>
            <w:pStyle w:val="TOC2"/>
            <w:tabs>
              <w:tab w:pos="1166" w:val="left" w:leader="none"/>
              <w:tab w:pos="8413" w:val="right" w:leader="dot"/>
            </w:tabs>
            <w:ind w:left="537" w:firstLine="0"/>
            <w:rPr>
              <w:rFonts w:ascii="Times New Roman" w:eastAsia="Times New Roman"/>
            </w:rPr>
          </w:pPr>
          <w:hyperlink w:history="true" w:anchor="_TOC_250045">
            <w:r>
              <w:rPr>
                <w:w w:val="93"/>
              </w:rPr>
              <w:t>11</w:t>
            </w:r>
            <w:r>
              <w:rPr>
                <w:spacing w:val="-1"/>
                <w:w w:val="43"/>
              </w:rPr>
              <w:t>.</w:t>
            </w:r>
            <w:r>
              <w:rPr>
                <w:w w:val="93"/>
              </w:rPr>
              <w:t>2</w:t>
            </w:r>
            <w:r>
              <w:rPr/>
              <w:tab/>
            </w:r>
            <w:r>
              <w:rPr>
                <w:spacing w:val="1"/>
                <w:w w:val="99"/>
              </w:rPr>
              <w:t>医</w:t>
            </w:r>
            <w:r>
              <w:rPr>
                <w:w w:val="99"/>
              </w:rPr>
              <w:t>院</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0</w:t>
            </w:r>
          </w:hyperlink>
        </w:p>
        <w:p>
          <w:pPr>
            <w:pStyle w:val="TOC2"/>
            <w:numPr>
              <w:ilvl w:val="1"/>
              <w:numId w:val="4"/>
            </w:numPr>
            <w:tabs>
              <w:tab w:pos="1166" w:val="left" w:leader="none"/>
              <w:tab w:pos="1167" w:val="left" w:leader="none"/>
              <w:tab w:pos="8413" w:val="right" w:leader="dot"/>
            </w:tabs>
            <w:spacing w:line="240" w:lineRule="auto" w:before="21" w:after="0"/>
            <w:ind w:left="1166" w:right="0" w:hanging="629"/>
            <w:jc w:val="left"/>
            <w:rPr>
              <w:rFonts w:ascii="Times New Roman" w:eastAsia="Times New Roman"/>
            </w:rPr>
          </w:pPr>
          <w:hyperlink w:history="true" w:anchor="_TOC_250044">
            <w:r>
              <w:rPr/>
              <w:t>30</w:t>
            </w:r>
            <w:r>
              <w:rPr>
                <w:spacing w:val="-53"/>
              </w:rPr>
              <w:t> </w:t>
            </w:r>
            <w:r>
              <w:rPr/>
              <w:t>种重大疾病</w:t>
              <w:tab/>
            </w:r>
            <w:r>
              <w:rPr>
                <w:rFonts w:ascii="Times New Roman" w:eastAsia="Times New Roman"/>
              </w:rPr>
              <w:t>10</w:t>
            </w:r>
          </w:hyperlink>
        </w:p>
        <w:p>
          <w:pPr>
            <w:pStyle w:val="TOC3"/>
            <w:numPr>
              <w:ilvl w:val="2"/>
              <w:numId w:val="4"/>
            </w:numPr>
            <w:tabs>
              <w:tab w:pos="1903" w:val="left" w:leader="none"/>
              <w:tab w:pos="1904" w:val="left" w:leader="none"/>
              <w:tab w:pos="8415" w:val="right" w:leader="dot"/>
            </w:tabs>
            <w:spacing w:line="240" w:lineRule="auto" w:before="21" w:after="0"/>
            <w:ind w:left="1903" w:right="0" w:hanging="946"/>
            <w:jc w:val="left"/>
            <w:rPr>
              <w:rFonts w:ascii="Times New Roman" w:eastAsia="Times New Roman"/>
            </w:rPr>
          </w:pPr>
          <w:hyperlink w:history="true" w:anchor="_TOC_250043">
            <w:r>
              <w:rPr/>
              <w:t>恶性肿瘤</w:t>
              <w:tab/>
            </w:r>
            <w:r>
              <w:rPr>
                <w:rFonts w:ascii="Times New Roman" w:eastAsia="Times New Roman"/>
              </w:rPr>
              <w:t>11</w:t>
            </w:r>
          </w:hyperlink>
        </w:p>
        <w:p>
          <w:pPr>
            <w:pStyle w:val="TOC3"/>
            <w:numPr>
              <w:ilvl w:val="2"/>
              <w:numId w:val="4"/>
            </w:numPr>
            <w:tabs>
              <w:tab w:pos="1903" w:val="left" w:leader="none"/>
              <w:tab w:pos="1904" w:val="left" w:leader="none"/>
              <w:tab w:pos="8415" w:val="right" w:leader="dot"/>
            </w:tabs>
            <w:spacing w:line="240" w:lineRule="auto" w:before="21" w:after="0"/>
            <w:ind w:left="1903" w:right="0" w:hanging="946"/>
            <w:jc w:val="left"/>
            <w:rPr>
              <w:rFonts w:ascii="Times New Roman" w:eastAsia="Times New Roman"/>
            </w:rPr>
          </w:pPr>
          <w:hyperlink w:history="true" w:anchor="_TOC_250042">
            <w:r>
              <w:rPr/>
              <w:t>急性心肌梗塞</w:t>
              <w:tab/>
            </w:r>
            <w:r>
              <w:rPr>
                <w:rFonts w:ascii="Times New Roman" w:eastAsia="Times New Roman"/>
              </w:rPr>
              <w:t>11</w:t>
            </w:r>
          </w:hyperlink>
        </w:p>
        <w:p>
          <w:pPr>
            <w:pStyle w:val="TOC3"/>
            <w:numPr>
              <w:ilvl w:val="2"/>
              <w:numId w:val="4"/>
            </w:numPr>
            <w:tabs>
              <w:tab w:pos="1903" w:val="left" w:leader="none"/>
              <w:tab w:pos="1904" w:val="left" w:leader="none"/>
              <w:tab w:pos="8413" w:val="right" w:leader="dot"/>
            </w:tabs>
            <w:spacing w:line="240" w:lineRule="auto" w:before="21" w:after="0"/>
            <w:ind w:left="1903" w:right="0" w:hanging="946"/>
            <w:jc w:val="left"/>
            <w:rPr>
              <w:rFonts w:ascii="Times New Roman" w:eastAsia="Times New Roman"/>
            </w:rPr>
          </w:pPr>
          <w:hyperlink w:history="true" w:anchor="_TOC_250041">
            <w:r>
              <w:rPr/>
              <w:t>脑中风后遗症</w:t>
              <w:tab/>
            </w:r>
            <w:r>
              <w:rPr>
                <w:rFonts w:ascii="Times New Roman" w:eastAsia="Times New Roman"/>
              </w:rPr>
              <w:t>12</w:t>
            </w:r>
          </w:hyperlink>
        </w:p>
        <w:p>
          <w:pPr>
            <w:pStyle w:val="TOC3"/>
            <w:numPr>
              <w:ilvl w:val="2"/>
              <w:numId w:val="4"/>
            </w:numPr>
            <w:tabs>
              <w:tab w:pos="1903" w:val="left" w:leader="none"/>
              <w:tab w:pos="1904" w:val="left" w:leader="none"/>
              <w:tab w:pos="8413" w:val="right" w:leader="dot"/>
            </w:tabs>
            <w:spacing w:line="240" w:lineRule="auto" w:before="21" w:after="20"/>
            <w:ind w:left="1903" w:right="0" w:hanging="946"/>
            <w:jc w:val="left"/>
            <w:rPr>
              <w:rFonts w:ascii="Times New Roman" w:eastAsia="Times New Roman"/>
            </w:rPr>
          </w:pPr>
          <w:hyperlink w:history="true" w:anchor="_TOC_250040">
            <w:r>
              <w:rPr/>
              <w:t>重大器官移植术或造血干细胞移植术</w:t>
              <w:tab/>
            </w:r>
            <w:r>
              <w:rPr>
                <w:rFonts w:ascii="Times New Roman" w:eastAsia="Times New Roman"/>
              </w:rPr>
              <w:t>12</w:t>
            </w:r>
          </w:hyperlink>
        </w:p>
        <w:p>
          <w:pPr>
            <w:pStyle w:val="TOC3"/>
            <w:numPr>
              <w:ilvl w:val="2"/>
              <w:numId w:val="4"/>
            </w:numPr>
            <w:tabs>
              <w:tab w:pos="1903" w:val="left" w:leader="none"/>
              <w:tab w:pos="1904" w:val="left" w:leader="none"/>
              <w:tab w:pos="8413" w:val="right" w:leader="dot"/>
            </w:tabs>
            <w:spacing w:line="240" w:lineRule="auto" w:before="35" w:after="0"/>
            <w:ind w:left="1903" w:right="0" w:hanging="946"/>
            <w:jc w:val="left"/>
            <w:rPr>
              <w:rFonts w:ascii="Times New Roman" w:eastAsia="Times New Roman"/>
            </w:rPr>
          </w:pPr>
          <w:hyperlink w:history="true" w:anchor="_TOC_250039">
            <w:r>
              <w:rPr/>
              <w:t>冠状动脉搭桥术（或称冠状动脉旁路移植术）</w:t>
              <w:tab/>
            </w:r>
            <w:r>
              <w:rPr>
                <w:rFonts w:ascii="Times New Roman" w:eastAsia="Times New Roman"/>
              </w:rPr>
              <w:t>12</w:t>
            </w:r>
          </w:hyperlink>
        </w:p>
        <w:p>
          <w:pPr>
            <w:pStyle w:val="TOC3"/>
            <w:numPr>
              <w:ilvl w:val="2"/>
              <w:numId w:val="4"/>
            </w:numPr>
            <w:tabs>
              <w:tab w:pos="1903" w:val="left" w:leader="none"/>
              <w:tab w:pos="1904" w:val="left" w:leader="none"/>
              <w:tab w:pos="8413" w:val="right" w:leader="dot"/>
            </w:tabs>
            <w:spacing w:line="240" w:lineRule="auto" w:before="21" w:after="0"/>
            <w:ind w:left="1903" w:right="0" w:hanging="946"/>
            <w:jc w:val="left"/>
            <w:rPr>
              <w:rFonts w:ascii="Times New Roman" w:eastAsia="Times New Roman"/>
            </w:rPr>
          </w:pPr>
          <w:hyperlink w:history="true" w:anchor="_TOC_250038">
            <w:r>
              <w:rPr/>
              <w:t>终末期肾病（或称慢性肾功能衰竭尿毒症期）</w:t>
              <w:tab/>
            </w:r>
            <w:r>
              <w:rPr>
                <w:rFonts w:ascii="Times New Roman" w:eastAsia="Times New Roman"/>
              </w:rPr>
              <w:t>12</w:t>
            </w:r>
          </w:hyperlink>
        </w:p>
        <w:p>
          <w:pPr>
            <w:pStyle w:val="TOC3"/>
            <w:numPr>
              <w:ilvl w:val="2"/>
              <w:numId w:val="4"/>
            </w:numPr>
            <w:tabs>
              <w:tab w:pos="1903" w:val="left" w:leader="none"/>
              <w:tab w:pos="1904" w:val="left" w:leader="none"/>
              <w:tab w:pos="8413" w:val="right" w:leader="dot"/>
            </w:tabs>
            <w:spacing w:line="240" w:lineRule="auto" w:before="21" w:after="0"/>
            <w:ind w:left="1903" w:right="0" w:hanging="946"/>
            <w:jc w:val="left"/>
            <w:rPr>
              <w:rFonts w:ascii="Times New Roman" w:eastAsia="Times New Roman"/>
            </w:rPr>
          </w:pPr>
          <w:hyperlink w:history="true" w:anchor="_TOC_250037">
            <w:r>
              <w:rPr/>
              <w:t>多个肢体缺失</w:t>
              <w:tab/>
            </w:r>
            <w:r>
              <w:rPr>
                <w:rFonts w:ascii="Times New Roman" w:eastAsia="Times New Roman"/>
              </w:rPr>
              <w:t>12</w:t>
            </w:r>
          </w:hyperlink>
        </w:p>
        <w:p>
          <w:pPr>
            <w:pStyle w:val="TOC3"/>
            <w:numPr>
              <w:ilvl w:val="2"/>
              <w:numId w:val="4"/>
            </w:numPr>
            <w:tabs>
              <w:tab w:pos="1903" w:val="left" w:leader="none"/>
              <w:tab w:pos="1904" w:val="left" w:leader="none"/>
              <w:tab w:pos="8413" w:val="right" w:leader="dot"/>
            </w:tabs>
            <w:spacing w:line="240" w:lineRule="auto" w:before="21" w:after="0"/>
            <w:ind w:left="1903" w:right="0" w:hanging="946"/>
            <w:jc w:val="left"/>
            <w:rPr>
              <w:rFonts w:ascii="Times New Roman" w:eastAsia="Times New Roman"/>
            </w:rPr>
          </w:pPr>
          <w:hyperlink w:history="true" w:anchor="_TOC_250036">
            <w:r>
              <w:rPr/>
              <w:t>急性或亚急性重症肝炎</w:t>
              <w:tab/>
            </w:r>
            <w:r>
              <w:rPr>
                <w:rFonts w:ascii="Times New Roman" w:eastAsia="Times New Roman"/>
              </w:rPr>
              <w:t>12</w:t>
            </w:r>
          </w:hyperlink>
        </w:p>
        <w:p>
          <w:pPr>
            <w:pStyle w:val="TOC3"/>
            <w:numPr>
              <w:ilvl w:val="2"/>
              <w:numId w:val="4"/>
            </w:numPr>
            <w:tabs>
              <w:tab w:pos="1903" w:val="left" w:leader="none"/>
              <w:tab w:pos="1904" w:val="left" w:leader="none"/>
              <w:tab w:pos="8413" w:val="right" w:leader="dot"/>
            </w:tabs>
            <w:spacing w:line="240" w:lineRule="auto" w:before="21" w:after="0"/>
            <w:ind w:left="1903" w:right="0" w:hanging="946"/>
            <w:jc w:val="left"/>
            <w:rPr>
              <w:rFonts w:ascii="Times New Roman" w:eastAsia="Times New Roman"/>
            </w:rPr>
          </w:pPr>
          <w:hyperlink w:history="true" w:anchor="_TOC_250035">
            <w:r>
              <w:rPr/>
              <w:t>良性脑肿瘤</w:t>
              <w:tab/>
            </w:r>
            <w:r>
              <w:rPr>
                <w:rFonts w:ascii="Times New Roman" w:eastAsia="Times New Roman"/>
              </w:rPr>
              <w:t>13</w:t>
            </w:r>
          </w:hyperlink>
        </w:p>
        <w:p>
          <w:pPr>
            <w:pStyle w:val="TOC3"/>
            <w:numPr>
              <w:ilvl w:val="2"/>
              <w:numId w:val="4"/>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34">
            <w:r>
              <w:rPr/>
              <w:t>慢性肝功能衰竭失代偿期</w:t>
              <w:tab/>
            </w:r>
            <w:r>
              <w:rPr>
                <w:rFonts w:ascii="Times New Roman" w:eastAsia="Times New Roman"/>
              </w:rPr>
              <w:t>13</w:t>
            </w:r>
          </w:hyperlink>
        </w:p>
        <w:p>
          <w:pPr>
            <w:pStyle w:val="TOC3"/>
            <w:numPr>
              <w:ilvl w:val="2"/>
              <w:numId w:val="4"/>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33">
            <w:r>
              <w:rPr/>
              <w:t>脑炎后遗症或脑膜炎后遗症</w:t>
              <w:tab/>
            </w:r>
            <w:r>
              <w:rPr>
                <w:rFonts w:ascii="Times New Roman" w:eastAsia="Times New Roman"/>
              </w:rPr>
              <w:t>13</w:t>
            </w:r>
          </w:hyperlink>
        </w:p>
        <w:p>
          <w:pPr>
            <w:pStyle w:val="TOC3"/>
            <w:numPr>
              <w:ilvl w:val="2"/>
              <w:numId w:val="4"/>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32">
            <w:r>
              <w:rPr/>
              <w:t>深度昏迷</w:t>
              <w:tab/>
            </w:r>
            <w:r>
              <w:rPr>
                <w:rFonts w:ascii="Times New Roman" w:eastAsia="Times New Roman"/>
              </w:rPr>
              <w:t>14</w:t>
            </w:r>
          </w:hyperlink>
        </w:p>
        <w:p>
          <w:pPr>
            <w:pStyle w:val="TOC3"/>
            <w:numPr>
              <w:ilvl w:val="2"/>
              <w:numId w:val="4"/>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31">
            <w:r>
              <w:rPr/>
              <w:t>双耳失聪</w:t>
              <w:tab/>
            </w:r>
            <w:r>
              <w:rPr>
                <w:rFonts w:ascii="Times New Roman" w:eastAsia="Times New Roman"/>
              </w:rPr>
              <w:t>14</w:t>
            </w:r>
          </w:hyperlink>
        </w:p>
        <w:p>
          <w:pPr>
            <w:pStyle w:val="TOC3"/>
            <w:numPr>
              <w:ilvl w:val="2"/>
              <w:numId w:val="4"/>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30">
            <w:r>
              <w:rPr/>
              <w:t>双目失明</w:t>
              <w:tab/>
            </w:r>
            <w:r>
              <w:rPr>
                <w:rFonts w:ascii="Times New Roman" w:eastAsia="Times New Roman"/>
              </w:rPr>
              <w:t>14</w:t>
            </w:r>
          </w:hyperlink>
        </w:p>
        <w:p>
          <w:pPr>
            <w:pStyle w:val="TOC3"/>
            <w:tabs>
              <w:tab w:pos="2006" w:val="left" w:leader="none"/>
              <w:tab w:pos="8413" w:val="right" w:leader="dot"/>
            </w:tabs>
            <w:ind w:left="957" w:firstLine="0"/>
            <w:rPr>
              <w:rFonts w:ascii="Times New Roman" w:eastAsia="Times New Roman"/>
            </w:rPr>
          </w:pPr>
          <w:hyperlink w:history="true" w:anchor="_TOC_250029">
            <w:r>
              <w:rPr/>
              <w:t>11.3.15.</w:t>
              <w:tab/>
              <w:t>瘫痪</w:t>
              <w:tab/>
            </w:r>
            <w:r>
              <w:rPr>
                <w:rFonts w:ascii="Times New Roman" w:eastAsia="Times New Roman"/>
              </w:rPr>
              <w:t>14</w:t>
            </w:r>
          </w:hyperlink>
        </w:p>
        <w:p>
          <w:pPr>
            <w:pStyle w:val="TOC3"/>
            <w:numPr>
              <w:ilvl w:val="2"/>
              <w:numId w:val="5"/>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28">
            <w:r>
              <w:rPr/>
              <w:t>心脏瓣膜手术</w:t>
              <w:tab/>
            </w:r>
            <w:r>
              <w:rPr>
                <w:rFonts w:ascii="Times New Roman" w:eastAsia="Times New Roman"/>
              </w:rPr>
              <w:t>14</w:t>
            </w:r>
          </w:hyperlink>
        </w:p>
        <w:p>
          <w:pPr>
            <w:pStyle w:val="TOC3"/>
            <w:numPr>
              <w:ilvl w:val="2"/>
              <w:numId w:val="5"/>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27">
            <w:r>
              <w:rPr/>
              <w:t>严重阿尔茨海默病</w:t>
              <w:tab/>
            </w:r>
            <w:r>
              <w:rPr>
                <w:rFonts w:ascii="Times New Roman" w:eastAsia="Times New Roman"/>
              </w:rPr>
              <w:t>15</w:t>
            </w:r>
          </w:hyperlink>
        </w:p>
        <w:p>
          <w:pPr>
            <w:pStyle w:val="TOC3"/>
            <w:numPr>
              <w:ilvl w:val="2"/>
              <w:numId w:val="5"/>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26">
            <w:r>
              <w:rPr/>
              <w:t>严重脑损伤</w:t>
              <w:tab/>
            </w:r>
            <w:r>
              <w:rPr>
                <w:rFonts w:ascii="Times New Roman" w:eastAsia="Times New Roman"/>
              </w:rPr>
              <w:t>15</w:t>
            </w:r>
          </w:hyperlink>
        </w:p>
        <w:p>
          <w:pPr>
            <w:pStyle w:val="TOC3"/>
            <w:numPr>
              <w:ilvl w:val="2"/>
              <w:numId w:val="5"/>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25">
            <w:r>
              <w:rPr/>
              <w:t>严重帕金森病</w:t>
              <w:tab/>
            </w:r>
            <w:r>
              <w:rPr>
                <w:rFonts w:ascii="Times New Roman" w:eastAsia="Times New Roman"/>
              </w:rPr>
              <w:t>15</w:t>
            </w:r>
          </w:hyperlink>
        </w:p>
        <w:p>
          <w:pPr>
            <w:pStyle w:val="TOC3"/>
            <w:numPr>
              <w:ilvl w:val="2"/>
              <w:numId w:val="5"/>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24">
            <w:r>
              <w:rPr/>
              <w:t>严重</w:t>
            </w:r>
            <w:r>
              <w:rPr>
                <w:spacing w:val="-54"/>
              </w:rPr>
              <w:t> </w:t>
            </w:r>
            <w:r>
              <w:rPr/>
              <w:t>III</w:t>
            </w:r>
            <w:r>
              <w:rPr>
                <w:spacing w:val="-54"/>
              </w:rPr>
              <w:t> </w:t>
            </w:r>
            <w:r>
              <w:rPr/>
              <w:t>度烧伤</w:t>
              <w:tab/>
            </w:r>
            <w:r>
              <w:rPr>
                <w:rFonts w:ascii="Times New Roman" w:eastAsia="Times New Roman"/>
              </w:rPr>
              <w:t>15</w:t>
            </w:r>
          </w:hyperlink>
        </w:p>
        <w:p>
          <w:pPr>
            <w:pStyle w:val="TOC3"/>
            <w:numPr>
              <w:ilvl w:val="2"/>
              <w:numId w:val="5"/>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23">
            <w:r>
              <w:rPr/>
              <w:t>严重原发性肺动脉高压</w:t>
              <w:tab/>
            </w:r>
            <w:r>
              <w:rPr>
                <w:rFonts w:ascii="Times New Roman" w:eastAsia="Times New Roman"/>
              </w:rPr>
              <w:t>15</w:t>
            </w:r>
          </w:hyperlink>
        </w:p>
        <w:p>
          <w:pPr>
            <w:pStyle w:val="TOC3"/>
            <w:numPr>
              <w:ilvl w:val="2"/>
              <w:numId w:val="5"/>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22">
            <w:r>
              <w:rPr/>
              <w:t>严重运动神经元病</w:t>
              <w:tab/>
            </w:r>
            <w:r>
              <w:rPr>
                <w:rFonts w:ascii="Times New Roman" w:eastAsia="Times New Roman"/>
              </w:rPr>
              <w:t>16</w:t>
            </w:r>
          </w:hyperlink>
        </w:p>
        <w:p>
          <w:pPr>
            <w:pStyle w:val="TOC3"/>
            <w:numPr>
              <w:ilvl w:val="2"/>
              <w:numId w:val="5"/>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21">
            <w:r>
              <w:rPr/>
              <w:t>语言能力丧失</w:t>
              <w:tab/>
            </w:r>
            <w:r>
              <w:rPr>
                <w:rFonts w:ascii="Times New Roman" w:eastAsia="Times New Roman"/>
              </w:rPr>
              <w:t>16</w:t>
            </w:r>
          </w:hyperlink>
        </w:p>
        <w:p>
          <w:pPr>
            <w:pStyle w:val="TOC3"/>
            <w:numPr>
              <w:ilvl w:val="2"/>
              <w:numId w:val="5"/>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20">
            <w:r>
              <w:rPr/>
              <w:t>重型再生障碍性贫血</w:t>
              <w:tab/>
            </w:r>
            <w:r>
              <w:rPr>
                <w:rFonts w:ascii="Times New Roman" w:eastAsia="Times New Roman"/>
              </w:rPr>
              <w:t>16</w:t>
            </w:r>
          </w:hyperlink>
        </w:p>
        <w:p>
          <w:pPr>
            <w:pStyle w:val="TOC3"/>
            <w:numPr>
              <w:ilvl w:val="2"/>
              <w:numId w:val="5"/>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19">
            <w:r>
              <w:rPr/>
              <w:t>主动脉手术</w:t>
              <w:tab/>
            </w:r>
            <w:r>
              <w:rPr>
                <w:rFonts w:ascii="Times New Roman" w:eastAsia="Times New Roman"/>
              </w:rPr>
              <w:t>16</w:t>
            </w:r>
          </w:hyperlink>
        </w:p>
        <w:p>
          <w:pPr>
            <w:pStyle w:val="TOC3"/>
            <w:numPr>
              <w:ilvl w:val="2"/>
              <w:numId w:val="5"/>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18">
            <w:r>
              <w:rPr/>
              <w:t>系统性红斑狼疮</w:t>
            </w:r>
            <w:r>
              <w:rPr>
                <w:spacing w:val="-3"/>
              </w:rPr>
              <w:t> </w:t>
            </w:r>
            <w:r>
              <w:rPr/>
              <w:t>－</w:t>
            </w:r>
            <w:r>
              <w:rPr>
                <w:spacing w:val="-5"/>
              </w:rPr>
              <w:t> </w:t>
            </w:r>
            <w:r>
              <w:rPr/>
              <w:t>III</w:t>
            </w:r>
            <w:r>
              <w:rPr>
                <w:spacing w:val="-58"/>
              </w:rPr>
              <w:t> </w:t>
            </w:r>
            <w:r>
              <w:rPr/>
              <w:t>型或以上狼疮性肾炎</w:t>
              <w:tab/>
            </w:r>
            <w:r>
              <w:rPr>
                <w:rFonts w:ascii="Times New Roman" w:eastAsia="Times New Roman"/>
              </w:rPr>
              <w:t>17</w:t>
            </w:r>
          </w:hyperlink>
        </w:p>
        <w:p>
          <w:pPr>
            <w:pStyle w:val="TOC3"/>
            <w:numPr>
              <w:ilvl w:val="2"/>
              <w:numId w:val="5"/>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17">
            <w:r>
              <w:rPr>
                <w:spacing w:val="1"/>
                <w:w w:val="99"/>
              </w:rPr>
              <w:t>经</w:t>
            </w:r>
            <w:r>
              <w:rPr>
                <w:w w:val="99"/>
              </w:rPr>
              <w:t>输</w:t>
            </w:r>
            <w:r>
              <w:rPr>
                <w:spacing w:val="1"/>
                <w:w w:val="99"/>
              </w:rPr>
              <w:t>血</w:t>
            </w:r>
            <w:r>
              <w:rPr>
                <w:w w:val="99"/>
              </w:rPr>
              <w:t>导</w:t>
            </w:r>
            <w:r>
              <w:rPr>
                <w:spacing w:val="1"/>
                <w:w w:val="99"/>
              </w:rPr>
              <w:t>致</w:t>
            </w:r>
            <w:r>
              <w:rPr>
                <w:w w:val="99"/>
              </w:rPr>
              <w:t>的</w:t>
            </w:r>
            <w:r>
              <w:rPr>
                <w:spacing w:val="1"/>
                <w:w w:val="99"/>
              </w:rPr>
              <w:t>人</w:t>
            </w:r>
            <w:r>
              <w:rPr>
                <w:w w:val="99"/>
              </w:rPr>
              <w:t>类</w:t>
            </w:r>
            <w:r>
              <w:rPr>
                <w:spacing w:val="1"/>
                <w:w w:val="99"/>
              </w:rPr>
              <w:t>免</w:t>
            </w:r>
            <w:r>
              <w:rPr>
                <w:w w:val="99"/>
              </w:rPr>
              <w:t>疫</w:t>
            </w:r>
            <w:r>
              <w:rPr>
                <w:spacing w:val="1"/>
                <w:w w:val="99"/>
              </w:rPr>
              <w:t>缺</w:t>
            </w:r>
            <w:r>
              <w:rPr>
                <w:w w:val="99"/>
              </w:rPr>
              <w:t>陷</w:t>
            </w:r>
            <w:r>
              <w:rPr>
                <w:spacing w:val="1"/>
                <w:w w:val="99"/>
              </w:rPr>
              <w:t>病</w:t>
            </w:r>
            <w:r>
              <w:rPr>
                <w:w w:val="99"/>
              </w:rPr>
              <w:t>毒</w:t>
            </w:r>
            <w:r>
              <w:rPr>
                <w:spacing w:val="1"/>
                <w:w w:val="99"/>
              </w:rPr>
              <w:t>（</w:t>
            </w:r>
            <w:r>
              <w:rPr>
                <w:spacing w:val="-1"/>
                <w:w w:val="151"/>
              </w:rPr>
              <w:t>H</w:t>
            </w:r>
            <w:r>
              <w:rPr>
                <w:w w:val="70"/>
              </w:rPr>
              <w:t>I</w:t>
            </w:r>
            <w:r>
              <w:rPr>
                <w:w w:val="134"/>
              </w:rPr>
              <w:t>V</w:t>
            </w:r>
            <w:r>
              <w:rPr>
                <w:spacing w:val="1"/>
                <w:w w:val="99"/>
              </w:rPr>
              <w:t>）</w:t>
            </w:r>
            <w:r>
              <w:rPr>
                <w:w w:val="99"/>
              </w:rPr>
              <w:t>感染</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7</w:t>
            </w:r>
          </w:hyperlink>
        </w:p>
        <w:p>
          <w:pPr>
            <w:pStyle w:val="TOC3"/>
            <w:numPr>
              <w:ilvl w:val="2"/>
              <w:numId w:val="5"/>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16">
            <w:r>
              <w:rPr/>
              <w:t>严重多发性硬化</w:t>
              <w:tab/>
            </w:r>
            <w:r>
              <w:rPr>
                <w:rFonts w:ascii="Times New Roman" w:eastAsia="Times New Roman"/>
              </w:rPr>
              <w:t>17</w:t>
            </w:r>
          </w:hyperlink>
        </w:p>
        <w:p>
          <w:pPr>
            <w:pStyle w:val="TOC3"/>
            <w:numPr>
              <w:ilvl w:val="2"/>
              <w:numId w:val="5"/>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15">
            <w:r>
              <w:rPr/>
              <w:t>严重类风湿性关节炎</w:t>
              <w:tab/>
            </w:r>
            <w:r>
              <w:rPr>
                <w:rFonts w:ascii="Times New Roman" w:eastAsia="Times New Roman"/>
              </w:rPr>
              <w:t>18</w:t>
            </w:r>
          </w:hyperlink>
        </w:p>
        <w:p>
          <w:pPr>
            <w:pStyle w:val="TOC3"/>
            <w:numPr>
              <w:ilvl w:val="2"/>
              <w:numId w:val="5"/>
            </w:numPr>
            <w:tabs>
              <w:tab w:pos="2006" w:val="left" w:leader="none"/>
              <w:tab w:pos="2007" w:val="left" w:leader="none"/>
              <w:tab w:pos="8413" w:val="right" w:leader="dot"/>
            </w:tabs>
            <w:spacing w:line="240" w:lineRule="auto" w:before="21" w:after="0"/>
            <w:ind w:left="2006" w:right="0" w:hanging="1049"/>
            <w:jc w:val="left"/>
            <w:rPr>
              <w:rFonts w:ascii="Times New Roman" w:eastAsia="Times New Roman"/>
            </w:rPr>
          </w:pPr>
          <w:hyperlink w:history="true" w:anchor="_TOC_250014">
            <w:r>
              <w:rPr/>
              <w:t>慢性呼吸功能衰竭</w:t>
              <w:tab/>
            </w:r>
            <w:r>
              <w:rPr>
                <w:rFonts w:ascii="Times New Roman" w:eastAsia="Times New Roman"/>
              </w:rPr>
              <w:t>18</w:t>
            </w:r>
          </w:hyperlink>
        </w:p>
        <w:p>
          <w:pPr>
            <w:pStyle w:val="TOC2"/>
            <w:numPr>
              <w:ilvl w:val="1"/>
              <w:numId w:val="5"/>
            </w:numPr>
            <w:tabs>
              <w:tab w:pos="1166" w:val="left" w:leader="none"/>
              <w:tab w:pos="1167" w:val="left" w:leader="none"/>
              <w:tab w:pos="8413" w:val="right" w:leader="dot"/>
            </w:tabs>
            <w:spacing w:line="240" w:lineRule="auto" w:before="21" w:after="0"/>
            <w:ind w:left="1166" w:right="0" w:hanging="629"/>
            <w:jc w:val="left"/>
          </w:pPr>
          <w:hyperlink w:history="true" w:anchor="_TOC_250013">
            <w:r>
              <w:rPr/>
              <w:t>肢体机能完全丧失</w:t>
              <w:tab/>
            </w:r>
            <w:r>
              <w:rPr>
                <w:rFonts w:ascii="Times New Roman" w:eastAsia="Times New Roman"/>
              </w:rPr>
              <w:t>18</w:t>
            </w:r>
          </w:hyperlink>
        </w:p>
        <w:p>
          <w:pPr>
            <w:pStyle w:val="TOC2"/>
            <w:numPr>
              <w:ilvl w:val="1"/>
              <w:numId w:val="5"/>
            </w:numPr>
            <w:tabs>
              <w:tab w:pos="1166" w:val="left" w:leader="none"/>
              <w:tab w:pos="1167" w:val="left" w:leader="none"/>
              <w:tab w:pos="8413" w:val="right" w:leader="dot"/>
            </w:tabs>
            <w:spacing w:line="240" w:lineRule="auto" w:before="21" w:after="0"/>
            <w:ind w:left="1166" w:right="0" w:hanging="629"/>
            <w:jc w:val="left"/>
          </w:pPr>
          <w:hyperlink w:history="true" w:anchor="_TOC_250012">
            <w:r>
              <w:rPr/>
              <w:t>语言能力或咀嚼吞咽能力完全丧失</w:t>
              <w:tab/>
            </w:r>
            <w:r>
              <w:rPr>
                <w:rFonts w:ascii="Times New Roman" w:eastAsia="Times New Roman"/>
              </w:rPr>
              <w:t>19</w:t>
            </w:r>
          </w:hyperlink>
        </w:p>
        <w:p>
          <w:pPr>
            <w:pStyle w:val="TOC2"/>
            <w:numPr>
              <w:ilvl w:val="1"/>
              <w:numId w:val="5"/>
            </w:numPr>
            <w:tabs>
              <w:tab w:pos="1166" w:val="left" w:leader="none"/>
              <w:tab w:pos="1167" w:val="left" w:leader="none"/>
              <w:tab w:pos="8413" w:val="right" w:leader="dot"/>
            </w:tabs>
            <w:spacing w:line="240" w:lineRule="auto" w:before="21" w:after="0"/>
            <w:ind w:left="1166" w:right="0" w:hanging="629"/>
            <w:jc w:val="left"/>
          </w:pPr>
          <w:hyperlink w:history="true" w:anchor="_TOC_250011">
            <w:r>
              <w:rPr/>
              <w:t>六项基本日常生活活动</w:t>
              <w:tab/>
            </w:r>
            <w:r>
              <w:rPr>
                <w:rFonts w:ascii="Times New Roman" w:eastAsia="Times New Roman"/>
              </w:rPr>
              <w:t>19</w:t>
            </w:r>
          </w:hyperlink>
        </w:p>
        <w:p>
          <w:pPr>
            <w:pStyle w:val="TOC2"/>
            <w:numPr>
              <w:ilvl w:val="1"/>
              <w:numId w:val="5"/>
            </w:numPr>
            <w:tabs>
              <w:tab w:pos="1166" w:val="left" w:leader="none"/>
              <w:tab w:pos="1167" w:val="left" w:leader="none"/>
              <w:tab w:pos="8413" w:val="right" w:leader="dot"/>
            </w:tabs>
            <w:spacing w:line="240" w:lineRule="auto" w:before="21" w:after="0"/>
            <w:ind w:left="1166" w:right="0" w:hanging="629"/>
            <w:jc w:val="left"/>
          </w:pPr>
          <w:hyperlink w:history="true" w:anchor="_TOC_250010">
            <w:r>
              <w:rPr/>
              <w:t>永久不可逆</w:t>
              <w:tab/>
            </w:r>
            <w:r>
              <w:rPr>
                <w:rFonts w:ascii="Times New Roman" w:eastAsia="Times New Roman"/>
              </w:rPr>
              <w:t>19</w:t>
            </w:r>
          </w:hyperlink>
        </w:p>
        <w:p>
          <w:pPr>
            <w:pStyle w:val="TOC2"/>
            <w:numPr>
              <w:ilvl w:val="1"/>
              <w:numId w:val="5"/>
            </w:numPr>
            <w:tabs>
              <w:tab w:pos="1166" w:val="left" w:leader="none"/>
              <w:tab w:pos="1167" w:val="left" w:leader="none"/>
              <w:tab w:pos="8413" w:val="right" w:leader="dot"/>
            </w:tabs>
            <w:spacing w:line="240" w:lineRule="auto" w:before="21" w:after="0"/>
            <w:ind w:left="1166" w:right="0" w:hanging="629"/>
            <w:jc w:val="left"/>
          </w:pPr>
          <w:hyperlink w:history="true" w:anchor="_TOC_250009">
            <w:r>
              <w:rPr/>
              <w:t>专科医生</w:t>
              <w:tab/>
            </w:r>
            <w:r>
              <w:rPr>
                <w:rFonts w:ascii="Times New Roman" w:eastAsia="Times New Roman"/>
              </w:rPr>
              <w:t>19</w:t>
            </w:r>
          </w:hyperlink>
        </w:p>
        <w:p>
          <w:pPr>
            <w:pStyle w:val="TOC2"/>
            <w:numPr>
              <w:ilvl w:val="1"/>
              <w:numId w:val="5"/>
            </w:numPr>
            <w:tabs>
              <w:tab w:pos="1166" w:val="left" w:leader="none"/>
              <w:tab w:pos="1167" w:val="left" w:leader="none"/>
              <w:tab w:pos="8413" w:val="right" w:leader="dot"/>
            </w:tabs>
            <w:spacing w:line="240" w:lineRule="auto" w:before="21" w:after="0"/>
            <w:ind w:left="1166" w:right="0" w:hanging="629"/>
            <w:jc w:val="left"/>
          </w:pPr>
          <w:hyperlink w:history="true" w:anchor="_TOC_250008">
            <w:r>
              <w:rPr/>
              <w:t>永久完全残疾</w:t>
              <w:tab/>
            </w:r>
            <w:r>
              <w:rPr>
                <w:rFonts w:ascii="Times New Roman" w:eastAsia="Times New Roman"/>
              </w:rPr>
              <w:t>19</w:t>
            </w:r>
          </w:hyperlink>
        </w:p>
        <w:p>
          <w:pPr>
            <w:pStyle w:val="TOC2"/>
            <w:numPr>
              <w:ilvl w:val="1"/>
              <w:numId w:val="5"/>
            </w:numPr>
            <w:tabs>
              <w:tab w:pos="1377" w:val="left" w:leader="none"/>
              <w:tab w:pos="1378" w:val="left" w:leader="none"/>
              <w:tab w:pos="8413" w:val="right" w:leader="dot"/>
            </w:tabs>
            <w:spacing w:line="240" w:lineRule="auto" w:before="21" w:after="0"/>
            <w:ind w:left="1377" w:right="0" w:hanging="840"/>
            <w:jc w:val="left"/>
          </w:pPr>
          <w:hyperlink w:history="true" w:anchor="_TOC_250007">
            <w:r>
              <w:rPr/>
              <w:t>本条款约定确诊日</w:t>
              <w:tab/>
            </w:r>
            <w:r>
              <w:rPr>
                <w:rFonts w:ascii="Times New Roman" w:eastAsia="Times New Roman"/>
              </w:rPr>
              <w:t>20</w:t>
            </w:r>
          </w:hyperlink>
        </w:p>
        <w:p>
          <w:pPr>
            <w:pStyle w:val="TOC2"/>
            <w:numPr>
              <w:ilvl w:val="1"/>
              <w:numId w:val="5"/>
            </w:numPr>
            <w:tabs>
              <w:tab w:pos="1377" w:val="left" w:leader="none"/>
              <w:tab w:pos="1378" w:val="left" w:leader="none"/>
              <w:tab w:pos="8413" w:val="right" w:leader="dot"/>
            </w:tabs>
            <w:spacing w:line="240" w:lineRule="auto" w:before="21" w:after="0"/>
            <w:ind w:left="1377" w:right="0" w:hanging="840"/>
            <w:jc w:val="left"/>
          </w:pPr>
          <w:hyperlink w:history="true" w:anchor="_TOC_250006">
            <w:r>
              <w:rPr/>
              <w:t>无合法有效驾驶证驾驶</w:t>
              <w:tab/>
            </w:r>
            <w:r>
              <w:rPr>
                <w:rFonts w:ascii="Times New Roman" w:eastAsia="Times New Roman"/>
              </w:rPr>
              <w:t>20</w:t>
            </w:r>
          </w:hyperlink>
        </w:p>
        <w:p>
          <w:pPr>
            <w:pStyle w:val="TOC2"/>
            <w:numPr>
              <w:ilvl w:val="1"/>
              <w:numId w:val="5"/>
            </w:numPr>
            <w:tabs>
              <w:tab w:pos="1377" w:val="left" w:leader="none"/>
              <w:tab w:pos="1378" w:val="left" w:leader="none"/>
              <w:tab w:pos="8413" w:val="right" w:leader="dot"/>
            </w:tabs>
            <w:spacing w:line="240" w:lineRule="auto" w:before="21" w:after="0"/>
            <w:ind w:left="1377" w:right="0" w:hanging="840"/>
            <w:jc w:val="left"/>
          </w:pPr>
          <w:hyperlink w:history="true" w:anchor="_TOC_250005">
            <w:r>
              <w:rPr/>
              <w:t>感染艾滋病病毒或患艾滋病</w:t>
              <w:tab/>
            </w:r>
            <w:r>
              <w:rPr>
                <w:rFonts w:ascii="Times New Roman" w:eastAsia="Times New Roman"/>
              </w:rPr>
              <w:t>21</w:t>
            </w:r>
          </w:hyperlink>
        </w:p>
        <w:p>
          <w:pPr>
            <w:pStyle w:val="TOC2"/>
            <w:numPr>
              <w:ilvl w:val="1"/>
              <w:numId w:val="5"/>
            </w:numPr>
            <w:tabs>
              <w:tab w:pos="1377" w:val="left" w:leader="none"/>
              <w:tab w:pos="1378" w:val="left" w:leader="none"/>
              <w:tab w:pos="8413" w:val="right" w:leader="dot"/>
            </w:tabs>
            <w:spacing w:line="240" w:lineRule="auto" w:before="21" w:after="0"/>
            <w:ind w:left="1377" w:right="0" w:hanging="840"/>
            <w:jc w:val="left"/>
          </w:pPr>
          <w:hyperlink w:history="true" w:anchor="_TOC_250004">
            <w:r>
              <w:rPr/>
              <w:t>遗传性疾病</w:t>
              <w:tab/>
            </w:r>
            <w:r>
              <w:rPr>
                <w:rFonts w:ascii="Times New Roman" w:eastAsia="Times New Roman"/>
              </w:rPr>
              <w:t>21</w:t>
            </w:r>
          </w:hyperlink>
        </w:p>
        <w:p>
          <w:pPr>
            <w:pStyle w:val="TOC2"/>
            <w:numPr>
              <w:ilvl w:val="1"/>
              <w:numId w:val="5"/>
            </w:numPr>
            <w:tabs>
              <w:tab w:pos="1377" w:val="left" w:leader="none"/>
              <w:tab w:pos="1378" w:val="left" w:leader="none"/>
              <w:tab w:pos="8413" w:val="right" w:leader="dot"/>
            </w:tabs>
            <w:spacing w:line="240" w:lineRule="auto" w:before="21" w:after="0"/>
            <w:ind w:left="1377" w:right="0" w:hanging="840"/>
            <w:jc w:val="left"/>
          </w:pPr>
          <w:hyperlink w:history="true" w:anchor="_TOC_250003">
            <w:r>
              <w:rPr/>
              <w:t>先天性畸形、变形或染色体异常</w:t>
              <w:tab/>
            </w:r>
            <w:r>
              <w:rPr>
                <w:rFonts w:ascii="Times New Roman" w:eastAsia="Times New Roman"/>
              </w:rPr>
              <w:t>21</w:t>
            </w:r>
          </w:hyperlink>
        </w:p>
        <w:p>
          <w:pPr>
            <w:pStyle w:val="TOC2"/>
            <w:numPr>
              <w:ilvl w:val="1"/>
              <w:numId w:val="5"/>
            </w:numPr>
            <w:tabs>
              <w:tab w:pos="1377" w:val="left" w:leader="none"/>
              <w:tab w:pos="1378" w:val="left" w:leader="none"/>
              <w:tab w:pos="8413" w:val="right" w:leader="dot"/>
            </w:tabs>
            <w:spacing w:line="240" w:lineRule="auto" w:before="21" w:after="0"/>
            <w:ind w:left="1377" w:right="0" w:hanging="840"/>
            <w:jc w:val="left"/>
          </w:pPr>
          <w:hyperlink w:history="true" w:anchor="_TOC_250002">
            <w:r>
              <w:rPr/>
              <w:t>银行转账交费</w:t>
              <w:tab/>
            </w:r>
            <w:r>
              <w:rPr>
                <w:rFonts w:ascii="Times New Roman" w:eastAsia="Times New Roman"/>
              </w:rPr>
              <w:t>21</w:t>
            </w:r>
          </w:hyperlink>
        </w:p>
        <w:p>
          <w:pPr>
            <w:pStyle w:val="TOC2"/>
            <w:numPr>
              <w:ilvl w:val="1"/>
              <w:numId w:val="5"/>
            </w:numPr>
            <w:tabs>
              <w:tab w:pos="1377" w:val="left" w:leader="none"/>
              <w:tab w:pos="1378" w:val="left" w:leader="none"/>
              <w:tab w:pos="8413" w:val="right" w:leader="dot"/>
            </w:tabs>
            <w:spacing w:line="240" w:lineRule="auto" w:before="21" w:after="0"/>
            <w:ind w:left="1377" w:right="0" w:hanging="840"/>
            <w:jc w:val="left"/>
          </w:pPr>
          <w:hyperlink w:history="true" w:anchor="_TOC_250001">
            <w:r>
              <w:rPr/>
              <w:t>本条款约定利率</w:t>
              <w:tab/>
            </w:r>
            <w:r>
              <w:rPr>
                <w:rFonts w:ascii="Times New Roman" w:eastAsia="Times New Roman"/>
              </w:rPr>
              <w:t>21</w:t>
            </w:r>
          </w:hyperlink>
        </w:p>
        <w:p>
          <w:pPr>
            <w:pStyle w:val="TOC2"/>
            <w:numPr>
              <w:ilvl w:val="1"/>
              <w:numId w:val="5"/>
            </w:numPr>
            <w:tabs>
              <w:tab w:pos="1377" w:val="left" w:leader="none"/>
              <w:tab w:pos="1378" w:val="left" w:leader="none"/>
              <w:tab w:pos="8413" w:val="right" w:leader="dot"/>
            </w:tabs>
            <w:spacing w:line="240" w:lineRule="auto" w:before="21" w:after="0"/>
            <w:ind w:left="1377" w:right="0" w:hanging="840"/>
            <w:jc w:val="left"/>
          </w:pPr>
          <w:hyperlink w:history="true" w:anchor="_TOC_250000">
            <w:r>
              <w:rPr/>
              <w:t>不可抗力</w:t>
              <w:tab/>
            </w:r>
            <w:r>
              <w:rPr>
                <w:rFonts w:ascii="Times New Roman" w:eastAsia="Times New Roman"/>
              </w:rPr>
              <w:t>21</w:t>
            </w:r>
          </w:hyperlink>
        </w:p>
      </w:sdtContent>
    </w:sdt>
    <w:p>
      <w:pPr>
        <w:spacing w:after="0" w:line="240" w:lineRule="auto"/>
        <w:jc w:val="left"/>
        <w:sectPr>
          <w:type w:val="continuous"/>
          <w:pgSz w:w="11910" w:h="16840"/>
          <w:pgMar w:top="1380" w:bottom="1542" w:left="1680" w:right="1680"/>
        </w:sectPr>
      </w:pPr>
    </w:p>
    <w:p>
      <w:pPr>
        <w:spacing w:before="156"/>
        <w:ind w:left="706" w:right="0" w:firstLine="0"/>
        <w:jc w:val="left"/>
        <w:rPr>
          <w:rFonts w:ascii="Microsoft JhengHei UI" w:eastAsia="Microsoft JhengHei UI" w:hint="eastAsia"/>
          <w:b/>
          <w:sz w:val="28"/>
        </w:rPr>
      </w:pPr>
      <w:bookmarkStart w:name="合同订立" w:id="1"/>
      <w:bookmarkEnd w:id="1"/>
      <w:r>
        <w:rPr/>
      </w:r>
      <w:bookmarkStart w:name="投保年龄" w:id="2"/>
      <w:bookmarkEnd w:id="2"/>
      <w:r>
        <w:rPr/>
      </w:r>
      <w:bookmarkStart w:name="合同生效" w:id="3"/>
      <w:bookmarkEnd w:id="3"/>
      <w:r>
        <w:rPr/>
      </w:r>
      <w:bookmarkStart w:name="投保日期回溯选择权" w:id="4"/>
      <w:bookmarkEnd w:id="4"/>
      <w:r>
        <w:rPr/>
      </w:r>
      <w:r>
        <w:rPr>
          <w:rFonts w:ascii="Microsoft JhengHei UI" w:eastAsia="Microsoft JhengHei UI" w:hint="eastAsia"/>
          <w:b/>
          <w:sz w:val="28"/>
        </w:rPr>
        <w:t>中新大东方附加投保人豁免保险费重大疾病保险二代条款</w:t>
      </w:r>
    </w:p>
    <w:p>
      <w:pPr>
        <w:pStyle w:val="BodyText"/>
        <w:spacing w:before="207"/>
        <w:ind w:left="1372"/>
      </w:pPr>
      <w:r>
        <w:rPr>
          <w:w w:val="95"/>
        </w:rPr>
        <w:t>（中新大东方[2009]100 号 呈报中国保险监督管理委员会备案）</w:t>
      </w:r>
    </w:p>
    <w:p>
      <w:pPr>
        <w:pStyle w:val="BodyText"/>
        <w:spacing w:before="193"/>
        <w:ind w:left="117"/>
      </w:pPr>
      <w:r>
        <w:rPr>
          <w:spacing w:val="-21"/>
          <w:w w:val="99"/>
        </w:rPr>
        <w:t>在本条款中，“您”指投保人，“我们”、“本公司”均指中新大东方人寿保险有限公司。</w:t>
      </w:r>
    </w:p>
    <w:p>
      <w:pPr>
        <w:pStyle w:val="BodyText"/>
        <w:spacing w:line="408" w:lineRule="auto" w:before="193"/>
        <w:ind w:left="117" w:right="237"/>
      </w:pPr>
      <w:r>
        <w:rPr>
          <w:spacing w:val="-5"/>
        </w:rPr>
        <w:t>“中新大东方附加投保人豁免保险费重大疾病保险二代合同” 在以下条款中简称为“本附</w:t>
      </w:r>
      <w:r>
        <w:rPr>
          <w:spacing w:val="-5"/>
          <w:w w:val="95"/>
        </w:rPr>
        <w:t>加险合同”</w:t>
      </w:r>
    </w:p>
    <w:p>
      <w:pPr>
        <w:pStyle w:val="BodyText"/>
        <w:spacing w:before="4"/>
        <w:rPr>
          <w:sz w:val="36"/>
        </w:rPr>
      </w:pPr>
    </w:p>
    <w:p>
      <w:pPr>
        <w:pStyle w:val="Heading2"/>
        <w:numPr>
          <w:ilvl w:val="0"/>
          <w:numId w:val="6"/>
        </w:numPr>
        <w:tabs>
          <w:tab w:pos="555" w:val="left" w:leader="none"/>
          <w:tab w:pos="556" w:val="left" w:leader="none"/>
        </w:tabs>
        <w:spacing w:line="240" w:lineRule="auto" w:before="1" w:after="0"/>
        <w:ind w:left="555" w:right="0" w:hanging="432"/>
        <w:jc w:val="left"/>
      </w:pPr>
      <w:bookmarkStart w:name="_TOC_250082" w:id="5"/>
      <w:bookmarkEnd w:id="5"/>
      <w:r>
        <w:rPr>
          <w:w w:val="95"/>
        </w:rPr>
        <w:t>合同订立</w:t>
      </w:r>
    </w:p>
    <w:p>
      <w:pPr>
        <w:pStyle w:val="BodyText"/>
        <w:spacing w:before="8"/>
        <w:rPr>
          <w:rFonts w:ascii="Microsoft JhengHei UI"/>
          <w:b/>
          <w:sz w:val="38"/>
        </w:rPr>
      </w:pPr>
    </w:p>
    <w:p>
      <w:pPr>
        <w:pStyle w:val="BodyText"/>
        <w:spacing w:line="408" w:lineRule="auto"/>
        <w:ind w:left="117" w:right="115"/>
      </w:pPr>
      <w:r>
        <w:rPr/>
        <w:t>本附加险合同由主保险合同（以下简称“主险合同”）投保人申请，经我们同意而订立。</w:t>
      </w:r>
      <w:r>
        <w:rPr>
          <w:spacing w:val="-3"/>
          <w:w w:val="95"/>
        </w:rPr>
        <w:t>只有当投保人与被保险人不是同一个人时，才可以附加本险种，且本附加险的被保险人、投   保人是所附主险合同的投保人。</w:t>
      </w:r>
    </w:p>
    <w:p>
      <w:pPr>
        <w:pStyle w:val="BodyText"/>
        <w:spacing w:before="4"/>
        <w:rPr>
          <w:sz w:val="36"/>
        </w:rPr>
      </w:pPr>
    </w:p>
    <w:p>
      <w:pPr>
        <w:pStyle w:val="Heading2"/>
        <w:numPr>
          <w:ilvl w:val="0"/>
          <w:numId w:val="6"/>
        </w:numPr>
        <w:tabs>
          <w:tab w:pos="555" w:val="left" w:leader="none"/>
          <w:tab w:pos="556" w:val="left" w:leader="none"/>
        </w:tabs>
        <w:spacing w:line="240" w:lineRule="auto" w:before="0" w:after="0"/>
        <w:ind w:left="555" w:right="0" w:hanging="432"/>
        <w:jc w:val="left"/>
      </w:pPr>
      <w:bookmarkStart w:name="_TOC_250081" w:id="6"/>
      <w:bookmarkEnd w:id="6"/>
      <w:r>
        <w:rPr>
          <w:w w:val="95"/>
        </w:rPr>
        <w:t>投保年龄</w:t>
      </w:r>
    </w:p>
    <w:p>
      <w:pPr>
        <w:pStyle w:val="BodyText"/>
        <w:spacing w:before="7"/>
        <w:rPr>
          <w:rFonts w:ascii="Microsoft JhengHei UI"/>
          <w:b/>
          <w:sz w:val="35"/>
        </w:rPr>
      </w:pPr>
    </w:p>
    <w:p>
      <w:pPr>
        <w:pStyle w:val="BodyText"/>
        <w:ind w:left="117"/>
      </w:pPr>
      <w:r>
        <w:rPr>
          <w:spacing w:val="-4"/>
          <w:w w:val="99"/>
        </w:rPr>
        <w:t>投保人的年龄以</w:t>
      </w:r>
      <w:r>
        <w:rPr>
          <w:rFonts w:ascii="Microsoft JhengHei UI" w:eastAsia="Microsoft JhengHei UI" w:hint="eastAsia"/>
          <w:b/>
          <w:spacing w:val="-48"/>
          <w:w w:val="99"/>
        </w:rPr>
        <w:t>周</w:t>
      </w:r>
      <w:r>
        <w:rPr>
          <w:spacing w:val="-267"/>
          <w:w w:val="99"/>
          <w:position w:val="1"/>
        </w:rPr>
        <w:t>岁</w:t>
      </w:r>
      <w:r>
        <w:rPr>
          <w:spacing w:val="-264"/>
          <w:w w:val="99"/>
        </w:rPr>
        <w:t>岁岁</w:t>
      </w:r>
      <w:r>
        <w:rPr>
          <w:spacing w:val="-48"/>
          <w:w w:val="99"/>
        </w:rPr>
        <w:t>岁</w:t>
      </w:r>
      <w:r>
        <w:rPr>
          <w:spacing w:val="-1"/>
          <w:w w:val="58"/>
        </w:rPr>
        <w:t>(</w:t>
      </w:r>
      <w:r>
        <w:rPr>
          <w:w w:val="99"/>
        </w:rPr>
        <w:t>见释义</w:t>
      </w:r>
      <w:r>
        <w:rPr>
          <w:w w:val="93"/>
        </w:rPr>
        <w:t>11</w:t>
      </w:r>
      <w:r>
        <w:rPr>
          <w:spacing w:val="-1"/>
          <w:w w:val="43"/>
        </w:rPr>
        <w:t>.</w:t>
      </w:r>
      <w:r>
        <w:rPr>
          <w:w w:val="93"/>
        </w:rPr>
        <w:t>1</w:t>
      </w:r>
      <w:r>
        <w:rPr>
          <w:spacing w:val="-1"/>
          <w:w w:val="58"/>
        </w:rPr>
        <w:t>)</w:t>
      </w:r>
      <w:r>
        <w:rPr>
          <w:w w:val="99"/>
        </w:rPr>
        <w:t>计算。</w:t>
      </w:r>
    </w:p>
    <w:p>
      <w:pPr>
        <w:pStyle w:val="BodyText"/>
        <w:spacing w:before="169"/>
        <w:ind w:left="117"/>
      </w:pPr>
      <w:r>
        <w:rPr>
          <w:w w:val="95"/>
        </w:rPr>
        <w:t>本附加险合同接受的投保人年龄范围为：18周岁至60周岁。</w:t>
      </w:r>
    </w:p>
    <w:p>
      <w:pPr>
        <w:pStyle w:val="BodyText"/>
        <w:rPr>
          <w:sz w:val="26"/>
        </w:rPr>
      </w:pPr>
    </w:p>
    <w:p>
      <w:pPr>
        <w:pStyle w:val="BodyText"/>
        <w:spacing w:before="7"/>
      </w:pPr>
    </w:p>
    <w:p>
      <w:pPr>
        <w:pStyle w:val="Heading2"/>
        <w:numPr>
          <w:ilvl w:val="0"/>
          <w:numId w:val="6"/>
        </w:numPr>
        <w:tabs>
          <w:tab w:pos="555" w:val="left" w:leader="none"/>
          <w:tab w:pos="556" w:val="left" w:leader="none"/>
        </w:tabs>
        <w:spacing w:line="240" w:lineRule="auto" w:before="0" w:after="0"/>
        <w:ind w:left="555" w:right="0" w:hanging="432"/>
        <w:jc w:val="left"/>
      </w:pPr>
      <w:bookmarkStart w:name="_TOC_250080" w:id="7"/>
      <w:bookmarkEnd w:id="7"/>
      <w:r>
        <w:rPr>
          <w:w w:val="95"/>
        </w:rPr>
        <w:t>合同生效</w:t>
      </w:r>
    </w:p>
    <w:p>
      <w:pPr>
        <w:pStyle w:val="BodyText"/>
        <w:spacing w:before="9"/>
        <w:rPr>
          <w:rFonts w:ascii="Microsoft JhengHei UI"/>
          <w:b/>
          <w:sz w:val="38"/>
        </w:rPr>
      </w:pPr>
    </w:p>
    <w:p>
      <w:pPr>
        <w:pStyle w:val="BodyText"/>
        <w:spacing w:line="408" w:lineRule="auto" w:before="1"/>
        <w:ind w:left="117" w:right="194"/>
      </w:pPr>
      <w:r>
        <w:rPr>
          <w:w w:val="95"/>
        </w:rPr>
        <w:t>本附加险合同在我们同意承保、已向您收取首期保险费且签发保险单的前提下</w:t>
      </w:r>
      <w:r>
        <w:rPr>
          <w:spacing w:val="-3"/>
          <w:w w:val="75"/>
        </w:rPr>
        <w:t>,</w:t>
      </w:r>
      <w:r>
        <w:rPr>
          <w:w w:val="95"/>
        </w:rPr>
        <w:t>自投保日次  日零时起开始生效，具体生效日以保险单所载的日期为准。</w:t>
      </w:r>
    </w:p>
    <w:p>
      <w:pPr>
        <w:pStyle w:val="BodyText"/>
        <w:spacing w:before="4"/>
        <w:rPr>
          <w:sz w:val="36"/>
        </w:rPr>
      </w:pPr>
    </w:p>
    <w:p>
      <w:pPr>
        <w:pStyle w:val="Heading2"/>
        <w:numPr>
          <w:ilvl w:val="0"/>
          <w:numId w:val="6"/>
        </w:numPr>
        <w:tabs>
          <w:tab w:pos="555" w:val="left" w:leader="none"/>
          <w:tab w:pos="556" w:val="left" w:leader="none"/>
        </w:tabs>
        <w:spacing w:line="240" w:lineRule="auto" w:before="1" w:after="0"/>
        <w:ind w:left="555" w:right="0" w:hanging="432"/>
        <w:jc w:val="left"/>
      </w:pPr>
      <w:bookmarkStart w:name="_TOC_250079" w:id="8"/>
      <w:bookmarkEnd w:id="8"/>
      <w:r>
        <w:rPr/>
        <w:t>投保日期回溯选择权</w:t>
      </w:r>
    </w:p>
    <w:p>
      <w:pPr>
        <w:pStyle w:val="BodyText"/>
        <w:spacing w:before="8"/>
        <w:rPr>
          <w:rFonts w:ascii="Microsoft JhengHei UI"/>
          <w:b/>
          <w:sz w:val="38"/>
        </w:rPr>
      </w:pPr>
    </w:p>
    <w:p>
      <w:pPr>
        <w:pStyle w:val="BodyText"/>
        <w:spacing w:line="408" w:lineRule="auto"/>
        <w:ind w:left="117" w:right="133"/>
      </w:pPr>
      <w:r>
        <w:rPr/>
        <w:t>您可以选择将投保日期回溯到投保前的某一日期，我们将根据此回溯日期对应的年龄计算</w:t>
      </w:r>
      <w:r>
        <w:rPr>
          <w:spacing w:val="-12"/>
        </w:rPr>
        <w:t>您应交纳的保险费。但是，本附加险合同的生效条件和生效日期仍遵循以上第 </w:t>
      </w:r>
      <w:r>
        <w:rPr/>
        <w:t>3</w:t>
      </w:r>
      <w:r>
        <w:rPr>
          <w:spacing w:val="-12"/>
        </w:rPr>
        <w:t> 条的规定。</w:t>
      </w:r>
    </w:p>
    <w:p>
      <w:pPr>
        <w:spacing w:after="0" w:line="408" w:lineRule="auto"/>
        <w:sectPr>
          <w:pgSz w:w="11910" w:h="16840"/>
          <w:pgMar w:header="0" w:footer="1074" w:top="1580" w:bottom="1260" w:left="1680" w:right="1680"/>
        </w:sectPr>
      </w:pPr>
    </w:p>
    <w:p>
      <w:pPr>
        <w:pStyle w:val="Heading2"/>
        <w:numPr>
          <w:ilvl w:val="0"/>
          <w:numId w:val="6"/>
        </w:numPr>
        <w:tabs>
          <w:tab w:pos="556" w:val="left" w:leader="none"/>
        </w:tabs>
        <w:spacing w:line="240" w:lineRule="auto" w:before="3" w:after="0"/>
        <w:ind w:left="555" w:right="0" w:hanging="432"/>
        <w:jc w:val="both"/>
      </w:pPr>
      <w:bookmarkStart w:name="_TOC_250078" w:id="9"/>
      <w:bookmarkStart w:name="保险责任" w:id="10"/>
      <w:r>
        <w:rPr>
          <w:b w:val="0"/>
        </w:rPr>
      </w:r>
      <w:bookmarkStart w:name="保险责任的开始" w:id="11"/>
      <w:bookmarkEnd w:id="11"/>
      <w:r>
        <w:rPr>
          <w:b w:val="0"/>
        </w:rPr>
      </w:r>
      <w:bookmarkStart w:name="投保人身故或永久完全残疾保险费豁免责任的开始" w:id="12"/>
      <w:bookmarkEnd w:id="12"/>
      <w:r>
        <w:rPr>
          <w:b w:val="0"/>
        </w:rPr>
      </w:r>
      <w:bookmarkStart w:name="投保人重大疾病保险费豁免责任的开始" w:id="13"/>
      <w:bookmarkEnd w:id="13"/>
      <w:r>
        <w:rPr>
          <w:b w:val="0"/>
        </w:rPr>
      </w:r>
      <w:bookmarkStart w:name="保险期间" w:id="14"/>
      <w:bookmarkEnd w:id="14"/>
      <w:r>
        <w:rPr>
          <w:b w:val="0"/>
        </w:rPr>
      </w:r>
      <w:bookmarkStart w:name="我们承担的保险责任" w:id="15"/>
      <w:bookmarkEnd w:id="15"/>
      <w:r>
        <w:rPr>
          <w:b w:val="0"/>
        </w:rPr>
      </w:r>
      <w:bookmarkStart w:name="投保人身故或永久完全残疾保险费豁免" w:id="16"/>
      <w:bookmarkEnd w:id="16"/>
      <w:r>
        <w:rPr>
          <w:b w:val="0"/>
        </w:rPr>
      </w:r>
      <w:bookmarkStart w:name="投保人身故或永久完全残疾保险费豁免" w:id="17"/>
      <w:bookmarkEnd w:id="9"/>
      <w:r>
        <w:rPr>
          <w:w w:val="95"/>
        </w:rPr>
        <w:t>保险责任</w:t>
      </w:r>
    </w:p>
    <w:p>
      <w:pPr>
        <w:pStyle w:val="BodyText"/>
        <w:spacing w:before="7"/>
        <w:rPr>
          <w:rFonts w:ascii="Microsoft JhengHei UI"/>
          <w:b/>
          <w:sz w:val="37"/>
        </w:rPr>
      </w:pPr>
    </w:p>
    <w:p>
      <w:pPr>
        <w:pStyle w:val="Heading2"/>
        <w:numPr>
          <w:ilvl w:val="1"/>
          <w:numId w:val="6"/>
        </w:numPr>
        <w:tabs>
          <w:tab w:pos="700" w:val="left" w:leader="none"/>
        </w:tabs>
        <w:spacing w:line="240" w:lineRule="auto" w:before="1" w:after="0"/>
        <w:ind w:left="699" w:right="0" w:hanging="576"/>
        <w:jc w:val="both"/>
      </w:pPr>
      <w:bookmarkStart w:name="_TOC_250077" w:id="18"/>
      <w:bookmarkEnd w:id="18"/>
      <w:r>
        <w:rPr>
          <w:w w:val="95"/>
        </w:rPr>
        <w:t>保险责任的开始</w:t>
      </w:r>
    </w:p>
    <w:p>
      <w:pPr>
        <w:pStyle w:val="BodyText"/>
        <w:spacing w:before="13"/>
        <w:rPr>
          <w:rFonts w:ascii="Microsoft JhengHei UI"/>
          <w:b/>
          <w:sz w:val="25"/>
        </w:rPr>
      </w:pPr>
    </w:p>
    <w:p>
      <w:pPr>
        <w:pStyle w:val="Heading2"/>
        <w:numPr>
          <w:ilvl w:val="2"/>
          <w:numId w:val="6"/>
        </w:numPr>
        <w:tabs>
          <w:tab w:pos="844" w:val="left" w:leader="none"/>
        </w:tabs>
        <w:spacing w:line="240" w:lineRule="auto" w:before="0" w:after="0"/>
        <w:ind w:left="843" w:right="0" w:hanging="726"/>
        <w:jc w:val="both"/>
      </w:pPr>
      <w:bookmarkStart w:name="_TOC_250076" w:id="19"/>
      <w:bookmarkEnd w:id="19"/>
      <w:r>
        <w:rPr>
          <w:w w:val="95"/>
        </w:rPr>
        <w:t>投保人身故或永久完全残疾保险费豁免责任的开始</w:t>
      </w:r>
    </w:p>
    <w:p>
      <w:pPr>
        <w:pStyle w:val="BodyText"/>
        <w:spacing w:before="2"/>
        <w:rPr>
          <w:rFonts w:ascii="Microsoft JhengHei UI"/>
          <w:b/>
          <w:sz w:val="23"/>
        </w:rPr>
      </w:pPr>
    </w:p>
    <w:p>
      <w:pPr>
        <w:pStyle w:val="BodyText"/>
        <w:ind w:left="117"/>
        <w:jc w:val="both"/>
      </w:pPr>
      <w:r>
        <w:rPr>
          <w:w w:val="95"/>
        </w:rPr>
        <w:t>我们自本附加险合同生效时开始承担投保人身故或永久完全残疾保险费豁免责任。</w:t>
      </w:r>
    </w:p>
    <w:p>
      <w:pPr>
        <w:pStyle w:val="BodyText"/>
        <w:spacing w:before="11"/>
        <w:rPr>
          <w:sz w:val="25"/>
        </w:rPr>
      </w:pPr>
    </w:p>
    <w:p>
      <w:pPr>
        <w:pStyle w:val="Heading2"/>
        <w:numPr>
          <w:ilvl w:val="2"/>
          <w:numId w:val="6"/>
        </w:numPr>
        <w:tabs>
          <w:tab w:pos="844" w:val="left" w:leader="none"/>
        </w:tabs>
        <w:spacing w:line="240" w:lineRule="auto" w:before="0" w:after="0"/>
        <w:ind w:left="843" w:right="0" w:hanging="726"/>
        <w:jc w:val="both"/>
      </w:pPr>
      <w:bookmarkStart w:name="_TOC_250075" w:id="20"/>
      <w:bookmarkEnd w:id="20"/>
      <w:r>
        <w:rPr>
          <w:w w:val="95"/>
        </w:rPr>
        <w:t>投保人重大疾病保险费豁免责任的开始</w:t>
      </w:r>
    </w:p>
    <w:p>
      <w:pPr>
        <w:pStyle w:val="BodyText"/>
        <w:spacing w:before="2"/>
        <w:rPr>
          <w:rFonts w:ascii="Microsoft JhengHei UI"/>
          <w:b/>
          <w:sz w:val="23"/>
        </w:rPr>
      </w:pPr>
    </w:p>
    <w:p>
      <w:pPr>
        <w:pStyle w:val="BodyText"/>
        <w:ind w:left="117"/>
        <w:jc w:val="both"/>
      </w:pPr>
      <w:r>
        <w:rPr>
          <w:w w:val="95"/>
        </w:rPr>
        <w:t>我们承担的投保人重大疾病保险费豁免责任自本附加险合同约定的等待期后开始。</w:t>
      </w:r>
    </w:p>
    <w:p>
      <w:pPr>
        <w:pStyle w:val="BodyText"/>
        <w:spacing w:line="338" w:lineRule="auto" w:before="66"/>
        <w:ind w:left="117" w:right="227" w:firstLine="6"/>
        <w:jc w:val="both"/>
      </w:pPr>
      <w:r>
        <w:rPr>
          <w:rFonts w:ascii="Microsoft JhengHei UI" w:eastAsia="Microsoft JhengHei UI" w:hint="eastAsia"/>
          <w:b/>
          <w:spacing w:val="-1"/>
          <w:w w:val="99"/>
        </w:rPr>
        <w:t>等待期：</w:t>
      </w:r>
      <w:r>
        <w:rPr>
          <w:w w:val="99"/>
        </w:rPr>
        <w:t>从本附加险合同生效或最后复效之日起</w:t>
      </w:r>
      <w:r>
        <w:rPr>
          <w:spacing w:val="-46"/>
        </w:rPr>
        <w:t> </w:t>
      </w:r>
      <w:r>
        <w:rPr>
          <w:w w:val="93"/>
        </w:rPr>
        <w:t>90</w:t>
      </w:r>
      <w:r>
        <w:rPr>
          <w:spacing w:val="-52"/>
        </w:rPr>
        <w:t> </w:t>
      </w:r>
      <w:r>
        <w:rPr>
          <w:spacing w:val="-3"/>
          <w:w w:val="99"/>
        </w:rPr>
        <w:t>天内，投保人经</w:t>
      </w:r>
      <w:r>
        <w:rPr>
          <w:rFonts w:ascii="Microsoft JhengHei UI" w:eastAsia="Microsoft JhengHei UI" w:hint="eastAsia"/>
          <w:b/>
          <w:spacing w:val="-48"/>
          <w:w w:val="99"/>
        </w:rPr>
        <w:t>医</w:t>
      </w:r>
      <w:r>
        <w:rPr>
          <w:spacing w:val="-267"/>
          <w:w w:val="99"/>
          <w:position w:val="1"/>
        </w:rPr>
        <w:t>院</w:t>
      </w:r>
      <w:r>
        <w:rPr>
          <w:spacing w:val="-264"/>
          <w:w w:val="99"/>
        </w:rPr>
        <w:t>院院</w:t>
      </w:r>
      <w:r>
        <w:rPr>
          <w:spacing w:val="-62"/>
          <w:w w:val="99"/>
        </w:rPr>
        <w:t>院</w:t>
      </w:r>
      <w:r>
        <w:rPr>
          <w:spacing w:val="-267"/>
          <w:w w:val="99"/>
          <w:position w:val="1"/>
        </w:rPr>
        <w:t>（</w:t>
      </w:r>
      <w:r>
        <w:rPr>
          <w:spacing w:val="-263"/>
          <w:w w:val="99"/>
        </w:rPr>
        <w:t>（</w:t>
      </w:r>
      <w:r>
        <w:rPr>
          <w:spacing w:val="-265"/>
          <w:w w:val="99"/>
        </w:rPr>
        <w:t>（</w:t>
      </w:r>
      <w:r>
        <w:rPr>
          <w:spacing w:val="-48"/>
          <w:w w:val="99"/>
        </w:rPr>
        <w:t>（</w:t>
      </w:r>
      <w:r>
        <w:rPr>
          <w:w w:val="99"/>
        </w:rPr>
        <w:t>见释义</w:t>
      </w:r>
      <w:r>
        <w:rPr>
          <w:spacing w:val="-50"/>
        </w:rPr>
        <w:t> </w:t>
      </w:r>
      <w:r>
        <w:rPr>
          <w:w w:val="93"/>
        </w:rPr>
        <w:t>11</w:t>
      </w:r>
      <w:r>
        <w:rPr>
          <w:spacing w:val="-1"/>
          <w:w w:val="43"/>
        </w:rPr>
        <w:t>.</w:t>
      </w:r>
      <w:r>
        <w:rPr>
          <w:w w:val="93"/>
        </w:rPr>
        <w:t>2</w:t>
      </w:r>
      <w:r>
        <w:rPr>
          <w:spacing w:val="-70"/>
          <w:w w:val="99"/>
        </w:rPr>
        <w:t>）</w:t>
      </w:r>
      <w:r>
        <w:rPr>
          <w:w w:val="99"/>
        </w:rPr>
        <w:t>诊断初次发生本附加险合同所界定的</w:t>
      </w:r>
      <w:r>
        <w:rPr>
          <w:spacing w:val="-42"/>
        </w:rPr>
        <w:t> </w:t>
      </w:r>
      <w:r>
        <w:rPr>
          <w:rFonts w:ascii="Microsoft JhengHei UI" w:eastAsia="Microsoft JhengHei UI" w:hint="eastAsia"/>
          <w:b/>
          <w:spacing w:val="-14"/>
          <w:w w:val="78"/>
        </w:rPr>
        <w:t>3</w:t>
      </w:r>
      <w:r>
        <w:rPr>
          <w:rFonts w:ascii="Microsoft JhengHei UI" w:eastAsia="Microsoft JhengHei UI" w:hint="eastAsia"/>
          <w:b/>
          <w:spacing w:val="-19"/>
          <w:w w:val="78"/>
        </w:rPr>
        <w:t>0</w:t>
      </w:r>
      <w:r>
        <w:rPr>
          <w:rFonts w:ascii="Microsoft JhengHei UI" w:eastAsia="Microsoft JhengHei UI" w:hint="eastAsia"/>
          <w:b/>
          <w:spacing w:val="-48"/>
          <w:w w:val="99"/>
        </w:rPr>
        <w:t>种</w:t>
      </w:r>
      <w:r>
        <w:rPr>
          <w:spacing w:val="-267"/>
          <w:w w:val="99"/>
          <w:position w:val="1"/>
        </w:rPr>
        <w:t>重</w:t>
      </w:r>
      <w:r>
        <w:rPr>
          <w:spacing w:val="-264"/>
          <w:w w:val="99"/>
        </w:rPr>
        <w:t>重重</w:t>
      </w:r>
      <w:r>
        <w:rPr>
          <w:spacing w:val="-62"/>
          <w:w w:val="99"/>
        </w:rPr>
        <w:t>重</w:t>
      </w:r>
      <w:r>
        <w:rPr>
          <w:spacing w:val="-267"/>
          <w:w w:val="99"/>
          <w:position w:val="1"/>
        </w:rPr>
        <w:t>大</w:t>
      </w:r>
      <w:r>
        <w:rPr>
          <w:spacing w:val="-264"/>
          <w:w w:val="99"/>
        </w:rPr>
        <w:t>大大</w:t>
      </w:r>
      <w:r>
        <w:rPr>
          <w:spacing w:val="-62"/>
          <w:w w:val="99"/>
        </w:rPr>
        <w:t>大</w:t>
      </w:r>
      <w:r>
        <w:rPr>
          <w:spacing w:val="-267"/>
          <w:w w:val="99"/>
          <w:position w:val="1"/>
        </w:rPr>
        <w:t>疾</w:t>
      </w:r>
      <w:r>
        <w:rPr>
          <w:spacing w:val="-264"/>
          <w:w w:val="99"/>
        </w:rPr>
        <w:t>疾疾</w:t>
      </w:r>
      <w:r>
        <w:rPr>
          <w:spacing w:val="-62"/>
          <w:w w:val="99"/>
        </w:rPr>
        <w:t>疾</w:t>
      </w:r>
      <w:r>
        <w:rPr>
          <w:spacing w:val="-267"/>
          <w:w w:val="99"/>
          <w:position w:val="1"/>
        </w:rPr>
        <w:t>病</w:t>
      </w:r>
      <w:r>
        <w:rPr>
          <w:spacing w:val="-264"/>
          <w:w w:val="99"/>
        </w:rPr>
        <w:t>病病</w:t>
      </w:r>
      <w:r>
        <w:rPr>
          <w:spacing w:val="-86"/>
          <w:w w:val="99"/>
        </w:rPr>
        <w:t>病</w:t>
      </w:r>
      <w:r>
        <w:rPr>
          <w:spacing w:val="-267"/>
          <w:w w:val="99"/>
          <w:position w:val="1"/>
        </w:rPr>
        <w:t>（</w:t>
      </w:r>
      <w:r>
        <w:rPr>
          <w:spacing w:val="-263"/>
          <w:w w:val="99"/>
        </w:rPr>
        <w:t>（</w:t>
      </w:r>
      <w:r>
        <w:rPr>
          <w:spacing w:val="-265"/>
          <w:w w:val="99"/>
        </w:rPr>
        <w:t>（</w:t>
      </w:r>
      <w:r>
        <w:rPr>
          <w:spacing w:val="-48"/>
          <w:w w:val="99"/>
        </w:rPr>
        <w:t>（</w:t>
      </w:r>
      <w:r>
        <w:rPr>
          <w:w w:val="99"/>
        </w:rPr>
        <w:t>见释义</w:t>
      </w:r>
      <w:r>
        <w:rPr>
          <w:spacing w:val="-50"/>
        </w:rPr>
        <w:t> </w:t>
      </w:r>
      <w:r>
        <w:rPr>
          <w:w w:val="93"/>
        </w:rPr>
        <w:t>11</w:t>
      </w:r>
      <w:r>
        <w:rPr>
          <w:spacing w:val="-1"/>
          <w:w w:val="43"/>
        </w:rPr>
        <w:t>.</w:t>
      </w:r>
      <w:r>
        <w:rPr>
          <w:spacing w:val="-14"/>
          <w:w w:val="93"/>
        </w:rPr>
        <w:t>3</w:t>
      </w:r>
      <w:r>
        <w:rPr>
          <w:spacing w:val="-267"/>
          <w:w w:val="99"/>
          <w:position w:val="1"/>
        </w:rPr>
        <w:t>）</w:t>
      </w:r>
      <w:r>
        <w:rPr>
          <w:spacing w:val="-263"/>
          <w:w w:val="99"/>
        </w:rPr>
        <w:t>）</w:t>
      </w:r>
      <w:r>
        <w:rPr>
          <w:spacing w:val="-265"/>
          <w:w w:val="99"/>
        </w:rPr>
        <w:t>）</w:t>
      </w:r>
      <w:r>
        <w:rPr>
          <w:spacing w:val="-72"/>
          <w:w w:val="99"/>
        </w:rPr>
        <w:t>）</w:t>
      </w:r>
      <w:r>
        <w:rPr>
          <w:spacing w:val="-4"/>
          <w:w w:val="99"/>
        </w:rPr>
        <w:t>中的任何一种，我们不承</w:t>
      </w:r>
      <w:r>
        <w:rPr>
          <w:spacing w:val="1"/>
          <w:w w:val="99"/>
        </w:rPr>
        <w:t>   </w:t>
      </w:r>
      <w:r>
        <w:rPr>
          <w:spacing w:val="-6"/>
        </w:rPr>
        <w:t>担豁免保险费的责任，这 </w:t>
      </w:r>
      <w:r>
        <w:rPr/>
        <w:t>90</w:t>
      </w:r>
      <w:r>
        <w:rPr>
          <w:spacing w:val="-10"/>
        </w:rPr>
        <w:t> 天为等待期。</w:t>
      </w:r>
    </w:p>
    <w:p>
      <w:pPr>
        <w:pStyle w:val="BodyText"/>
        <w:spacing w:before="9"/>
        <w:rPr>
          <w:sz w:val="26"/>
        </w:rPr>
      </w:pPr>
    </w:p>
    <w:p>
      <w:pPr>
        <w:pStyle w:val="Heading2"/>
        <w:numPr>
          <w:ilvl w:val="1"/>
          <w:numId w:val="7"/>
        </w:numPr>
        <w:tabs>
          <w:tab w:pos="699" w:val="left" w:leader="none"/>
          <w:tab w:pos="700" w:val="left" w:leader="none"/>
        </w:tabs>
        <w:spacing w:line="240" w:lineRule="auto" w:before="0" w:after="0"/>
        <w:ind w:left="699" w:right="0" w:hanging="576"/>
        <w:jc w:val="left"/>
      </w:pPr>
      <w:bookmarkStart w:name="_TOC_250074" w:id="21"/>
      <w:bookmarkEnd w:id="21"/>
      <w:r>
        <w:rPr>
          <w:w w:val="95"/>
        </w:rPr>
        <w:t>保险期间</w:t>
      </w:r>
    </w:p>
    <w:p>
      <w:pPr>
        <w:pStyle w:val="BodyText"/>
        <w:spacing w:before="15"/>
        <w:rPr>
          <w:rFonts w:ascii="Microsoft JhengHei UI"/>
          <w:b/>
          <w:sz w:val="27"/>
        </w:rPr>
      </w:pPr>
    </w:p>
    <w:p>
      <w:pPr>
        <w:pStyle w:val="BodyText"/>
        <w:tabs>
          <w:tab w:pos="957" w:val="left" w:leader="none"/>
        </w:tabs>
        <w:spacing w:line="408" w:lineRule="auto"/>
        <w:ind w:left="117" w:right="3386"/>
      </w:pPr>
      <w:r>
        <w:rPr/>
        <w:t>应与所附主险合同保费期间相同，但有下列范围限制： 下限：</w:t>
        <w:tab/>
        <w:t>5</w:t>
      </w:r>
      <w:r>
        <w:rPr>
          <w:spacing w:val="-64"/>
        </w:rPr>
        <w:t> </w:t>
      </w:r>
      <w:r>
        <w:rPr/>
        <w:t>年</w:t>
      </w:r>
    </w:p>
    <w:p>
      <w:pPr>
        <w:pStyle w:val="BodyText"/>
        <w:tabs>
          <w:tab w:pos="957" w:val="left" w:leader="none"/>
        </w:tabs>
        <w:spacing w:before="46"/>
        <w:ind w:left="117"/>
      </w:pPr>
      <w:r>
        <w:rPr/>
        <w:t>上限：</w:t>
        <w:tab/>
        <w:t>以下两种期限中的较短者：30</w:t>
      </w:r>
      <w:r>
        <w:rPr>
          <w:spacing w:val="-65"/>
        </w:rPr>
        <w:t> </w:t>
      </w:r>
      <w:r>
        <w:rPr/>
        <w:t>年或</w:t>
      </w:r>
      <w:r>
        <w:rPr>
          <w:spacing w:val="-67"/>
        </w:rPr>
        <w:t> </w:t>
      </w:r>
      <w:r>
        <w:rPr/>
        <w:t>65</w:t>
      </w:r>
      <w:r>
        <w:rPr>
          <w:spacing w:val="-65"/>
        </w:rPr>
        <w:t> </w:t>
      </w:r>
      <w:r>
        <w:rPr/>
        <w:t>周岁减去投保人投保年龄</w:t>
      </w:r>
    </w:p>
    <w:p>
      <w:pPr>
        <w:pStyle w:val="BodyText"/>
        <w:spacing w:before="6"/>
        <w:rPr>
          <w:sz w:val="33"/>
        </w:rPr>
      </w:pPr>
    </w:p>
    <w:p>
      <w:pPr>
        <w:pStyle w:val="Heading2"/>
        <w:numPr>
          <w:ilvl w:val="1"/>
          <w:numId w:val="7"/>
        </w:numPr>
        <w:tabs>
          <w:tab w:pos="699" w:val="left" w:leader="none"/>
          <w:tab w:pos="700" w:val="left" w:leader="none"/>
        </w:tabs>
        <w:spacing w:line="240" w:lineRule="auto" w:before="0" w:after="0"/>
        <w:ind w:left="699" w:right="0" w:hanging="576"/>
        <w:jc w:val="left"/>
      </w:pPr>
      <w:bookmarkStart w:name="_TOC_250073" w:id="22"/>
      <w:bookmarkEnd w:id="22"/>
      <w:r>
        <w:rPr>
          <w:w w:val="95"/>
        </w:rPr>
        <w:t>我们承担的保险责任</w:t>
      </w:r>
    </w:p>
    <w:p>
      <w:pPr>
        <w:pStyle w:val="BodyText"/>
        <w:spacing w:before="12"/>
        <w:rPr>
          <w:rFonts w:ascii="Microsoft JhengHei UI"/>
          <w:b/>
          <w:sz w:val="25"/>
        </w:rPr>
      </w:pPr>
    </w:p>
    <w:p>
      <w:pPr>
        <w:pStyle w:val="Heading2"/>
        <w:numPr>
          <w:ilvl w:val="2"/>
          <w:numId w:val="7"/>
        </w:numPr>
        <w:tabs>
          <w:tab w:pos="844" w:val="left" w:leader="none"/>
        </w:tabs>
        <w:spacing w:line="240" w:lineRule="auto" w:before="1" w:after="0"/>
        <w:ind w:left="843" w:right="0" w:hanging="726"/>
        <w:jc w:val="left"/>
      </w:pPr>
      <w:bookmarkStart w:name="_TOC_250072" w:id="23"/>
      <w:bookmarkEnd w:id="23"/>
      <w:r>
        <w:rPr>
          <w:w w:val="95"/>
        </w:rPr>
        <w:t>投保人身故或永久完全残疾保险费豁免</w:t>
      </w:r>
    </w:p>
    <w:p>
      <w:pPr>
        <w:pStyle w:val="BodyText"/>
        <w:rPr>
          <w:rFonts w:ascii="Microsoft JhengHei UI"/>
          <w:b/>
          <w:sz w:val="20"/>
        </w:rPr>
      </w:pPr>
    </w:p>
    <w:p>
      <w:pPr>
        <w:pStyle w:val="BodyText"/>
        <w:spacing w:line="468" w:lineRule="exact"/>
        <w:ind w:left="117" w:right="232"/>
        <w:jc w:val="both"/>
      </w:pPr>
      <w:r>
        <w:rPr>
          <w:spacing w:val="-1"/>
          <w:w w:val="99"/>
        </w:rPr>
        <w:t>在本附加险合同责任有效期内，如果投保人身故或</w:t>
      </w:r>
      <w:r>
        <w:rPr>
          <w:rFonts w:ascii="Microsoft JhengHei UI" w:eastAsia="Microsoft JhengHei UI" w:hint="eastAsia"/>
          <w:b/>
          <w:spacing w:val="-48"/>
          <w:w w:val="99"/>
        </w:rPr>
        <w:t>永</w:t>
      </w:r>
      <w:r>
        <w:rPr>
          <w:spacing w:val="-267"/>
          <w:w w:val="99"/>
          <w:position w:val="1"/>
        </w:rPr>
        <w:t>久</w:t>
      </w:r>
      <w:r>
        <w:rPr>
          <w:spacing w:val="-264"/>
          <w:w w:val="99"/>
        </w:rPr>
        <w:t>久久</w:t>
      </w:r>
      <w:r>
        <w:rPr>
          <w:spacing w:val="-62"/>
          <w:w w:val="99"/>
        </w:rPr>
        <w:t>久</w:t>
      </w:r>
      <w:r>
        <w:rPr>
          <w:spacing w:val="-267"/>
          <w:w w:val="99"/>
          <w:position w:val="1"/>
        </w:rPr>
        <w:t>完</w:t>
      </w:r>
      <w:r>
        <w:rPr>
          <w:spacing w:val="-264"/>
          <w:w w:val="99"/>
        </w:rPr>
        <w:t>完完</w:t>
      </w:r>
      <w:r>
        <w:rPr>
          <w:spacing w:val="-62"/>
          <w:w w:val="99"/>
        </w:rPr>
        <w:t>完</w:t>
      </w:r>
      <w:r>
        <w:rPr>
          <w:spacing w:val="-267"/>
          <w:w w:val="99"/>
          <w:position w:val="1"/>
        </w:rPr>
        <w:t>全</w:t>
      </w:r>
      <w:r>
        <w:rPr>
          <w:spacing w:val="-264"/>
          <w:w w:val="99"/>
        </w:rPr>
        <w:t>全全</w:t>
      </w:r>
      <w:r>
        <w:rPr>
          <w:spacing w:val="-62"/>
          <w:w w:val="99"/>
        </w:rPr>
        <w:t>全</w:t>
      </w:r>
      <w:r>
        <w:rPr>
          <w:spacing w:val="-267"/>
          <w:w w:val="99"/>
          <w:position w:val="1"/>
        </w:rPr>
        <w:t>残</w:t>
      </w:r>
      <w:r>
        <w:rPr>
          <w:spacing w:val="-264"/>
          <w:w w:val="99"/>
        </w:rPr>
        <w:t>残残</w:t>
      </w:r>
      <w:r>
        <w:rPr>
          <w:spacing w:val="-62"/>
          <w:w w:val="99"/>
        </w:rPr>
        <w:t>残</w:t>
      </w:r>
      <w:r>
        <w:rPr>
          <w:spacing w:val="-267"/>
          <w:w w:val="99"/>
          <w:position w:val="1"/>
        </w:rPr>
        <w:t>疾</w:t>
      </w:r>
      <w:r>
        <w:rPr>
          <w:spacing w:val="-264"/>
          <w:w w:val="99"/>
        </w:rPr>
        <w:t>疾疾</w:t>
      </w:r>
      <w:r>
        <w:rPr>
          <w:spacing w:val="-46"/>
          <w:w w:val="99"/>
        </w:rPr>
        <w:t>疾</w:t>
      </w:r>
      <w:r>
        <w:rPr>
          <w:spacing w:val="1"/>
          <w:w w:val="99"/>
        </w:rPr>
        <w:t>（</w:t>
      </w:r>
      <w:r>
        <w:rPr>
          <w:w w:val="99"/>
        </w:rPr>
        <w:t>见释义</w:t>
      </w:r>
      <w:r>
        <w:rPr>
          <w:spacing w:val="-50"/>
        </w:rPr>
        <w:t> </w:t>
      </w:r>
      <w:r>
        <w:rPr>
          <w:w w:val="93"/>
        </w:rPr>
        <w:t>11</w:t>
      </w:r>
      <w:r>
        <w:rPr>
          <w:spacing w:val="-1"/>
          <w:w w:val="43"/>
        </w:rPr>
        <w:t>.</w:t>
      </w:r>
      <w:r>
        <w:rPr>
          <w:w w:val="93"/>
        </w:rPr>
        <w:t>9</w:t>
      </w:r>
      <w:r>
        <w:rPr>
          <w:spacing w:val="1"/>
          <w:w w:val="99"/>
        </w:rPr>
        <w:t>），</w:t>
      </w:r>
      <w:r>
        <w:rPr>
          <w:w w:val="99"/>
        </w:rPr>
        <w:t>我们在</w:t>
      </w:r>
      <w:r>
        <w:rPr>
          <w:spacing w:val="1"/>
          <w:w w:val="99"/>
        </w:rPr>
        <w:t>  </w:t>
      </w:r>
      <w:r>
        <w:rPr/>
        <w:t>收到申请并经过事故鉴定后，将会豁免所附主险合同自投保人身故或被确认为永久完全残</w:t>
      </w:r>
      <w:r>
        <w:rPr>
          <w:w w:val="95"/>
        </w:rPr>
        <w:t>疾后的其余各期保险费，同时本附加险合同终止。</w:t>
      </w:r>
    </w:p>
    <w:p>
      <w:pPr>
        <w:pStyle w:val="BodyText"/>
        <w:spacing w:line="408" w:lineRule="auto" w:before="128"/>
        <w:ind w:left="117" w:right="237"/>
        <w:jc w:val="both"/>
      </w:pPr>
      <w:r>
        <w:rPr/>
        <w:t>如果投保人被鉴定为永久完全残疾日与导致其永久完全残疾的保险事故发生日在同一保单年度内，保险费的豁免将自导致其永久完全残疾的保险事故发生后的下一保险单周年日开</w:t>
      </w:r>
      <w:r>
        <w:rPr>
          <w:w w:val="95"/>
        </w:rPr>
        <w:t>始。</w:t>
      </w:r>
    </w:p>
    <w:p>
      <w:pPr>
        <w:pStyle w:val="BodyText"/>
        <w:spacing w:line="408" w:lineRule="auto" w:before="46"/>
        <w:ind w:left="117" w:right="115"/>
      </w:pPr>
      <w:r>
        <w:rPr/>
        <w:t>如果投保人被鉴定为永久完全残疾日与导致其永久完全残疾的保险事故发生日不在同一保</w:t>
      </w:r>
      <w:r>
        <w:rPr>
          <w:w w:val="95"/>
        </w:rPr>
        <w:t>单年度内，保险费的豁免将自投保人被鉴定为永久完全残疾后的下一交费日后开始，我们将</w:t>
      </w:r>
    </w:p>
    <w:p>
      <w:pPr>
        <w:spacing w:after="0" w:line="408" w:lineRule="auto"/>
        <w:sectPr>
          <w:pgSz w:w="11910" w:h="16840"/>
          <w:pgMar w:header="0" w:footer="1074" w:top="1560" w:bottom="1260" w:left="1680" w:right="1680"/>
        </w:sectPr>
      </w:pPr>
    </w:p>
    <w:p>
      <w:pPr>
        <w:pStyle w:val="BodyText"/>
        <w:spacing w:line="408" w:lineRule="auto" w:before="32"/>
        <w:ind w:left="117" w:right="337"/>
      </w:pPr>
      <w:bookmarkStart w:name="投保人重大疾病保险费豁免" w:id="24"/>
      <w:bookmarkEnd w:id="24"/>
      <w:r>
        <w:rPr/>
      </w:r>
      <w:bookmarkStart w:name="责任免除" w:id="25"/>
      <w:bookmarkEnd w:id="25"/>
      <w:r>
        <w:rPr/>
      </w:r>
      <w:bookmarkStart w:name="保险费" w:id="26"/>
      <w:bookmarkEnd w:id="26"/>
      <w:r>
        <w:rPr/>
      </w:r>
      <w:bookmarkStart w:name="保险费交纳方式" w:id="27"/>
      <w:bookmarkEnd w:id="27"/>
      <w:r>
        <w:rPr/>
      </w:r>
      <w:r>
        <w:rPr/>
        <w:t>无息退还导致其永久完全残疾的保险事故发生后的下一保险单周年日至投保人被鉴定为永</w:t>
      </w:r>
      <w:r>
        <w:rPr>
          <w:w w:val="95"/>
        </w:rPr>
        <w:t>久完全残疾日的期间内您已交付的应豁免的保险费。</w:t>
      </w:r>
    </w:p>
    <w:p>
      <w:pPr>
        <w:pStyle w:val="BodyText"/>
        <w:spacing w:before="10"/>
        <w:rPr>
          <w:sz w:val="20"/>
        </w:rPr>
      </w:pPr>
    </w:p>
    <w:p>
      <w:pPr>
        <w:pStyle w:val="Heading2"/>
        <w:numPr>
          <w:ilvl w:val="2"/>
          <w:numId w:val="7"/>
        </w:numPr>
        <w:tabs>
          <w:tab w:pos="844" w:val="left" w:leader="none"/>
        </w:tabs>
        <w:spacing w:line="240" w:lineRule="auto" w:before="0" w:after="0"/>
        <w:ind w:left="843" w:right="0" w:hanging="726"/>
        <w:jc w:val="left"/>
      </w:pPr>
      <w:bookmarkStart w:name="_TOC_250071" w:id="28"/>
      <w:bookmarkEnd w:id="28"/>
      <w:r>
        <w:rPr>
          <w:w w:val="95"/>
        </w:rPr>
        <w:t>投保人重大疾病保险费豁免</w:t>
      </w:r>
    </w:p>
    <w:p>
      <w:pPr>
        <w:pStyle w:val="BodyText"/>
        <w:spacing w:before="13"/>
        <w:rPr>
          <w:rFonts w:ascii="Microsoft JhengHei UI"/>
          <w:b/>
          <w:sz w:val="27"/>
        </w:rPr>
      </w:pPr>
    </w:p>
    <w:p>
      <w:pPr>
        <w:pStyle w:val="BodyText"/>
        <w:spacing w:line="360" w:lineRule="auto"/>
        <w:ind w:left="117" w:right="215"/>
        <w:jc w:val="both"/>
      </w:pPr>
      <w:r>
        <w:rPr>
          <w:spacing w:val="-5"/>
          <w:w w:val="95"/>
        </w:rPr>
        <w:t>在等待期之后本附加险合同责任有效期内，投保人经医院诊断初次发生本附加险合同所界定</w:t>
      </w:r>
      <w:r>
        <w:rPr>
          <w:w w:val="99"/>
        </w:rPr>
        <w:t>的</w:t>
      </w:r>
      <w:r>
        <w:rPr>
          <w:w w:val="93"/>
        </w:rPr>
        <w:t>30</w:t>
      </w:r>
      <w:r>
        <w:rPr>
          <w:spacing w:val="-5"/>
          <w:w w:val="99"/>
        </w:rPr>
        <w:t>种重大疾病中的任何一种，从</w:t>
      </w:r>
      <w:r>
        <w:rPr>
          <w:rFonts w:ascii="Microsoft JhengHei UI" w:eastAsia="Microsoft JhengHei UI" w:hint="eastAsia"/>
          <w:b/>
          <w:spacing w:val="-48"/>
          <w:w w:val="99"/>
        </w:rPr>
        <w:t>本</w:t>
      </w:r>
      <w:r>
        <w:rPr>
          <w:w w:val="99"/>
          <w:position w:val="1"/>
        </w:rPr>
        <w:t>条</w:t>
      </w:r>
      <w:r>
        <w:rPr>
          <w:spacing w:val="-476"/>
          <w:w w:val="99"/>
          <w:position w:val="1"/>
        </w:rPr>
        <w:t>款</w:t>
      </w:r>
      <w:r>
        <w:rPr>
          <w:w w:val="99"/>
        </w:rPr>
        <w:t>条</w:t>
      </w:r>
      <w:r>
        <w:rPr>
          <w:spacing w:val="-471"/>
          <w:w w:val="99"/>
        </w:rPr>
        <w:t>款</w:t>
      </w:r>
      <w:r>
        <w:rPr>
          <w:w w:val="99"/>
        </w:rPr>
        <w:t>条</w:t>
      </w:r>
      <w:r>
        <w:rPr>
          <w:spacing w:val="-474"/>
          <w:w w:val="99"/>
        </w:rPr>
        <w:t>款</w:t>
      </w:r>
      <w:r>
        <w:rPr>
          <w:spacing w:val="-31"/>
          <w:w w:val="99"/>
        </w:rPr>
        <w:t>条款</w:t>
      </w:r>
      <w:r>
        <w:rPr>
          <w:w w:val="99"/>
          <w:position w:val="1"/>
        </w:rPr>
        <w:t>约</w:t>
      </w:r>
      <w:r>
        <w:rPr>
          <w:spacing w:val="-476"/>
          <w:w w:val="99"/>
          <w:position w:val="1"/>
        </w:rPr>
        <w:t>定</w:t>
      </w:r>
      <w:r>
        <w:rPr>
          <w:w w:val="99"/>
        </w:rPr>
        <w:t>约</w:t>
      </w:r>
      <w:r>
        <w:rPr>
          <w:spacing w:val="-471"/>
          <w:w w:val="99"/>
        </w:rPr>
        <w:t>定</w:t>
      </w:r>
      <w:r>
        <w:rPr>
          <w:w w:val="99"/>
        </w:rPr>
        <w:t>约</w:t>
      </w:r>
      <w:r>
        <w:rPr>
          <w:spacing w:val="-474"/>
          <w:w w:val="99"/>
        </w:rPr>
        <w:t>定</w:t>
      </w:r>
      <w:r>
        <w:rPr>
          <w:spacing w:val="-31"/>
          <w:w w:val="99"/>
        </w:rPr>
        <w:t>约定</w:t>
      </w:r>
      <w:r>
        <w:rPr>
          <w:w w:val="99"/>
          <w:position w:val="1"/>
        </w:rPr>
        <w:t>确</w:t>
      </w:r>
      <w:r>
        <w:rPr>
          <w:spacing w:val="-476"/>
          <w:w w:val="99"/>
          <w:position w:val="1"/>
        </w:rPr>
        <w:t>诊</w:t>
      </w:r>
      <w:r>
        <w:rPr>
          <w:w w:val="99"/>
        </w:rPr>
        <w:t>确</w:t>
      </w:r>
      <w:r>
        <w:rPr>
          <w:spacing w:val="-471"/>
          <w:w w:val="99"/>
        </w:rPr>
        <w:t>诊</w:t>
      </w:r>
      <w:r>
        <w:rPr>
          <w:w w:val="99"/>
        </w:rPr>
        <w:t>确</w:t>
      </w:r>
      <w:r>
        <w:rPr>
          <w:spacing w:val="-474"/>
          <w:w w:val="99"/>
        </w:rPr>
        <w:t>诊</w:t>
      </w:r>
      <w:r>
        <w:rPr>
          <w:spacing w:val="-31"/>
          <w:w w:val="99"/>
        </w:rPr>
        <w:t>确诊</w:t>
      </w:r>
      <w:r>
        <w:rPr>
          <w:spacing w:val="-267"/>
          <w:w w:val="99"/>
          <w:position w:val="1"/>
        </w:rPr>
        <w:t>日</w:t>
      </w:r>
      <w:r>
        <w:rPr>
          <w:spacing w:val="-264"/>
          <w:w w:val="99"/>
        </w:rPr>
        <w:t>日日</w:t>
      </w:r>
      <w:r>
        <w:rPr>
          <w:spacing w:val="-67"/>
          <w:w w:val="99"/>
        </w:rPr>
        <w:t>日</w:t>
      </w:r>
      <w:r>
        <w:rPr>
          <w:w w:val="99"/>
        </w:rPr>
        <w:t>（见释义</w:t>
      </w:r>
      <w:r>
        <w:rPr>
          <w:w w:val="93"/>
        </w:rPr>
        <w:t>11</w:t>
      </w:r>
      <w:r>
        <w:rPr>
          <w:spacing w:val="-1"/>
          <w:w w:val="43"/>
        </w:rPr>
        <w:t>.</w:t>
      </w:r>
      <w:r>
        <w:rPr>
          <w:w w:val="93"/>
        </w:rPr>
        <w:t>10</w:t>
      </w:r>
      <w:r>
        <w:rPr>
          <w:spacing w:val="-24"/>
          <w:w w:val="99"/>
        </w:rPr>
        <w:t>）</w:t>
      </w:r>
      <w:r>
        <w:rPr>
          <w:spacing w:val="-38"/>
          <w:w w:val="99"/>
        </w:rPr>
        <w:t>起，我</w:t>
      </w:r>
      <w:r>
        <w:rPr>
          <w:w w:val="95"/>
        </w:rPr>
        <w:t>们将会豁免所附主险合同的以后各期保险费，同时本附加险合同终止。</w:t>
      </w:r>
    </w:p>
    <w:p>
      <w:pPr>
        <w:pStyle w:val="BodyText"/>
        <w:spacing w:before="5"/>
        <w:rPr>
          <w:sz w:val="25"/>
        </w:rPr>
      </w:pPr>
    </w:p>
    <w:p>
      <w:pPr>
        <w:pStyle w:val="Heading2"/>
        <w:tabs>
          <w:tab w:pos="699" w:val="left" w:leader="none"/>
        </w:tabs>
        <w:spacing w:before="1"/>
        <w:ind w:left="123" w:firstLine="0"/>
      </w:pPr>
      <w:bookmarkStart w:name="_TOC_250070" w:id="29"/>
      <w:r>
        <w:rPr/>
        <w:t>5.4</w:t>
        <w:tab/>
      </w:r>
      <w:bookmarkEnd w:id="29"/>
      <w:r>
        <w:rPr>
          <w:w w:val="95"/>
        </w:rPr>
        <w:t>责任免除</w:t>
      </w:r>
    </w:p>
    <w:p>
      <w:pPr>
        <w:pStyle w:val="BodyText"/>
        <w:spacing w:before="15"/>
        <w:rPr>
          <w:rFonts w:ascii="Microsoft JhengHei UI"/>
          <w:b/>
          <w:sz w:val="27"/>
        </w:rPr>
      </w:pPr>
    </w:p>
    <w:p>
      <w:pPr>
        <w:pStyle w:val="BodyText"/>
        <w:spacing w:line="408" w:lineRule="auto" w:before="1"/>
        <w:ind w:left="117" w:right="216"/>
      </w:pPr>
      <w:r>
        <w:rPr>
          <w:spacing w:val="-13"/>
          <w:w w:val="95"/>
        </w:rPr>
        <w:t>因下列情形之一，导致投保人身故、永久完全残疾、发生疾病、达到疾病状态或进行手术的</w:t>
      </w:r>
      <w:r>
        <w:rPr>
          <w:w w:val="80"/>
        </w:rPr>
        <w:t>，  </w:t>
      </w:r>
      <w:r>
        <w:rPr>
          <w:w w:val="95"/>
        </w:rPr>
        <w:t>我们不承担保险费豁免责任，同时本附加险合同终止：</w:t>
      </w:r>
    </w:p>
    <w:p>
      <w:pPr>
        <w:pStyle w:val="Heading2"/>
        <w:numPr>
          <w:ilvl w:val="0"/>
          <w:numId w:val="8"/>
        </w:numPr>
        <w:tabs>
          <w:tab w:pos="544" w:val="left" w:leader="none"/>
        </w:tabs>
        <w:spacing w:line="345" w:lineRule="exact" w:before="0" w:after="0"/>
        <w:ind w:left="543" w:right="0" w:hanging="420"/>
        <w:jc w:val="both"/>
      </w:pPr>
      <w:r>
        <w:rPr>
          <w:w w:val="95"/>
        </w:rPr>
        <w:t>投保人在本附加险合同成立或者合同效力恢复之日起二年内自杀；</w:t>
      </w:r>
    </w:p>
    <w:p>
      <w:pPr>
        <w:pStyle w:val="ListParagraph"/>
        <w:numPr>
          <w:ilvl w:val="0"/>
          <w:numId w:val="8"/>
        </w:numPr>
        <w:tabs>
          <w:tab w:pos="544" w:val="left" w:leader="none"/>
        </w:tabs>
        <w:spacing w:line="240" w:lineRule="auto" w:before="119" w:after="0"/>
        <w:ind w:left="543" w:right="0" w:hanging="420"/>
        <w:jc w:val="both"/>
        <w:rPr>
          <w:rFonts w:ascii="Microsoft JhengHei UI" w:eastAsia="Microsoft JhengHei UI" w:hint="eastAsia"/>
          <w:b/>
          <w:sz w:val="21"/>
        </w:rPr>
      </w:pPr>
      <w:r>
        <w:rPr>
          <w:rFonts w:ascii="Microsoft JhengHei UI" w:eastAsia="Microsoft JhengHei UI" w:hint="eastAsia"/>
          <w:b/>
          <w:w w:val="95"/>
          <w:sz w:val="21"/>
        </w:rPr>
        <w:t>投保人故意自伤、故意犯罪或抗拒依法采取的刑事强制措施；</w:t>
      </w:r>
    </w:p>
    <w:p>
      <w:pPr>
        <w:pStyle w:val="ListParagraph"/>
        <w:numPr>
          <w:ilvl w:val="0"/>
          <w:numId w:val="8"/>
        </w:numPr>
        <w:tabs>
          <w:tab w:pos="544" w:val="left" w:leader="none"/>
        </w:tabs>
        <w:spacing w:line="240" w:lineRule="auto" w:before="119" w:after="0"/>
        <w:ind w:left="543" w:right="0" w:hanging="420"/>
        <w:jc w:val="both"/>
        <w:rPr>
          <w:rFonts w:ascii="Microsoft JhengHei UI" w:eastAsia="Microsoft JhengHei UI" w:hint="eastAsia"/>
          <w:b/>
          <w:sz w:val="21"/>
        </w:rPr>
      </w:pPr>
      <w:r>
        <w:rPr>
          <w:rFonts w:ascii="Microsoft JhengHei UI" w:eastAsia="Microsoft JhengHei UI" w:hint="eastAsia"/>
          <w:b/>
          <w:w w:val="95"/>
          <w:sz w:val="21"/>
        </w:rPr>
        <w:t>投保人服用、吸食或注射毒品；</w:t>
      </w:r>
    </w:p>
    <w:p>
      <w:pPr>
        <w:pStyle w:val="ListParagraph"/>
        <w:numPr>
          <w:ilvl w:val="0"/>
          <w:numId w:val="8"/>
        </w:numPr>
        <w:tabs>
          <w:tab w:pos="544" w:val="left" w:leader="none"/>
        </w:tabs>
        <w:spacing w:line="240" w:lineRule="auto" w:before="119" w:after="0"/>
        <w:ind w:left="543" w:right="0" w:hanging="420"/>
        <w:jc w:val="both"/>
        <w:rPr>
          <w:sz w:val="21"/>
        </w:rPr>
      </w:pPr>
      <w:r>
        <w:rPr>
          <w:rFonts w:ascii="Microsoft JhengHei UI" w:eastAsia="Microsoft JhengHei UI" w:hint="eastAsia"/>
          <w:b/>
          <w:spacing w:val="-17"/>
          <w:w w:val="99"/>
          <w:sz w:val="21"/>
        </w:rPr>
        <w:t>投保人酒后驾驶、无</w:t>
      </w:r>
      <w:r>
        <w:rPr>
          <w:w w:val="99"/>
          <w:position w:val="1"/>
          <w:sz w:val="21"/>
        </w:rPr>
        <w:t>合</w:t>
      </w:r>
      <w:r>
        <w:rPr>
          <w:spacing w:val="-476"/>
          <w:w w:val="99"/>
          <w:position w:val="1"/>
          <w:sz w:val="21"/>
        </w:rPr>
        <w:t>法</w:t>
      </w:r>
      <w:r>
        <w:rPr>
          <w:w w:val="99"/>
          <w:sz w:val="21"/>
        </w:rPr>
        <w:t>合</w:t>
      </w:r>
      <w:r>
        <w:rPr>
          <w:spacing w:val="-471"/>
          <w:w w:val="99"/>
          <w:sz w:val="21"/>
        </w:rPr>
        <w:t>法</w:t>
      </w:r>
      <w:r>
        <w:rPr>
          <w:w w:val="99"/>
          <w:sz w:val="21"/>
        </w:rPr>
        <w:t>合</w:t>
      </w:r>
      <w:r>
        <w:rPr>
          <w:spacing w:val="-474"/>
          <w:w w:val="99"/>
          <w:sz w:val="21"/>
        </w:rPr>
        <w:t>法</w:t>
      </w:r>
      <w:r>
        <w:rPr>
          <w:spacing w:val="-31"/>
          <w:w w:val="99"/>
          <w:sz w:val="21"/>
        </w:rPr>
        <w:t>合法</w:t>
      </w:r>
      <w:r>
        <w:rPr>
          <w:w w:val="99"/>
          <w:position w:val="1"/>
          <w:sz w:val="21"/>
        </w:rPr>
        <w:t>有</w:t>
      </w:r>
      <w:r>
        <w:rPr>
          <w:spacing w:val="-476"/>
          <w:w w:val="99"/>
          <w:position w:val="1"/>
          <w:sz w:val="21"/>
        </w:rPr>
        <w:t>效</w:t>
      </w:r>
      <w:r>
        <w:rPr>
          <w:w w:val="99"/>
          <w:sz w:val="21"/>
        </w:rPr>
        <w:t>有</w:t>
      </w:r>
      <w:r>
        <w:rPr>
          <w:spacing w:val="-471"/>
          <w:w w:val="99"/>
          <w:sz w:val="21"/>
        </w:rPr>
        <w:t>效</w:t>
      </w:r>
      <w:r>
        <w:rPr>
          <w:w w:val="99"/>
          <w:sz w:val="21"/>
        </w:rPr>
        <w:t>有</w:t>
      </w:r>
      <w:r>
        <w:rPr>
          <w:spacing w:val="-474"/>
          <w:w w:val="99"/>
          <w:sz w:val="21"/>
        </w:rPr>
        <w:t>效</w:t>
      </w:r>
      <w:r>
        <w:rPr>
          <w:spacing w:val="-31"/>
          <w:w w:val="99"/>
          <w:sz w:val="21"/>
        </w:rPr>
        <w:t>有效</w:t>
      </w:r>
      <w:r>
        <w:rPr>
          <w:w w:val="99"/>
          <w:position w:val="1"/>
          <w:sz w:val="21"/>
        </w:rPr>
        <w:t>驾</w:t>
      </w:r>
      <w:r>
        <w:rPr>
          <w:spacing w:val="-476"/>
          <w:w w:val="99"/>
          <w:position w:val="1"/>
          <w:sz w:val="21"/>
        </w:rPr>
        <w:t>驶</w:t>
      </w:r>
      <w:r>
        <w:rPr>
          <w:w w:val="99"/>
          <w:sz w:val="21"/>
        </w:rPr>
        <w:t>驾</w:t>
      </w:r>
      <w:r>
        <w:rPr>
          <w:spacing w:val="-471"/>
          <w:w w:val="99"/>
          <w:sz w:val="21"/>
        </w:rPr>
        <w:t>驶</w:t>
      </w:r>
      <w:r>
        <w:rPr>
          <w:w w:val="99"/>
          <w:sz w:val="21"/>
        </w:rPr>
        <w:t>驾</w:t>
      </w:r>
      <w:r>
        <w:rPr>
          <w:spacing w:val="-474"/>
          <w:w w:val="99"/>
          <w:sz w:val="21"/>
        </w:rPr>
        <w:t>驶</w:t>
      </w:r>
      <w:r>
        <w:rPr>
          <w:spacing w:val="-31"/>
          <w:w w:val="99"/>
          <w:sz w:val="21"/>
        </w:rPr>
        <w:t>驾驶</w:t>
      </w:r>
      <w:r>
        <w:rPr>
          <w:w w:val="99"/>
          <w:position w:val="1"/>
          <w:sz w:val="21"/>
        </w:rPr>
        <w:t>证</w:t>
      </w:r>
      <w:r>
        <w:rPr>
          <w:spacing w:val="-476"/>
          <w:w w:val="99"/>
          <w:position w:val="1"/>
          <w:sz w:val="21"/>
        </w:rPr>
        <w:t>驾</w:t>
      </w:r>
      <w:r>
        <w:rPr>
          <w:w w:val="99"/>
          <w:sz w:val="21"/>
        </w:rPr>
        <w:t>证</w:t>
      </w:r>
      <w:r>
        <w:rPr>
          <w:spacing w:val="-471"/>
          <w:w w:val="99"/>
          <w:sz w:val="21"/>
        </w:rPr>
        <w:t>驾</w:t>
      </w:r>
      <w:r>
        <w:rPr>
          <w:w w:val="99"/>
          <w:sz w:val="21"/>
        </w:rPr>
        <w:t>证</w:t>
      </w:r>
      <w:r>
        <w:rPr>
          <w:spacing w:val="-474"/>
          <w:w w:val="99"/>
          <w:sz w:val="21"/>
        </w:rPr>
        <w:t>驾</w:t>
      </w:r>
      <w:r>
        <w:rPr>
          <w:spacing w:val="-31"/>
          <w:w w:val="99"/>
          <w:sz w:val="21"/>
        </w:rPr>
        <w:t>证驾</w:t>
      </w:r>
      <w:r>
        <w:rPr>
          <w:spacing w:val="-267"/>
          <w:w w:val="99"/>
          <w:position w:val="1"/>
          <w:sz w:val="21"/>
        </w:rPr>
        <w:t>驶</w:t>
      </w:r>
      <w:r>
        <w:rPr>
          <w:spacing w:val="-264"/>
          <w:w w:val="99"/>
          <w:sz w:val="21"/>
        </w:rPr>
        <w:t>驶驶</w:t>
      </w:r>
      <w:r>
        <w:rPr>
          <w:spacing w:val="-43"/>
          <w:w w:val="99"/>
          <w:sz w:val="21"/>
        </w:rPr>
        <w:t>驶</w:t>
      </w:r>
      <w:r>
        <w:rPr>
          <w:spacing w:val="-1"/>
          <w:w w:val="58"/>
          <w:sz w:val="21"/>
        </w:rPr>
        <w:t>(</w:t>
      </w:r>
      <w:r>
        <w:rPr>
          <w:w w:val="99"/>
          <w:sz w:val="21"/>
        </w:rPr>
        <w:t>见释义</w:t>
      </w:r>
      <w:r>
        <w:rPr>
          <w:w w:val="93"/>
          <w:sz w:val="21"/>
        </w:rPr>
        <w:t>11</w:t>
      </w:r>
      <w:r>
        <w:rPr>
          <w:spacing w:val="-1"/>
          <w:w w:val="43"/>
          <w:sz w:val="21"/>
        </w:rPr>
        <w:t>.</w:t>
      </w:r>
      <w:r>
        <w:rPr>
          <w:w w:val="93"/>
          <w:sz w:val="21"/>
        </w:rPr>
        <w:t>11</w:t>
      </w:r>
      <w:r>
        <w:rPr>
          <w:spacing w:val="0"/>
          <w:w w:val="58"/>
          <w:sz w:val="21"/>
        </w:rPr>
        <w:t>)</w:t>
      </w:r>
      <w:r>
        <w:rPr>
          <w:spacing w:val="-209"/>
          <w:w w:val="99"/>
          <w:position w:val="1"/>
          <w:sz w:val="21"/>
        </w:rPr>
        <w:t>，</w:t>
      </w:r>
      <w:r>
        <w:rPr>
          <w:spacing w:val="-165"/>
          <w:w w:val="99"/>
          <w:sz w:val="21"/>
        </w:rPr>
        <w:t>，，，</w:t>
      </w:r>
      <w:r>
        <w:rPr>
          <w:spacing w:val="-209"/>
          <w:w w:val="99"/>
          <w:position w:val="1"/>
          <w:sz w:val="21"/>
        </w:rPr>
        <w:t>及</w:t>
      </w:r>
      <w:r>
        <w:rPr>
          <w:spacing w:val="-206"/>
          <w:w w:val="99"/>
          <w:sz w:val="21"/>
        </w:rPr>
        <w:t>及及</w:t>
      </w:r>
      <w:r>
        <w:rPr>
          <w:spacing w:val="-4"/>
          <w:w w:val="99"/>
          <w:sz w:val="21"/>
        </w:rPr>
        <w:t>及</w:t>
      </w:r>
      <w:r>
        <w:rPr>
          <w:w w:val="99"/>
          <w:position w:val="1"/>
          <w:sz w:val="21"/>
        </w:rPr>
        <w:t>驾</w:t>
      </w:r>
      <w:r>
        <w:rPr>
          <w:spacing w:val="-418"/>
          <w:w w:val="99"/>
          <w:position w:val="1"/>
          <w:sz w:val="21"/>
        </w:rPr>
        <w:t>驶</w:t>
      </w:r>
      <w:r>
        <w:rPr>
          <w:w w:val="99"/>
          <w:sz w:val="21"/>
        </w:rPr>
        <w:t>驾</w:t>
      </w:r>
      <w:r>
        <w:rPr>
          <w:spacing w:val="-414"/>
          <w:w w:val="99"/>
          <w:sz w:val="21"/>
        </w:rPr>
        <w:t>驶</w:t>
      </w:r>
      <w:r>
        <w:rPr>
          <w:w w:val="99"/>
          <w:sz w:val="21"/>
        </w:rPr>
        <w:t>驾</w:t>
      </w:r>
      <w:r>
        <w:rPr>
          <w:spacing w:val="-416"/>
          <w:w w:val="99"/>
          <w:sz w:val="21"/>
        </w:rPr>
        <w:t>驶</w:t>
      </w:r>
      <w:r>
        <w:rPr>
          <w:spacing w:val="-108"/>
          <w:w w:val="99"/>
          <w:sz w:val="21"/>
        </w:rPr>
        <w:t>驾</w:t>
      </w:r>
      <w:r>
        <w:rPr>
          <w:spacing w:val="-4"/>
          <w:w w:val="99"/>
          <w:sz w:val="21"/>
        </w:rPr>
        <w:t>驶</w:t>
      </w:r>
      <w:r>
        <w:rPr>
          <w:w w:val="99"/>
          <w:position w:val="1"/>
          <w:sz w:val="21"/>
        </w:rPr>
        <w:t>无</w:t>
      </w:r>
      <w:r>
        <w:rPr>
          <w:spacing w:val="-418"/>
          <w:w w:val="99"/>
          <w:position w:val="1"/>
          <w:sz w:val="21"/>
        </w:rPr>
        <w:t>有</w:t>
      </w:r>
      <w:r>
        <w:rPr>
          <w:w w:val="99"/>
          <w:sz w:val="21"/>
        </w:rPr>
        <w:t>无</w:t>
      </w:r>
      <w:r>
        <w:rPr>
          <w:spacing w:val="-414"/>
          <w:w w:val="99"/>
          <w:sz w:val="21"/>
        </w:rPr>
        <w:t>有</w:t>
      </w:r>
      <w:r>
        <w:rPr>
          <w:w w:val="99"/>
          <w:sz w:val="21"/>
        </w:rPr>
        <w:t>无</w:t>
      </w:r>
      <w:r>
        <w:rPr>
          <w:spacing w:val="-416"/>
          <w:w w:val="99"/>
          <w:sz w:val="21"/>
        </w:rPr>
        <w:t>有</w:t>
      </w:r>
      <w:r>
        <w:rPr>
          <w:spacing w:val="-2"/>
          <w:w w:val="99"/>
          <w:sz w:val="21"/>
        </w:rPr>
        <w:t>无有</w:t>
      </w:r>
      <w:r>
        <w:rPr>
          <w:w w:val="99"/>
          <w:position w:val="1"/>
          <w:sz w:val="21"/>
        </w:rPr>
        <w:t>效</w:t>
      </w:r>
      <w:r>
        <w:rPr>
          <w:spacing w:val="-418"/>
          <w:w w:val="99"/>
          <w:position w:val="1"/>
          <w:sz w:val="21"/>
        </w:rPr>
        <w:t>行</w:t>
      </w:r>
      <w:r>
        <w:rPr>
          <w:w w:val="99"/>
          <w:sz w:val="21"/>
        </w:rPr>
        <w:t>效</w:t>
      </w:r>
      <w:r>
        <w:rPr>
          <w:spacing w:val="-414"/>
          <w:w w:val="99"/>
          <w:sz w:val="21"/>
        </w:rPr>
        <w:t>行</w:t>
      </w:r>
      <w:r>
        <w:rPr>
          <w:w w:val="99"/>
          <w:sz w:val="21"/>
        </w:rPr>
        <w:t>效</w:t>
      </w:r>
      <w:r>
        <w:rPr>
          <w:spacing w:val="-416"/>
          <w:w w:val="99"/>
          <w:sz w:val="21"/>
        </w:rPr>
        <w:t>行</w:t>
      </w:r>
      <w:r>
        <w:rPr>
          <w:spacing w:val="-2"/>
          <w:w w:val="99"/>
          <w:sz w:val="21"/>
        </w:rPr>
        <w:t>效行</w:t>
      </w:r>
      <w:r>
        <w:rPr>
          <w:w w:val="99"/>
          <w:position w:val="1"/>
          <w:sz w:val="21"/>
        </w:rPr>
        <w:t>驶</w:t>
      </w:r>
      <w:r>
        <w:rPr>
          <w:spacing w:val="-418"/>
          <w:w w:val="99"/>
          <w:position w:val="1"/>
          <w:sz w:val="21"/>
        </w:rPr>
        <w:t>证</w:t>
      </w:r>
      <w:r>
        <w:rPr>
          <w:w w:val="99"/>
          <w:sz w:val="21"/>
        </w:rPr>
        <w:t>驶</w:t>
      </w:r>
      <w:r>
        <w:rPr>
          <w:spacing w:val="-414"/>
          <w:w w:val="99"/>
          <w:sz w:val="21"/>
        </w:rPr>
        <w:t>证</w:t>
      </w:r>
      <w:r>
        <w:rPr>
          <w:w w:val="99"/>
          <w:sz w:val="21"/>
        </w:rPr>
        <w:t>驶</w:t>
      </w:r>
      <w:r>
        <w:rPr>
          <w:spacing w:val="-416"/>
          <w:w w:val="99"/>
          <w:sz w:val="21"/>
        </w:rPr>
        <w:t>证</w:t>
      </w:r>
      <w:r>
        <w:rPr>
          <w:spacing w:val="-2"/>
          <w:w w:val="99"/>
          <w:sz w:val="21"/>
        </w:rPr>
        <w:t>驶证</w:t>
      </w:r>
      <w:r>
        <w:rPr>
          <w:w w:val="99"/>
          <w:position w:val="1"/>
          <w:sz w:val="21"/>
        </w:rPr>
        <w:t>的</w:t>
      </w:r>
      <w:r>
        <w:rPr>
          <w:spacing w:val="-418"/>
          <w:w w:val="99"/>
          <w:position w:val="1"/>
          <w:sz w:val="21"/>
        </w:rPr>
        <w:t>机</w:t>
      </w:r>
      <w:r>
        <w:rPr>
          <w:w w:val="99"/>
          <w:sz w:val="21"/>
        </w:rPr>
        <w:t>的</w:t>
      </w:r>
      <w:r>
        <w:rPr>
          <w:spacing w:val="-414"/>
          <w:w w:val="99"/>
          <w:sz w:val="21"/>
        </w:rPr>
        <w:t>机</w:t>
      </w:r>
      <w:r>
        <w:rPr>
          <w:w w:val="99"/>
          <w:sz w:val="21"/>
        </w:rPr>
        <w:t>的</w:t>
      </w:r>
      <w:r>
        <w:rPr>
          <w:spacing w:val="-416"/>
          <w:w w:val="99"/>
          <w:sz w:val="21"/>
        </w:rPr>
        <w:t>机</w:t>
      </w:r>
      <w:r>
        <w:rPr>
          <w:spacing w:val="-2"/>
          <w:w w:val="99"/>
          <w:sz w:val="21"/>
        </w:rPr>
        <w:t>的机</w:t>
      </w:r>
      <w:r>
        <w:rPr>
          <w:w w:val="99"/>
          <w:position w:val="1"/>
          <w:sz w:val="21"/>
        </w:rPr>
        <w:t>动</w:t>
      </w:r>
      <w:r>
        <w:rPr>
          <w:spacing w:val="-418"/>
          <w:w w:val="99"/>
          <w:position w:val="1"/>
          <w:sz w:val="21"/>
        </w:rPr>
        <w:t>车</w:t>
      </w:r>
      <w:r>
        <w:rPr>
          <w:w w:val="99"/>
          <w:sz w:val="21"/>
        </w:rPr>
        <w:t>动</w:t>
      </w:r>
      <w:r>
        <w:rPr>
          <w:spacing w:val="-414"/>
          <w:w w:val="99"/>
          <w:sz w:val="21"/>
        </w:rPr>
        <w:t>车</w:t>
      </w:r>
      <w:r>
        <w:rPr>
          <w:w w:val="99"/>
          <w:sz w:val="21"/>
        </w:rPr>
        <w:t>动</w:t>
      </w:r>
      <w:r>
        <w:rPr>
          <w:spacing w:val="-416"/>
          <w:w w:val="99"/>
          <w:sz w:val="21"/>
        </w:rPr>
        <w:t>车</w:t>
      </w:r>
      <w:r>
        <w:rPr>
          <w:spacing w:val="1"/>
          <w:w w:val="99"/>
          <w:sz w:val="21"/>
        </w:rPr>
        <w:t>动车</w:t>
      </w:r>
      <w:r>
        <w:rPr>
          <w:spacing w:val="-209"/>
          <w:w w:val="99"/>
          <w:position w:val="1"/>
          <w:sz w:val="21"/>
        </w:rPr>
        <w:t>；</w:t>
      </w:r>
      <w:r>
        <w:rPr>
          <w:spacing w:val="-206"/>
          <w:w w:val="99"/>
          <w:sz w:val="21"/>
        </w:rPr>
        <w:t>；；</w:t>
      </w:r>
      <w:r>
        <w:rPr>
          <w:w w:val="99"/>
          <w:sz w:val="21"/>
        </w:rPr>
        <w:t>；</w:t>
      </w:r>
    </w:p>
    <w:p>
      <w:pPr>
        <w:pStyle w:val="ListParagraph"/>
        <w:numPr>
          <w:ilvl w:val="0"/>
          <w:numId w:val="8"/>
        </w:numPr>
        <w:tabs>
          <w:tab w:pos="544" w:val="left" w:leader="none"/>
        </w:tabs>
        <w:spacing w:line="240" w:lineRule="auto" w:before="119" w:after="0"/>
        <w:ind w:left="543" w:right="0" w:hanging="420"/>
        <w:jc w:val="both"/>
        <w:rPr>
          <w:sz w:val="21"/>
        </w:rPr>
      </w:pPr>
      <w:r>
        <w:rPr>
          <w:rFonts w:ascii="Microsoft JhengHei UI" w:eastAsia="Microsoft JhengHei UI" w:hint="eastAsia"/>
          <w:b/>
          <w:spacing w:val="-19"/>
          <w:w w:val="99"/>
          <w:sz w:val="21"/>
        </w:rPr>
        <w:t>投保人感</w:t>
      </w:r>
      <w:r>
        <w:rPr>
          <w:w w:val="99"/>
          <w:sz w:val="21"/>
        </w:rPr>
        <w:t>染</w:t>
      </w:r>
      <w:r>
        <w:rPr>
          <w:spacing w:val="-476"/>
          <w:w w:val="99"/>
          <w:sz w:val="21"/>
        </w:rPr>
        <w:t>艾</w:t>
      </w:r>
      <w:r>
        <w:rPr>
          <w:w w:val="99"/>
          <w:position w:val="1"/>
          <w:sz w:val="21"/>
        </w:rPr>
        <w:t>染</w:t>
      </w:r>
      <w:r>
        <w:rPr>
          <w:spacing w:val="-471"/>
          <w:w w:val="99"/>
          <w:position w:val="1"/>
          <w:sz w:val="21"/>
        </w:rPr>
        <w:t>艾</w:t>
      </w:r>
      <w:r>
        <w:rPr>
          <w:w w:val="99"/>
          <w:sz w:val="21"/>
        </w:rPr>
        <w:t>染</w:t>
      </w:r>
      <w:r>
        <w:rPr>
          <w:spacing w:val="-474"/>
          <w:w w:val="99"/>
          <w:sz w:val="21"/>
        </w:rPr>
        <w:t>艾</w:t>
      </w:r>
      <w:r>
        <w:rPr>
          <w:spacing w:val="-31"/>
          <w:w w:val="99"/>
          <w:sz w:val="21"/>
        </w:rPr>
        <w:t>染艾</w:t>
      </w:r>
      <w:r>
        <w:rPr>
          <w:w w:val="99"/>
          <w:position w:val="1"/>
          <w:sz w:val="21"/>
        </w:rPr>
        <w:t>滋</w:t>
      </w:r>
      <w:r>
        <w:rPr>
          <w:spacing w:val="-476"/>
          <w:w w:val="99"/>
          <w:position w:val="1"/>
          <w:sz w:val="21"/>
        </w:rPr>
        <w:t>病</w:t>
      </w:r>
      <w:r>
        <w:rPr>
          <w:w w:val="99"/>
          <w:sz w:val="21"/>
        </w:rPr>
        <w:t>滋</w:t>
      </w:r>
      <w:r>
        <w:rPr>
          <w:spacing w:val="-471"/>
          <w:w w:val="99"/>
          <w:sz w:val="21"/>
        </w:rPr>
        <w:t>病</w:t>
      </w:r>
      <w:r>
        <w:rPr>
          <w:w w:val="99"/>
          <w:sz w:val="21"/>
        </w:rPr>
        <w:t>滋</w:t>
      </w:r>
      <w:r>
        <w:rPr>
          <w:spacing w:val="-474"/>
          <w:w w:val="99"/>
          <w:sz w:val="21"/>
        </w:rPr>
        <w:t>病</w:t>
      </w:r>
      <w:r>
        <w:rPr>
          <w:spacing w:val="-31"/>
          <w:w w:val="99"/>
          <w:sz w:val="21"/>
        </w:rPr>
        <w:t>滋病</w:t>
      </w:r>
      <w:r>
        <w:rPr>
          <w:w w:val="99"/>
          <w:position w:val="1"/>
          <w:sz w:val="21"/>
        </w:rPr>
        <w:t>病</w:t>
      </w:r>
      <w:r>
        <w:rPr>
          <w:spacing w:val="-476"/>
          <w:w w:val="99"/>
          <w:position w:val="1"/>
          <w:sz w:val="21"/>
        </w:rPr>
        <w:t>毒</w:t>
      </w:r>
      <w:r>
        <w:rPr>
          <w:w w:val="99"/>
          <w:sz w:val="21"/>
        </w:rPr>
        <w:t>病</w:t>
      </w:r>
      <w:r>
        <w:rPr>
          <w:spacing w:val="-471"/>
          <w:w w:val="99"/>
          <w:sz w:val="21"/>
        </w:rPr>
        <w:t>毒</w:t>
      </w:r>
      <w:r>
        <w:rPr>
          <w:w w:val="99"/>
          <w:sz w:val="21"/>
        </w:rPr>
        <w:t>病</w:t>
      </w:r>
      <w:r>
        <w:rPr>
          <w:spacing w:val="-474"/>
          <w:w w:val="99"/>
          <w:sz w:val="21"/>
        </w:rPr>
        <w:t>毒</w:t>
      </w:r>
      <w:r>
        <w:rPr>
          <w:spacing w:val="-31"/>
          <w:w w:val="99"/>
          <w:sz w:val="21"/>
        </w:rPr>
        <w:t>病毒</w:t>
      </w:r>
      <w:r>
        <w:rPr>
          <w:w w:val="99"/>
          <w:position w:val="1"/>
          <w:sz w:val="21"/>
        </w:rPr>
        <w:t>或</w:t>
      </w:r>
      <w:r>
        <w:rPr>
          <w:spacing w:val="-476"/>
          <w:w w:val="99"/>
          <w:position w:val="1"/>
          <w:sz w:val="21"/>
        </w:rPr>
        <w:t>患</w:t>
      </w:r>
      <w:r>
        <w:rPr>
          <w:w w:val="99"/>
          <w:sz w:val="21"/>
        </w:rPr>
        <w:t>或</w:t>
      </w:r>
      <w:r>
        <w:rPr>
          <w:spacing w:val="-471"/>
          <w:w w:val="99"/>
          <w:sz w:val="21"/>
        </w:rPr>
        <w:t>患</w:t>
      </w:r>
      <w:r>
        <w:rPr>
          <w:w w:val="99"/>
          <w:sz w:val="21"/>
        </w:rPr>
        <w:t>或</w:t>
      </w:r>
      <w:r>
        <w:rPr>
          <w:spacing w:val="-474"/>
          <w:w w:val="99"/>
          <w:sz w:val="21"/>
        </w:rPr>
        <w:t>患</w:t>
      </w:r>
      <w:r>
        <w:rPr>
          <w:spacing w:val="-31"/>
          <w:w w:val="99"/>
          <w:sz w:val="21"/>
        </w:rPr>
        <w:t>或患</w:t>
      </w:r>
      <w:r>
        <w:rPr>
          <w:w w:val="99"/>
          <w:position w:val="1"/>
          <w:sz w:val="21"/>
        </w:rPr>
        <w:t>艾</w:t>
      </w:r>
      <w:r>
        <w:rPr>
          <w:spacing w:val="-476"/>
          <w:w w:val="99"/>
          <w:position w:val="1"/>
          <w:sz w:val="21"/>
        </w:rPr>
        <w:t>滋</w:t>
      </w:r>
      <w:r>
        <w:rPr>
          <w:w w:val="99"/>
          <w:sz w:val="21"/>
        </w:rPr>
        <w:t>艾</w:t>
      </w:r>
      <w:r>
        <w:rPr>
          <w:spacing w:val="-471"/>
          <w:w w:val="99"/>
          <w:sz w:val="21"/>
        </w:rPr>
        <w:t>滋</w:t>
      </w:r>
      <w:r>
        <w:rPr>
          <w:w w:val="99"/>
          <w:sz w:val="21"/>
        </w:rPr>
        <w:t>艾</w:t>
      </w:r>
      <w:r>
        <w:rPr>
          <w:spacing w:val="-474"/>
          <w:w w:val="99"/>
          <w:sz w:val="21"/>
        </w:rPr>
        <w:t>滋</w:t>
      </w:r>
      <w:r>
        <w:rPr>
          <w:spacing w:val="-31"/>
          <w:w w:val="99"/>
          <w:sz w:val="21"/>
        </w:rPr>
        <w:t>艾滋</w:t>
      </w:r>
      <w:r>
        <w:rPr>
          <w:spacing w:val="-267"/>
          <w:w w:val="99"/>
          <w:position w:val="1"/>
          <w:sz w:val="21"/>
        </w:rPr>
        <w:t>病</w:t>
      </w:r>
      <w:r>
        <w:rPr>
          <w:spacing w:val="-264"/>
          <w:w w:val="99"/>
          <w:sz w:val="21"/>
        </w:rPr>
        <w:t>病病</w:t>
      </w:r>
      <w:r>
        <w:rPr>
          <w:spacing w:val="-41"/>
          <w:w w:val="99"/>
          <w:sz w:val="21"/>
        </w:rPr>
        <w:t>病</w:t>
      </w:r>
      <w:r>
        <w:rPr>
          <w:spacing w:val="0"/>
          <w:w w:val="58"/>
          <w:sz w:val="21"/>
        </w:rPr>
        <w:t>(</w:t>
      </w:r>
      <w:r>
        <w:rPr>
          <w:w w:val="99"/>
          <w:sz w:val="21"/>
        </w:rPr>
        <w:t>见释义</w:t>
      </w:r>
      <w:r>
        <w:rPr>
          <w:w w:val="93"/>
          <w:sz w:val="21"/>
        </w:rPr>
        <w:t>11</w:t>
      </w:r>
      <w:r>
        <w:rPr>
          <w:spacing w:val="-1"/>
          <w:w w:val="43"/>
          <w:sz w:val="21"/>
        </w:rPr>
        <w:t>.</w:t>
      </w:r>
      <w:r>
        <w:rPr>
          <w:w w:val="93"/>
          <w:sz w:val="21"/>
        </w:rPr>
        <w:t>1</w:t>
      </w:r>
      <w:r>
        <w:rPr>
          <w:spacing w:val="1"/>
          <w:w w:val="93"/>
          <w:sz w:val="21"/>
        </w:rPr>
        <w:t>2</w:t>
      </w:r>
      <w:r>
        <w:rPr>
          <w:spacing w:val="-1"/>
          <w:w w:val="58"/>
          <w:sz w:val="21"/>
        </w:rPr>
        <w:t>)</w:t>
      </w:r>
      <w:r>
        <w:rPr>
          <w:spacing w:val="-209"/>
          <w:w w:val="99"/>
          <w:position w:val="1"/>
          <w:sz w:val="21"/>
        </w:rPr>
        <w:t>；</w:t>
      </w:r>
      <w:r>
        <w:rPr>
          <w:spacing w:val="-206"/>
          <w:w w:val="99"/>
          <w:sz w:val="21"/>
        </w:rPr>
        <w:t>；；</w:t>
      </w:r>
      <w:r>
        <w:rPr>
          <w:w w:val="99"/>
          <w:sz w:val="21"/>
        </w:rPr>
        <w:t>；</w:t>
      </w:r>
    </w:p>
    <w:p>
      <w:pPr>
        <w:pStyle w:val="Heading2"/>
        <w:numPr>
          <w:ilvl w:val="0"/>
          <w:numId w:val="8"/>
        </w:numPr>
        <w:tabs>
          <w:tab w:pos="544" w:val="left" w:leader="none"/>
        </w:tabs>
        <w:spacing w:line="240" w:lineRule="auto" w:before="119" w:after="0"/>
        <w:ind w:left="543" w:right="0" w:hanging="420"/>
        <w:jc w:val="both"/>
      </w:pPr>
      <w:r>
        <w:rPr>
          <w:w w:val="95"/>
        </w:rPr>
        <w:t>战争、军事冲突、暴乱或武装叛乱；</w:t>
      </w:r>
    </w:p>
    <w:p>
      <w:pPr>
        <w:pStyle w:val="ListParagraph"/>
        <w:numPr>
          <w:ilvl w:val="0"/>
          <w:numId w:val="8"/>
        </w:numPr>
        <w:tabs>
          <w:tab w:pos="544" w:val="left" w:leader="none"/>
        </w:tabs>
        <w:spacing w:line="240" w:lineRule="auto" w:before="119" w:after="0"/>
        <w:ind w:left="543" w:right="0" w:hanging="420"/>
        <w:jc w:val="both"/>
        <w:rPr>
          <w:rFonts w:ascii="Microsoft JhengHei UI" w:eastAsia="Microsoft JhengHei UI" w:hint="eastAsia"/>
          <w:b/>
          <w:sz w:val="21"/>
        </w:rPr>
      </w:pPr>
      <w:r>
        <w:rPr>
          <w:rFonts w:ascii="Microsoft JhengHei UI" w:eastAsia="Microsoft JhengHei UI" w:hint="eastAsia"/>
          <w:b/>
          <w:w w:val="95"/>
          <w:sz w:val="21"/>
        </w:rPr>
        <w:t>核爆炸、核辐射或核污染；</w:t>
      </w:r>
    </w:p>
    <w:p>
      <w:pPr>
        <w:pStyle w:val="BodyText"/>
        <w:spacing w:before="2"/>
        <w:rPr>
          <w:rFonts w:ascii="Microsoft JhengHei UI"/>
          <w:b/>
          <w:sz w:val="6"/>
        </w:rPr>
      </w:pPr>
    </w:p>
    <w:p>
      <w:pPr>
        <w:pStyle w:val="ListParagraph"/>
        <w:numPr>
          <w:ilvl w:val="0"/>
          <w:numId w:val="8"/>
        </w:numPr>
        <w:tabs>
          <w:tab w:pos="515" w:val="left" w:leader="none"/>
          <w:tab w:pos="516" w:val="left" w:leader="none"/>
        </w:tabs>
        <w:spacing w:line="240" w:lineRule="auto" w:before="17" w:after="0"/>
        <w:ind w:left="515" w:right="0" w:hanging="392"/>
        <w:jc w:val="left"/>
        <w:rPr>
          <w:sz w:val="21"/>
        </w:rPr>
      </w:pPr>
      <w:r>
        <w:rPr>
          <w:rFonts w:ascii="Microsoft JhengHei UI" w:eastAsia="Microsoft JhengHei UI" w:hint="eastAsia"/>
          <w:b/>
          <w:spacing w:val="-48"/>
          <w:w w:val="99"/>
          <w:sz w:val="21"/>
        </w:rPr>
        <w:t>遗</w:t>
      </w:r>
      <w:r>
        <w:rPr>
          <w:w w:val="99"/>
          <w:position w:val="1"/>
          <w:sz w:val="21"/>
        </w:rPr>
        <w:t>传</w:t>
      </w:r>
      <w:r>
        <w:rPr>
          <w:spacing w:val="-476"/>
          <w:w w:val="99"/>
          <w:position w:val="1"/>
          <w:sz w:val="21"/>
        </w:rPr>
        <w:t>性</w:t>
      </w:r>
      <w:r>
        <w:rPr>
          <w:w w:val="99"/>
          <w:sz w:val="21"/>
        </w:rPr>
        <w:t>传</w:t>
      </w:r>
      <w:r>
        <w:rPr>
          <w:spacing w:val="-471"/>
          <w:w w:val="99"/>
          <w:sz w:val="21"/>
        </w:rPr>
        <w:t>性</w:t>
      </w:r>
      <w:r>
        <w:rPr>
          <w:w w:val="99"/>
          <w:sz w:val="21"/>
        </w:rPr>
        <w:t>传</w:t>
      </w:r>
      <w:r>
        <w:rPr>
          <w:spacing w:val="-474"/>
          <w:w w:val="99"/>
          <w:sz w:val="21"/>
        </w:rPr>
        <w:t>性</w:t>
      </w:r>
      <w:r>
        <w:rPr>
          <w:spacing w:val="-31"/>
          <w:w w:val="99"/>
          <w:sz w:val="21"/>
        </w:rPr>
        <w:t>传性</w:t>
      </w:r>
      <w:r>
        <w:rPr>
          <w:w w:val="99"/>
          <w:position w:val="1"/>
          <w:sz w:val="21"/>
        </w:rPr>
        <w:t>疾</w:t>
      </w:r>
      <w:r>
        <w:rPr>
          <w:spacing w:val="-476"/>
          <w:w w:val="99"/>
          <w:position w:val="1"/>
          <w:sz w:val="21"/>
        </w:rPr>
        <w:t>病</w:t>
      </w:r>
      <w:r>
        <w:rPr>
          <w:w w:val="99"/>
          <w:sz w:val="21"/>
        </w:rPr>
        <w:t>疾</w:t>
      </w:r>
      <w:r>
        <w:rPr>
          <w:spacing w:val="-471"/>
          <w:w w:val="99"/>
          <w:sz w:val="21"/>
        </w:rPr>
        <w:t>病</w:t>
      </w:r>
      <w:r>
        <w:rPr>
          <w:w w:val="99"/>
          <w:sz w:val="21"/>
        </w:rPr>
        <w:t>疾</w:t>
      </w:r>
      <w:r>
        <w:rPr>
          <w:spacing w:val="-474"/>
          <w:w w:val="99"/>
          <w:sz w:val="21"/>
        </w:rPr>
        <w:t>病</w:t>
      </w:r>
      <w:r>
        <w:rPr>
          <w:spacing w:val="-23"/>
          <w:w w:val="99"/>
          <w:sz w:val="21"/>
        </w:rPr>
        <w:t>疾病</w:t>
      </w:r>
      <w:r>
        <w:rPr>
          <w:spacing w:val="-1"/>
          <w:w w:val="58"/>
          <w:sz w:val="21"/>
        </w:rPr>
        <w:t>(</w:t>
      </w:r>
      <w:r>
        <w:rPr>
          <w:w w:val="99"/>
          <w:sz w:val="21"/>
        </w:rPr>
        <w:t>见释义</w:t>
      </w:r>
      <w:r>
        <w:rPr>
          <w:w w:val="93"/>
          <w:sz w:val="21"/>
        </w:rPr>
        <w:t>11</w:t>
      </w:r>
      <w:r>
        <w:rPr>
          <w:spacing w:val="-1"/>
          <w:w w:val="43"/>
          <w:sz w:val="21"/>
        </w:rPr>
        <w:t>.</w:t>
      </w:r>
      <w:r>
        <w:rPr>
          <w:w w:val="93"/>
          <w:sz w:val="21"/>
        </w:rPr>
        <w:t>13</w:t>
      </w:r>
      <w:r>
        <w:rPr>
          <w:spacing w:val="0"/>
          <w:w w:val="58"/>
          <w:sz w:val="21"/>
        </w:rPr>
        <w:t>)</w:t>
      </w:r>
      <w:r>
        <w:rPr>
          <w:spacing w:val="-14"/>
          <w:w w:val="99"/>
          <w:sz w:val="21"/>
        </w:rPr>
        <w:t>、</w:t>
      </w:r>
      <w:r>
        <w:rPr>
          <w:spacing w:val="-267"/>
          <w:w w:val="99"/>
          <w:position w:val="1"/>
          <w:sz w:val="21"/>
        </w:rPr>
        <w:t>先</w:t>
      </w:r>
      <w:r>
        <w:rPr>
          <w:spacing w:val="-264"/>
          <w:w w:val="99"/>
          <w:sz w:val="21"/>
        </w:rPr>
        <w:t>先先</w:t>
      </w:r>
      <w:r>
        <w:rPr>
          <w:spacing w:val="-62"/>
          <w:w w:val="99"/>
          <w:sz w:val="21"/>
        </w:rPr>
        <w:t>先</w:t>
      </w:r>
      <w:r>
        <w:rPr>
          <w:w w:val="99"/>
          <w:position w:val="1"/>
          <w:sz w:val="21"/>
        </w:rPr>
        <w:t>天</w:t>
      </w:r>
      <w:r>
        <w:rPr>
          <w:spacing w:val="-476"/>
          <w:w w:val="99"/>
          <w:position w:val="1"/>
          <w:sz w:val="21"/>
        </w:rPr>
        <w:t>性</w:t>
      </w:r>
      <w:r>
        <w:rPr>
          <w:w w:val="99"/>
          <w:sz w:val="21"/>
        </w:rPr>
        <w:t>天</w:t>
      </w:r>
      <w:r>
        <w:rPr>
          <w:spacing w:val="-471"/>
          <w:w w:val="99"/>
          <w:sz w:val="21"/>
        </w:rPr>
        <w:t>性</w:t>
      </w:r>
      <w:r>
        <w:rPr>
          <w:w w:val="99"/>
          <w:sz w:val="21"/>
        </w:rPr>
        <w:t>天</w:t>
      </w:r>
      <w:r>
        <w:rPr>
          <w:spacing w:val="-474"/>
          <w:w w:val="99"/>
          <w:sz w:val="21"/>
        </w:rPr>
        <w:t>性</w:t>
      </w:r>
      <w:r>
        <w:rPr>
          <w:spacing w:val="-31"/>
          <w:w w:val="99"/>
          <w:sz w:val="21"/>
        </w:rPr>
        <w:t>天性</w:t>
      </w:r>
      <w:r>
        <w:rPr>
          <w:w w:val="99"/>
          <w:position w:val="1"/>
          <w:sz w:val="21"/>
        </w:rPr>
        <w:t>畸</w:t>
      </w:r>
      <w:r>
        <w:rPr>
          <w:spacing w:val="-476"/>
          <w:w w:val="99"/>
          <w:position w:val="1"/>
          <w:sz w:val="21"/>
        </w:rPr>
        <w:t>形</w:t>
      </w:r>
      <w:r>
        <w:rPr>
          <w:w w:val="99"/>
          <w:sz w:val="21"/>
        </w:rPr>
        <w:t>畸</w:t>
      </w:r>
      <w:r>
        <w:rPr>
          <w:spacing w:val="-471"/>
          <w:w w:val="99"/>
          <w:sz w:val="21"/>
        </w:rPr>
        <w:t>形</w:t>
      </w:r>
      <w:r>
        <w:rPr>
          <w:w w:val="99"/>
          <w:sz w:val="21"/>
        </w:rPr>
        <w:t>畸</w:t>
      </w:r>
      <w:r>
        <w:rPr>
          <w:spacing w:val="-474"/>
          <w:w w:val="99"/>
          <w:sz w:val="21"/>
        </w:rPr>
        <w:t>形</w:t>
      </w:r>
      <w:r>
        <w:rPr>
          <w:spacing w:val="-31"/>
          <w:w w:val="99"/>
          <w:sz w:val="21"/>
        </w:rPr>
        <w:t>畸形</w:t>
      </w:r>
      <w:r>
        <w:rPr>
          <w:w w:val="99"/>
          <w:position w:val="1"/>
          <w:sz w:val="21"/>
        </w:rPr>
        <w:t>、</w:t>
      </w:r>
      <w:r>
        <w:rPr>
          <w:spacing w:val="-476"/>
          <w:w w:val="99"/>
          <w:position w:val="1"/>
          <w:sz w:val="21"/>
        </w:rPr>
        <w:t>变</w:t>
      </w:r>
      <w:r>
        <w:rPr>
          <w:w w:val="99"/>
          <w:sz w:val="21"/>
        </w:rPr>
        <w:t>、</w:t>
      </w:r>
      <w:r>
        <w:rPr>
          <w:spacing w:val="-471"/>
          <w:w w:val="99"/>
          <w:sz w:val="21"/>
        </w:rPr>
        <w:t>变</w:t>
      </w:r>
      <w:r>
        <w:rPr>
          <w:w w:val="99"/>
          <w:sz w:val="21"/>
        </w:rPr>
        <w:t>、</w:t>
      </w:r>
      <w:r>
        <w:rPr>
          <w:spacing w:val="-474"/>
          <w:w w:val="99"/>
          <w:sz w:val="21"/>
        </w:rPr>
        <w:t>变</w:t>
      </w:r>
      <w:r>
        <w:rPr>
          <w:spacing w:val="-31"/>
          <w:w w:val="99"/>
          <w:sz w:val="21"/>
        </w:rPr>
        <w:t>、变</w:t>
      </w:r>
      <w:r>
        <w:rPr>
          <w:w w:val="99"/>
          <w:position w:val="1"/>
          <w:sz w:val="21"/>
        </w:rPr>
        <w:t>形</w:t>
      </w:r>
      <w:r>
        <w:rPr>
          <w:spacing w:val="-476"/>
          <w:w w:val="99"/>
          <w:position w:val="1"/>
          <w:sz w:val="21"/>
        </w:rPr>
        <w:t>或</w:t>
      </w:r>
      <w:r>
        <w:rPr>
          <w:w w:val="99"/>
          <w:sz w:val="21"/>
        </w:rPr>
        <w:t>形</w:t>
      </w:r>
      <w:r>
        <w:rPr>
          <w:spacing w:val="-471"/>
          <w:w w:val="99"/>
          <w:sz w:val="21"/>
        </w:rPr>
        <w:t>或</w:t>
      </w:r>
      <w:r>
        <w:rPr>
          <w:w w:val="99"/>
          <w:sz w:val="21"/>
        </w:rPr>
        <w:t>形</w:t>
      </w:r>
      <w:r>
        <w:rPr>
          <w:spacing w:val="-474"/>
          <w:w w:val="99"/>
          <w:sz w:val="21"/>
        </w:rPr>
        <w:t>或</w:t>
      </w:r>
      <w:r>
        <w:rPr>
          <w:spacing w:val="-31"/>
          <w:w w:val="99"/>
          <w:sz w:val="21"/>
        </w:rPr>
        <w:t>形或</w:t>
      </w:r>
      <w:r>
        <w:rPr>
          <w:w w:val="99"/>
          <w:position w:val="1"/>
          <w:sz w:val="21"/>
        </w:rPr>
        <w:t>染</w:t>
      </w:r>
      <w:r>
        <w:rPr>
          <w:spacing w:val="-476"/>
          <w:w w:val="99"/>
          <w:position w:val="1"/>
          <w:sz w:val="21"/>
        </w:rPr>
        <w:t>色</w:t>
      </w:r>
      <w:r>
        <w:rPr>
          <w:w w:val="99"/>
          <w:sz w:val="21"/>
        </w:rPr>
        <w:t>染</w:t>
      </w:r>
      <w:r>
        <w:rPr>
          <w:spacing w:val="-471"/>
          <w:w w:val="99"/>
          <w:sz w:val="21"/>
        </w:rPr>
        <w:t>色</w:t>
      </w:r>
      <w:r>
        <w:rPr>
          <w:spacing w:val="-105"/>
          <w:w w:val="99"/>
          <w:sz w:val="21"/>
        </w:rPr>
        <w:t>染</w:t>
      </w:r>
      <w:r>
        <w:rPr>
          <w:spacing w:val="-474"/>
          <w:w w:val="99"/>
          <w:sz w:val="21"/>
        </w:rPr>
        <w:t>色</w:t>
      </w:r>
      <w:r>
        <w:rPr>
          <w:spacing w:val="-31"/>
          <w:w w:val="99"/>
          <w:sz w:val="21"/>
        </w:rPr>
        <w:t>染色</w:t>
      </w:r>
      <w:r>
        <w:rPr>
          <w:w w:val="99"/>
          <w:position w:val="1"/>
          <w:sz w:val="21"/>
        </w:rPr>
        <w:t>体</w:t>
      </w:r>
      <w:r>
        <w:rPr>
          <w:spacing w:val="-476"/>
          <w:w w:val="99"/>
          <w:position w:val="1"/>
          <w:sz w:val="21"/>
        </w:rPr>
        <w:t>异</w:t>
      </w:r>
      <w:r>
        <w:rPr>
          <w:w w:val="99"/>
          <w:sz w:val="21"/>
        </w:rPr>
        <w:t>体</w:t>
      </w:r>
      <w:r>
        <w:rPr>
          <w:spacing w:val="-471"/>
          <w:w w:val="99"/>
          <w:sz w:val="21"/>
        </w:rPr>
        <w:t>异</w:t>
      </w:r>
      <w:r>
        <w:rPr>
          <w:w w:val="99"/>
          <w:sz w:val="21"/>
        </w:rPr>
        <w:t>体</w:t>
      </w:r>
      <w:r>
        <w:rPr>
          <w:spacing w:val="-474"/>
          <w:w w:val="99"/>
          <w:sz w:val="21"/>
        </w:rPr>
        <w:t>异</w:t>
      </w:r>
      <w:r>
        <w:rPr>
          <w:spacing w:val="-31"/>
          <w:w w:val="99"/>
          <w:sz w:val="21"/>
        </w:rPr>
        <w:t>体异</w:t>
      </w:r>
      <w:r>
        <w:rPr>
          <w:spacing w:val="-267"/>
          <w:w w:val="99"/>
          <w:position w:val="1"/>
          <w:sz w:val="21"/>
        </w:rPr>
        <w:t>常</w:t>
      </w:r>
      <w:r>
        <w:rPr>
          <w:spacing w:val="-264"/>
          <w:w w:val="99"/>
          <w:sz w:val="21"/>
        </w:rPr>
        <w:t>常常</w:t>
      </w:r>
      <w:r>
        <w:rPr>
          <w:spacing w:val="-39"/>
          <w:w w:val="99"/>
          <w:sz w:val="21"/>
        </w:rPr>
        <w:t>常</w:t>
      </w:r>
      <w:r>
        <w:rPr>
          <w:spacing w:val="-1"/>
          <w:w w:val="58"/>
          <w:sz w:val="21"/>
        </w:rPr>
        <w:t>(</w:t>
      </w:r>
      <w:r>
        <w:rPr>
          <w:w w:val="99"/>
          <w:sz w:val="21"/>
        </w:rPr>
        <w:t>见释义</w:t>
      </w:r>
      <w:r>
        <w:rPr>
          <w:w w:val="93"/>
          <w:sz w:val="21"/>
        </w:rPr>
        <w:t>11</w:t>
      </w:r>
      <w:r>
        <w:rPr>
          <w:spacing w:val="-1"/>
          <w:w w:val="43"/>
          <w:sz w:val="21"/>
        </w:rPr>
        <w:t>.</w:t>
      </w:r>
      <w:r>
        <w:rPr>
          <w:w w:val="93"/>
          <w:sz w:val="21"/>
        </w:rPr>
        <w:t>14</w:t>
      </w:r>
      <w:r>
        <w:rPr>
          <w:spacing w:val="0"/>
          <w:w w:val="58"/>
          <w:sz w:val="21"/>
        </w:rPr>
        <w:t>)</w:t>
      </w:r>
      <w:r>
        <w:rPr>
          <w:w w:val="99"/>
          <w:sz w:val="21"/>
        </w:rPr>
        <w:t>。</w:t>
      </w:r>
    </w:p>
    <w:p>
      <w:pPr>
        <w:pStyle w:val="BodyText"/>
        <w:spacing w:line="398" w:lineRule="auto" w:before="87"/>
        <w:ind w:left="117" w:right="336"/>
        <w:jc w:val="both"/>
      </w:pPr>
      <w:r>
        <w:rPr>
          <w:spacing w:val="-7"/>
          <w:w w:val="95"/>
        </w:rPr>
        <w:t>发生上述情形而导致投保人身故、永久完全残疾、发生疾病、达到疾病状态或进行手术的</w:t>
      </w:r>
      <w:r>
        <w:rPr>
          <w:w w:val="80"/>
        </w:rPr>
        <w:t>，  </w:t>
      </w:r>
      <w:r>
        <w:rPr/>
        <w:t>本附加险合同终止，我们退还本附加险合同当时对应的现金价值扣除欠交保费及利息后的</w:t>
      </w:r>
      <w:r>
        <w:rPr>
          <w:w w:val="95"/>
        </w:rPr>
        <w:t>余额（如果有</w:t>
      </w:r>
      <w:r>
        <w:rPr>
          <w:spacing w:val="-104"/>
          <w:w w:val="95"/>
        </w:rPr>
        <w:t>）</w:t>
      </w:r>
      <w:r>
        <w:rPr>
          <w:w w:val="95"/>
        </w:rPr>
        <w:t>。</w:t>
      </w:r>
    </w:p>
    <w:p>
      <w:pPr>
        <w:pStyle w:val="BodyText"/>
        <w:rPr>
          <w:sz w:val="26"/>
        </w:rPr>
      </w:pPr>
    </w:p>
    <w:p>
      <w:pPr>
        <w:pStyle w:val="Heading2"/>
        <w:numPr>
          <w:ilvl w:val="0"/>
          <w:numId w:val="7"/>
        </w:numPr>
        <w:tabs>
          <w:tab w:pos="555" w:val="left" w:leader="none"/>
          <w:tab w:pos="556" w:val="left" w:leader="none"/>
        </w:tabs>
        <w:spacing w:line="240" w:lineRule="auto" w:before="213" w:after="0"/>
        <w:ind w:left="555" w:right="0" w:hanging="432"/>
        <w:jc w:val="left"/>
      </w:pPr>
      <w:bookmarkStart w:name="_TOC_250069" w:id="30"/>
      <w:bookmarkEnd w:id="30"/>
      <w:r>
        <w:rPr>
          <w:w w:val="95"/>
        </w:rPr>
        <w:t>保险费</w:t>
      </w:r>
    </w:p>
    <w:p>
      <w:pPr>
        <w:pStyle w:val="BodyText"/>
        <w:spacing w:before="10"/>
        <w:rPr>
          <w:rFonts w:ascii="Microsoft JhengHei UI"/>
          <w:b/>
          <w:sz w:val="37"/>
        </w:rPr>
      </w:pPr>
    </w:p>
    <w:p>
      <w:pPr>
        <w:pStyle w:val="Heading2"/>
        <w:numPr>
          <w:ilvl w:val="1"/>
          <w:numId w:val="9"/>
        </w:numPr>
        <w:tabs>
          <w:tab w:pos="699" w:val="left" w:leader="none"/>
          <w:tab w:pos="700" w:val="left" w:leader="none"/>
        </w:tabs>
        <w:spacing w:line="240" w:lineRule="auto" w:before="0" w:after="0"/>
        <w:ind w:left="699" w:right="0" w:hanging="576"/>
        <w:jc w:val="left"/>
      </w:pPr>
      <w:bookmarkStart w:name="_TOC_250068" w:id="31"/>
      <w:bookmarkEnd w:id="31"/>
      <w:r>
        <w:rPr>
          <w:w w:val="95"/>
        </w:rPr>
        <w:t>保险费交纳方式</w:t>
      </w:r>
    </w:p>
    <w:p>
      <w:pPr>
        <w:pStyle w:val="BodyText"/>
        <w:spacing w:before="15"/>
        <w:rPr>
          <w:rFonts w:ascii="Microsoft JhengHei UI"/>
          <w:b/>
          <w:sz w:val="27"/>
        </w:rPr>
      </w:pPr>
    </w:p>
    <w:p>
      <w:pPr>
        <w:pStyle w:val="BodyText"/>
        <w:spacing w:line="408" w:lineRule="auto"/>
        <w:ind w:left="117" w:right="215"/>
      </w:pPr>
      <w:r>
        <w:rPr>
          <w:spacing w:val="-5"/>
          <w:w w:val="95"/>
        </w:rPr>
        <w:t>您应当按照本附加险合同约定分期交纳保险费。在交纳首期保险费后，您应当按照约定的交   费日期交纳续期保险费，在此期间我们也将通过业务员、信函等方式提醒您交纳保险费。</w:t>
      </w:r>
    </w:p>
    <w:p>
      <w:pPr>
        <w:spacing w:after="0" w:line="408" w:lineRule="auto"/>
        <w:sectPr>
          <w:pgSz w:w="11910" w:h="16840"/>
          <w:pgMar w:header="0" w:footer="1074" w:top="1440" w:bottom="1260" w:left="1680" w:right="1580"/>
        </w:sectPr>
      </w:pPr>
    </w:p>
    <w:p>
      <w:pPr>
        <w:pStyle w:val="BodyText"/>
        <w:spacing w:line="357" w:lineRule="auto" w:before="1"/>
        <w:ind w:left="117" w:right="115"/>
      </w:pPr>
      <w:bookmarkStart w:name="宽限期" w:id="32"/>
      <w:bookmarkEnd w:id="32"/>
      <w:r>
        <w:rPr/>
      </w:r>
      <w:bookmarkStart w:name="豁免保险费的申请" w:id="33"/>
      <w:bookmarkEnd w:id="33"/>
      <w:r>
        <w:rPr/>
      </w:r>
      <w:bookmarkStart w:name="保险事故的通知" w:id="34"/>
      <w:bookmarkEnd w:id="34"/>
      <w:r>
        <w:rPr/>
      </w:r>
      <w:bookmarkStart w:name="豁免保险费申请" w:id="35"/>
      <w:bookmarkEnd w:id="35"/>
      <w:r>
        <w:rPr/>
      </w:r>
      <w:bookmarkStart w:name="投保人永久完全残疾后的保险费豁免申请" w:id="36"/>
      <w:bookmarkEnd w:id="36"/>
      <w:r>
        <w:rPr/>
      </w:r>
      <w:r>
        <w:rPr>
          <w:spacing w:val="-3"/>
          <w:w w:val="99"/>
        </w:rPr>
        <w:t>保险费的交纳方式为</w:t>
      </w:r>
      <w:r>
        <w:rPr>
          <w:rFonts w:ascii="Microsoft JhengHei UI" w:eastAsia="Microsoft JhengHei UI" w:hint="eastAsia"/>
          <w:b/>
          <w:spacing w:val="-48"/>
          <w:w w:val="99"/>
        </w:rPr>
        <w:t>银</w:t>
      </w:r>
      <w:r>
        <w:rPr>
          <w:w w:val="99"/>
          <w:position w:val="1"/>
        </w:rPr>
        <w:t>行</w:t>
      </w:r>
      <w:r>
        <w:rPr>
          <w:spacing w:val="-476"/>
          <w:w w:val="99"/>
          <w:position w:val="1"/>
        </w:rPr>
        <w:t>转</w:t>
      </w:r>
      <w:r>
        <w:rPr>
          <w:w w:val="99"/>
        </w:rPr>
        <w:t>行</w:t>
      </w:r>
      <w:r>
        <w:rPr>
          <w:spacing w:val="-471"/>
          <w:w w:val="99"/>
        </w:rPr>
        <w:t>转</w:t>
      </w:r>
      <w:r>
        <w:rPr>
          <w:w w:val="99"/>
        </w:rPr>
        <w:t>行</w:t>
      </w:r>
      <w:r>
        <w:rPr>
          <w:spacing w:val="-474"/>
          <w:w w:val="99"/>
        </w:rPr>
        <w:t>转</w:t>
      </w:r>
      <w:r>
        <w:rPr>
          <w:spacing w:val="-31"/>
          <w:w w:val="99"/>
        </w:rPr>
        <w:t>行转</w:t>
      </w:r>
      <w:r>
        <w:rPr>
          <w:w w:val="99"/>
          <w:position w:val="1"/>
        </w:rPr>
        <w:t>账</w:t>
      </w:r>
      <w:r>
        <w:rPr>
          <w:spacing w:val="-476"/>
          <w:w w:val="99"/>
          <w:position w:val="1"/>
        </w:rPr>
        <w:t>交</w:t>
      </w:r>
      <w:r>
        <w:rPr>
          <w:w w:val="99"/>
        </w:rPr>
        <w:t>账</w:t>
      </w:r>
      <w:r>
        <w:rPr>
          <w:spacing w:val="-471"/>
          <w:w w:val="99"/>
        </w:rPr>
        <w:t>交</w:t>
      </w:r>
      <w:r>
        <w:rPr>
          <w:w w:val="99"/>
        </w:rPr>
        <w:t>账</w:t>
      </w:r>
      <w:r>
        <w:rPr>
          <w:spacing w:val="-474"/>
          <w:w w:val="99"/>
        </w:rPr>
        <w:t>交</w:t>
      </w:r>
      <w:r>
        <w:rPr>
          <w:spacing w:val="-31"/>
          <w:w w:val="99"/>
        </w:rPr>
        <w:t>账交</w:t>
      </w:r>
      <w:r>
        <w:rPr>
          <w:spacing w:val="-267"/>
          <w:w w:val="99"/>
          <w:position w:val="1"/>
        </w:rPr>
        <w:t>费</w:t>
      </w:r>
      <w:r>
        <w:rPr>
          <w:spacing w:val="-264"/>
          <w:w w:val="99"/>
        </w:rPr>
        <w:t>费费</w:t>
      </w:r>
      <w:r>
        <w:rPr>
          <w:spacing w:val="-62"/>
          <w:w w:val="99"/>
        </w:rPr>
        <w:t>费</w:t>
      </w:r>
      <w:r>
        <w:rPr>
          <w:spacing w:val="-267"/>
          <w:w w:val="99"/>
          <w:position w:val="1"/>
        </w:rPr>
        <w:t>（</w:t>
      </w:r>
      <w:r>
        <w:rPr>
          <w:spacing w:val="-263"/>
          <w:w w:val="99"/>
        </w:rPr>
        <w:t>（</w:t>
      </w:r>
      <w:r>
        <w:rPr>
          <w:spacing w:val="-265"/>
          <w:w w:val="99"/>
        </w:rPr>
        <w:t>（</w:t>
      </w:r>
      <w:r>
        <w:rPr>
          <w:spacing w:val="-48"/>
          <w:w w:val="99"/>
        </w:rPr>
        <w:t>（</w:t>
      </w:r>
      <w:r>
        <w:rPr>
          <w:w w:val="99"/>
        </w:rPr>
        <w:t>见释义</w:t>
      </w:r>
      <w:r>
        <w:rPr>
          <w:w w:val="93"/>
        </w:rPr>
        <w:t>11</w:t>
      </w:r>
      <w:r>
        <w:rPr>
          <w:spacing w:val="-1"/>
          <w:w w:val="43"/>
        </w:rPr>
        <w:t>.</w:t>
      </w:r>
      <w:r>
        <w:rPr>
          <w:w w:val="93"/>
        </w:rPr>
        <w:t>15</w:t>
      </w:r>
      <w:r>
        <w:rPr>
          <w:spacing w:val="-104"/>
          <w:w w:val="99"/>
        </w:rPr>
        <w:t>）</w:t>
      </w:r>
      <w:r>
        <w:rPr>
          <w:spacing w:val="-8"/>
          <w:w w:val="99"/>
        </w:rPr>
        <w:t>。在此交费方式下，请您确保账</w:t>
      </w:r>
      <w:r>
        <w:rPr>
          <w:w w:val="95"/>
        </w:rPr>
        <w:t>号准确以及交费期间内账户余额充足。</w:t>
      </w:r>
    </w:p>
    <w:p>
      <w:pPr>
        <w:pStyle w:val="BodyText"/>
        <w:spacing w:before="7"/>
        <w:rPr>
          <w:sz w:val="25"/>
        </w:rPr>
      </w:pPr>
    </w:p>
    <w:p>
      <w:pPr>
        <w:pStyle w:val="Heading2"/>
        <w:numPr>
          <w:ilvl w:val="1"/>
          <w:numId w:val="9"/>
        </w:numPr>
        <w:tabs>
          <w:tab w:pos="699" w:val="left" w:leader="none"/>
          <w:tab w:pos="700" w:val="left" w:leader="none"/>
        </w:tabs>
        <w:spacing w:line="240" w:lineRule="auto" w:before="0" w:after="0"/>
        <w:ind w:left="699" w:right="0" w:hanging="576"/>
        <w:jc w:val="left"/>
      </w:pPr>
      <w:bookmarkStart w:name="_TOC_250067" w:id="37"/>
      <w:bookmarkEnd w:id="37"/>
      <w:r>
        <w:rPr>
          <w:w w:val="95"/>
        </w:rPr>
        <w:t>宽限期</w:t>
      </w:r>
    </w:p>
    <w:p>
      <w:pPr>
        <w:pStyle w:val="BodyText"/>
        <w:spacing w:before="12"/>
        <w:rPr>
          <w:rFonts w:ascii="Microsoft JhengHei UI"/>
          <w:b/>
          <w:sz w:val="27"/>
        </w:rPr>
      </w:pPr>
    </w:p>
    <w:p>
      <w:pPr>
        <w:pStyle w:val="BodyText"/>
        <w:spacing w:line="408" w:lineRule="auto" w:before="1"/>
        <w:ind w:left="117" w:right="182"/>
        <w:jc w:val="both"/>
      </w:pPr>
      <w:r>
        <w:rPr/>
        <w:t>在分期交纳保险费的方式下，如果您到期未交纳续期保险费，自保单约定的交费日期的次</w:t>
      </w:r>
      <w:r>
        <w:rPr>
          <w:spacing w:val="-21"/>
        </w:rPr>
        <w:t>日起 </w:t>
      </w:r>
      <w:r>
        <w:rPr/>
        <w:t>60</w:t>
      </w:r>
      <w:r>
        <w:rPr>
          <w:spacing w:val="-10"/>
        </w:rPr>
        <w:t> 天为宽限期。我们仍会对宽限期内发生的保险事故承担保险责任，但在豁免保险费</w:t>
      </w:r>
      <w:r>
        <w:rPr>
          <w:spacing w:val="-10"/>
          <w:w w:val="95"/>
        </w:rPr>
        <w:t>时，您应先补交欠交的保险费及其利息。</w:t>
      </w:r>
    </w:p>
    <w:p>
      <w:pPr>
        <w:pStyle w:val="BodyText"/>
        <w:spacing w:line="345" w:lineRule="exact"/>
        <w:ind w:left="117"/>
      </w:pPr>
      <w:r>
        <w:rPr>
          <w:spacing w:val="-7"/>
        </w:rPr>
        <w:t>欠交保费的计息期间为 </w:t>
      </w:r>
      <w:r>
        <w:rPr/>
        <w:t>6</w:t>
      </w:r>
      <w:r>
        <w:rPr>
          <w:spacing w:val="-10"/>
        </w:rPr>
        <w:t> 个月。欠交保险费利息在六个月内按照</w:t>
      </w:r>
      <w:r>
        <w:rPr>
          <w:rFonts w:ascii="Microsoft JhengHei UI" w:eastAsia="Microsoft JhengHei UI" w:hint="eastAsia"/>
          <w:b/>
          <w:spacing w:val="-48"/>
        </w:rPr>
        <w:t>本</w:t>
      </w:r>
      <w:r>
        <w:rPr>
          <w:spacing w:val="-209"/>
          <w:position w:val="1"/>
        </w:rPr>
        <w:t>条</w:t>
      </w:r>
      <w:r>
        <w:rPr>
          <w:spacing w:val="-160"/>
        </w:rPr>
        <w:t>条条条</w:t>
      </w:r>
      <w:r>
        <w:rPr>
          <w:spacing w:val="-209"/>
          <w:position w:val="1"/>
        </w:rPr>
        <w:t>款</w:t>
      </w:r>
      <w:r>
        <w:rPr>
          <w:spacing w:val="-160"/>
        </w:rPr>
        <w:t>款款款</w:t>
      </w:r>
      <w:r>
        <w:rPr>
          <w:spacing w:val="-209"/>
          <w:position w:val="1"/>
        </w:rPr>
        <w:t>约</w:t>
      </w:r>
      <w:r>
        <w:rPr>
          <w:spacing w:val="-160"/>
        </w:rPr>
        <w:t>约约约</w:t>
      </w:r>
      <w:r>
        <w:rPr>
          <w:spacing w:val="-209"/>
          <w:position w:val="1"/>
        </w:rPr>
        <w:t>定</w:t>
      </w:r>
      <w:r>
        <w:rPr>
          <w:spacing w:val="-160"/>
        </w:rPr>
        <w:t>定定定</w:t>
      </w:r>
      <w:r>
        <w:rPr>
          <w:spacing w:val="-209"/>
          <w:position w:val="1"/>
        </w:rPr>
        <w:t>利</w:t>
      </w:r>
      <w:r>
        <w:rPr>
          <w:spacing w:val="-160"/>
        </w:rPr>
        <w:t>利利利</w:t>
      </w:r>
      <w:r>
        <w:rPr>
          <w:spacing w:val="-209"/>
          <w:position w:val="1"/>
        </w:rPr>
        <w:t>率</w:t>
      </w:r>
      <w:r>
        <w:rPr>
          <w:spacing w:val="-209"/>
        </w:rPr>
        <w:t>率率</w:t>
      </w:r>
      <w:r>
        <w:rPr>
          <w:spacing w:val="-48"/>
        </w:rPr>
        <w:t>率</w:t>
      </w:r>
      <w:r>
        <w:rPr/>
        <w:t>（见释义</w:t>
      </w:r>
    </w:p>
    <w:p>
      <w:pPr>
        <w:pStyle w:val="BodyText"/>
        <w:spacing w:line="408" w:lineRule="auto" w:before="169"/>
        <w:ind w:left="117" w:right="179"/>
      </w:pPr>
      <w:r>
        <w:rPr>
          <w:w w:val="93"/>
        </w:rPr>
        <w:t>11</w:t>
      </w:r>
      <w:r>
        <w:rPr>
          <w:spacing w:val="-1"/>
          <w:w w:val="43"/>
        </w:rPr>
        <w:t>.</w:t>
      </w:r>
      <w:r>
        <w:rPr>
          <w:w w:val="93"/>
        </w:rPr>
        <w:t>16</w:t>
      </w:r>
      <w:r>
        <w:rPr>
          <w:spacing w:val="1"/>
          <w:w w:val="99"/>
        </w:rPr>
        <w:t>）</w:t>
      </w:r>
      <w:r>
        <w:rPr>
          <w:spacing w:val="0"/>
          <w:w w:val="99"/>
        </w:rPr>
        <w:t>以单利计算。若</w:t>
      </w:r>
      <w:r>
        <w:rPr>
          <w:spacing w:val="-50"/>
        </w:rPr>
        <w:t> </w:t>
      </w:r>
      <w:r>
        <w:rPr>
          <w:w w:val="93"/>
        </w:rPr>
        <w:t>6</w:t>
      </w:r>
      <w:r>
        <w:rPr/>
        <w:t> </w:t>
      </w:r>
      <w:r>
        <w:rPr>
          <w:spacing w:val="0"/>
          <w:w w:val="99"/>
        </w:rPr>
        <w:t>个月后您仍未补交所欠保险费，则所欠保险费及利息将作为新的</w:t>
      </w:r>
      <w:r>
        <w:rPr>
          <w:w w:val="95"/>
        </w:rPr>
        <w:t>本金按照本条款约定利率计息。</w:t>
      </w:r>
    </w:p>
    <w:p>
      <w:pPr>
        <w:pStyle w:val="BodyText"/>
        <w:spacing w:line="408" w:lineRule="auto" w:before="46"/>
        <w:ind w:left="117" w:right="191"/>
      </w:pPr>
      <w:r>
        <w:rPr/>
        <w:t>如果您在宽限期结束后仍未交纳到期应交的保险费，除本附加险合同另有约定外，本附加</w:t>
      </w:r>
      <w:r>
        <w:rPr>
          <w:w w:val="95"/>
        </w:rPr>
        <w:t>险合同自宽限期满次日零时起效力中止。</w:t>
      </w:r>
    </w:p>
    <w:p>
      <w:pPr>
        <w:pStyle w:val="BodyText"/>
        <w:spacing w:before="4"/>
        <w:rPr>
          <w:sz w:val="36"/>
        </w:rPr>
      </w:pPr>
    </w:p>
    <w:p>
      <w:pPr>
        <w:pStyle w:val="Heading2"/>
        <w:numPr>
          <w:ilvl w:val="0"/>
          <w:numId w:val="9"/>
        </w:numPr>
        <w:tabs>
          <w:tab w:pos="555" w:val="left" w:leader="none"/>
          <w:tab w:pos="556" w:val="left" w:leader="none"/>
        </w:tabs>
        <w:spacing w:line="240" w:lineRule="auto" w:before="1" w:after="0"/>
        <w:ind w:left="555" w:right="0" w:hanging="432"/>
        <w:jc w:val="left"/>
      </w:pPr>
      <w:bookmarkStart w:name="_TOC_250066" w:id="38"/>
      <w:bookmarkEnd w:id="38"/>
      <w:r>
        <w:rPr>
          <w:w w:val="95"/>
        </w:rPr>
        <w:t>豁免保险费的申请</w:t>
      </w:r>
    </w:p>
    <w:p>
      <w:pPr>
        <w:pStyle w:val="BodyText"/>
        <w:spacing w:before="10"/>
        <w:rPr>
          <w:rFonts w:ascii="Microsoft JhengHei UI"/>
          <w:b/>
          <w:sz w:val="37"/>
        </w:rPr>
      </w:pPr>
    </w:p>
    <w:p>
      <w:pPr>
        <w:pStyle w:val="Heading2"/>
        <w:numPr>
          <w:ilvl w:val="1"/>
          <w:numId w:val="9"/>
        </w:numPr>
        <w:tabs>
          <w:tab w:pos="699" w:val="left" w:leader="none"/>
          <w:tab w:pos="700" w:val="left" w:leader="none"/>
        </w:tabs>
        <w:spacing w:line="240" w:lineRule="auto" w:before="0" w:after="0"/>
        <w:ind w:left="699" w:right="0" w:hanging="576"/>
        <w:jc w:val="left"/>
      </w:pPr>
      <w:bookmarkStart w:name="_TOC_250065" w:id="39"/>
      <w:bookmarkEnd w:id="39"/>
      <w:r>
        <w:rPr>
          <w:w w:val="95"/>
        </w:rPr>
        <w:t>保险事故的通知</w:t>
      </w:r>
    </w:p>
    <w:p>
      <w:pPr>
        <w:pStyle w:val="BodyText"/>
        <w:spacing w:before="15"/>
        <w:rPr>
          <w:rFonts w:ascii="Microsoft JhengHei UI"/>
          <w:b/>
          <w:sz w:val="27"/>
        </w:rPr>
      </w:pPr>
    </w:p>
    <w:p>
      <w:pPr>
        <w:pStyle w:val="BodyText"/>
        <w:spacing w:line="364" w:lineRule="auto"/>
        <w:ind w:left="117" w:right="115"/>
      </w:pPr>
      <w:r>
        <w:rPr>
          <w:spacing w:val="-4"/>
        </w:rPr>
        <w:t>您必须在知道保险事故发生之日起十日内通知我们。否则，您应承担由于通知延迟致使我们</w:t>
      </w:r>
      <w:r>
        <w:rPr>
          <w:spacing w:val="-2"/>
          <w:w w:val="99"/>
        </w:rPr>
        <w:t>增加的勘察、检验等费用。但因</w:t>
      </w:r>
      <w:r>
        <w:rPr>
          <w:rFonts w:ascii="Microsoft JhengHei UI" w:eastAsia="Microsoft JhengHei UI" w:hint="eastAsia"/>
          <w:b/>
          <w:spacing w:val="-48"/>
          <w:w w:val="99"/>
        </w:rPr>
        <w:t>不</w:t>
      </w:r>
      <w:r>
        <w:rPr>
          <w:w w:val="99"/>
          <w:position w:val="1"/>
        </w:rPr>
        <w:t>可</w:t>
      </w:r>
      <w:r>
        <w:rPr>
          <w:spacing w:val="-476"/>
          <w:w w:val="99"/>
          <w:position w:val="1"/>
        </w:rPr>
        <w:t>抗</w:t>
      </w:r>
      <w:r>
        <w:rPr>
          <w:w w:val="99"/>
        </w:rPr>
        <w:t>可</w:t>
      </w:r>
      <w:r>
        <w:rPr>
          <w:spacing w:val="-471"/>
          <w:w w:val="99"/>
        </w:rPr>
        <w:t>抗</w:t>
      </w:r>
      <w:r>
        <w:rPr>
          <w:w w:val="99"/>
        </w:rPr>
        <w:t>可</w:t>
      </w:r>
      <w:r>
        <w:rPr>
          <w:spacing w:val="-474"/>
          <w:w w:val="99"/>
        </w:rPr>
        <w:t>抗</w:t>
      </w:r>
      <w:r>
        <w:rPr>
          <w:spacing w:val="-31"/>
          <w:w w:val="99"/>
        </w:rPr>
        <w:t>可抗</w:t>
      </w:r>
      <w:r>
        <w:rPr>
          <w:spacing w:val="-267"/>
          <w:w w:val="99"/>
          <w:position w:val="1"/>
        </w:rPr>
        <w:t>力</w:t>
      </w:r>
      <w:r>
        <w:rPr>
          <w:spacing w:val="-264"/>
          <w:w w:val="99"/>
        </w:rPr>
        <w:t>力力</w:t>
      </w:r>
      <w:r>
        <w:rPr>
          <w:spacing w:val="-48"/>
          <w:w w:val="99"/>
        </w:rPr>
        <w:t>力</w:t>
      </w:r>
      <w:r>
        <w:rPr>
          <w:spacing w:val="1"/>
          <w:w w:val="99"/>
        </w:rPr>
        <w:t>（</w:t>
      </w:r>
      <w:r>
        <w:rPr>
          <w:spacing w:val="-1"/>
          <w:w w:val="99"/>
        </w:rPr>
        <w:t>见释义</w:t>
      </w:r>
      <w:r>
        <w:rPr>
          <w:w w:val="93"/>
        </w:rPr>
        <w:t>11</w:t>
      </w:r>
      <w:r>
        <w:rPr>
          <w:spacing w:val="-1"/>
          <w:w w:val="43"/>
        </w:rPr>
        <w:t>.</w:t>
      </w:r>
      <w:r>
        <w:rPr>
          <w:w w:val="93"/>
        </w:rPr>
        <w:t>17</w:t>
      </w:r>
      <w:r>
        <w:rPr>
          <w:spacing w:val="1"/>
          <w:w w:val="99"/>
        </w:rPr>
        <w:t>）</w:t>
      </w:r>
      <w:r>
        <w:rPr>
          <w:w w:val="99"/>
        </w:rPr>
        <w:t>导致的延迟除外。</w:t>
      </w:r>
    </w:p>
    <w:p>
      <w:pPr>
        <w:pStyle w:val="BodyText"/>
        <w:spacing w:before="11"/>
        <w:rPr>
          <w:sz w:val="20"/>
        </w:rPr>
      </w:pPr>
    </w:p>
    <w:p>
      <w:pPr>
        <w:pStyle w:val="Heading2"/>
        <w:numPr>
          <w:ilvl w:val="1"/>
          <w:numId w:val="9"/>
        </w:numPr>
        <w:tabs>
          <w:tab w:pos="699" w:val="left" w:leader="none"/>
          <w:tab w:pos="700" w:val="left" w:leader="none"/>
        </w:tabs>
        <w:spacing w:line="240" w:lineRule="auto" w:before="0" w:after="0"/>
        <w:ind w:left="699" w:right="0" w:hanging="576"/>
        <w:jc w:val="left"/>
      </w:pPr>
      <w:bookmarkStart w:name="_TOC_250064" w:id="40"/>
      <w:bookmarkEnd w:id="40"/>
      <w:r>
        <w:rPr>
          <w:w w:val="95"/>
        </w:rPr>
        <w:t>豁免保险费申请</w:t>
      </w:r>
    </w:p>
    <w:p>
      <w:pPr>
        <w:pStyle w:val="BodyText"/>
        <w:spacing w:before="12"/>
        <w:rPr>
          <w:rFonts w:ascii="Microsoft JhengHei UI"/>
          <w:b/>
          <w:sz w:val="25"/>
        </w:rPr>
      </w:pPr>
    </w:p>
    <w:p>
      <w:pPr>
        <w:pStyle w:val="Heading2"/>
        <w:numPr>
          <w:ilvl w:val="2"/>
          <w:numId w:val="9"/>
        </w:numPr>
        <w:tabs>
          <w:tab w:pos="844" w:val="left" w:leader="none"/>
        </w:tabs>
        <w:spacing w:line="240" w:lineRule="auto" w:before="1" w:after="0"/>
        <w:ind w:left="843" w:right="0" w:hanging="726"/>
        <w:jc w:val="left"/>
      </w:pPr>
      <w:bookmarkStart w:name="_TOC_250063" w:id="41"/>
      <w:bookmarkEnd w:id="41"/>
      <w:r>
        <w:rPr>
          <w:w w:val="95"/>
        </w:rPr>
        <w:t>投保人永久完全残疾后的保险费豁免申请</w:t>
      </w:r>
    </w:p>
    <w:p>
      <w:pPr>
        <w:pStyle w:val="BodyText"/>
        <w:spacing w:before="3"/>
        <w:rPr>
          <w:rFonts w:ascii="Microsoft JhengHei UI"/>
          <w:b/>
          <w:sz w:val="23"/>
        </w:rPr>
      </w:pPr>
    </w:p>
    <w:p>
      <w:pPr>
        <w:pStyle w:val="BodyText"/>
        <w:ind w:left="117"/>
      </w:pPr>
      <w:r>
        <w:rPr>
          <w:w w:val="95"/>
        </w:rPr>
        <w:t>投保人凭下列证明、资料申请永久完全残疾后的保险费豁免：</w:t>
      </w:r>
    </w:p>
    <w:p>
      <w:pPr>
        <w:pStyle w:val="ListParagraph"/>
        <w:numPr>
          <w:ilvl w:val="3"/>
          <w:numId w:val="9"/>
        </w:numPr>
        <w:tabs>
          <w:tab w:pos="957" w:val="left" w:leader="none"/>
          <w:tab w:pos="958" w:val="left" w:leader="none"/>
        </w:tabs>
        <w:spacing w:line="240" w:lineRule="auto" w:before="116" w:after="0"/>
        <w:ind w:left="957" w:right="0" w:hanging="420"/>
        <w:jc w:val="left"/>
        <w:rPr>
          <w:sz w:val="21"/>
        </w:rPr>
      </w:pPr>
      <w:r>
        <w:rPr>
          <w:w w:val="95"/>
          <w:sz w:val="21"/>
        </w:rPr>
        <w:t>保险合同原件；</w:t>
      </w:r>
    </w:p>
    <w:p>
      <w:pPr>
        <w:pStyle w:val="ListParagraph"/>
        <w:numPr>
          <w:ilvl w:val="3"/>
          <w:numId w:val="9"/>
        </w:numPr>
        <w:tabs>
          <w:tab w:pos="957" w:val="left" w:leader="none"/>
          <w:tab w:pos="958" w:val="left" w:leader="none"/>
        </w:tabs>
        <w:spacing w:line="240" w:lineRule="auto" w:before="193" w:after="0"/>
        <w:ind w:left="957" w:right="0" w:hanging="420"/>
        <w:jc w:val="left"/>
        <w:rPr>
          <w:sz w:val="21"/>
        </w:rPr>
      </w:pPr>
      <w:r>
        <w:rPr>
          <w:w w:val="95"/>
          <w:sz w:val="21"/>
        </w:rPr>
        <w:t>理赔申请书；</w:t>
      </w:r>
    </w:p>
    <w:p>
      <w:pPr>
        <w:pStyle w:val="ListParagraph"/>
        <w:numPr>
          <w:ilvl w:val="3"/>
          <w:numId w:val="9"/>
        </w:numPr>
        <w:tabs>
          <w:tab w:pos="957" w:val="left" w:leader="none"/>
          <w:tab w:pos="958" w:val="left" w:leader="none"/>
        </w:tabs>
        <w:spacing w:line="240" w:lineRule="auto" w:before="193" w:after="0"/>
        <w:ind w:left="957" w:right="0" w:hanging="420"/>
        <w:jc w:val="left"/>
        <w:rPr>
          <w:sz w:val="21"/>
        </w:rPr>
      </w:pPr>
      <w:r>
        <w:rPr>
          <w:w w:val="95"/>
          <w:sz w:val="21"/>
        </w:rPr>
        <w:t>投保人户籍证明或身份证明；</w:t>
      </w:r>
    </w:p>
    <w:p>
      <w:pPr>
        <w:pStyle w:val="ListParagraph"/>
        <w:numPr>
          <w:ilvl w:val="3"/>
          <w:numId w:val="9"/>
        </w:numPr>
        <w:tabs>
          <w:tab w:pos="957" w:val="left" w:leader="none"/>
          <w:tab w:pos="958" w:val="left" w:leader="none"/>
        </w:tabs>
        <w:spacing w:line="240" w:lineRule="auto" w:before="193" w:after="0"/>
        <w:ind w:left="957" w:right="0" w:hanging="420"/>
        <w:jc w:val="left"/>
        <w:rPr>
          <w:sz w:val="21"/>
        </w:rPr>
      </w:pPr>
      <w:r>
        <w:rPr>
          <w:w w:val="95"/>
          <w:sz w:val="21"/>
        </w:rPr>
        <w:t>法医鉴定书或医学鉴定诊断书；</w:t>
      </w:r>
    </w:p>
    <w:p>
      <w:pPr>
        <w:pStyle w:val="ListParagraph"/>
        <w:numPr>
          <w:ilvl w:val="3"/>
          <w:numId w:val="9"/>
        </w:numPr>
        <w:tabs>
          <w:tab w:pos="957" w:val="left" w:leader="none"/>
          <w:tab w:pos="958" w:val="left" w:leader="none"/>
        </w:tabs>
        <w:spacing w:line="240" w:lineRule="auto" w:before="193" w:after="0"/>
        <w:ind w:left="957" w:right="0" w:hanging="420"/>
        <w:jc w:val="left"/>
        <w:rPr>
          <w:sz w:val="21"/>
        </w:rPr>
      </w:pPr>
      <w:r>
        <w:rPr>
          <w:w w:val="95"/>
          <w:sz w:val="21"/>
        </w:rPr>
        <w:t>其他能够确认保险事故性质、原因的证明材料；</w:t>
      </w:r>
    </w:p>
    <w:p>
      <w:pPr>
        <w:spacing w:after="0" w:line="240" w:lineRule="auto"/>
        <w:jc w:val="left"/>
        <w:rPr>
          <w:sz w:val="21"/>
        </w:rPr>
        <w:sectPr>
          <w:pgSz w:w="11910" w:h="16840"/>
          <w:pgMar w:header="0" w:footer="1074" w:top="1420" w:bottom="1260" w:left="1680" w:right="1680"/>
        </w:sectPr>
      </w:pPr>
    </w:p>
    <w:p>
      <w:pPr>
        <w:pStyle w:val="Heading2"/>
        <w:numPr>
          <w:ilvl w:val="2"/>
          <w:numId w:val="9"/>
        </w:numPr>
        <w:tabs>
          <w:tab w:pos="844" w:val="left" w:leader="none"/>
        </w:tabs>
        <w:spacing w:line="347" w:lineRule="exact" w:before="0" w:after="0"/>
        <w:ind w:left="843" w:right="0" w:hanging="726"/>
        <w:jc w:val="left"/>
      </w:pPr>
      <w:bookmarkStart w:name="_TOC_250062" w:id="42"/>
      <w:bookmarkStart w:name="投保人身故后的保险费豁免申请" w:id="43"/>
      <w:r>
        <w:rPr>
          <w:b w:val="0"/>
        </w:rPr>
      </w:r>
      <w:bookmarkStart w:name="投保人罹患重疾后的保险费豁免申请" w:id="44"/>
      <w:bookmarkEnd w:id="44"/>
      <w:r>
        <w:rPr>
          <w:b w:val="0"/>
        </w:rPr>
      </w:r>
      <w:bookmarkStart w:name="诉讼时效" w:id="45"/>
      <w:bookmarkEnd w:id="45"/>
      <w:r>
        <w:rPr>
          <w:b w:val="0"/>
        </w:rPr>
      </w:r>
      <w:bookmarkStart w:name="保险费的豁免" w:id="46"/>
      <w:bookmarkEnd w:id="46"/>
      <w:r>
        <w:rPr>
          <w:b w:val="0"/>
        </w:rPr>
      </w:r>
      <w:bookmarkStart w:name="保险费的豁免" w:id="47"/>
      <w:bookmarkEnd w:id="42"/>
      <w:r>
        <w:rPr>
          <w:w w:val="95"/>
        </w:rPr>
        <w:t>投保人身故后的保险费豁免申请</w:t>
      </w:r>
    </w:p>
    <w:p>
      <w:pPr>
        <w:pStyle w:val="BodyText"/>
        <w:rPr>
          <w:rFonts w:ascii="Microsoft JhengHei UI"/>
          <w:b/>
          <w:sz w:val="23"/>
        </w:rPr>
      </w:pPr>
    </w:p>
    <w:p>
      <w:pPr>
        <w:pStyle w:val="BodyText"/>
        <w:ind w:left="117"/>
      </w:pPr>
      <w:r>
        <w:rPr>
          <w:w w:val="95"/>
        </w:rPr>
        <w:t>投保人的继承人凭下列证明、资料申请投保人身故后的保险费豁免：</w:t>
      </w:r>
    </w:p>
    <w:p>
      <w:pPr>
        <w:pStyle w:val="ListParagraph"/>
        <w:numPr>
          <w:ilvl w:val="3"/>
          <w:numId w:val="9"/>
        </w:numPr>
        <w:tabs>
          <w:tab w:pos="957" w:val="left" w:leader="none"/>
          <w:tab w:pos="958" w:val="left" w:leader="none"/>
        </w:tabs>
        <w:spacing w:line="240" w:lineRule="auto" w:before="115" w:after="0"/>
        <w:ind w:left="957" w:right="0" w:hanging="420"/>
        <w:jc w:val="left"/>
        <w:rPr>
          <w:sz w:val="21"/>
        </w:rPr>
      </w:pPr>
      <w:r>
        <w:rPr>
          <w:w w:val="95"/>
          <w:sz w:val="21"/>
        </w:rPr>
        <w:t>保险合同原件；</w:t>
      </w:r>
    </w:p>
    <w:p>
      <w:pPr>
        <w:pStyle w:val="ListParagraph"/>
        <w:numPr>
          <w:ilvl w:val="3"/>
          <w:numId w:val="9"/>
        </w:numPr>
        <w:tabs>
          <w:tab w:pos="957" w:val="left" w:leader="none"/>
          <w:tab w:pos="958" w:val="left" w:leader="none"/>
        </w:tabs>
        <w:spacing w:line="240" w:lineRule="auto" w:before="192" w:after="0"/>
        <w:ind w:left="957" w:right="0" w:hanging="420"/>
        <w:jc w:val="left"/>
        <w:rPr>
          <w:sz w:val="21"/>
        </w:rPr>
      </w:pPr>
      <w:r>
        <w:rPr>
          <w:w w:val="95"/>
          <w:sz w:val="21"/>
        </w:rPr>
        <w:t>理赔申请书；</w:t>
      </w:r>
    </w:p>
    <w:p>
      <w:pPr>
        <w:pStyle w:val="ListParagraph"/>
        <w:numPr>
          <w:ilvl w:val="3"/>
          <w:numId w:val="9"/>
        </w:numPr>
        <w:tabs>
          <w:tab w:pos="957" w:val="left" w:leader="none"/>
          <w:tab w:pos="958" w:val="left" w:leader="none"/>
        </w:tabs>
        <w:spacing w:line="240" w:lineRule="auto" w:before="192" w:after="0"/>
        <w:ind w:left="957" w:right="0" w:hanging="420"/>
        <w:jc w:val="left"/>
        <w:rPr>
          <w:sz w:val="21"/>
        </w:rPr>
      </w:pPr>
      <w:r>
        <w:rPr>
          <w:w w:val="95"/>
          <w:sz w:val="21"/>
        </w:rPr>
        <w:t>投保人的继承人户籍证明或身份证明；</w:t>
      </w:r>
    </w:p>
    <w:p>
      <w:pPr>
        <w:pStyle w:val="ListParagraph"/>
        <w:numPr>
          <w:ilvl w:val="3"/>
          <w:numId w:val="9"/>
        </w:numPr>
        <w:tabs>
          <w:tab w:pos="957" w:val="left" w:leader="none"/>
          <w:tab w:pos="958" w:val="left" w:leader="none"/>
        </w:tabs>
        <w:spacing w:line="408" w:lineRule="auto" w:before="192" w:after="0"/>
        <w:ind w:left="957" w:right="116" w:hanging="420"/>
        <w:jc w:val="left"/>
        <w:rPr>
          <w:sz w:val="21"/>
        </w:rPr>
      </w:pPr>
      <w:r>
        <w:rPr>
          <w:w w:val="95"/>
          <w:sz w:val="21"/>
        </w:rPr>
        <w:t>公安部门或本公司认可的医疗机构出具的投保人死亡证明书。如投保人宣告死亡</w:t>
      </w:r>
      <w:r>
        <w:rPr>
          <w:w w:val="85"/>
          <w:sz w:val="21"/>
        </w:rPr>
        <w:t>，  </w:t>
      </w:r>
      <w:r>
        <w:rPr>
          <w:w w:val="95"/>
          <w:sz w:val="21"/>
        </w:rPr>
        <w:t>投保人的继承人须提供法院出具的宣告死亡判决书；</w:t>
      </w:r>
    </w:p>
    <w:p>
      <w:pPr>
        <w:pStyle w:val="ListParagraph"/>
        <w:numPr>
          <w:ilvl w:val="3"/>
          <w:numId w:val="9"/>
        </w:numPr>
        <w:tabs>
          <w:tab w:pos="957" w:val="left" w:leader="none"/>
          <w:tab w:pos="958" w:val="left" w:leader="none"/>
        </w:tabs>
        <w:spacing w:line="240" w:lineRule="auto" w:before="45" w:after="0"/>
        <w:ind w:left="957" w:right="0" w:hanging="420"/>
        <w:jc w:val="left"/>
        <w:rPr>
          <w:sz w:val="21"/>
        </w:rPr>
      </w:pPr>
      <w:r>
        <w:rPr>
          <w:w w:val="95"/>
          <w:sz w:val="21"/>
        </w:rPr>
        <w:t>意外事故需提供意外事故证明；</w:t>
      </w:r>
    </w:p>
    <w:p>
      <w:pPr>
        <w:pStyle w:val="ListParagraph"/>
        <w:numPr>
          <w:ilvl w:val="3"/>
          <w:numId w:val="9"/>
        </w:numPr>
        <w:tabs>
          <w:tab w:pos="957" w:val="left" w:leader="none"/>
          <w:tab w:pos="958" w:val="left" w:leader="none"/>
        </w:tabs>
        <w:spacing w:line="240" w:lineRule="auto" w:before="192" w:after="0"/>
        <w:ind w:left="957" w:right="0" w:hanging="420"/>
        <w:jc w:val="left"/>
        <w:rPr>
          <w:sz w:val="21"/>
        </w:rPr>
      </w:pPr>
      <w:r>
        <w:rPr>
          <w:w w:val="95"/>
          <w:sz w:val="21"/>
        </w:rPr>
        <w:t>投保人户籍注销证明；</w:t>
      </w:r>
    </w:p>
    <w:p>
      <w:pPr>
        <w:pStyle w:val="ListParagraph"/>
        <w:numPr>
          <w:ilvl w:val="3"/>
          <w:numId w:val="9"/>
        </w:numPr>
        <w:tabs>
          <w:tab w:pos="957" w:val="left" w:leader="none"/>
          <w:tab w:pos="958" w:val="left" w:leader="none"/>
        </w:tabs>
        <w:spacing w:line="240" w:lineRule="auto" w:before="192" w:after="0"/>
        <w:ind w:left="957" w:right="0" w:hanging="420"/>
        <w:jc w:val="left"/>
        <w:rPr>
          <w:sz w:val="21"/>
        </w:rPr>
      </w:pPr>
      <w:r>
        <w:rPr>
          <w:w w:val="95"/>
          <w:sz w:val="21"/>
        </w:rPr>
        <w:t>其他能够确认保险事故性质、原因的证明材料；</w:t>
      </w:r>
    </w:p>
    <w:p>
      <w:pPr>
        <w:pStyle w:val="BodyText"/>
        <w:spacing w:before="12"/>
        <w:rPr>
          <w:sz w:val="31"/>
        </w:rPr>
      </w:pPr>
    </w:p>
    <w:p>
      <w:pPr>
        <w:pStyle w:val="Heading2"/>
        <w:numPr>
          <w:ilvl w:val="2"/>
          <w:numId w:val="9"/>
        </w:numPr>
        <w:tabs>
          <w:tab w:pos="844" w:val="left" w:leader="none"/>
        </w:tabs>
        <w:spacing w:line="240" w:lineRule="auto" w:before="0" w:after="0"/>
        <w:ind w:left="843" w:right="0" w:hanging="726"/>
        <w:jc w:val="left"/>
      </w:pPr>
      <w:bookmarkStart w:name="_TOC_250061" w:id="48"/>
      <w:bookmarkEnd w:id="48"/>
      <w:r>
        <w:rPr>
          <w:w w:val="95"/>
        </w:rPr>
        <w:t>投保人罹患重疾后的保险费豁免申请</w:t>
      </w:r>
    </w:p>
    <w:p>
      <w:pPr>
        <w:pStyle w:val="BodyText"/>
        <w:spacing w:before="12"/>
        <w:rPr>
          <w:rFonts w:ascii="Microsoft JhengHei UI"/>
          <w:b/>
          <w:sz w:val="27"/>
        </w:rPr>
      </w:pPr>
    </w:p>
    <w:p>
      <w:pPr>
        <w:pStyle w:val="BodyText"/>
        <w:spacing w:before="1"/>
        <w:ind w:left="117"/>
      </w:pPr>
      <w:r>
        <w:rPr>
          <w:w w:val="95"/>
        </w:rPr>
        <w:t>投保人凭下列证明、资料申请保险费豁免：</w:t>
      </w:r>
    </w:p>
    <w:p>
      <w:pPr>
        <w:pStyle w:val="ListParagraph"/>
        <w:numPr>
          <w:ilvl w:val="3"/>
          <w:numId w:val="9"/>
        </w:numPr>
        <w:tabs>
          <w:tab w:pos="957" w:val="left" w:leader="none"/>
          <w:tab w:pos="958" w:val="left" w:leader="none"/>
        </w:tabs>
        <w:spacing w:line="240" w:lineRule="auto" w:before="193" w:after="0"/>
        <w:ind w:left="957" w:right="0" w:hanging="420"/>
        <w:jc w:val="left"/>
        <w:rPr>
          <w:sz w:val="21"/>
        </w:rPr>
      </w:pPr>
      <w:r>
        <w:rPr>
          <w:w w:val="95"/>
          <w:sz w:val="21"/>
        </w:rPr>
        <w:t>保险合同原件；</w:t>
      </w:r>
    </w:p>
    <w:p>
      <w:pPr>
        <w:pStyle w:val="ListParagraph"/>
        <w:numPr>
          <w:ilvl w:val="3"/>
          <w:numId w:val="9"/>
        </w:numPr>
        <w:tabs>
          <w:tab w:pos="957" w:val="left" w:leader="none"/>
          <w:tab w:pos="958" w:val="left" w:leader="none"/>
        </w:tabs>
        <w:spacing w:line="240" w:lineRule="auto" w:before="193" w:after="0"/>
        <w:ind w:left="957" w:right="0" w:hanging="420"/>
        <w:jc w:val="left"/>
        <w:rPr>
          <w:sz w:val="21"/>
        </w:rPr>
      </w:pPr>
      <w:r>
        <w:rPr>
          <w:w w:val="95"/>
          <w:sz w:val="21"/>
        </w:rPr>
        <w:t>理赔申请书；</w:t>
      </w:r>
    </w:p>
    <w:p>
      <w:pPr>
        <w:pStyle w:val="ListParagraph"/>
        <w:numPr>
          <w:ilvl w:val="3"/>
          <w:numId w:val="9"/>
        </w:numPr>
        <w:tabs>
          <w:tab w:pos="957" w:val="left" w:leader="none"/>
          <w:tab w:pos="958" w:val="left" w:leader="none"/>
        </w:tabs>
        <w:spacing w:line="240" w:lineRule="auto" w:before="193" w:after="0"/>
        <w:ind w:left="957" w:right="0" w:hanging="420"/>
        <w:jc w:val="left"/>
        <w:rPr>
          <w:sz w:val="21"/>
        </w:rPr>
      </w:pPr>
      <w:r>
        <w:rPr>
          <w:w w:val="95"/>
          <w:sz w:val="21"/>
        </w:rPr>
        <w:t>投保人户籍证明或身份证明；</w:t>
      </w:r>
    </w:p>
    <w:p>
      <w:pPr>
        <w:pStyle w:val="ListParagraph"/>
        <w:numPr>
          <w:ilvl w:val="3"/>
          <w:numId w:val="9"/>
        </w:numPr>
        <w:tabs>
          <w:tab w:pos="957" w:val="left" w:leader="none"/>
          <w:tab w:pos="958" w:val="left" w:leader="none"/>
        </w:tabs>
        <w:spacing w:line="240" w:lineRule="auto" w:before="193" w:after="0"/>
        <w:ind w:left="957" w:right="0" w:hanging="420"/>
        <w:jc w:val="left"/>
        <w:rPr>
          <w:sz w:val="21"/>
        </w:rPr>
      </w:pPr>
      <w:r>
        <w:rPr>
          <w:w w:val="95"/>
          <w:sz w:val="21"/>
        </w:rPr>
        <w:t>重疾诊断证明书（病理报告）；</w:t>
      </w:r>
    </w:p>
    <w:p>
      <w:pPr>
        <w:pStyle w:val="ListParagraph"/>
        <w:numPr>
          <w:ilvl w:val="3"/>
          <w:numId w:val="9"/>
        </w:numPr>
        <w:tabs>
          <w:tab w:pos="957" w:val="left" w:leader="none"/>
          <w:tab w:pos="958" w:val="left" w:leader="none"/>
        </w:tabs>
        <w:spacing w:line="240" w:lineRule="auto" w:before="193" w:after="0"/>
        <w:ind w:left="957" w:right="0" w:hanging="420"/>
        <w:jc w:val="left"/>
        <w:rPr>
          <w:sz w:val="21"/>
        </w:rPr>
      </w:pPr>
      <w:r>
        <w:rPr>
          <w:w w:val="95"/>
          <w:sz w:val="21"/>
        </w:rPr>
        <w:t>其他能够确认保险事故性质、原因的证明材料；</w:t>
      </w:r>
    </w:p>
    <w:p>
      <w:pPr>
        <w:pStyle w:val="BodyText"/>
        <w:spacing w:before="9"/>
        <w:rPr>
          <w:sz w:val="32"/>
        </w:rPr>
      </w:pPr>
    </w:p>
    <w:p>
      <w:pPr>
        <w:pStyle w:val="BodyText"/>
        <w:spacing w:line="273" w:lineRule="auto"/>
        <w:ind w:left="117" w:right="237"/>
      </w:pPr>
      <w:r>
        <w:rPr/>
        <w:t>若委托他人办理以上保险费豁免的申请，须提供委托人亲笔签名的授权委托书及受托人身</w:t>
      </w:r>
      <w:r>
        <w:rPr>
          <w:w w:val="95"/>
        </w:rPr>
        <w:t>份证明文件原件。</w:t>
      </w:r>
    </w:p>
    <w:p>
      <w:pPr>
        <w:pStyle w:val="BodyText"/>
        <w:spacing w:before="2"/>
        <w:rPr>
          <w:sz w:val="25"/>
        </w:rPr>
      </w:pPr>
    </w:p>
    <w:p>
      <w:pPr>
        <w:pStyle w:val="Heading2"/>
        <w:numPr>
          <w:ilvl w:val="1"/>
          <w:numId w:val="9"/>
        </w:numPr>
        <w:tabs>
          <w:tab w:pos="805" w:val="left" w:leader="none"/>
          <w:tab w:pos="806" w:val="left" w:leader="none"/>
        </w:tabs>
        <w:spacing w:line="240" w:lineRule="auto" w:before="0" w:after="0"/>
        <w:ind w:left="805" w:right="0" w:hanging="682"/>
        <w:jc w:val="left"/>
      </w:pPr>
      <w:bookmarkStart w:name="_TOC_250060" w:id="49"/>
      <w:bookmarkEnd w:id="49"/>
      <w:r>
        <w:rPr>
          <w:w w:val="95"/>
        </w:rPr>
        <w:t>诉讼时效</w:t>
      </w:r>
    </w:p>
    <w:p>
      <w:pPr>
        <w:pStyle w:val="BodyText"/>
        <w:spacing w:before="13"/>
        <w:rPr>
          <w:rFonts w:ascii="Microsoft JhengHei UI"/>
          <w:b/>
          <w:sz w:val="27"/>
        </w:rPr>
      </w:pPr>
    </w:p>
    <w:p>
      <w:pPr>
        <w:pStyle w:val="BodyText"/>
        <w:spacing w:line="408" w:lineRule="auto"/>
        <w:ind w:left="117" w:right="115"/>
      </w:pPr>
      <w:r>
        <w:rPr>
          <w:spacing w:val="-5"/>
          <w:w w:val="95"/>
        </w:rPr>
        <w:t>权利人请求给付保险金的诉讼时效期间为二年，自其知道或者应当知道保险事故发生之日起   算。</w:t>
      </w:r>
    </w:p>
    <w:p>
      <w:pPr>
        <w:pStyle w:val="BodyText"/>
        <w:spacing w:before="2"/>
        <w:rPr>
          <w:sz w:val="22"/>
        </w:rPr>
      </w:pPr>
    </w:p>
    <w:p>
      <w:pPr>
        <w:pStyle w:val="Heading2"/>
        <w:numPr>
          <w:ilvl w:val="1"/>
          <w:numId w:val="9"/>
        </w:numPr>
        <w:tabs>
          <w:tab w:pos="805" w:val="left" w:leader="none"/>
          <w:tab w:pos="806" w:val="left" w:leader="none"/>
        </w:tabs>
        <w:spacing w:line="240" w:lineRule="auto" w:before="1" w:after="0"/>
        <w:ind w:left="805" w:right="0" w:hanging="682"/>
        <w:jc w:val="left"/>
      </w:pPr>
      <w:bookmarkStart w:name="_TOC_250059" w:id="50"/>
      <w:bookmarkEnd w:id="50"/>
      <w:r>
        <w:rPr>
          <w:w w:val="95"/>
        </w:rPr>
        <w:t>保险费的豁免</w:t>
      </w:r>
    </w:p>
    <w:p>
      <w:pPr>
        <w:pStyle w:val="BodyText"/>
        <w:spacing w:before="15"/>
        <w:rPr>
          <w:rFonts w:ascii="Microsoft JhengHei UI"/>
          <w:b/>
          <w:sz w:val="27"/>
        </w:rPr>
      </w:pPr>
    </w:p>
    <w:p>
      <w:pPr>
        <w:pStyle w:val="BodyText"/>
        <w:spacing w:line="408" w:lineRule="auto" w:before="1"/>
        <w:ind w:left="117" w:right="115"/>
      </w:pPr>
      <w:r>
        <w:rPr>
          <w:spacing w:val="-3"/>
          <w:w w:val="95"/>
        </w:rPr>
        <w:t>我们在收到申请人的豁免保险费的申请及上述所有相关证明和资料后，对确定属于保险责任   </w:t>
      </w:r>
      <w:r>
        <w:rPr>
          <w:spacing w:val="-8"/>
          <w:w w:val="95"/>
        </w:rPr>
        <w:t>的事故，在与申请人达成有关豁免保险费的协议后十日内，履行豁免保险费的责任。对不属</w:t>
      </w:r>
    </w:p>
    <w:p>
      <w:pPr>
        <w:spacing w:after="0" w:line="408" w:lineRule="auto"/>
        <w:sectPr>
          <w:pgSz w:w="11910" w:h="16840"/>
          <w:pgMar w:header="0" w:footer="1074" w:top="1460" w:bottom="1260" w:left="1680" w:right="1680"/>
        </w:sectPr>
      </w:pPr>
    </w:p>
    <w:p>
      <w:pPr>
        <w:pStyle w:val="BodyText"/>
        <w:spacing w:before="32"/>
        <w:ind w:left="117"/>
      </w:pPr>
      <w:bookmarkStart w:name="合同效力的变动" w:id="51"/>
      <w:bookmarkEnd w:id="51"/>
      <w:r>
        <w:rPr/>
      </w:r>
      <w:bookmarkStart w:name="合同内容变更" w:id="52"/>
      <w:bookmarkEnd w:id="52"/>
      <w:r>
        <w:rPr/>
      </w:r>
      <w:bookmarkStart w:name="合同效力的中止" w:id="53"/>
      <w:bookmarkEnd w:id="53"/>
      <w:r>
        <w:rPr/>
      </w:r>
      <w:bookmarkStart w:name="合同效力的恢复" w:id="54"/>
      <w:bookmarkEnd w:id="54"/>
      <w:r>
        <w:rPr/>
      </w:r>
      <w:bookmarkStart w:name="合同的解除——退保" w:id="55"/>
      <w:bookmarkEnd w:id="55"/>
      <w:r>
        <w:rPr/>
      </w:r>
      <w:bookmarkStart w:name="犹豫期" w:id="56"/>
      <w:bookmarkEnd w:id="56"/>
      <w:r>
        <w:rPr/>
      </w:r>
      <w:r>
        <w:rPr>
          <w:w w:val="95"/>
        </w:rPr>
        <w:t>于保险责任的事故，不予以豁免本附加险所附主险合同的保险费。</w:t>
      </w:r>
    </w:p>
    <w:p>
      <w:pPr>
        <w:pStyle w:val="BodyText"/>
        <w:rPr>
          <w:sz w:val="26"/>
        </w:rPr>
      </w:pPr>
    </w:p>
    <w:p>
      <w:pPr>
        <w:pStyle w:val="BodyText"/>
        <w:spacing w:before="7"/>
      </w:pPr>
    </w:p>
    <w:p>
      <w:pPr>
        <w:pStyle w:val="Heading2"/>
        <w:numPr>
          <w:ilvl w:val="0"/>
          <w:numId w:val="9"/>
        </w:numPr>
        <w:tabs>
          <w:tab w:pos="555" w:val="left" w:leader="none"/>
          <w:tab w:pos="556" w:val="left" w:leader="none"/>
        </w:tabs>
        <w:spacing w:line="240" w:lineRule="auto" w:before="1" w:after="0"/>
        <w:ind w:left="555" w:right="0" w:hanging="432"/>
        <w:jc w:val="left"/>
      </w:pPr>
      <w:bookmarkStart w:name="_TOC_250058" w:id="57"/>
      <w:bookmarkEnd w:id="57"/>
      <w:r>
        <w:rPr>
          <w:w w:val="95"/>
        </w:rPr>
        <w:t>合同效力的变动</w:t>
      </w:r>
    </w:p>
    <w:p>
      <w:pPr>
        <w:pStyle w:val="BodyText"/>
        <w:spacing w:before="8"/>
        <w:rPr>
          <w:rFonts w:ascii="Microsoft JhengHei UI"/>
          <w:b/>
          <w:sz w:val="37"/>
        </w:rPr>
      </w:pPr>
    </w:p>
    <w:p>
      <w:pPr>
        <w:pStyle w:val="Heading2"/>
        <w:numPr>
          <w:ilvl w:val="1"/>
          <w:numId w:val="9"/>
        </w:numPr>
        <w:tabs>
          <w:tab w:pos="699" w:val="left" w:leader="none"/>
          <w:tab w:pos="700" w:val="left" w:leader="none"/>
        </w:tabs>
        <w:spacing w:line="240" w:lineRule="auto" w:before="0" w:after="0"/>
        <w:ind w:left="699" w:right="0" w:hanging="576"/>
        <w:jc w:val="left"/>
      </w:pPr>
      <w:bookmarkStart w:name="_TOC_250057" w:id="58"/>
      <w:bookmarkEnd w:id="58"/>
      <w:r>
        <w:rPr>
          <w:w w:val="95"/>
        </w:rPr>
        <w:t>合同内容变更</w:t>
      </w:r>
    </w:p>
    <w:p>
      <w:pPr>
        <w:pStyle w:val="BodyText"/>
        <w:spacing w:before="15"/>
        <w:rPr>
          <w:rFonts w:ascii="Microsoft JhengHei UI"/>
          <w:b/>
          <w:sz w:val="27"/>
        </w:rPr>
      </w:pPr>
    </w:p>
    <w:p>
      <w:pPr>
        <w:pStyle w:val="BodyText"/>
        <w:spacing w:line="408" w:lineRule="auto"/>
        <w:ind w:left="117" w:right="115"/>
      </w:pPr>
      <w:r>
        <w:rPr>
          <w:spacing w:val="-6"/>
          <w:w w:val="95"/>
        </w:rPr>
        <w:t>在本附加险合同有效期内，经您和我们协商，可以变更本附加险合同的有关内容，我们将在   原保险单或其他保险凭证上加以批注或附贴批单，或由您和我们订立变更的书面协议。</w:t>
      </w:r>
    </w:p>
    <w:p>
      <w:pPr>
        <w:pStyle w:val="BodyText"/>
        <w:spacing w:before="45"/>
        <w:ind w:left="117"/>
      </w:pPr>
      <w:r>
        <w:rPr>
          <w:w w:val="95"/>
        </w:rPr>
        <w:t>已豁免保险费的，您不得变更保险单上所列主险合同的保险金额、交费期限、档次等。</w:t>
      </w:r>
    </w:p>
    <w:p>
      <w:pPr>
        <w:pStyle w:val="BodyText"/>
        <w:spacing w:before="5"/>
        <w:rPr>
          <w:sz w:val="33"/>
        </w:rPr>
      </w:pPr>
    </w:p>
    <w:p>
      <w:pPr>
        <w:pStyle w:val="Heading2"/>
        <w:numPr>
          <w:ilvl w:val="1"/>
          <w:numId w:val="9"/>
        </w:numPr>
        <w:tabs>
          <w:tab w:pos="699" w:val="left" w:leader="none"/>
          <w:tab w:pos="700" w:val="left" w:leader="none"/>
        </w:tabs>
        <w:spacing w:line="240" w:lineRule="auto" w:before="0" w:after="0"/>
        <w:ind w:left="699" w:right="0" w:hanging="576"/>
        <w:jc w:val="left"/>
      </w:pPr>
      <w:bookmarkStart w:name="_TOC_250056" w:id="59"/>
      <w:bookmarkEnd w:id="59"/>
      <w:r>
        <w:rPr>
          <w:w w:val="95"/>
        </w:rPr>
        <w:t>合同效力的中止</w:t>
      </w:r>
    </w:p>
    <w:p>
      <w:pPr>
        <w:pStyle w:val="BodyText"/>
        <w:spacing w:before="15"/>
        <w:rPr>
          <w:rFonts w:ascii="Microsoft JhengHei UI"/>
          <w:b/>
          <w:sz w:val="27"/>
        </w:rPr>
      </w:pPr>
    </w:p>
    <w:p>
      <w:pPr>
        <w:pStyle w:val="BodyText"/>
        <w:spacing w:line="408" w:lineRule="auto"/>
        <w:ind w:left="117" w:right="191"/>
      </w:pPr>
      <w:r>
        <w:rPr/>
        <w:t>如果您在保险费交纳宽限期结束后仍未交纳到期应交的保险费，除本附加险合同另有约定</w:t>
      </w:r>
      <w:r>
        <w:rPr>
          <w:w w:val="95"/>
        </w:rPr>
        <w:t>外，本附加险合同自宽限期满次日零时起效力中止。</w:t>
      </w:r>
    </w:p>
    <w:p>
      <w:pPr>
        <w:pStyle w:val="BodyText"/>
        <w:spacing w:before="46"/>
        <w:ind w:left="117"/>
      </w:pPr>
      <w:r>
        <w:rPr>
          <w:w w:val="95"/>
        </w:rPr>
        <w:t>在本附加险合同效力中止期间，我们不承担保险责任。</w:t>
      </w:r>
    </w:p>
    <w:p>
      <w:pPr>
        <w:pStyle w:val="BodyText"/>
        <w:spacing w:before="3"/>
        <w:rPr>
          <w:sz w:val="33"/>
        </w:rPr>
      </w:pPr>
    </w:p>
    <w:p>
      <w:pPr>
        <w:pStyle w:val="Heading2"/>
        <w:numPr>
          <w:ilvl w:val="1"/>
          <w:numId w:val="9"/>
        </w:numPr>
        <w:tabs>
          <w:tab w:pos="699" w:val="left" w:leader="none"/>
          <w:tab w:pos="700" w:val="left" w:leader="none"/>
        </w:tabs>
        <w:spacing w:line="240" w:lineRule="auto" w:before="0" w:after="0"/>
        <w:ind w:left="699" w:right="0" w:hanging="576"/>
        <w:jc w:val="left"/>
      </w:pPr>
      <w:bookmarkStart w:name="_TOC_250055" w:id="60"/>
      <w:bookmarkEnd w:id="60"/>
      <w:r>
        <w:rPr>
          <w:w w:val="95"/>
        </w:rPr>
        <w:t>合同效力的恢复</w:t>
      </w:r>
    </w:p>
    <w:p>
      <w:pPr>
        <w:pStyle w:val="BodyText"/>
        <w:spacing w:before="15"/>
        <w:rPr>
          <w:rFonts w:ascii="Microsoft JhengHei UI"/>
          <w:b/>
          <w:sz w:val="27"/>
        </w:rPr>
      </w:pPr>
    </w:p>
    <w:p>
      <w:pPr>
        <w:pStyle w:val="BodyText"/>
        <w:spacing w:line="408" w:lineRule="auto"/>
        <w:ind w:left="117" w:right="115"/>
        <w:jc w:val="both"/>
      </w:pPr>
      <w:r>
        <w:rPr>
          <w:spacing w:val="-3"/>
          <w:w w:val="95"/>
        </w:rPr>
        <w:t>本附加险合同效力中止后二年内，您可以申请复效。申请复效时，您应填写复效申请书，并   </w:t>
      </w:r>
      <w:r>
        <w:rPr>
          <w:spacing w:val="-6"/>
          <w:w w:val="95"/>
        </w:rPr>
        <w:t>按我们的规定提供投保人健康声明书或我们指定的医院出具的体检报告书，申请复效时发生   的体检费用由您自行承担。经我们审核同意，自您补交所欠保险费及利息后的次日零时起</w:t>
      </w:r>
      <w:r>
        <w:rPr>
          <w:spacing w:val="-6"/>
          <w:w w:val="85"/>
        </w:rPr>
        <w:t>，  </w:t>
      </w:r>
      <w:r>
        <w:rPr>
          <w:spacing w:val="-6"/>
          <w:w w:val="95"/>
        </w:rPr>
        <w:t>本附加险合同效力恢复。</w:t>
      </w:r>
    </w:p>
    <w:p>
      <w:pPr>
        <w:pStyle w:val="BodyText"/>
        <w:spacing w:line="408" w:lineRule="auto" w:before="46"/>
        <w:ind w:left="117" w:right="115"/>
      </w:pPr>
      <w:r>
        <w:rPr>
          <w:spacing w:val="-5"/>
          <w:w w:val="95"/>
        </w:rPr>
        <w:t>自本附加险合同效力中止之日起二年内，如果您未提出复效申请或复效申请未经过我们审核   同意，本附加险合同自效力中止二年期限届满次日零时起效力终止。</w:t>
      </w:r>
    </w:p>
    <w:p>
      <w:pPr>
        <w:pStyle w:val="BodyText"/>
        <w:spacing w:before="46"/>
        <w:ind w:left="117"/>
      </w:pPr>
      <w:r>
        <w:rPr>
          <w:w w:val="95"/>
        </w:rPr>
        <w:t>主险合同效力中止期间，本附加险合同不得单独申请复效。</w:t>
      </w:r>
    </w:p>
    <w:p>
      <w:pPr>
        <w:pStyle w:val="BodyText"/>
        <w:spacing w:before="3"/>
        <w:rPr>
          <w:sz w:val="33"/>
        </w:rPr>
      </w:pPr>
    </w:p>
    <w:p>
      <w:pPr>
        <w:pStyle w:val="Heading2"/>
        <w:numPr>
          <w:ilvl w:val="1"/>
          <w:numId w:val="9"/>
        </w:numPr>
        <w:tabs>
          <w:tab w:pos="699" w:val="left" w:leader="none"/>
          <w:tab w:pos="700" w:val="left" w:leader="none"/>
        </w:tabs>
        <w:spacing w:line="240" w:lineRule="auto" w:before="1" w:after="0"/>
        <w:ind w:left="699" w:right="0" w:hanging="576"/>
        <w:jc w:val="left"/>
      </w:pPr>
      <w:bookmarkStart w:name="_TOC_250054" w:id="61"/>
      <w:bookmarkEnd w:id="61"/>
      <w:r>
        <w:rPr>
          <w:w w:val="95"/>
        </w:rPr>
        <w:t>合同的解除——退保</w:t>
      </w:r>
    </w:p>
    <w:p>
      <w:pPr>
        <w:pStyle w:val="BodyText"/>
        <w:spacing w:before="13"/>
        <w:rPr>
          <w:rFonts w:ascii="Microsoft JhengHei UI"/>
          <w:b/>
          <w:sz w:val="25"/>
        </w:rPr>
      </w:pPr>
    </w:p>
    <w:p>
      <w:pPr>
        <w:pStyle w:val="Heading2"/>
        <w:numPr>
          <w:ilvl w:val="2"/>
          <w:numId w:val="9"/>
        </w:numPr>
        <w:tabs>
          <w:tab w:pos="844" w:val="left" w:leader="none"/>
        </w:tabs>
        <w:spacing w:line="240" w:lineRule="auto" w:before="0" w:after="0"/>
        <w:ind w:left="843" w:right="0" w:hanging="726"/>
        <w:jc w:val="left"/>
      </w:pPr>
      <w:bookmarkStart w:name="_TOC_250053" w:id="62"/>
      <w:bookmarkEnd w:id="62"/>
      <w:r>
        <w:rPr>
          <w:w w:val="95"/>
        </w:rPr>
        <w:t>犹豫期</w:t>
      </w:r>
    </w:p>
    <w:p>
      <w:pPr>
        <w:pStyle w:val="BodyText"/>
        <w:spacing w:before="15"/>
        <w:rPr>
          <w:rFonts w:ascii="Microsoft JhengHei UI"/>
          <w:b/>
          <w:sz w:val="27"/>
        </w:rPr>
      </w:pPr>
    </w:p>
    <w:p>
      <w:pPr>
        <w:pStyle w:val="BodyText"/>
        <w:spacing w:line="408" w:lineRule="auto"/>
        <w:ind w:left="117" w:right="115"/>
      </w:pPr>
      <w:r>
        <w:rPr>
          <w:w w:val="95"/>
        </w:rPr>
        <w:t>您签收到本附加险合同后，我们给予您10天的犹豫期，以便您在此期间浏览本附加险合同。  </w:t>
      </w:r>
      <w:r>
        <w:rPr>
          <w:spacing w:val="-5"/>
          <w:w w:val="95"/>
        </w:rPr>
        <w:t>如果您确定本附加险合同与您的需求不相符，可向我们申请退保，本附加险合同自我们收到</w:t>
      </w:r>
    </w:p>
    <w:p>
      <w:pPr>
        <w:spacing w:after="0" w:line="408" w:lineRule="auto"/>
        <w:sectPr>
          <w:pgSz w:w="11910" w:h="16840"/>
          <w:pgMar w:header="0" w:footer="1074" w:top="1440" w:bottom="1260" w:left="1680" w:right="1680"/>
        </w:sectPr>
      </w:pPr>
    </w:p>
    <w:p>
      <w:pPr>
        <w:pStyle w:val="BodyText"/>
        <w:spacing w:line="408" w:lineRule="auto" w:before="32"/>
        <w:ind w:left="117" w:right="115"/>
      </w:pPr>
      <w:bookmarkStart w:name="犹豫期之后申请退保" w:id="63"/>
      <w:bookmarkEnd w:id="63"/>
      <w:r>
        <w:rPr/>
      </w:r>
      <w:bookmarkStart w:name="退保申请" w:id="64"/>
      <w:bookmarkEnd w:id="64"/>
      <w:r>
        <w:rPr/>
      </w:r>
      <w:bookmarkStart w:name="合同的终止" w:id="65"/>
      <w:bookmarkEnd w:id="65"/>
      <w:r>
        <w:rPr/>
      </w:r>
      <w:bookmarkStart w:name="投保人年龄确定错误处理" w:id="66"/>
      <w:bookmarkEnd w:id="66"/>
      <w:r>
        <w:rPr/>
      </w:r>
      <w:r>
        <w:rPr>
          <w:spacing w:val="-5"/>
        </w:rPr>
        <w:t>您的退保申请次日零时起即被撤销，我们自始不承担保险责任，并无息退还给您就本附加险</w:t>
      </w:r>
      <w:r>
        <w:rPr>
          <w:spacing w:val="-5"/>
          <w:w w:val="95"/>
        </w:rPr>
        <w:t>合同所收的全部保险费。</w:t>
      </w:r>
    </w:p>
    <w:p>
      <w:pPr>
        <w:pStyle w:val="BodyText"/>
        <w:spacing w:before="10"/>
        <w:rPr>
          <w:sz w:val="20"/>
        </w:rPr>
      </w:pPr>
    </w:p>
    <w:p>
      <w:pPr>
        <w:pStyle w:val="Heading2"/>
        <w:numPr>
          <w:ilvl w:val="2"/>
          <w:numId w:val="9"/>
        </w:numPr>
        <w:tabs>
          <w:tab w:pos="844" w:val="left" w:leader="none"/>
        </w:tabs>
        <w:spacing w:line="240" w:lineRule="auto" w:before="0" w:after="0"/>
        <w:ind w:left="843" w:right="0" w:hanging="726"/>
        <w:jc w:val="left"/>
      </w:pPr>
      <w:bookmarkStart w:name="_TOC_250052" w:id="67"/>
      <w:bookmarkEnd w:id="67"/>
      <w:r>
        <w:rPr>
          <w:w w:val="95"/>
        </w:rPr>
        <w:t>犹豫期之后申请退保</w:t>
      </w:r>
    </w:p>
    <w:p>
      <w:pPr>
        <w:pStyle w:val="BodyText"/>
        <w:spacing w:before="13"/>
        <w:rPr>
          <w:rFonts w:ascii="Microsoft JhengHei UI"/>
          <w:b/>
          <w:sz w:val="27"/>
        </w:rPr>
      </w:pPr>
    </w:p>
    <w:p>
      <w:pPr>
        <w:pStyle w:val="BodyText"/>
        <w:spacing w:line="408" w:lineRule="auto"/>
        <w:ind w:left="117" w:right="237"/>
      </w:pPr>
      <w:r>
        <w:rPr/>
        <w:t>您在犹豫期之后申请退保时，我们将在收到您的退保申请后三十日内返还给您退保金，同</w:t>
      </w:r>
      <w:r>
        <w:rPr>
          <w:w w:val="95"/>
        </w:rPr>
        <w:t>时我们对本附加险合同应承担的一切保险责任自收到您的退保申请次日零时起终止。</w:t>
      </w:r>
    </w:p>
    <w:p>
      <w:pPr>
        <w:pStyle w:val="BodyText"/>
        <w:spacing w:before="46"/>
        <w:ind w:left="117"/>
        <w:jc w:val="both"/>
      </w:pPr>
      <w:r>
        <w:rPr>
          <w:w w:val="95"/>
        </w:rPr>
        <w:t>退保金的计算公式为：</w:t>
      </w:r>
    </w:p>
    <w:p>
      <w:pPr>
        <w:pStyle w:val="BodyText"/>
        <w:spacing w:before="193"/>
        <w:ind w:left="117"/>
        <w:jc w:val="both"/>
      </w:pPr>
      <w:r>
        <w:rPr>
          <w:spacing w:val="-2"/>
        </w:rPr>
        <w:t>退保金 </w:t>
      </w:r>
      <w:r>
        <w:rPr>
          <w:spacing w:val="-12"/>
          <w:w w:val="115"/>
        </w:rPr>
        <w:t>= </w:t>
      </w:r>
      <w:r>
        <w:rPr>
          <w:spacing w:val="-1"/>
        </w:rPr>
        <w:t>退保当时保险单所对应的现金价值 </w:t>
      </w:r>
      <w:r>
        <w:rPr>
          <w:spacing w:val="-1"/>
          <w:w w:val="95"/>
        </w:rPr>
        <w:t>- </w:t>
      </w:r>
      <w:r>
        <w:rPr/>
        <w:t>欠交的保费及利息（如果有</w:t>
      </w:r>
      <w:r>
        <w:rPr>
          <w:spacing w:val="-104"/>
        </w:rPr>
        <w:t>）</w:t>
      </w:r>
      <w:r>
        <w:rPr/>
        <w:t>。</w:t>
      </w:r>
    </w:p>
    <w:p>
      <w:pPr>
        <w:pStyle w:val="BodyText"/>
        <w:rPr>
          <w:sz w:val="32"/>
        </w:rPr>
      </w:pPr>
    </w:p>
    <w:p>
      <w:pPr>
        <w:pStyle w:val="Heading2"/>
        <w:numPr>
          <w:ilvl w:val="2"/>
          <w:numId w:val="9"/>
        </w:numPr>
        <w:tabs>
          <w:tab w:pos="844" w:val="left" w:leader="none"/>
        </w:tabs>
        <w:spacing w:line="240" w:lineRule="auto" w:before="0" w:after="0"/>
        <w:ind w:left="843" w:right="0" w:hanging="726"/>
        <w:jc w:val="both"/>
      </w:pPr>
      <w:bookmarkStart w:name="_TOC_250051" w:id="68"/>
      <w:bookmarkEnd w:id="68"/>
      <w:r>
        <w:rPr>
          <w:w w:val="95"/>
        </w:rPr>
        <w:t>退保申请</w:t>
      </w:r>
    </w:p>
    <w:p>
      <w:pPr>
        <w:pStyle w:val="BodyText"/>
        <w:spacing w:before="15"/>
        <w:rPr>
          <w:rFonts w:ascii="Microsoft JhengHei UI"/>
          <w:b/>
          <w:sz w:val="27"/>
        </w:rPr>
      </w:pPr>
    </w:p>
    <w:p>
      <w:pPr>
        <w:pStyle w:val="BodyText"/>
        <w:ind w:left="117"/>
        <w:jc w:val="both"/>
      </w:pPr>
      <w:r>
        <w:rPr>
          <w:w w:val="95"/>
        </w:rPr>
        <w:t>申请退保需要提供的证明、资料如下：</w:t>
      </w:r>
    </w:p>
    <w:p>
      <w:pPr>
        <w:pStyle w:val="ListParagraph"/>
        <w:numPr>
          <w:ilvl w:val="3"/>
          <w:numId w:val="9"/>
        </w:numPr>
        <w:tabs>
          <w:tab w:pos="957" w:val="left" w:leader="none"/>
          <w:tab w:pos="958" w:val="left" w:leader="none"/>
        </w:tabs>
        <w:spacing w:line="240" w:lineRule="auto" w:before="192" w:after="0"/>
        <w:ind w:left="957" w:right="0" w:hanging="420"/>
        <w:jc w:val="left"/>
        <w:rPr>
          <w:sz w:val="21"/>
        </w:rPr>
      </w:pPr>
      <w:r>
        <w:rPr>
          <w:w w:val="95"/>
          <w:sz w:val="21"/>
        </w:rPr>
        <w:t>保全业务申请书；</w:t>
      </w:r>
    </w:p>
    <w:p>
      <w:pPr>
        <w:pStyle w:val="ListParagraph"/>
        <w:numPr>
          <w:ilvl w:val="3"/>
          <w:numId w:val="9"/>
        </w:numPr>
        <w:tabs>
          <w:tab w:pos="957" w:val="left" w:leader="none"/>
          <w:tab w:pos="958" w:val="left" w:leader="none"/>
        </w:tabs>
        <w:spacing w:line="240" w:lineRule="auto" w:before="192" w:after="0"/>
        <w:ind w:left="957" w:right="0" w:hanging="420"/>
        <w:jc w:val="left"/>
        <w:rPr>
          <w:sz w:val="21"/>
        </w:rPr>
      </w:pPr>
      <w:r>
        <w:rPr>
          <w:w w:val="95"/>
          <w:sz w:val="21"/>
        </w:rPr>
        <w:t>投保人的身份证明文件原件；</w:t>
      </w:r>
    </w:p>
    <w:p>
      <w:pPr>
        <w:pStyle w:val="ListParagraph"/>
        <w:numPr>
          <w:ilvl w:val="3"/>
          <w:numId w:val="9"/>
        </w:numPr>
        <w:tabs>
          <w:tab w:pos="957" w:val="left" w:leader="none"/>
          <w:tab w:pos="958" w:val="left" w:leader="none"/>
        </w:tabs>
        <w:spacing w:line="240" w:lineRule="auto" w:before="192" w:after="0"/>
        <w:ind w:left="957" w:right="0" w:hanging="420"/>
        <w:jc w:val="left"/>
        <w:rPr>
          <w:sz w:val="21"/>
        </w:rPr>
      </w:pPr>
      <w:r>
        <w:rPr>
          <w:w w:val="95"/>
          <w:sz w:val="21"/>
        </w:rPr>
        <w:t>保险单原件；</w:t>
      </w:r>
    </w:p>
    <w:p>
      <w:pPr>
        <w:pStyle w:val="BodyText"/>
        <w:spacing w:before="192"/>
        <w:ind w:left="117"/>
        <w:jc w:val="both"/>
      </w:pPr>
      <w:r>
        <w:rPr>
          <w:w w:val="95"/>
        </w:rPr>
        <w:t>若委托他人办理，须提供委托人亲笔签名的授权委托书及受托人身份证明文件原件。</w:t>
      </w:r>
    </w:p>
    <w:p>
      <w:pPr>
        <w:pStyle w:val="BodyText"/>
        <w:spacing w:before="3"/>
        <w:rPr>
          <w:sz w:val="33"/>
        </w:rPr>
      </w:pPr>
    </w:p>
    <w:p>
      <w:pPr>
        <w:pStyle w:val="Heading2"/>
        <w:numPr>
          <w:ilvl w:val="1"/>
          <w:numId w:val="10"/>
        </w:numPr>
        <w:tabs>
          <w:tab w:pos="700" w:val="left" w:leader="none"/>
        </w:tabs>
        <w:spacing w:line="240" w:lineRule="auto" w:before="0" w:after="0"/>
        <w:ind w:left="699" w:right="0" w:hanging="576"/>
        <w:jc w:val="both"/>
      </w:pPr>
      <w:bookmarkStart w:name="_TOC_250050" w:id="69"/>
      <w:bookmarkEnd w:id="69"/>
      <w:r>
        <w:rPr>
          <w:w w:val="95"/>
        </w:rPr>
        <w:t>合同的终止</w:t>
      </w:r>
    </w:p>
    <w:p>
      <w:pPr>
        <w:pStyle w:val="BodyText"/>
        <w:spacing w:before="15"/>
        <w:rPr>
          <w:rFonts w:ascii="Microsoft JhengHei UI"/>
          <w:b/>
          <w:sz w:val="27"/>
        </w:rPr>
      </w:pPr>
    </w:p>
    <w:p>
      <w:pPr>
        <w:pStyle w:val="BodyText"/>
        <w:ind w:left="117"/>
        <w:jc w:val="both"/>
      </w:pPr>
      <w:r>
        <w:rPr>
          <w:w w:val="95"/>
        </w:rPr>
        <w:t>本附加险合同将于下述情况之一出现自动终止：</w:t>
      </w:r>
    </w:p>
    <w:p>
      <w:pPr>
        <w:pStyle w:val="ListParagraph"/>
        <w:numPr>
          <w:ilvl w:val="2"/>
          <w:numId w:val="10"/>
        </w:numPr>
        <w:tabs>
          <w:tab w:pos="957" w:val="left" w:leader="none"/>
          <w:tab w:pos="958" w:val="left" w:leader="none"/>
        </w:tabs>
        <w:spacing w:line="240" w:lineRule="auto" w:before="192" w:after="0"/>
        <w:ind w:left="957" w:right="0" w:hanging="420"/>
        <w:jc w:val="left"/>
        <w:rPr>
          <w:sz w:val="21"/>
        </w:rPr>
      </w:pPr>
      <w:r>
        <w:rPr>
          <w:w w:val="95"/>
          <w:sz w:val="21"/>
        </w:rPr>
        <w:t>主险合同终止或转为减额交清保险</w:t>
      </w:r>
      <w:r>
        <w:rPr>
          <w:w w:val="75"/>
          <w:sz w:val="21"/>
        </w:rPr>
        <w:t>;</w:t>
      </w:r>
    </w:p>
    <w:p>
      <w:pPr>
        <w:pStyle w:val="ListParagraph"/>
        <w:numPr>
          <w:ilvl w:val="2"/>
          <w:numId w:val="10"/>
        </w:numPr>
        <w:tabs>
          <w:tab w:pos="957" w:val="left" w:leader="none"/>
          <w:tab w:pos="958" w:val="left" w:leader="none"/>
        </w:tabs>
        <w:spacing w:line="240" w:lineRule="auto" w:before="192" w:after="0"/>
        <w:ind w:left="957" w:right="0" w:hanging="420"/>
        <w:jc w:val="left"/>
        <w:rPr>
          <w:sz w:val="21"/>
        </w:rPr>
      </w:pPr>
      <w:r>
        <w:rPr>
          <w:w w:val="95"/>
          <w:sz w:val="21"/>
        </w:rPr>
        <w:t>本附加险合同期满终止；</w:t>
      </w:r>
    </w:p>
    <w:p>
      <w:pPr>
        <w:pStyle w:val="ListParagraph"/>
        <w:numPr>
          <w:ilvl w:val="2"/>
          <w:numId w:val="10"/>
        </w:numPr>
        <w:tabs>
          <w:tab w:pos="957" w:val="left" w:leader="none"/>
          <w:tab w:pos="958" w:val="left" w:leader="none"/>
        </w:tabs>
        <w:spacing w:line="240" w:lineRule="auto" w:before="192" w:after="0"/>
        <w:ind w:left="957" w:right="0" w:hanging="420"/>
        <w:jc w:val="left"/>
        <w:rPr>
          <w:sz w:val="21"/>
        </w:rPr>
      </w:pPr>
      <w:r>
        <w:rPr>
          <w:w w:val="95"/>
          <w:sz w:val="21"/>
        </w:rPr>
        <w:t>因本附加险合同其它条款所列合同终止情况出现而终止。</w:t>
      </w:r>
    </w:p>
    <w:p>
      <w:pPr>
        <w:pStyle w:val="BodyText"/>
        <w:rPr>
          <w:sz w:val="26"/>
        </w:rPr>
      </w:pPr>
    </w:p>
    <w:p>
      <w:pPr>
        <w:pStyle w:val="BodyText"/>
        <w:spacing w:before="7"/>
      </w:pPr>
    </w:p>
    <w:p>
      <w:pPr>
        <w:pStyle w:val="Heading2"/>
        <w:numPr>
          <w:ilvl w:val="0"/>
          <w:numId w:val="10"/>
        </w:numPr>
        <w:tabs>
          <w:tab w:pos="556" w:val="left" w:leader="none"/>
        </w:tabs>
        <w:spacing w:line="240" w:lineRule="auto" w:before="0" w:after="0"/>
        <w:ind w:left="555" w:right="0" w:hanging="432"/>
        <w:jc w:val="both"/>
      </w:pPr>
      <w:bookmarkStart w:name="_TOC_250049" w:id="70"/>
      <w:bookmarkEnd w:id="70"/>
      <w:r>
        <w:rPr>
          <w:w w:val="95"/>
        </w:rPr>
        <w:t>投保人年龄确定错误处理</w:t>
      </w:r>
    </w:p>
    <w:p>
      <w:pPr>
        <w:pStyle w:val="BodyText"/>
        <w:spacing w:before="7"/>
        <w:rPr>
          <w:rFonts w:ascii="Microsoft JhengHei UI"/>
          <w:b/>
          <w:sz w:val="38"/>
        </w:rPr>
      </w:pPr>
    </w:p>
    <w:p>
      <w:pPr>
        <w:pStyle w:val="BodyText"/>
        <w:spacing w:before="1"/>
        <w:ind w:left="117"/>
        <w:jc w:val="both"/>
      </w:pPr>
      <w:r>
        <w:rPr>
          <w:w w:val="95"/>
        </w:rPr>
        <w:t>您在申请投保时，应将真实年龄在投保单上填明，如果发生错误将按照下列方式处理：</w:t>
      </w:r>
    </w:p>
    <w:p>
      <w:pPr>
        <w:pStyle w:val="BodyText"/>
        <w:spacing w:line="408" w:lineRule="auto" w:before="193"/>
        <w:ind w:left="117" w:right="115"/>
        <w:jc w:val="both"/>
      </w:pPr>
      <w:r>
        <w:rPr/>
        <w:t>（1）在本附加险合同生效日或最后复效日（以较迟者为准）起二年内，如果我们发现您申</w:t>
      </w:r>
      <w:r>
        <w:rPr>
          <w:spacing w:val="-8"/>
        </w:rPr>
        <w:t>报的年龄不真实，并且其真实年龄不符合本附加险合同约定的投保年龄范围限制，我们有权</w:t>
      </w:r>
      <w:r>
        <w:rPr>
          <w:spacing w:val="-13"/>
          <w:w w:val="95"/>
        </w:rPr>
        <w:t>解除本附加险合同，向您退还本附加险合同当时对应的现金价值扣除欠交保费及利息后的余</w:t>
      </w:r>
      <w:r>
        <w:rPr>
          <w:spacing w:val="1"/>
          <w:w w:val="99"/>
        </w:rPr>
        <w:t>额</w:t>
      </w:r>
      <w:r>
        <w:rPr>
          <w:w w:val="99"/>
        </w:rPr>
        <w:t>（</w:t>
      </w:r>
      <w:r>
        <w:rPr>
          <w:spacing w:val="-1"/>
          <w:w w:val="99"/>
        </w:rPr>
        <w:t>如果有</w:t>
      </w:r>
      <w:r>
        <w:rPr>
          <w:spacing w:val="-104"/>
          <w:w w:val="99"/>
        </w:rPr>
        <w:t>）</w:t>
      </w:r>
      <w:r>
        <w:rPr>
          <w:w w:val="99"/>
        </w:rPr>
        <w:t>，并且无论解除前是否已发生保险事故，我们均不承担保险费豁免责任。</w:t>
      </w:r>
    </w:p>
    <w:p>
      <w:pPr>
        <w:spacing w:after="0" w:line="408" w:lineRule="auto"/>
        <w:jc w:val="both"/>
        <w:sectPr>
          <w:pgSz w:w="11910" w:h="16840"/>
          <w:pgMar w:header="0" w:footer="1074" w:top="1440" w:bottom="1260" w:left="1680" w:right="1680"/>
        </w:sectPr>
      </w:pPr>
    </w:p>
    <w:p>
      <w:pPr>
        <w:pStyle w:val="BodyText"/>
        <w:spacing w:line="408" w:lineRule="auto" w:before="32"/>
        <w:ind w:left="117" w:right="115"/>
        <w:jc w:val="both"/>
      </w:pPr>
      <w:bookmarkStart w:name="适用主险合同条款" w:id="71"/>
      <w:bookmarkEnd w:id="71"/>
      <w:r>
        <w:rPr/>
      </w:r>
      <w:bookmarkStart w:name="释义" w:id="72"/>
      <w:bookmarkEnd w:id="72"/>
      <w:r>
        <w:rPr/>
      </w:r>
      <w:bookmarkStart w:name="周岁" w:id="73"/>
      <w:bookmarkEnd w:id="73"/>
      <w:r>
        <w:rPr/>
      </w:r>
      <w:bookmarkStart w:name="医院" w:id="74"/>
      <w:bookmarkEnd w:id="74"/>
      <w:r>
        <w:rPr/>
      </w:r>
      <w:bookmarkStart w:name="30种重大疾病" w:id="75"/>
      <w:bookmarkEnd w:id="75"/>
      <w:r>
        <w:rPr/>
      </w:r>
      <w:r>
        <w:rPr>
          <w:spacing w:val="-2"/>
          <w:w w:val="95"/>
        </w:rPr>
        <w:t>但是如果在本附加险合同生效日或最后复效日</w:t>
      </w:r>
      <w:r>
        <w:rPr>
          <w:w w:val="95"/>
        </w:rPr>
        <w:t>（以较迟者为准</w:t>
      </w:r>
      <w:r>
        <w:rPr>
          <w:spacing w:val="-29"/>
          <w:w w:val="95"/>
        </w:rPr>
        <w:t>）</w:t>
      </w:r>
      <w:r>
        <w:rPr>
          <w:spacing w:val="-5"/>
          <w:w w:val="95"/>
        </w:rPr>
        <w:t>起二年后，我们发现您申报   </w:t>
      </w:r>
      <w:r>
        <w:rPr>
          <w:spacing w:val="-11"/>
          <w:w w:val="95"/>
        </w:rPr>
        <w:t>的年龄不真实，并且真实年龄不符合本附加险合同约定的投保年龄范围限制，我们不会解除   保险合同并按以下（2）、（3）款办理。</w:t>
      </w:r>
    </w:p>
    <w:p>
      <w:pPr>
        <w:pStyle w:val="BodyText"/>
        <w:spacing w:line="408" w:lineRule="auto" w:before="46"/>
        <w:ind w:left="117" w:right="115"/>
        <w:jc w:val="both"/>
      </w:pPr>
      <w:r>
        <w:rPr/>
        <w:t>（2）如果您申报的年龄不真实，致使您实交的保险费少于应交的保险费，我们有权更正并</w:t>
      </w:r>
      <w:r>
        <w:rPr>
          <w:spacing w:val="-7"/>
          <w:w w:val="95"/>
        </w:rPr>
        <w:t>要求您补交保险费。如果已发生保险事故，我们将按实交保险费与应交保险费的比例豁免所   附主险保险费。</w:t>
      </w:r>
    </w:p>
    <w:p>
      <w:pPr>
        <w:pStyle w:val="BodyText"/>
        <w:spacing w:line="408" w:lineRule="auto" w:before="46"/>
        <w:ind w:left="117" w:right="139"/>
      </w:pPr>
      <w:r>
        <w:rPr>
          <w:w w:val="95"/>
        </w:rPr>
        <w:t>（3）如果您申报的年龄不真实，致使您实交的保险费多于应交的保险费，我们将无息退还   多收的保险费。</w:t>
      </w:r>
    </w:p>
    <w:p>
      <w:pPr>
        <w:pStyle w:val="BodyText"/>
        <w:spacing w:before="4"/>
        <w:rPr>
          <w:sz w:val="36"/>
        </w:rPr>
      </w:pPr>
    </w:p>
    <w:p>
      <w:pPr>
        <w:pStyle w:val="Heading2"/>
        <w:numPr>
          <w:ilvl w:val="0"/>
          <w:numId w:val="10"/>
        </w:numPr>
        <w:tabs>
          <w:tab w:pos="556" w:val="left" w:leader="none"/>
        </w:tabs>
        <w:spacing w:line="240" w:lineRule="auto" w:before="1" w:after="0"/>
        <w:ind w:left="555" w:right="0" w:hanging="432"/>
        <w:jc w:val="both"/>
      </w:pPr>
      <w:bookmarkStart w:name="_TOC_250048" w:id="76"/>
      <w:bookmarkEnd w:id="76"/>
      <w:r>
        <w:rPr>
          <w:w w:val="95"/>
        </w:rPr>
        <w:t>适用主险合同条款</w:t>
      </w:r>
    </w:p>
    <w:p>
      <w:pPr>
        <w:pStyle w:val="BodyText"/>
        <w:spacing w:before="8"/>
        <w:rPr>
          <w:rFonts w:ascii="Microsoft JhengHei UI"/>
          <w:b/>
          <w:sz w:val="38"/>
        </w:rPr>
      </w:pPr>
    </w:p>
    <w:p>
      <w:pPr>
        <w:pStyle w:val="ListParagraph"/>
        <w:numPr>
          <w:ilvl w:val="0"/>
          <w:numId w:val="11"/>
        </w:numPr>
        <w:tabs>
          <w:tab w:pos="538" w:val="left" w:leader="none"/>
        </w:tabs>
        <w:spacing w:line="240" w:lineRule="auto" w:before="0" w:after="0"/>
        <w:ind w:left="537" w:right="0" w:hanging="420"/>
        <w:jc w:val="both"/>
        <w:rPr>
          <w:sz w:val="21"/>
        </w:rPr>
      </w:pPr>
      <w:r>
        <w:rPr>
          <w:w w:val="95"/>
          <w:sz w:val="21"/>
        </w:rPr>
        <w:t>住所或通讯地址的变更；</w:t>
      </w:r>
    </w:p>
    <w:p>
      <w:pPr>
        <w:pStyle w:val="ListParagraph"/>
        <w:numPr>
          <w:ilvl w:val="0"/>
          <w:numId w:val="11"/>
        </w:numPr>
        <w:tabs>
          <w:tab w:pos="538" w:val="left" w:leader="none"/>
        </w:tabs>
        <w:spacing w:line="240" w:lineRule="auto" w:before="193" w:after="0"/>
        <w:ind w:left="537" w:right="0" w:hanging="420"/>
        <w:jc w:val="both"/>
        <w:rPr>
          <w:sz w:val="21"/>
        </w:rPr>
      </w:pPr>
      <w:r>
        <w:rPr>
          <w:w w:val="95"/>
          <w:sz w:val="21"/>
        </w:rPr>
        <w:t>投保人职业的变更；</w:t>
      </w:r>
    </w:p>
    <w:p>
      <w:pPr>
        <w:pStyle w:val="ListParagraph"/>
        <w:numPr>
          <w:ilvl w:val="0"/>
          <w:numId w:val="11"/>
        </w:numPr>
        <w:tabs>
          <w:tab w:pos="538" w:val="left" w:leader="none"/>
        </w:tabs>
        <w:spacing w:line="240" w:lineRule="auto" w:before="193" w:after="0"/>
        <w:ind w:left="537" w:right="0" w:hanging="420"/>
        <w:jc w:val="both"/>
        <w:rPr>
          <w:sz w:val="21"/>
        </w:rPr>
      </w:pPr>
      <w:r>
        <w:rPr>
          <w:w w:val="95"/>
          <w:sz w:val="21"/>
        </w:rPr>
        <w:t>如实告知；</w:t>
      </w:r>
    </w:p>
    <w:p>
      <w:pPr>
        <w:pStyle w:val="ListParagraph"/>
        <w:numPr>
          <w:ilvl w:val="0"/>
          <w:numId w:val="11"/>
        </w:numPr>
        <w:tabs>
          <w:tab w:pos="538" w:val="left" w:leader="none"/>
        </w:tabs>
        <w:spacing w:line="240" w:lineRule="auto" w:before="193" w:after="0"/>
        <w:ind w:left="537" w:right="0" w:hanging="420"/>
        <w:jc w:val="both"/>
        <w:rPr>
          <w:sz w:val="21"/>
        </w:rPr>
      </w:pPr>
      <w:r>
        <w:rPr>
          <w:w w:val="95"/>
          <w:sz w:val="21"/>
        </w:rPr>
        <w:t>争议处理。</w:t>
      </w:r>
    </w:p>
    <w:p>
      <w:pPr>
        <w:pStyle w:val="BodyText"/>
        <w:rPr>
          <w:sz w:val="26"/>
        </w:rPr>
      </w:pPr>
    </w:p>
    <w:p>
      <w:pPr>
        <w:pStyle w:val="BodyText"/>
        <w:spacing w:before="7"/>
      </w:pPr>
    </w:p>
    <w:p>
      <w:pPr>
        <w:pStyle w:val="Heading2"/>
        <w:numPr>
          <w:ilvl w:val="0"/>
          <w:numId w:val="10"/>
        </w:numPr>
        <w:tabs>
          <w:tab w:pos="556" w:val="left" w:leader="none"/>
        </w:tabs>
        <w:spacing w:line="240" w:lineRule="auto" w:before="1" w:after="0"/>
        <w:ind w:left="555" w:right="0" w:hanging="432"/>
        <w:jc w:val="both"/>
      </w:pPr>
      <w:bookmarkStart w:name="_TOC_250047" w:id="77"/>
      <w:bookmarkEnd w:id="77"/>
      <w:r>
        <w:rPr>
          <w:w w:val="95"/>
        </w:rPr>
        <w:t>释义</w:t>
      </w:r>
    </w:p>
    <w:p>
      <w:pPr>
        <w:pStyle w:val="BodyText"/>
        <w:spacing w:before="10"/>
        <w:rPr>
          <w:rFonts w:ascii="Microsoft JhengHei UI"/>
          <w:b/>
          <w:sz w:val="37"/>
        </w:rPr>
      </w:pPr>
    </w:p>
    <w:p>
      <w:pPr>
        <w:pStyle w:val="Heading2"/>
        <w:numPr>
          <w:ilvl w:val="1"/>
          <w:numId w:val="12"/>
        </w:numPr>
        <w:tabs>
          <w:tab w:pos="700" w:val="left" w:leader="none"/>
        </w:tabs>
        <w:spacing w:line="240" w:lineRule="auto" w:before="0" w:after="0"/>
        <w:ind w:left="699" w:right="0" w:hanging="576"/>
        <w:jc w:val="both"/>
      </w:pPr>
      <w:bookmarkStart w:name="_TOC_250046" w:id="78"/>
      <w:bookmarkEnd w:id="78"/>
      <w:r>
        <w:rPr>
          <w:w w:val="95"/>
        </w:rPr>
        <w:t>周岁</w:t>
      </w:r>
    </w:p>
    <w:p>
      <w:pPr>
        <w:pStyle w:val="BodyText"/>
        <w:spacing w:before="15"/>
        <w:rPr>
          <w:rFonts w:ascii="Microsoft JhengHei UI"/>
          <w:b/>
          <w:sz w:val="27"/>
        </w:rPr>
      </w:pPr>
    </w:p>
    <w:p>
      <w:pPr>
        <w:pStyle w:val="BodyText"/>
        <w:spacing w:line="408" w:lineRule="auto"/>
        <w:ind w:left="117" w:right="60"/>
      </w:pPr>
      <w:r>
        <w:rPr/>
        <w:t>指以法定身份证明文件中记载的出生日期为基础</w:t>
      </w:r>
      <w:r>
        <w:rPr>
          <w:w w:val="75"/>
        </w:rPr>
        <w:t>, </w:t>
      </w:r>
      <w:r>
        <w:rPr/>
        <w:t>按照公历的年、月、日，从周岁生日的第</w:t>
      </w:r>
      <w:r>
        <w:rPr>
          <w:w w:val="95"/>
        </w:rPr>
        <w:t>二天起计算的年龄。</w:t>
      </w:r>
    </w:p>
    <w:p>
      <w:pPr>
        <w:pStyle w:val="BodyText"/>
        <w:rPr>
          <w:sz w:val="22"/>
        </w:rPr>
      </w:pPr>
    </w:p>
    <w:p>
      <w:pPr>
        <w:pStyle w:val="Heading2"/>
        <w:numPr>
          <w:ilvl w:val="1"/>
          <w:numId w:val="12"/>
        </w:numPr>
        <w:tabs>
          <w:tab w:pos="699" w:val="left" w:leader="none"/>
          <w:tab w:pos="700" w:val="left" w:leader="none"/>
        </w:tabs>
        <w:spacing w:line="240" w:lineRule="auto" w:before="0" w:after="0"/>
        <w:ind w:left="699" w:right="0" w:hanging="576"/>
        <w:jc w:val="left"/>
      </w:pPr>
      <w:bookmarkStart w:name="_TOC_250045" w:id="79"/>
      <w:bookmarkEnd w:id="79"/>
      <w:r>
        <w:rPr>
          <w:w w:val="95"/>
        </w:rPr>
        <w:t>医院</w:t>
      </w:r>
    </w:p>
    <w:p>
      <w:pPr>
        <w:pStyle w:val="BodyText"/>
        <w:spacing w:before="15"/>
        <w:rPr>
          <w:rFonts w:ascii="Microsoft JhengHei UI"/>
          <w:b/>
          <w:sz w:val="27"/>
        </w:rPr>
      </w:pPr>
    </w:p>
    <w:p>
      <w:pPr>
        <w:pStyle w:val="BodyText"/>
        <w:ind w:left="117"/>
      </w:pPr>
      <w:r>
        <w:rPr>
          <w:w w:val="95"/>
        </w:rPr>
        <w:t>指国家卫生机构认可的公立二级甲等（含）以上的医院。</w:t>
      </w:r>
    </w:p>
    <w:p>
      <w:pPr>
        <w:pStyle w:val="BodyText"/>
        <w:spacing w:before="3"/>
        <w:rPr>
          <w:sz w:val="33"/>
        </w:rPr>
      </w:pPr>
    </w:p>
    <w:p>
      <w:pPr>
        <w:pStyle w:val="Heading2"/>
        <w:numPr>
          <w:ilvl w:val="1"/>
          <w:numId w:val="12"/>
        </w:numPr>
        <w:tabs>
          <w:tab w:pos="699" w:val="left" w:leader="none"/>
          <w:tab w:pos="700" w:val="left" w:leader="none"/>
        </w:tabs>
        <w:spacing w:line="240" w:lineRule="auto" w:before="0" w:after="0"/>
        <w:ind w:left="699" w:right="0" w:hanging="576"/>
        <w:jc w:val="left"/>
      </w:pPr>
      <w:bookmarkStart w:name="_TOC_250044" w:id="80"/>
      <w:bookmarkEnd w:id="80"/>
      <w:r>
        <w:rPr>
          <w:w w:val="95"/>
        </w:rPr>
        <w:t>30 种重大疾病</w:t>
      </w:r>
    </w:p>
    <w:p>
      <w:pPr>
        <w:pStyle w:val="BodyText"/>
        <w:spacing w:before="15"/>
        <w:rPr>
          <w:rFonts w:ascii="Microsoft JhengHei UI"/>
          <w:b/>
          <w:sz w:val="27"/>
        </w:rPr>
      </w:pPr>
    </w:p>
    <w:p>
      <w:pPr>
        <w:pStyle w:val="BodyText"/>
        <w:spacing w:line="408" w:lineRule="auto"/>
        <w:ind w:left="117" w:right="115"/>
      </w:pPr>
      <w:r>
        <w:rPr>
          <w:w w:val="95"/>
        </w:rPr>
        <w:t>本产品提供30</w:t>
      </w:r>
      <w:r>
        <w:rPr>
          <w:spacing w:val="-6"/>
          <w:w w:val="95"/>
        </w:rPr>
        <w:t>种重大疾病保障。其中恶性肿瘤、急性心肌梗塞、脑中风后遗症、冠状动脉搭   桥术</w:t>
      </w:r>
      <w:r>
        <w:rPr>
          <w:spacing w:val="-6"/>
          <w:w w:val="90"/>
        </w:rPr>
        <w:t>(</w:t>
      </w:r>
      <w:r>
        <w:rPr>
          <w:spacing w:val="-6"/>
          <w:w w:val="95"/>
        </w:rPr>
        <w:t>或称冠状动脉旁路移植术</w:t>
      </w:r>
      <w:r>
        <w:rPr>
          <w:spacing w:val="-6"/>
          <w:w w:val="90"/>
        </w:rPr>
        <w:t>)</w:t>
      </w:r>
      <w:r>
        <w:rPr>
          <w:spacing w:val="-8"/>
          <w:w w:val="95"/>
        </w:rPr>
        <w:t>、重大器官移植术或造血干细胞移植术、终末期肾病</w:t>
      </w:r>
      <w:r>
        <w:rPr>
          <w:w w:val="90"/>
        </w:rPr>
        <w:t>(</w:t>
      </w:r>
      <w:r>
        <w:rPr>
          <w:w w:val="95"/>
        </w:rPr>
        <w:t>或称慢</w:t>
      </w:r>
    </w:p>
    <w:p>
      <w:pPr>
        <w:spacing w:after="0" w:line="408" w:lineRule="auto"/>
        <w:sectPr>
          <w:pgSz w:w="11910" w:h="16840"/>
          <w:pgMar w:header="0" w:footer="1074" w:top="1440" w:bottom="1260" w:left="1680" w:right="1680"/>
        </w:sectPr>
      </w:pPr>
    </w:p>
    <w:p>
      <w:pPr>
        <w:pStyle w:val="BodyText"/>
        <w:spacing w:line="408" w:lineRule="auto" w:before="32"/>
        <w:ind w:left="117" w:right="115"/>
        <w:jc w:val="both"/>
      </w:pPr>
      <w:bookmarkStart w:name="恶性肿瘤" w:id="81"/>
      <w:bookmarkEnd w:id="81"/>
      <w:r>
        <w:rPr/>
      </w:r>
      <w:bookmarkStart w:name="急性心肌梗塞" w:id="82"/>
      <w:bookmarkEnd w:id="82"/>
      <w:r>
        <w:rPr/>
      </w:r>
      <w:r>
        <w:rPr>
          <w:w w:val="95"/>
        </w:rPr>
        <w:t>性肾功能衰竭尿毒症期)6</w:t>
      </w:r>
      <w:r>
        <w:rPr>
          <w:spacing w:val="-4"/>
          <w:w w:val="95"/>
        </w:rPr>
        <w:t>种重大疾病为《中国保险行业协会重大疾病使用规范》规定重大疾  </w:t>
      </w:r>
      <w:r>
        <w:rPr>
          <w:spacing w:val="-5"/>
          <w:w w:val="95"/>
        </w:rPr>
        <w:t>病保险产品必须包含的疾病种类。系统性红斑狼疮(</w:t>
      </w:r>
      <w:r>
        <w:rPr>
          <w:w w:val="95"/>
        </w:rPr>
        <w:t>III</w:t>
      </w:r>
      <w:r>
        <w:rPr>
          <w:spacing w:val="-1"/>
          <w:w w:val="95"/>
        </w:rPr>
        <w:t>型或以上狼疮性肾炎)、经输血导致的</w:t>
      </w:r>
      <w:r>
        <w:rPr>
          <w:spacing w:val="1"/>
          <w:w w:val="99"/>
        </w:rPr>
        <w:t>人</w:t>
      </w:r>
      <w:r>
        <w:rPr>
          <w:spacing w:val="-2"/>
          <w:w w:val="99"/>
        </w:rPr>
        <w:t>类免疫缺陷病毒</w:t>
      </w:r>
      <w:r>
        <w:rPr>
          <w:spacing w:val="1"/>
          <w:w w:val="99"/>
        </w:rPr>
        <w:t>（</w:t>
      </w:r>
      <w:r>
        <w:rPr>
          <w:spacing w:val="-1"/>
          <w:w w:val="151"/>
        </w:rPr>
        <w:t>H</w:t>
      </w:r>
      <w:r>
        <w:rPr>
          <w:w w:val="70"/>
        </w:rPr>
        <w:t>I</w:t>
      </w:r>
      <w:r>
        <w:rPr>
          <w:w w:val="134"/>
        </w:rPr>
        <w:t>V</w:t>
      </w:r>
      <w:r>
        <w:rPr>
          <w:spacing w:val="-8"/>
          <w:w w:val="99"/>
        </w:rPr>
        <w:t>）</w:t>
      </w:r>
      <w:r>
        <w:rPr>
          <w:spacing w:val="-4"/>
          <w:w w:val="99"/>
        </w:rPr>
        <w:t>感染、严重多发性硬化、严重类风湿性关节炎、慢性呼吸功能衰</w:t>
      </w:r>
      <w:r>
        <w:rPr/>
        <w:t>竭5种重大疾病为我司根据产品设计需求选用。其余19种重大疾病保险为本公司根据中国保</w:t>
      </w:r>
      <w:r>
        <w:rPr>
          <w:w w:val="95"/>
        </w:rPr>
        <w:t>险行业协会重大疾病使用规范选择使用。</w:t>
      </w:r>
    </w:p>
    <w:p>
      <w:pPr>
        <w:pStyle w:val="BodyText"/>
        <w:rPr>
          <w:sz w:val="26"/>
        </w:rPr>
      </w:pPr>
    </w:p>
    <w:p>
      <w:pPr>
        <w:pStyle w:val="BodyText"/>
        <w:spacing w:line="408" w:lineRule="auto" w:before="174"/>
        <w:ind w:left="117" w:right="115"/>
      </w:pPr>
      <w:r>
        <w:rPr>
          <w:spacing w:val="-7"/>
          <w:w w:val="95"/>
        </w:rPr>
        <w:t>本附加合同所保障的重大疾病，是指投保人在主险合同有效且等待期后本附加合同的责任有   </w:t>
      </w:r>
      <w:r>
        <w:rPr>
          <w:spacing w:val="-7"/>
        </w:rPr>
        <w:t>效期间内经专科医生明确诊断初次患下列疾病或初次达到下列疾病状态或在医院初次接受</w:t>
      </w:r>
      <w:r>
        <w:rPr>
          <w:spacing w:val="-7"/>
          <w:w w:val="95"/>
        </w:rPr>
        <w:t>下列手术：</w:t>
      </w:r>
    </w:p>
    <w:p>
      <w:pPr>
        <w:pStyle w:val="BodyText"/>
        <w:rPr>
          <w:sz w:val="26"/>
        </w:rPr>
      </w:pPr>
    </w:p>
    <w:p>
      <w:pPr>
        <w:pStyle w:val="BodyText"/>
        <w:spacing w:before="8"/>
        <w:rPr>
          <w:sz w:val="18"/>
        </w:rPr>
      </w:pPr>
    </w:p>
    <w:p>
      <w:pPr>
        <w:pStyle w:val="Heading2"/>
        <w:numPr>
          <w:ilvl w:val="2"/>
          <w:numId w:val="12"/>
        </w:numPr>
        <w:tabs>
          <w:tab w:pos="1203" w:val="left" w:leader="none"/>
          <w:tab w:pos="1204" w:val="left" w:leader="none"/>
        </w:tabs>
        <w:spacing w:line="240" w:lineRule="auto" w:before="0" w:after="0"/>
        <w:ind w:left="1203" w:right="0" w:hanging="1086"/>
        <w:jc w:val="left"/>
      </w:pPr>
      <w:bookmarkStart w:name="_TOC_250043" w:id="83"/>
      <w:bookmarkEnd w:id="83"/>
      <w:r>
        <w:rPr>
          <w:w w:val="95"/>
        </w:rPr>
        <w:t>恶性肿瘤</w:t>
      </w:r>
    </w:p>
    <w:p>
      <w:pPr>
        <w:pStyle w:val="BodyText"/>
        <w:spacing w:before="13"/>
        <w:rPr>
          <w:rFonts w:ascii="Microsoft JhengHei UI"/>
          <w:b/>
          <w:sz w:val="27"/>
        </w:rPr>
      </w:pPr>
    </w:p>
    <w:p>
      <w:pPr>
        <w:pStyle w:val="BodyText"/>
        <w:spacing w:line="408" w:lineRule="auto"/>
        <w:ind w:left="117" w:right="237"/>
        <w:jc w:val="both"/>
      </w:pPr>
      <w:r>
        <w:rPr/>
        <w:t>指恶性细胞不受控制的进行性增长和扩散，浸润和破坏周围正常组织，可以经血管、淋巴管和体腔扩散转移到身体其它部位的疾病。经病理学检查结果明确诊断，临床诊断属于世</w:t>
      </w:r>
      <w:r>
        <w:rPr>
          <w:w w:val="99"/>
        </w:rPr>
        <w:t>界卫生组织《疾病和有关健康问题的国际统计分类》（</w:t>
      </w:r>
      <w:r>
        <w:rPr>
          <w:w w:val="70"/>
        </w:rPr>
        <w:t>I</w:t>
      </w:r>
      <w:r>
        <w:rPr>
          <w:w w:val="126"/>
        </w:rPr>
        <w:t>C</w:t>
      </w:r>
      <w:r>
        <w:rPr>
          <w:w w:val="153"/>
        </w:rPr>
        <w:t>D</w:t>
      </w:r>
      <w:r>
        <w:rPr>
          <w:w w:val="62"/>
        </w:rPr>
        <w:t>-</w:t>
      </w:r>
      <w:r>
        <w:rPr>
          <w:w w:val="93"/>
        </w:rPr>
        <w:t>10</w:t>
      </w:r>
      <w:r>
        <w:rPr>
          <w:w w:val="99"/>
        </w:rPr>
        <w:t>）的恶性肿瘤范畴。</w:t>
      </w:r>
    </w:p>
    <w:p>
      <w:pPr>
        <w:pStyle w:val="BodyText"/>
        <w:spacing w:before="46"/>
        <w:ind w:left="117"/>
        <w:jc w:val="both"/>
      </w:pPr>
      <w:r>
        <w:rPr>
          <w:w w:val="95"/>
        </w:rPr>
        <w:t>下列疾病不在保障范围内：</w:t>
      </w:r>
    </w:p>
    <w:p>
      <w:pPr>
        <w:pStyle w:val="BodyText"/>
        <w:spacing w:before="116"/>
        <w:ind w:left="117"/>
        <w:jc w:val="both"/>
      </w:pPr>
      <w:r>
        <w:rPr>
          <w:w w:val="95"/>
        </w:rPr>
        <w:t>（1）原位癌；</w:t>
      </w:r>
    </w:p>
    <w:p>
      <w:pPr>
        <w:pStyle w:val="BodyText"/>
        <w:spacing w:before="36"/>
        <w:ind w:left="117"/>
        <w:jc w:val="both"/>
      </w:pPr>
      <w:r>
        <w:rPr>
          <w:w w:val="99"/>
        </w:rPr>
        <w:t>（</w:t>
      </w:r>
      <w:r>
        <w:rPr>
          <w:w w:val="93"/>
        </w:rPr>
        <w:t>2</w:t>
      </w:r>
      <w:r>
        <w:rPr>
          <w:spacing w:val="1"/>
          <w:w w:val="99"/>
        </w:rPr>
        <w:t>）</w:t>
      </w:r>
      <w:r>
        <w:rPr>
          <w:w w:val="99"/>
        </w:rPr>
        <w:t>相当于</w:t>
      </w:r>
      <w:r>
        <w:rPr>
          <w:spacing w:val="-53"/>
        </w:rPr>
        <w:t> </w:t>
      </w:r>
      <w:r>
        <w:rPr>
          <w:spacing w:val="0"/>
          <w:w w:val="122"/>
        </w:rPr>
        <w:t>B</w:t>
      </w:r>
      <w:r>
        <w:rPr>
          <w:w w:val="45"/>
        </w:rPr>
        <w:t>i</w:t>
      </w:r>
      <w:r>
        <w:rPr>
          <w:spacing w:val="-1"/>
          <w:w w:val="101"/>
        </w:rPr>
        <w:t>n</w:t>
      </w:r>
      <w:r>
        <w:rPr>
          <w:spacing w:val="0"/>
          <w:w w:val="82"/>
        </w:rPr>
        <w:t>e</w:t>
      </w:r>
      <w:r>
        <w:rPr>
          <w:w w:val="58"/>
        </w:rPr>
        <w:t>t</w:t>
      </w:r>
      <w:r>
        <w:rPr>
          <w:spacing w:val="-54"/>
        </w:rPr>
        <w:t> </w:t>
      </w:r>
      <w:r>
        <w:rPr>
          <w:w w:val="99"/>
        </w:rPr>
        <w:t>分期方案</w:t>
      </w:r>
      <w:r>
        <w:rPr>
          <w:spacing w:val="-53"/>
        </w:rPr>
        <w:t> </w:t>
      </w:r>
      <w:r>
        <w:rPr>
          <w:w w:val="134"/>
        </w:rPr>
        <w:t>A</w:t>
      </w:r>
      <w:r>
        <w:rPr>
          <w:spacing w:val="-52"/>
        </w:rPr>
        <w:t> </w:t>
      </w:r>
      <w:r>
        <w:rPr>
          <w:w w:val="99"/>
        </w:rPr>
        <w:t>期程度的慢性淋巴细胞白血病；</w:t>
      </w:r>
    </w:p>
    <w:p>
      <w:pPr>
        <w:pStyle w:val="BodyText"/>
        <w:spacing w:before="36"/>
        <w:ind w:left="117"/>
        <w:jc w:val="both"/>
      </w:pPr>
      <w:r>
        <w:rPr>
          <w:w w:val="99"/>
        </w:rPr>
        <w:t>（</w:t>
      </w:r>
      <w:r>
        <w:rPr>
          <w:w w:val="93"/>
        </w:rPr>
        <w:t>3</w:t>
      </w:r>
      <w:r>
        <w:rPr>
          <w:spacing w:val="1"/>
          <w:w w:val="99"/>
        </w:rPr>
        <w:t>）</w:t>
      </w:r>
      <w:r>
        <w:rPr>
          <w:w w:val="99"/>
        </w:rPr>
        <w:t>相当于</w:t>
      </w:r>
      <w:r>
        <w:rPr>
          <w:spacing w:val="-53"/>
        </w:rPr>
        <w:t> </w:t>
      </w:r>
      <w:r>
        <w:rPr>
          <w:w w:val="134"/>
        </w:rPr>
        <w:t>A</w:t>
      </w:r>
      <w:r>
        <w:rPr>
          <w:spacing w:val="-1"/>
          <w:w w:val="101"/>
        </w:rPr>
        <w:t>n</w:t>
      </w:r>
      <w:r>
        <w:rPr>
          <w:w w:val="101"/>
        </w:rPr>
        <w:t>n</w:t>
      </w:r>
      <w:r>
        <w:rPr>
          <w:spacing w:val="-51"/>
        </w:rPr>
        <w:t> </w:t>
      </w:r>
      <w:r>
        <w:rPr>
          <w:w w:val="134"/>
        </w:rPr>
        <w:t>A</w:t>
      </w:r>
      <w:r>
        <w:rPr>
          <w:w w:val="66"/>
        </w:rPr>
        <w:t>r</w:t>
      </w:r>
      <w:r>
        <w:rPr>
          <w:spacing w:val="-1"/>
          <w:w w:val="101"/>
        </w:rPr>
        <w:t>b</w:t>
      </w:r>
      <w:r>
        <w:rPr>
          <w:spacing w:val="0"/>
          <w:w w:val="101"/>
        </w:rPr>
        <w:t>o</w:t>
      </w:r>
      <w:r>
        <w:rPr>
          <w:w w:val="66"/>
        </w:rPr>
        <w:t>r</w:t>
      </w:r>
      <w:r>
        <w:rPr>
          <w:spacing w:val="-50"/>
        </w:rPr>
        <w:t> </w:t>
      </w:r>
      <w:r>
        <w:rPr>
          <w:w w:val="99"/>
        </w:rPr>
        <w:t>分期方案</w:t>
      </w:r>
      <w:r>
        <w:rPr>
          <w:spacing w:val="-53"/>
        </w:rPr>
        <w:t> </w:t>
      </w:r>
      <w:r>
        <w:rPr>
          <w:w w:val="70"/>
        </w:rPr>
        <w:t>I</w:t>
      </w:r>
      <w:r>
        <w:rPr>
          <w:spacing w:val="-52"/>
        </w:rPr>
        <w:t> </w:t>
      </w:r>
      <w:r>
        <w:rPr>
          <w:w w:val="99"/>
        </w:rPr>
        <w:t>期程度的何杰金氏病；</w:t>
      </w:r>
    </w:p>
    <w:p>
      <w:pPr>
        <w:pStyle w:val="BodyText"/>
        <w:spacing w:before="36"/>
        <w:ind w:left="117"/>
        <w:jc w:val="both"/>
      </w:pPr>
      <w:r>
        <w:rPr>
          <w:w w:val="99"/>
        </w:rPr>
        <w:t>（</w:t>
      </w:r>
      <w:r>
        <w:rPr>
          <w:w w:val="93"/>
        </w:rPr>
        <w:t>4</w:t>
      </w:r>
      <w:r>
        <w:rPr>
          <w:spacing w:val="1"/>
          <w:w w:val="99"/>
        </w:rPr>
        <w:t>）</w:t>
      </w:r>
      <w:r>
        <w:rPr>
          <w:w w:val="99"/>
        </w:rPr>
        <w:t>皮肤癌</w:t>
      </w:r>
      <w:r>
        <w:rPr>
          <w:spacing w:val="1"/>
          <w:w w:val="99"/>
        </w:rPr>
        <w:t>（</w:t>
      </w:r>
      <w:r>
        <w:rPr>
          <w:spacing w:val="-1"/>
          <w:w w:val="99"/>
        </w:rPr>
        <w:t>不包括恶性黑色素瘤及已发生转移的皮肤癌</w:t>
      </w:r>
      <w:r>
        <w:rPr>
          <w:spacing w:val="-104"/>
          <w:w w:val="99"/>
        </w:rPr>
        <w:t>）</w:t>
      </w:r>
      <w:r>
        <w:rPr>
          <w:w w:val="99"/>
        </w:rPr>
        <w:t>；</w:t>
      </w:r>
    </w:p>
    <w:p>
      <w:pPr>
        <w:spacing w:before="165"/>
        <w:ind w:left="117" w:right="0" w:firstLine="0"/>
        <w:jc w:val="both"/>
        <w:rPr>
          <w:sz w:val="21"/>
        </w:rPr>
      </w:pPr>
      <w:r>
        <w:rPr>
          <w:w w:val="99"/>
          <w:sz w:val="21"/>
        </w:rPr>
        <w:t>（</w:t>
      </w:r>
      <w:r>
        <w:rPr>
          <w:w w:val="93"/>
          <w:sz w:val="21"/>
        </w:rPr>
        <w:t>5</w:t>
      </w:r>
      <w:r>
        <w:rPr>
          <w:spacing w:val="11"/>
          <w:w w:val="99"/>
          <w:sz w:val="21"/>
        </w:rPr>
        <w:t>）</w:t>
      </w:r>
      <w:r>
        <w:rPr>
          <w:rFonts w:ascii="Times New Roman" w:eastAsia="Times New Roman"/>
          <w:i/>
          <w:spacing w:val="-56"/>
          <w:position w:val="6"/>
          <w:sz w:val="24"/>
        </w:rPr>
        <w:t>TN</w:t>
      </w:r>
      <w:r>
        <w:rPr>
          <w:rFonts w:ascii="Times New Roman" w:eastAsia="Times New Roman"/>
          <w:i/>
          <w:position w:val="6"/>
          <w:sz w:val="24"/>
        </w:rPr>
        <w:t>M</w:t>
      </w:r>
      <w:r>
        <w:rPr>
          <w:rFonts w:ascii="Times New Roman" w:eastAsia="Times New Roman"/>
          <w:i/>
          <w:spacing w:val="-23"/>
          <w:position w:val="6"/>
          <w:sz w:val="24"/>
        </w:rPr>
        <w:t> </w:t>
      </w:r>
      <w:r>
        <w:rPr>
          <w:spacing w:val="2"/>
          <w:w w:val="99"/>
          <w:sz w:val="21"/>
        </w:rPr>
        <w:t>分期为</w:t>
      </w:r>
      <w:r>
        <w:rPr>
          <w:rFonts w:ascii="Times New Roman" w:eastAsia="Times New Roman"/>
          <w:i/>
          <w:spacing w:val="-64"/>
          <w:position w:val="12"/>
          <w:sz w:val="24"/>
        </w:rPr>
        <w:t>T</w:t>
      </w:r>
      <w:r>
        <w:rPr>
          <w:rFonts w:ascii="Times New Roman" w:eastAsia="Times New Roman"/>
          <w:spacing w:val="10"/>
          <w:w w:val="99"/>
          <w:position w:val="6"/>
          <w:sz w:val="14"/>
        </w:rPr>
        <w:t>1</w:t>
      </w:r>
      <w:r>
        <w:rPr>
          <w:rFonts w:ascii="Times New Roman" w:eastAsia="Times New Roman"/>
          <w:i/>
          <w:spacing w:val="-26"/>
          <w:position w:val="12"/>
          <w:sz w:val="24"/>
        </w:rPr>
        <w:t>N</w:t>
      </w:r>
      <w:r>
        <w:rPr>
          <w:rFonts w:ascii="Times New Roman" w:eastAsia="Times New Roman"/>
          <w:w w:val="99"/>
          <w:position w:val="6"/>
          <w:sz w:val="14"/>
        </w:rPr>
        <w:t>0</w:t>
      </w:r>
      <w:r>
        <w:rPr>
          <w:rFonts w:ascii="Times New Roman" w:eastAsia="Times New Roman"/>
          <w:spacing w:val="-23"/>
          <w:position w:val="6"/>
          <w:sz w:val="14"/>
        </w:rPr>
        <w:t> </w:t>
      </w:r>
      <w:r>
        <w:rPr>
          <w:rFonts w:ascii="Times New Roman" w:eastAsia="Times New Roman"/>
          <w:i/>
          <w:spacing w:val="-13"/>
          <w:position w:val="12"/>
          <w:sz w:val="24"/>
        </w:rPr>
        <w:t>M</w:t>
      </w:r>
      <w:r>
        <w:rPr>
          <w:rFonts w:ascii="Times New Roman" w:eastAsia="Times New Roman"/>
          <w:w w:val="99"/>
          <w:position w:val="6"/>
          <w:sz w:val="14"/>
        </w:rPr>
        <w:t>0</w:t>
      </w:r>
      <w:r>
        <w:rPr>
          <w:rFonts w:ascii="Times New Roman" w:eastAsia="Times New Roman"/>
          <w:spacing w:val="-2"/>
          <w:position w:val="6"/>
          <w:sz w:val="14"/>
        </w:rPr>
        <w:t> </w:t>
      </w:r>
      <w:r>
        <w:rPr>
          <w:w w:val="99"/>
          <w:sz w:val="21"/>
        </w:rPr>
        <w:t>期或更轻分期的前列腺癌；</w:t>
      </w:r>
    </w:p>
    <w:p>
      <w:pPr>
        <w:pStyle w:val="BodyText"/>
        <w:spacing w:before="197"/>
        <w:ind w:left="117"/>
        <w:jc w:val="both"/>
      </w:pPr>
      <w:r>
        <w:rPr>
          <w:w w:val="95"/>
        </w:rPr>
        <w:t>（6）感染艾滋病病毒或患艾滋病期间所患恶性肿瘤。</w:t>
      </w:r>
    </w:p>
    <w:p>
      <w:pPr>
        <w:pStyle w:val="BodyText"/>
        <w:spacing w:before="12"/>
        <w:rPr>
          <w:sz w:val="31"/>
        </w:rPr>
      </w:pPr>
    </w:p>
    <w:p>
      <w:pPr>
        <w:pStyle w:val="Heading2"/>
        <w:numPr>
          <w:ilvl w:val="2"/>
          <w:numId w:val="12"/>
        </w:numPr>
        <w:tabs>
          <w:tab w:pos="1204" w:val="left" w:leader="none"/>
        </w:tabs>
        <w:spacing w:line="240" w:lineRule="auto" w:before="1" w:after="0"/>
        <w:ind w:left="1203" w:right="0" w:hanging="1086"/>
        <w:jc w:val="both"/>
      </w:pPr>
      <w:bookmarkStart w:name="_TOC_250042" w:id="84"/>
      <w:bookmarkEnd w:id="84"/>
      <w:r>
        <w:rPr>
          <w:w w:val="95"/>
        </w:rPr>
        <w:t>急性心肌梗塞</w:t>
      </w:r>
    </w:p>
    <w:p>
      <w:pPr>
        <w:pStyle w:val="BodyText"/>
        <w:spacing w:before="15"/>
        <w:rPr>
          <w:rFonts w:ascii="Microsoft JhengHei UI"/>
          <w:b/>
          <w:sz w:val="27"/>
        </w:rPr>
      </w:pPr>
    </w:p>
    <w:p>
      <w:pPr>
        <w:pStyle w:val="BodyText"/>
        <w:spacing w:before="1"/>
        <w:ind w:left="117"/>
        <w:jc w:val="both"/>
      </w:pPr>
      <w:r>
        <w:rPr>
          <w:w w:val="95"/>
        </w:rPr>
        <w:t>指因冠状动脉阻塞导致的相应区域供血不足造成部分心肌坏死。须满足下列至少三项条件：</w:t>
      </w:r>
    </w:p>
    <w:p>
      <w:pPr>
        <w:pStyle w:val="BodyText"/>
        <w:spacing w:before="114"/>
        <w:ind w:left="117"/>
        <w:jc w:val="both"/>
      </w:pPr>
      <w:r>
        <w:rPr>
          <w:w w:val="95"/>
        </w:rPr>
        <w:t>（1）典型临床表现，例如急性胸痛等；</w:t>
      </w:r>
    </w:p>
    <w:p>
      <w:pPr>
        <w:pStyle w:val="BodyText"/>
        <w:spacing w:before="37"/>
        <w:ind w:left="117"/>
        <w:jc w:val="both"/>
      </w:pPr>
      <w:r>
        <w:rPr>
          <w:w w:val="95"/>
        </w:rPr>
        <w:t>（2）新近的心电图改变提示急性心肌梗塞；</w:t>
      </w:r>
    </w:p>
    <w:p>
      <w:pPr>
        <w:pStyle w:val="BodyText"/>
        <w:spacing w:before="37"/>
        <w:ind w:left="117"/>
        <w:jc w:val="both"/>
      </w:pPr>
      <w:r>
        <w:rPr>
          <w:w w:val="95"/>
        </w:rPr>
        <w:t>（3）心肌酶或肌钙蛋白有诊断意义的升高，或呈符合急性心肌梗塞的动态性变化；</w:t>
      </w:r>
    </w:p>
    <w:p>
      <w:pPr>
        <w:pStyle w:val="BodyText"/>
        <w:spacing w:before="116"/>
        <w:ind w:left="117"/>
        <w:jc w:val="both"/>
      </w:pPr>
      <w:r>
        <w:rPr/>
        <w:t>（4）发病 90 天后，经检查证实左心室功能降低，如左心室射血分数低于 50%。</w:t>
      </w:r>
    </w:p>
    <w:p>
      <w:pPr>
        <w:spacing w:after="0"/>
        <w:jc w:val="both"/>
        <w:sectPr>
          <w:pgSz w:w="11910" w:h="16840"/>
          <w:pgMar w:header="0" w:footer="1074" w:top="1440" w:bottom="1260" w:left="1680" w:right="1680"/>
        </w:sectPr>
      </w:pPr>
    </w:p>
    <w:p>
      <w:pPr>
        <w:pStyle w:val="Heading2"/>
        <w:numPr>
          <w:ilvl w:val="2"/>
          <w:numId w:val="12"/>
        </w:numPr>
        <w:tabs>
          <w:tab w:pos="1203" w:val="left" w:leader="none"/>
          <w:tab w:pos="1204" w:val="left" w:leader="none"/>
        </w:tabs>
        <w:spacing w:line="347" w:lineRule="exact" w:before="0" w:after="0"/>
        <w:ind w:left="1203" w:right="0" w:hanging="1086"/>
        <w:jc w:val="left"/>
      </w:pPr>
      <w:bookmarkStart w:name="_TOC_250041" w:id="85"/>
      <w:bookmarkStart w:name="脑中风后遗症" w:id="86"/>
      <w:r>
        <w:rPr>
          <w:b w:val="0"/>
        </w:rPr>
      </w:r>
      <w:bookmarkStart w:name="重大器官移植术或造血干细胞移植术" w:id="87"/>
      <w:bookmarkEnd w:id="87"/>
      <w:r>
        <w:rPr>
          <w:b w:val="0"/>
        </w:rPr>
      </w:r>
      <w:bookmarkStart w:name="冠状动脉搭桥术（或称冠状动脉旁路移植术）" w:id="88"/>
      <w:bookmarkEnd w:id="88"/>
      <w:r>
        <w:rPr>
          <w:b w:val="0"/>
        </w:rPr>
      </w:r>
      <w:bookmarkStart w:name="终末期肾病（或称慢性肾功能衰竭尿毒症期）" w:id="89"/>
      <w:bookmarkEnd w:id="89"/>
      <w:r>
        <w:rPr>
          <w:b w:val="0"/>
        </w:rPr>
      </w:r>
      <w:bookmarkStart w:name="多个肢体缺失" w:id="90"/>
      <w:bookmarkEnd w:id="90"/>
      <w:r>
        <w:rPr>
          <w:b w:val="0"/>
        </w:rPr>
      </w:r>
      <w:bookmarkStart w:name="急性或亚急性重症肝炎" w:id="91"/>
      <w:bookmarkEnd w:id="91"/>
      <w:r>
        <w:rPr>
          <w:b w:val="0"/>
        </w:rPr>
      </w:r>
      <w:bookmarkStart w:name="急性或亚急性重症肝炎" w:id="92"/>
      <w:bookmarkEnd w:id="85"/>
      <w:r>
        <w:rPr>
          <w:w w:val="95"/>
        </w:rPr>
        <w:t>脑中风后遗症</w:t>
      </w:r>
    </w:p>
    <w:p>
      <w:pPr>
        <w:pStyle w:val="BodyText"/>
        <w:rPr>
          <w:rFonts w:ascii="Microsoft JhengHei UI"/>
          <w:b/>
          <w:sz w:val="23"/>
        </w:rPr>
      </w:pPr>
    </w:p>
    <w:p>
      <w:pPr>
        <w:pStyle w:val="BodyText"/>
        <w:spacing w:line="273" w:lineRule="auto"/>
        <w:ind w:left="117" w:right="236"/>
      </w:pPr>
      <w:r>
        <w:rPr>
          <w:spacing w:val="-6"/>
          <w:w w:val="95"/>
        </w:rPr>
        <w:t>指因脑血管的突发病变引起脑血管出血、栓塞或梗塞，并导致神经系统永久性的功能障碍</w:t>
      </w:r>
      <w:r>
        <w:rPr>
          <w:w w:val="85"/>
        </w:rPr>
        <w:t>。  </w:t>
      </w:r>
      <w:r>
        <w:rPr>
          <w:spacing w:val="-4"/>
        </w:rPr>
        <w:t>神经系统永久性的功能障碍，指疾病确诊 </w:t>
      </w:r>
      <w:r>
        <w:rPr/>
        <w:t>180</w:t>
      </w:r>
      <w:r>
        <w:rPr>
          <w:spacing w:val="-9"/>
        </w:rPr>
        <w:t> 天后，仍遗留下列一种或一种以上障碍：</w:t>
      </w:r>
    </w:p>
    <w:p>
      <w:pPr>
        <w:pStyle w:val="BodyText"/>
        <w:spacing w:line="288" w:lineRule="exact"/>
        <w:ind w:left="117"/>
      </w:pPr>
      <w:r>
        <w:rPr>
          <w:w w:val="99"/>
        </w:rPr>
        <w:t>（</w:t>
      </w:r>
      <w:r>
        <w:rPr>
          <w:w w:val="93"/>
        </w:rPr>
        <w:t>1</w:t>
      </w:r>
      <w:r>
        <w:rPr>
          <w:spacing w:val="1"/>
          <w:w w:val="99"/>
        </w:rPr>
        <w:t>）</w:t>
      </w:r>
      <w:r>
        <w:rPr>
          <w:spacing w:val="-4"/>
          <w:w w:val="99"/>
        </w:rPr>
        <w:t>一肢或一肢以上</w:t>
      </w:r>
      <w:r>
        <w:rPr>
          <w:rFonts w:ascii="Microsoft JhengHei UI" w:eastAsia="Microsoft JhengHei UI" w:hint="eastAsia"/>
          <w:b/>
          <w:spacing w:val="-48"/>
          <w:w w:val="99"/>
        </w:rPr>
        <w:t>肢</w:t>
      </w:r>
      <w:r>
        <w:rPr>
          <w:w w:val="99"/>
          <w:position w:val="1"/>
        </w:rPr>
        <w:t>体</w:t>
      </w:r>
      <w:r>
        <w:rPr>
          <w:spacing w:val="-476"/>
          <w:w w:val="99"/>
          <w:position w:val="1"/>
        </w:rPr>
        <w:t>机</w:t>
      </w:r>
      <w:r>
        <w:rPr>
          <w:w w:val="99"/>
        </w:rPr>
        <w:t>体</w:t>
      </w:r>
      <w:r>
        <w:rPr>
          <w:spacing w:val="-471"/>
          <w:w w:val="99"/>
        </w:rPr>
        <w:t>机</w:t>
      </w:r>
      <w:r>
        <w:rPr>
          <w:w w:val="99"/>
        </w:rPr>
        <w:t>体</w:t>
      </w:r>
      <w:r>
        <w:rPr>
          <w:spacing w:val="-474"/>
          <w:w w:val="99"/>
        </w:rPr>
        <w:t>机</w:t>
      </w:r>
      <w:r>
        <w:rPr>
          <w:spacing w:val="-31"/>
          <w:w w:val="99"/>
        </w:rPr>
        <w:t>体机</w:t>
      </w:r>
      <w:r>
        <w:rPr>
          <w:w w:val="99"/>
          <w:position w:val="1"/>
        </w:rPr>
        <w:t>能</w:t>
      </w:r>
      <w:r>
        <w:rPr>
          <w:spacing w:val="-476"/>
          <w:w w:val="99"/>
          <w:position w:val="1"/>
        </w:rPr>
        <w:t>完</w:t>
      </w:r>
      <w:r>
        <w:rPr>
          <w:w w:val="99"/>
        </w:rPr>
        <w:t>能</w:t>
      </w:r>
      <w:r>
        <w:rPr>
          <w:spacing w:val="-471"/>
          <w:w w:val="99"/>
        </w:rPr>
        <w:t>完</w:t>
      </w:r>
      <w:r>
        <w:rPr>
          <w:w w:val="99"/>
        </w:rPr>
        <w:t>能</w:t>
      </w:r>
      <w:r>
        <w:rPr>
          <w:spacing w:val="-474"/>
          <w:w w:val="99"/>
        </w:rPr>
        <w:t>完</w:t>
      </w:r>
      <w:r>
        <w:rPr>
          <w:spacing w:val="-31"/>
          <w:w w:val="99"/>
        </w:rPr>
        <w:t>能完</w:t>
      </w:r>
      <w:r>
        <w:rPr>
          <w:w w:val="99"/>
          <w:position w:val="1"/>
        </w:rPr>
        <w:t>全</w:t>
      </w:r>
      <w:r>
        <w:rPr>
          <w:spacing w:val="-476"/>
          <w:w w:val="99"/>
          <w:position w:val="1"/>
        </w:rPr>
        <w:t>丧</w:t>
      </w:r>
      <w:r>
        <w:rPr>
          <w:w w:val="99"/>
        </w:rPr>
        <w:t>全</w:t>
      </w:r>
      <w:r>
        <w:rPr>
          <w:spacing w:val="-471"/>
          <w:w w:val="99"/>
        </w:rPr>
        <w:t>丧</w:t>
      </w:r>
      <w:r>
        <w:rPr>
          <w:w w:val="99"/>
        </w:rPr>
        <w:t>全</w:t>
      </w:r>
      <w:r>
        <w:rPr>
          <w:spacing w:val="-474"/>
          <w:w w:val="99"/>
        </w:rPr>
        <w:t>丧</w:t>
      </w:r>
      <w:r>
        <w:rPr>
          <w:spacing w:val="-31"/>
          <w:w w:val="99"/>
        </w:rPr>
        <w:t>全丧</w:t>
      </w:r>
      <w:r>
        <w:rPr>
          <w:spacing w:val="-267"/>
          <w:w w:val="99"/>
          <w:position w:val="1"/>
        </w:rPr>
        <w:t>失</w:t>
      </w:r>
      <w:r>
        <w:rPr>
          <w:spacing w:val="-264"/>
          <w:w w:val="99"/>
        </w:rPr>
        <w:t>失失</w:t>
      </w:r>
      <w:r>
        <w:rPr>
          <w:spacing w:val="-43"/>
          <w:w w:val="99"/>
        </w:rPr>
        <w:t>失</w:t>
      </w:r>
      <w:r>
        <w:rPr>
          <w:spacing w:val="1"/>
          <w:w w:val="99"/>
        </w:rPr>
        <w:t>（</w:t>
      </w:r>
      <w:r>
        <w:rPr>
          <w:w w:val="99"/>
        </w:rPr>
        <w:t>见释义</w:t>
      </w:r>
      <w:r>
        <w:rPr>
          <w:spacing w:val="-53"/>
        </w:rPr>
        <w:t> </w:t>
      </w:r>
      <w:r>
        <w:rPr>
          <w:w w:val="93"/>
        </w:rPr>
        <w:t>11</w:t>
      </w:r>
      <w:r>
        <w:rPr>
          <w:spacing w:val="-1"/>
          <w:w w:val="43"/>
        </w:rPr>
        <w:t>.</w:t>
      </w:r>
      <w:r>
        <w:rPr>
          <w:w w:val="93"/>
        </w:rPr>
        <w:t>4</w:t>
      </w:r>
      <w:r>
        <w:rPr>
          <w:spacing w:val="-104"/>
          <w:w w:val="99"/>
        </w:rPr>
        <w:t>）</w:t>
      </w:r>
      <w:r>
        <w:rPr>
          <w:w w:val="99"/>
        </w:rPr>
        <w:t>；</w:t>
      </w:r>
    </w:p>
    <w:p>
      <w:pPr>
        <w:pStyle w:val="BodyText"/>
        <w:spacing w:line="311" w:lineRule="exact"/>
        <w:ind w:left="117"/>
      </w:pPr>
      <w:r>
        <w:rPr>
          <w:spacing w:val="-7"/>
          <w:w w:val="95"/>
        </w:rPr>
        <w:t>（2）</w:t>
      </w:r>
      <w:r>
        <w:rPr>
          <w:rFonts w:ascii="Microsoft JhengHei UI" w:eastAsia="Microsoft JhengHei UI" w:hint="eastAsia"/>
          <w:b/>
          <w:spacing w:val="-48"/>
          <w:w w:val="95"/>
        </w:rPr>
        <w:t>语</w:t>
      </w:r>
      <w:r>
        <w:rPr>
          <w:spacing w:val="-105"/>
          <w:w w:val="95"/>
          <w:position w:val="1"/>
        </w:rPr>
        <w:t>言能</w:t>
      </w:r>
      <w:r>
        <w:rPr>
          <w:spacing w:val="-81"/>
          <w:w w:val="95"/>
        </w:rPr>
        <w:t>言能言能言能</w:t>
      </w:r>
      <w:r>
        <w:rPr>
          <w:spacing w:val="-105"/>
          <w:w w:val="95"/>
          <w:position w:val="1"/>
        </w:rPr>
        <w:t>力或</w:t>
      </w:r>
      <w:r>
        <w:rPr>
          <w:spacing w:val="-81"/>
          <w:w w:val="95"/>
        </w:rPr>
        <w:t>力或力或力或</w:t>
      </w:r>
      <w:r>
        <w:rPr>
          <w:spacing w:val="-105"/>
          <w:w w:val="95"/>
          <w:position w:val="1"/>
        </w:rPr>
        <w:t>咀嚼</w:t>
      </w:r>
      <w:r>
        <w:rPr>
          <w:spacing w:val="-81"/>
          <w:w w:val="95"/>
        </w:rPr>
        <w:t>咀嚼咀嚼咀嚼</w:t>
      </w:r>
      <w:r>
        <w:rPr>
          <w:spacing w:val="-105"/>
          <w:w w:val="95"/>
          <w:position w:val="1"/>
        </w:rPr>
        <w:t>吞咽</w:t>
      </w:r>
      <w:r>
        <w:rPr>
          <w:spacing w:val="-81"/>
          <w:w w:val="95"/>
        </w:rPr>
        <w:t>吞咽吞咽吞咽</w:t>
      </w:r>
      <w:r>
        <w:rPr>
          <w:spacing w:val="-105"/>
          <w:w w:val="95"/>
          <w:position w:val="1"/>
        </w:rPr>
        <w:t>能力</w:t>
      </w:r>
      <w:r>
        <w:rPr>
          <w:spacing w:val="-81"/>
          <w:w w:val="95"/>
        </w:rPr>
        <w:t>能力能力能力</w:t>
      </w:r>
      <w:r>
        <w:rPr>
          <w:spacing w:val="-105"/>
          <w:w w:val="95"/>
          <w:position w:val="1"/>
        </w:rPr>
        <w:t>完全</w:t>
      </w:r>
      <w:r>
        <w:rPr>
          <w:spacing w:val="-81"/>
          <w:w w:val="95"/>
        </w:rPr>
        <w:t>完全完全完全</w:t>
      </w:r>
      <w:r>
        <w:rPr>
          <w:spacing w:val="-105"/>
          <w:w w:val="95"/>
          <w:position w:val="1"/>
        </w:rPr>
        <w:t>丧失</w:t>
      </w:r>
      <w:r>
        <w:rPr>
          <w:spacing w:val="-77"/>
          <w:w w:val="95"/>
        </w:rPr>
        <w:t>丧失丧失丧失</w:t>
      </w:r>
      <w:r>
        <w:rPr>
          <w:w w:val="95"/>
        </w:rPr>
        <w:t>（见释义</w:t>
      </w:r>
      <w:r>
        <w:rPr>
          <w:spacing w:val="-111"/>
          <w:w w:val="93"/>
        </w:rPr>
        <w:t>11</w:t>
      </w:r>
      <w:r>
        <w:rPr>
          <w:spacing w:val="-112"/>
          <w:w w:val="43"/>
        </w:rPr>
        <w:t>.</w:t>
      </w:r>
      <w:r>
        <w:rPr>
          <w:spacing w:val="-111"/>
          <w:w w:val="93"/>
        </w:rPr>
        <w:t>5</w:t>
      </w:r>
      <w:r>
        <w:rPr>
          <w:spacing w:val="-215"/>
          <w:w w:val="99"/>
        </w:rPr>
        <w:t>）</w:t>
      </w:r>
      <w:r>
        <w:rPr>
          <w:spacing w:val="-111"/>
          <w:w w:val="99"/>
        </w:rPr>
        <w:t>；</w:t>
      </w:r>
    </w:p>
    <w:p>
      <w:pPr>
        <w:pStyle w:val="BodyText"/>
        <w:spacing w:line="312" w:lineRule="exact" w:before="25"/>
        <w:ind w:left="117" w:right="230"/>
      </w:pPr>
      <w:r>
        <w:rPr>
          <w:w w:val="99"/>
        </w:rPr>
        <w:t>（</w:t>
      </w:r>
      <w:r>
        <w:rPr>
          <w:w w:val="93"/>
        </w:rPr>
        <w:t>3</w:t>
      </w:r>
      <w:r>
        <w:rPr>
          <w:spacing w:val="-17"/>
          <w:w w:val="99"/>
        </w:rPr>
        <w:t>）</w:t>
      </w:r>
      <w:r>
        <w:rPr>
          <w:spacing w:val="-4"/>
          <w:w w:val="99"/>
        </w:rPr>
        <w:t>自主生活能力完全丧失，无法独立完成</w:t>
      </w:r>
      <w:r>
        <w:rPr>
          <w:rFonts w:ascii="Microsoft JhengHei UI" w:eastAsia="Microsoft JhengHei UI" w:hint="eastAsia"/>
          <w:b/>
          <w:spacing w:val="-48"/>
          <w:w w:val="99"/>
        </w:rPr>
        <w:t>六</w:t>
      </w:r>
      <w:r>
        <w:rPr>
          <w:spacing w:val="-267"/>
          <w:w w:val="99"/>
          <w:position w:val="1"/>
        </w:rPr>
        <w:t>项</w:t>
      </w:r>
      <w:r>
        <w:rPr>
          <w:spacing w:val="-264"/>
          <w:w w:val="99"/>
        </w:rPr>
        <w:t>项项</w:t>
      </w:r>
      <w:r>
        <w:rPr>
          <w:spacing w:val="-62"/>
          <w:w w:val="99"/>
        </w:rPr>
        <w:t>项</w:t>
      </w:r>
      <w:r>
        <w:rPr>
          <w:spacing w:val="-267"/>
          <w:w w:val="99"/>
          <w:position w:val="1"/>
        </w:rPr>
        <w:t>基</w:t>
      </w:r>
      <w:r>
        <w:rPr>
          <w:spacing w:val="-264"/>
          <w:w w:val="99"/>
        </w:rPr>
        <w:t>基基</w:t>
      </w:r>
      <w:r>
        <w:rPr>
          <w:spacing w:val="-62"/>
          <w:w w:val="99"/>
        </w:rPr>
        <w:t>基</w:t>
      </w:r>
      <w:r>
        <w:rPr>
          <w:spacing w:val="-267"/>
          <w:w w:val="99"/>
          <w:position w:val="1"/>
        </w:rPr>
        <w:t>本</w:t>
      </w:r>
      <w:r>
        <w:rPr>
          <w:spacing w:val="-264"/>
          <w:w w:val="99"/>
        </w:rPr>
        <w:t>本本</w:t>
      </w:r>
      <w:r>
        <w:rPr>
          <w:spacing w:val="-62"/>
          <w:w w:val="99"/>
        </w:rPr>
        <w:t>本</w:t>
      </w:r>
      <w:r>
        <w:rPr>
          <w:spacing w:val="-267"/>
          <w:w w:val="99"/>
          <w:position w:val="1"/>
        </w:rPr>
        <w:t>日</w:t>
      </w:r>
      <w:r>
        <w:rPr>
          <w:spacing w:val="-264"/>
          <w:w w:val="99"/>
        </w:rPr>
        <w:t>日日</w:t>
      </w:r>
      <w:r>
        <w:rPr>
          <w:spacing w:val="-62"/>
          <w:w w:val="99"/>
        </w:rPr>
        <w:t>日</w:t>
      </w:r>
      <w:r>
        <w:rPr>
          <w:spacing w:val="-267"/>
          <w:w w:val="99"/>
          <w:position w:val="1"/>
        </w:rPr>
        <w:t>常</w:t>
      </w:r>
      <w:r>
        <w:rPr>
          <w:spacing w:val="-264"/>
          <w:w w:val="99"/>
        </w:rPr>
        <w:t>常常</w:t>
      </w:r>
      <w:r>
        <w:rPr>
          <w:spacing w:val="-62"/>
          <w:w w:val="99"/>
        </w:rPr>
        <w:t>常</w:t>
      </w:r>
      <w:r>
        <w:rPr>
          <w:spacing w:val="-267"/>
          <w:w w:val="99"/>
          <w:position w:val="1"/>
        </w:rPr>
        <w:t>生</w:t>
      </w:r>
      <w:r>
        <w:rPr>
          <w:spacing w:val="-264"/>
          <w:w w:val="99"/>
        </w:rPr>
        <w:t>生生</w:t>
      </w:r>
      <w:r>
        <w:rPr>
          <w:spacing w:val="-62"/>
          <w:w w:val="99"/>
        </w:rPr>
        <w:t>生</w:t>
      </w:r>
      <w:r>
        <w:rPr>
          <w:spacing w:val="-267"/>
          <w:w w:val="99"/>
          <w:position w:val="1"/>
        </w:rPr>
        <w:t>活</w:t>
      </w:r>
      <w:r>
        <w:rPr>
          <w:spacing w:val="-264"/>
          <w:w w:val="99"/>
        </w:rPr>
        <w:t>活活</w:t>
      </w:r>
      <w:r>
        <w:rPr>
          <w:spacing w:val="-67"/>
          <w:w w:val="99"/>
        </w:rPr>
        <w:t>活</w:t>
      </w:r>
      <w:r>
        <w:rPr>
          <w:w w:val="99"/>
        </w:rPr>
        <w:t>（见释义</w:t>
      </w:r>
      <w:r>
        <w:rPr/>
        <w:t> </w:t>
      </w:r>
      <w:r>
        <w:rPr>
          <w:w w:val="93"/>
        </w:rPr>
        <w:t>11</w:t>
      </w:r>
      <w:r>
        <w:rPr>
          <w:spacing w:val="-1"/>
          <w:w w:val="43"/>
        </w:rPr>
        <w:t>.</w:t>
      </w:r>
      <w:r>
        <w:rPr>
          <w:w w:val="93"/>
        </w:rPr>
        <w:t>6</w:t>
      </w:r>
      <w:r>
        <w:rPr>
          <w:spacing w:val="-20"/>
          <w:w w:val="99"/>
        </w:rPr>
        <w:t>）</w:t>
      </w:r>
      <w:r>
        <w:rPr>
          <w:w w:val="99"/>
        </w:rPr>
        <w:t>活动中的三   </w:t>
      </w:r>
      <w:r>
        <w:rPr>
          <w:w w:val="95"/>
        </w:rPr>
        <w:t>项或三项以上。</w:t>
      </w:r>
    </w:p>
    <w:p>
      <w:pPr>
        <w:pStyle w:val="BodyText"/>
        <w:spacing w:before="5"/>
        <w:rPr>
          <w:sz w:val="23"/>
        </w:rPr>
      </w:pPr>
    </w:p>
    <w:p>
      <w:pPr>
        <w:pStyle w:val="Heading2"/>
        <w:numPr>
          <w:ilvl w:val="2"/>
          <w:numId w:val="12"/>
        </w:numPr>
        <w:tabs>
          <w:tab w:pos="1203" w:val="left" w:leader="none"/>
          <w:tab w:pos="1204" w:val="left" w:leader="none"/>
        </w:tabs>
        <w:spacing w:line="240" w:lineRule="auto" w:before="0" w:after="0"/>
        <w:ind w:left="1203" w:right="0" w:hanging="1086"/>
        <w:jc w:val="left"/>
      </w:pPr>
      <w:bookmarkStart w:name="_TOC_250040" w:id="93"/>
      <w:bookmarkEnd w:id="93"/>
      <w:r>
        <w:rPr>
          <w:w w:val="95"/>
        </w:rPr>
        <w:t>重大器官移植术或造血干细胞移植术</w:t>
      </w:r>
    </w:p>
    <w:p>
      <w:pPr>
        <w:pStyle w:val="BodyText"/>
        <w:spacing w:before="15"/>
        <w:rPr>
          <w:rFonts w:ascii="Microsoft JhengHei UI"/>
          <w:b/>
          <w:sz w:val="27"/>
        </w:rPr>
      </w:pPr>
    </w:p>
    <w:p>
      <w:pPr>
        <w:pStyle w:val="BodyText"/>
        <w:spacing w:line="408" w:lineRule="auto"/>
        <w:ind w:left="117" w:right="237"/>
      </w:pPr>
      <w:r>
        <w:rPr/>
        <w:t>重大器官移植术，指因相应器官功能衰竭，已经实施了肾脏、肝脏、心脏或肺脏的异体移</w:t>
      </w:r>
      <w:r>
        <w:rPr>
          <w:w w:val="95"/>
        </w:rPr>
        <w:t>植手术。</w:t>
      </w:r>
    </w:p>
    <w:p>
      <w:pPr>
        <w:pStyle w:val="BodyText"/>
        <w:spacing w:line="408" w:lineRule="auto" w:before="45"/>
        <w:ind w:left="117" w:right="237"/>
      </w:pPr>
      <w:r>
        <w:rPr/>
        <w:t>造血干细胞移植术，指因造血功能损害或造血系统恶性肿瘤，已经实施了造血干细胞（包</w:t>
      </w:r>
      <w:r>
        <w:rPr>
          <w:w w:val="95"/>
        </w:rPr>
        <w:t>括骨髓造血干细胞、外周血造血干细胞和脐血造血干细胞）的异体移植手术。</w:t>
      </w:r>
    </w:p>
    <w:p>
      <w:pPr>
        <w:pStyle w:val="BodyText"/>
        <w:spacing w:before="9"/>
        <w:rPr>
          <w:sz w:val="20"/>
        </w:rPr>
      </w:pPr>
    </w:p>
    <w:p>
      <w:pPr>
        <w:pStyle w:val="Heading2"/>
        <w:numPr>
          <w:ilvl w:val="2"/>
          <w:numId w:val="12"/>
        </w:numPr>
        <w:tabs>
          <w:tab w:pos="1203" w:val="left" w:leader="none"/>
          <w:tab w:pos="1204" w:val="left" w:leader="none"/>
        </w:tabs>
        <w:spacing w:line="240" w:lineRule="auto" w:before="0" w:after="0"/>
        <w:ind w:left="1203" w:right="0" w:hanging="1086"/>
        <w:jc w:val="left"/>
      </w:pPr>
      <w:bookmarkStart w:name="_TOC_250039" w:id="94"/>
      <w:bookmarkEnd w:id="94"/>
      <w:r>
        <w:rPr>
          <w:w w:val="95"/>
        </w:rPr>
        <w:t>冠状动脉搭桥术（或称冠状动脉旁路移植术）</w:t>
      </w:r>
    </w:p>
    <w:p>
      <w:pPr>
        <w:pStyle w:val="BodyText"/>
        <w:spacing w:before="12"/>
        <w:rPr>
          <w:rFonts w:ascii="Microsoft JhengHei UI"/>
          <w:b/>
          <w:sz w:val="27"/>
        </w:rPr>
      </w:pPr>
    </w:p>
    <w:p>
      <w:pPr>
        <w:pStyle w:val="BodyText"/>
        <w:spacing w:before="1"/>
        <w:ind w:left="117"/>
      </w:pPr>
      <w:r>
        <w:rPr>
          <w:w w:val="95"/>
        </w:rPr>
        <w:t>指为治疗严重的冠心病，实际实施了开胸进行的冠状动脉血管旁路移植的手术。</w:t>
      </w:r>
    </w:p>
    <w:p>
      <w:pPr>
        <w:pStyle w:val="BodyText"/>
        <w:spacing w:line="408" w:lineRule="auto" w:before="193"/>
        <w:ind w:left="117" w:right="237"/>
      </w:pPr>
      <w:r>
        <w:rPr/>
        <w:t>冠状动脉支架植入术、心导管球囊扩张术、激光射频技术及其他非开胸的介入手术、腔镜</w:t>
      </w:r>
      <w:r>
        <w:rPr>
          <w:w w:val="95"/>
        </w:rPr>
        <w:t>手术不在保障范围内。</w:t>
      </w:r>
    </w:p>
    <w:p>
      <w:pPr>
        <w:pStyle w:val="BodyText"/>
        <w:spacing w:before="9"/>
        <w:rPr>
          <w:sz w:val="20"/>
        </w:rPr>
      </w:pPr>
    </w:p>
    <w:p>
      <w:pPr>
        <w:pStyle w:val="Heading2"/>
        <w:numPr>
          <w:ilvl w:val="2"/>
          <w:numId w:val="12"/>
        </w:numPr>
        <w:tabs>
          <w:tab w:pos="1203" w:val="left" w:leader="none"/>
          <w:tab w:pos="1204" w:val="left" w:leader="none"/>
        </w:tabs>
        <w:spacing w:line="240" w:lineRule="auto" w:before="1" w:after="0"/>
        <w:ind w:left="1203" w:right="0" w:hanging="1086"/>
        <w:jc w:val="left"/>
      </w:pPr>
      <w:bookmarkStart w:name="_TOC_250038" w:id="95"/>
      <w:bookmarkEnd w:id="95"/>
      <w:r>
        <w:rPr>
          <w:w w:val="95"/>
        </w:rPr>
        <w:t>终末期肾病（或称慢性肾功能衰竭尿毒症期）</w:t>
      </w:r>
    </w:p>
    <w:p>
      <w:pPr>
        <w:pStyle w:val="BodyText"/>
        <w:spacing w:before="15"/>
        <w:rPr>
          <w:rFonts w:ascii="Microsoft JhengHei UI"/>
          <w:b/>
          <w:sz w:val="27"/>
        </w:rPr>
      </w:pPr>
    </w:p>
    <w:p>
      <w:pPr>
        <w:pStyle w:val="BodyText"/>
        <w:spacing w:line="408" w:lineRule="auto" w:before="1"/>
        <w:ind w:left="117" w:right="235"/>
      </w:pPr>
      <w:r>
        <w:rPr>
          <w:spacing w:val="-8"/>
        </w:rPr>
        <w:t>指双肾功能慢性不可逆性衰竭，达到尿毒症期，经诊断后已经进行了至少 </w:t>
      </w:r>
      <w:r>
        <w:rPr/>
        <w:t>90</w:t>
      </w:r>
      <w:r>
        <w:rPr>
          <w:spacing w:val="-11"/>
        </w:rPr>
        <w:t> 天的规律性透</w:t>
      </w:r>
      <w:r>
        <w:rPr>
          <w:spacing w:val="-11"/>
          <w:w w:val="95"/>
        </w:rPr>
        <w:t>析治疗或实施了肾脏移植手术。</w:t>
      </w:r>
    </w:p>
    <w:p>
      <w:pPr>
        <w:pStyle w:val="BodyText"/>
        <w:spacing w:before="7"/>
        <w:rPr>
          <w:sz w:val="20"/>
        </w:rPr>
      </w:pPr>
    </w:p>
    <w:p>
      <w:pPr>
        <w:pStyle w:val="Heading2"/>
        <w:numPr>
          <w:ilvl w:val="2"/>
          <w:numId w:val="12"/>
        </w:numPr>
        <w:tabs>
          <w:tab w:pos="1203" w:val="left" w:leader="none"/>
          <w:tab w:pos="1204" w:val="left" w:leader="none"/>
        </w:tabs>
        <w:spacing w:line="240" w:lineRule="auto" w:before="1" w:after="0"/>
        <w:ind w:left="1203" w:right="0" w:hanging="1086"/>
        <w:jc w:val="left"/>
      </w:pPr>
      <w:bookmarkStart w:name="_TOC_250037" w:id="96"/>
      <w:bookmarkEnd w:id="96"/>
      <w:r>
        <w:rPr>
          <w:w w:val="95"/>
        </w:rPr>
        <w:t>多个肢体缺失</w:t>
      </w:r>
    </w:p>
    <w:p>
      <w:pPr>
        <w:pStyle w:val="BodyText"/>
        <w:spacing w:before="15"/>
        <w:rPr>
          <w:rFonts w:ascii="Microsoft JhengHei UI"/>
          <w:b/>
          <w:sz w:val="27"/>
        </w:rPr>
      </w:pPr>
    </w:p>
    <w:p>
      <w:pPr>
        <w:pStyle w:val="BodyText"/>
        <w:spacing w:line="408" w:lineRule="auto" w:before="1"/>
        <w:ind w:left="117" w:right="237"/>
      </w:pPr>
      <w:r>
        <w:rPr/>
        <w:t>指因疾病或意外伤害导致两个或两个以上肢体自腕关节或踝关节近端（靠近躯干端）以上</w:t>
      </w:r>
      <w:r>
        <w:rPr>
          <w:w w:val="95"/>
        </w:rPr>
        <w:t>完全性断离。</w:t>
      </w:r>
    </w:p>
    <w:p>
      <w:pPr>
        <w:pStyle w:val="BodyText"/>
        <w:spacing w:before="10"/>
        <w:rPr>
          <w:sz w:val="20"/>
        </w:rPr>
      </w:pPr>
    </w:p>
    <w:p>
      <w:pPr>
        <w:pStyle w:val="Heading2"/>
        <w:numPr>
          <w:ilvl w:val="2"/>
          <w:numId w:val="12"/>
        </w:numPr>
        <w:tabs>
          <w:tab w:pos="1203" w:val="left" w:leader="none"/>
          <w:tab w:pos="1204" w:val="left" w:leader="none"/>
        </w:tabs>
        <w:spacing w:line="240" w:lineRule="auto" w:before="0" w:after="0"/>
        <w:ind w:left="1203" w:right="0" w:hanging="1086"/>
        <w:jc w:val="left"/>
      </w:pPr>
      <w:bookmarkStart w:name="_TOC_250036" w:id="97"/>
      <w:bookmarkEnd w:id="97"/>
      <w:r>
        <w:rPr>
          <w:w w:val="95"/>
        </w:rPr>
        <w:t>急性或亚急性重症肝炎</w:t>
      </w:r>
    </w:p>
    <w:p>
      <w:pPr>
        <w:pStyle w:val="BodyText"/>
        <w:spacing w:before="13"/>
        <w:rPr>
          <w:rFonts w:ascii="Microsoft JhengHei UI"/>
          <w:b/>
          <w:sz w:val="27"/>
        </w:rPr>
      </w:pPr>
    </w:p>
    <w:p>
      <w:pPr>
        <w:pStyle w:val="BodyText"/>
        <w:spacing w:line="408" w:lineRule="auto"/>
        <w:ind w:left="117" w:right="237"/>
      </w:pPr>
      <w:r>
        <w:rPr/>
        <w:t>指因肝炎病毒感染引起肝脏组织弥漫性坏死，导致急性肝功能衰竭，且经血清学或病毒学</w:t>
      </w:r>
      <w:r>
        <w:rPr>
          <w:w w:val="95"/>
        </w:rPr>
        <w:t>检查证实，并须满足下列全部条件：</w:t>
      </w:r>
    </w:p>
    <w:p>
      <w:pPr>
        <w:spacing w:after="0" w:line="408" w:lineRule="auto"/>
        <w:sectPr>
          <w:pgSz w:w="11910" w:h="16840"/>
          <w:pgMar w:header="0" w:footer="1074" w:top="1460" w:bottom="1260" w:left="1680" w:right="1680"/>
        </w:sectPr>
      </w:pPr>
    </w:p>
    <w:p>
      <w:pPr>
        <w:pStyle w:val="BodyText"/>
        <w:spacing w:before="32"/>
        <w:ind w:left="117"/>
        <w:jc w:val="both"/>
      </w:pPr>
      <w:bookmarkStart w:name="良性脑肿瘤" w:id="98"/>
      <w:bookmarkEnd w:id="98"/>
      <w:r>
        <w:rPr/>
      </w:r>
      <w:bookmarkStart w:name="慢性肝功能衰竭失代偿期" w:id="99"/>
      <w:bookmarkEnd w:id="99"/>
      <w:r>
        <w:rPr/>
      </w:r>
      <w:bookmarkStart w:name="脑炎后遗症或脑膜炎后遗症" w:id="100"/>
      <w:bookmarkEnd w:id="100"/>
      <w:r>
        <w:rPr/>
      </w:r>
      <w:r>
        <w:rPr>
          <w:w w:val="95"/>
        </w:rPr>
        <w:t>（1）重度黄疸或黄疸迅速加重；</w:t>
      </w:r>
    </w:p>
    <w:p>
      <w:pPr>
        <w:pStyle w:val="BodyText"/>
        <w:spacing w:before="193"/>
        <w:ind w:left="117"/>
        <w:jc w:val="both"/>
      </w:pPr>
      <w:r>
        <w:rPr>
          <w:w w:val="95"/>
        </w:rPr>
        <w:t>（2）肝性脑病；</w:t>
      </w:r>
    </w:p>
    <w:p>
      <w:pPr>
        <w:pStyle w:val="BodyText"/>
        <w:spacing w:before="193"/>
        <w:ind w:left="117"/>
        <w:jc w:val="both"/>
      </w:pPr>
      <w:r>
        <w:rPr/>
        <w:t>（3）B 超或其他影像学检查显示肝脏体积急速萎缩；</w:t>
      </w:r>
    </w:p>
    <w:p>
      <w:pPr>
        <w:pStyle w:val="BodyText"/>
        <w:spacing w:before="193"/>
        <w:ind w:left="117"/>
        <w:jc w:val="both"/>
      </w:pPr>
      <w:r>
        <w:rPr>
          <w:w w:val="95"/>
        </w:rPr>
        <w:t>（4）肝功能指标进行性恶化。</w:t>
      </w:r>
    </w:p>
    <w:p>
      <w:pPr>
        <w:pStyle w:val="BodyText"/>
        <w:spacing w:before="12"/>
        <w:rPr>
          <w:sz w:val="31"/>
        </w:rPr>
      </w:pPr>
    </w:p>
    <w:p>
      <w:pPr>
        <w:pStyle w:val="Heading2"/>
        <w:numPr>
          <w:ilvl w:val="2"/>
          <w:numId w:val="12"/>
        </w:numPr>
        <w:tabs>
          <w:tab w:pos="1204" w:val="left" w:leader="none"/>
        </w:tabs>
        <w:spacing w:line="240" w:lineRule="auto" w:before="1" w:after="0"/>
        <w:ind w:left="1203" w:right="0" w:hanging="1086"/>
        <w:jc w:val="both"/>
      </w:pPr>
      <w:bookmarkStart w:name="_TOC_250035" w:id="101"/>
      <w:bookmarkEnd w:id="101"/>
      <w:r>
        <w:rPr>
          <w:w w:val="95"/>
        </w:rPr>
        <w:t>良性脑肿瘤</w:t>
      </w:r>
    </w:p>
    <w:p>
      <w:pPr>
        <w:pStyle w:val="BodyText"/>
        <w:spacing w:before="13"/>
        <w:rPr>
          <w:rFonts w:ascii="Microsoft JhengHei UI"/>
          <w:b/>
          <w:sz w:val="27"/>
        </w:rPr>
      </w:pPr>
    </w:p>
    <w:p>
      <w:pPr>
        <w:pStyle w:val="BodyText"/>
        <w:spacing w:line="408" w:lineRule="auto"/>
        <w:ind w:left="117" w:right="237"/>
        <w:jc w:val="both"/>
      </w:pPr>
      <w:r>
        <w:rPr/>
        <w:t>指脑的良性肿瘤，已经引起颅内压增高，临床表现为视神经乳头水肿、精神症状、癫痫及</w:t>
      </w:r>
      <w:r>
        <w:rPr>
          <w:spacing w:val="1"/>
          <w:w w:val="99"/>
        </w:rPr>
        <w:t>运动感觉障碍等，并危及生命。须由头颅断层扫描</w:t>
      </w:r>
      <w:r>
        <w:rPr>
          <w:w w:val="99"/>
        </w:rPr>
        <w:t>（</w:t>
      </w:r>
      <w:r>
        <w:rPr>
          <w:spacing w:val="-77"/>
        </w:rPr>
        <w:t> </w:t>
      </w:r>
      <w:r>
        <w:rPr>
          <w:spacing w:val="-1"/>
          <w:w w:val="126"/>
        </w:rPr>
        <w:t>C</w:t>
      </w:r>
      <w:r>
        <w:rPr>
          <w:spacing w:val="5"/>
          <w:w w:val="122"/>
        </w:rPr>
        <w:t>T</w:t>
      </w:r>
      <w:r>
        <w:rPr>
          <w:spacing w:val="-101"/>
          <w:w w:val="99"/>
        </w:rPr>
        <w:t>）</w:t>
      </w:r>
      <w:r>
        <w:rPr>
          <w:spacing w:val="1"/>
          <w:w w:val="99"/>
        </w:rPr>
        <w:t>、核磁共振检查</w:t>
      </w:r>
      <w:r>
        <w:rPr>
          <w:spacing w:val="8"/>
          <w:w w:val="99"/>
        </w:rPr>
        <w:t>（</w:t>
      </w:r>
      <w:r>
        <w:rPr>
          <w:spacing w:val="-2"/>
          <w:w w:val="165"/>
        </w:rPr>
        <w:t>M</w:t>
      </w:r>
      <w:r>
        <w:rPr>
          <w:spacing w:val="0"/>
          <w:w w:val="124"/>
        </w:rPr>
        <w:t>R</w:t>
      </w:r>
      <w:r>
        <w:rPr>
          <w:spacing w:val="5"/>
          <w:w w:val="70"/>
        </w:rPr>
        <w:t>I</w:t>
      </w:r>
      <w:r>
        <w:rPr>
          <w:spacing w:val="3"/>
          <w:w w:val="99"/>
        </w:rPr>
        <w:t>）</w:t>
      </w:r>
      <w:r>
        <w:rPr>
          <w:w w:val="99"/>
        </w:rPr>
        <w:t>或正电</w:t>
      </w:r>
      <w:r>
        <w:rPr/>
        <w:t>子发射断层扫描（PET）等影像学检查证实，并须满足下列至少一项条件：</w:t>
      </w:r>
    </w:p>
    <w:p>
      <w:pPr>
        <w:pStyle w:val="BodyText"/>
        <w:spacing w:before="45"/>
        <w:ind w:left="117"/>
        <w:jc w:val="both"/>
      </w:pPr>
      <w:r>
        <w:rPr>
          <w:w w:val="95"/>
        </w:rPr>
        <w:t>（1）实际实施了开颅进行的脑肿瘤完全切除或部分切除的手术；</w:t>
      </w:r>
    </w:p>
    <w:p>
      <w:pPr>
        <w:pStyle w:val="BodyText"/>
        <w:spacing w:before="192"/>
        <w:ind w:left="117"/>
        <w:jc w:val="both"/>
      </w:pPr>
      <w:r>
        <w:rPr>
          <w:w w:val="95"/>
        </w:rPr>
        <w:t>（2）实际实施了对脑肿瘤进行的放射治疗。</w:t>
      </w:r>
    </w:p>
    <w:p>
      <w:pPr>
        <w:pStyle w:val="BodyText"/>
        <w:spacing w:before="192"/>
        <w:ind w:left="117"/>
        <w:jc w:val="both"/>
      </w:pPr>
      <w:r>
        <w:rPr>
          <w:w w:val="95"/>
        </w:rPr>
        <w:t>脑垂体瘤、脑囊肿、脑血管性疾病不在保障范围内。</w:t>
      </w:r>
    </w:p>
    <w:p>
      <w:pPr>
        <w:pStyle w:val="BodyText"/>
        <w:spacing w:before="12"/>
        <w:rPr>
          <w:sz w:val="31"/>
        </w:rPr>
      </w:pPr>
    </w:p>
    <w:p>
      <w:pPr>
        <w:pStyle w:val="Heading2"/>
        <w:numPr>
          <w:ilvl w:val="2"/>
          <w:numId w:val="12"/>
        </w:numPr>
        <w:tabs>
          <w:tab w:pos="1204" w:val="left" w:leader="none"/>
        </w:tabs>
        <w:spacing w:line="240" w:lineRule="auto" w:before="0" w:after="0"/>
        <w:ind w:left="1203" w:right="0" w:hanging="1086"/>
        <w:jc w:val="both"/>
      </w:pPr>
      <w:bookmarkStart w:name="_TOC_250034" w:id="102"/>
      <w:bookmarkEnd w:id="102"/>
      <w:r>
        <w:rPr>
          <w:w w:val="95"/>
        </w:rPr>
        <w:t>慢性肝功能衰竭失代偿期</w:t>
      </w:r>
    </w:p>
    <w:p>
      <w:pPr>
        <w:pStyle w:val="BodyText"/>
        <w:spacing w:before="15"/>
        <w:rPr>
          <w:rFonts w:ascii="Microsoft JhengHei UI"/>
          <w:b/>
          <w:sz w:val="27"/>
        </w:rPr>
      </w:pPr>
    </w:p>
    <w:p>
      <w:pPr>
        <w:pStyle w:val="BodyText"/>
        <w:ind w:left="117"/>
        <w:jc w:val="both"/>
      </w:pPr>
      <w:r>
        <w:rPr>
          <w:w w:val="95"/>
        </w:rPr>
        <w:t>指因慢性肝脏疾病导致肝功能衰竭。须满足下列全部条件：</w:t>
      </w:r>
    </w:p>
    <w:p>
      <w:pPr>
        <w:pStyle w:val="BodyText"/>
        <w:spacing w:before="193"/>
        <w:ind w:left="117"/>
        <w:jc w:val="both"/>
      </w:pPr>
      <w:r>
        <w:rPr>
          <w:w w:val="95"/>
        </w:rPr>
        <w:t>（1）持续性黄疸；</w:t>
      </w:r>
    </w:p>
    <w:p>
      <w:pPr>
        <w:pStyle w:val="BodyText"/>
        <w:spacing w:before="193"/>
        <w:ind w:left="117"/>
        <w:jc w:val="both"/>
      </w:pPr>
      <w:r>
        <w:rPr>
          <w:w w:val="95"/>
        </w:rPr>
        <w:t>（2）腹水；</w:t>
      </w:r>
    </w:p>
    <w:p>
      <w:pPr>
        <w:pStyle w:val="BodyText"/>
        <w:spacing w:before="193"/>
        <w:ind w:left="117"/>
        <w:jc w:val="both"/>
      </w:pPr>
      <w:r>
        <w:rPr>
          <w:w w:val="95"/>
        </w:rPr>
        <w:t>（3）肝性脑病；</w:t>
      </w:r>
    </w:p>
    <w:p>
      <w:pPr>
        <w:pStyle w:val="BodyText"/>
        <w:spacing w:line="408" w:lineRule="auto" w:before="193"/>
        <w:ind w:left="117" w:right="3290"/>
      </w:pPr>
      <w:r>
        <w:rPr>
          <w:w w:val="95"/>
        </w:rPr>
        <w:t>（4）充血性脾肿大伴脾功能亢进或食管胃底静脉曲张。 因酗酒或药物滥用导致的肝功能衰竭不在保障范围内。</w:t>
      </w:r>
    </w:p>
    <w:p>
      <w:pPr>
        <w:pStyle w:val="BodyText"/>
        <w:spacing w:before="7"/>
        <w:rPr>
          <w:sz w:val="20"/>
        </w:rPr>
      </w:pPr>
    </w:p>
    <w:p>
      <w:pPr>
        <w:pStyle w:val="Heading2"/>
        <w:numPr>
          <w:ilvl w:val="2"/>
          <w:numId w:val="12"/>
        </w:numPr>
        <w:tabs>
          <w:tab w:pos="1203" w:val="left" w:leader="none"/>
          <w:tab w:pos="1204" w:val="left" w:leader="none"/>
        </w:tabs>
        <w:spacing w:line="240" w:lineRule="auto" w:before="0" w:after="0"/>
        <w:ind w:left="1203" w:right="0" w:hanging="1086"/>
        <w:jc w:val="left"/>
      </w:pPr>
      <w:bookmarkStart w:name="_TOC_250033" w:id="103"/>
      <w:bookmarkEnd w:id="103"/>
      <w:r>
        <w:rPr>
          <w:w w:val="95"/>
        </w:rPr>
        <w:t>脑炎后遗症或脑膜炎后遗症</w:t>
      </w:r>
    </w:p>
    <w:p>
      <w:pPr>
        <w:pStyle w:val="BodyText"/>
        <w:rPr>
          <w:rFonts w:ascii="Microsoft JhengHei UI"/>
          <w:b/>
          <w:sz w:val="23"/>
        </w:rPr>
      </w:pPr>
    </w:p>
    <w:p>
      <w:pPr>
        <w:pStyle w:val="BodyText"/>
        <w:spacing w:line="398" w:lineRule="auto"/>
        <w:ind w:left="117" w:right="115"/>
      </w:pPr>
      <w:r>
        <w:rPr>
          <w:spacing w:val="-4"/>
          <w:w w:val="95"/>
        </w:rPr>
        <w:t>指因患脑炎或脑膜炎导致的神经系统永久性的功能障碍。神经系统永久性的功能障碍，指疾   病确诊180天后，仍遗留下列一种或一种以上障碍：</w:t>
      </w:r>
    </w:p>
    <w:p>
      <w:pPr>
        <w:pStyle w:val="BodyText"/>
        <w:spacing w:before="45"/>
        <w:ind w:left="117"/>
        <w:jc w:val="both"/>
      </w:pPr>
      <w:r>
        <w:rPr>
          <w:w w:val="95"/>
        </w:rPr>
        <w:t>（1）一肢或一肢以上肢体机能完全丧失；</w:t>
      </w:r>
    </w:p>
    <w:p>
      <w:pPr>
        <w:pStyle w:val="BodyText"/>
        <w:spacing w:before="183"/>
        <w:ind w:left="117"/>
        <w:jc w:val="both"/>
      </w:pPr>
      <w:r>
        <w:rPr>
          <w:w w:val="95"/>
        </w:rPr>
        <w:t>（2）语言能力或咀嚼吞咽能力完全丧失；</w:t>
      </w:r>
    </w:p>
    <w:p>
      <w:pPr>
        <w:pStyle w:val="BodyText"/>
        <w:spacing w:before="183"/>
        <w:ind w:left="117"/>
        <w:jc w:val="both"/>
      </w:pPr>
      <w:r>
        <w:rPr>
          <w:w w:val="95"/>
        </w:rPr>
        <w:t>（3）自主生活能力完全丧失，无法独立完成六项基本日常生活活动中的三项或三项以上。</w:t>
      </w:r>
    </w:p>
    <w:p>
      <w:pPr>
        <w:spacing w:after="0"/>
        <w:jc w:val="both"/>
        <w:sectPr>
          <w:pgSz w:w="11910" w:h="16840"/>
          <w:pgMar w:header="0" w:footer="1074" w:top="1440" w:bottom="1260" w:left="1680" w:right="1680"/>
        </w:sectPr>
      </w:pPr>
    </w:p>
    <w:p>
      <w:pPr>
        <w:pStyle w:val="Heading2"/>
        <w:numPr>
          <w:ilvl w:val="2"/>
          <w:numId w:val="12"/>
        </w:numPr>
        <w:tabs>
          <w:tab w:pos="1203" w:val="left" w:leader="none"/>
          <w:tab w:pos="1204" w:val="left" w:leader="none"/>
        </w:tabs>
        <w:spacing w:line="347" w:lineRule="exact" w:before="0" w:after="0"/>
        <w:ind w:left="1203" w:right="0" w:hanging="1086"/>
        <w:jc w:val="left"/>
      </w:pPr>
      <w:bookmarkStart w:name="_TOC_250032" w:id="104"/>
      <w:bookmarkStart w:name="深度昏迷" w:id="105"/>
      <w:r>
        <w:rPr>
          <w:b w:val="0"/>
        </w:rPr>
      </w:r>
      <w:bookmarkStart w:name="双耳失聪" w:id="106"/>
      <w:bookmarkEnd w:id="106"/>
      <w:r>
        <w:rPr>
          <w:b w:val="0"/>
        </w:rPr>
      </w:r>
      <w:bookmarkStart w:name="双目失明" w:id="107"/>
      <w:bookmarkEnd w:id="107"/>
      <w:r>
        <w:rPr>
          <w:b w:val="0"/>
        </w:rPr>
      </w:r>
      <w:bookmarkStart w:name="瘫痪" w:id="108"/>
      <w:bookmarkEnd w:id="108"/>
      <w:r>
        <w:rPr>
          <w:b w:val="0"/>
        </w:rPr>
      </w:r>
      <w:bookmarkStart w:name="心脏瓣膜手术" w:id="109"/>
      <w:bookmarkEnd w:id="109"/>
      <w:r>
        <w:rPr>
          <w:b w:val="0"/>
        </w:rPr>
      </w:r>
      <w:bookmarkStart w:name="严重阿尔茨海默病" w:id="110"/>
      <w:bookmarkEnd w:id="110"/>
      <w:r>
        <w:rPr>
          <w:b w:val="0"/>
        </w:rPr>
      </w:r>
      <w:bookmarkStart w:name="严重阿尔茨海默病" w:id="111"/>
      <w:bookmarkEnd w:id="104"/>
      <w:r>
        <w:rPr>
          <w:w w:val="95"/>
        </w:rPr>
        <w:t>深度昏迷</w:t>
      </w:r>
    </w:p>
    <w:p>
      <w:pPr>
        <w:pStyle w:val="BodyText"/>
        <w:spacing w:before="13"/>
        <w:rPr>
          <w:rFonts w:ascii="Microsoft JhengHei UI"/>
          <w:b/>
          <w:sz w:val="27"/>
        </w:rPr>
      </w:pPr>
    </w:p>
    <w:p>
      <w:pPr>
        <w:pStyle w:val="BodyText"/>
        <w:spacing w:line="408" w:lineRule="auto"/>
        <w:ind w:left="117" w:right="237"/>
        <w:jc w:val="both"/>
      </w:pPr>
      <w:r>
        <w:rPr/>
        <w:t>指因疾病或意外伤害导致意识丧失，对外界刺激和体内需求均无反应，昏迷程度按照格拉</w:t>
      </w:r>
      <w:r>
        <w:rPr>
          <w:spacing w:val="1"/>
          <w:w w:val="99"/>
        </w:rPr>
        <w:t>斯哥昏迷分级</w:t>
      </w:r>
      <w:r>
        <w:rPr>
          <w:spacing w:val="3"/>
          <w:w w:val="99"/>
        </w:rPr>
        <w:t>（</w:t>
      </w:r>
      <w:r>
        <w:rPr>
          <w:spacing w:val="-1"/>
          <w:w w:val="153"/>
        </w:rPr>
        <w:t>G</w:t>
      </w:r>
      <w:r>
        <w:rPr>
          <w:w w:val="45"/>
        </w:rPr>
        <w:t>l</w:t>
      </w:r>
      <w:r>
        <w:rPr>
          <w:spacing w:val="0"/>
          <w:w w:val="80"/>
        </w:rPr>
        <w:t>a</w:t>
      </w:r>
      <w:r>
        <w:rPr>
          <w:w w:val="72"/>
        </w:rPr>
        <w:t>s</w:t>
      </w:r>
      <w:r>
        <w:rPr>
          <w:w w:val="89"/>
        </w:rPr>
        <w:t>g</w:t>
      </w:r>
      <w:r>
        <w:rPr>
          <w:spacing w:val="-1"/>
          <w:w w:val="101"/>
        </w:rPr>
        <w:t>o</w:t>
      </w:r>
      <w:r>
        <w:rPr>
          <w:w w:val="132"/>
        </w:rPr>
        <w:t>w</w:t>
      </w:r>
      <w:r>
        <w:rPr>
          <w:spacing w:val="-48"/>
        </w:rPr>
        <w:t> </w:t>
      </w:r>
      <w:r>
        <w:rPr>
          <w:spacing w:val="-1"/>
          <w:w w:val="82"/>
        </w:rPr>
        <w:t>c</w:t>
      </w:r>
      <w:r>
        <w:rPr>
          <w:spacing w:val="-1"/>
          <w:w w:val="101"/>
        </w:rPr>
        <w:t>o</w:t>
      </w:r>
      <w:r>
        <w:rPr>
          <w:spacing w:val="1"/>
          <w:w w:val="153"/>
        </w:rPr>
        <w:t>m</w:t>
      </w:r>
      <w:r>
        <w:rPr>
          <w:w w:val="80"/>
        </w:rPr>
        <w:t>a</w:t>
      </w:r>
      <w:r>
        <w:rPr>
          <w:spacing w:val="-51"/>
        </w:rPr>
        <w:t> </w:t>
      </w:r>
      <w:r>
        <w:rPr>
          <w:w w:val="72"/>
        </w:rPr>
        <w:t>s</w:t>
      </w:r>
      <w:r>
        <w:rPr>
          <w:spacing w:val="-1"/>
          <w:w w:val="82"/>
        </w:rPr>
        <w:t>c</w:t>
      </w:r>
      <w:r>
        <w:rPr>
          <w:spacing w:val="-1"/>
          <w:w w:val="80"/>
        </w:rPr>
        <w:t>a</w:t>
      </w:r>
      <w:r>
        <w:rPr>
          <w:w w:val="45"/>
        </w:rPr>
        <w:t>l</w:t>
      </w:r>
      <w:r>
        <w:rPr>
          <w:spacing w:val="5"/>
          <w:w w:val="82"/>
        </w:rPr>
        <w:t>e</w:t>
      </w:r>
      <w:r>
        <w:rPr>
          <w:spacing w:val="1"/>
          <w:w w:val="99"/>
        </w:rPr>
        <w:t>）</w:t>
      </w:r>
      <w:r>
        <w:rPr>
          <w:spacing w:val="0"/>
          <w:w w:val="99"/>
        </w:rPr>
        <w:t>结果为</w:t>
      </w:r>
      <w:r>
        <w:rPr>
          <w:spacing w:val="-48"/>
        </w:rPr>
        <w:t> </w:t>
      </w:r>
      <w:r>
        <w:rPr>
          <w:w w:val="93"/>
        </w:rPr>
        <w:t>5</w:t>
      </w:r>
      <w:r>
        <w:rPr>
          <w:spacing w:val="-52"/>
        </w:rPr>
        <w:t> </w:t>
      </w:r>
      <w:r>
        <w:rPr>
          <w:w w:val="99"/>
        </w:rPr>
        <w:t>分或</w:t>
      </w:r>
      <w:r>
        <w:rPr>
          <w:spacing w:val="-48"/>
        </w:rPr>
        <w:t> </w:t>
      </w:r>
      <w:r>
        <w:rPr>
          <w:w w:val="93"/>
        </w:rPr>
        <w:t>5</w:t>
      </w:r>
      <w:r>
        <w:rPr>
          <w:spacing w:val="-52"/>
        </w:rPr>
        <w:t> </w:t>
      </w:r>
      <w:r>
        <w:rPr>
          <w:spacing w:val="0"/>
          <w:w w:val="99"/>
        </w:rPr>
        <w:t>分以下，且已经持续使用呼吸机及其</w:t>
      </w:r>
      <w:r>
        <w:rPr>
          <w:spacing w:val="-8"/>
        </w:rPr>
        <w:t>他生命维持系统 </w:t>
      </w:r>
      <w:r>
        <w:rPr/>
        <w:t>96</w:t>
      </w:r>
      <w:r>
        <w:rPr>
          <w:spacing w:val="-11"/>
        </w:rPr>
        <w:t> 小时以上。</w:t>
      </w:r>
    </w:p>
    <w:p>
      <w:pPr>
        <w:pStyle w:val="BodyText"/>
        <w:spacing w:before="46"/>
        <w:ind w:left="117"/>
      </w:pPr>
      <w:r>
        <w:rPr>
          <w:w w:val="95"/>
        </w:rPr>
        <w:t>因酗酒或药物滥用导致的深度昏迷不在保障范围内。</w:t>
      </w:r>
    </w:p>
    <w:p>
      <w:pPr>
        <w:pStyle w:val="BodyText"/>
        <w:spacing w:before="11"/>
        <w:rPr>
          <w:sz w:val="31"/>
        </w:rPr>
      </w:pPr>
    </w:p>
    <w:p>
      <w:pPr>
        <w:pStyle w:val="Heading2"/>
        <w:numPr>
          <w:ilvl w:val="2"/>
          <w:numId w:val="12"/>
        </w:numPr>
        <w:tabs>
          <w:tab w:pos="1203" w:val="left" w:leader="none"/>
          <w:tab w:pos="1204" w:val="left" w:leader="none"/>
        </w:tabs>
        <w:spacing w:line="240" w:lineRule="auto" w:before="0" w:after="0"/>
        <w:ind w:left="1203" w:right="0" w:hanging="1086"/>
        <w:jc w:val="left"/>
      </w:pPr>
      <w:bookmarkStart w:name="_TOC_250031" w:id="112"/>
      <w:bookmarkEnd w:id="112"/>
      <w:r>
        <w:rPr>
          <w:w w:val="95"/>
        </w:rPr>
        <w:t>双耳失聪</w:t>
      </w:r>
    </w:p>
    <w:p>
      <w:pPr>
        <w:pStyle w:val="BodyText"/>
        <w:spacing w:before="2"/>
        <w:rPr>
          <w:rFonts w:ascii="Microsoft JhengHei UI"/>
          <w:b/>
          <w:sz w:val="20"/>
        </w:rPr>
      </w:pPr>
    </w:p>
    <w:p>
      <w:pPr>
        <w:pStyle w:val="BodyText"/>
        <w:spacing w:line="468" w:lineRule="exact" w:before="1"/>
        <w:ind w:left="117" w:right="232"/>
        <w:jc w:val="both"/>
      </w:pPr>
      <w:r>
        <w:rPr>
          <w:spacing w:val="-1"/>
          <w:w w:val="99"/>
        </w:rPr>
        <w:t>指因疾病或意外伤害导致双耳听力</w:t>
      </w:r>
      <w:r>
        <w:rPr>
          <w:rFonts w:ascii="Microsoft JhengHei UI" w:eastAsia="Microsoft JhengHei UI" w:hint="eastAsia"/>
          <w:b/>
          <w:spacing w:val="-48"/>
          <w:w w:val="99"/>
        </w:rPr>
        <w:t>永</w:t>
      </w:r>
      <w:r>
        <w:rPr>
          <w:spacing w:val="-267"/>
          <w:w w:val="99"/>
          <w:position w:val="1"/>
        </w:rPr>
        <w:t>久</w:t>
      </w:r>
      <w:r>
        <w:rPr>
          <w:spacing w:val="-264"/>
          <w:w w:val="99"/>
        </w:rPr>
        <w:t>久久</w:t>
      </w:r>
      <w:r>
        <w:rPr>
          <w:spacing w:val="-62"/>
          <w:w w:val="99"/>
        </w:rPr>
        <w:t>久</w:t>
      </w:r>
      <w:r>
        <w:rPr>
          <w:spacing w:val="-267"/>
          <w:w w:val="99"/>
          <w:position w:val="1"/>
        </w:rPr>
        <w:t>不</w:t>
      </w:r>
      <w:r>
        <w:rPr>
          <w:spacing w:val="-264"/>
          <w:w w:val="99"/>
        </w:rPr>
        <w:t>不不</w:t>
      </w:r>
      <w:r>
        <w:rPr>
          <w:spacing w:val="-165"/>
          <w:w w:val="99"/>
        </w:rPr>
        <w:t>不可</w:t>
      </w:r>
      <w:r>
        <w:rPr>
          <w:spacing w:val="-263"/>
          <w:w w:val="99"/>
          <w:position w:val="1"/>
        </w:rPr>
        <w:t>可</w:t>
      </w:r>
      <w:r>
        <w:rPr>
          <w:spacing w:val="-164"/>
          <w:w w:val="99"/>
        </w:rPr>
        <w:t>可可</w:t>
      </w:r>
      <w:r>
        <w:rPr>
          <w:spacing w:val="-267"/>
          <w:w w:val="99"/>
          <w:position w:val="1"/>
        </w:rPr>
        <w:t>逆</w:t>
      </w:r>
      <w:r>
        <w:rPr>
          <w:spacing w:val="-264"/>
          <w:w w:val="99"/>
        </w:rPr>
        <w:t>逆逆</w:t>
      </w:r>
      <w:r>
        <w:rPr>
          <w:spacing w:val="-46"/>
          <w:w w:val="99"/>
        </w:rPr>
        <w:t>逆</w:t>
      </w:r>
      <w:r>
        <w:rPr>
          <w:spacing w:val="1"/>
          <w:w w:val="99"/>
        </w:rPr>
        <w:t>（</w:t>
      </w:r>
      <w:r>
        <w:rPr>
          <w:w w:val="99"/>
        </w:rPr>
        <w:t>见释义</w:t>
      </w:r>
      <w:r>
        <w:rPr>
          <w:spacing w:val="-50"/>
        </w:rPr>
        <w:t> </w:t>
      </w:r>
      <w:r>
        <w:rPr>
          <w:w w:val="93"/>
        </w:rPr>
        <w:t>11</w:t>
      </w:r>
      <w:r>
        <w:rPr>
          <w:spacing w:val="-1"/>
          <w:w w:val="43"/>
        </w:rPr>
        <w:t>.</w:t>
      </w:r>
      <w:r>
        <w:rPr>
          <w:spacing w:val="1"/>
          <w:w w:val="93"/>
        </w:rPr>
        <w:t>7</w:t>
      </w:r>
      <w:r>
        <w:rPr>
          <w:w w:val="99"/>
        </w:rPr>
        <w:t>）性丧失，在</w:t>
      </w:r>
      <w:r>
        <w:rPr>
          <w:spacing w:val="-48"/>
        </w:rPr>
        <w:t> </w:t>
      </w:r>
      <w:r>
        <w:rPr>
          <w:w w:val="93"/>
        </w:rPr>
        <w:t>500</w:t>
      </w:r>
      <w:r>
        <w:rPr>
          <w:spacing w:val="-50"/>
        </w:rPr>
        <w:t> </w:t>
      </w:r>
      <w:r>
        <w:rPr>
          <w:w w:val="99"/>
        </w:rPr>
        <w:t>赫兹、</w:t>
      </w:r>
      <w:r>
        <w:rPr>
          <w:w w:val="93"/>
        </w:rPr>
        <w:t>1000</w:t>
      </w:r>
      <w:r>
        <w:rPr>
          <w:spacing w:val="1"/>
          <w:w w:val="99"/>
        </w:rPr>
        <w:t>  </w:t>
      </w:r>
      <w:r>
        <w:rPr>
          <w:spacing w:val="-14"/>
        </w:rPr>
        <w:t>赫兹和 </w:t>
      </w:r>
      <w:r>
        <w:rPr/>
        <w:t>2000</w:t>
      </w:r>
      <w:r>
        <w:rPr>
          <w:spacing w:val="-11"/>
        </w:rPr>
        <w:t> 赫兹语音频率下，平均听阈大于 </w:t>
      </w:r>
      <w:r>
        <w:rPr/>
        <w:t>90</w:t>
      </w:r>
      <w:r>
        <w:rPr>
          <w:spacing w:val="-8"/>
        </w:rPr>
        <w:t> 分贝，且经纯音听力测试、声导抗检测或</w:t>
      </w:r>
      <w:r>
        <w:rPr>
          <w:spacing w:val="-8"/>
          <w:w w:val="95"/>
        </w:rPr>
        <w:t>听觉诱发电位检测等证实。</w:t>
      </w:r>
    </w:p>
    <w:p>
      <w:pPr>
        <w:pStyle w:val="BodyText"/>
        <w:spacing w:before="1"/>
        <w:rPr>
          <w:sz w:val="27"/>
        </w:rPr>
      </w:pPr>
    </w:p>
    <w:p>
      <w:pPr>
        <w:pStyle w:val="Heading2"/>
        <w:numPr>
          <w:ilvl w:val="2"/>
          <w:numId w:val="12"/>
        </w:numPr>
        <w:tabs>
          <w:tab w:pos="1203" w:val="left" w:leader="none"/>
          <w:tab w:pos="1204" w:val="left" w:leader="none"/>
        </w:tabs>
        <w:spacing w:line="240" w:lineRule="auto" w:before="0" w:after="0"/>
        <w:ind w:left="1203" w:right="0" w:hanging="1086"/>
        <w:jc w:val="left"/>
      </w:pPr>
      <w:bookmarkStart w:name="_TOC_250030" w:id="113"/>
      <w:bookmarkEnd w:id="113"/>
      <w:r>
        <w:rPr>
          <w:w w:val="95"/>
        </w:rPr>
        <w:t>双目失明</w:t>
      </w:r>
    </w:p>
    <w:p>
      <w:pPr>
        <w:pStyle w:val="BodyText"/>
        <w:spacing w:before="12"/>
        <w:rPr>
          <w:rFonts w:ascii="Microsoft JhengHei UI"/>
          <w:b/>
          <w:sz w:val="27"/>
        </w:rPr>
      </w:pPr>
    </w:p>
    <w:p>
      <w:pPr>
        <w:pStyle w:val="BodyText"/>
        <w:spacing w:line="408" w:lineRule="auto" w:before="1"/>
        <w:ind w:left="117" w:right="237"/>
      </w:pPr>
      <w:r>
        <w:rPr/>
        <w:t>指因疾病或意外伤害导致双眼视力永久不可逆性丧失，双眼中较好眼须满足下列至少一项</w:t>
      </w:r>
      <w:r>
        <w:rPr>
          <w:w w:val="95"/>
        </w:rPr>
        <w:t>条件：</w:t>
      </w:r>
    </w:p>
    <w:p>
      <w:pPr>
        <w:pStyle w:val="BodyText"/>
        <w:spacing w:before="46"/>
        <w:ind w:left="117"/>
        <w:jc w:val="both"/>
      </w:pPr>
      <w:r>
        <w:rPr>
          <w:w w:val="95"/>
        </w:rPr>
        <w:t>（1）眼球缺失或摘除；</w:t>
      </w:r>
    </w:p>
    <w:p>
      <w:pPr>
        <w:pStyle w:val="BodyText"/>
        <w:spacing w:before="193"/>
        <w:ind w:left="117"/>
        <w:jc w:val="both"/>
      </w:pPr>
      <w:r>
        <w:rPr>
          <w:w w:val="99"/>
        </w:rPr>
        <w:t>（</w:t>
      </w:r>
      <w:r>
        <w:rPr>
          <w:w w:val="93"/>
        </w:rPr>
        <w:t>2</w:t>
      </w:r>
      <w:r>
        <w:rPr>
          <w:spacing w:val="1"/>
          <w:w w:val="99"/>
        </w:rPr>
        <w:t>）</w:t>
      </w:r>
      <w:r>
        <w:rPr>
          <w:w w:val="99"/>
        </w:rPr>
        <w:t>矫正视力低于</w:t>
      </w:r>
      <w:r>
        <w:rPr>
          <w:spacing w:val="-53"/>
        </w:rPr>
        <w:t> </w:t>
      </w:r>
      <w:r>
        <w:rPr>
          <w:w w:val="93"/>
        </w:rPr>
        <w:t>0</w:t>
      </w:r>
      <w:r>
        <w:rPr>
          <w:spacing w:val="-1"/>
          <w:w w:val="43"/>
        </w:rPr>
        <w:t>.</w:t>
      </w:r>
      <w:r>
        <w:rPr>
          <w:w w:val="93"/>
        </w:rPr>
        <w:t>0</w:t>
      </w:r>
      <w:r>
        <w:rPr>
          <w:spacing w:val="1"/>
          <w:w w:val="93"/>
        </w:rPr>
        <w:t>2</w:t>
      </w:r>
      <w:r>
        <w:rPr>
          <w:spacing w:val="1"/>
          <w:w w:val="99"/>
        </w:rPr>
        <w:t>（</w:t>
      </w:r>
      <w:r>
        <w:rPr>
          <w:spacing w:val="-1"/>
          <w:w w:val="99"/>
        </w:rPr>
        <w:t>采用国际标准视力表，如果使用其他视力表应进行换算</w:t>
      </w:r>
      <w:r>
        <w:rPr>
          <w:spacing w:val="-104"/>
          <w:w w:val="99"/>
        </w:rPr>
        <w:t>）</w:t>
      </w:r>
      <w:r>
        <w:rPr>
          <w:w w:val="99"/>
        </w:rPr>
        <w:t>；</w:t>
      </w:r>
    </w:p>
    <w:p>
      <w:pPr>
        <w:pStyle w:val="BodyText"/>
        <w:spacing w:before="193"/>
        <w:ind w:left="117"/>
        <w:jc w:val="both"/>
      </w:pPr>
      <w:r>
        <w:rPr/>
        <w:t>（3）视野半径小于 5 度。</w:t>
      </w:r>
    </w:p>
    <w:p>
      <w:pPr>
        <w:pStyle w:val="BodyText"/>
        <w:spacing w:before="12"/>
        <w:rPr>
          <w:sz w:val="31"/>
        </w:rPr>
      </w:pPr>
    </w:p>
    <w:p>
      <w:pPr>
        <w:pStyle w:val="Heading2"/>
        <w:numPr>
          <w:ilvl w:val="2"/>
          <w:numId w:val="12"/>
        </w:numPr>
        <w:tabs>
          <w:tab w:pos="1204" w:val="left" w:leader="none"/>
        </w:tabs>
        <w:spacing w:line="240" w:lineRule="auto" w:before="1" w:after="0"/>
        <w:ind w:left="1203" w:right="0" w:hanging="1086"/>
        <w:jc w:val="both"/>
      </w:pPr>
      <w:bookmarkStart w:name="_TOC_250029" w:id="114"/>
      <w:bookmarkEnd w:id="114"/>
      <w:r>
        <w:rPr>
          <w:w w:val="95"/>
        </w:rPr>
        <w:t>瘫痪</w:t>
      </w:r>
    </w:p>
    <w:p>
      <w:pPr>
        <w:pStyle w:val="BodyText"/>
        <w:spacing w:before="15"/>
        <w:rPr>
          <w:rFonts w:ascii="Microsoft JhengHei UI"/>
          <w:b/>
          <w:sz w:val="27"/>
        </w:rPr>
      </w:pPr>
    </w:p>
    <w:p>
      <w:pPr>
        <w:pStyle w:val="BodyText"/>
        <w:spacing w:line="408" w:lineRule="auto" w:before="1"/>
        <w:ind w:left="117" w:right="231"/>
        <w:jc w:val="both"/>
      </w:pPr>
      <w:r>
        <w:rPr>
          <w:spacing w:val="-4"/>
          <w:w w:val="95"/>
        </w:rPr>
        <w:t>指因疾病或意外伤害导致两肢或两肢以上肢体机能永久完全丧失。肢体机能永久完全丧失</w:t>
      </w:r>
      <w:r>
        <w:rPr>
          <w:w w:val="85"/>
        </w:rPr>
        <w:t>，  </w:t>
      </w:r>
      <w:r>
        <w:rPr>
          <w:spacing w:val="-14"/>
        </w:rPr>
        <w:t>指疾病确诊 </w:t>
      </w:r>
      <w:r>
        <w:rPr/>
        <w:t>180</w:t>
      </w:r>
      <w:r>
        <w:rPr>
          <w:spacing w:val="-17"/>
        </w:rPr>
        <w:t> 天后或意外伤害发生 </w:t>
      </w:r>
      <w:r>
        <w:rPr/>
        <w:t>180</w:t>
      </w:r>
      <w:r>
        <w:rPr>
          <w:spacing w:val="-14"/>
        </w:rPr>
        <w:t> 天后，每肢三大关节中的两大关节仍然完全僵硬</w:t>
      </w:r>
      <w:r>
        <w:rPr>
          <w:w w:val="85"/>
        </w:rPr>
        <w:t>， </w:t>
      </w:r>
      <w:r>
        <w:rPr>
          <w:w w:val="95"/>
        </w:rPr>
        <w:t>或不能随意识活动。</w:t>
      </w:r>
    </w:p>
    <w:p>
      <w:pPr>
        <w:pStyle w:val="BodyText"/>
        <w:spacing w:before="7"/>
        <w:rPr>
          <w:sz w:val="20"/>
        </w:rPr>
      </w:pPr>
    </w:p>
    <w:p>
      <w:pPr>
        <w:pStyle w:val="Heading2"/>
        <w:numPr>
          <w:ilvl w:val="2"/>
          <w:numId w:val="12"/>
        </w:numPr>
        <w:tabs>
          <w:tab w:pos="1204" w:val="left" w:leader="none"/>
        </w:tabs>
        <w:spacing w:line="240" w:lineRule="auto" w:before="1" w:after="0"/>
        <w:ind w:left="1203" w:right="0" w:hanging="1086"/>
        <w:jc w:val="both"/>
      </w:pPr>
      <w:bookmarkStart w:name="_TOC_250028" w:id="115"/>
      <w:bookmarkEnd w:id="115"/>
      <w:r>
        <w:rPr>
          <w:w w:val="95"/>
        </w:rPr>
        <w:t>心脏瓣膜手术</w:t>
      </w:r>
    </w:p>
    <w:p>
      <w:pPr>
        <w:pStyle w:val="BodyText"/>
        <w:spacing w:before="15"/>
        <w:rPr>
          <w:rFonts w:ascii="Microsoft JhengHei UI"/>
          <w:b/>
          <w:sz w:val="27"/>
        </w:rPr>
      </w:pPr>
    </w:p>
    <w:p>
      <w:pPr>
        <w:pStyle w:val="BodyText"/>
        <w:spacing w:before="1"/>
        <w:ind w:left="117"/>
        <w:jc w:val="both"/>
      </w:pPr>
      <w:r>
        <w:rPr>
          <w:w w:val="95"/>
        </w:rPr>
        <w:t>指为治疗心脏瓣膜疾病，实际实施了开胸进行的心脏瓣膜置换或修复的手术。</w:t>
      </w:r>
    </w:p>
    <w:p>
      <w:pPr>
        <w:pStyle w:val="BodyText"/>
        <w:rPr>
          <w:sz w:val="32"/>
        </w:rPr>
      </w:pPr>
    </w:p>
    <w:p>
      <w:pPr>
        <w:pStyle w:val="Heading2"/>
        <w:numPr>
          <w:ilvl w:val="2"/>
          <w:numId w:val="12"/>
        </w:numPr>
        <w:tabs>
          <w:tab w:pos="1204" w:val="left" w:leader="none"/>
        </w:tabs>
        <w:spacing w:line="240" w:lineRule="auto" w:before="0" w:after="0"/>
        <w:ind w:left="1203" w:right="0" w:hanging="1086"/>
        <w:jc w:val="both"/>
      </w:pPr>
      <w:bookmarkStart w:name="_TOC_250027" w:id="116"/>
      <w:bookmarkEnd w:id="116"/>
      <w:r>
        <w:rPr>
          <w:w w:val="95"/>
        </w:rPr>
        <w:t>严重阿尔茨海默病</w:t>
      </w:r>
    </w:p>
    <w:p>
      <w:pPr>
        <w:pStyle w:val="BodyText"/>
        <w:spacing w:before="13"/>
        <w:rPr>
          <w:rFonts w:ascii="Microsoft JhengHei UI"/>
          <w:b/>
          <w:sz w:val="27"/>
        </w:rPr>
      </w:pPr>
    </w:p>
    <w:p>
      <w:pPr>
        <w:pStyle w:val="BodyText"/>
        <w:ind w:left="117"/>
        <w:jc w:val="both"/>
      </w:pPr>
      <w:r>
        <w:rPr>
          <w:w w:val="95"/>
        </w:rPr>
        <w:t>指因大脑进行性、不可逆性改变导致智能严重衰退或丧失，临床表现为明显的认知能力障</w:t>
      </w:r>
    </w:p>
    <w:p>
      <w:pPr>
        <w:spacing w:after="0"/>
        <w:jc w:val="both"/>
        <w:sectPr>
          <w:pgSz w:w="11910" w:h="16840"/>
          <w:pgMar w:header="0" w:footer="1074" w:top="1460" w:bottom="1260" w:left="1680" w:right="1680"/>
        </w:sectPr>
      </w:pPr>
    </w:p>
    <w:p>
      <w:pPr>
        <w:pStyle w:val="BodyText"/>
        <w:spacing w:before="32"/>
        <w:ind w:left="117"/>
      </w:pPr>
      <w:bookmarkStart w:name="严重脑损伤" w:id="117"/>
      <w:bookmarkEnd w:id="117"/>
      <w:r>
        <w:rPr/>
      </w:r>
      <w:bookmarkStart w:name="严重帕金森病" w:id="118"/>
      <w:bookmarkEnd w:id="118"/>
      <w:r>
        <w:rPr/>
      </w:r>
      <w:bookmarkStart w:name="严重III度烧伤" w:id="119"/>
      <w:bookmarkEnd w:id="119"/>
      <w:r>
        <w:rPr/>
      </w:r>
      <w:bookmarkStart w:name="严重原发性肺动脉高压" w:id="120"/>
      <w:bookmarkEnd w:id="120"/>
      <w:r>
        <w:rPr/>
      </w:r>
      <w:r>
        <w:rPr>
          <w:w w:val="95"/>
        </w:rPr>
        <w:t>碍、行为异常和社交能力减退，其日常生活必须持续受到他人监护。须从头颅断层扫描</w:t>
      </w:r>
    </w:p>
    <w:p>
      <w:pPr>
        <w:pStyle w:val="BodyText"/>
        <w:spacing w:line="408" w:lineRule="auto" w:before="193"/>
        <w:ind w:left="117" w:right="235"/>
      </w:pPr>
      <w:r>
        <w:rPr>
          <w:w w:val="99"/>
        </w:rPr>
        <w:t>（</w:t>
      </w:r>
      <w:r>
        <w:rPr>
          <w:spacing w:val="-1"/>
          <w:w w:val="126"/>
        </w:rPr>
        <w:t>C</w:t>
      </w:r>
      <w:r>
        <w:rPr>
          <w:spacing w:val="0"/>
          <w:w w:val="122"/>
        </w:rPr>
        <w:t>T</w:t>
      </w:r>
      <w:r>
        <w:rPr>
          <w:spacing w:val="-104"/>
          <w:w w:val="99"/>
        </w:rPr>
        <w:t>）</w:t>
      </w:r>
      <w:r>
        <w:rPr>
          <w:spacing w:val="-5"/>
          <w:w w:val="99"/>
        </w:rPr>
        <w:t>、核磁共振检查</w:t>
      </w:r>
      <w:r>
        <w:rPr>
          <w:w w:val="99"/>
        </w:rPr>
        <w:t>（</w:t>
      </w:r>
      <w:r>
        <w:rPr>
          <w:spacing w:val="-2"/>
          <w:w w:val="165"/>
        </w:rPr>
        <w:t>M</w:t>
      </w:r>
      <w:r>
        <w:rPr>
          <w:spacing w:val="0"/>
          <w:w w:val="124"/>
        </w:rPr>
        <w:t>R</w:t>
      </w:r>
      <w:r>
        <w:rPr>
          <w:spacing w:val="1"/>
          <w:w w:val="70"/>
        </w:rPr>
        <w:t>I</w:t>
      </w:r>
      <w:r>
        <w:rPr>
          <w:spacing w:val="-15"/>
          <w:w w:val="99"/>
        </w:rPr>
        <w:t>）</w:t>
      </w:r>
      <w:r>
        <w:rPr>
          <w:spacing w:val="-2"/>
          <w:w w:val="99"/>
        </w:rPr>
        <w:t>或正电子发射断层扫描</w:t>
      </w:r>
      <w:r>
        <w:rPr>
          <w:spacing w:val="1"/>
          <w:w w:val="99"/>
        </w:rPr>
        <w:t>（</w:t>
      </w:r>
      <w:r>
        <w:rPr>
          <w:w w:val="111"/>
        </w:rPr>
        <w:t>P</w:t>
      </w:r>
      <w:r>
        <w:rPr>
          <w:spacing w:val="-1"/>
          <w:w w:val="130"/>
        </w:rPr>
        <w:t>E</w:t>
      </w:r>
      <w:r>
        <w:rPr>
          <w:spacing w:val="0"/>
          <w:w w:val="122"/>
        </w:rPr>
        <w:t>T</w:t>
      </w:r>
      <w:r>
        <w:rPr>
          <w:spacing w:val="-12"/>
          <w:w w:val="99"/>
        </w:rPr>
        <w:t>）</w:t>
      </w:r>
      <w:r>
        <w:rPr>
          <w:spacing w:val="-3"/>
          <w:w w:val="99"/>
        </w:rPr>
        <w:t>等影像学检查证实，且自主</w:t>
      </w:r>
      <w:r>
        <w:rPr>
          <w:spacing w:val="-3"/>
          <w:w w:val="95"/>
        </w:rPr>
        <w:t>生活能力完全丧失，无法独立完成六项基本日常生活活动中的三项或三项以上。</w:t>
      </w:r>
    </w:p>
    <w:p>
      <w:pPr>
        <w:pStyle w:val="BodyText"/>
        <w:spacing w:before="46"/>
        <w:ind w:left="117"/>
      </w:pPr>
      <w:r>
        <w:rPr>
          <w:w w:val="95"/>
        </w:rPr>
        <w:t>神经官能症和精神疾病不在保障范围内。</w:t>
      </w:r>
    </w:p>
    <w:p>
      <w:pPr>
        <w:pStyle w:val="BodyText"/>
        <w:rPr>
          <w:sz w:val="32"/>
        </w:rPr>
      </w:pPr>
    </w:p>
    <w:p>
      <w:pPr>
        <w:pStyle w:val="Heading2"/>
        <w:numPr>
          <w:ilvl w:val="2"/>
          <w:numId w:val="12"/>
        </w:numPr>
        <w:tabs>
          <w:tab w:pos="1203" w:val="left" w:leader="none"/>
          <w:tab w:pos="1204" w:val="left" w:leader="none"/>
        </w:tabs>
        <w:spacing w:line="240" w:lineRule="auto" w:before="0" w:after="0"/>
        <w:ind w:left="1203" w:right="0" w:hanging="1086"/>
        <w:jc w:val="left"/>
      </w:pPr>
      <w:bookmarkStart w:name="_TOC_250026" w:id="121"/>
      <w:bookmarkEnd w:id="121"/>
      <w:r>
        <w:rPr>
          <w:w w:val="95"/>
        </w:rPr>
        <w:t>严重脑损伤</w:t>
      </w:r>
    </w:p>
    <w:p>
      <w:pPr>
        <w:pStyle w:val="BodyText"/>
        <w:spacing w:before="13"/>
        <w:rPr>
          <w:rFonts w:ascii="Microsoft JhengHei UI"/>
          <w:b/>
          <w:sz w:val="27"/>
        </w:rPr>
      </w:pPr>
    </w:p>
    <w:p>
      <w:pPr>
        <w:pStyle w:val="BodyText"/>
        <w:spacing w:line="408" w:lineRule="auto"/>
        <w:ind w:left="117" w:right="235"/>
        <w:jc w:val="both"/>
      </w:pPr>
      <w:r>
        <w:rPr/>
        <w:t>指因头部遭受机械性外力，引起脑重要部位损伤，导致神经系统永久性的功能障碍。须由</w:t>
      </w:r>
      <w:r>
        <w:rPr>
          <w:spacing w:val="-3"/>
          <w:w w:val="99"/>
        </w:rPr>
        <w:t>头颅断层扫描</w:t>
      </w:r>
      <w:r>
        <w:rPr>
          <w:w w:val="99"/>
        </w:rPr>
        <w:t>（</w:t>
      </w:r>
      <w:r>
        <w:rPr>
          <w:spacing w:val="-1"/>
          <w:w w:val="126"/>
        </w:rPr>
        <w:t>C</w:t>
      </w:r>
      <w:r>
        <w:rPr>
          <w:spacing w:val="2"/>
          <w:w w:val="122"/>
        </w:rPr>
        <w:t>T</w:t>
      </w:r>
      <w:r>
        <w:rPr>
          <w:spacing w:val="-104"/>
          <w:w w:val="99"/>
        </w:rPr>
        <w:t>）</w:t>
      </w:r>
      <w:r>
        <w:rPr>
          <w:spacing w:val="-5"/>
          <w:w w:val="99"/>
        </w:rPr>
        <w:t>、核磁共振检查</w:t>
      </w:r>
      <w:r>
        <w:rPr>
          <w:spacing w:val="1"/>
          <w:w w:val="99"/>
        </w:rPr>
        <w:t>（</w:t>
      </w:r>
      <w:r>
        <w:rPr>
          <w:spacing w:val="-2"/>
          <w:w w:val="165"/>
        </w:rPr>
        <w:t>M</w:t>
      </w:r>
      <w:r>
        <w:rPr>
          <w:spacing w:val="0"/>
          <w:w w:val="124"/>
        </w:rPr>
        <w:t>R</w:t>
      </w:r>
      <w:r>
        <w:rPr>
          <w:w w:val="70"/>
        </w:rPr>
        <w:t>I</w:t>
      </w:r>
      <w:r>
        <w:rPr>
          <w:spacing w:val="-12"/>
          <w:w w:val="99"/>
        </w:rPr>
        <w:t>）</w:t>
      </w:r>
      <w:r>
        <w:rPr>
          <w:spacing w:val="-2"/>
          <w:w w:val="99"/>
        </w:rPr>
        <w:t>或正电子发射断层扫描</w:t>
      </w:r>
      <w:r>
        <w:rPr>
          <w:w w:val="99"/>
        </w:rPr>
        <w:t>（</w:t>
      </w:r>
      <w:r>
        <w:rPr>
          <w:w w:val="111"/>
        </w:rPr>
        <w:t>P</w:t>
      </w:r>
      <w:r>
        <w:rPr>
          <w:spacing w:val="-1"/>
          <w:w w:val="130"/>
        </w:rPr>
        <w:t>E</w:t>
      </w:r>
      <w:r>
        <w:rPr>
          <w:spacing w:val="2"/>
          <w:w w:val="122"/>
        </w:rPr>
        <w:t>T</w:t>
      </w:r>
      <w:r>
        <w:rPr>
          <w:spacing w:val="-15"/>
          <w:w w:val="99"/>
        </w:rPr>
        <w:t>）</w:t>
      </w:r>
      <w:r>
        <w:rPr>
          <w:w w:val="99"/>
        </w:rPr>
        <w:t>等影像学检查</w:t>
      </w:r>
      <w:r>
        <w:rPr>
          <w:spacing w:val="-3"/>
        </w:rPr>
        <w:t>证实。神经性系统永久性的功能障碍，指脑损伤 </w:t>
      </w:r>
      <w:r>
        <w:rPr/>
        <w:t>180</w:t>
      </w:r>
      <w:r>
        <w:rPr>
          <w:spacing w:val="-9"/>
        </w:rPr>
        <w:t> 天后，仍遗留下列一种或一种以上障</w:t>
      </w:r>
      <w:r>
        <w:rPr>
          <w:spacing w:val="-9"/>
          <w:w w:val="95"/>
        </w:rPr>
        <w:t>碍：</w:t>
      </w:r>
    </w:p>
    <w:p>
      <w:pPr>
        <w:pStyle w:val="BodyText"/>
        <w:spacing w:before="46"/>
        <w:ind w:left="117"/>
      </w:pPr>
      <w:r>
        <w:rPr>
          <w:w w:val="95"/>
        </w:rPr>
        <w:t>（1）一肢或一肢以上肢体机能完全丧失；</w:t>
      </w:r>
    </w:p>
    <w:p>
      <w:pPr>
        <w:pStyle w:val="BodyText"/>
        <w:spacing w:before="193"/>
        <w:ind w:left="117"/>
      </w:pPr>
      <w:r>
        <w:rPr>
          <w:w w:val="95"/>
        </w:rPr>
        <w:t>（2）语言能力或咀嚼吞咽能力完全丧失；</w:t>
      </w:r>
    </w:p>
    <w:p>
      <w:pPr>
        <w:pStyle w:val="BodyText"/>
        <w:spacing w:before="193"/>
        <w:ind w:left="117"/>
      </w:pPr>
      <w:r>
        <w:rPr>
          <w:w w:val="95"/>
        </w:rPr>
        <w:t>（3）自主生活能力完全丧失，无法独立完成六项基本日常生活活动中的三项或三项以上。</w:t>
      </w:r>
    </w:p>
    <w:p>
      <w:pPr>
        <w:pStyle w:val="BodyText"/>
        <w:rPr>
          <w:sz w:val="32"/>
        </w:rPr>
      </w:pPr>
    </w:p>
    <w:p>
      <w:pPr>
        <w:pStyle w:val="Heading2"/>
        <w:numPr>
          <w:ilvl w:val="2"/>
          <w:numId w:val="12"/>
        </w:numPr>
        <w:tabs>
          <w:tab w:pos="1203" w:val="left" w:leader="none"/>
          <w:tab w:pos="1204" w:val="left" w:leader="none"/>
        </w:tabs>
        <w:spacing w:line="240" w:lineRule="auto" w:before="0" w:after="0"/>
        <w:ind w:left="1203" w:right="0" w:hanging="1086"/>
        <w:jc w:val="left"/>
      </w:pPr>
      <w:bookmarkStart w:name="_TOC_250025" w:id="122"/>
      <w:bookmarkEnd w:id="122"/>
      <w:r>
        <w:rPr>
          <w:w w:val="95"/>
        </w:rPr>
        <w:t>严重帕金森病</w:t>
      </w:r>
    </w:p>
    <w:p>
      <w:pPr>
        <w:pStyle w:val="BodyText"/>
        <w:spacing w:before="15"/>
        <w:rPr>
          <w:rFonts w:ascii="Microsoft JhengHei UI"/>
          <w:b/>
          <w:sz w:val="27"/>
        </w:rPr>
      </w:pPr>
    </w:p>
    <w:p>
      <w:pPr>
        <w:pStyle w:val="BodyText"/>
        <w:spacing w:line="408" w:lineRule="auto"/>
        <w:ind w:left="117" w:right="237"/>
      </w:pPr>
      <w:r>
        <w:rPr/>
        <w:t>是一种中枢神经系统的退行性疾病，临床表现为震颤麻痹、共济失调等。须满足下列全部</w:t>
      </w:r>
      <w:r>
        <w:rPr>
          <w:w w:val="95"/>
        </w:rPr>
        <w:t>条件：</w:t>
      </w:r>
    </w:p>
    <w:p>
      <w:pPr>
        <w:pStyle w:val="BodyText"/>
        <w:spacing w:before="45"/>
        <w:ind w:left="117"/>
      </w:pPr>
      <w:r>
        <w:rPr>
          <w:w w:val="95"/>
        </w:rPr>
        <w:t>（1）药物治疗无法控制病情；</w:t>
      </w:r>
    </w:p>
    <w:p>
      <w:pPr>
        <w:pStyle w:val="BodyText"/>
        <w:spacing w:line="408" w:lineRule="auto" w:before="192"/>
        <w:ind w:left="117" w:right="139"/>
      </w:pPr>
      <w:r>
        <w:rPr>
          <w:w w:val="95"/>
        </w:rPr>
        <w:t>（2）自主生活能力完全丧失，无法独立完成六项基本日常生活活动中的三项或三项以上。   继发性帕金森综合症不在保障范围内。</w:t>
      </w:r>
    </w:p>
    <w:p>
      <w:pPr>
        <w:pStyle w:val="BodyText"/>
        <w:spacing w:before="7"/>
        <w:rPr>
          <w:sz w:val="20"/>
        </w:rPr>
      </w:pPr>
    </w:p>
    <w:p>
      <w:pPr>
        <w:pStyle w:val="Heading2"/>
        <w:numPr>
          <w:ilvl w:val="2"/>
          <w:numId w:val="12"/>
        </w:numPr>
        <w:tabs>
          <w:tab w:pos="1203" w:val="left" w:leader="none"/>
          <w:tab w:pos="1204" w:val="left" w:leader="none"/>
        </w:tabs>
        <w:spacing w:line="240" w:lineRule="auto" w:before="0" w:after="0"/>
        <w:ind w:left="1203" w:right="0" w:hanging="1086"/>
        <w:jc w:val="left"/>
      </w:pPr>
      <w:bookmarkStart w:name="_TOC_250024" w:id="123"/>
      <w:r>
        <w:rPr>
          <w:spacing w:val="3"/>
        </w:rPr>
        <w:t>严重 </w:t>
      </w:r>
      <w:r>
        <w:rPr/>
        <w:t>III</w:t>
      </w:r>
      <w:bookmarkEnd w:id="123"/>
      <w:r>
        <w:rPr>
          <w:spacing w:val="1"/>
        </w:rPr>
        <w:t> 度烧伤</w:t>
      </w:r>
    </w:p>
    <w:p>
      <w:pPr>
        <w:pStyle w:val="BodyText"/>
        <w:spacing w:before="15"/>
        <w:rPr>
          <w:rFonts w:ascii="Microsoft JhengHei UI"/>
          <w:b/>
          <w:sz w:val="27"/>
        </w:rPr>
      </w:pPr>
    </w:p>
    <w:p>
      <w:pPr>
        <w:pStyle w:val="BodyText"/>
        <w:spacing w:line="408" w:lineRule="auto"/>
        <w:ind w:left="117" w:right="227"/>
      </w:pPr>
      <w:r>
        <w:rPr>
          <w:spacing w:val="-10"/>
        </w:rPr>
        <w:t>指烧伤程度为 </w:t>
      </w:r>
      <w:r>
        <w:rPr/>
        <w:t>III</w:t>
      </w:r>
      <w:r>
        <w:rPr>
          <w:spacing w:val="-30"/>
        </w:rPr>
        <w:t> 度，且 </w:t>
      </w:r>
      <w:r>
        <w:rPr/>
        <w:t>III</w:t>
      </w:r>
      <w:r>
        <w:rPr>
          <w:spacing w:val="-13"/>
        </w:rPr>
        <w:t> 度烧伤的面积达到全身体表面积的 </w:t>
      </w:r>
      <w:r>
        <w:rPr/>
        <w:t>20</w:t>
      </w:r>
      <w:r>
        <w:rPr>
          <w:spacing w:val="-23"/>
        </w:rPr>
        <w:t>%或 </w:t>
      </w:r>
      <w:r>
        <w:rPr/>
        <w:t>20</w:t>
      </w:r>
      <w:r>
        <w:rPr>
          <w:spacing w:val="-4"/>
        </w:rPr>
        <w:t>%以上。体表面积</w:t>
      </w:r>
      <w:r>
        <w:rPr>
          <w:spacing w:val="-4"/>
          <w:w w:val="95"/>
        </w:rPr>
        <w:t>根据《中国新九分法》计算。</w:t>
      </w:r>
    </w:p>
    <w:p>
      <w:pPr>
        <w:pStyle w:val="BodyText"/>
        <w:spacing w:before="7"/>
        <w:rPr>
          <w:sz w:val="20"/>
        </w:rPr>
      </w:pPr>
    </w:p>
    <w:p>
      <w:pPr>
        <w:pStyle w:val="Heading2"/>
        <w:numPr>
          <w:ilvl w:val="2"/>
          <w:numId w:val="12"/>
        </w:numPr>
        <w:tabs>
          <w:tab w:pos="1203" w:val="left" w:leader="none"/>
          <w:tab w:pos="1204" w:val="left" w:leader="none"/>
        </w:tabs>
        <w:spacing w:line="240" w:lineRule="auto" w:before="0" w:after="0"/>
        <w:ind w:left="1203" w:right="0" w:hanging="1086"/>
        <w:jc w:val="left"/>
      </w:pPr>
      <w:bookmarkStart w:name="_TOC_250023" w:id="124"/>
      <w:bookmarkEnd w:id="124"/>
      <w:r>
        <w:rPr>
          <w:w w:val="95"/>
        </w:rPr>
        <w:t>严重原发性肺动脉高压</w:t>
      </w:r>
    </w:p>
    <w:p>
      <w:pPr>
        <w:pStyle w:val="BodyText"/>
        <w:spacing w:before="5"/>
        <w:rPr>
          <w:rFonts w:ascii="Microsoft JhengHei UI"/>
          <w:b/>
          <w:sz w:val="23"/>
        </w:rPr>
      </w:pPr>
    </w:p>
    <w:p>
      <w:pPr>
        <w:pStyle w:val="BodyText"/>
        <w:spacing w:line="273" w:lineRule="auto"/>
        <w:ind w:left="117" w:right="237"/>
        <w:jc w:val="both"/>
      </w:pPr>
      <w:r>
        <w:rPr/>
        <w:t>指不明原因的肺动脉压力持续性增高，进行性发展而导致的慢性疾病，已经造成永久不可逆性的体力活动能力受限，达到美国纽约心脏病学会心功能状态分级 IV 级，且静息状态</w:t>
      </w:r>
      <w:r>
        <w:rPr>
          <w:w w:val="105"/>
        </w:rPr>
        <w:t>下肺动脉平均压超过 30mmHg。</w:t>
      </w:r>
    </w:p>
    <w:p>
      <w:pPr>
        <w:spacing w:after="0" w:line="273" w:lineRule="auto"/>
        <w:jc w:val="both"/>
        <w:sectPr>
          <w:pgSz w:w="11910" w:h="16840"/>
          <w:pgMar w:header="0" w:footer="1074" w:top="1440" w:bottom="1260" w:left="1680" w:right="1680"/>
        </w:sectPr>
      </w:pPr>
    </w:p>
    <w:p>
      <w:pPr>
        <w:pStyle w:val="Heading2"/>
        <w:numPr>
          <w:ilvl w:val="2"/>
          <w:numId w:val="12"/>
        </w:numPr>
        <w:tabs>
          <w:tab w:pos="1203" w:val="left" w:leader="none"/>
          <w:tab w:pos="1204" w:val="left" w:leader="none"/>
        </w:tabs>
        <w:spacing w:line="347" w:lineRule="exact" w:before="0" w:after="0"/>
        <w:ind w:left="1203" w:right="0" w:hanging="1086"/>
        <w:jc w:val="left"/>
      </w:pPr>
      <w:bookmarkStart w:name="_TOC_250022" w:id="125"/>
      <w:bookmarkStart w:name="严重运动神经元病" w:id="126"/>
      <w:r>
        <w:rPr>
          <w:b w:val="0"/>
        </w:rPr>
      </w:r>
      <w:bookmarkStart w:name="语言能力丧失" w:id="127"/>
      <w:bookmarkEnd w:id="127"/>
      <w:r>
        <w:rPr>
          <w:b w:val="0"/>
        </w:rPr>
      </w:r>
      <w:bookmarkStart w:name="重型再生障碍性贫血" w:id="128"/>
      <w:bookmarkEnd w:id="128"/>
      <w:r>
        <w:rPr>
          <w:b w:val="0"/>
        </w:rPr>
      </w:r>
      <w:bookmarkStart w:name="主动脉手术" w:id="129"/>
      <w:bookmarkEnd w:id="129"/>
      <w:r>
        <w:rPr>
          <w:b w:val="0"/>
        </w:rPr>
      </w:r>
      <w:bookmarkStart w:name="系统性红斑狼疮－III型或以上狼疮性肾炎" w:id="130"/>
      <w:bookmarkEnd w:id="130"/>
      <w:r>
        <w:rPr>
          <w:b w:val="0"/>
        </w:rPr>
      </w:r>
      <w:bookmarkStart w:name="系统性红斑狼疮－III型或以上狼疮性肾炎" w:id="131"/>
      <w:bookmarkEnd w:id="125"/>
      <w:r>
        <w:rPr>
          <w:w w:val="95"/>
        </w:rPr>
        <w:t>严重运动神经元病</w:t>
      </w:r>
    </w:p>
    <w:p>
      <w:pPr>
        <w:pStyle w:val="BodyText"/>
        <w:spacing w:before="13"/>
        <w:rPr>
          <w:rFonts w:ascii="Microsoft JhengHei UI"/>
          <w:b/>
          <w:sz w:val="27"/>
        </w:rPr>
      </w:pPr>
    </w:p>
    <w:p>
      <w:pPr>
        <w:pStyle w:val="BodyText"/>
        <w:spacing w:line="408" w:lineRule="auto"/>
        <w:ind w:left="117" w:right="237"/>
        <w:jc w:val="both"/>
      </w:pPr>
      <w:r>
        <w:rPr/>
        <w:t>是一组中枢神经系统神经元的进行性变性疾病，包括进行性脊肌萎缩症、进行性延髓麻痹症、原发性侧索硬化症、肌萎缩性侧索硬化症。须满足自主生活能力完全丧失，无法独立</w:t>
      </w:r>
      <w:r>
        <w:rPr>
          <w:w w:val="95"/>
        </w:rPr>
        <w:t>完成六项基本日常生活活动中的三项或三项以上的条件。</w:t>
      </w:r>
    </w:p>
    <w:p>
      <w:pPr>
        <w:pStyle w:val="BodyText"/>
        <w:spacing w:before="7"/>
        <w:rPr>
          <w:sz w:val="20"/>
        </w:rPr>
      </w:pPr>
    </w:p>
    <w:p>
      <w:pPr>
        <w:pStyle w:val="Heading2"/>
        <w:numPr>
          <w:ilvl w:val="2"/>
          <w:numId w:val="12"/>
        </w:numPr>
        <w:tabs>
          <w:tab w:pos="1203" w:val="left" w:leader="none"/>
          <w:tab w:pos="1204" w:val="left" w:leader="none"/>
        </w:tabs>
        <w:spacing w:line="240" w:lineRule="auto" w:before="0" w:after="0"/>
        <w:ind w:left="1203" w:right="0" w:hanging="1086"/>
        <w:jc w:val="left"/>
      </w:pPr>
      <w:bookmarkStart w:name="_TOC_250021" w:id="132"/>
      <w:bookmarkEnd w:id="132"/>
      <w:r>
        <w:rPr>
          <w:w w:val="95"/>
        </w:rPr>
        <w:t>语言能力丧失</w:t>
      </w:r>
    </w:p>
    <w:p>
      <w:pPr>
        <w:pStyle w:val="BodyText"/>
        <w:spacing w:before="15"/>
        <w:rPr>
          <w:rFonts w:ascii="Microsoft JhengHei UI"/>
          <w:b/>
          <w:sz w:val="27"/>
        </w:rPr>
      </w:pPr>
    </w:p>
    <w:p>
      <w:pPr>
        <w:pStyle w:val="BodyText"/>
        <w:spacing w:line="408" w:lineRule="auto"/>
        <w:ind w:left="117" w:right="237"/>
      </w:pPr>
      <w:r>
        <w:rPr>
          <w:spacing w:val="-6"/>
        </w:rPr>
        <w:t>指因疾病或意外伤害导致完全丧失语言能力，经过积极治疗至少 </w:t>
      </w:r>
      <w:r>
        <w:rPr/>
        <w:t>12</w:t>
      </w:r>
      <w:r>
        <w:rPr>
          <w:spacing w:val="-37"/>
        </w:rPr>
        <w:t> 个月</w:t>
      </w:r>
      <w:r>
        <w:rPr/>
        <w:t>（声带完全切除不</w:t>
      </w:r>
      <w:r>
        <w:rPr>
          <w:spacing w:val="-1"/>
          <w:w w:val="99"/>
        </w:rPr>
        <w:t>受此时间限制</w:t>
      </w:r>
      <w:r>
        <w:rPr>
          <w:spacing w:val="-104"/>
          <w:w w:val="99"/>
        </w:rPr>
        <w:t>）</w:t>
      </w:r>
      <w:r>
        <w:rPr>
          <w:w w:val="99"/>
        </w:rPr>
        <w:t>，仍无法通过现有医疗手段恢复。</w:t>
      </w:r>
    </w:p>
    <w:p>
      <w:pPr>
        <w:pStyle w:val="BodyText"/>
        <w:spacing w:before="46"/>
        <w:ind w:left="117"/>
      </w:pPr>
      <w:r>
        <w:rPr>
          <w:w w:val="95"/>
        </w:rPr>
        <w:t>精神心理因素所致的语言能力丧失不在保障范围内。</w:t>
      </w:r>
    </w:p>
    <w:p>
      <w:pPr>
        <w:pStyle w:val="BodyText"/>
        <w:rPr>
          <w:sz w:val="32"/>
        </w:rPr>
      </w:pPr>
    </w:p>
    <w:p>
      <w:pPr>
        <w:pStyle w:val="Heading2"/>
        <w:numPr>
          <w:ilvl w:val="2"/>
          <w:numId w:val="12"/>
        </w:numPr>
        <w:tabs>
          <w:tab w:pos="1203" w:val="left" w:leader="none"/>
          <w:tab w:pos="1204" w:val="left" w:leader="none"/>
        </w:tabs>
        <w:spacing w:line="240" w:lineRule="auto" w:before="0" w:after="0"/>
        <w:ind w:left="1203" w:right="0" w:hanging="1086"/>
        <w:jc w:val="left"/>
      </w:pPr>
      <w:bookmarkStart w:name="_TOC_250020" w:id="133"/>
      <w:bookmarkEnd w:id="133"/>
      <w:r>
        <w:rPr>
          <w:w w:val="95"/>
        </w:rPr>
        <w:t>重型再生障碍性贫血</w:t>
      </w:r>
    </w:p>
    <w:p>
      <w:pPr>
        <w:pStyle w:val="BodyText"/>
        <w:spacing w:before="13"/>
        <w:rPr>
          <w:rFonts w:ascii="Microsoft JhengHei UI"/>
          <w:b/>
          <w:sz w:val="27"/>
        </w:rPr>
      </w:pPr>
    </w:p>
    <w:p>
      <w:pPr>
        <w:pStyle w:val="BodyText"/>
        <w:spacing w:line="408" w:lineRule="auto"/>
        <w:ind w:left="117" w:right="237"/>
      </w:pPr>
      <w:r>
        <w:rPr/>
        <w:t>指因骨髓造血功能慢性持续性衰竭导致的贫血、中性粒细胞减少及血小板减少。须满足下</w:t>
      </w:r>
      <w:r>
        <w:rPr>
          <w:w w:val="95"/>
        </w:rPr>
        <w:t>列全部条件：</w:t>
      </w:r>
    </w:p>
    <w:p>
      <w:pPr>
        <w:pStyle w:val="BodyText"/>
        <w:spacing w:before="46"/>
        <w:ind w:left="117"/>
      </w:pPr>
      <w:r>
        <w:rPr>
          <w:w w:val="95"/>
        </w:rPr>
        <w:t>（1）骨髓穿刺检查或骨髓活检结果支持诊断；</w:t>
      </w:r>
    </w:p>
    <w:p>
      <w:pPr>
        <w:pStyle w:val="BodyText"/>
        <w:spacing w:before="193"/>
        <w:ind w:left="117"/>
      </w:pPr>
      <w:r>
        <w:rPr>
          <w:w w:val="95"/>
        </w:rPr>
        <w:t>（2）外周血象须具备以下三项条件：</w:t>
      </w:r>
    </w:p>
    <w:p>
      <w:pPr>
        <w:pStyle w:val="BodyText"/>
        <w:spacing w:before="8"/>
        <w:rPr>
          <w:sz w:val="22"/>
        </w:rPr>
      </w:pPr>
    </w:p>
    <w:p>
      <w:pPr>
        <w:spacing w:line="422" w:lineRule="auto" w:before="0"/>
        <w:ind w:left="957" w:right="4317" w:firstLine="0"/>
        <w:jc w:val="left"/>
        <w:rPr>
          <w:sz w:val="21"/>
        </w:rPr>
      </w:pPr>
      <w:r>
        <w:rPr>
          <w:sz w:val="21"/>
        </w:rPr>
        <w:t>中性粒细胞绝对值</w:t>
      </w:r>
      <w:r>
        <w:rPr>
          <w:rFonts w:ascii="Trebuchet MS" w:hAnsi="Trebuchet MS" w:eastAsia="Trebuchet MS"/>
          <w:sz w:val="24"/>
        </w:rPr>
        <w:t>≤ </w:t>
      </w:r>
      <w:r>
        <w:rPr>
          <w:rFonts w:ascii="Times New Roman" w:hAnsi="Times New Roman" w:eastAsia="Times New Roman"/>
          <w:sz w:val="24"/>
        </w:rPr>
        <w:t>0.5 </w:t>
      </w:r>
      <w:r>
        <w:rPr>
          <w:rFonts w:ascii="Trebuchet MS" w:hAnsi="Trebuchet MS" w:eastAsia="Trebuchet MS"/>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r>
        <w:rPr>
          <w:sz w:val="21"/>
        </w:rPr>
        <w:t>； 网织红细胞</w:t>
      </w:r>
      <w:r>
        <w:rPr>
          <w:rFonts w:ascii="Trebuchet MS" w:hAnsi="Trebuchet MS" w:eastAsia="Trebuchet MS"/>
          <w:sz w:val="24"/>
        </w:rPr>
        <w:t>&lt; </w:t>
      </w:r>
      <w:r>
        <w:rPr>
          <w:rFonts w:ascii="Times New Roman" w:hAnsi="Times New Roman" w:eastAsia="Times New Roman"/>
          <w:sz w:val="24"/>
        </w:rPr>
        <w:t>1% </w:t>
      </w:r>
      <w:r>
        <w:rPr>
          <w:sz w:val="21"/>
        </w:rPr>
        <w:t>；</w:t>
      </w:r>
    </w:p>
    <w:p>
      <w:pPr>
        <w:spacing w:before="55"/>
        <w:ind w:left="957" w:right="0" w:firstLine="0"/>
        <w:jc w:val="left"/>
        <w:rPr>
          <w:rFonts w:ascii="Times New Roman" w:hAnsi="Times New Roman" w:eastAsia="Times New Roman"/>
          <w:i/>
          <w:sz w:val="24"/>
        </w:rPr>
      </w:pPr>
      <w:r>
        <w:rPr>
          <w:sz w:val="21"/>
        </w:rPr>
        <w:t>血小板绝对值</w:t>
      </w:r>
      <w:r>
        <w:rPr>
          <w:rFonts w:ascii="Trebuchet MS" w:hAnsi="Trebuchet MS" w:eastAsia="Trebuchet MS"/>
          <w:sz w:val="24"/>
        </w:rPr>
        <w:t>≤ </w:t>
      </w:r>
      <w:r>
        <w:rPr>
          <w:rFonts w:ascii="Times New Roman" w:hAnsi="Times New Roman" w:eastAsia="Times New Roman"/>
          <w:sz w:val="24"/>
        </w:rPr>
        <w:t>20 </w:t>
      </w:r>
      <w:r>
        <w:rPr>
          <w:rFonts w:ascii="Trebuchet MS" w:hAnsi="Trebuchet MS" w:eastAsia="Trebuchet MS"/>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p>
    <w:p>
      <w:pPr>
        <w:pStyle w:val="BodyText"/>
        <w:rPr>
          <w:rFonts w:ascii="Times New Roman"/>
          <w:i/>
          <w:sz w:val="20"/>
        </w:rPr>
      </w:pPr>
    </w:p>
    <w:p>
      <w:pPr>
        <w:pStyle w:val="BodyText"/>
        <w:spacing w:before="7"/>
        <w:rPr>
          <w:rFonts w:ascii="Times New Roman"/>
          <w:i/>
          <w:sz w:val="19"/>
        </w:rPr>
      </w:pPr>
    </w:p>
    <w:p>
      <w:pPr>
        <w:pStyle w:val="Heading2"/>
        <w:numPr>
          <w:ilvl w:val="2"/>
          <w:numId w:val="12"/>
        </w:numPr>
        <w:tabs>
          <w:tab w:pos="1203" w:val="left" w:leader="none"/>
          <w:tab w:pos="1204" w:val="left" w:leader="none"/>
        </w:tabs>
        <w:spacing w:line="360" w:lineRule="exact" w:before="0" w:after="0"/>
        <w:ind w:left="1203" w:right="0" w:hanging="1086"/>
        <w:jc w:val="left"/>
      </w:pPr>
      <w:bookmarkStart w:name="_TOC_250019" w:id="134"/>
      <w:bookmarkEnd w:id="134"/>
      <w:r>
        <w:rPr>
          <w:w w:val="95"/>
        </w:rPr>
        <w:t>主动脉手术</w:t>
      </w:r>
    </w:p>
    <w:p>
      <w:pPr>
        <w:pStyle w:val="BodyText"/>
        <w:spacing w:before="15"/>
        <w:rPr>
          <w:rFonts w:ascii="Microsoft JhengHei UI"/>
          <w:b/>
          <w:sz w:val="27"/>
        </w:rPr>
      </w:pPr>
    </w:p>
    <w:p>
      <w:pPr>
        <w:pStyle w:val="BodyText"/>
        <w:spacing w:line="408" w:lineRule="auto"/>
        <w:ind w:left="117" w:right="237"/>
      </w:pPr>
      <w:r>
        <w:rPr/>
        <w:t>指为治疗主动脉疾病，实际实施了开胸或开腹进行的切除、置换、修补病损主动脉血管的</w:t>
      </w:r>
      <w:r>
        <w:rPr>
          <w:w w:val="95"/>
        </w:rPr>
        <w:t>手术。主动脉指胸主动脉和腹主动脉，不包括胸主动脉和腹主动脉的分支血管。</w:t>
      </w:r>
    </w:p>
    <w:p>
      <w:pPr>
        <w:pStyle w:val="BodyText"/>
        <w:spacing w:before="45"/>
        <w:ind w:left="117"/>
      </w:pPr>
      <w:r>
        <w:rPr>
          <w:w w:val="95"/>
        </w:rPr>
        <w:t>动脉内血管成形术不在保障范围内。</w:t>
      </w:r>
    </w:p>
    <w:p>
      <w:pPr>
        <w:pStyle w:val="BodyText"/>
        <w:spacing w:before="10"/>
        <w:rPr>
          <w:sz w:val="31"/>
        </w:rPr>
      </w:pPr>
    </w:p>
    <w:p>
      <w:pPr>
        <w:pStyle w:val="Heading2"/>
        <w:numPr>
          <w:ilvl w:val="2"/>
          <w:numId w:val="12"/>
        </w:numPr>
        <w:tabs>
          <w:tab w:pos="1203" w:val="left" w:leader="none"/>
          <w:tab w:pos="1204" w:val="left" w:leader="none"/>
        </w:tabs>
        <w:spacing w:line="240" w:lineRule="auto" w:before="0" w:after="0"/>
        <w:ind w:left="1203" w:right="0" w:hanging="1086"/>
        <w:jc w:val="left"/>
      </w:pPr>
      <w:bookmarkStart w:name="_TOC_250018" w:id="135"/>
      <w:r>
        <w:rPr>
          <w:spacing w:val="0"/>
        </w:rPr>
        <w:t>系统性红斑狼疮  －  </w:t>
      </w:r>
      <w:bookmarkEnd w:id="135"/>
      <w:r>
        <w:rPr/>
        <w:t>III 型或以上狼疮性肾炎</w:t>
      </w:r>
    </w:p>
    <w:p>
      <w:pPr>
        <w:pStyle w:val="BodyText"/>
        <w:spacing w:before="15"/>
        <w:rPr>
          <w:rFonts w:ascii="Microsoft JhengHei UI"/>
          <w:b/>
          <w:sz w:val="27"/>
        </w:rPr>
      </w:pPr>
    </w:p>
    <w:p>
      <w:pPr>
        <w:pStyle w:val="BodyText"/>
        <w:spacing w:line="408" w:lineRule="auto"/>
        <w:ind w:left="117" w:right="237"/>
      </w:pPr>
      <w:r>
        <w:rPr/>
        <w:t>系统性红斑狼疮是由多种因素引起，累及多系统的自身免疫性疾病。其特点是生成自身抗</w:t>
      </w:r>
      <w:r>
        <w:rPr>
          <w:w w:val="95"/>
        </w:rPr>
        <w:t>体对抗多种自身抗原。多见于育龄妇女。</w:t>
      </w:r>
    </w:p>
    <w:p>
      <w:pPr>
        <w:spacing w:after="0" w:line="408" w:lineRule="auto"/>
        <w:sectPr>
          <w:pgSz w:w="11910" w:h="16840"/>
          <w:pgMar w:header="0" w:footer="1074" w:top="1460" w:bottom="1260" w:left="1680" w:right="1680"/>
        </w:sectPr>
      </w:pPr>
    </w:p>
    <w:p>
      <w:pPr>
        <w:pStyle w:val="BodyText"/>
        <w:spacing w:line="408" w:lineRule="auto" w:before="32"/>
        <w:ind w:left="117" w:right="235"/>
        <w:jc w:val="both"/>
      </w:pPr>
      <w:bookmarkStart w:name="经输血导致的人类免疫缺陷病毒（HIV）感染" w:id="136"/>
      <w:bookmarkEnd w:id="136"/>
      <w:r>
        <w:rPr/>
      </w:r>
      <w:bookmarkStart w:name="严重多发性硬化" w:id="137"/>
      <w:bookmarkEnd w:id="137"/>
      <w:r>
        <w:rPr/>
      </w:r>
      <w:r>
        <w:rPr/>
        <w:t>本保单所指的系统性红斑狼疮仅限于累及肾脏（</w:t>
      </w:r>
      <w:r>
        <w:rPr>
          <w:spacing w:val="-1"/>
        </w:rPr>
        <w:t>经肾脏活检确认的，符合 </w:t>
      </w:r>
      <w:r>
        <w:rPr>
          <w:w w:val="140"/>
        </w:rPr>
        <w:t>WHO</w:t>
      </w:r>
      <w:r>
        <w:rPr>
          <w:spacing w:val="-70"/>
          <w:w w:val="140"/>
        </w:rPr>
        <w:t> </w:t>
      </w:r>
      <w:r>
        <w:rPr/>
        <w:t>诊断标准</w:t>
      </w:r>
      <w:r>
        <w:rPr>
          <w:spacing w:val="-30"/>
        </w:rPr>
        <w:t>定义 </w:t>
      </w:r>
      <w:r>
        <w:rPr/>
        <w:t>III</w:t>
      </w:r>
      <w:r>
        <w:rPr>
          <w:spacing w:val="-44"/>
        </w:rPr>
        <w:t> 型至 </w:t>
      </w:r>
      <w:r>
        <w:rPr>
          <w:w w:val="110"/>
        </w:rPr>
        <w:t>V</w:t>
      </w:r>
      <w:r>
        <w:rPr>
          <w:spacing w:val="-98"/>
          <w:w w:val="110"/>
        </w:rPr>
        <w:t> </w:t>
      </w:r>
      <w:r>
        <w:rPr/>
        <w:t>型狼疮性肾炎</w:t>
      </w:r>
      <w:r>
        <w:rPr>
          <w:spacing w:val="-17"/>
        </w:rPr>
        <w:t>）</w:t>
      </w:r>
      <w:r>
        <w:rPr>
          <w:spacing w:val="-3"/>
        </w:rPr>
        <w:t>的系统性红斑狼疮。其他类型的红斑性狼疮，如盘状狼疮</w:t>
      </w:r>
      <w:r>
        <w:rPr>
          <w:w w:val="85"/>
        </w:rPr>
        <w:t>、</w:t>
      </w:r>
      <w:r>
        <w:rPr>
          <w:w w:val="95"/>
        </w:rPr>
        <w:t>仅累及血液及关节的狼疮不在本保单保障范围內。</w:t>
      </w:r>
    </w:p>
    <w:p>
      <w:pPr>
        <w:pStyle w:val="BodyText"/>
        <w:spacing w:line="357" w:lineRule="auto"/>
        <w:ind w:left="117" w:right="3199"/>
      </w:pPr>
      <w:r>
        <w:rPr>
          <w:spacing w:val="-2"/>
          <w:w w:val="99"/>
        </w:rPr>
        <w:t>本病必须由免疫和风湿科</w:t>
      </w:r>
      <w:r>
        <w:rPr>
          <w:rFonts w:ascii="Microsoft JhengHei UI" w:eastAsia="Microsoft JhengHei UI" w:hint="eastAsia"/>
          <w:b/>
          <w:spacing w:val="-48"/>
          <w:w w:val="99"/>
        </w:rPr>
        <w:t>专</w:t>
      </w:r>
      <w:r>
        <w:rPr>
          <w:w w:val="99"/>
          <w:position w:val="1"/>
        </w:rPr>
        <w:t>科</w:t>
      </w:r>
      <w:r>
        <w:rPr>
          <w:spacing w:val="-476"/>
          <w:w w:val="99"/>
          <w:position w:val="1"/>
        </w:rPr>
        <w:t>医</w:t>
      </w:r>
      <w:r>
        <w:rPr>
          <w:w w:val="99"/>
        </w:rPr>
        <w:t>科</w:t>
      </w:r>
      <w:r>
        <w:rPr>
          <w:spacing w:val="-471"/>
          <w:w w:val="99"/>
        </w:rPr>
        <w:t>医</w:t>
      </w:r>
      <w:r>
        <w:rPr>
          <w:w w:val="99"/>
        </w:rPr>
        <w:t>科</w:t>
      </w:r>
      <w:r>
        <w:rPr>
          <w:spacing w:val="-474"/>
          <w:w w:val="99"/>
        </w:rPr>
        <w:t>医</w:t>
      </w:r>
      <w:r>
        <w:rPr>
          <w:spacing w:val="-31"/>
          <w:w w:val="99"/>
        </w:rPr>
        <w:t>科医</w:t>
      </w:r>
      <w:r>
        <w:rPr>
          <w:spacing w:val="-267"/>
          <w:w w:val="99"/>
          <w:position w:val="1"/>
        </w:rPr>
        <w:t>生</w:t>
      </w:r>
      <w:r>
        <w:rPr>
          <w:spacing w:val="-264"/>
          <w:w w:val="99"/>
        </w:rPr>
        <w:t>生生</w:t>
      </w:r>
      <w:r>
        <w:rPr>
          <w:spacing w:val="-46"/>
          <w:w w:val="99"/>
        </w:rPr>
        <w:t>生</w:t>
      </w:r>
      <w:r>
        <w:rPr>
          <w:spacing w:val="1"/>
          <w:w w:val="99"/>
        </w:rPr>
        <w:t>（</w:t>
      </w:r>
      <w:r>
        <w:rPr>
          <w:w w:val="99"/>
        </w:rPr>
        <w:t>见释义</w:t>
      </w:r>
      <w:r>
        <w:rPr>
          <w:spacing w:val="-55"/>
        </w:rPr>
        <w:t> </w:t>
      </w:r>
      <w:r>
        <w:rPr>
          <w:w w:val="93"/>
        </w:rPr>
        <w:t>11</w:t>
      </w:r>
      <w:r>
        <w:rPr>
          <w:spacing w:val="-1"/>
          <w:w w:val="43"/>
        </w:rPr>
        <w:t>.</w:t>
      </w:r>
      <w:r>
        <w:rPr>
          <w:spacing w:val="1"/>
          <w:w w:val="93"/>
        </w:rPr>
        <w:t>8</w:t>
      </w:r>
      <w:r>
        <w:rPr>
          <w:spacing w:val="1"/>
          <w:w w:val="99"/>
        </w:rPr>
        <w:t>）</w:t>
      </w:r>
      <w:r>
        <w:rPr>
          <w:spacing w:val="-20"/>
          <w:w w:val="99"/>
        </w:rPr>
        <w:t>确</w:t>
      </w:r>
      <w:r>
        <w:rPr>
          <w:spacing w:val="-3"/>
        </w:rPr>
        <w:t>诊。世界卫生组织</w:t>
      </w:r>
      <w:r>
        <w:rPr>
          <w:spacing w:val="-3"/>
          <w:w w:val="120"/>
        </w:rPr>
        <w:t>（WHO）</w:t>
      </w:r>
      <w:r>
        <w:rPr>
          <w:spacing w:val="-3"/>
        </w:rPr>
        <w:t>狼疮性肾炎分型：</w:t>
      </w:r>
    </w:p>
    <w:p>
      <w:pPr>
        <w:pStyle w:val="ListParagraph"/>
        <w:numPr>
          <w:ilvl w:val="0"/>
          <w:numId w:val="13"/>
        </w:numPr>
        <w:tabs>
          <w:tab w:pos="262" w:val="left" w:leader="none"/>
          <w:tab w:pos="3235" w:val="left" w:leader="none"/>
        </w:tabs>
        <w:spacing w:line="240" w:lineRule="auto" w:before="94" w:after="0"/>
        <w:ind w:left="261" w:right="0" w:hanging="127"/>
        <w:jc w:val="both"/>
        <w:rPr>
          <w:sz w:val="21"/>
        </w:rPr>
      </w:pPr>
      <w:r>
        <w:rPr>
          <w:sz w:val="21"/>
        </w:rPr>
        <w:t>型（微小病变型）</w:t>
        <w:tab/>
      </w:r>
      <w:r>
        <w:rPr>
          <w:w w:val="95"/>
          <w:sz w:val="21"/>
        </w:rPr>
        <w:t>镜下阴性，尿液正常</w:t>
      </w:r>
    </w:p>
    <w:p>
      <w:pPr>
        <w:pStyle w:val="ListParagraph"/>
        <w:numPr>
          <w:ilvl w:val="0"/>
          <w:numId w:val="13"/>
        </w:numPr>
        <w:tabs>
          <w:tab w:pos="336" w:val="left" w:leader="none"/>
          <w:tab w:pos="3235" w:val="left" w:leader="none"/>
        </w:tabs>
        <w:spacing w:line="240" w:lineRule="auto" w:before="193" w:after="0"/>
        <w:ind w:left="336" w:right="0" w:hanging="202"/>
        <w:jc w:val="both"/>
        <w:rPr>
          <w:sz w:val="21"/>
        </w:rPr>
      </w:pPr>
      <w:r>
        <w:rPr>
          <w:sz w:val="21"/>
        </w:rPr>
        <w:t>型（系膜病变型）</w:t>
        <w:tab/>
      </w:r>
      <w:r>
        <w:rPr>
          <w:w w:val="95"/>
          <w:sz w:val="21"/>
        </w:rPr>
        <w:t>中度蛋白尿，偶有尿沉渣改变</w:t>
      </w:r>
    </w:p>
    <w:p>
      <w:pPr>
        <w:pStyle w:val="ListParagraph"/>
        <w:numPr>
          <w:ilvl w:val="0"/>
          <w:numId w:val="13"/>
        </w:numPr>
        <w:tabs>
          <w:tab w:pos="411" w:val="left" w:leader="none"/>
        </w:tabs>
        <w:spacing w:line="240" w:lineRule="auto" w:before="193" w:after="0"/>
        <w:ind w:left="410" w:right="0" w:hanging="276"/>
        <w:jc w:val="both"/>
        <w:rPr>
          <w:sz w:val="21"/>
        </w:rPr>
      </w:pPr>
      <w:r>
        <w:rPr>
          <w:sz w:val="21"/>
        </w:rPr>
        <w:t>型（局灶及节段增生型）</w:t>
      </w:r>
      <w:r>
        <w:rPr>
          <w:spacing w:val="2"/>
          <w:sz w:val="21"/>
        </w:rPr>
        <w:t>    蛋白尿，尿沉渣改变</w:t>
      </w:r>
    </w:p>
    <w:p>
      <w:pPr>
        <w:pStyle w:val="ListParagraph"/>
        <w:numPr>
          <w:ilvl w:val="0"/>
          <w:numId w:val="13"/>
        </w:numPr>
        <w:tabs>
          <w:tab w:pos="404" w:val="left" w:leader="none"/>
          <w:tab w:pos="3235" w:val="left" w:leader="none"/>
        </w:tabs>
        <w:spacing w:line="240" w:lineRule="auto" w:before="193" w:after="0"/>
        <w:ind w:left="403" w:right="0" w:hanging="269"/>
        <w:jc w:val="both"/>
        <w:rPr>
          <w:sz w:val="21"/>
        </w:rPr>
      </w:pPr>
      <w:r>
        <w:rPr>
          <w:sz w:val="21"/>
        </w:rPr>
        <w:t>型（弥漫增生型）</w:t>
        <w:tab/>
      </w:r>
      <w:r>
        <w:rPr>
          <w:w w:val="95"/>
          <w:sz w:val="21"/>
        </w:rPr>
        <w:t>急性肾炎伴有尿沉渣改变及／或肾病综合征</w:t>
      </w:r>
    </w:p>
    <w:p>
      <w:pPr>
        <w:pStyle w:val="ListParagraph"/>
        <w:numPr>
          <w:ilvl w:val="0"/>
          <w:numId w:val="13"/>
        </w:numPr>
        <w:tabs>
          <w:tab w:pos="329" w:val="left" w:leader="none"/>
          <w:tab w:pos="3235" w:val="left" w:leader="none"/>
        </w:tabs>
        <w:spacing w:line="240" w:lineRule="auto" w:before="193" w:after="0"/>
        <w:ind w:left="328" w:right="0" w:hanging="194"/>
        <w:jc w:val="both"/>
        <w:rPr>
          <w:sz w:val="21"/>
        </w:rPr>
      </w:pPr>
      <w:r>
        <w:rPr>
          <w:sz w:val="21"/>
        </w:rPr>
        <w:t>型（膜型）</w:t>
        <w:tab/>
      </w:r>
      <w:r>
        <w:rPr>
          <w:w w:val="95"/>
          <w:sz w:val="21"/>
        </w:rPr>
        <w:t>肾病综合征或重度蛋白尿</w:t>
      </w:r>
    </w:p>
    <w:p>
      <w:pPr>
        <w:pStyle w:val="BodyText"/>
        <w:spacing w:before="12"/>
        <w:rPr>
          <w:sz w:val="31"/>
        </w:rPr>
      </w:pPr>
    </w:p>
    <w:p>
      <w:pPr>
        <w:pStyle w:val="Heading2"/>
        <w:numPr>
          <w:ilvl w:val="2"/>
          <w:numId w:val="12"/>
        </w:numPr>
        <w:tabs>
          <w:tab w:pos="1204" w:val="left" w:leader="none"/>
        </w:tabs>
        <w:spacing w:line="240" w:lineRule="auto" w:before="1" w:after="0"/>
        <w:ind w:left="1203" w:right="0" w:hanging="1086"/>
        <w:jc w:val="both"/>
      </w:pPr>
      <w:bookmarkStart w:name="_TOC_250017" w:id="138"/>
      <w:bookmarkEnd w:id="138"/>
      <w:r>
        <w:rPr/>
        <w:t>经输血导致的人类免疫缺陷病毒（HIV）感染</w:t>
      </w:r>
    </w:p>
    <w:p>
      <w:pPr>
        <w:pStyle w:val="BodyText"/>
        <w:spacing w:before="13"/>
        <w:rPr>
          <w:rFonts w:ascii="Microsoft JhengHei UI"/>
          <w:b/>
          <w:sz w:val="27"/>
        </w:rPr>
      </w:pPr>
    </w:p>
    <w:p>
      <w:pPr>
        <w:pStyle w:val="BodyText"/>
        <w:ind w:left="117"/>
        <w:jc w:val="both"/>
      </w:pPr>
      <w:r>
        <w:rPr>
          <w:w w:val="99"/>
        </w:rPr>
        <w:t>被保险人感染上人类免疫缺陷病毒</w:t>
      </w:r>
      <w:r>
        <w:rPr>
          <w:spacing w:val="-1"/>
          <w:w w:val="99"/>
        </w:rPr>
        <w:t>（</w:t>
      </w:r>
      <w:r>
        <w:rPr>
          <w:spacing w:val="-1"/>
          <w:w w:val="151"/>
        </w:rPr>
        <w:t>H</w:t>
      </w:r>
      <w:r>
        <w:rPr>
          <w:w w:val="70"/>
        </w:rPr>
        <w:t>I</w:t>
      </w:r>
      <w:r>
        <w:rPr>
          <w:w w:val="134"/>
        </w:rPr>
        <w:t>V</w:t>
      </w:r>
      <w:r>
        <w:rPr>
          <w:spacing w:val="1"/>
          <w:w w:val="99"/>
        </w:rPr>
        <w:t>）</w:t>
      </w:r>
      <w:r>
        <w:rPr>
          <w:w w:val="99"/>
        </w:rPr>
        <w:t>并且符合下列所有条件：</w:t>
      </w:r>
    </w:p>
    <w:p>
      <w:pPr>
        <w:pStyle w:val="BodyText"/>
        <w:spacing w:before="192"/>
        <w:ind w:left="117"/>
        <w:jc w:val="both"/>
      </w:pPr>
      <w:r>
        <w:rPr>
          <w:w w:val="99"/>
        </w:rPr>
        <w:t>（</w:t>
      </w:r>
      <w:r>
        <w:rPr>
          <w:w w:val="93"/>
        </w:rPr>
        <w:t>1</w:t>
      </w:r>
      <w:r>
        <w:rPr>
          <w:spacing w:val="1"/>
          <w:w w:val="99"/>
        </w:rPr>
        <w:t>）</w:t>
      </w:r>
      <w:r>
        <w:rPr>
          <w:w w:val="99"/>
        </w:rPr>
        <w:t>在保障起始日或复效日之后，被保险人因输血而感染</w:t>
      </w:r>
      <w:r>
        <w:rPr>
          <w:spacing w:val="-53"/>
        </w:rPr>
        <w:t> </w:t>
      </w:r>
      <w:r>
        <w:rPr>
          <w:spacing w:val="-1"/>
          <w:w w:val="151"/>
        </w:rPr>
        <w:t>H</w:t>
      </w:r>
      <w:r>
        <w:rPr>
          <w:w w:val="70"/>
        </w:rPr>
        <w:t>I</w:t>
      </w:r>
      <w:r>
        <w:rPr>
          <w:spacing w:val="1"/>
          <w:w w:val="134"/>
        </w:rPr>
        <w:t>V</w:t>
      </w:r>
      <w:r>
        <w:rPr>
          <w:w w:val="99"/>
        </w:rPr>
        <w:t>；</w:t>
      </w:r>
    </w:p>
    <w:p>
      <w:pPr>
        <w:pStyle w:val="BodyText"/>
        <w:spacing w:line="408" w:lineRule="auto" w:before="192"/>
        <w:ind w:left="117" w:right="235"/>
      </w:pPr>
      <w:r>
        <w:rPr>
          <w:spacing w:val="-16"/>
          <w:w w:val="95"/>
        </w:rPr>
        <w:t>（2）</w:t>
      </w:r>
      <w:r>
        <w:rPr>
          <w:spacing w:val="-2"/>
          <w:w w:val="95"/>
        </w:rPr>
        <w:t>提供输血治疗的输血中心或医院出具该项输血感染属医疗责任事故的报告，或者法院   终审裁定为医疗责任并且不准上诉；</w:t>
      </w:r>
    </w:p>
    <w:p>
      <w:pPr>
        <w:pStyle w:val="BodyText"/>
        <w:spacing w:before="45"/>
        <w:ind w:left="117"/>
      </w:pPr>
      <w:r>
        <w:rPr>
          <w:w w:val="95"/>
        </w:rPr>
        <w:t>（3）受感染的被保险人不是血友病患者。</w:t>
      </w:r>
    </w:p>
    <w:p>
      <w:pPr>
        <w:pStyle w:val="BodyText"/>
        <w:spacing w:line="408" w:lineRule="auto" w:before="192"/>
        <w:ind w:left="117" w:right="230"/>
      </w:pPr>
      <w:r>
        <w:rPr>
          <w:spacing w:val="-4"/>
          <w:w w:val="99"/>
        </w:rPr>
        <w:t>在任何治愈艾滋病</w:t>
      </w:r>
      <w:r>
        <w:rPr>
          <w:spacing w:val="1"/>
          <w:w w:val="99"/>
        </w:rPr>
        <w:t>（</w:t>
      </w:r>
      <w:r>
        <w:rPr>
          <w:w w:val="134"/>
        </w:rPr>
        <w:t>A</w:t>
      </w:r>
      <w:r>
        <w:rPr>
          <w:w w:val="70"/>
        </w:rPr>
        <w:t>I</w:t>
      </w:r>
      <w:r>
        <w:rPr>
          <w:spacing w:val="-1"/>
          <w:w w:val="153"/>
        </w:rPr>
        <w:t>D</w:t>
      </w:r>
      <w:r>
        <w:rPr>
          <w:w w:val="95"/>
        </w:rPr>
        <w:t>S</w:t>
      </w:r>
      <w:r>
        <w:rPr>
          <w:spacing w:val="-24"/>
          <w:w w:val="99"/>
        </w:rPr>
        <w:t>）</w:t>
      </w:r>
      <w:r>
        <w:rPr>
          <w:w w:val="99"/>
        </w:rPr>
        <w:t>或阻止</w:t>
      </w:r>
      <w:r>
        <w:rPr>
          <w:spacing w:val="-50"/>
        </w:rPr>
        <w:t> </w:t>
      </w:r>
      <w:r>
        <w:rPr>
          <w:spacing w:val="-1"/>
          <w:w w:val="151"/>
        </w:rPr>
        <w:t>H</w:t>
      </w:r>
      <w:r>
        <w:rPr>
          <w:w w:val="70"/>
        </w:rPr>
        <w:t>I</w:t>
      </w:r>
      <w:r>
        <w:rPr>
          <w:w w:val="134"/>
        </w:rPr>
        <w:t>V</w:t>
      </w:r>
      <w:r>
        <w:rPr>
          <w:spacing w:val="-50"/>
        </w:rPr>
        <w:t> </w:t>
      </w:r>
      <w:r>
        <w:rPr>
          <w:spacing w:val="-2"/>
          <w:w w:val="99"/>
        </w:rPr>
        <w:t>病毒作用的疗法被发现以后，或能防止</w:t>
      </w:r>
      <w:r>
        <w:rPr>
          <w:spacing w:val="-53"/>
        </w:rPr>
        <w:t> </w:t>
      </w:r>
      <w:r>
        <w:rPr>
          <w:w w:val="134"/>
        </w:rPr>
        <w:t>A</w:t>
      </w:r>
      <w:r>
        <w:rPr>
          <w:w w:val="70"/>
        </w:rPr>
        <w:t>I</w:t>
      </w:r>
      <w:r>
        <w:rPr>
          <w:spacing w:val="-1"/>
          <w:w w:val="153"/>
        </w:rPr>
        <w:t>D</w:t>
      </w:r>
      <w:r>
        <w:rPr>
          <w:w w:val="95"/>
        </w:rPr>
        <w:t>S</w:t>
      </w:r>
      <w:r>
        <w:rPr>
          <w:spacing w:val="-50"/>
        </w:rPr>
        <w:t> </w:t>
      </w:r>
      <w:r>
        <w:rPr>
          <w:w w:val="99"/>
        </w:rPr>
        <w:t>发生</w:t>
      </w:r>
      <w:r>
        <w:rPr>
          <w:w w:val="95"/>
        </w:rPr>
        <w:t>的医疗方法被研究出来以后，本保障将不再予以赔付。</w:t>
      </w:r>
    </w:p>
    <w:p>
      <w:pPr>
        <w:pStyle w:val="BodyText"/>
        <w:spacing w:line="408" w:lineRule="auto" w:before="45"/>
        <w:ind w:left="117" w:right="235"/>
        <w:jc w:val="both"/>
      </w:pPr>
      <w:r>
        <w:rPr>
          <w:spacing w:val="-3"/>
          <w:w w:val="99"/>
        </w:rPr>
        <w:t>任何因其他传播方式</w:t>
      </w:r>
      <w:r>
        <w:rPr>
          <w:w w:val="99"/>
        </w:rPr>
        <w:t>（</w:t>
      </w:r>
      <w:r>
        <w:rPr>
          <w:spacing w:val="-3"/>
          <w:w w:val="99"/>
        </w:rPr>
        <w:t>包括：性传播或静脉注射毒品</w:t>
      </w:r>
      <w:r>
        <w:rPr>
          <w:spacing w:val="-20"/>
          <w:w w:val="99"/>
        </w:rPr>
        <w:t>）</w:t>
      </w:r>
      <w:r>
        <w:rPr>
          <w:w w:val="99"/>
        </w:rPr>
        <w:t>导致的</w:t>
      </w:r>
      <w:r>
        <w:rPr/>
        <w:t> </w:t>
      </w:r>
      <w:r>
        <w:rPr>
          <w:spacing w:val="-1"/>
          <w:w w:val="151"/>
        </w:rPr>
        <w:t>H</w:t>
      </w:r>
      <w:r>
        <w:rPr>
          <w:w w:val="70"/>
        </w:rPr>
        <w:t>I</w:t>
      </w:r>
      <w:r>
        <w:rPr>
          <w:w w:val="134"/>
        </w:rPr>
        <w:t>V</w:t>
      </w:r>
      <w:r>
        <w:rPr>
          <w:spacing w:val="-52"/>
        </w:rPr>
        <w:t> </w:t>
      </w:r>
      <w:r>
        <w:rPr>
          <w:w w:val="99"/>
        </w:rPr>
        <w:t>感染不在本保单保障范</w:t>
      </w:r>
      <w:r>
        <w:rPr/>
        <w:t>围内。保险公司必须拥有获得使用被保险人的所有血液样本的权利和能够对这些样本进行</w:t>
      </w:r>
      <w:r>
        <w:rPr>
          <w:w w:val="95"/>
        </w:rPr>
        <w:t>独立检验的权利。</w:t>
      </w:r>
    </w:p>
    <w:p>
      <w:pPr>
        <w:pStyle w:val="BodyText"/>
        <w:spacing w:before="9"/>
        <w:rPr>
          <w:sz w:val="20"/>
        </w:rPr>
      </w:pPr>
    </w:p>
    <w:p>
      <w:pPr>
        <w:pStyle w:val="Heading2"/>
        <w:numPr>
          <w:ilvl w:val="2"/>
          <w:numId w:val="12"/>
        </w:numPr>
        <w:tabs>
          <w:tab w:pos="1203" w:val="left" w:leader="none"/>
          <w:tab w:pos="1204" w:val="left" w:leader="none"/>
        </w:tabs>
        <w:spacing w:line="240" w:lineRule="auto" w:before="0" w:after="0"/>
        <w:ind w:left="1203" w:right="0" w:hanging="1086"/>
        <w:jc w:val="left"/>
      </w:pPr>
      <w:bookmarkStart w:name="_TOC_250016" w:id="139"/>
      <w:bookmarkEnd w:id="139"/>
      <w:r>
        <w:rPr>
          <w:w w:val="95"/>
        </w:rPr>
        <w:t>严重多发性硬化</w:t>
      </w:r>
    </w:p>
    <w:p>
      <w:pPr>
        <w:pStyle w:val="BodyText"/>
        <w:spacing w:before="15"/>
        <w:rPr>
          <w:rFonts w:ascii="Microsoft JhengHei UI"/>
          <w:b/>
          <w:sz w:val="27"/>
        </w:rPr>
      </w:pPr>
    </w:p>
    <w:p>
      <w:pPr>
        <w:pStyle w:val="BodyText"/>
        <w:spacing w:line="408" w:lineRule="auto"/>
        <w:ind w:left="117" w:right="237"/>
        <w:jc w:val="both"/>
      </w:pPr>
      <w:r>
        <w:rPr/>
        <w:t>多发性硬化为中枢神经系统白质多灶性脱髓鞘病变，病变有时累及灰质。多发性硬化必须明确诊断，并且已经造成神经系统功能损害导致被保险人永久不可逆性的无法独立完成下</w:t>
      </w:r>
      <w:r>
        <w:rPr>
          <w:w w:val="95"/>
        </w:rPr>
        <w:t>列基本日常生活活动：</w:t>
      </w:r>
    </w:p>
    <w:p>
      <w:pPr>
        <w:pStyle w:val="BodyText"/>
        <w:spacing w:before="46"/>
        <w:ind w:left="117"/>
        <w:jc w:val="both"/>
      </w:pPr>
      <w:r>
        <w:rPr>
          <w:w w:val="95"/>
        </w:rPr>
        <w:t>（1）移动：自己从一个房间移动到另一个房间；或者</w:t>
      </w:r>
    </w:p>
    <w:p>
      <w:pPr>
        <w:pStyle w:val="BodyText"/>
        <w:spacing w:before="193"/>
        <w:ind w:left="117"/>
        <w:jc w:val="both"/>
      </w:pPr>
      <w:r>
        <w:rPr>
          <w:w w:val="95"/>
        </w:rPr>
        <w:t>（2）进食：自己从已准备好的碗或碟中取食物放入口中</w:t>
      </w:r>
    </w:p>
    <w:p>
      <w:pPr>
        <w:spacing w:after="0"/>
        <w:jc w:val="both"/>
        <w:sectPr>
          <w:pgSz w:w="11910" w:h="16840"/>
          <w:pgMar w:header="0" w:footer="1074" w:top="1440" w:bottom="1260" w:left="1680" w:right="1680"/>
        </w:sectPr>
      </w:pPr>
    </w:p>
    <w:p>
      <w:pPr>
        <w:pStyle w:val="Heading2"/>
        <w:numPr>
          <w:ilvl w:val="2"/>
          <w:numId w:val="12"/>
        </w:numPr>
        <w:tabs>
          <w:tab w:pos="1203" w:val="left" w:leader="none"/>
          <w:tab w:pos="1204" w:val="left" w:leader="none"/>
        </w:tabs>
        <w:spacing w:line="347" w:lineRule="exact" w:before="0" w:after="0"/>
        <w:ind w:left="1203" w:right="0" w:hanging="1086"/>
        <w:jc w:val="left"/>
      </w:pPr>
      <w:bookmarkStart w:name="_TOC_250015" w:id="140"/>
      <w:bookmarkStart w:name="严重类风湿性关节炎" w:id="141"/>
      <w:r>
        <w:rPr>
          <w:b w:val="0"/>
        </w:rPr>
      </w:r>
      <w:bookmarkStart w:name="慢性呼吸功能衰竭" w:id="142"/>
      <w:bookmarkEnd w:id="142"/>
      <w:r>
        <w:rPr>
          <w:b w:val="0"/>
        </w:rPr>
      </w:r>
      <w:bookmarkStart w:name="肢体机能完全丧失" w:id="143"/>
      <w:bookmarkEnd w:id="143"/>
      <w:r>
        <w:rPr>
          <w:b w:val="0"/>
        </w:rPr>
      </w:r>
      <w:bookmarkStart w:name="语言能力或咀嚼吞咽能力完全丧失" w:id="144"/>
      <w:bookmarkEnd w:id="144"/>
      <w:r>
        <w:rPr>
          <w:b w:val="0"/>
        </w:rPr>
      </w:r>
      <w:bookmarkStart w:name="语言能力或咀嚼吞咽能力完全丧失" w:id="145"/>
      <w:bookmarkEnd w:id="140"/>
      <w:r>
        <w:rPr>
          <w:w w:val="95"/>
        </w:rPr>
        <w:t>严重类风湿性关节炎</w:t>
      </w:r>
    </w:p>
    <w:p>
      <w:pPr>
        <w:pStyle w:val="BodyText"/>
        <w:spacing w:before="13"/>
        <w:rPr>
          <w:rFonts w:ascii="Microsoft JhengHei UI"/>
          <w:b/>
          <w:sz w:val="27"/>
        </w:rPr>
      </w:pPr>
    </w:p>
    <w:p>
      <w:pPr>
        <w:pStyle w:val="BodyText"/>
        <w:spacing w:line="408" w:lineRule="auto"/>
        <w:ind w:left="117" w:right="237"/>
        <w:jc w:val="both"/>
      </w:pPr>
      <w:r>
        <w:rPr/>
        <w:t>类风湿性关节炎为广泛分布的慢性进行性多关节病变，表现为关节严重变形，侵犯至少三个主要关节或关节组【如：双手（多手指）关节、双足（多足趾）关节、双腕关节、双膝</w:t>
      </w:r>
      <w:r>
        <w:rPr>
          <w:spacing w:val="-15"/>
          <w:w w:val="95"/>
        </w:rPr>
        <w:t>关节和双髋关节】。诊断必须由风湿科主任级和保险公司的医务总监确认，被保人所患的类   </w:t>
      </w:r>
      <w:r>
        <w:rPr>
          <w:spacing w:val="-3"/>
        </w:rPr>
        <w:t>风湿性关节炎必须已经达到类风湿性关节炎功能分级 </w:t>
      </w:r>
      <w:r>
        <w:rPr/>
        <w:t>III</w:t>
      </w:r>
      <w:r>
        <w:rPr>
          <w:spacing w:val="-10"/>
        </w:rPr>
        <w:t> 级以上的功能障碍</w:t>
      </w:r>
      <w:r>
        <w:rPr/>
        <w:t>（严重限制， </w:t>
      </w:r>
      <w:r>
        <w:rPr>
          <w:w w:val="95"/>
        </w:rPr>
        <w:t>不能完成大部分的日常工作和活动）并且符合下列所有条件：</w:t>
      </w:r>
    </w:p>
    <w:p>
      <w:pPr>
        <w:pStyle w:val="BodyText"/>
        <w:spacing w:before="46"/>
        <w:ind w:left="537"/>
      </w:pPr>
      <w:r>
        <w:rPr>
          <w:w w:val="95"/>
        </w:rPr>
        <w:t>（1）晨僵</w:t>
      </w:r>
    </w:p>
    <w:p>
      <w:pPr>
        <w:pStyle w:val="BodyText"/>
        <w:spacing w:before="193"/>
        <w:ind w:left="537"/>
      </w:pPr>
      <w:r>
        <w:rPr>
          <w:w w:val="95"/>
        </w:rPr>
        <w:t>（2）对称性关节炎</w:t>
      </w:r>
    </w:p>
    <w:p>
      <w:pPr>
        <w:pStyle w:val="BodyText"/>
        <w:spacing w:before="193"/>
        <w:ind w:left="537"/>
      </w:pPr>
      <w:r>
        <w:rPr>
          <w:w w:val="95"/>
        </w:rPr>
        <w:t>（3）类风湿性皮下结节</w:t>
      </w:r>
    </w:p>
    <w:p>
      <w:pPr>
        <w:pStyle w:val="BodyText"/>
        <w:spacing w:before="193"/>
        <w:ind w:left="537"/>
      </w:pPr>
      <w:r>
        <w:rPr>
          <w:w w:val="95"/>
        </w:rPr>
        <w:t>（4）类风湿因子滴度升高</w:t>
      </w:r>
    </w:p>
    <w:p>
      <w:pPr>
        <w:pStyle w:val="BodyText"/>
        <w:spacing w:before="193"/>
        <w:ind w:left="537"/>
      </w:pPr>
      <w:r>
        <w:rPr/>
        <w:t>（</w:t>
      </w:r>
      <w:r>
        <w:rPr>
          <w:rFonts w:ascii="Times New Roman" w:eastAsia="Times New Roman"/>
        </w:rPr>
        <w:t>5</w:t>
      </w:r>
      <w:r>
        <w:rPr/>
        <w:t>）X 线显示严重的关节（软骨和骨）破坏和关节畸形</w:t>
      </w:r>
    </w:p>
    <w:p>
      <w:pPr>
        <w:pStyle w:val="BodyText"/>
        <w:spacing w:before="8"/>
        <w:rPr>
          <w:sz w:val="30"/>
        </w:rPr>
      </w:pPr>
    </w:p>
    <w:p>
      <w:pPr>
        <w:pStyle w:val="Heading2"/>
        <w:numPr>
          <w:ilvl w:val="2"/>
          <w:numId w:val="12"/>
        </w:numPr>
        <w:tabs>
          <w:tab w:pos="1204" w:val="left" w:leader="none"/>
        </w:tabs>
        <w:spacing w:line="240" w:lineRule="auto" w:before="0" w:after="0"/>
        <w:ind w:left="1203" w:right="0" w:hanging="1086"/>
        <w:jc w:val="both"/>
      </w:pPr>
      <w:bookmarkStart w:name="_TOC_250014" w:id="146"/>
      <w:bookmarkEnd w:id="146"/>
      <w:r>
        <w:rPr>
          <w:w w:val="95"/>
        </w:rPr>
        <w:t>慢性呼吸功能衰竭</w:t>
      </w:r>
    </w:p>
    <w:p>
      <w:pPr>
        <w:pStyle w:val="BodyText"/>
        <w:spacing w:before="15"/>
        <w:rPr>
          <w:rFonts w:ascii="Microsoft JhengHei UI"/>
          <w:b/>
          <w:sz w:val="27"/>
        </w:rPr>
      </w:pPr>
    </w:p>
    <w:p>
      <w:pPr>
        <w:pStyle w:val="BodyText"/>
        <w:spacing w:line="408" w:lineRule="auto"/>
        <w:ind w:left="117" w:right="237"/>
      </w:pPr>
      <w:r>
        <w:rPr>
          <w:w w:val="95"/>
        </w:rPr>
        <w:t>慢性肺部疾病导致永久不可逆性的慢性呼吸功能衰竭，必须由呼吸专科医师确认并符合下   列所有条件：</w:t>
      </w:r>
    </w:p>
    <w:p>
      <w:pPr>
        <w:pStyle w:val="BodyText"/>
        <w:spacing w:before="45"/>
        <w:ind w:left="537"/>
      </w:pPr>
      <w:r>
        <w:rPr>
          <w:w w:val="95"/>
        </w:rPr>
        <w:t>（1）休息时出现呼吸困难；</w:t>
      </w:r>
    </w:p>
    <w:p>
      <w:pPr>
        <w:pStyle w:val="BodyText"/>
        <w:spacing w:before="192"/>
        <w:ind w:left="537"/>
      </w:pPr>
      <w:r>
        <w:rPr>
          <w:w w:val="105"/>
        </w:rPr>
        <w:t>（2）动脉氧分压 （PaO2）&lt; 50mmHg；</w:t>
      </w:r>
    </w:p>
    <w:p>
      <w:pPr>
        <w:pStyle w:val="BodyText"/>
        <w:spacing w:before="192"/>
        <w:ind w:left="537"/>
      </w:pPr>
      <w:r>
        <w:rPr/>
        <w:t>（3）动脉血氧饱和度 （SaO 2 ）&lt; 80％；</w:t>
      </w:r>
    </w:p>
    <w:p>
      <w:pPr>
        <w:pStyle w:val="BodyText"/>
        <w:spacing w:before="192"/>
        <w:ind w:left="117"/>
        <w:jc w:val="both"/>
      </w:pPr>
      <w:r>
        <w:rPr>
          <w:w w:val="95"/>
        </w:rPr>
        <w:t>（4）因缺氧必须接受持续的输氧治疗。</w:t>
      </w:r>
    </w:p>
    <w:p>
      <w:pPr>
        <w:pStyle w:val="BodyText"/>
        <w:spacing w:before="5"/>
        <w:rPr>
          <w:sz w:val="33"/>
        </w:rPr>
      </w:pPr>
    </w:p>
    <w:p>
      <w:pPr>
        <w:pStyle w:val="Heading2"/>
        <w:numPr>
          <w:ilvl w:val="1"/>
          <w:numId w:val="12"/>
        </w:numPr>
        <w:tabs>
          <w:tab w:pos="700" w:val="left" w:leader="none"/>
        </w:tabs>
        <w:spacing w:line="240" w:lineRule="auto" w:before="0" w:after="0"/>
        <w:ind w:left="699" w:right="0" w:hanging="576"/>
        <w:jc w:val="both"/>
      </w:pPr>
      <w:bookmarkStart w:name="_TOC_250013" w:id="147"/>
      <w:bookmarkEnd w:id="147"/>
      <w:r>
        <w:rPr>
          <w:w w:val="95"/>
        </w:rPr>
        <w:t>肢体机能完全丧失</w:t>
      </w:r>
    </w:p>
    <w:p>
      <w:pPr>
        <w:pStyle w:val="BodyText"/>
        <w:spacing w:before="12"/>
        <w:rPr>
          <w:rFonts w:ascii="Microsoft JhengHei UI"/>
          <w:b/>
          <w:sz w:val="27"/>
        </w:rPr>
      </w:pPr>
    </w:p>
    <w:p>
      <w:pPr>
        <w:pStyle w:val="BodyText"/>
        <w:spacing w:line="408" w:lineRule="auto"/>
        <w:ind w:left="117" w:right="237"/>
      </w:pPr>
      <w:r>
        <w:rPr/>
        <w:t>指肢体的三大关节中的两大关节僵硬，或不能随意识活动。肢体是指包括肩关节的整个上</w:t>
      </w:r>
      <w:r>
        <w:rPr>
          <w:w w:val="95"/>
        </w:rPr>
        <w:t>肢或包括髋关节的整个下肢。</w:t>
      </w:r>
    </w:p>
    <w:p>
      <w:pPr>
        <w:pStyle w:val="BodyText"/>
        <w:spacing w:before="2"/>
        <w:rPr>
          <w:sz w:val="22"/>
        </w:rPr>
      </w:pPr>
    </w:p>
    <w:p>
      <w:pPr>
        <w:pStyle w:val="Heading2"/>
        <w:numPr>
          <w:ilvl w:val="1"/>
          <w:numId w:val="12"/>
        </w:numPr>
        <w:tabs>
          <w:tab w:pos="699" w:val="left" w:leader="none"/>
          <w:tab w:pos="700" w:val="left" w:leader="none"/>
        </w:tabs>
        <w:spacing w:line="240" w:lineRule="auto" w:before="0" w:after="0"/>
        <w:ind w:left="699" w:right="0" w:hanging="576"/>
        <w:jc w:val="left"/>
      </w:pPr>
      <w:bookmarkStart w:name="_TOC_250012" w:id="148"/>
      <w:bookmarkEnd w:id="148"/>
      <w:r>
        <w:rPr>
          <w:w w:val="95"/>
        </w:rPr>
        <w:t>语言能力或咀嚼吞咽能力完全丧失</w:t>
      </w:r>
    </w:p>
    <w:p>
      <w:pPr>
        <w:pStyle w:val="BodyText"/>
        <w:spacing w:before="15"/>
        <w:rPr>
          <w:rFonts w:ascii="Microsoft JhengHei UI"/>
          <w:b/>
          <w:sz w:val="27"/>
        </w:rPr>
      </w:pPr>
    </w:p>
    <w:p>
      <w:pPr>
        <w:pStyle w:val="BodyText"/>
        <w:spacing w:line="408" w:lineRule="auto"/>
        <w:ind w:left="117" w:right="237"/>
      </w:pPr>
      <w:r>
        <w:rPr/>
        <w:t>语言能力完全丧失，指无法发出四种声音（包括口唇音、齿舌音、口盖音和喉头音）中的</w:t>
      </w:r>
      <w:r>
        <w:rPr>
          <w:w w:val="95"/>
        </w:rPr>
        <w:t>任何三种、或声带全部切除，或因大脑语言中枢受伤害而患失语症。</w:t>
      </w:r>
    </w:p>
    <w:p>
      <w:pPr>
        <w:pStyle w:val="BodyText"/>
        <w:spacing w:before="46"/>
        <w:ind w:left="117"/>
        <w:jc w:val="both"/>
      </w:pPr>
      <w:r>
        <w:rPr>
          <w:w w:val="95"/>
        </w:rPr>
        <w:t>咀嚼吞咽能力完全丧失，指因牙齿以外的原因导致器质障碍或机能障碍，以致不能作咀嚼</w:t>
      </w:r>
    </w:p>
    <w:p>
      <w:pPr>
        <w:spacing w:after="0"/>
        <w:jc w:val="both"/>
        <w:sectPr>
          <w:pgSz w:w="11910" w:h="16840"/>
          <w:pgMar w:header="0" w:footer="1074" w:top="1460" w:bottom="1260" w:left="1680" w:right="1680"/>
        </w:sectPr>
      </w:pPr>
    </w:p>
    <w:p>
      <w:pPr>
        <w:pStyle w:val="BodyText"/>
        <w:spacing w:before="32"/>
        <w:ind w:left="117"/>
      </w:pPr>
      <w:bookmarkStart w:name="六项基本日常生活活动" w:id="149"/>
      <w:bookmarkEnd w:id="149"/>
      <w:r>
        <w:rPr/>
      </w:r>
      <w:bookmarkStart w:name="永久不可逆" w:id="150"/>
      <w:bookmarkEnd w:id="150"/>
      <w:r>
        <w:rPr/>
      </w:r>
      <w:bookmarkStart w:name="专科医生" w:id="151"/>
      <w:bookmarkEnd w:id="151"/>
      <w:r>
        <w:rPr/>
      </w:r>
      <w:bookmarkStart w:name="永久完全残疾" w:id="152"/>
      <w:bookmarkEnd w:id="152"/>
      <w:r>
        <w:rPr/>
      </w:r>
      <w:r>
        <w:rPr>
          <w:w w:val="95"/>
        </w:rPr>
        <w:t>吞咽动作，除流质食物外不能摄取或吞咽的状态。</w:t>
      </w:r>
    </w:p>
    <w:p>
      <w:pPr>
        <w:pStyle w:val="BodyText"/>
        <w:spacing w:before="6"/>
        <w:rPr>
          <w:sz w:val="33"/>
        </w:rPr>
      </w:pPr>
    </w:p>
    <w:p>
      <w:pPr>
        <w:pStyle w:val="Heading2"/>
        <w:numPr>
          <w:ilvl w:val="1"/>
          <w:numId w:val="12"/>
        </w:numPr>
        <w:tabs>
          <w:tab w:pos="699" w:val="left" w:leader="none"/>
          <w:tab w:pos="700" w:val="left" w:leader="none"/>
        </w:tabs>
        <w:spacing w:line="240" w:lineRule="auto" w:before="0" w:after="0"/>
        <w:ind w:left="699" w:right="0" w:hanging="576"/>
        <w:jc w:val="left"/>
      </w:pPr>
      <w:bookmarkStart w:name="_TOC_250011" w:id="153"/>
      <w:bookmarkEnd w:id="153"/>
      <w:r>
        <w:rPr>
          <w:w w:val="95"/>
        </w:rPr>
        <w:t>六项基本日常生活活动</w:t>
      </w:r>
    </w:p>
    <w:p>
      <w:pPr>
        <w:pStyle w:val="BodyText"/>
        <w:spacing w:before="13"/>
        <w:rPr>
          <w:rFonts w:ascii="Microsoft JhengHei UI"/>
          <w:b/>
          <w:sz w:val="27"/>
        </w:rPr>
      </w:pPr>
    </w:p>
    <w:p>
      <w:pPr>
        <w:pStyle w:val="BodyText"/>
        <w:spacing w:line="408" w:lineRule="auto"/>
        <w:ind w:left="117" w:right="236"/>
      </w:pPr>
      <w:r>
        <w:rPr>
          <w:spacing w:val="-8"/>
          <w:w w:val="99"/>
        </w:rPr>
        <w:t>六项基本日常生活活动是指：</w:t>
      </w:r>
      <w:r>
        <w:rPr>
          <w:spacing w:val="1"/>
          <w:w w:val="99"/>
        </w:rPr>
        <w:t>（</w:t>
      </w:r>
      <w:r>
        <w:rPr>
          <w:w w:val="93"/>
        </w:rPr>
        <w:t>1</w:t>
      </w:r>
      <w:r>
        <w:rPr>
          <w:spacing w:val="1"/>
          <w:w w:val="99"/>
        </w:rPr>
        <w:t>）</w:t>
      </w:r>
      <w:r>
        <w:rPr>
          <w:spacing w:val="-8"/>
          <w:w w:val="99"/>
        </w:rPr>
        <w:t>穿衣：自己能够穿衣及脱衣；</w:t>
      </w:r>
      <w:r>
        <w:rPr>
          <w:spacing w:val="1"/>
          <w:w w:val="99"/>
        </w:rPr>
        <w:t>（</w:t>
      </w:r>
      <w:r>
        <w:rPr>
          <w:w w:val="93"/>
        </w:rPr>
        <w:t>2</w:t>
      </w:r>
      <w:r>
        <w:rPr>
          <w:spacing w:val="1"/>
          <w:w w:val="99"/>
        </w:rPr>
        <w:t>）</w:t>
      </w:r>
      <w:r>
        <w:rPr>
          <w:w w:val="99"/>
        </w:rPr>
        <w:t>移动：自己从一个房</w:t>
      </w:r>
      <w:r>
        <w:rPr>
          <w:spacing w:val="-11"/>
          <w:w w:val="99"/>
        </w:rPr>
        <w:t>间到另一个房间；</w:t>
      </w:r>
      <w:r>
        <w:rPr>
          <w:spacing w:val="1"/>
          <w:w w:val="99"/>
        </w:rPr>
        <w:t>（</w:t>
      </w:r>
      <w:r>
        <w:rPr>
          <w:spacing w:val="5"/>
          <w:w w:val="93"/>
        </w:rPr>
        <w:t>3</w:t>
      </w:r>
      <w:r>
        <w:rPr>
          <w:spacing w:val="3"/>
          <w:w w:val="99"/>
        </w:rPr>
        <w:t>）</w:t>
      </w:r>
      <w:r>
        <w:rPr>
          <w:spacing w:val="-7"/>
          <w:w w:val="99"/>
        </w:rPr>
        <w:t>行动：自己上下床或上下轮椅；</w:t>
      </w:r>
      <w:r>
        <w:rPr>
          <w:spacing w:val="3"/>
          <w:w w:val="99"/>
        </w:rPr>
        <w:t>（</w:t>
      </w:r>
      <w:r>
        <w:rPr>
          <w:spacing w:val="1"/>
          <w:w w:val="93"/>
        </w:rPr>
        <w:t>4</w:t>
      </w:r>
      <w:r>
        <w:rPr>
          <w:spacing w:val="3"/>
          <w:w w:val="99"/>
        </w:rPr>
        <w:t>）</w:t>
      </w:r>
      <w:r>
        <w:rPr>
          <w:spacing w:val="0"/>
          <w:w w:val="99"/>
        </w:rPr>
        <w:t>如厕：自己控制进行大小便</w:t>
      </w:r>
      <w:r>
        <w:rPr>
          <w:w w:val="49"/>
        </w:rPr>
        <w:t>；</w:t>
      </w:r>
    </w:p>
    <w:p>
      <w:pPr>
        <w:pStyle w:val="BodyText"/>
        <w:spacing w:before="46"/>
        <w:ind w:left="117"/>
      </w:pPr>
      <w:r>
        <w:rPr>
          <w:w w:val="99"/>
        </w:rPr>
        <w:t>（</w:t>
      </w:r>
      <w:r>
        <w:rPr>
          <w:w w:val="93"/>
        </w:rPr>
        <w:t>5</w:t>
      </w:r>
      <w:r>
        <w:rPr>
          <w:spacing w:val="-39"/>
          <w:w w:val="99"/>
        </w:rPr>
        <w:t>）</w:t>
      </w:r>
      <w:r>
        <w:rPr>
          <w:spacing w:val="-5"/>
          <w:w w:val="99"/>
        </w:rPr>
        <w:t>进食：自己从已准备好的碗或碟中取食物放入口中</w:t>
      </w:r>
      <w:r>
        <w:rPr>
          <w:spacing w:val="-142"/>
          <w:w w:val="99"/>
        </w:rPr>
        <w:t>；</w:t>
      </w:r>
      <w:r>
        <w:rPr>
          <w:w w:val="99"/>
        </w:rPr>
        <w:t>（</w:t>
      </w:r>
      <w:r>
        <w:rPr>
          <w:w w:val="93"/>
        </w:rPr>
        <w:t>6</w:t>
      </w:r>
      <w:r>
        <w:rPr>
          <w:spacing w:val="-39"/>
          <w:w w:val="99"/>
        </w:rPr>
        <w:t>）</w:t>
      </w:r>
      <w:r>
        <w:rPr>
          <w:spacing w:val="-5"/>
          <w:w w:val="99"/>
        </w:rPr>
        <w:t>洗澡：自己进行淋浴或盆浴。</w:t>
      </w:r>
    </w:p>
    <w:p>
      <w:pPr>
        <w:pStyle w:val="BodyText"/>
        <w:spacing w:before="6"/>
        <w:rPr>
          <w:sz w:val="33"/>
        </w:rPr>
      </w:pPr>
    </w:p>
    <w:p>
      <w:pPr>
        <w:pStyle w:val="Heading2"/>
        <w:numPr>
          <w:ilvl w:val="1"/>
          <w:numId w:val="12"/>
        </w:numPr>
        <w:tabs>
          <w:tab w:pos="699" w:val="left" w:leader="none"/>
          <w:tab w:pos="700" w:val="left" w:leader="none"/>
        </w:tabs>
        <w:spacing w:line="240" w:lineRule="auto" w:before="0" w:after="0"/>
        <w:ind w:left="699" w:right="0" w:hanging="576"/>
        <w:jc w:val="left"/>
      </w:pPr>
      <w:bookmarkStart w:name="_TOC_250010" w:id="154"/>
      <w:bookmarkEnd w:id="154"/>
      <w:r>
        <w:rPr>
          <w:w w:val="95"/>
        </w:rPr>
        <w:t>永久不可逆</w:t>
      </w:r>
    </w:p>
    <w:p>
      <w:pPr>
        <w:pStyle w:val="BodyText"/>
        <w:spacing w:before="15"/>
        <w:rPr>
          <w:rFonts w:ascii="Microsoft JhengHei UI"/>
          <w:b/>
          <w:sz w:val="27"/>
        </w:rPr>
      </w:pPr>
    </w:p>
    <w:p>
      <w:pPr>
        <w:pStyle w:val="BodyText"/>
        <w:spacing w:line="408" w:lineRule="auto"/>
        <w:ind w:left="117" w:right="242"/>
      </w:pPr>
      <w:r>
        <w:rPr>
          <w:spacing w:val="-3"/>
        </w:rPr>
        <w:t>指自疾病确诊或意外伤害发生之日起，经过积极治疗 </w:t>
      </w:r>
      <w:r>
        <w:rPr/>
        <w:t>180</w:t>
      </w:r>
      <w:r>
        <w:rPr>
          <w:spacing w:val="-9"/>
        </w:rPr>
        <w:t> 天后，仍无法通过现有医疗手段</w:t>
      </w:r>
      <w:r>
        <w:rPr>
          <w:spacing w:val="-9"/>
          <w:w w:val="95"/>
        </w:rPr>
        <w:t>恢复。</w:t>
      </w:r>
    </w:p>
    <w:p>
      <w:pPr>
        <w:pStyle w:val="BodyText"/>
        <w:rPr>
          <w:sz w:val="22"/>
        </w:rPr>
      </w:pPr>
    </w:p>
    <w:p>
      <w:pPr>
        <w:pStyle w:val="Heading2"/>
        <w:numPr>
          <w:ilvl w:val="1"/>
          <w:numId w:val="12"/>
        </w:numPr>
        <w:tabs>
          <w:tab w:pos="699" w:val="left" w:leader="none"/>
          <w:tab w:pos="700" w:val="left" w:leader="none"/>
        </w:tabs>
        <w:spacing w:line="240" w:lineRule="auto" w:before="0" w:after="0"/>
        <w:ind w:left="699" w:right="0" w:hanging="576"/>
        <w:jc w:val="left"/>
      </w:pPr>
      <w:bookmarkStart w:name="_TOC_250009" w:id="155"/>
      <w:bookmarkEnd w:id="155"/>
      <w:r>
        <w:rPr>
          <w:w w:val="95"/>
        </w:rPr>
        <w:t>专科医生</w:t>
      </w:r>
    </w:p>
    <w:p>
      <w:pPr>
        <w:pStyle w:val="BodyText"/>
        <w:spacing w:before="15"/>
        <w:rPr>
          <w:rFonts w:ascii="Microsoft JhengHei UI"/>
          <w:b/>
          <w:sz w:val="27"/>
        </w:rPr>
      </w:pPr>
    </w:p>
    <w:p>
      <w:pPr>
        <w:pStyle w:val="BodyText"/>
        <w:spacing w:line="408" w:lineRule="auto"/>
        <w:ind w:left="117" w:right="237"/>
        <w:jc w:val="both"/>
      </w:pPr>
      <w:r>
        <w:rPr>
          <w:spacing w:val="-6"/>
          <w:w w:val="99"/>
        </w:rPr>
        <w:t>专科医生应当同时满足以下四项资格条件：</w:t>
      </w:r>
      <w:r>
        <w:rPr>
          <w:w w:val="99"/>
        </w:rPr>
        <w:t>（</w:t>
      </w:r>
      <w:r>
        <w:rPr>
          <w:spacing w:val="1"/>
          <w:w w:val="93"/>
        </w:rPr>
        <w:t>1</w:t>
      </w:r>
      <w:r>
        <w:rPr>
          <w:spacing w:val="1"/>
          <w:w w:val="99"/>
        </w:rPr>
        <w:t>）</w:t>
      </w:r>
      <w:r>
        <w:rPr>
          <w:w w:val="99"/>
        </w:rPr>
        <w:t>具有有效的中华人民共和国《医师资格证</w:t>
      </w:r>
      <w:r>
        <w:rPr>
          <w:spacing w:val="-70"/>
          <w:w w:val="99"/>
        </w:rPr>
        <w:t>书》；</w:t>
      </w:r>
      <w:r>
        <w:rPr>
          <w:spacing w:val="1"/>
          <w:w w:val="99"/>
        </w:rPr>
        <w:t>（</w:t>
      </w:r>
      <w:r>
        <w:rPr>
          <w:w w:val="93"/>
        </w:rPr>
        <w:t>2</w:t>
      </w:r>
      <w:r>
        <w:rPr>
          <w:spacing w:val="1"/>
          <w:w w:val="99"/>
        </w:rPr>
        <w:t>）</w:t>
      </w:r>
      <w:r>
        <w:rPr>
          <w:spacing w:val="-11"/>
          <w:w w:val="99"/>
        </w:rPr>
        <w:t>具有有效的中华人民共和国《医师执业证书》；</w:t>
      </w:r>
      <w:r>
        <w:rPr>
          <w:spacing w:val="1"/>
          <w:w w:val="99"/>
        </w:rPr>
        <w:t>（</w:t>
      </w:r>
      <w:r>
        <w:rPr>
          <w:w w:val="93"/>
        </w:rPr>
        <w:t>3</w:t>
      </w:r>
      <w:r>
        <w:rPr>
          <w:spacing w:val="1"/>
          <w:w w:val="99"/>
        </w:rPr>
        <w:t>）</w:t>
      </w:r>
      <w:r>
        <w:rPr>
          <w:w w:val="99"/>
        </w:rPr>
        <w:t>具有有效的中华人民共和国</w:t>
      </w:r>
      <w:r>
        <w:rPr>
          <w:spacing w:val="-8"/>
          <w:w w:val="99"/>
        </w:rPr>
        <w:t>主治医师或主治医师以上职称的《医师职称证书》</w:t>
      </w:r>
      <w:r>
        <w:rPr>
          <w:spacing w:val="-135"/>
          <w:w w:val="99"/>
        </w:rPr>
        <w:t>；</w:t>
      </w:r>
      <w:r>
        <w:rPr>
          <w:w w:val="99"/>
        </w:rPr>
        <w:t>（</w:t>
      </w:r>
      <w:r>
        <w:rPr>
          <w:w w:val="93"/>
        </w:rPr>
        <w:t>4</w:t>
      </w:r>
      <w:r>
        <w:rPr>
          <w:spacing w:val="-32"/>
          <w:w w:val="99"/>
        </w:rPr>
        <w:t>）</w:t>
      </w:r>
      <w:r>
        <w:rPr>
          <w:w w:val="99"/>
        </w:rPr>
        <w:t>在二级或二级以上医院的相应科室</w:t>
      </w:r>
      <w:r>
        <w:rPr>
          <w:w w:val="95"/>
        </w:rPr>
        <w:t>从事临床工作三年以上。</w:t>
      </w:r>
    </w:p>
    <w:p>
      <w:pPr>
        <w:pStyle w:val="BodyText"/>
        <w:rPr>
          <w:sz w:val="26"/>
        </w:rPr>
      </w:pPr>
    </w:p>
    <w:p>
      <w:pPr>
        <w:pStyle w:val="BodyText"/>
        <w:spacing w:before="11"/>
        <w:rPr>
          <w:sz w:val="19"/>
        </w:rPr>
      </w:pPr>
    </w:p>
    <w:p>
      <w:pPr>
        <w:pStyle w:val="Heading2"/>
        <w:numPr>
          <w:ilvl w:val="1"/>
          <w:numId w:val="12"/>
        </w:numPr>
        <w:tabs>
          <w:tab w:pos="699" w:val="left" w:leader="none"/>
          <w:tab w:pos="700" w:val="left" w:leader="none"/>
        </w:tabs>
        <w:spacing w:line="240" w:lineRule="auto" w:before="0" w:after="0"/>
        <w:ind w:left="699" w:right="0" w:hanging="576"/>
        <w:jc w:val="left"/>
      </w:pPr>
      <w:bookmarkStart w:name="_TOC_250008" w:id="156"/>
      <w:bookmarkEnd w:id="156"/>
      <w:r>
        <w:rPr>
          <w:w w:val="95"/>
        </w:rPr>
        <w:t>永久完全残疾</w:t>
      </w:r>
    </w:p>
    <w:p>
      <w:pPr>
        <w:pStyle w:val="BodyText"/>
        <w:spacing w:before="15"/>
        <w:rPr>
          <w:rFonts w:ascii="Microsoft JhengHei UI"/>
          <w:b/>
          <w:sz w:val="27"/>
        </w:rPr>
      </w:pPr>
    </w:p>
    <w:p>
      <w:pPr>
        <w:pStyle w:val="BodyText"/>
        <w:ind w:left="117"/>
      </w:pPr>
      <w:r>
        <w:rPr>
          <w:w w:val="95"/>
        </w:rPr>
        <w:t>永久完全残疾是指投保人发生下列情况之一者，其定义为：</w:t>
      </w:r>
    </w:p>
    <w:p>
      <w:pPr>
        <w:pStyle w:val="BodyText"/>
        <w:rPr>
          <w:sz w:val="20"/>
        </w:rPr>
      </w:pPr>
    </w:p>
    <w:p>
      <w:pPr>
        <w:pStyle w:val="ListParagraph"/>
        <w:numPr>
          <w:ilvl w:val="0"/>
          <w:numId w:val="14"/>
        </w:numPr>
        <w:tabs>
          <w:tab w:pos="537" w:val="left" w:leader="none"/>
          <w:tab w:pos="538" w:val="left" w:leader="none"/>
        </w:tabs>
        <w:spacing w:line="321" w:lineRule="auto" w:before="0" w:after="0"/>
        <w:ind w:left="515" w:right="185" w:hanging="398"/>
        <w:jc w:val="left"/>
        <w:rPr>
          <w:sz w:val="21"/>
        </w:rPr>
      </w:pPr>
      <w:r>
        <w:rPr>
          <w:spacing w:val="-1"/>
          <w:w w:val="95"/>
          <w:sz w:val="21"/>
        </w:rPr>
        <w:t>中枢神经系统机能或胸、腹部脏器机能极度障碍，终身不能从事任何工作，</w:t>
      </w:r>
      <w:r>
        <w:rPr>
          <w:rFonts w:ascii="Microsoft JhengHei UI" w:eastAsia="Microsoft JhengHei UI" w:hint="eastAsia"/>
          <w:b/>
          <w:spacing w:val="-48"/>
          <w:w w:val="95"/>
          <w:sz w:val="21"/>
        </w:rPr>
        <w:t>维</w:t>
      </w:r>
      <w:r>
        <w:rPr>
          <w:spacing w:val="-105"/>
          <w:w w:val="95"/>
          <w:position w:val="1"/>
          <w:sz w:val="21"/>
        </w:rPr>
        <w:t>持生</w:t>
      </w:r>
      <w:r>
        <w:rPr>
          <w:spacing w:val="-101"/>
          <w:w w:val="95"/>
          <w:sz w:val="21"/>
        </w:rPr>
        <w:t>持生持生持                   </w:t>
      </w:r>
      <w:r>
        <w:rPr>
          <w:spacing w:val="-62"/>
          <w:w w:val="95"/>
          <w:sz w:val="21"/>
        </w:rPr>
        <w:t>生</w:t>
      </w:r>
      <w:r>
        <w:rPr>
          <w:spacing w:val="-209"/>
          <w:w w:val="95"/>
          <w:position w:val="1"/>
          <w:sz w:val="21"/>
        </w:rPr>
        <w:t>命</w:t>
      </w:r>
      <w:r>
        <w:rPr>
          <w:spacing w:val="-209"/>
          <w:w w:val="95"/>
          <w:sz w:val="21"/>
        </w:rPr>
        <w:t>命命</w:t>
      </w:r>
      <w:r>
        <w:rPr>
          <w:w w:val="95"/>
          <w:sz w:val="21"/>
        </w:rPr>
        <w:t>命</w:t>
      </w:r>
      <w:r>
        <w:rPr>
          <w:rFonts w:ascii="Microsoft JhengHei UI" w:eastAsia="Microsoft JhengHei UI" w:hint="eastAsia"/>
          <w:b/>
          <w:spacing w:val="-48"/>
          <w:w w:val="95"/>
          <w:sz w:val="21"/>
        </w:rPr>
        <w:t>必</w:t>
      </w:r>
      <w:r>
        <w:rPr>
          <w:spacing w:val="-105"/>
          <w:w w:val="95"/>
          <w:position w:val="1"/>
          <w:sz w:val="21"/>
        </w:rPr>
        <w:t>要的</w:t>
      </w:r>
      <w:r>
        <w:rPr>
          <w:spacing w:val="-81"/>
          <w:w w:val="95"/>
          <w:sz w:val="21"/>
        </w:rPr>
        <w:t>要的要的要的</w:t>
      </w:r>
      <w:r>
        <w:rPr>
          <w:spacing w:val="-105"/>
          <w:w w:val="95"/>
          <w:position w:val="1"/>
          <w:sz w:val="21"/>
        </w:rPr>
        <w:t>日常</w:t>
      </w:r>
      <w:r>
        <w:rPr>
          <w:spacing w:val="-81"/>
          <w:w w:val="95"/>
          <w:sz w:val="21"/>
        </w:rPr>
        <w:t>日常日常日常</w:t>
      </w:r>
      <w:r>
        <w:rPr>
          <w:spacing w:val="-105"/>
          <w:w w:val="95"/>
          <w:position w:val="1"/>
          <w:sz w:val="21"/>
        </w:rPr>
        <w:t>生活</w:t>
      </w:r>
      <w:r>
        <w:rPr>
          <w:spacing w:val="-81"/>
          <w:w w:val="95"/>
          <w:sz w:val="21"/>
        </w:rPr>
        <w:t>生活生活生活</w:t>
      </w:r>
      <w:r>
        <w:rPr>
          <w:spacing w:val="-105"/>
          <w:w w:val="95"/>
          <w:position w:val="1"/>
          <w:sz w:val="21"/>
        </w:rPr>
        <w:t>活动</w:t>
      </w:r>
      <w:r>
        <w:rPr>
          <w:spacing w:val="-81"/>
          <w:w w:val="95"/>
          <w:sz w:val="21"/>
        </w:rPr>
        <w:t>活动活动活动</w:t>
      </w:r>
      <w:r>
        <w:rPr>
          <w:spacing w:val="-105"/>
          <w:w w:val="95"/>
          <w:position w:val="1"/>
          <w:sz w:val="21"/>
        </w:rPr>
        <w:t>全需</w:t>
      </w:r>
      <w:r>
        <w:rPr>
          <w:spacing w:val="-81"/>
          <w:w w:val="95"/>
          <w:sz w:val="21"/>
        </w:rPr>
        <w:t>全需全需全需</w:t>
      </w:r>
      <w:r>
        <w:rPr>
          <w:spacing w:val="-105"/>
          <w:w w:val="95"/>
          <w:position w:val="1"/>
          <w:sz w:val="21"/>
        </w:rPr>
        <w:t>他人</w:t>
      </w:r>
      <w:r>
        <w:rPr>
          <w:spacing w:val="-81"/>
          <w:w w:val="95"/>
          <w:sz w:val="21"/>
        </w:rPr>
        <w:t>他人他人他人</w:t>
      </w:r>
      <w:r>
        <w:rPr>
          <w:spacing w:val="-105"/>
          <w:w w:val="95"/>
          <w:position w:val="1"/>
          <w:sz w:val="21"/>
        </w:rPr>
        <w:t>扶助</w:t>
      </w:r>
      <w:r>
        <w:rPr>
          <w:spacing w:val="-35"/>
          <w:w w:val="95"/>
          <w:sz w:val="21"/>
        </w:rPr>
        <w:t>扶助扶助扶助   (注</w:t>
      </w:r>
      <w:r>
        <w:rPr>
          <w:spacing w:val="-35"/>
          <w:sz w:val="21"/>
        </w:rPr>
        <w:t>1)；</w:t>
      </w:r>
    </w:p>
    <w:p>
      <w:pPr>
        <w:pStyle w:val="ListParagraph"/>
        <w:numPr>
          <w:ilvl w:val="0"/>
          <w:numId w:val="14"/>
        </w:numPr>
        <w:tabs>
          <w:tab w:pos="537" w:val="left" w:leader="none"/>
          <w:tab w:pos="538" w:val="left" w:leader="none"/>
        </w:tabs>
        <w:spacing w:line="240" w:lineRule="auto" w:before="147" w:after="0"/>
        <w:ind w:left="515" w:right="0" w:hanging="398"/>
        <w:jc w:val="left"/>
        <w:rPr>
          <w:sz w:val="21"/>
        </w:rPr>
      </w:pPr>
      <w:r>
        <w:rPr>
          <w:spacing w:val="-4"/>
          <w:w w:val="95"/>
          <w:sz w:val="21"/>
        </w:rPr>
        <w:t>双目永久完全</w:t>
      </w:r>
      <w:r>
        <w:rPr>
          <w:rFonts w:ascii="Microsoft JhengHei UI" w:eastAsia="Microsoft JhengHei UI" w:hint="eastAsia"/>
          <w:b/>
          <w:spacing w:val="-48"/>
          <w:w w:val="95"/>
          <w:sz w:val="21"/>
        </w:rPr>
        <w:t>失</w:t>
      </w:r>
      <w:r>
        <w:rPr>
          <w:spacing w:val="-209"/>
          <w:w w:val="95"/>
          <w:position w:val="1"/>
          <w:sz w:val="21"/>
        </w:rPr>
        <w:t>明</w:t>
      </w:r>
      <w:r>
        <w:rPr>
          <w:spacing w:val="-209"/>
          <w:w w:val="95"/>
          <w:sz w:val="21"/>
        </w:rPr>
        <w:t>明明</w:t>
      </w:r>
      <w:r>
        <w:rPr>
          <w:spacing w:val="-13"/>
          <w:w w:val="95"/>
          <w:sz w:val="21"/>
        </w:rPr>
        <w:t>明(注 </w:t>
      </w:r>
      <w:r>
        <w:rPr>
          <w:w w:val="95"/>
          <w:sz w:val="21"/>
        </w:rPr>
        <w:t>2)；</w:t>
      </w:r>
    </w:p>
    <w:p>
      <w:pPr>
        <w:pStyle w:val="BodyText"/>
        <w:rPr>
          <w:sz w:val="22"/>
        </w:rPr>
      </w:pPr>
    </w:p>
    <w:p>
      <w:pPr>
        <w:pStyle w:val="ListParagraph"/>
        <w:numPr>
          <w:ilvl w:val="0"/>
          <w:numId w:val="14"/>
        </w:numPr>
        <w:tabs>
          <w:tab w:pos="537" w:val="left" w:leader="none"/>
          <w:tab w:pos="538" w:val="left" w:leader="none"/>
        </w:tabs>
        <w:spacing w:line="240" w:lineRule="auto" w:before="0" w:after="0"/>
        <w:ind w:left="515" w:right="0" w:hanging="398"/>
        <w:jc w:val="left"/>
        <w:rPr>
          <w:sz w:val="21"/>
        </w:rPr>
      </w:pPr>
      <w:r>
        <w:rPr>
          <w:w w:val="95"/>
          <w:sz w:val="21"/>
        </w:rPr>
        <w:t>两上肢腕关节以上缺失或两下肢踝关节以上缺失；</w:t>
      </w:r>
    </w:p>
    <w:p>
      <w:pPr>
        <w:pStyle w:val="BodyText"/>
        <w:spacing w:before="11"/>
        <w:rPr>
          <w:sz w:val="23"/>
        </w:rPr>
      </w:pPr>
    </w:p>
    <w:p>
      <w:pPr>
        <w:pStyle w:val="ListParagraph"/>
        <w:numPr>
          <w:ilvl w:val="0"/>
          <w:numId w:val="14"/>
        </w:numPr>
        <w:tabs>
          <w:tab w:pos="537" w:val="left" w:leader="none"/>
          <w:tab w:pos="538" w:val="left" w:leader="none"/>
        </w:tabs>
        <w:spacing w:line="240" w:lineRule="auto" w:before="0" w:after="0"/>
        <w:ind w:left="515" w:right="0" w:hanging="398"/>
        <w:jc w:val="left"/>
        <w:rPr>
          <w:sz w:val="21"/>
        </w:rPr>
      </w:pPr>
      <w:r>
        <w:rPr>
          <w:w w:val="95"/>
          <w:sz w:val="21"/>
        </w:rPr>
        <w:t>一上肢腕关节以上缺失及一下肢踝关节以上缺失；</w:t>
      </w:r>
    </w:p>
    <w:p>
      <w:pPr>
        <w:pStyle w:val="BodyText"/>
        <w:spacing w:before="11"/>
        <w:rPr>
          <w:sz w:val="23"/>
        </w:rPr>
      </w:pPr>
    </w:p>
    <w:p>
      <w:pPr>
        <w:pStyle w:val="ListParagraph"/>
        <w:numPr>
          <w:ilvl w:val="0"/>
          <w:numId w:val="14"/>
        </w:numPr>
        <w:tabs>
          <w:tab w:pos="537" w:val="left" w:leader="none"/>
          <w:tab w:pos="538" w:val="left" w:leader="none"/>
        </w:tabs>
        <w:spacing w:line="240" w:lineRule="auto" w:before="0" w:after="0"/>
        <w:ind w:left="515" w:right="0" w:hanging="398"/>
        <w:jc w:val="left"/>
        <w:rPr>
          <w:sz w:val="21"/>
        </w:rPr>
      </w:pPr>
      <w:r>
        <w:rPr>
          <w:w w:val="95"/>
          <w:sz w:val="21"/>
        </w:rPr>
        <w:t>一目永久完全失明及一上肢腕关节以上缺失；</w:t>
      </w:r>
    </w:p>
    <w:p>
      <w:pPr>
        <w:pStyle w:val="BodyText"/>
        <w:spacing w:before="11"/>
        <w:rPr>
          <w:sz w:val="23"/>
        </w:rPr>
      </w:pPr>
    </w:p>
    <w:p>
      <w:pPr>
        <w:pStyle w:val="ListParagraph"/>
        <w:numPr>
          <w:ilvl w:val="0"/>
          <w:numId w:val="14"/>
        </w:numPr>
        <w:tabs>
          <w:tab w:pos="537" w:val="left" w:leader="none"/>
          <w:tab w:pos="538" w:val="left" w:leader="none"/>
        </w:tabs>
        <w:spacing w:line="240" w:lineRule="auto" w:before="0" w:after="0"/>
        <w:ind w:left="515" w:right="0" w:hanging="398"/>
        <w:jc w:val="left"/>
        <w:rPr>
          <w:sz w:val="21"/>
        </w:rPr>
      </w:pPr>
      <w:r>
        <w:rPr>
          <w:w w:val="95"/>
          <w:sz w:val="21"/>
        </w:rPr>
        <w:t>一目永久完全失明及一下肢踝关节以上缺失；</w:t>
      </w:r>
    </w:p>
    <w:p>
      <w:pPr>
        <w:spacing w:after="0" w:line="240" w:lineRule="auto"/>
        <w:jc w:val="left"/>
        <w:rPr>
          <w:sz w:val="21"/>
        </w:rPr>
        <w:sectPr>
          <w:pgSz w:w="11910" w:h="16840"/>
          <w:pgMar w:header="0" w:footer="1074" w:top="1440" w:bottom="1260" w:left="1680" w:right="1680"/>
        </w:sectPr>
      </w:pPr>
    </w:p>
    <w:p>
      <w:pPr>
        <w:pStyle w:val="ListParagraph"/>
        <w:numPr>
          <w:ilvl w:val="0"/>
          <w:numId w:val="14"/>
        </w:numPr>
        <w:tabs>
          <w:tab w:pos="537" w:val="left" w:leader="none"/>
          <w:tab w:pos="538" w:val="left" w:leader="none"/>
        </w:tabs>
        <w:spacing w:line="240" w:lineRule="auto" w:before="1" w:after="0"/>
        <w:ind w:left="515" w:right="0" w:hanging="398"/>
        <w:jc w:val="left"/>
        <w:rPr>
          <w:sz w:val="21"/>
        </w:rPr>
      </w:pPr>
      <w:bookmarkStart w:name="本条款约定确诊日" w:id="157"/>
      <w:bookmarkEnd w:id="157"/>
      <w:r>
        <w:rPr/>
      </w:r>
      <w:bookmarkStart w:name="无合法有效驾驶证驾驶" w:id="158"/>
      <w:bookmarkEnd w:id="158"/>
      <w:r>
        <w:rPr/>
      </w:r>
      <w:bookmarkStart w:name="无合法有效驾驶证驾驶" w:id="159"/>
      <w:bookmarkEnd w:id="159"/>
      <w:r>
        <w:rPr>
          <w:spacing w:val="-11"/>
          <w:w w:val="95"/>
          <w:sz w:val="21"/>
        </w:rPr>
        <w:t>四肢</w:t>
      </w:r>
      <w:r>
        <w:rPr>
          <w:rFonts w:ascii="Microsoft JhengHei UI" w:eastAsia="Microsoft JhengHei UI" w:hint="eastAsia"/>
          <w:b/>
          <w:spacing w:val="-48"/>
          <w:w w:val="95"/>
          <w:sz w:val="21"/>
        </w:rPr>
        <w:t>关</w:t>
      </w:r>
      <w:r>
        <w:rPr>
          <w:spacing w:val="-105"/>
          <w:w w:val="95"/>
          <w:position w:val="1"/>
          <w:sz w:val="21"/>
        </w:rPr>
        <w:t>节机</w:t>
      </w:r>
      <w:r>
        <w:rPr>
          <w:spacing w:val="-81"/>
          <w:w w:val="95"/>
          <w:sz w:val="21"/>
        </w:rPr>
        <w:t>节机节机节机</w:t>
      </w:r>
      <w:r>
        <w:rPr>
          <w:spacing w:val="-105"/>
          <w:w w:val="95"/>
          <w:position w:val="1"/>
          <w:sz w:val="21"/>
        </w:rPr>
        <w:t>能永</w:t>
      </w:r>
      <w:r>
        <w:rPr>
          <w:spacing w:val="-81"/>
          <w:w w:val="95"/>
          <w:sz w:val="21"/>
        </w:rPr>
        <w:t>能永能永能永</w:t>
      </w:r>
      <w:r>
        <w:rPr>
          <w:spacing w:val="-105"/>
          <w:w w:val="95"/>
          <w:position w:val="1"/>
          <w:sz w:val="21"/>
        </w:rPr>
        <w:t>久完</w:t>
      </w:r>
      <w:r>
        <w:rPr>
          <w:spacing w:val="-81"/>
          <w:w w:val="95"/>
          <w:sz w:val="21"/>
        </w:rPr>
        <w:t>久完久完久完</w:t>
      </w:r>
      <w:r>
        <w:rPr>
          <w:spacing w:val="-105"/>
          <w:w w:val="95"/>
          <w:position w:val="1"/>
          <w:sz w:val="21"/>
        </w:rPr>
        <w:t>全丧</w:t>
      </w:r>
      <w:r>
        <w:rPr>
          <w:spacing w:val="-81"/>
          <w:w w:val="95"/>
          <w:sz w:val="21"/>
        </w:rPr>
        <w:t>全丧全丧全丧</w:t>
      </w:r>
      <w:r>
        <w:rPr>
          <w:spacing w:val="-209"/>
          <w:w w:val="95"/>
          <w:position w:val="1"/>
          <w:sz w:val="21"/>
        </w:rPr>
        <w:t>失</w:t>
      </w:r>
      <w:r>
        <w:rPr>
          <w:spacing w:val="-209"/>
          <w:w w:val="95"/>
          <w:sz w:val="21"/>
        </w:rPr>
        <w:t>失失</w:t>
      </w:r>
      <w:r>
        <w:rPr>
          <w:spacing w:val="18"/>
          <w:w w:val="95"/>
          <w:sz w:val="21"/>
        </w:rPr>
        <w:t>失  (注 </w:t>
      </w:r>
      <w:r>
        <w:rPr>
          <w:w w:val="95"/>
          <w:sz w:val="21"/>
        </w:rPr>
        <w:t>3)；</w:t>
      </w:r>
    </w:p>
    <w:p>
      <w:pPr>
        <w:pStyle w:val="BodyText"/>
        <w:spacing w:before="12"/>
        <w:rPr>
          <w:sz w:val="16"/>
        </w:rPr>
      </w:pPr>
    </w:p>
    <w:p>
      <w:pPr>
        <w:pStyle w:val="ListParagraph"/>
        <w:numPr>
          <w:ilvl w:val="0"/>
          <w:numId w:val="14"/>
        </w:numPr>
        <w:tabs>
          <w:tab w:pos="515" w:val="left" w:leader="none"/>
          <w:tab w:pos="516" w:val="left" w:leader="none"/>
        </w:tabs>
        <w:spacing w:line="240" w:lineRule="auto" w:before="17" w:after="0"/>
        <w:ind w:left="515" w:right="0" w:hanging="398"/>
        <w:jc w:val="left"/>
        <w:rPr>
          <w:sz w:val="21"/>
        </w:rPr>
      </w:pPr>
      <w:r>
        <w:rPr>
          <w:rFonts w:ascii="Microsoft JhengHei UI" w:eastAsia="Microsoft JhengHei UI" w:hint="eastAsia"/>
          <w:b/>
          <w:spacing w:val="-48"/>
          <w:w w:val="95"/>
          <w:sz w:val="21"/>
        </w:rPr>
        <w:t>咀</w:t>
      </w:r>
      <w:r>
        <w:rPr>
          <w:spacing w:val="-105"/>
          <w:w w:val="95"/>
          <w:position w:val="1"/>
          <w:sz w:val="21"/>
        </w:rPr>
        <w:t>嚼或</w:t>
      </w:r>
      <w:r>
        <w:rPr>
          <w:spacing w:val="-81"/>
          <w:w w:val="95"/>
          <w:sz w:val="21"/>
        </w:rPr>
        <w:t>嚼或嚼或嚼或</w:t>
      </w:r>
      <w:r>
        <w:rPr>
          <w:spacing w:val="-105"/>
          <w:w w:val="95"/>
          <w:position w:val="1"/>
          <w:sz w:val="21"/>
        </w:rPr>
        <w:t>吞咽</w:t>
      </w:r>
      <w:r>
        <w:rPr>
          <w:spacing w:val="-81"/>
          <w:w w:val="95"/>
          <w:sz w:val="21"/>
        </w:rPr>
        <w:t>吞咽吞咽吞咽</w:t>
      </w:r>
      <w:r>
        <w:rPr>
          <w:spacing w:val="-105"/>
          <w:w w:val="95"/>
          <w:position w:val="1"/>
          <w:sz w:val="21"/>
        </w:rPr>
        <w:t>机能</w:t>
      </w:r>
      <w:r>
        <w:rPr>
          <w:spacing w:val="-81"/>
          <w:w w:val="95"/>
          <w:sz w:val="21"/>
        </w:rPr>
        <w:t>机能机能机能</w:t>
      </w:r>
      <w:r>
        <w:rPr>
          <w:spacing w:val="-105"/>
          <w:w w:val="95"/>
          <w:position w:val="1"/>
          <w:sz w:val="21"/>
        </w:rPr>
        <w:t>永久</w:t>
      </w:r>
      <w:r>
        <w:rPr>
          <w:spacing w:val="-81"/>
          <w:w w:val="95"/>
          <w:sz w:val="21"/>
        </w:rPr>
        <w:t>永久永久永久</w:t>
      </w:r>
      <w:r>
        <w:rPr>
          <w:spacing w:val="-105"/>
          <w:w w:val="95"/>
          <w:position w:val="1"/>
          <w:sz w:val="21"/>
        </w:rPr>
        <w:t>完全</w:t>
      </w:r>
      <w:r>
        <w:rPr>
          <w:spacing w:val="-81"/>
          <w:w w:val="95"/>
          <w:sz w:val="21"/>
        </w:rPr>
        <w:t>完全完全完全</w:t>
      </w:r>
      <w:r>
        <w:rPr>
          <w:spacing w:val="-105"/>
          <w:w w:val="95"/>
          <w:position w:val="1"/>
          <w:sz w:val="21"/>
        </w:rPr>
        <w:t>丧失</w:t>
      </w:r>
      <w:r>
        <w:rPr>
          <w:spacing w:val="-77"/>
          <w:w w:val="95"/>
          <w:sz w:val="21"/>
        </w:rPr>
        <w:t>丧失丧失丧失</w:t>
      </w:r>
      <w:r>
        <w:rPr>
          <w:w w:val="90"/>
          <w:sz w:val="21"/>
        </w:rPr>
        <w:t>(</w:t>
      </w:r>
      <w:r>
        <w:rPr>
          <w:spacing w:val="10"/>
          <w:w w:val="95"/>
          <w:sz w:val="21"/>
        </w:rPr>
        <w:t>注    </w:t>
      </w:r>
      <w:r>
        <w:rPr>
          <w:w w:val="95"/>
          <w:sz w:val="21"/>
        </w:rPr>
        <w:t>4)。</w:t>
      </w:r>
    </w:p>
    <w:p>
      <w:pPr>
        <w:pStyle w:val="BodyText"/>
        <w:spacing w:before="6"/>
        <w:rPr>
          <w:sz w:val="17"/>
        </w:rPr>
      </w:pPr>
    </w:p>
    <w:p>
      <w:pPr>
        <w:pStyle w:val="BodyText"/>
        <w:spacing w:before="61"/>
        <w:ind w:left="117"/>
      </w:pPr>
      <w:r>
        <w:rPr>
          <w:w w:val="95"/>
        </w:rPr>
        <w:t>注：</w:t>
      </w:r>
    </w:p>
    <w:p>
      <w:pPr>
        <w:pStyle w:val="BodyText"/>
        <w:spacing w:before="12"/>
        <w:rPr>
          <w:sz w:val="23"/>
        </w:rPr>
      </w:pPr>
    </w:p>
    <w:p>
      <w:pPr>
        <w:pStyle w:val="BodyText"/>
        <w:spacing w:line="408" w:lineRule="auto"/>
        <w:ind w:left="477" w:right="235"/>
        <w:jc w:val="both"/>
      </w:pPr>
      <w:r>
        <w:rPr>
          <w:spacing w:val="46"/>
          <w:w w:val="95"/>
        </w:rPr>
        <w:t>注 </w:t>
      </w:r>
      <w:r>
        <w:rPr>
          <w:spacing w:val="-33"/>
          <w:w w:val="95"/>
        </w:rPr>
        <w:t>1</w:t>
      </w:r>
      <w:r>
        <w:rPr>
          <w:spacing w:val="-11"/>
          <w:w w:val="95"/>
        </w:rPr>
        <w:t>：维持生命必要的日常生活活动全需他人扶助是指食物摄取、大小便始末、穿衣服</w:t>
      </w:r>
      <w:r>
        <w:rPr>
          <w:w w:val="80"/>
        </w:rPr>
        <w:t>、</w:t>
      </w:r>
      <w:r>
        <w:rPr>
          <w:w w:val="95"/>
        </w:rPr>
        <w:t>起居、步行、入浴等，皆不能自己为之，需要他人帮助。</w:t>
      </w:r>
    </w:p>
    <w:p>
      <w:pPr>
        <w:pStyle w:val="BodyText"/>
        <w:spacing w:line="408" w:lineRule="auto" w:before="46"/>
        <w:ind w:left="477" w:right="235"/>
        <w:jc w:val="both"/>
      </w:pPr>
      <w:r>
        <w:rPr>
          <w:spacing w:val="-34"/>
        </w:rPr>
        <w:t>注 </w:t>
      </w:r>
      <w:r>
        <w:rPr>
          <w:spacing w:val="-11"/>
        </w:rPr>
        <w:t>2</w:t>
      </w:r>
      <w:r>
        <w:rPr>
          <w:spacing w:val="-7"/>
        </w:rPr>
        <w:t>：失明包括眼球缺失或摘除、或不能辨别明暗、或仅能辨别眼前手动者。最佳矫正视力低于国际标准视力表零点零二，或视野半径小于五度，并由公司指定有资格的眼</w:t>
      </w:r>
      <w:r>
        <w:rPr>
          <w:spacing w:val="-7"/>
          <w:w w:val="95"/>
        </w:rPr>
        <w:t>科医师出具医疗诊断证明。</w:t>
      </w:r>
    </w:p>
    <w:p>
      <w:pPr>
        <w:pStyle w:val="BodyText"/>
        <w:spacing w:before="46"/>
        <w:ind w:left="477"/>
      </w:pPr>
      <w:r>
        <w:rPr/>
        <w:t>注 3：关节机能的丧失是指关节永久完全僵硬、或麻痹、或关节不能随意识活动。</w:t>
      </w:r>
    </w:p>
    <w:p>
      <w:pPr>
        <w:pStyle w:val="BodyText"/>
        <w:spacing w:line="408" w:lineRule="auto" w:before="193"/>
        <w:ind w:left="477" w:right="235"/>
        <w:jc w:val="both"/>
      </w:pPr>
      <w:r>
        <w:rPr>
          <w:spacing w:val="-33"/>
        </w:rPr>
        <w:t>注 </w:t>
      </w:r>
      <w:r>
        <w:rPr>
          <w:spacing w:val="-15"/>
        </w:rPr>
        <w:t>4</w:t>
      </w:r>
      <w:r>
        <w:rPr>
          <w:spacing w:val="-8"/>
        </w:rPr>
        <w:t>：咀嚼、吞咽机能的丧失是指由于牙齿以外的原因引起器质障碍或机能障碍，以致</w:t>
      </w:r>
      <w:r>
        <w:rPr>
          <w:spacing w:val="-8"/>
          <w:w w:val="95"/>
        </w:rPr>
        <w:t>不能作咀嚼、吞咽运动，除流质食物外不能摄取或吞咽的状态。</w:t>
      </w:r>
    </w:p>
    <w:p>
      <w:pPr>
        <w:pStyle w:val="BodyText"/>
        <w:spacing w:line="408" w:lineRule="auto" w:before="46"/>
        <w:ind w:left="475" w:right="263"/>
        <w:jc w:val="both"/>
      </w:pPr>
      <w:r>
        <w:rPr>
          <w:spacing w:val="-4"/>
        </w:rPr>
        <w:t>所谓「永久完全」是指经 </w:t>
      </w:r>
      <w:r>
        <w:rPr/>
        <w:t>180</w:t>
      </w:r>
      <w:r>
        <w:rPr>
          <w:spacing w:val="-8"/>
        </w:rPr>
        <w:t> 天的治疗以后，机能仍完全丧失，但眼球摘除等明显无</w:t>
      </w:r>
      <w:r>
        <w:rPr>
          <w:spacing w:val="-8"/>
          <w:w w:val="95"/>
        </w:rPr>
        <w:t>法复原的情况，不受此限。</w:t>
      </w:r>
    </w:p>
    <w:p>
      <w:pPr>
        <w:pStyle w:val="BodyText"/>
        <w:spacing w:before="2"/>
        <w:rPr>
          <w:sz w:val="22"/>
        </w:rPr>
      </w:pPr>
    </w:p>
    <w:p>
      <w:pPr>
        <w:pStyle w:val="Heading2"/>
        <w:numPr>
          <w:ilvl w:val="1"/>
          <w:numId w:val="12"/>
        </w:numPr>
        <w:tabs>
          <w:tab w:pos="700" w:val="left" w:leader="none"/>
        </w:tabs>
        <w:spacing w:line="240" w:lineRule="auto" w:before="1" w:after="0"/>
        <w:ind w:left="699" w:right="0" w:hanging="576"/>
        <w:jc w:val="left"/>
      </w:pPr>
      <w:bookmarkStart w:name="_TOC_250007" w:id="160"/>
      <w:bookmarkEnd w:id="160"/>
      <w:r>
        <w:rPr>
          <w:w w:val="95"/>
        </w:rPr>
        <w:t>本条款约定确诊日</w:t>
      </w:r>
    </w:p>
    <w:p>
      <w:pPr>
        <w:pStyle w:val="BodyText"/>
        <w:spacing w:before="13"/>
        <w:rPr>
          <w:rFonts w:ascii="Microsoft JhengHei UI"/>
          <w:b/>
          <w:sz w:val="27"/>
        </w:rPr>
      </w:pPr>
    </w:p>
    <w:p>
      <w:pPr>
        <w:pStyle w:val="BodyText"/>
        <w:spacing w:line="408" w:lineRule="auto"/>
        <w:ind w:left="117" w:right="237"/>
      </w:pPr>
      <w:r>
        <w:rPr/>
        <w:t>指满足本附加险合同“30</w:t>
      </w:r>
      <w:r>
        <w:rPr>
          <w:spacing w:val="-11"/>
        </w:rPr>
        <w:t> 种重大疾病”定义所有条件之日。恶性肿瘤的本条款约定确诊日</w:t>
      </w:r>
      <w:r>
        <w:rPr>
          <w:spacing w:val="-11"/>
          <w:w w:val="95"/>
        </w:rPr>
        <w:t>以明确诊断该类疾病的病检标本提取日为准。</w:t>
      </w:r>
    </w:p>
    <w:p>
      <w:pPr>
        <w:pStyle w:val="BodyText"/>
        <w:spacing w:before="2"/>
        <w:rPr>
          <w:sz w:val="22"/>
        </w:rPr>
      </w:pPr>
    </w:p>
    <w:p>
      <w:pPr>
        <w:pStyle w:val="Heading2"/>
        <w:numPr>
          <w:ilvl w:val="1"/>
          <w:numId w:val="12"/>
        </w:numPr>
        <w:tabs>
          <w:tab w:pos="700" w:val="left" w:leader="none"/>
        </w:tabs>
        <w:spacing w:line="240" w:lineRule="auto" w:before="0" w:after="0"/>
        <w:ind w:left="699" w:right="0" w:hanging="576"/>
        <w:jc w:val="left"/>
      </w:pPr>
      <w:bookmarkStart w:name="_TOC_250006" w:id="161"/>
      <w:bookmarkEnd w:id="161"/>
      <w:r>
        <w:rPr>
          <w:w w:val="95"/>
        </w:rPr>
        <w:t>无合法有效驾驶证驾驶</w:t>
      </w:r>
    </w:p>
    <w:p>
      <w:pPr>
        <w:pStyle w:val="BodyText"/>
        <w:spacing w:before="15"/>
        <w:rPr>
          <w:rFonts w:ascii="Microsoft JhengHei UI"/>
          <w:b/>
          <w:sz w:val="27"/>
        </w:rPr>
      </w:pPr>
    </w:p>
    <w:p>
      <w:pPr>
        <w:pStyle w:val="BodyText"/>
        <w:ind w:left="117"/>
      </w:pPr>
      <w:r>
        <w:rPr>
          <w:w w:val="95"/>
        </w:rPr>
        <w:t>指下列情形之一：</w:t>
      </w:r>
    </w:p>
    <w:p>
      <w:pPr>
        <w:pStyle w:val="ListParagraph"/>
        <w:numPr>
          <w:ilvl w:val="0"/>
          <w:numId w:val="15"/>
        </w:numPr>
        <w:tabs>
          <w:tab w:pos="537" w:val="left" w:leader="none"/>
          <w:tab w:pos="538" w:val="left" w:leader="none"/>
        </w:tabs>
        <w:spacing w:line="240" w:lineRule="auto" w:before="193" w:after="0"/>
        <w:ind w:left="537" w:right="0" w:hanging="420"/>
        <w:jc w:val="left"/>
        <w:rPr>
          <w:sz w:val="21"/>
        </w:rPr>
      </w:pPr>
      <w:r>
        <w:rPr>
          <w:w w:val="95"/>
          <w:sz w:val="21"/>
        </w:rPr>
        <w:t>没有驾驶证驾驶；</w:t>
      </w:r>
    </w:p>
    <w:p>
      <w:pPr>
        <w:pStyle w:val="ListParagraph"/>
        <w:numPr>
          <w:ilvl w:val="0"/>
          <w:numId w:val="15"/>
        </w:numPr>
        <w:tabs>
          <w:tab w:pos="537" w:val="left" w:leader="none"/>
          <w:tab w:pos="538" w:val="left" w:leader="none"/>
        </w:tabs>
        <w:spacing w:line="240" w:lineRule="auto" w:before="193" w:after="0"/>
        <w:ind w:left="537" w:right="0" w:hanging="420"/>
        <w:jc w:val="left"/>
        <w:rPr>
          <w:sz w:val="21"/>
        </w:rPr>
      </w:pPr>
      <w:r>
        <w:rPr>
          <w:w w:val="95"/>
          <w:sz w:val="21"/>
        </w:rPr>
        <w:t>驾驶与驾驶证准驾车型不相符合的车辆；</w:t>
      </w:r>
    </w:p>
    <w:p>
      <w:pPr>
        <w:pStyle w:val="ListParagraph"/>
        <w:numPr>
          <w:ilvl w:val="0"/>
          <w:numId w:val="15"/>
        </w:numPr>
        <w:tabs>
          <w:tab w:pos="537" w:val="left" w:leader="none"/>
          <w:tab w:pos="538" w:val="left" w:leader="none"/>
        </w:tabs>
        <w:spacing w:line="240" w:lineRule="auto" w:before="193" w:after="0"/>
        <w:ind w:left="537" w:right="0" w:hanging="420"/>
        <w:jc w:val="left"/>
        <w:rPr>
          <w:sz w:val="21"/>
        </w:rPr>
      </w:pPr>
      <w:r>
        <w:rPr>
          <w:w w:val="95"/>
          <w:sz w:val="21"/>
        </w:rPr>
        <w:t>驾驶员持审验不合格的驾驶证驾驶；</w:t>
      </w:r>
    </w:p>
    <w:p>
      <w:pPr>
        <w:pStyle w:val="ListParagraph"/>
        <w:numPr>
          <w:ilvl w:val="0"/>
          <w:numId w:val="15"/>
        </w:numPr>
        <w:tabs>
          <w:tab w:pos="537" w:val="left" w:leader="none"/>
          <w:tab w:pos="538" w:val="left" w:leader="none"/>
        </w:tabs>
        <w:spacing w:line="240" w:lineRule="auto" w:before="193" w:after="0"/>
        <w:ind w:left="537" w:right="0" w:hanging="420"/>
        <w:jc w:val="left"/>
        <w:rPr>
          <w:sz w:val="21"/>
        </w:rPr>
      </w:pPr>
      <w:r>
        <w:rPr>
          <w:w w:val="95"/>
          <w:sz w:val="21"/>
        </w:rPr>
        <w:t>未经公安交通管理部门同意，持未审验的驾驶证驾驶；</w:t>
      </w:r>
    </w:p>
    <w:p>
      <w:pPr>
        <w:pStyle w:val="ListParagraph"/>
        <w:numPr>
          <w:ilvl w:val="0"/>
          <w:numId w:val="15"/>
        </w:numPr>
        <w:tabs>
          <w:tab w:pos="537" w:val="left" w:leader="none"/>
          <w:tab w:pos="538" w:val="left" w:leader="none"/>
        </w:tabs>
        <w:spacing w:line="240" w:lineRule="auto" w:before="193" w:after="0"/>
        <w:ind w:left="537" w:right="0" w:hanging="420"/>
        <w:jc w:val="left"/>
        <w:rPr>
          <w:sz w:val="21"/>
        </w:rPr>
      </w:pPr>
      <w:r>
        <w:rPr>
          <w:w w:val="95"/>
          <w:sz w:val="21"/>
        </w:rPr>
        <w:t>持学习驾驶证学习驾车时，无教练员随车指导，或不按指定时间、路线学习驾车；</w:t>
      </w:r>
    </w:p>
    <w:p>
      <w:pPr>
        <w:pStyle w:val="ListParagraph"/>
        <w:numPr>
          <w:ilvl w:val="0"/>
          <w:numId w:val="15"/>
        </w:numPr>
        <w:tabs>
          <w:tab w:pos="537" w:val="left" w:leader="none"/>
          <w:tab w:pos="538" w:val="left" w:leader="none"/>
        </w:tabs>
        <w:spacing w:line="240" w:lineRule="auto" w:before="193" w:after="0"/>
        <w:ind w:left="537" w:right="0" w:hanging="420"/>
        <w:jc w:val="left"/>
        <w:rPr>
          <w:sz w:val="21"/>
        </w:rPr>
      </w:pPr>
      <w:r>
        <w:rPr>
          <w:w w:val="95"/>
          <w:sz w:val="21"/>
        </w:rPr>
        <w:t>公安交通管理部门规定的其他无有效驾驶证驾驶的情况。</w:t>
      </w:r>
    </w:p>
    <w:p>
      <w:pPr>
        <w:spacing w:after="0" w:line="240" w:lineRule="auto"/>
        <w:jc w:val="left"/>
        <w:rPr>
          <w:sz w:val="21"/>
        </w:rPr>
        <w:sectPr>
          <w:pgSz w:w="11910" w:h="16840"/>
          <w:pgMar w:header="0" w:footer="1074" w:top="1420" w:bottom="1260" w:left="1680" w:right="1680"/>
        </w:sectPr>
      </w:pPr>
    </w:p>
    <w:p>
      <w:pPr>
        <w:pStyle w:val="Heading2"/>
        <w:numPr>
          <w:ilvl w:val="1"/>
          <w:numId w:val="12"/>
        </w:numPr>
        <w:tabs>
          <w:tab w:pos="700" w:val="left" w:leader="none"/>
        </w:tabs>
        <w:spacing w:line="347" w:lineRule="exact" w:before="0" w:after="0"/>
        <w:ind w:left="699" w:right="0" w:hanging="576"/>
        <w:jc w:val="left"/>
      </w:pPr>
      <w:bookmarkStart w:name="_TOC_250005" w:id="162"/>
      <w:bookmarkStart w:name="感染艾滋病病毒或患艾滋病" w:id="163"/>
      <w:r>
        <w:rPr>
          <w:b w:val="0"/>
        </w:rPr>
      </w:r>
      <w:bookmarkStart w:name="遗传性疾病" w:id="164"/>
      <w:bookmarkEnd w:id="164"/>
      <w:r>
        <w:rPr>
          <w:b w:val="0"/>
        </w:rPr>
      </w:r>
      <w:bookmarkStart w:name="先天性畸形、变形或染色体异常" w:id="165"/>
      <w:bookmarkEnd w:id="165"/>
      <w:r>
        <w:rPr>
          <w:b w:val="0"/>
        </w:rPr>
      </w:r>
      <w:bookmarkStart w:name="银行转账交费" w:id="166"/>
      <w:bookmarkEnd w:id="166"/>
      <w:r>
        <w:rPr>
          <w:b w:val="0"/>
        </w:rPr>
      </w:r>
      <w:bookmarkStart w:name="本条款约定利率" w:id="167"/>
      <w:bookmarkEnd w:id="167"/>
      <w:r>
        <w:rPr>
          <w:b w:val="0"/>
        </w:rPr>
      </w:r>
      <w:bookmarkStart w:name="不可抗力" w:id="168"/>
      <w:bookmarkEnd w:id="168"/>
      <w:r>
        <w:rPr>
          <w:b w:val="0"/>
        </w:rPr>
      </w:r>
      <w:bookmarkStart w:name="不可抗力" w:id="169"/>
      <w:bookmarkEnd w:id="162"/>
      <w:r>
        <w:rPr>
          <w:w w:val="95"/>
        </w:rPr>
        <w:t>感染艾滋病病毒或患艾滋病</w:t>
      </w:r>
    </w:p>
    <w:p>
      <w:pPr>
        <w:pStyle w:val="BodyText"/>
        <w:spacing w:before="13"/>
        <w:rPr>
          <w:rFonts w:ascii="Microsoft JhengHei UI"/>
          <w:b/>
          <w:sz w:val="27"/>
        </w:rPr>
      </w:pPr>
    </w:p>
    <w:p>
      <w:pPr>
        <w:pStyle w:val="BodyText"/>
        <w:spacing w:line="408" w:lineRule="auto"/>
        <w:ind w:left="117" w:right="115"/>
      </w:pPr>
      <w:r>
        <w:rPr>
          <w:spacing w:val="-3"/>
          <w:w w:val="99"/>
        </w:rPr>
        <w:t>艾滋病病毒指人类免疫缺陷病毒，英文缩写为</w:t>
      </w:r>
      <w:r>
        <w:rPr>
          <w:spacing w:val="-1"/>
          <w:w w:val="151"/>
        </w:rPr>
        <w:t>H</w:t>
      </w:r>
      <w:r>
        <w:rPr>
          <w:w w:val="70"/>
        </w:rPr>
        <w:t>I</w:t>
      </w:r>
      <w:r>
        <w:rPr>
          <w:spacing w:val="1"/>
          <w:w w:val="134"/>
        </w:rPr>
        <w:t>V</w:t>
      </w:r>
      <w:r>
        <w:rPr>
          <w:spacing w:val="-3"/>
          <w:w w:val="99"/>
        </w:rPr>
        <w:t>。艾滋病指人类免疫缺陷病毒引起的获得</w:t>
      </w:r>
      <w:r>
        <w:rPr>
          <w:spacing w:val="-1"/>
          <w:w w:val="99"/>
        </w:rPr>
        <w:t>性免疫缺陷综合症，英文缩写为</w:t>
      </w:r>
      <w:r>
        <w:rPr>
          <w:w w:val="134"/>
        </w:rPr>
        <w:t>A</w:t>
      </w:r>
      <w:r>
        <w:rPr>
          <w:w w:val="70"/>
        </w:rPr>
        <w:t>I</w:t>
      </w:r>
      <w:r>
        <w:rPr>
          <w:spacing w:val="-1"/>
          <w:w w:val="153"/>
        </w:rPr>
        <w:t>D</w:t>
      </w:r>
      <w:r>
        <w:rPr>
          <w:w w:val="95"/>
        </w:rPr>
        <w:t>S</w:t>
      </w:r>
      <w:r>
        <w:rPr>
          <w:w w:val="99"/>
        </w:rPr>
        <w:t>。</w:t>
      </w:r>
    </w:p>
    <w:p>
      <w:pPr>
        <w:pStyle w:val="BodyText"/>
        <w:spacing w:line="408" w:lineRule="auto" w:before="46"/>
        <w:ind w:left="117" w:right="116"/>
      </w:pPr>
      <w:r>
        <w:rPr>
          <w:w w:val="95"/>
        </w:rPr>
        <w:t>在人体血液或其他样本中检测到艾滋病病毒或其抗体呈阳性，没有出现临床症状或体征的</w:t>
      </w:r>
      <w:r>
        <w:rPr>
          <w:w w:val="85"/>
        </w:rPr>
        <w:t>，  </w:t>
      </w:r>
      <w:r>
        <w:rPr>
          <w:w w:val="95"/>
        </w:rPr>
        <w:t>为感染艾滋病病毒；如果同时出现了明显临床症状或体征的，为患艾滋病。</w:t>
      </w:r>
    </w:p>
    <w:p>
      <w:pPr>
        <w:pStyle w:val="BodyText"/>
        <w:rPr>
          <w:sz w:val="22"/>
        </w:rPr>
      </w:pPr>
    </w:p>
    <w:p>
      <w:pPr>
        <w:pStyle w:val="Heading2"/>
        <w:numPr>
          <w:ilvl w:val="1"/>
          <w:numId w:val="12"/>
        </w:numPr>
        <w:tabs>
          <w:tab w:pos="700" w:val="left" w:leader="none"/>
        </w:tabs>
        <w:spacing w:line="240" w:lineRule="auto" w:before="1" w:after="0"/>
        <w:ind w:left="699" w:right="0" w:hanging="576"/>
        <w:jc w:val="left"/>
      </w:pPr>
      <w:bookmarkStart w:name="_TOC_250004" w:id="170"/>
      <w:bookmarkEnd w:id="170"/>
      <w:r>
        <w:rPr>
          <w:w w:val="95"/>
        </w:rPr>
        <w:t>遗传性疾病</w:t>
      </w:r>
    </w:p>
    <w:p>
      <w:pPr>
        <w:pStyle w:val="BodyText"/>
        <w:spacing w:before="15"/>
        <w:rPr>
          <w:rFonts w:ascii="Microsoft JhengHei UI"/>
          <w:b/>
          <w:sz w:val="27"/>
        </w:rPr>
      </w:pPr>
    </w:p>
    <w:p>
      <w:pPr>
        <w:pStyle w:val="BodyText"/>
        <w:spacing w:line="408" w:lineRule="auto" w:before="1"/>
        <w:ind w:left="117" w:right="115"/>
      </w:pPr>
      <w:r>
        <w:rPr>
          <w:spacing w:val="-3"/>
          <w:w w:val="95"/>
        </w:rPr>
        <w:t>指生殖细胞或受精卵的遗传物质</w:t>
      </w:r>
      <w:r>
        <w:rPr>
          <w:w w:val="95"/>
        </w:rPr>
        <w:t>（染色体和基因</w:t>
      </w:r>
      <w:r>
        <w:rPr>
          <w:spacing w:val="-29"/>
          <w:w w:val="95"/>
        </w:rPr>
        <w:t>）</w:t>
      </w:r>
      <w:r>
        <w:rPr>
          <w:spacing w:val="-3"/>
          <w:w w:val="95"/>
        </w:rPr>
        <w:t>发生突变或畸变所引起的疾病，通常具有   由亲代传至后代的垂直传递的特征。</w:t>
      </w:r>
    </w:p>
    <w:p>
      <w:pPr>
        <w:pStyle w:val="BodyText"/>
        <w:spacing w:before="3"/>
        <w:rPr>
          <w:sz w:val="22"/>
        </w:rPr>
      </w:pPr>
    </w:p>
    <w:p>
      <w:pPr>
        <w:pStyle w:val="Heading2"/>
        <w:numPr>
          <w:ilvl w:val="1"/>
          <w:numId w:val="12"/>
        </w:numPr>
        <w:tabs>
          <w:tab w:pos="700" w:val="left" w:leader="none"/>
        </w:tabs>
        <w:spacing w:line="240" w:lineRule="auto" w:before="0" w:after="0"/>
        <w:ind w:left="699" w:right="0" w:hanging="576"/>
        <w:jc w:val="left"/>
      </w:pPr>
      <w:bookmarkStart w:name="_TOC_250003" w:id="171"/>
      <w:bookmarkEnd w:id="171"/>
      <w:r>
        <w:rPr>
          <w:w w:val="95"/>
        </w:rPr>
        <w:t>先天性畸形、变形或染色体异常</w:t>
      </w:r>
    </w:p>
    <w:p>
      <w:pPr>
        <w:pStyle w:val="BodyText"/>
        <w:spacing w:before="12"/>
        <w:rPr>
          <w:rFonts w:ascii="Microsoft JhengHei UI"/>
          <w:b/>
          <w:sz w:val="27"/>
        </w:rPr>
      </w:pPr>
    </w:p>
    <w:p>
      <w:pPr>
        <w:pStyle w:val="BodyText"/>
        <w:spacing w:line="408" w:lineRule="auto" w:before="1"/>
        <w:ind w:left="117" w:right="35"/>
      </w:pPr>
      <w:r>
        <w:rPr>
          <w:w w:val="95"/>
        </w:rPr>
        <w:t>指被保险人出生时就具有的畸形、变形或染色体异常。先天性畸形、变形和染色体异常依照</w:t>
      </w:r>
      <w:r>
        <w:rPr>
          <w:w w:val="99"/>
        </w:rPr>
        <w:t>世界卫生组织《疾病和有关健康问题的国际统计分类》（</w:t>
      </w:r>
      <w:r>
        <w:rPr>
          <w:w w:val="70"/>
        </w:rPr>
        <w:t>I</w:t>
      </w:r>
      <w:r>
        <w:rPr>
          <w:w w:val="126"/>
        </w:rPr>
        <w:t>C</w:t>
      </w:r>
      <w:r>
        <w:rPr>
          <w:w w:val="153"/>
        </w:rPr>
        <w:t>D</w:t>
      </w:r>
      <w:r>
        <w:rPr>
          <w:w w:val="62"/>
        </w:rPr>
        <w:t>-</w:t>
      </w:r>
      <w:r>
        <w:rPr>
          <w:w w:val="93"/>
        </w:rPr>
        <w:t>10</w:t>
      </w:r>
      <w:r>
        <w:rPr>
          <w:w w:val="99"/>
        </w:rPr>
        <w:t>）确定。</w:t>
      </w:r>
    </w:p>
    <w:p>
      <w:pPr>
        <w:pStyle w:val="BodyText"/>
        <w:spacing w:before="3"/>
        <w:rPr>
          <w:sz w:val="22"/>
        </w:rPr>
      </w:pPr>
    </w:p>
    <w:p>
      <w:pPr>
        <w:pStyle w:val="Heading2"/>
        <w:numPr>
          <w:ilvl w:val="1"/>
          <w:numId w:val="12"/>
        </w:numPr>
        <w:tabs>
          <w:tab w:pos="700" w:val="left" w:leader="none"/>
        </w:tabs>
        <w:spacing w:line="240" w:lineRule="auto" w:before="0" w:after="0"/>
        <w:ind w:left="699" w:right="0" w:hanging="576"/>
        <w:jc w:val="left"/>
      </w:pPr>
      <w:bookmarkStart w:name="_TOC_250002" w:id="172"/>
      <w:bookmarkEnd w:id="172"/>
      <w:r>
        <w:rPr>
          <w:w w:val="95"/>
        </w:rPr>
        <w:t>银行转账交费</w:t>
      </w:r>
    </w:p>
    <w:p>
      <w:pPr>
        <w:pStyle w:val="BodyText"/>
        <w:spacing w:before="15"/>
        <w:rPr>
          <w:rFonts w:ascii="Microsoft JhengHei UI"/>
          <w:b/>
          <w:sz w:val="27"/>
        </w:rPr>
      </w:pPr>
    </w:p>
    <w:p>
      <w:pPr>
        <w:pStyle w:val="BodyText"/>
        <w:spacing w:line="408" w:lineRule="auto"/>
        <w:ind w:left="117" w:right="237"/>
      </w:pPr>
      <w:r>
        <w:rPr/>
        <w:t>指投保人将保险费存入本公司指定银行的活期账户内，我们通过银行转账将保险费划转， </w:t>
      </w:r>
      <w:r>
        <w:rPr>
          <w:w w:val="95"/>
        </w:rPr>
        <w:t>继而完成投保人保险费的交纳。</w:t>
      </w:r>
    </w:p>
    <w:p>
      <w:pPr>
        <w:pStyle w:val="BodyText"/>
        <w:rPr>
          <w:sz w:val="22"/>
        </w:rPr>
      </w:pPr>
    </w:p>
    <w:p>
      <w:pPr>
        <w:pStyle w:val="Heading2"/>
        <w:numPr>
          <w:ilvl w:val="1"/>
          <w:numId w:val="12"/>
        </w:numPr>
        <w:tabs>
          <w:tab w:pos="700" w:val="left" w:leader="none"/>
        </w:tabs>
        <w:spacing w:line="240" w:lineRule="auto" w:before="0" w:after="0"/>
        <w:ind w:left="699" w:right="0" w:hanging="576"/>
        <w:jc w:val="left"/>
      </w:pPr>
      <w:bookmarkStart w:name="_TOC_250001" w:id="173"/>
      <w:bookmarkEnd w:id="173"/>
      <w:r>
        <w:rPr>
          <w:w w:val="95"/>
        </w:rPr>
        <w:t>本条款约定利率</w:t>
      </w:r>
    </w:p>
    <w:p>
      <w:pPr>
        <w:pStyle w:val="BodyText"/>
        <w:spacing w:before="15"/>
        <w:rPr>
          <w:rFonts w:ascii="Microsoft JhengHei UI"/>
          <w:b/>
          <w:sz w:val="27"/>
        </w:rPr>
      </w:pPr>
    </w:p>
    <w:p>
      <w:pPr>
        <w:pStyle w:val="BodyText"/>
        <w:spacing w:line="408" w:lineRule="auto"/>
        <w:ind w:left="117" w:right="117"/>
      </w:pPr>
      <w:r>
        <w:rPr>
          <w:w w:val="99"/>
        </w:rPr>
        <w:t>按“同期中国人民银行每月第一个营业日适用的人民币六个月期贷款利率与</w:t>
      </w:r>
      <w:r>
        <w:rPr>
          <w:w w:val="93"/>
        </w:rPr>
        <w:t>4</w:t>
      </w:r>
      <w:r>
        <w:rPr>
          <w:w w:val="43"/>
        </w:rPr>
        <w:t>.</w:t>
      </w:r>
      <w:r>
        <w:rPr>
          <w:w w:val="93"/>
        </w:rPr>
        <w:t>5</w:t>
      </w:r>
      <w:r>
        <w:rPr>
          <w:w w:val="163"/>
        </w:rPr>
        <w:t>%</w:t>
      </w:r>
      <w:r>
        <w:rPr>
          <w:w w:val="99"/>
        </w:rPr>
        <w:t>之较大者</w:t>
      </w:r>
      <w:r>
        <w:rPr>
          <w:w w:val="59"/>
        </w:rPr>
        <w:t>”</w:t>
      </w:r>
      <w:r>
        <w:rPr>
          <w:w w:val="95"/>
        </w:rPr>
        <w:t>计算。</w:t>
      </w:r>
    </w:p>
    <w:p>
      <w:pPr>
        <w:pStyle w:val="BodyText"/>
        <w:spacing w:before="2"/>
        <w:rPr>
          <w:sz w:val="22"/>
        </w:rPr>
      </w:pPr>
    </w:p>
    <w:p>
      <w:pPr>
        <w:pStyle w:val="Heading2"/>
        <w:numPr>
          <w:ilvl w:val="1"/>
          <w:numId w:val="12"/>
        </w:numPr>
        <w:tabs>
          <w:tab w:pos="700" w:val="left" w:leader="none"/>
        </w:tabs>
        <w:spacing w:line="240" w:lineRule="auto" w:before="0" w:after="0"/>
        <w:ind w:left="699" w:right="0" w:hanging="576"/>
        <w:jc w:val="left"/>
      </w:pPr>
      <w:bookmarkStart w:name="_TOC_250000" w:id="174"/>
      <w:bookmarkEnd w:id="174"/>
      <w:r>
        <w:rPr>
          <w:w w:val="95"/>
        </w:rPr>
        <w:t>不可抗力</w:t>
      </w:r>
    </w:p>
    <w:p>
      <w:pPr>
        <w:pStyle w:val="BodyText"/>
        <w:spacing w:before="12"/>
        <w:rPr>
          <w:rFonts w:ascii="Microsoft JhengHei UI"/>
          <w:b/>
          <w:sz w:val="27"/>
        </w:rPr>
      </w:pPr>
    </w:p>
    <w:p>
      <w:pPr>
        <w:pStyle w:val="BodyText"/>
        <w:ind w:left="117"/>
      </w:pPr>
      <w:r>
        <w:rPr>
          <w:w w:val="95"/>
        </w:rPr>
        <w:t>指不能预见、不能避免、不能克服的客观情况。</w:t>
      </w:r>
    </w:p>
    <w:sectPr>
      <w:pgSz w:w="11910" w:h="16840"/>
      <w:pgMar w:header="0" w:footer="1074" w:top="1460" w:bottom="12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Microsoft Sans Serif">
    <w:altName w:val="Microsoft Sans Serif"/>
    <w:charset w:val="0"/>
    <w:family w:val="swiss"/>
    <w:pitch w:val="variable"/>
  </w:font>
  <w:font w:name="宋体">
    <w:altName w:val="宋体"/>
    <w:charset w:val="86"/>
    <w:family w:val="auto"/>
    <w:pitch w:val="variable"/>
  </w:font>
  <w:font w:name="Microsoft JhengHei UI">
    <w:altName w:val="Microsoft JhengHei UI"/>
    <w:charset w:val="0"/>
    <w:family w:val="swiss"/>
    <w:pitch w:val="variable"/>
  </w:font>
  <w:font w:name="Microsoft JhengHei">
    <w:altName w:val="Microsoft JhengHei"/>
    <w:charset w:val="0"/>
    <w:family w:val="swiss"/>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879997pt;margin-top:777.219482pt;width:231.1pt;height:15pt;mso-position-horizontal-relative:page;mso-position-vertical-relative:page;z-index:-24208" type="#_x0000_t202" filled="false" stroked="false">
          <v:textbox inset="0,0,0,0">
            <w:txbxContent>
              <w:p>
                <w:pPr>
                  <w:spacing w:line="245" w:lineRule="exact" w:before="0"/>
                  <w:ind w:left="20" w:right="0" w:firstLine="0"/>
                  <w:jc w:val="left"/>
                  <w:rPr>
                    <w:sz w:val="20"/>
                  </w:rPr>
                </w:pPr>
                <w:r>
                  <w:rPr>
                    <w:w w:val="95"/>
                    <w:sz w:val="20"/>
                  </w:rPr>
                  <w:t>中新大东方附加投保人豁免保险费重大疾病保险二代</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537" w:hanging="420"/>
        <w:jc w:val="left"/>
      </w:pPr>
      <w:rPr>
        <w:rFonts w:hint="default" w:ascii="宋体" w:hAnsi="宋体" w:eastAsia="宋体" w:cs="宋体"/>
        <w:w w:val="43"/>
        <w:sz w:val="21"/>
        <w:szCs w:val="21"/>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4" w:hanging="420"/>
      </w:pPr>
      <w:rPr>
        <w:rFonts w:hint="default"/>
      </w:rPr>
    </w:lvl>
  </w:abstractNum>
  <w:abstractNum w:abstractNumId="13">
    <w:multiLevelType w:val="hybridMultilevel"/>
    <w:lvl w:ilvl="0">
      <w:start w:val="1"/>
      <w:numFmt w:val="decimal"/>
      <w:lvlText w:val="%1."/>
      <w:lvlJc w:val="left"/>
      <w:pPr>
        <w:ind w:left="515" w:hanging="420"/>
        <w:jc w:val="left"/>
      </w:pPr>
      <w:rPr>
        <w:rFonts w:hint="default" w:ascii="宋体" w:hAnsi="宋体" w:eastAsia="宋体" w:cs="宋体"/>
        <w:w w:val="43"/>
        <w:sz w:val="21"/>
        <w:szCs w:val="21"/>
      </w:rPr>
    </w:lvl>
    <w:lvl w:ilvl="1">
      <w:start w:val="0"/>
      <w:numFmt w:val="bullet"/>
      <w:lvlText w:val="•"/>
      <w:lvlJc w:val="left"/>
      <w:pPr>
        <w:ind w:left="1322" w:hanging="420"/>
      </w:pPr>
      <w:rPr>
        <w:rFonts w:hint="default"/>
      </w:rPr>
    </w:lvl>
    <w:lvl w:ilvl="2">
      <w:start w:val="0"/>
      <w:numFmt w:val="bullet"/>
      <w:lvlText w:val="•"/>
      <w:lvlJc w:val="left"/>
      <w:pPr>
        <w:ind w:left="2125" w:hanging="420"/>
      </w:pPr>
      <w:rPr>
        <w:rFonts w:hint="default"/>
      </w:rPr>
    </w:lvl>
    <w:lvl w:ilvl="3">
      <w:start w:val="0"/>
      <w:numFmt w:val="bullet"/>
      <w:lvlText w:val="•"/>
      <w:lvlJc w:val="left"/>
      <w:pPr>
        <w:ind w:left="2927" w:hanging="420"/>
      </w:pPr>
      <w:rPr>
        <w:rFonts w:hint="default"/>
      </w:rPr>
    </w:lvl>
    <w:lvl w:ilvl="4">
      <w:start w:val="0"/>
      <w:numFmt w:val="bullet"/>
      <w:lvlText w:val="•"/>
      <w:lvlJc w:val="left"/>
      <w:pPr>
        <w:ind w:left="3730" w:hanging="420"/>
      </w:pPr>
      <w:rPr>
        <w:rFonts w:hint="default"/>
      </w:rPr>
    </w:lvl>
    <w:lvl w:ilvl="5">
      <w:start w:val="0"/>
      <w:numFmt w:val="bullet"/>
      <w:lvlText w:val="•"/>
      <w:lvlJc w:val="left"/>
      <w:pPr>
        <w:ind w:left="4533" w:hanging="420"/>
      </w:pPr>
      <w:rPr>
        <w:rFonts w:hint="default"/>
      </w:rPr>
    </w:lvl>
    <w:lvl w:ilvl="6">
      <w:start w:val="0"/>
      <w:numFmt w:val="bullet"/>
      <w:lvlText w:val="•"/>
      <w:lvlJc w:val="left"/>
      <w:pPr>
        <w:ind w:left="5335" w:hanging="420"/>
      </w:pPr>
      <w:rPr>
        <w:rFonts w:hint="default"/>
      </w:rPr>
    </w:lvl>
    <w:lvl w:ilvl="7">
      <w:start w:val="0"/>
      <w:numFmt w:val="bullet"/>
      <w:lvlText w:val="•"/>
      <w:lvlJc w:val="left"/>
      <w:pPr>
        <w:ind w:left="6138" w:hanging="420"/>
      </w:pPr>
      <w:rPr>
        <w:rFonts w:hint="default"/>
      </w:rPr>
    </w:lvl>
    <w:lvl w:ilvl="8">
      <w:start w:val="0"/>
      <w:numFmt w:val="bullet"/>
      <w:lvlText w:val="•"/>
      <w:lvlJc w:val="left"/>
      <w:pPr>
        <w:ind w:left="6940" w:hanging="420"/>
      </w:pPr>
      <w:rPr>
        <w:rFonts w:hint="default"/>
      </w:rPr>
    </w:lvl>
  </w:abstractNum>
  <w:abstractNum w:abstractNumId="12">
    <w:multiLevelType w:val="hybridMultilevel"/>
    <w:lvl w:ilvl="0">
      <w:start w:val="1"/>
      <w:numFmt w:val="upperRoman"/>
      <w:lvlText w:val="%1"/>
      <w:lvlJc w:val="left"/>
      <w:pPr>
        <w:ind w:left="261" w:hanging="128"/>
        <w:jc w:val="left"/>
      </w:pPr>
      <w:rPr>
        <w:rFonts w:hint="default" w:ascii="宋体" w:hAnsi="宋体" w:eastAsia="宋体" w:cs="宋体"/>
        <w:w w:val="70"/>
        <w:sz w:val="21"/>
        <w:szCs w:val="21"/>
      </w:rPr>
    </w:lvl>
    <w:lvl w:ilvl="1">
      <w:start w:val="0"/>
      <w:numFmt w:val="bullet"/>
      <w:lvlText w:val="•"/>
      <w:lvlJc w:val="left"/>
      <w:pPr>
        <w:ind w:left="1088" w:hanging="128"/>
      </w:pPr>
      <w:rPr>
        <w:rFonts w:hint="default"/>
      </w:rPr>
    </w:lvl>
    <w:lvl w:ilvl="2">
      <w:start w:val="0"/>
      <w:numFmt w:val="bullet"/>
      <w:lvlText w:val="•"/>
      <w:lvlJc w:val="left"/>
      <w:pPr>
        <w:ind w:left="1917" w:hanging="128"/>
      </w:pPr>
      <w:rPr>
        <w:rFonts w:hint="default"/>
      </w:rPr>
    </w:lvl>
    <w:lvl w:ilvl="3">
      <w:start w:val="0"/>
      <w:numFmt w:val="bullet"/>
      <w:lvlText w:val="•"/>
      <w:lvlJc w:val="left"/>
      <w:pPr>
        <w:ind w:left="2745" w:hanging="128"/>
      </w:pPr>
      <w:rPr>
        <w:rFonts w:hint="default"/>
      </w:rPr>
    </w:lvl>
    <w:lvl w:ilvl="4">
      <w:start w:val="0"/>
      <w:numFmt w:val="bullet"/>
      <w:lvlText w:val="•"/>
      <w:lvlJc w:val="left"/>
      <w:pPr>
        <w:ind w:left="3574" w:hanging="128"/>
      </w:pPr>
      <w:rPr>
        <w:rFonts w:hint="default"/>
      </w:rPr>
    </w:lvl>
    <w:lvl w:ilvl="5">
      <w:start w:val="0"/>
      <w:numFmt w:val="bullet"/>
      <w:lvlText w:val="•"/>
      <w:lvlJc w:val="left"/>
      <w:pPr>
        <w:ind w:left="4403" w:hanging="128"/>
      </w:pPr>
      <w:rPr>
        <w:rFonts w:hint="default"/>
      </w:rPr>
    </w:lvl>
    <w:lvl w:ilvl="6">
      <w:start w:val="0"/>
      <w:numFmt w:val="bullet"/>
      <w:lvlText w:val="•"/>
      <w:lvlJc w:val="left"/>
      <w:pPr>
        <w:ind w:left="5231" w:hanging="128"/>
      </w:pPr>
      <w:rPr>
        <w:rFonts w:hint="default"/>
      </w:rPr>
    </w:lvl>
    <w:lvl w:ilvl="7">
      <w:start w:val="0"/>
      <w:numFmt w:val="bullet"/>
      <w:lvlText w:val="•"/>
      <w:lvlJc w:val="left"/>
      <w:pPr>
        <w:ind w:left="6060" w:hanging="128"/>
      </w:pPr>
      <w:rPr>
        <w:rFonts w:hint="default"/>
      </w:rPr>
    </w:lvl>
    <w:lvl w:ilvl="8">
      <w:start w:val="0"/>
      <w:numFmt w:val="bullet"/>
      <w:lvlText w:val="•"/>
      <w:lvlJc w:val="left"/>
      <w:pPr>
        <w:ind w:left="6888" w:hanging="128"/>
      </w:pPr>
      <w:rPr>
        <w:rFonts w:hint="default"/>
      </w:rPr>
    </w:lvl>
  </w:abstractNum>
  <w:abstractNum w:abstractNumId="11">
    <w:multiLevelType w:val="hybridMultilevel"/>
    <w:lvl w:ilvl="0">
      <w:start w:val="11"/>
      <w:numFmt w:val="decimal"/>
      <w:lvlText w:val="%1"/>
      <w:lvlJc w:val="left"/>
      <w:pPr>
        <w:ind w:left="699" w:hanging="576"/>
        <w:jc w:val="left"/>
      </w:pPr>
      <w:rPr>
        <w:rFonts w:hint="default"/>
      </w:rPr>
    </w:lvl>
    <w:lvl w:ilvl="1">
      <w:start w:val="1"/>
      <w:numFmt w:val="decimal"/>
      <w:lvlText w:val="%1.%2"/>
      <w:lvlJc w:val="left"/>
      <w:pPr>
        <w:ind w:left="699" w:hanging="576"/>
        <w:jc w:val="left"/>
      </w:pPr>
      <w:rPr>
        <w:rFonts w:hint="default" w:ascii="Microsoft JhengHei UI" w:hAnsi="Microsoft JhengHei UI" w:eastAsia="Microsoft JhengHei UI" w:cs="Microsoft JhengHei UI"/>
        <w:b/>
        <w:bCs/>
        <w:spacing w:val="0"/>
        <w:w w:val="78"/>
        <w:sz w:val="21"/>
        <w:szCs w:val="21"/>
      </w:rPr>
    </w:lvl>
    <w:lvl w:ilvl="2">
      <w:start w:val="1"/>
      <w:numFmt w:val="decimal"/>
      <w:lvlText w:val="%1.%2.%3."/>
      <w:lvlJc w:val="left"/>
      <w:pPr>
        <w:ind w:left="1203" w:hanging="1087"/>
        <w:jc w:val="left"/>
      </w:pPr>
      <w:rPr>
        <w:rFonts w:hint="default" w:ascii="Malgun Gothic" w:hAnsi="Malgun Gothic" w:eastAsia="Malgun Gothic" w:cs="Malgun Gothic"/>
        <w:b/>
        <w:bCs/>
        <w:spacing w:val="0"/>
        <w:w w:val="85"/>
        <w:sz w:val="21"/>
        <w:szCs w:val="21"/>
      </w:rPr>
    </w:lvl>
    <w:lvl w:ilvl="3">
      <w:start w:val="0"/>
      <w:numFmt w:val="bullet"/>
      <w:lvlText w:val="•"/>
      <w:lvlJc w:val="left"/>
      <w:pPr>
        <w:ind w:left="2832" w:hanging="1087"/>
      </w:pPr>
      <w:rPr>
        <w:rFonts w:hint="default"/>
      </w:rPr>
    </w:lvl>
    <w:lvl w:ilvl="4">
      <w:start w:val="0"/>
      <w:numFmt w:val="bullet"/>
      <w:lvlText w:val="•"/>
      <w:lvlJc w:val="left"/>
      <w:pPr>
        <w:ind w:left="3648" w:hanging="1087"/>
      </w:pPr>
      <w:rPr>
        <w:rFonts w:hint="default"/>
      </w:rPr>
    </w:lvl>
    <w:lvl w:ilvl="5">
      <w:start w:val="0"/>
      <w:numFmt w:val="bullet"/>
      <w:lvlText w:val="•"/>
      <w:lvlJc w:val="left"/>
      <w:pPr>
        <w:ind w:left="4464" w:hanging="1087"/>
      </w:pPr>
      <w:rPr>
        <w:rFonts w:hint="default"/>
      </w:rPr>
    </w:lvl>
    <w:lvl w:ilvl="6">
      <w:start w:val="0"/>
      <w:numFmt w:val="bullet"/>
      <w:lvlText w:val="•"/>
      <w:lvlJc w:val="left"/>
      <w:pPr>
        <w:ind w:left="5281" w:hanging="1087"/>
      </w:pPr>
      <w:rPr>
        <w:rFonts w:hint="default"/>
      </w:rPr>
    </w:lvl>
    <w:lvl w:ilvl="7">
      <w:start w:val="0"/>
      <w:numFmt w:val="bullet"/>
      <w:lvlText w:val="•"/>
      <w:lvlJc w:val="left"/>
      <w:pPr>
        <w:ind w:left="6097" w:hanging="1087"/>
      </w:pPr>
      <w:rPr>
        <w:rFonts w:hint="default"/>
      </w:rPr>
    </w:lvl>
    <w:lvl w:ilvl="8">
      <w:start w:val="0"/>
      <w:numFmt w:val="bullet"/>
      <w:lvlText w:val="•"/>
      <w:lvlJc w:val="left"/>
      <w:pPr>
        <w:ind w:left="6913" w:hanging="1087"/>
      </w:pPr>
      <w:rPr>
        <w:rFonts w:hint="default"/>
      </w:rPr>
    </w:lvl>
  </w:abstractNum>
  <w:abstractNum w:abstractNumId="10">
    <w:multiLevelType w:val="hybridMultilevel"/>
    <w:lvl w:ilvl="0">
      <w:start w:val="1"/>
      <w:numFmt w:val="decimal"/>
      <w:lvlText w:val="%1."/>
      <w:lvlJc w:val="left"/>
      <w:pPr>
        <w:ind w:left="537" w:hanging="420"/>
        <w:jc w:val="left"/>
      </w:pPr>
      <w:rPr>
        <w:rFonts w:hint="default" w:ascii="宋体" w:hAnsi="宋体" w:eastAsia="宋体" w:cs="宋体"/>
        <w:w w:val="43"/>
        <w:sz w:val="21"/>
        <w:szCs w:val="21"/>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4" w:hanging="420"/>
      </w:pPr>
      <w:rPr>
        <w:rFonts w:hint="default"/>
      </w:rPr>
    </w:lvl>
  </w:abstractNum>
  <w:abstractNum w:abstractNumId="9">
    <w:multiLevelType w:val="hybridMultilevel"/>
    <w:lvl w:ilvl="0">
      <w:start w:val="8"/>
      <w:numFmt w:val="decimal"/>
      <w:lvlText w:val="%1"/>
      <w:lvlJc w:val="left"/>
      <w:pPr>
        <w:ind w:left="699" w:hanging="576"/>
        <w:jc w:val="left"/>
      </w:pPr>
      <w:rPr>
        <w:rFonts w:hint="default"/>
      </w:rPr>
    </w:lvl>
    <w:lvl w:ilvl="1">
      <w:start w:val="5"/>
      <w:numFmt w:val="decimal"/>
      <w:lvlText w:val="%1.%2"/>
      <w:lvlJc w:val="left"/>
      <w:pPr>
        <w:ind w:left="699" w:hanging="576"/>
        <w:jc w:val="left"/>
      </w:pPr>
      <w:rPr>
        <w:rFonts w:hint="default" w:ascii="Microsoft JhengHei UI" w:hAnsi="Microsoft JhengHei UI" w:eastAsia="Microsoft JhengHei UI" w:cs="Microsoft JhengHei UI"/>
        <w:b/>
        <w:bCs/>
        <w:spacing w:val="-1"/>
        <w:w w:val="78"/>
        <w:sz w:val="21"/>
        <w:szCs w:val="21"/>
      </w:rPr>
    </w:lvl>
    <w:lvl w:ilvl="2">
      <w:start w:val="1"/>
      <w:numFmt w:val="decimal"/>
      <w:lvlText w:val="%3."/>
      <w:lvlJc w:val="left"/>
      <w:pPr>
        <w:ind w:left="957" w:hanging="420"/>
        <w:jc w:val="left"/>
      </w:pPr>
      <w:rPr>
        <w:rFonts w:hint="default" w:ascii="宋体" w:hAnsi="宋体" w:eastAsia="宋体" w:cs="宋体"/>
        <w:w w:val="43"/>
        <w:sz w:val="21"/>
        <w:szCs w:val="21"/>
      </w:rPr>
    </w:lvl>
    <w:lvl w:ilvl="3">
      <w:start w:val="0"/>
      <w:numFmt w:val="bullet"/>
      <w:lvlText w:val="•"/>
      <w:lvlJc w:val="left"/>
      <w:pPr>
        <w:ind w:left="2645" w:hanging="420"/>
      </w:pPr>
      <w:rPr>
        <w:rFonts w:hint="default"/>
      </w:rPr>
    </w:lvl>
    <w:lvl w:ilvl="4">
      <w:start w:val="0"/>
      <w:numFmt w:val="bullet"/>
      <w:lvlText w:val="•"/>
      <w:lvlJc w:val="left"/>
      <w:pPr>
        <w:ind w:left="3488" w:hanging="420"/>
      </w:pPr>
      <w:rPr>
        <w:rFonts w:hint="default"/>
      </w:rPr>
    </w:lvl>
    <w:lvl w:ilvl="5">
      <w:start w:val="0"/>
      <w:numFmt w:val="bullet"/>
      <w:lvlText w:val="•"/>
      <w:lvlJc w:val="left"/>
      <w:pPr>
        <w:ind w:left="4331" w:hanging="420"/>
      </w:pPr>
      <w:rPr>
        <w:rFonts w:hint="default"/>
      </w:rPr>
    </w:lvl>
    <w:lvl w:ilvl="6">
      <w:start w:val="0"/>
      <w:numFmt w:val="bullet"/>
      <w:lvlText w:val="•"/>
      <w:lvlJc w:val="left"/>
      <w:pPr>
        <w:ind w:left="5174" w:hanging="420"/>
      </w:pPr>
      <w:rPr>
        <w:rFonts w:hint="default"/>
      </w:rPr>
    </w:lvl>
    <w:lvl w:ilvl="7">
      <w:start w:val="0"/>
      <w:numFmt w:val="bullet"/>
      <w:lvlText w:val="•"/>
      <w:lvlJc w:val="left"/>
      <w:pPr>
        <w:ind w:left="6017" w:hanging="420"/>
      </w:pPr>
      <w:rPr>
        <w:rFonts w:hint="default"/>
      </w:rPr>
    </w:lvl>
    <w:lvl w:ilvl="8">
      <w:start w:val="0"/>
      <w:numFmt w:val="bullet"/>
      <w:lvlText w:val="•"/>
      <w:lvlJc w:val="left"/>
      <w:pPr>
        <w:ind w:left="6860" w:hanging="420"/>
      </w:pPr>
      <w:rPr>
        <w:rFonts w:hint="default"/>
      </w:rPr>
    </w:lvl>
  </w:abstractNum>
  <w:abstractNum w:abstractNumId="8">
    <w:multiLevelType w:val="hybridMultilevel"/>
    <w:lvl w:ilvl="0">
      <w:start w:val="6"/>
      <w:numFmt w:val="decimal"/>
      <w:lvlText w:val="%1"/>
      <w:lvlJc w:val="left"/>
      <w:pPr>
        <w:ind w:left="699" w:hanging="576"/>
        <w:jc w:val="left"/>
      </w:pPr>
      <w:rPr>
        <w:rFonts w:hint="default"/>
      </w:rPr>
    </w:lvl>
    <w:lvl w:ilvl="1">
      <w:start w:val="1"/>
      <w:numFmt w:val="decimal"/>
      <w:lvlText w:val="%1.%2"/>
      <w:lvlJc w:val="left"/>
      <w:pPr>
        <w:ind w:left="699" w:hanging="576"/>
        <w:jc w:val="left"/>
      </w:pPr>
      <w:rPr>
        <w:rFonts w:hint="default" w:ascii="Microsoft JhengHei UI" w:hAnsi="Microsoft JhengHei UI" w:eastAsia="Microsoft JhengHei UI" w:cs="Microsoft JhengHei UI"/>
        <w:b/>
        <w:bCs/>
        <w:spacing w:val="-1"/>
        <w:w w:val="78"/>
        <w:sz w:val="21"/>
        <w:szCs w:val="21"/>
      </w:rPr>
    </w:lvl>
    <w:lvl w:ilvl="2">
      <w:start w:val="1"/>
      <w:numFmt w:val="decimal"/>
      <w:lvlText w:val="%1.%2.%3"/>
      <w:lvlJc w:val="left"/>
      <w:pPr>
        <w:ind w:left="843" w:hanging="727"/>
        <w:jc w:val="left"/>
      </w:pPr>
      <w:rPr>
        <w:rFonts w:hint="default" w:ascii="Malgun Gothic" w:hAnsi="Malgun Gothic" w:eastAsia="Malgun Gothic" w:cs="Malgun Gothic"/>
        <w:b/>
        <w:bCs/>
        <w:spacing w:val="0"/>
        <w:w w:val="85"/>
        <w:sz w:val="21"/>
        <w:szCs w:val="21"/>
      </w:rPr>
    </w:lvl>
    <w:lvl w:ilvl="3">
      <w:start w:val="1"/>
      <w:numFmt w:val="decimal"/>
      <w:lvlText w:val="%4."/>
      <w:lvlJc w:val="left"/>
      <w:pPr>
        <w:ind w:left="957" w:hanging="420"/>
        <w:jc w:val="left"/>
      </w:pPr>
      <w:rPr>
        <w:rFonts w:hint="default" w:ascii="宋体" w:hAnsi="宋体" w:eastAsia="宋体" w:cs="宋体"/>
        <w:w w:val="43"/>
        <w:sz w:val="21"/>
        <w:szCs w:val="21"/>
      </w:rPr>
    </w:lvl>
    <w:lvl w:ilvl="4">
      <w:start w:val="0"/>
      <w:numFmt w:val="bullet"/>
      <w:lvlText w:val="•"/>
      <w:lvlJc w:val="left"/>
      <w:pPr>
        <w:ind w:left="2856" w:hanging="420"/>
      </w:pPr>
      <w:rPr>
        <w:rFonts w:hint="default"/>
      </w:rPr>
    </w:lvl>
    <w:lvl w:ilvl="5">
      <w:start w:val="0"/>
      <w:numFmt w:val="bullet"/>
      <w:lvlText w:val="•"/>
      <w:lvlJc w:val="left"/>
      <w:pPr>
        <w:ind w:left="3804" w:hanging="420"/>
      </w:pPr>
      <w:rPr>
        <w:rFonts w:hint="default"/>
      </w:rPr>
    </w:lvl>
    <w:lvl w:ilvl="6">
      <w:start w:val="0"/>
      <w:numFmt w:val="bullet"/>
      <w:lvlText w:val="•"/>
      <w:lvlJc w:val="left"/>
      <w:pPr>
        <w:ind w:left="4753"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649" w:hanging="420"/>
      </w:pPr>
      <w:rPr>
        <w:rFonts w:hint="default"/>
      </w:rPr>
    </w:lvl>
  </w:abstractNum>
  <w:abstractNum w:abstractNumId="7">
    <w:multiLevelType w:val="hybridMultilevel"/>
    <w:lvl w:ilvl="0">
      <w:start w:val="1"/>
      <w:numFmt w:val="decimal"/>
      <w:lvlText w:val="%1."/>
      <w:lvlJc w:val="left"/>
      <w:pPr>
        <w:ind w:left="543" w:hanging="420"/>
        <w:jc w:val="left"/>
      </w:pPr>
      <w:rPr>
        <w:rFonts w:hint="default" w:ascii="Microsoft JhengHei UI" w:hAnsi="Microsoft JhengHei UI" w:eastAsia="Microsoft JhengHei UI" w:cs="Microsoft JhengHei UI"/>
        <w:b/>
        <w:bCs/>
        <w:spacing w:val="0"/>
        <w:w w:val="78"/>
        <w:sz w:val="21"/>
        <w:szCs w:val="21"/>
      </w:rPr>
    </w:lvl>
    <w:lvl w:ilvl="1">
      <w:start w:val="0"/>
      <w:numFmt w:val="bullet"/>
      <w:lvlText w:val="•"/>
      <w:lvlJc w:val="left"/>
      <w:pPr>
        <w:ind w:left="1350" w:hanging="420"/>
      </w:pPr>
      <w:rPr>
        <w:rFonts w:hint="default"/>
      </w:rPr>
    </w:lvl>
    <w:lvl w:ilvl="2">
      <w:start w:val="0"/>
      <w:numFmt w:val="bullet"/>
      <w:lvlText w:val="•"/>
      <w:lvlJc w:val="left"/>
      <w:pPr>
        <w:ind w:left="2161" w:hanging="420"/>
      </w:pPr>
      <w:rPr>
        <w:rFonts w:hint="default"/>
      </w:rPr>
    </w:lvl>
    <w:lvl w:ilvl="3">
      <w:start w:val="0"/>
      <w:numFmt w:val="bullet"/>
      <w:lvlText w:val="•"/>
      <w:lvlJc w:val="left"/>
      <w:pPr>
        <w:ind w:left="2971" w:hanging="420"/>
      </w:pPr>
      <w:rPr>
        <w:rFonts w:hint="default"/>
      </w:rPr>
    </w:lvl>
    <w:lvl w:ilvl="4">
      <w:start w:val="0"/>
      <w:numFmt w:val="bullet"/>
      <w:lvlText w:val="•"/>
      <w:lvlJc w:val="left"/>
      <w:pPr>
        <w:ind w:left="3782" w:hanging="420"/>
      </w:pPr>
      <w:rPr>
        <w:rFonts w:hint="default"/>
      </w:rPr>
    </w:lvl>
    <w:lvl w:ilvl="5">
      <w:start w:val="0"/>
      <w:numFmt w:val="bullet"/>
      <w:lvlText w:val="•"/>
      <w:lvlJc w:val="left"/>
      <w:pPr>
        <w:ind w:left="4593" w:hanging="420"/>
      </w:pPr>
      <w:rPr>
        <w:rFonts w:hint="default"/>
      </w:rPr>
    </w:lvl>
    <w:lvl w:ilvl="6">
      <w:start w:val="0"/>
      <w:numFmt w:val="bullet"/>
      <w:lvlText w:val="•"/>
      <w:lvlJc w:val="left"/>
      <w:pPr>
        <w:ind w:left="5403" w:hanging="420"/>
      </w:pPr>
      <w:rPr>
        <w:rFonts w:hint="default"/>
      </w:rPr>
    </w:lvl>
    <w:lvl w:ilvl="7">
      <w:start w:val="0"/>
      <w:numFmt w:val="bullet"/>
      <w:lvlText w:val="•"/>
      <w:lvlJc w:val="left"/>
      <w:pPr>
        <w:ind w:left="6214" w:hanging="420"/>
      </w:pPr>
      <w:rPr>
        <w:rFonts w:hint="default"/>
      </w:rPr>
    </w:lvl>
    <w:lvl w:ilvl="8">
      <w:start w:val="0"/>
      <w:numFmt w:val="bullet"/>
      <w:lvlText w:val="•"/>
      <w:lvlJc w:val="left"/>
      <w:pPr>
        <w:ind w:left="7024" w:hanging="420"/>
      </w:pPr>
      <w:rPr>
        <w:rFonts w:hint="default"/>
      </w:rPr>
    </w:lvl>
  </w:abstractNum>
  <w:abstractNum w:abstractNumId="6">
    <w:multiLevelType w:val="hybridMultilevel"/>
    <w:lvl w:ilvl="0">
      <w:start w:val="5"/>
      <w:numFmt w:val="decimal"/>
      <w:lvlText w:val="%1"/>
      <w:lvlJc w:val="left"/>
      <w:pPr>
        <w:ind w:left="699" w:hanging="576"/>
        <w:jc w:val="left"/>
      </w:pPr>
      <w:rPr>
        <w:rFonts w:hint="default"/>
      </w:rPr>
    </w:lvl>
    <w:lvl w:ilvl="1">
      <w:start w:val="2"/>
      <w:numFmt w:val="decimal"/>
      <w:lvlText w:val="%1.%2"/>
      <w:lvlJc w:val="left"/>
      <w:pPr>
        <w:ind w:left="699" w:hanging="576"/>
        <w:jc w:val="left"/>
      </w:pPr>
      <w:rPr>
        <w:rFonts w:hint="default" w:ascii="Microsoft JhengHei UI" w:hAnsi="Microsoft JhengHei UI" w:eastAsia="Microsoft JhengHei UI" w:cs="Microsoft JhengHei UI"/>
        <w:b/>
        <w:bCs/>
        <w:spacing w:val="-1"/>
        <w:w w:val="78"/>
        <w:sz w:val="21"/>
        <w:szCs w:val="21"/>
      </w:rPr>
    </w:lvl>
    <w:lvl w:ilvl="2">
      <w:start w:val="1"/>
      <w:numFmt w:val="decimal"/>
      <w:lvlText w:val="%1.%2.%3"/>
      <w:lvlJc w:val="left"/>
      <w:pPr>
        <w:ind w:left="843" w:hanging="727"/>
        <w:jc w:val="left"/>
      </w:pPr>
      <w:rPr>
        <w:rFonts w:hint="default" w:ascii="Malgun Gothic" w:hAnsi="Malgun Gothic" w:eastAsia="Malgun Gothic" w:cs="Malgun Gothic"/>
        <w:b/>
        <w:bCs/>
        <w:spacing w:val="0"/>
        <w:w w:val="85"/>
        <w:sz w:val="21"/>
        <w:szCs w:val="21"/>
      </w:rPr>
    </w:lvl>
    <w:lvl w:ilvl="3">
      <w:start w:val="0"/>
      <w:numFmt w:val="bullet"/>
      <w:lvlText w:val="•"/>
      <w:lvlJc w:val="left"/>
      <w:pPr>
        <w:ind w:left="2552" w:hanging="727"/>
      </w:pPr>
      <w:rPr>
        <w:rFonts w:hint="default"/>
      </w:rPr>
    </w:lvl>
    <w:lvl w:ilvl="4">
      <w:start w:val="0"/>
      <w:numFmt w:val="bullet"/>
      <w:lvlText w:val="•"/>
      <w:lvlJc w:val="left"/>
      <w:pPr>
        <w:ind w:left="3408" w:hanging="727"/>
      </w:pPr>
      <w:rPr>
        <w:rFonts w:hint="default"/>
      </w:rPr>
    </w:lvl>
    <w:lvl w:ilvl="5">
      <w:start w:val="0"/>
      <w:numFmt w:val="bullet"/>
      <w:lvlText w:val="•"/>
      <w:lvlJc w:val="left"/>
      <w:pPr>
        <w:ind w:left="4264" w:hanging="727"/>
      </w:pPr>
      <w:rPr>
        <w:rFonts w:hint="default"/>
      </w:rPr>
    </w:lvl>
    <w:lvl w:ilvl="6">
      <w:start w:val="0"/>
      <w:numFmt w:val="bullet"/>
      <w:lvlText w:val="•"/>
      <w:lvlJc w:val="left"/>
      <w:pPr>
        <w:ind w:left="5121" w:hanging="727"/>
      </w:pPr>
      <w:rPr>
        <w:rFonts w:hint="default"/>
      </w:rPr>
    </w:lvl>
    <w:lvl w:ilvl="7">
      <w:start w:val="0"/>
      <w:numFmt w:val="bullet"/>
      <w:lvlText w:val="•"/>
      <w:lvlJc w:val="left"/>
      <w:pPr>
        <w:ind w:left="5977" w:hanging="727"/>
      </w:pPr>
      <w:rPr>
        <w:rFonts w:hint="default"/>
      </w:rPr>
    </w:lvl>
    <w:lvl w:ilvl="8">
      <w:start w:val="0"/>
      <w:numFmt w:val="bullet"/>
      <w:lvlText w:val="•"/>
      <w:lvlJc w:val="left"/>
      <w:pPr>
        <w:ind w:left="6833" w:hanging="727"/>
      </w:pPr>
      <w:rPr>
        <w:rFonts w:hint="default"/>
      </w:rPr>
    </w:lvl>
  </w:abstractNum>
  <w:abstractNum w:abstractNumId="5">
    <w:multiLevelType w:val="hybridMultilevel"/>
    <w:lvl w:ilvl="0">
      <w:start w:val="1"/>
      <w:numFmt w:val="decimal"/>
      <w:lvlText w:val="%1"/>
      <w:lvlJc w:val="left"/>
      <w:pPr>
        <w:ind w:left="555" w:hanging="432"/>
        <w:jc w:val="left"/>
      </w:pPr>
      <w:rPr>
        <w:rFonts w:hint="default" w:ascii="Microsoft JhengHei UI" w:hAnsi="Microsoft JhengHei UI" w:eastAsia="Microsoft JhengHei UI" w:cs="Microsoft JhengHei UI"/>
        <w:b/>
        <w:bCs/>
        <w:w w:val="78"/>
        <w:sz w:val="21"/>
        <w:szCs w:val="21"/>
      </w:rPr>
    </w:lvl>
    <w:lvl w:ilvl="1">
      <w:start w:val="1"/>
      <w:numFmt w:val="decimal"/>
      <w:lvlText w:val="%1.%2"/>
      <w:lvlJc w:val="left"/>
      <w:pPr>
        <w:ind w:left="699" w:hanging="576"/>
        <w:jc w:val="left"/>
      </w:pPr>
      <w:rPr>
        <w:rFonts w:hint="default" w:ascii="Microsoft JhengHei UI" w:hAnsi="Microsoft JhengHei UI" w:eastAsia="Microsoft JhengHei UI" w:cs="Microsoft JhengHei UI"/>
        <w:b/>
        <w:bCs/>
        <w:spacing w:val="-1"/>
        <w:w w:val="78"/>
        <w:sz w:val="21"/>
        <w:szCs w:val="21"/>
      </w:rPr>
    </w:lvl>
    <w:lvl w:ilvl="2">
      <w:start w:val="1"/>
      <w:numFmt w:val="decimal"/>
      <w:lvlText w:val="%1.%2.%3"/>
      <w:lvlJc w:val="left"/>
      <w:pPr>
        <w:ind w:left="843" w:hanging="727"/>
        <w:jc w:val="left"/>
      </w:pPr>
      <w:rPr>
        <w:rFonts w:hint="default" w:ascii="Malgun Gothic" w:hAnsi="Malgun Gothic" w:eastAsia="Malgun Gothic" w:cs="Malgun Gothic"/>
        <w:b/>
        <w:bCs/>
        <w:spacing w:val="0"/>
        <w:w w:val="85"/>
        <w:sz w:val="21"/>
        <w:szCs w:val="21"/>
      </w:rPr>
    </w:lvl>
    <w:lvl w:ilvl="3">
      <w:start w:val="0"/>
      <w:numFmt w:val="bullet"/>
      <w:lvlText w:val="•"/>
      <w:lvlJc w:val="left"/>
      <w:pPr>
        <w:ind w:left="1803" w:hanging="727"/>
      </w:pPr>
      <w:rPr>
        <w:rFonts w:hint="default"/>
      </w:rPr>
    </w:lvl>
    <w:lvl w:ilvl="4">
      <w:start w:val="0"/>
      <w:numFmt w:val="bullet"/>
      <w:lvlText w:val="•"/>
      <w:lvlJc w:val="left"/>
      <w:pPr>
        <w:ind w:left="2766" w:hanging="727"/>
      </w:pPr>
      <w:rPr>
        <w:rFonts w:hint="default"/>
      </w:rPr>
    </w:lvl>
    <w:lvl w:ilvl="5">
      <w:start w:val="0"/>
      <w:numFmt w:val="bullet"/>
      <w:lvlText w:val="•"/>
      <w:lvlJc w:val="left"/>
      <w:pPr>
        <w:ind w:left="3729" w:hanging="727"/>
      </w:pPr>
      <w:rPr>
        <w:rFonts w:hint="default"/>
      </w:rPr>
    </w:lvl>
    <w:lvl w:ilvl="6">
      <w:start w:val="0"/>
      <w:numFmt w:val="bullet"/>
      <w:lvlText w:val="•"/>
      <w:lvlJc w:val="left"/>
      <w:pPr>
        <w:ind w:left="4693" w:hanging="727"/>
      </w:pPr>
      <w:rPr>
        <w:rFonts w:hint="default"/>
      </w:rPr>
    </w:lvl>
    <w:lvl w:ilvl="7">
      <w:start w:val="0"/>
      <w:numFmt w:val="bullet"/>
      <w:lvlText w:val="•"/>
      <w:lvlJc w:val="left"/>
      <w:pPr>
        <w:ind w:left="5656" w:hanging="727"/>
      </w:pPr>
      <w:rPr>
        <w:rFonts w:hint="default"/>
      </w:rPr>
    </w:lvl>
    <w:lvl w:ilvl="8">
      <w:start w:val="0"/>
      <w:numFmt w:val="bullet"/>
      <w:lvlText w:val="•"/>
      <w:lvlJc w:val="left"/>
      <w:pPr>
        <w:ind w:left="6619" w:hanging="727"/>
      </w:pPr>
      <w:rPr>
        <w:rFonts w:hint="default"/>
      </w:rPr>
    </w:lvl>
  </w:abstractNum>
  <w:abstractNum w:abstractNumId="4">
    <w:multiLevelType w:val="hybridMultilevel"/>
    <w:lvl w:ilvl="0">
      <w:start w:val="11"/>
      <w:numFmt w:val="decimal"/>
      <w:lvlText w:val="%1"/>
      <w:lvlJc w:val="left"/>
      <w:pPr>
        <w:ind w:left="2006" w:hanging="1049"/>
        <w:jc w:val="left"/>
      </w:pPr>
      <w:rPr>
        <w:rFonts w:hint="default"/>
      </w:rPr>
    </w:lvl>
    <w:lvl w:ilvl="1">
      <w:start w:val="3"/>
      <w:numFmt w:val="decimal"/>
      <w:lvlText w:val="%1.%2"/>
      <w:lvlJc w:val="left"/>
      <w:pPr>
        <w:ind w:left="2006" w:hanging="1049"/>
        <w:jc w:val="right"/>
      </w:pPr>
      <w:rPr>
        <w:rFonts w:hint="default"/>
      </w:rPr>
    </w:lvl>
    <w:lvl w:ilvl="2">
      <w:start w:val="16"/>
      <w:numFmt w:val="decimal"/>
      <w:lvlText w:val="%1.%2.%3."/>
      <w:lvlJc w:val="left"/>
      <w:pPr>
        <w:ind w:left="2006" w:hanging="1049"/>
        <w:jc w:val="left"/>
      </w:pPr>
      <w:rPr>
        <w:rFonts w:hint="default" w:ascii="宋体" w:hAnsi="宋体" w:eastAsia="宋体" w:cs="宋体"/>
        <w:spacing w:val="-2"/>
        <w:w w:val="99"/>
        <w:sz w:val="21"/>
        <w:szCs w:val="21"/>
      </w:rPr>
    </w:lvl>
    <w:lvl w:ilvl="3">
      <w:start w:val="0"/>
      <w:numFmt w:val="bullet"/>
      <w:lvlText w:val="•"/>
      <w:lvlJc w:val="left"/>
      <w:pPr>
        <w:ind w:left="3963" w:hanging="1049"/>
      </w:pPr>
      <w:rPr>
        <w:rFonts w:hint="default"/>
      </w:rPr>
    </w:lvl>
    <w:lvl w:ilvl="4">
      <w:start w:val="0"/>
      <w:numFmt w:val="bullet"/>
      <w:lvlText w:val="•"/>
      <w:lvlJc w:val="left"/>
      <w:pPr>
        <w:ind w:left="4618" w:hanging="1049"/>
      </w:pPr>
      <w:rPr>
        <w:rFonts w:hint="default"/>
      </w:rPr>
    </w:lvl>
    <w:lvl w:ilvl="5">
      <w:start w:val="0"/>
      <w:numFmt w:val="bullet"/>
      <w:lvlText w:val="•"/>
      <w:lvlJc w:val="left"/>
      <w:pPr>
        <w:ind w:left="5273" w:hanging="1049"/>
      </w:pPr>
      <w:rPr>
        <w:rFonts w:hint="default"/>
      </w:rPr>
    </w:lvl>
    <w:lvl w:ilvl="6">
      <w:start w:val="0"/>
      <w:numFmt w:val="bullet"/>
      <w:lvlText w:val="•"/>
      <w:lvlJc w:val="left"/>
      <w:pPr>
        <w:ind w:left="5927" w:hanging="1049"/>
      </w:pPr>
      <w:rPr>
        <w:rFonts w:hint="default"/>
      </w:rPr>
    </w:lvl>
    <w:lvl w:ilvl="7">
      <w:start w:val="0"/>
      <w:numFmt w:val="bullet"/>
      <w:lvlText w:val="•"/>
      <w:lvlJc w:val="left"/>
      <w:pPr>
        <w:ind w:left="6582" w:hanging="1049"/>
      </w:pPr>
      <w:rPr>
        <w:rFonts w:hint="default"/>
      </w:rPr>
    </w:lvl>
    <w:lvl w:ilvl="8">
      <w:start w:val="0"/>
      <w:numFmt w:val="bullet"/>
      <w:lvlText w:val="•"/>
      <w:lvlJc w:val="left"/>
      <w:pPr>
        <w:ind w:left="7236" w:hanging="1049"/>
      </w:pPr>
      <w:rPr>
        <w:rFonts w:hint="default"/>
      </w:rPr>
    </w:lvl>
  </w:abstractNum>
  <w:abstractNum w:abstractNumId="3">
    <w:multiLevelType w:val="hybridMultilevel"/>
    <w:lvl w:ilvl="0">
      <w:start w:val="11"/>
      <w:numFmt w:val="decimal"/>
      <w:lvlText w:val="%1"/>
      <w:lvlJc w:val="left"/>
      <w:pPr>
        <w:ind w:left="1166" w:hanging="629"/>
        <w:jc w:val="left"/>
      </w:pPr>
      <w:rPr>
        <w:rFonts w:hint="default"/>
      </w:rPr>
    </w:lvl>
    <w:lvl w:ilvl="1">
      <w:start w:val="3"/>
      <w:numFmt w:val="decimal"/>
      <w:lvlText w:val="%1.%2"/>
      <w:lvlJc w:val="left"/>
      <w:pPr>
        <w:ind w:left="1166" w:hanging="629"/>
        <w:jc w:val="left"/>
      </w:pPr>
      <w:rPr>
        <w:rFonts w:hint="default" w:ascii="宋体" w:hAnsi="宋体" w:eastAsia="宋体" w:cs="宋体"/>
        <w:spacing w:val="-1"/>
        <w:w w:val="43"/>
        <w:sz w:val="21"/>
        <w:szCs w:val="21"/>
      </w:rPr>
    </w:lvl>
    <w:lvl w:ilvl="2">
      <w:start w:val="1"/>
      <w:numFmt w:val="decimal"/>
      <w:lvlText w:val="%1.%2.%3."/>
      <w:lvlJc w:val="left"/>
      <w:pPr>
        <w:ind w:left="1903" w:hanging="946"/>
        <w:jc w:val="left"/>
      </w:pPr>
      <w:rPr>
        <w:rFonts w:hint="default" w:ascii="宋体" w:hAnsi="宋体" w:eastAsia="宋体" w:cs="宋体"/>
        <w:spacing w:val="-2"/>
        <w:w w:val="99"/>
        <w:sz w:val="21"/>
        <w:szCs w:val="21"/>
      </w:rPr>
    </w:lvl>
    <w:lvl w:ilvl="3">
      <w:start w:val="0"/>
      <w:numFmt w:val="bullet"/>
      <w:lvlText w:val="•"/>
      <w:lvlJc w:val="left"/>
      <w:pPr>
        <w:ind w:left="3376" w:hanging="946"/>
      </w:pPr>
      <w:rPr>
        <w:rFonts w:hint="default"/>
      </w:rPr>
    </w:lvl>
    <w:lvl w:ilvl="4">
      <w:start w:val="0"/>
      <w:numFmt w:val="bullet"/>
      <w:lvlText w:val="•"/>
      <w:lvlJc w:val="left"/>
      <w:pPr>
        <w:ind w:left="4115" w:hanging="946"/>
      </w:pPr>
      <w:rPr>
        <w:rFonts w:hint="default"/>
      </w:rPr>
    </w:lvl>
    <w:lvl w:ilvl="5">
      <w:start w:val="0"/>
      <w:numFmt w:val="bullet"/>
      <w:lvlText w:val="•"/>
      <w:lvlJc w:val="left"/>
      <w:pPr>
        <w:ind w:left="4853" w:hanging="946"/>
      </w:pPr>
      <w:rPr>
        <w:rFonts w:hint="default"/>
      </w:rPr>
    </w:lvl>
    <w:lvl w:ilvl="6">
      <w:start w:val="0"/>
      <w:numFmt w:val="bullet"/>
      <w:lvlText w:val="•"/>
      <w:lvlJc w:val="left"/>
      <w:pPr>
        <w:ind w:left="5592" w:hanging="946"/>
      </w:pPr>
      <w:rPr>
        <w:rFonts w:hint="default"/>
      </w:rPr>
    </w:lvl>
    <w:lvl w:ilvl="7">
      <w:start w:val="0"/>
      <w:numFmt w:val="bullet"/>
      <w:lvlText w:val="•"/>
      <w:lvlJc w:val="left"/>
      <w:pPr>
        <w:ind w:left="6330" w:hanging="946"/>
      </w:pPr>
      <w:rPr>
        <w:rFonts w:hint="default"/>
      </w:rPr>
    </w:lvl>
    <w:lvl w:ilvl="8">
      <w:start w:val="0"/>
      <w:numFmt w:val="bullet"/>
      <w:lvlText w:val="•"/>
      <w:lvlJc w:val="left"/>
      <w:pPr>
        <w:ind w:left="7069" w:hanging="946"/>
      </w:pPr>
      <w:rPr>
        <w:rFonts w:hint="default"/>
      </w:rPr>
    </w:lvl>
  </w:abstractNum>
  <w:abstractNum w:abstractNumId="2">
    <w:multiLevelType w:val="hybridMultilevel"/>
    <w:lvl w:ilvl="0">
      <w:start w:val="1"/>
      <w:numFmt w:val="decimal"/>
      <w:lvlText w:val="%1"/>
      <w:lvlJc w:val="left"/>
      <w:pPr>
        <w:ind w:left="537" w:hanging="420"/>
        <w:jc w:val="left"/>
      </w:pPr>
      <w:rPr>
        <w:rFonts w:hint="default" w:ascii="宋体" w:hAnsi="宋体" w:eastAsia="宋体" w:cs="宋体"/>
        <w:w w:val="93"/>
        <w:sz w:val="21"/>
        <w:szCs w:val="21"/>
      </w:rPr>
    </w:lvl>
    <w:lvl w:ilvl="1">
      <w:start w:val="1"/>
      <w:numFmt w:val="decimal"/>
      <w:lvlText w:val="%1.%2"/>
      <w:lvlJc w:val="left"/>
      <w:pPr>
        <w:ind w:left="1166" w:hanging="629"/>
        <w:jc w:val="left"/>
      </w:pPr>
      <w:rPr>
        <w:rFonts w:hint="default" w:ascii="宋体" w:hAnsi="宋体" w:eastAsia="宋体" w:cs="宋体"/>
        <w:spacing w:val="-1"/>
        <w:w w:val="43"/>
        <w:sz w:val="21"/>
        <w:szCs w:val="21"/>
      </w:rPr>
    </w:lvl>
    <w:lvl w:ilvl="2">
      <w:start w:val="1"/>
      <w:numFmt w:val="decimal"/>
      <w:lvlText w:val="%1.%2.%3"/>
      <w:lvlJc w:val="left"/>
      <w:pPr>
        <w:ind w:left="1797" w:hanging="840"/>
        <w:jc w:val="left"/>
      </w:pPr>
      <w:rPr>
        <w:rFonts w:hint="default" w:ascii="宋体" w:hAnsi="宋体" w:eastAsia="宋体" w:cs="宋体"/>
        <w:spacing w:val="-2"/>
        <w:w w:val="99"/>
        <w:sz w:val="21"/>
        <w:szCs w:val="21"/>
      </w:rPr>
    </w:lvl>
    <w:lvl w:ilvl="3">
      <w:start w:val="0"/>
      <w:numFmt w:val="bullet"/>
      <w:lvlText w:val="•"/>
      <w:lvlJc w:val="left"/>
      <w:pPr>
        <w:ind w:left="2643" w:hanging="840"/>
      </w:pPr>
      <w:rPr>
        <w:rFonts w:hint="default"/>
      </w:rPr>
    </w:lvl>
    <w:lvl w:ilvl="4">
      <w:start w:val="0"/>
      <w:numFmt w:val="bullet"/>
      <w:lvlText w:val="•"/>
      <w:lvlJc w:val="left"/>
      <w:pPr>
        <w:ind w:left="3486" w:hanging="840"/>
      </w:pPr>
      <w:rPr>
        <w:rFonts w:hint="default"/>
      </w:rPr>
    </w:lvl>
    <w:lvl w:ilvl="5">
      <w:start w:val="0"/>
      <w:numFmt w:val="bullet"/>
      <w:lvlText w:val="•"/>
      <w:lvlJc w:val="left"/>
      <w:pPr>
        <w:ind w:left="4329" w:hanging="840"/>
      </w:pPr>
      <w:rPr>
        <w:rFonts w:hint="default"/>
      </w:rPr>
    </w:lvl>
    <w:lvl w:ilvl="6">
      <w:start w:val="0"/>
      <w:numFmt w:val="bullet"/>
      <w:lvlText w:val="•"/>
      <w:lvlJc w:val="left"/>
      <w:pPr>
        <w:ind w:left="5173" w:hanging="840"/>
      </w:pPr>
      <w:rPr>
        <w:rFonts w:hint="default"/>
      </w:rPr>
    </w:lvl>
    <w:lvl w:ilvl="7">
      <w:start w:val="0"/>
      <w:numFmt w:val="bullet"/>
      <w:lvlText w:val="•"/>
      <w:lvlJc w:val="left"/>
      <w:pPr>
        <w:ind w:left="6016" w:hanging="840"/>
      </w:pPr>
      <w:rPr>
        <w:rFonts w:hint="default"/>
      </w:rPr>
    </w:lvl>
    <w:lvl w:ilvl="8">
      <w:start w:val="0"/>
      <w:numFmt w:val="bullet"/>
      <w:lvlText w:val="•"/>
      <w:lvlJc w:val="left"/>
      <w:pPr>
        <w:ind w:left="6859" w:hanging="840"/>
      </w:pPr>
      <w:rPr>
        <w:rFonts w:hint="default"/>
      </w:rPr>
    </w:lvl>
  </w:abstractNum>
  <w:abstractNum w:abstractNumId="1">
    <w:multiLevelType w:val="hybridMultilevel"/>
    <w:lvl w:ilvl="0">
      <w:start w:val="0"/>
      <w:numFmt w:val="bullet"/>
      <w:lvlText w:val="�"/>
      <w:lvlJc w:val="left"/>
      <w:pPr>
        <w:ind w:left="853" w:hanging="423"/>
      </w:pPr>
      <w:rPr>
        <w:rFonts w:hint="default" w:ascii="Microsoft Sans Serif" w:hAnsi="Microsoft Sans Serif" w:eastAsia="Microsoft Sans Serif" w:cs="Microsoft Sans Serif"/>
        <w:w w:val="129"/>
        <w:sz w:val="21"/>
        <w:szCs w:val="21"/>
      </w:rPr>
    </w:lvl>
    <w:lvl w:ilvl="1">
      <w:start w:val="0"/>
      <w:numFmt w:val="bullet"/>
      <w:lvlText w:val="•"/>
      <w:lvlJc w:val="left"/>
      <w:pPr>
        <w:ind w:left="1730" w:hanging="423"/>
      </w:pPr>
      <w:rPr>
        <w:rFonts w:hint="default"/>
      </w:rPr>
    </w:lvl>
    <w:lvl w:ilvl="2">
      <w:start w:val="0"/>
      <w:numFmt w:val="bullet"/>
      <w:lvlText w:val="•"/>
      <w:lvlJc w:val="left"/>
      <w:pPr>
        <w:ind w:left="2601" w:hanging="423"/>
      </w:pPr>
      <w:rPr>
        <w:rFonts w:hint="default"/>
      </w:rPr>
    </w:lvl>
    <w:lvl w:ilvl="3">
      <w:start w:val="0"/>
      <w:numFmt w:val="bullet"/>
      <w:lvlText w:val="•"/>
      <w:lvlJc w:val="left"/>
      <w:pPr>
        <w:ind w:left="3471" w:hanging="423"/>
      </w:pPr>
      <w:rPr>
        <w:rFonts w:hint="default"/>
      </w:rPr>
    </w:lvl>
    <w:lvl w:ilvl="4">
      <w:start w:val="0"/>
      <w:numFmt w:val="bullet"/>
      <w:lvlText w:val="•"/>
      <w:lvlJc w:val="left"/>
      <w:pPr>
        <w:ind w:left="4342" w:hanging="423"/>
      </w:pPr>
      <w:rPr>
        <w:rFonts w:hint="default"/>
      </w:rPr>
    </w:lvl>
    <w:lvl w:ilvl="5">
      <w:start w:val="0"/>
      <w:numFmt w:val="bullet"/>
      <w:lvlText w:val="•"/>
      <w:lvlJc w:val="left"/>
      <w:pPr>
        <w:ind w:left="5213" w:hanging="423"/>
      </w:pPr>
      <w:rPr>
        <w:rFonts w:hint="default"/>
      </w:rPr>
    </w:lvl>
    <w:lvl w:ilvl="6">
      <w:start w:val="0"/>
      <w:numFmt w:val="bullet"/>
      <w:lvlText w:val="•"/>
      <w:lvlJc w:val="left"/>
      <w:pPr>
        <w:ind w:left="6083" w:hanging="423"/>
      </w:pPr>
      <w:rPr>
        <w:rFonts w:hint="default"/>
      </w:rPr>
    </w:lvl>
    <w:lvl w:ilvl="7">
      <w:start w:val="0"/>
      <w:numFmt w:val="bullet"/>
      <w:lvlText w:val="•"/>
      <w:lvlJc w:val="left"/>
      <w:pPr>
        <w:ind w:left="6954" w:hanging="423"/>
      </w:pPr>
      <w:rPr>
        <w:rFonts w:hint="default"/>
      </w:rPr>
    </w:lvl>
    <w:lvl w:ilvl="8">
      <w:start w:val="0"/>
      <w:numFmt w:val="bullet"/>
      <w:lvlText w:val="•"/>
      <w:lvlJc w:val="left"/>
      <w:pPr>
        <w:ind w:left="7824" w:hanging="423"/>
      </w:pPr>
      <w:rPr>
        <w:rFonts w:hint="default"/>
      </w:rPr>
    </w:lvl>
  </w:abstractNum>
  <w:abstractNum w:abstractNumId="0">
    <w:multiLevelType w:val="hybridMultilevel"/>
    <w:lvl w:ilvl="0">
      <w:start w:val="0"/>
      <w:numFmt w:val="bullet"/>
      <w:lvlText w:val="�"/>
      <w:lvlJc w:val="left"/>
      <w:pPr>
        <w:ind w:left="957" w:hanging="414"/>
      </w:pPr>
      <w:rPr>
        <w:rFonts w:hint="default" w:ascii="Microsoft Sans Serif" w:hAnsi="Microsoft Sans Serif" w:eastAsia="Microsoft Sans Serif" w:cs="Microsoft Sans Serif"/>
        <w:w w:val="129"/>
        <w:sz w:val="21"/>
        <w:szCs w:val="21"/>
      </w:rPr>
    </w:lvl>
    <w:lvl w:ilvl="1">
      <w:start w:val="0"/>
      <w:numFmt w:val="bullet"/>
      <w:lvlText w:val="•"/>
      <w:lvlJc w:val="left"/>
      <w:pPr>
        <w:ind w:left="1820" w:hanging="414"/>
      </w:pPr>
      <w:rPr>
        <w:rFonts w:hint="default"/>
      </w:rPr>
    </w:lvl>
    <w:lvl w:ilvl="2">
      <w:start w:val="0"/>
      <w:numFmt w:val="bullet"/>
      <w:lvlText w:val="•"/>
      <w:lvlJc w:val="left"/>
      <w:pPr>
        <w:ind w:left="2681" w:hanging="414"/>
      </w:pPr>
      <w:rPr>
        <w:rFonts w:hint="default"/>
      </w:rPr>
    </w:lvl>
    <w:lvl w:ilvl="3">
      <w:start w:val="0"/>
      <w:numFmt w:val="bullet"/>
      <w:lvlText w:val="•"/>
      <w:lvlJc w:val="left"/>
      <w:pPr>
        <w:ind w:left="3541" w:hanging="414"/>
      </w:pPr>
      <w:rPr>
        <w:rFonts w:hint="default"/>
      </w:rPr>
    </w:lvl>
    <w:lvl w:ilvl="4">
      <w:start w:val="0"/>
      <w:numFmt w:val="bullet"/>
      <w:lvlText w:val="•"/>
      <w:lvlJc w:val="left"/>
      <w:pPr>
        <w:ind w:left="4402" w:hanging="414"/>
      </w:pPr>
      <w:rPr>
        <w:rFonts w:hint="default"/>
      </w:rPr>
    </w:lvl>
    <w:lvl w:ilvl="5">
      <w:start w:val="0"/>
      <w:numFmt w:val="bullet"/>
      <w:lvlText w:val="•"/>
      <w:lvlJc w:val="left"/>
      <w:pPr>
        <w:ind w:left="5263" w:hanging="414"/>
      </w:pPr>
      <w:rPr>
        <w:rFonts w:hint="default"/>
      </w:rPr>
    </w:lvl>
    <w:lvl w:ilvl="6">
      <w:start w:val="0"/>
      <w:numFmt w:val="bullet"/>
      <w:lvlText w:val="•"/>
      <w:lvlJc w:val="left"/>
      <w:pPr>
        <w:ind w:left="6123" w:hanging="414"/>
      </w:pPr>
      <w:rPr>
        <w:rFonts w:hint="default"/>
      </w:rPr>
    </w:lvl>
    <w:lvl w:ilvl="7">
      <w:start w:val="0"/>
      <w:numFmt w:val="bullet"/>
      <w:lvlText w:val="•"/>
      <w:lvlJc w:val="left"/>
      <w:pPr>
        <w:ind w:left="6984" w:hanging="414"/>
      </w:pPr>
      <w:rPr>
        <w:rFonts w:hint="default"/>
      </w:rPr>
    </w:lvl>
    <w:lvl w:ilvl="8">
      <w:start w:val="0"/>
      <w:numFmt w:val="bullet"/>
      <w:lvlText w:val="•"/>
      <w:lvlJc w:val="left"/>
      <w:pPr>
        <w:ind w:left="7844" w:hanging="414"/>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537" w:hanging="420"/>
    </w:pPr>
    <w:rPr>
      <w:rFonts w:ascii="宋体" w:hAnsi="宋体" w:eastAsia="宋体" w:cs="宋体"/>
      <w:sz w:val="21"/>
      <w:szCs w:val="21"/>
    </w:rPr>
  </w:style>
  <w:style w:styleId="TOC2" w:type="paragraph">
    <w:name w:val="TOC 2"/>
    <w:basedOn w:val="Normal"/>
    <w:uiPriority w:val="1"/>
    <w:qFormat/>
    <w:pPr>
      <w:spacing w:before="21"/>
      <w:ind w:left="1166" w:hanging="629"/>
    </w:pPr>
    <w:rPr>
      <w:rFonts w:ascii="宋体" w:hAnsi="宋体" w:eastAsia="宋体" w:cs="宋体"/>
      <w:sz w:val="21"/>
      <w:szCs w:val="21"/>
    </w:rPr>
  </w:style>
  <w:style w:styleId="TOC3" w:type="paragraph">
    <w:name w:val="TOC 3"/>
    <w:basedOn w:val="Normal"/>
    <w:uiPriority w:val="1"/>
    <w:qFormat/>
    <w:pPr>
      <w:spacing w:before="21"/>
      <w:ind w:left="2006" w:hanging="1049"/>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706"/>
      <w:outlineLvl w:val="1"/>
    </w:pPr>
    <w:rPr>
      <w:rFonts w:ascii="Microsoft JhengHei UI" w:hAnsi="Microsoft JhengHei UI" w:eastAsia="Microsoft JhengHei UI" w:cs="Microsoft JhengHei UI"/>
      <w:b/>
      <w:bCs/>
      <w:sz w:val="28"/>
      <w:szCs w:val="28"/>
    </w:rPr>
  </w:style>
  <w:style w:styleId="Heading2" w:type="paragraph">
    <w:name w:val="Heading 2"/>
    <w:basedOn w:val="Normal"/>
    <w:uiPriority w:val="1"/>
    <w:qFormat/>
    <w:pPr>
      <w:ind w:left="1203" w:hanging="1086"/>
      <w:outlineLvl w:val="2"/>
    </w:pPr>
    <w:rPr>
      <w:rFonts w:ascii="Microsoft JhengHei UI" w:hAnsi="Microsoft JhengHei UI" w:eastAsia="Microsoft JhengHei UI" w:cs="Microsoft JhengHei UI"/>
      <w:b/>
      <w:bCs/>
      <w:sz w:val="21"/>
      <w:szCs w:val="21"/>
    </w:rPr>
  </w:style>
  <w:style w:styleId="ListParagraph" w:type="paragraph">
    <w:name w:val="List Paragraph"/>
    <w:basedOn w:val="Normal"/>
    <w:uiPriority w:val="1"/>
    <w:qFormat/>
    <w:pPr>
      <w:spacing w:before="21"/>
      <w:ind w:left="1203"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 Corporation</dc:creator>
  <dc:title>阅读指引</dc:title>
  <dcterms:created xsi:type="dcterms:W3CDTF">2018-10-19T22:44:30Z</dcterms:created>
  <dcterms:modified xsi:type="dcterms:W3CDTF">2018-10-19T22:44:30Z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WPS Office 个人版</vt:lpwstr>
  </property>
  <property fmtid="{D5CDD505-2E9C-101B-9397-08002B2CF9AE}" pid="4" name="LastSaved">
    <vt:filetime>2018-10-19T00:00:00Z</vt:filetime>
  </property>
</Properties>
</file>