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707" w:val="left" w:leader="none"/>
        </w:tabs>
        <w:spacing w:line="407" w:lineRule="exact" w:before="0"/>
        <w:ind w:left="363" w:right="0" w:firstLine="0"/>
        <w:jc w:val="left"/>
        <w:rPr>
          <w:sz w:val="20"/>
        </w:rPr>
      </w:pPr>
      <w:r>
        <w:rPr/>
        <w:drawing>
          <wp:anchor distT="0" distB="0" distL="0" distR="0" allowOverlap="1" layoutInCell="1" locked="0" behindDoc="1" simplePos="0" relativeHeight="268420559">
            <wp:simplePos x="0" y="0"/>
            <wp:positionH relativeFrom="page">
              <wp:posOffset>5408929</wp:posOffset>
            </wp:positionH>
            <wp:positionV relativeFrom="paragraph">
              <wp:posOffset>190754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color w:val="003E7D"/>
          <w:position w:val="-11"/>
          <w:sz w:val="32"/>
        </w:rPr>
        <w:t>联泰大都会人寿保险有限公司</w:t>
        <w:tab/>
      </w:r>
      <w:r>
        <w:rPr>
          <w:sz w:val="20"/>
        </w:rPr>
        <w:t>联泰大都会[2009]疾病保险</w:t>
      </w:r>
      <w:r>
        <w:rPr>
          <w:spacing w:val="-53"/>
          <w:sz w:val="20"/>
        </w:rPr>
        <w:t> </w:t>
      </w:r>
      <w:r>
        <w:rPr>
          <w:sz w:val="20"/>
        </w:rPr>
        <w:t>182</w:t>
      </w:r>
      <w:r>
        <w:rPr>
          <w:spacing w:val="-54"/>
          <w:sz w:val="20"/>
        </w:rPr>
        <w:t> </w:t>
      </w:r>
      <w:r>
        <w:rPr>
          <w:sz w:val="20"/>
        </w:rPr>
        <w:t>号</w:t>
      </w:r>
    </w:p>
    <w:p>
      <w:pPr>
        <w:pStyle w:val="BodyText"/>
        <w:spacing w:before="9"/>
        <w:ind w:left="0"/>
        <w:rPr>
          <w:sz w:val="25"/>
        </w:rPr>
      </w:pPr>
    </w:p>
    <w:p>
      <w:pPr>
        <w:spacing w:before="1"/>
        <w:ind w:left="382" w:right="0" w:firstLine="0"/>
        <w:jc w:val="left"/>
        <w:rPr>
          <w:b/>
          <w:sz w:val="30"/>
        </w:rPr>
      </w:pPr>
      <w:r>
        <w:rPr>
          <w:b/>
          <w:sz w:val="30"/>
        </w:rPr>
        <w:t>附加豁免保险费长期重大疾病保险（A 款）条款</w:t>
      </w:r>
    </w:p>
    <w:p>
      <w:pPr>
        <w:pStyle w:val="BodyText"/>
        <w:spacing w:before="6"/>
        <w:ind w:left="0"/>
        <w:rPr>
          <w:b/>
          <w:sz w:val="17"/>
        </w:rPr>
      </w:pPr>
    </w:p>
    <w:p>
      <w:pPr>
        <w:spacing w:after="0"/>
        <w:rPr>
          <w:sz w:val="17"/>
        </w:rPr>
        <w:sectPr>
          <w:footerReference w:type="default" r:id="rId5"/>
          <w:type w:val="continuous"/>
          <w:pgSz w:w="11910" w:h="16840"/>
          <w:pgMar w:footer="757" w:top="980" w:bottom="940" w:left="880" w:right="720"/>
        </w:sectPr>
      </w:pPr>
    </w:p>
    <w:p>
      <w:pPr>
        <w:pStyle w:val="BodyText"/>
        <w:spacing w:before="8"/>
        <w:ind w:left="0"/>
        <w:rPr>
          <w:b/>
          <w:sz w:val="11"/>
        </w:rPr>
      </w:pPr>
    </w:p>
    <w:p>
      <w:pPr>
        <w:spacing w:before="0"/>
        <w:ind w:left="382" w:right="0" w:firstLine="0"/>
        <w:jc w:val="left"/>
        <w:rPr>
          <w:sz w:val="16"/>
        </w:rPr>
      </w:pPr>
      <w:r>
        <w:rPr>
          <w:sz w:val="16"/>
        </w:rPr>
        <w:t>联泰大都会人寿保险有限公司（以下简称“我们”）</w:t>
      </w:r>
    </w:p>
    <w:p>
      <w:pPr>
        <w:pStyle w:val="Heading2"/>
        <w:spacing w:before="38"/>
      </w:pPr>
      <w:r>
        <w:rPr/>
        <w:br w:type="column"/>
      </w:r>
      <w:r>
        <w:rPr>
          <w:w w:val="95"/>
        </w:rPr>
        <w:t>请扫描以查询验证条款</w:t>
      </w:r>
    </w:p>
    <w:p>
      <w:pPr>
        <w:spacing w:after="0"/>
        <w:sectPr>
          <w:type w:val="continuous"/>
          <w:pgSz w:w="11910" w:h="16840"/>
          <w:pgMar w:top="980" w:bottom="940" w:left="880" w:right="720"/>
          <w:cols w:num="2" w:equalWidth="0">
            <w:col w:w="4065" w:space="2762"/>
            <w:col w:w="3483"/>
          </w:cols>
        </w:sectPr>
      </w:pPr>
    </w:p>
    <w:p>
      <w:pPr>
        <w:pStyle w:val="BodyText"/>
        <w:spacing w:before="0" w:after="1"/>
        <w:ind w:left="0"/>
        <w:rPr>
          <w:sz w:val="11"/>
        </w:r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0" w:firstLine="0"/>
        <w:jc w:val="center"/>
        <w:rPr>
          <w:b/>
          <w:sz w:val="28"/>
        </w:rPr>
      </w:pPr>
      <w:r>
        <w:rPr>
          <w:b/>
          <w:sz w:val="28"/>
        </w:rPr>
        <w:t>阅 读 指 南</w:t>
      </w:r>
    </w:p>
    <w:p>
      <w:pPr>
        <w:pStyle w:val="Heading1"/>
        <w:spacing w:line="463" w:lineRule="auto" w:before="130"/>
        <w:ind w:left="1756" w:right="1770"/>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5" w:lineRule="auto" w:before="135"/>
        <w:ind w:left="538" w:right="1680" w:firstLine="0"/>
        <w:jc w:val="left"/>
        <w:rPr>
          <w:sz w:val="21"/>
        </w:rPr>
      </w:pPr>
      <w:r>
        <w:rPr>
          <w:spacing w:val="-7"/>
          <w:sz w:val="21"/>
        </w:rPr>
        <w:t>您有权在签收保险合同后 </w:t>
      </w:r>
      <w:r>
        <w:rPr>
          <w:sz w:val="21"/>
        </w:rPr>
        <w:t>10</w:t>
      </w:r>
      <w:r>
        <w:rPr>
          <w:spacing w:val="-7"/>
          <w:sz w:val="21"/>
        </w:rPr>
        <w:t> 日内解除合同，并获取全额退还的保险费........第十三条</w:t>
      </w:r>
      <w:r>
        <w:rPr>
          <w:spacing w:val="-3"/>
          <w:sz w:val="21"/>
        </w:rPr>
        <w:t>您指定的受益人可以享受保险合同项下的保障利益.........................第五条</w:t>
      </w:r>
    </w:p>
    <w:p>
      <w:pPr>
        <w:pStyle w:val="Heading1"/>
        <w:spacing w:before="154"/>
        <w:ind w:left="1756" w:right="1770"/>
        <w:jc w:val="center"/>
      </w:pPr>
      <w:r>
        <w:rPr/>
        <w:t>您应当特别注意的事项</w:t>
      </w:r>
    </w:p>
    <w:p>
      <w:pPr>
        <w:pStyle w:val="BodyText"/>
        <w:spacing w:before="6"/>
        <w:ind w:left="0"/>
        <w:rPr>
          <w:b/>
          <w:sz w:val="19"/>
        </w:rPr>
      </w:pPr>
    </w:p>
    <w:p>
      <w:pPr>
        <w:spacing w:line="355" w:lineRule="auto" w:before="0"/>
        <w:ind w:left="538" w:right="206" w:firstLine="0"/>
        <w:jc w:val="left"/>
        <w:rPr>
          <w:sz w:val="21"/>
        </w:rPr>
      </w:pPr>
      <w:r>
        <w:rPr>
          <w:sz w:val="21"/>
        </w:rPr>
        <w:t>在特定情况下，我们不承担保险责任，并做了显著标识，请您注意...........第五、六、十三、十四条解除合同会给您造成一定的损失，请您慎重抉择...........................第十三条</w:t>
      </w:r>
    </w:p>
    <w:p>
      <w:pPr>
        <w:spacing w:before="34"/>
        <w:ind w:left="538" w:right="0" w:firstLine="0"/>
        <w:jc w:val="left"/>
        <w:rPr>
          <w:sz w:val="21"/>
        </w:rPr>
      </w:pPr>
      <w:r>
        <w:rPr>
          <w:sz w:val="21"/>
        </w:rPr>
        <w:t>我们对一些重要术语进行了解释，并作了显著标识，请您注意...............第十四、十五条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761"/>
        <w:gridCol w:w="1010"/>
        <w:gridCol w:w="491"/>
        <w:gridCol w:w="1086"/>
        <w:gridCol w:w="2676"/>
      </w:tblGrid>
      <w:tr>
        <w:trPr>
          <w:trHeight w:val="436" w:hRule="atLeast"/>
        </w:trPr>
        <w:tc>
          <w:tcPr>
            <w:tcW w:w="3653" w:type="dxa"/>
            <w:gridSpan w:val="2"/>
          </w:tcPr>
          <w:p>
            <w:pPr>
              <w:pStyle w:val="TableParagraph"/>
              <w:rPr>
                <w:rFonts w:ascii="Times New Roman"/>
                <w:sz w:val="20"/>
              </w:rPr>
            </w:pPr>
          </w:p>
        </w:tc>
        <w:tc>
          <w:tcPr>
            <w:tcW w:w="1010" w:type="dxa"/>
          </w:tcPr>
          <w:p>
            <w:pPr>
              <w:pStyle w:val="TableParagraph"/>
              <w:spacing w:line="281" w:lineRule="exact"/>
              <w:ind w:left="659"/>
              <w:rPr>
                <w:b/>
                <w:sz w:val="28"/>
              </w:rPr>
            </w:pPr>
            <w:r>
              <w:rPr>
                <w:b/>
                <w:w w:val="99"/>
                <w:sz w:val="28"/>
              </w:rPr>
              <w:t>目</w:t>
            </w:r>
          </w:p>
        </w:tc>
        <w:tc>
          <w:tcPr>
            <w:tcW w:w="491" w:type="dxa"/>
          </w:tcPr>
          <w:p>
            <w:pPr>
              <w:pStyle w:val="TableParagraph"/>
              <w:spacing w:line="281" w:lineRule="exact"/>
              <w:ind w:left="72"/>
              <w:rPr>
                <w:b/>
                <w:sz w:val="28"/>
              </w:rPr>
            </w:pPr>
            <w:r>
              <w:rPr>
                <w:b/>
                <w:w w:val="99"/>
                <w:sz w:val="28"/>
              </w:rPr>
              <w:t>录</w:t>
            </w:r>
          </w:p>
        </w:tc>
        <w:tc>
          <w:tcPr>
            <w:tcW w:w="3762" w:type="dxa"/>
            <w:gridSpan w:val="2"/>
          </w:tcPr>
          <w:p>
            <w:pPr>
              <w:pStyle w:val="TableParagraph"/>
              <w:rPr>
                <w:rFonts w:ascii="Times New Roman"/>
                <w:sz w:val="20"/>
              </w:rPr>
            </w:pPr>
          </w:p>
        </w:tc>
      </w:tr>
      <w:tr>
        <w:trPr>
          <w:trHeight w:val="466" w:hRule="atLeast"/>
        </w:trPr>
        <w:tc>
          <w:tcPr>
            <w:tcW w:w="892" w:type="dxa"/>
          </w:tcPr>
          <w:p>
            <w:pPr>
              <w:pStyle w:val="TableParagraph"/>
              <w:spacing w:before="92"/>
              <w:ind w:left="50"/>
              <w:rPr>
                <w:sz w:val="21"/>
              </w:rPr>
            </w:pPr>
            <w:hyperlink w:history="true" w:anchor="_bookmark0">
              <w:r>
                <w:rPr>
                  <w:sz w:val="21"/>
                </w:rPr>
                <w:t>第一条</w:t>
              </w:r>
            </w:hyperlink>
          </w:p>
        </w:tc>
        <w:tc>
          <w:tcPr>
            <w:tcW w:w="2761" w:type="dxa"/>
          </w:tcPr>
          <w:p>
            <w:pPr>
              <w:pStyle w:val="TableParagraph"/>
              <w:spacing w:before="92"/>
              <w:ind w:left="209"/>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92"/>
              <w:ind w:left="143"/>
              <w:rPr>
                <w:sz w:val="21"/>
              </w:rPr>
            </w:pPr>
            <w:hyperlink w:history="true" w:anchor="_bookmark8">
              <w:r>
                <w:rPr>
                  <w:sz w:val="21"/>
                </w:rPr>
                <w:t>第九条</w:t>
              </w:r>
            </w:hyperlink>
          </w:p>
        </w:tc>
        <w:tc>
          <w:tcPr>
            <w:tcW w:w="2676" w:type="dxa"/>
          </w:tcPr>
          <w:p>
            <w:pPr>
              <w:pStyle w:val="TableParagraph"/>
              <w:spacing w:before="92"/>
              <w:ind w:left="108"/>
              <w:rPr>
                <w:sz w:val="21"/>
              </w:rPr>
            </w:pPr>
            <w:hyperlink w:history="true" w:anchor="_bookmark8">
              <w:r>
                <w:rPr>
                  <w:sz w:val="21"/>
                </w:rPr>
                <w:t>保险费率的调整</w:t>
              </w:r>
            </w:hyperlink>
          </w:p>
        </w:tc>
      </w:tr>
      <w:tr>
        <w:trPr>
          <w:trHeight w:val="410" w:hRule="atLeast"/>
        </w:trPr>
        <w:tc>
          <w:tcPr>
            <w:tcW w:w="892"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209"/>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9">
              <w:r>
                <w:rPr>
                  <w:sz w:val="21"/>
                </w:rPr>
                <w:t>第十条</w:t>
              </w:r>
            </w:hyperlink>
          </w:p>
        </w:tc>
        <w:tc>
          <w:tcPr>
            <w:tcW w:w="2676" w:type="dxa"/>
          </w:tcPr>
          <w:p>
            <w:pPr>
              <w:pStyle w:val="TableParagraph"/>
              <w:spacing w:before="36"/>
              <w:ind w:left="108"/>
              <w:rPr>
                <w:sz w:val="21"/>
              </w:rPr>
            </w:pPr>
            <w:hyperlink w:history="true" w:anchor="_bookmark9">
              <w:r>
                <w:rPr>
                  <w:sz w:val="21"/>
                </w:rPr>
                <w:t>理赔的申请</w:t>
              </w:r>
            </w:hyperlink>
          </w:p>
        </w:tc>
      </w:tr>
      <w:tr>
        <w:trPr>
          <w:trHeight w:val="409" w:hRule="atLeast"/>
        </w:trPr>
        <w:tc>
          <w:tcPr>
            <w:tcW w:w="892"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209"/>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0">
              <w:r>
                <w:rPr>
                  <w:sz w:val="21"/>
                </w:rPr>
                <w:t>第十一条</w:t>
              </w:r>
            </w:hyperlink>
          </w:p>
        </w:tc>
        <w:tc>
          <w:tcPr>
            <w:tcW w:w="2676" w:type="dxa"/>
          </w:tcPr>
          <w:p>
            <w:pPr>
              <w:pStyle w:val="TableParagraph"/>
              <w:spacing w:before="36"/>
              <w:ind w:left="317"/>
              <w:rPr>
                <w:sz w:val="21"/>
              </w:rPr>
            </w:pPr>
            <w:hyperlink w:history="true" w:anchor="_bookmark10">
              <w:r>
                <w:rPr>
                  <w:sz w:val="21"/>
                </w:rPr>
                <w:t>诉讼时效</w:t>
              </w:r>
            </w:hyperlink>
          </w:p>
        </w:tc>
      </w:tr>
      <w:tr>
        <w:trPr>
          <w:trHeight w:val="409" w:hRule="atLeast"/>
        </w:trPr>
        <w:tc>
          <w:tcPr>
            <w:tcW w:w="892" w:type="dxa"/>
          </w:tcPr>
          <w:p>
            <w:pPr>
              <w:pStyle w:val="TableParagraph"/>
              <w:spacing w:before="34"/>
              <w:ind w:left="50"/>
              <w:rPr>
                <w:sz w:val="21"/>
              </w:rPr>
            </w:pPr>
            <w:hyperlink w:history="true" w:anchor="_bookmark3">
              <w:r>
                <w:rPr>
                  <w:sz w:val="21"/>
                </w:rPr>
                <w:t>第四条</w:t>
              </w:r>
            </w:hyperlink>
          </w:p>
        </w:tc>
        <w:tc>
          <w:tcPr>
            <w:tcW w:w="2761" w:type="dxa"/>
          </w:tcPr>
          <w:p>
            <w:pPr>
              <w:pStyle w:val="TableParagraph"/>
              <w:spacing w:before="34"/>
              <w:ind w:left="209"/>
              <w:rPr>
                <w:sz w:val="21"/>
              </w:rPr>
            </w:pPr>
            <w:hyperlink w:history="true" w:anchor="_bookmark3">
              <w:r>
                <w:rPr>
                  <w:sz w:val="21"/>
                </w:rPr>
                <w:t>豁免保险费</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1">
              <w:r>
                <w:rPr>
                  <w:sz w:val="21"/>
                </w:rPr>
                <w:t>第十二条</w:t>
              </w:r>
            </w:hyperlink>
          </w:p>
        </w:tc>
        <w:tc>
          <w:tcPr>
            <w:tcW w:w="2676" w:type="dxa"/>
          </w:tcPr>
          <w:p>
            <w:pPr>
              <w:pStyle w:val="TableParagraph"/>
              <w:spacing w:before="34"/>
              <w:ind w:left="317"/>
              <w:rPr>
                <w:sz w:val="21"/>
              </w:rPr>
            </w:pPr>
            <w:hyperlink w:history="true" w:anchor="_bookmark11">
              <w:r>
                <w:rPr>
                  <w:sz w:val="21"/>
                </w:rPr>
                <w:t>合同终止</w:t>
              </w:r>
            </w:hyperlink>
          </w:p>
        </w:tc>
      </w:tr>
      <w:tr>
        <w:trPr>
          <w:trHeight w:val="409" w:hRule="atLeast"/>
        </w:trPr>
        <w:tc>
          <w:tcPr>
            <w:tcW w:w="892" w:type="dxa"/>
          </w:tcPr>
          <w:p>
            <w:pPr>
              <w:pStyle w:val="TableParagraph"/>
              <w:spacing w:before="36"/>
              <w:ind w:left="50"/>
              <w:rPr>
                <w:sz w:val="21"/>
              </w:rPr>
            </w:pPr>
            <w:hyperlink w:history="true" w:anchor="_bookmark4">
              <w:r>
                <w:rPr>
                  <w:sz w:val="21"/>
                </w:rPr>
                <w:t>第五条</w:t>
              </w:r>
            </w:hyperlink>
          </w:p>
        </w:tc>
        <w:tc>
          <w:tcPr>
            <w:tcW w:w="2761" w:type="dxa"/>
          </w:tcPr>
          <w:p>
            <w:pPr>
              <w:pStyle w:val="TableParagraph"/>
              <w:spacing w:before="36"/>
              <w:ind w:left="209"/>
              <w:rPr>
                <w:sz w:val="21"/>
              </w:rPr>
            </w:pPr>
            <w:hyperlink w:history="true" w:anchor="_bookmark4">
              <w:r>
                <w:rPr>
                  <w:sz w:val="21"/>
                </w:rPr>
                <w:t>保险责任</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2">
              <w:r>
                <w:rPr>
                  <w:sz w:val="21"/>
                </w:rPr>
                <w:t>第十三条</w:t>
              </w:r>
            </w:hyperlink>
          </w:p>
        </w:tc>
        <w:tc>
          <w:tcPr>
            <w:tcW w:w="2676" w:type="dxa"/>
          </w:tcPr>
          <w:p>
            <w:pPr>
              <w:pStyle w:val="TableParagraph"/>
              <w:spacing w:before="36"/>
              <w:ind w:left="317"/>
              <w:rPr>
                <w:sz w:val="21"/>
              </w:rPr>
            </w:pPr>
            <w:hyperlink w:history="true" w:anchor="_bookmark12">
              <w:r>
                <w:rPr>
                  <w:sz w:val="21"/>
                </w:rPr>
                <w:t>您解除合同的手续及风险</w:t>
              </w:r>
            </w:hyperlink>
          </w:p>
        </w:tc>
      </w:tr>
      <w:tr>
        <w:trPr>
          <w:trHeight w:val="409" w:hRule="atLeast"/>
        </w:trPr>
        <w:tc>
          <w:tcPr>
            <w:tcW w:w="892" w:type="dxa"/>
          </w:tcPr>
          <w:p>
            <w:pPr>
              <w:pStyle w:val="TableParagraph"/>
              <w:spacing w:before="34"/>
              <w:ind w:left="50"/>
              <w:rPr>
                <w:sz w:val="21"/>
              </w:rPr>
            </w:pPr>
            <w:hyperlink w:history="true" w:anchor="_bookmark5">
              <w:r>
                <w:rPr>
                  <w:sz w:val="21"/>
                </w:rPr>
                <w:t>第六条</w:t>
              </w:r>
            </w:hyperlink>
          </w:p>
        </w:tc>
        <w:tc>
          <w:tcPr>
            <w:tcW w:w="2761" w:type="dxa"/>
          </w:tcPr>
          <w:p>
            <w:pPr>
              <w:pStyle w:val="TableParagraph"/>
              <w:spacing w:before="34"/>
              <w:ind w:left="209"/>
              <w:rPr>
                <w:sz w:val="21"/>
              </w:rPr>
            </w:pPr>
            <w:hyperlink w:history="true" w:anchor="_bookmark5">
              <w:r>
                <w:rPr>
                  <w:sz w:val="21"/>
                </w:rPr>
                <w:t>责任免除</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3">
              <w:r>
                <w:rPr>
                  <w:sz w:val="21"/>
                </w:rPr>
                <w:t>第十四条</w:t>
              </w:r>
            </w:hyperlink>
          </w:p>
        </w:tc>
        <w:tc>
          <w:tcPr>
            <w:tcW w:w="2676" w:type="dxa"/>
          </w:tcPr>
          <w:p>
            <w:pPr>
              <w:pStyle w:val="TableParagraph"/>
              <w:spacing w:before="34"/>
              <w:ind w:left="317"/>
              <w:rPr>
                <w:sz w:val="21"/>
              </w:rPr>
            </w:pPr>
            <w:hyperlink w:history="true" w:anchor="_bookmark13">
              <w:r>
                <w:rPr>
                  <w:sz w:val="21"/>
                </w:rPr>
                <w:t>重大疾病的释义</w:t>
              </w:r>
            </w:hyperlink>
          </w:p>
        </w:tc>
      </w:tr>
      <w:tr>
        <w:trPr>
          <w:trHeight w:val="410" w:hRule="atLeast"/>
        </w:trPr>
        <w:tc>
          <w:tcPr>
            <w:tcW w:w="892" w:type="dxa"/>
          </w:tcPr>
          <w:p>
            <w:pPr>
              <w:pStyle w:val="TableParagraph"/>
              <w:spacing w:before="36"/>
              <w:ind w:left="50"/>
              <w:rPr>
                <w:sz w:val="21"/>
              </w:rPr>
            </w:pPr>
            <w:hyperlink w:history="true" w:anchor="_bookmark6">
              <w:r>
                <w:rPr>
                  <w:sz w:val="21"/>
                </w:rPr>
                <w:t>第七条</w:t>
              </w:r>
            </w:hyperlink>
          </w:p>
        </w:tc>
        <w:tc>
          <w:tcPr>
            <w:tcW w:w="2761" w:type="dxa"/>
          </w:tcPr>
          <w:p>
            <w:pPr>
              <w:pStyle w:val="TableParagraph"/>
              <w:spacing w:before="36"/>
              <w:ind w:left="209"/>
              <w:rPr>
                <w:sz w:val="21"/>
              </w:rPr>
            </w:pPr>
            <w:hyperlink w:history="true" w:anchor="_bookmark6">
              <w:r>
                <w:rPr>
                  <w:sz w:val="21"/>
                </w:rPr>
                <w:t>保险费支付期间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4">
              <w:r>
                <w:rPr>
                  <w:sz w:val="21"/>
                </w:rPr>
                <w:t>第十五条</w:t>
              </w:r>
            </w:hyperlink>
          </w:p>
        </w:tc>
        <w:tc>
          <w:tcPr>
            <w:tcW w:w="2676" w:type="dxa"/>
          </w:tcPr>
          <w:p>
            <w:pPr>
              <w:pStyle w:val="TableParagraph"/>
              <w:spacing w:before="36"/>
              <w:ind w:left="317"/>
              <w:rPr>
                <w:sz w:val="21"/>
              </w:rPr>
            </w:pPr>
            <w:hyperlink w:history="true" w:anchor="_bookmark14">
              <w:r>
                <w:rPr>
                  <w:sz w:val="21"/>
                </w:rPr>
                <w:t>释义</w:t>
              </w:r>
            </w:hyperlink>
          </w:p>
        </w:tc>
      </w:tr>
      <w:tr>
        <w:trPr>
          <w:trHeight w:val="310" w:hRule="atLeast"/>
        </w:trPr>
        <w:tc>
          <w:tcPr>
            <w:tcW w:w="892" w:type="dxa"/>
          </w:tcPr>
          <w:p>
            <w:pPr>
              <w:pStyle w:val="TableParagraph"/>
              <w:spacing w:line="255" w:lineRule="exact" w:before="36"/>
              <w:ind w:left="50"/>
              <w:rPr>
                <w:sz w:val="21"/>
              </w:rPr>
            </w:pPr>
            <w:hyperlink w:history="true" w:anchor="_bookmark7">
              <w:r>
                <w:rPr>
                  <w:sz w:val="21"/>
                </w:rPr>
                <w:t>第八条</w:t>
              </w:r>
            </w:hyperlink>
          </w:p>
        </w:tc>
        <w:tc>
          <w:tcPr>
            <w:tcW w:w="2761" w:type="dxa"/>
          </w:tcPr>
          <w:p>
            <w:pPr>
              <w:pStyle w:val="TableParagraph"/>
              <w:spacing w:line="255" w:lineRule="exact" w:before="36"/>
              <w:ind w:left="209"/>
              <w:rPr>
                <w:sz w:val="21"/>
              </w:rPr>
            </w:pPr>
            <w:hyperlink w:history="true" w:anchor="_bookmark7">
              <w:r>
                <w:rPr>
                  <w:sz w:val="21"/>
                </w:rPr>
                <w:t>保险期间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rPr>
                <w:rFonts w:ascii="Times New Roman"/>
                <w:sz w:val="20"/>
              </w:rPr>
            </w:pPr>
          </w:p>
        </w:tc>
        <w:tc>
          <w:tcPr>
            <w:tcW w:w="2676" w:type="dxa"/>
          </w:tcPr>
          <w:p>
            <w:pPr>
              <w:pStyle w:val="TableParagraph"/>
              <w:rPr>
                <w:rFonts w:ascii="Times New Roman"/>
                <w:sz w:val="20"/>
              </w:rPr>
            </w:pPr>
          </w:p>
        </w:tc>
      </w:tr>
    </w:tbl>
    <w:p>
      <w:pPr>
        <w:spacing w:after="0"/>
        <w:rPr>
          <w:rFonts w:ascii="Times New Roman"/>
          <w:sz w:val="20"/>
        </w:rPr>
        <w:sectPr>
          <w:type w:val="continuous"/>
          <w:pgSz w:w="11910" w:h="16840"/>
          <w:pgMar w:top="98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90" w:val="left" w:leader="none"/>
        </w:tabs>
        <w:spacing w:line="348" w:lineRule="auto" w:before="139" w:after="0"/>
        <w:ind w:left="1189" w:right="163" w:hanging="651"/>
        <w:jc w:val="both"/>
        <w:rPr>
          <w:sz w:val="18"/>
        </w:rPr>
      </w:pPr>
      <w:r>
        <w:rPr>
          <w:sz w:val="18"/>
        </w:rPr>
        <w:t>本《附加豁免保险费长期重大疾病保险（A</w:t>
      </w:r>
      <w:r>
        <w:rPr>
          <w:spacing w:val="-4"/>
          <w:sz w:val="18"/>
        </w:rPr>
        <w:t> 款</w:t>
      </w:r>
      <w:r>
        <w:rPr>
          <w:sz w:val="18"/>
        </w:rPr>
        <w:t>）》合同（以下简称“本附加合同”）必须附加于我们提供选择的人</w:t>
      </w:r>
      <w:r>
        <w:rPr>
          <w:spacing w:val="2"/>
          <w:sz w:val="18"/>
        </w:rPr>
        <w:t>身保险合同</w:t>
      </w:r>
      <w:r>
        <w:rPr>
          <w:spacing w:val="5"/>
          <w:sz w:val="18"/>
        </w:rPr>
        <w:t>（</w:t>
      </w:r>
      <w:r>
        <w:rPr>
          <w:spacing w:val="2"/>
          <w:sz w:val="18"/>
        </w:rPr>
        <w:t>以下简称“主合同”）。 如主合同的投保人与主合同的被保险人为同一人，则投保人</w:t>
      </w:r>
      <w:r>
        <w:rPr>
          <w:spacing w:val="5"/>
          <w:sz w:val="18"/>
        </w:rPr>
        <w:t>（</w:t>
      </w:r>
      <w:r>
        <w:rPr>
          <w:spacing w:val="1"/>
          <w:sz w:val="18"/>
        </w:rPr>
        <w:t>以下简称“您”）可申请投保本附加合同，经我们审核同意后，可订立本附加合同。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67"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340" w:lineRule="auto" w:before="139" w:after="0"/>
        <w:ind w:left="1244" w:right="117" w:hanging="701"/>
        <w:jc w:val="left"/>
        <w:rPr>
          <w:sz w:val="18"/>
        </w:rPr>
      </w:pPr>
      <w:r>
        <w:rPr>
          <w:sz w:val="18"/>
        </w:rPr>
        <w:t>本附加合同的保险期间自本附加合同生效日起至主合同或主合同下指定的附加合同最后一期保险费的约定交费日</w:t>
      </w:r>
      <w:r>
        <w:rPr>
          <w:spacing w:val="-5"/>
          <w:sz w:val="18"/>
        </w:rPr>
        <w:t>止。但不晚于您年满 </w:t>
      </w:r>
      <w:r>
        <w:rPr>
          <w:rFonts w:ascii="Arial" w:eastAsia="Arial"/>
          <w:sz w:val="18"/>
        </w:rPr>
        <w:t>70</w:t>
      </w:r>
      <w:r>
        <w:rPr>
          <w:rFonts w:ascii="Arial" w:eastAsia="Arial"/>
          <w:spacing w:val="-9"/>
          <w:sz w:val="18"/>
        </w:rPr>
        <w:t> </w:t>
      </w:r>
      <w:r>
        <w:rPr>
          <w:spacing w:val="-1"/>
          <w:sz w:val="18"/>
        </w:rPr>
        <w:t>周岁的首个保单周年日。</w:t>
      </w:r>
    </w:p>
    <w:p>
      <w:pPr>
        <w:pStyle w:val="ListParagraph"/>
        <w:numPr>
          <w:ilvl w:val="1"/>
          <w:numId w:val="2"/>
        </w:numPr>
        <w:tabs>
          <w:tab w:pos="1244" w:val="left" w:leader="none"/>
          <w:tab w:pos="1245" w:val="left" w:leader="none"/>
        </w:tabs>
        <w:spacing w:line="240" w:lineRule="auto" w:before="20" w:after="0"/>
        <w:ind w:left="1244" w:right="0" w:hanging="701"/>
        <w:jc w:val="left"/>
        <w:rPr>
          <w:sz w:val="18"/>
        </w:rPr>
      </w:pPr>
      <w:r>
        <w:rPr>
          <w:sz w:val="18"/>
        </w:rPr>
        <w:t>本附加合同的豁免保险费期间至下列任何一种情形发生之日止：</w:t>
      </w:r>
    </w:p>
    <w:p>
      <w:pPr>
        <w:pStyle w:val="BodyText"/>
        <w:spacing w:before="106"/>
        <w:ind w:left="1244"/>
      </w:pPr>
      <w:r>
        <w:rPr>
          <w:w w:val="95"/>
        </w:rPr>
        <w:t>（</w:t>
      </w:r>
      <w:r>
        <w:rPr>
          <w:rFonts w:ascii="Arial" w:eastAsia="Arial"/>
          <w:w w:val="95"/>
        </w:rPr>
        <w:t>1</w:t>
      </w:r>
      <w:r>
        <w:rPr>
          <w:w w:val="95"/>
        </w:rPr>
        <w:t>）主合同解除或终止；</w:t>
      </w:r>
    </w:p>
    <w:p>
      <w:pPr>
        <w:pStyle w:val="BodyText"/>
        <w:spacing w:before="106"/>
        <w:ind w:left="1244"/>
      </w:pPr>
      <w:r>
        <w:rPr>
          <w:w w:val="95"/>
        </w:rPr>
        <w:t>（</w:t>
      </w:r>
      <w:r>
        <w:rPr>
          <w:rFonts w:ascii="Arial" w:eastAsia="Arial"/>
          <w:w w:val="95"/>
        </w:rPr>
        <w:t>2</w:t>
      </w:r>
      <w:r>
        <w:rPr>
          <w:w w:val="95"/>
        </w:rPr>
        <w:t>）本附加合同保险期满。</w:t>
      </w:r>
    </w:p>
    <w:p>
      <w:pPr>
        <w:pStyle w:val="ListParagraph"/>
        <w:numPr>
          <w:ilvl w:val="1"/>
          <w:numId w:val="2"/>
        </w:numPr>
        <w:tabs>
          <w:tab w:pos="1244" w:val="left" w:leader="none"/>
          <w:tab w:pos="1245" w:val="left" w:leader="none"/>
        </w:tabs>
        <w:spacing w:line="340" w:lineRule="auto" w:before="106" w:after="0"/>
        <w:ind w:left="1244" w:right="125" w:hanging="701"/>
        <w:jc w:val="left"/>
        <w:rPr>
          <w:sz w:val="18"/>
        </w:rPr>
      </w:pPr>
      <w:r>
        <w:rPr>
          <w:sz w:val="18"/>
        </w:rPr>
        <w:t>如您在主合同有效期内申请投保本附加合同，经我们审核同意后，我们对本附加合同应负的保险责任自本附加合</w:t>
      </w:r>
      <w:r>
        <w:rPr>
          <w:spacing w:val="-8"/>
          <w:sz w:val="18"/>
        </w:rPr>
        <w:t>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4" w:val="left" w:leader="none"/>
        </w:tabs>
        <w:spacing w:line="340" w:lineRule="auto" w:before="139"/>
        <w:ind w:left="1244" w:right="169" w:hanging="706"/>
      </w:pPr>
      <w:r>
        <w:rPr>
          <w:rFonts w:ascii="Arial" w:eastAsia="Arial"/>
        </w:rPr>
        <w:t>3.1</w:t>
        <w:tab/>
      </w:r>
      <w:r>
        <w:rPr/>
        <w:t>投保本附加合同时，主合同的投保人（被保险人）</w:t>
      </w:r>
      <w:r>
        <w:rPr>
          <w:spacing w:val="-3"/>
        </w:rPr>
        <w:t>年龄必须为年满 </w:t>
      </w:r>
      <w:r>
        <w:rPr>
          <w:rFonts w:ascii="Arial" w:eastAsia="Arial"/>
        </w:rPr>
        <w:t>18</w:t>
      </w:r>
      <w:r>
        <w:rPr>
          <w:rFonts w:ascii="Arial" w:eastAsia="Arial"/>
          <w:spacing w:val="6"/>
        </w:rPr>
        <w:t> </w:t>
      </w:r>
      <w:r>
        <w:rPr>
          <w:spacing w:val="-6"/>
        </w:rPr>
        <w:t>周岁至 </w:t>
      </w:r>
      <w:r>
        <w:rPr>
          <w:rFonts w:ascii="Arial" w:eastAsia="Arial"/>
        </w:rPr>
        <w:t>55</w:t>
      </w:r>
      <w:r>
        <w:rPr>
          <w:rFonts w:ascii="Arial" w:eastAsia="Arial"/>
          <w:spacing w:val="6"/>
        </w:rPr>
        <w:t> </w:t>
      </w:r>
      <w:r>
        <w:rPr/>
        <w:t>周岁。投保人申请投保时的年龄应按周岁年龄填写，若发生错误，则参照主合同中有关年龄确定与错误的处理条款中所列的方式处理。</w:t>
      </w:r>
    </w:p>
    <w:p>
      <w:pPr>
        <w:pStyle w:val="Heading1"/>
        <w:spacing w:before="40"/>
      </w:pPr>
      <w:bookmarkStart w:name="_bookmark3" w:id="4"/>
      <w:bookmarkEnd w:id="4"/>
      <w:r>
        <w:rPr>
          <w:b w:val="0"/>
        </w:rPr>
      </w:r>
      <w:r>
        <w:rPr/>
        <w:t>第四条 豁免保险费</w:t>
      </w:r>
    </w:p>
    <w:p>
      <w:pPr>
        <w:pStyle w:val="ListParagraph"/>
        <w:numPr>
          <w:ilvl w:val="1"/>
          <w:numId w:val="3"/>
        </w:numPr>
        <w:tabs>
          <w:tab w:pos="1047" w:val="left" w:leader="none"/>
          <w:tab w:pos="1048" w:val="left" w:leader="none"/>
        </w:tabs>
        <w:spacing w:line="240" w:lineRule="auto" w:before="141" w:after="0"/>
        <w:ind w:left="1047" w:right="0" w:hanging="504"/>
        <w:jc w:val="left"/>
        <w:rPr>
          <w:sz w:val="18"/>
        </w:rPr>
      </w:pPr>
      <w:r>
        <w:rPr>
          <w:spacing w:val="-1"/>
          <w:sz w:val="18"/>
        </w:rPr>
        <w:t>本附加合同豁免的保险费包括：</w:t>
      </w:r>
    </w:p>
    <w:p>
      <w:pPr>
        <w:pStyle w:val="ListParagraph"/>
        <w:numPr>
          <w:ilvl w:val="2"/>
          <w:numId w:val="3"/>
        </w:numPr>
        <w:tabs>
          <w:tab w:pos="1813" w:val="left" w:leader="none"/>
          <w:tab w:pos="1814" w:val="left" w:leader="none"/>
        </w:tabs>
        <w:spacing w:line="240" w:lineRule="auto" w:before="106" w:after="0"/>
        <w:ind w:left="1813" w:right="0" w:hanging="708"/>
        <w:jc w:val="left"/>
        <w:rPr>
          <w:sz w:val="18"/>
        </w:rPr>
      </w:pPr>
      <w:r>
        <w:rPr>
          <w:sz w:val="18"/>
        </w:rPr>
        <w:t>主合同的保险费；</w:t>
      </w:r>
    </w:p>
    <w:p>
      <w:pPr>
        <w:pStyle w:val="ListParagraph"/>
        <w:numPr>
          <w:ilvl w:val="2"/>
          <w:numId w:val="3"/>
        </w:numPr>
        <w:tabs>
          <w:tab w:pos="1813" w:val="left" w:leader="none"/>
          <w:tab w:pos="1814" w:val="left" w:leader="none"/>
        </w:tabs>
        <w:spacing w:line="240" w:lineRule="auto" w:before="106" w:after="0"/>
        <w:ind w:left="1813" w:right="0" w:hanging="708"/>
        <w:jc w:val="left"/>
        <w:rPr>
          <w:sz w:val="18"/>
        </w:rPr>
      </w:pPr>
      <w:r>
        <w:rPr>
          <w:sz w:val="18"/>
        </w:rPr>
        <w:t>本附加合同的保险费；</w:t>
      </w:r>
    </w:p>
    <w:p>
      <w:pPr>
        <w:pStyle w:val="ListParagraph"/>
        <w:numPr>
          <w:ilvl w:val="2"/>
          <w:numId w:val="3"/>
        </w:numPr>
        <w:tabs>
          <w:tab w:pos="1813" w:val="left" w:leader="none"/>
          <w:tab w:pos="1814" w:val="left" w:leader="none"/>
        </w:tabs>
        <w:spacing w:line="240" w:lineRule="auto" w:before="104" w:after="0"/>
        <w:ind w:left="1813" w:right="0" w:hanging="708"/>
        <w:jc w:val="left"/>
        <w:rPr>
          <w:sz w:val="18"/>
        </w:rPr>
      </w:pPr>
      <w:r>
        <w:rPr>
          <w:w w:val="95"/>
          <w:sz w:val="18"/>
        </w:rPr>
        <w:t>主合同下指定的</w:t>
      </w:r>
      <w:r>
        <w:rPr>
          <w:b/>
          <w:w w:val="95"/>
          <w:sz w:val="18"/>
        </w:rPr>
        <w:t>长期附加合同</w:t>
      </w:r>
      <w:r>
        <w:rPr>
          <w:w w:val="95"/>
          <w:sz w:val="18"/>
        </w:rPr>
        <w:t>（见释义）的保险费。</w:t>
      </w:r>
    </w:p>
    <w:p>
      <w:pPr>
        <w:pStyle w:val="ListParagraph"/>
        <w:numPr>
          <w:ilvl w:val="1"/>
          <w:numId w:val="3"/>
        </w:numPr>
        <w:tabs>
          <w:tab w:pos="1105" w:val="left" w:leader="none"/>
          <w:tab w:pos="1106" w:val="left" w:leader="none"/>
        </w:tabs>
        <w:spacing w:line="240" w:lineRule="auto" w:before="106" w:after="0"/>
        <w:ind w:left="1105" w:right="0" w:hanging="562"/>
        <w:jc w:val="left"/>
        <w:rPr>
          <w:sz w:val="18"/>
        </w:rPr>
      </w:pPr>
      <w:r>
        <w:rPr>
          <w:spacing w:val="-1"/>
          <w:sz w:val="18"/>
        </w:rPr>
        <w:t>对于本附加合同另有约定的合同，我们不承担豁免保险费的责任。</w:t>
      </w:r>
    </w:p>
    <w:p>
      <w:pPr>
        <w:pStyle w:val="Heading1"/>
      </w:pPr>
      <w:bookmarkStart w:name="_bookmark4" w:id="5"/>
      <w:bookmarkEnd w:id="5"/>
      <w:r>
        <w:rPr>
          <w:b w:val="0"/>
        </w:rPr>
      </w:r>
      <w:r>
        <w:rPr/>
        <w:t>第五条 保险责任</w:t>
      </w:r>
    </w:p>
    <w:p>
      <w:pPr>
        <w:pStyle w:val="ListParagraph"/>
        <w:numPr>
          <w:ilvl w:val="1"/>
          <w:numId w:val="4"/>
        </w:numPr>
        <w:tabs>
          <w:tab w:pos="1102" w:val="left" w:leader="none"/>
          <w:tab w:pos="1103" w:val="left" w:leader="none"/>
        </w:tabs>
        <w:spacing w:line="240" w:lineRule="auto" w:before="141" w:after="0"/>
        <w:ind w:left="1102" w:right="0" w:hanging="544"/>
        <w:jc w:val="left"/>
        <w:rPr>
          <w:rFonts w:ascii="Arial" w:eastAsia="Arial"/>
          <w:sz w:val="18"/>
        </w:rPr>
      </w:pPr>
      <w:r>
        <w:rPr>
          <w:sz w:val="18"/>
        </w:rPr>
        <w:t>在本附加合同保险期间内，我们将承担以下保险责任：</w:t>
      </w:r>
    </w:p>
    <w:p>
      <w:pPr>
        <w:pStyle w:val="ListParagraph"/>
        <w:numPr>
          <w:ilvl w:val="2"/>
          <w:numId w:val="4"/>
        </w:numPr>
        <w:tabs>
          <w:tab w:pos="1530" w:val="left" w:leader="none"/>
        </w:tabs>
        <w:spacing w:line="240" w:lineRule="auto" w:before="106" w:after="0"/>
        <w:ind w:left="1530" w:right="0" w:hanging="420"/>
        <w:jc w:val="left"/>
        <w:rPr>
          <w:sz w:val="18"/>
        </w:rPr>
      </w:pPr>
      <w:r>
        <w:rPr>
          <w:sz w:val="18"/>
        </w:rPr>
        <w:t>无息返还已交保险费</w:t>
      </w:r>
    </w:p>
    <w:p>
      <w:pPr>
        <w:pStyle w:val="Heading3"/>
        <w:numPr>
          <w:ilvl w:val="3"/>
          <w:numId w:val="4"/>
        </w:numPr>
        <w:tabs>
          <w:tab w:pos="2238" w:val="left" w:leader="none"/>
        </w:tabs>
        <w:spacing w:line="350" w:lineRule="auto" w:before="103" w:after="0"/>
        <w:ind w:left="2238" w:right="170" w:hanging="708"/>
        <w:jc w:val="both"/>
        <w:rPr>
          <w:rFonts w:ascii="Arial" w:eastAsia="Arial"/>
        </w:rPr>
      </w:pPr>
      <w:r>
        <w:rPr>
          <w:w w:val="95"/>
        </w:rPr>
        <w:t>在本附加合同保险期间内，若您于等待期（见释义）内因疾病导致您首次发病并经专科医生首次确诊   患有本附加合同约定的重大疾病中一项或多项，我们将无息返还本附加合同的已交保险费，本附加合   同终止。</w:t>
      </w:r>
    </w:p>
    <w:p>
      <w:pPr>
        <w:pStyle w:val="ListParagraph"/>
        <w:numPr>
          <w:ilvl w:val="3"/>
          <w:numId w:val="4"/>
        </w:numPr>
        <w:tabs>
          <w:tab w:pos="2238" w:val="left" w:leader="none"/>
        </w:tabs>
        <w:spacing w:line="345" w:lineRule="auto" w:before="33" w:after="0"/>
        <w:ind w:left="2238" w:right="162" w:hanging="708"/>
        <w:jc w:val="both"/>
        <w:rPr>
          <w:rFonts w:ascii="Arial" w:hAnsi="Arial" w:eastAsia="Arial"/>
          <w:sz w:val="18"/>
        </w:rPr>
      </w:pPr>
      <w:r>
        <w:rPr>
          <w:sz w:val="18"/>
        </w:rPr>
        <w:t>若您于主合同有效的保险期间内申请增加投保其他长期附加合同（</w:t>
      </w:r>
      <w:r>
        <w:rPr>
          <w:spacing w:val="1"/>
          <w:sz w:val="18"/>
        </w:rPr>
        <w:t>以下简称</w:t>
      </w:r>
      <w:r>
        <w:rPr>
          <w:rFonts w:ascii="Arial" w:hAnsi="Arial" w:eastAsia="Arial"/>
          <w:sz w:val="18"/>
        </w:rPr>
        <w:t>“</w:t>
      </w:r>
      <w:r>
        <w:rPr>
          <w:sz w:val="18"/>
        </w:rPr>
        <w:t>新增附约</w:t>
      </w:r>
      <w:r>
        <w:rPr>
          <w:rFonts w:ascii="Arial" w:hAnsi="Arial" w:eastAsia="Arial"/>
          <w:sz w:val="18"/>
        </w:rPr>
        <w:t>”</w:t>
      </w:r>
      <w:r>
        <w:rPr>
          <w:sz w:val="18"/>
        </w:rPr>
        <w:t>），且经我们</w:t>
      </w:r>
      <w:r>
        <w:rPr>
          <w:spacing w:val="-3"/>
          <w:sz w:val="18"/>
        </w:rPr>
        <w:t>审核同意后，若您于新增附约生效 </w:t>
      </w:r>
      <w:r>
        <w:rPr>
          <w:rFonts w:ascii="Arial" w:hAnsi="Arial" w:eastAsia="Arial"/>
          <w:sz w:val="18"/>
        </w:rPr>
        <w:t>90</w:t>
      </w:r>
      <w:r>
        <w:rPr>
          <w:rFonts w:ascii="Arial" w:hAnsi="Arial" w:eastAsia="Arial"/>
          <w:spacing w:val="-3"/>
          <w:sz w:val="18"/>
        </w:rPr>
        <w:t> </w:t>
      </w:r>
      <w:r>
        <w:rPr>
          <w:spacing w:val="-6"/>
          <w:sz w:val="18"/>
        </w:rPr>
        <w:t>日内或复效 </w:t>
      </w:r>
      <w:r>
        <w:rPr>
          <w:rFonts w:ascii="Arial" w:hAnsi="Arial" w:eastAsia="Arial"/>
          <w:sz w:val="18"/>
        </w:rPr>
        <w:t>90</w:t>
      </w:r>
      <w:r>
        <w:rPr>
          <w:rFonts w:ascii="Arial" w:hAnsi="Arial" w:eastAsia="Arial"/>
          <w:spacing w:val="-3"/>
          <w:sz w:val="18"/>
        </w:rPr>
        <w:t> </w:t>
      </w:r>
      <w:r>
        <w:rPr>
          <w:sz w:val="18"/>
        </w:rPr>
        <w:t>日内</w:t>
      </w:r>
      <w:r>
        <w:rPr>
          <w:spacing w:val="-3"/>
          <w:sz w:val="18"/>
        </w:rPr>
        <w:t>（</w:t>
      </w:r>
      <w:r>
        <w:rPr>
          <w:spacing w:val="-11"/>
          <w:sz w:val="18"/>
        </w:rPr>
        <w:t>含第 </w:t>
      </w:r>
      <w:r>
        <w:rPr>
          <w:rFonts w:ascii="Arial" w:hAnsi="Arial" w:eastAsia="Arial"/>
          <w:sz w:val="18"/>
        </w:rPr>
        <w:t>90</w:t>
      </w:r>
      <w:r>
        <w:rPr>
          <w:rFonts w:ascii="Arial" w:hAnsi="Arial" w:eastAsia="Arial"/>
          <w:spacing w:val="-3"/>
          <w:sz w:val="18"/>
        </w:rPr>
        <w:t> </w:t>
      </w:r>
      <w:r>
        <w:rPr>
          <w:sz w:val="18"/>
        </w:rPr>
        <w:t>日）内因疾病导致您首次发病并经专科医生首次确诊患有本附加合同约定的重大疾病中一项或多项，我们将无息返还由于新增附约所需支付的本附加合同的已交保险费，且不再承担相应的豁免保险费责任。若我们已按照 </w:t>
      </w:r>
      <w:r>
        <w:rPr>
          <w:rFonts w:ascii="Arial" w:hAnsi="Arial" w:eastAsia="Arial"/>
          <w:sz w:val="18"/>
        </w:rPr>
        <w:t>5.1.1.1</w:t>
      </w:r>
      <w:r>
        <w:rPr>
          <w:rFonts w:ascii="Arial" w:hAnsi="Arial" w:eastAsia="Arial"/>
          <w:spacing w:val="37"/>
          <w:sz w:val="18"/>
        </w:rPr>
        <w:t> </w:t>
      </w:r>
      <w:r>
        <w:rPr>
          <w:sz w:val="18"/>
        </w:rPr>
        <w:t>无息返还本附加合同的已交全部保险费，则不再重复无息返还由于新增附约所需支付的本附加合同的已交保险费。</w:t>
      </w:r>
    </w:p>
    <w:p>
      <w:pPr>
        <w:pStyle w:val="ListParagraph"/>
        <w:numPr>
          <w:ilvl w:val="2"/>
          <w:numId w:val="4"/>
        </w:numPr>
        <w:tabs>
          <w:tab w:pos="1530" w:val="left" w:leader="none"/>
        </w:tabs>
        <w:spacing w:line="240" w:lineRule="auto" w:before="37" w:after="0"/>
        <w:ind w:left="1530" w:right="0" w:hanging="420"/>
        <w:jc w:val="left"/>
        <w:rPr>
          <w:sz w:val="18"/>
        </w:rPr>
      </w:pPr>
      <w:r>
        <w:rPr>
          <w:sz w:val="18"/>
        </w:rPr>
        <w:t>重大疾病豁免保险费</w:t>
      </w:r>
    </w:p>
    <w:p>
      <w:pPr>
        <w:pStyle w:val="BodyText"/>
        <w:spacing w:line="360" w:lineRule="auto" w:before="106"/>
        <w:ind w:left="1530" w:right="165"/>
        <w:rPr>
          <w:b/>
        </w:rPr>
      </w:pPr>
      <w:r>
        <w:rPr/>
        <w:t>在本附加合同保险期间内，若您因</w:t>
      </w:r>
      <w:r>
        <w:rPr>
          <w:b/>
        </w:rPr>
        <w:t>意外伤害事故</w:t>
      </w:r>
      <w:r>
        <w:rPr/>
        <w:t>（见释义）或于等待期后因疾病导致您首次发病并经专科医生首次确诊患有本附加合同约定的重大疾病中一项或多项，我们将根据本附加合同的约定豁免自您确诊</w:t>
      </w:r>
      <w:r>
        <w:rPr>
          <w:b/>
        </w:rPr>
        <w:t>重大疾病</w:t>
      </w:r>
    </w:p>
    <w:p>
      <w:pPr>
        <w:spacing w:after="0" w:line="360" w:lineRule="auto"/>
        <w:sectPr>
          <w:headerReference w:type="default" r:id="rId7"/>
          <w:pgSz w:w="11910" w:h="16840"/>
          <w:pgMar w:header="672" w:footer="757" w:top="860" w:bottom="940" w:left="880" w:right="680"/>
        </w:sectPr>
      </w:pPr>
    </w:p>
    <w:p>
      <w:pPr>
        <w:pStyle w:val="BodyText"/>
        <w:spacing w:before="5"/>
        <w:ind w:left="0"/>
        <w:rPr>
          <w:b/>
          <w:sz w:val="14"/>
        </w:rPr>
      </w:pPr>
    </w:p>
    <w:p>
      <w:pPr>
        <w:pStyle w:val="BodyText"/>
        <w:spacing w:line="360" w:lineRule="auto" w:before="44"/>
        <w:ind w:left="1530" w:right="130"/>
      </w:pPr>
      <w:r>
        <w:rPr/>
        <w:t>（见释义）之日起的下一缴费日开始的相应的保险费。被豁免的保险费视为已交付，所豁免合同继续有效。若发生 </w:t>
      </w:r>
      <w:r>
        <w:rPr>
          <w:rFonts w:ascii="Arial" w:eastAsia="Arial"/>
        </w:rPr>
        <w:t>5.1.1.2 </w:t>
      </w:r>
      <w:r>
        <w:rPr/>
        <w:t>中所述情况，则按照 </w:t>
      </w:r>
      <w:r>
        <w:rPr>
          <w:rFonts w:ascii="Arial" w:eastAsia="Arial"/>
        </w:rPr>
        <w:t>5.1.1.2 </w:t>
      </w:r>
      <w:r>
        <w:rPr/>
        <w:t>处理。</w:t>
      </w:r>
    </w:p>
    <w:p>
      <w:pPr>
        <w:pStyle w:val="ListParagraph"/>
        <w:numPr>
          <w:ilvl w:val="1"/>
          <w:numId w:val="4"/>
        </w:numPr>
        <w:tabs>
          <w:tab w:pos="1102" w:val="left" w:leader="none"/>
          <w:tab w:pos="1103" w:val="left" w:leader="none"/>
        </w:tabs>
        <w:spacing w:line="340" w:lineRule="auto" w:before="3" w:after="0"/>
        <w:ind w:left="1102" w:right="127" w:hanging="544"/>
        <w:jc w:val="left"/>
        <w:rPr>
          <w:rFonts w:ascii="Arial" w:eastAsia="Arial"/>
          <w:sz w:val="18"/>
        </w:rPr>
      </w:pPr>
      <w:r>
        <w:rPr>
          <w:sz w:val="18"/>
        </w:rPr>
        <w:t>若在您首次发病并经专科医生首次确诊患有本附加合同约定的重大疾病中一项或多项之前，所豁免合同的保险费或交费期间发生变更，则本附加合同的保险责任和保险费将作相应的变更。</w:t>
      </w:r>
    </w:p>
    <w:p>
      <w:pPr>
        <w:pStyle w:val="Heading3"/>
        <w:numPr>
          <w:ilvl w:val="1"/>
          <w:numId w:val="4"/>
        </w:numPr>
        <w:tabs>
          <w:tab w:pos="1102" w:val="left" w:leader="none"/>
          <w:tab w:pos="1103" w:val="left" w:leader="none"/>
        </w:tabs>
        <w:spacing w:line="240" w:lineRule="auto" w:before="41" w:after="0"/>
        <w:ind w:left="1102" w:right="0" w:hanging="544"/>
        <w:jc w:val="left"/>
        <w:rPr>
          <w:rFonts w:ascii="Arial" w:eastAsia="Arial"/>
        </w:rPr>
      </w:pPr>
      <w:r>
        <w:rPr>
          <w:w w:val="95"/>
        </w:rPr>
        <w:t>本附加合同终止后或效力中止期间，我们不承担保险的责任。</w:t>
      </w:r>
    </w:p>
    <w:p>
      <w:pPr>
        <w:spacing w:before="105"/>
        <w:ind w:left="471" w:right="0" w:firstLine="0"/>
        <w:jc w:val="left"/>
        <w:rPr>
          <w:b/>
          <w:sz w:val="21"/>
        </w:rPr>
      </w:pPr>
      <w:bookmarkStart w:name="_bookmark5" w:id="6"/>
      <w:bookmarkEnd w:id="6"/>
      <w:r>
        <w:rPr/>
      </w:r>
      <w:r>
        <w:rPr>
          <w:b/>
          <w:sz w:val="21"/>
        </w:rPr>
        <w:t>第六条 责任免除</w:t>
      </w:r>
    </w:p>
    <w:p>
      <w:pPr>
        <w:pStyle w:val="ListParagraph"/>
        <w:numPr>
          <w:ilvl w:val="1"/>
          <w:numId w:val="5"/>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因下列情形之一，导致您发生疾病或达到疾病状态的，我们不承担豁免保险费责任：</w:t>
      </w:r>
    </w:p>
    <w:p>
      <w:pPr>
        <w:pStyle w:val="ListParagraph"/>
        <w:numPr>
          <w:ilvl w:val="2"/>
          <w:numId w:val="5"/>
        </w:numPr>
        <w:tabs>
          <w:tab w:pos="1672" w:val="left" w:leader="none"/>
        </w:tabs>
        <w:spacing w:line="240" w:lineRule="auto" w:before="107" w:after="0"/>
        <w:ind w:left="1671" w:right="0" w:hanging="569"/>
        <w:jc w:val="left"/>
        <w:rPr>
          <w:b/>
          <w:sz w:val="18"/>
        </w:rPr>
      </w:pPr>
      <w:r>
        <w:rPr>
          <w:b/>
          <w:w w:val="95"/>
          <w:sz w:val="18"/>
        </w:rPr>
        <w:t>主合同受益人故意杀害或者伤害您；</w:t>
      </w:r>
    </w:p>
    <w:p>
      <w:pPr>
        <w:pStyle w:val="ListParagraph"/>
        <w:numPr>
          <w:ilvl w:val="2"/>
          <w:numId w:val="5"/>
        </w:numPr>
        <w:tabs>
          <w:tab w:pos="1672" w:val="left" w:leader="none"/>
        </w:tabs>
        <w:spacing w:line="240" w:lineRule="auto" w:before="107" w:after="0"/>
        <w:ind w:left="1671" w:right="0" w:hanging="569"/>
        <w:jc w:val="left"/>
        <w:rPr>
          <w:b/>
          <w:sz w:val="18"/>
        </w:rPr>
      </w:pPr>
      <w:r>
        <w:rPr>
          <w:b/>
          <w:w w:val="95"/>
          <w:sz w:val="18"/>
        </w:rPr>
        <w:t>故意自残或自伤；</w:t>
      </w:r>
    </w:p>
    <w:p>
      <w:pPr>
        <w:pStyle w:val="ListParagraph"/>
        <w:numPr>
          <w:ilvl w:val="2"/>
          <w:numId w:val="5"/>
        </w:numPr>
        <w:tabs>
          <w:tab w:pos="1672" w:val="left" w:leader="none"/>
        </w:tabs>
        <w:spacing w:line="240" w:lineRule="auto" w:before="107" w:after="0"/>
        <w:ind w:left="1671" w:right="0" w:hanging="569"/>
        <w:jc w:val="left"/>
        <w:rPr>
          <w:b/>
          <w:sz w:val="18"/>
        </w:rPr>
      </w:pPr>
      <w:r>
        <w:rPr>
          <w:b/>
          <w:w w:val="95"/>
          <w:sz w:val="18"/>
        </w:rPr>
        <w:t>主动吸食或注射毒品（见释义）；</w:t>
      </w:r>
    </w:p>
    <w:p>
      <w:pPr>
        <w:pStyle w:val="ListParagraph"/>
        <w:numPr>
          <w:ilvl w:val="2"/>
          <w:numId w:val="5"/>
        </w:numPr>
        <w:tabs>
          <w:tab w:pos="1672" w:val="left" w:leader="none"/>
        </w:tabs>
        <w:spacing w:line="240" w:lineRule="auto" w:before="107" w:after="0"/>
        <w:ind w:left="1671" w:right="0" w:hanging="569"/>
        <w:jc w:val="left"/>
        <w:rPr>
          <w:b/>
          <w:sz w:val="18"/>
        </w:rPr>
      </w:pPr>
      <w:r>
        <w:rPr>
          <w:b/>
          <w:w w:val="95"/>
          <w:sz w:val="18"/>
        </w:rPr>
        <w:t>故意犯罪或者抗拒依法采取的刑事强制措施；</w:t>
      </w:r>
    </w:p>
    <w:p>
      <w:pPr>
        <w:pStyle w:val="ListParagraph"/>
        <w:numPr>
          <w:ilvl w:val="2"/>
          <w:numId w:val="5"/>
        </w:numPr>
        <w:tabs>
          <w:tab w:pos="1672" w:val="left" w:leader="none"/>
        </w:tabs>
        <w:spacing w:line="240" w:lineRule="auto" w:before="107" w:after="0"/>
        <w:ind w:left="1671" w:right="0" w:hanging="566"/>
        <w:jc w:val="left"/>
        <w:rPr>
          <w:b/>
          <w:sz w:val="18"/>
        </w:rPr>
      </w:pPr>
      <w:r>
        <w:rPr>
          <w:b/>
          <w:w w:val="95"/>
          <w:sz w:val="18"/>
        </w:rPr>
        <w:t>酒后驾驶（见释义），无合法有效驾驶证驾驶（见释义），或驾驶无有效行驶证（见释义）的机动车；</w:t>
      </w:r>
    </w:p>
    <w:p>
      <w:pPr>
        <w:pStyle w:val="ListParagraph"/>
        <w:numPr>
          <w:ilvl w:val="2"/>
          <w:numId w:val="5"/>
        </w:numPr>
        <w:tabs>
          <w:tab w:pos="1672" w:val="left" w:leader="none"/>
        </w:tabs>
        <w:spacing w:line="240" w:lineRule="auto" w:before="107" w:after="0"/>
        <w:ind w:left="1671" w:right="0" w:hanging="569"/>
        <w:jc w:val="left"/>
        <w:rPr>
          <w:b/>
          <w:sz w:val="18"/>
        </w:rPr>
      </w:pPr>
      <w:r>
        <w:rPr>
          <w:b/>
          <w:w w:val="95"/>
          <w:sz w:val="18"/>
        </w:rPr>
        <w:t>战争（见释义）、军事冲突、暴乱或武装叛乱；</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核爆炸、核辐射或核污染；</w:t>
      </w:r>
    </w:p>
    <w:p>
      <w:pPr>
        <w:pStyle w:val="ListParagraph"/>
        <w:numPr>
          <w:ilvl w:val="2"/>
          <w:numId w:val="5"/>
        </w:numPr>
        <w:tabs>
          <w:tab w:pos="1672" w:val="left" w:leader="none"/>
        </w:tabs>
        <w:spacing w:line="338" w:lineRule="auto" w:before="106" w:after="0"/>
        <w:ind w:left="1671" w:right="130" w:hanging="569"/>
        <w:jc w:val="left"/>
        <w:rPr>
          <w:b/>
          <w:sz w:val="18"/>
        </w:rPr>
      </w:pPr>
      <w:r>
        <w:rPr>
          <w:b/>
          <w:sz w:val="18"/>
        </w:rPr>
        <w:t>遗传性疾病（见释义）（肌营养不良症（见重大疾病释义）除外），先天性畸形、变形或染色体异常（见释</w:t>
      </w:r>
      <w:r>
        <w:rPr>
          <w:b/>
          <w:w w:val="95"/>
          <w:sz w:val="18"/>
        </w:rPr>
        <w:t>义）；</w:t>
      </w:r>
    </w:p>
    <w:p>
      <w:pPr>
        <w:pStyle w:val="ListParagraph"/>
        <w:numPr>
          <w:ilvl w:val="2"/>
          <w:numId w:val="5"/>
        </w:numPr>
        <w:tabs>
          <w:tab w:pos="1672" w:val="left" w:leader="none"/>
        </w:tabs>
        <w:spacing w:line="340" w:lineRule="auto" w:before="45" w:after="0"/>
        <w:ind w:left="1671" w:right="125" w:hanging="569"/>
        <w:jc w:val="left"/>
        <w:rPr>
          <w:b/>
          <w:sz w:val="18"/>
        </w:rPr>
      </w:pPr>
      <w:r>
        <w:rPr>
          <w:b/>
          <w:spacing w:val="5"/>
          <w:sz w:val="18"/>
        </w:rPr>
        <w:t>感染艾滋病病毒或患艾滋病</w:t>
      </w:r>
      <w:r>
        <w:rPr>
          <w:b/>
          <w:spacing w:val="7"/>
          <w:sz w:val="18"/>
        </w:rPr>
        <w:t>（见释义</w:t>
      </w:r>
      <w:r>
        <w:rPr>
          <w:b/>
          <w:spacing w:val="8"/>
          <w:sz w:val="18"/>
        </w:rPr>
        <w:t>）（</w:t>
      </w:r>
      <w:r>
        <w:rPr>
          <w:b/>
          <w:spacing w:val="5"/>
          <w:sz w:val="18"/>
        </w:rPr>
        <w:t>急诊和医疗服务导致的艾滋病病毒感染（</w:t>
      </w:r>
      <w:r>
        <w:rPr>
          <w:b/>
          <w:spacing w:val="7"/>
          <w:sz w:val="18"/>
        </w:rPr>
        <w:t>见重大疾病释义</w:t>
      </w:r>
      <w:r>
        <w:rPr>
          <w:b/>
          <w:spacing w:val="10"/>
          <w:sz w:val="18"/>
        </w:rPr>
        <w:t>）</w:t>
      </w:r>
      <w:r>
        <w:rPr>
          <w:b/>
          <w:sz w:val="18"/>
        </w:rPr>
        <w:t>除</w:t>
      </w:r>
      <w:r>
        <w:rPr>
          <w:b/>
          <w:w w:val="95"/>
          <w:sz w:val="18"/>
        </w:rPr>
        <w:t>外）。</w:t>
      </w:r>
    </w:p>
    <w:p>
      <w:pPr>
        <w:pStyle w:val="ListParagraph"/>
        <w:numPr>
          <w:ilvl w:val="1"/>
          <w:numId w:val="5"/>
        </w:numPr>
        <w:tabs>
          <w:tab w:pos="1047" w:val="left" w:leader="none"/>
          <w:tab w:pos="1048" w:val="left" w:leader="none"/>
        </w:tabs>
        <w:spacing w:line="340" w:lineRule="auto" w:before="41" w:after="0"/>
        <w:ind w:left="1047" w:right="115" w:hanging="504"/>
        <w:jc w:val="left"/>
        <w:rPr>
          <w:rFonts w:ascii="Arial" w:eastAsia="Arial"/>
          <w:sz w:val="18"/>
        </w:rPr>
      </w:pPr>
      <w:r>
        <w:rPr>
          <w:spacing w:val="2"/>
          <w:sz w:val="18"/>
        </w:rPr>
        <w:t>发生上述情形导致您发生疾病或达到疾病状态的，本附加合同终止，我们向您退还本附加合同的</w:t>
      </w:r>
      <w:r>
        <w:rPr>
          <w:b/>
          <w:spacing w:val="5"/>
          <w:sz w:val="18"/>
        </w:rPr>
        <w:t>现金价值</w:t>
      </w:r>
      <w:r>
        <w:rPr>
          <w:spacing w:val="5"/>
          <w:sz w:val="18"/>
        </w:rPr>
        <w:t>（见释</w:t>
      </w:r>
      <w:r>
        <w:rPr>
          <w:spacing w:val="-1"/>
          <w:sz w:val="18"/>
        </w:rPr>
        <w:t>义</w:t>
      </w:r>
      <w:r>
        <w:rPr>
          <w:sz w:val="18"/>
        </w:rPr>
        <w:t>）。</w:t>
      </w:r>
    </w:p>
    <w:p>
      <w:pPr>
        <w:pStyle w:val="Heading1"/>
        <w:spacing w:before="40"/>
      </w:pPr>
      <w:bookmarkStart w:name="_bookmark6" w:id="7"/>
      <w:bookmarkEnd w:id="7"/>
      <w:r>
        <w:rPr>
          <w:b w:val="0"/>
        </w:rPr>
      </w:r>
      <w:r>
        <w:rPr/>
        <w:t>第七条 保险费支付期间</w:t>
      </w:r>
    </w:p>
    <w:p>
      <w:pPr>
        <w:pStyle w:val="BodyText"/>
        <w:tabs>
          <w:tab w:pos="1047" w:val="left" w:leader="none"/>
        </w:tabs>
        <w:spacing w:before="139"/>
        <w:ind w:left="543"/>
      </w:pPr>
      <w:r>
        <w:rPr>
          <w:rFonts w:ascii="Arial" w:eastAsia="Arial"/>
        </w:rPr>
        <w:t>7.1</w:t>
        <w:tab/>
      </w:r>
      <w:r>
        <w:rPr/>
        <w:t>本附加合同的保险费支付期间与本附加合同的保险期间相同。</w:t>
      </w:r>
    </w:p>
    <w:p>
      <w:pPr>
        <w:pStyle w:val="Heading1"/>
      </w:pPr>
      <w:bookmarkStart w:name="_bookmark7" w:id="8"/>
      <w:bookmarkEnd w:id="8"/>
      <w:r>
        <w:rPr>
          <w:b w:val="0"/>
        </w:rPr>
      </w:r>
      <w:r>
        <w:rPr/>
        <w:t>第八条 保险期间</w:t>
      </w:r>
    </w:p>
    <w:p>
      <w:pPr>
        <w:pStyle w:val="ListParagraph"/>
        <w:numPr>
          <w:ilvl w:val="1"/>
          <w:numId w:val="6"/>
        </w:numPr>
        <w:tabs>
          <w:tab w:pos="1105" w:val="left" w:leader="none"/>
          <w:tab w:pos="1106" w:val="left" w:leader="none"/>
        </w:tabs>
        <w:spacing w:line="240" w:lineRule="auto" w:before="141" w:after="0"/>
        <w:ind w:left="1105" w:right="0" w:hanging="567"/>
        <w:jc w:val="left"/>
        <w:rPr>
          <w:sz w:val="18"/>
        </w:rPr>
      </w:pPr>
      <w:r>
        <w:rPr>
          <w:spacing w:val="-1"/>
          <w:sz w:val="18"/>
        </w:rPr>
        <w:t>本附加合同的保险期间由您在投保时与我们约定，并在保险单上载明。</w:t>
      </w:r>
    </w:p>
    <w:p>
      <w:pPr>
        <w:pStyle w:val="ListParagraph"/>
        <w:numPr>
          <w:ilvl w:val="1"/>
          <w:numId w:val="6"/>
        </w:numPr>
        <w:tabs>
          <w:tab w:pos="1105" w:val="left" w:leader="none"/>
          <w:tab w:pos="1106" w:val="left" w:leader="none"/>
        </w:tabs>
        <w:spacing w:line="240" w:lineRule="auto" w:before="104" w:after="0"/>
        <w:ind w:left="1105" w:right="0" w:hanging="567"/>
        <w:jc w:val="left"/>
        <w:rPr>
          <w:sz w:val="18"/>
        </w:rPr>
      </w:pPr>
      <w:r>
        <w:rPr>
          <w:sz w:val="18"/>
        </w:rPr>
        <w:t>本附加合同保险期间届满时，若您提出续保，我们将按照本附加合同的约定继续承保。</w:t>
      </w:r>
    </w:p>
    <w:p>
      <w:pPr>
        <w:pStyle w:val="Heading1"/>
        <w:spacing w:before="105"/>
      </w:pPr>
      <w:bookmarkStart w:name="_bookmark8" w:id="9"/>
      <w:bookmarkEnd w:id="9"/>
      <w:r>
        <w:rPr>
          <w:b w:val="0"/>
        </w:rPr>
      </w:r>
      <w:r>
        <w:rPr/>
        <w:t>第九条 保险费率的调整</w:t>
      </w:r>
    </w:p>
    <w:p>
      <w:pPr>
        <w:pStyle w:val="ListParagraph"/>
        <w:numPr>
          <w:ilvl w:val="1"/>
          <w:numId w:val="7"/>
        </w:numPr>
        <w:tabs>
          <w:tab w:pos="1105" w:val="left" w:leader="none"/>
          <w:tab w:pos="1106" w:val="left" w:leader="none"/>
        </w:tabs>
        <w:spacing w:line="340" w:lineRule="auto" w:before="141" w:after="0"/>
        <w:ind w:left="1105" w:right="129" w:hanging="567"/>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7"/>
        </w:numPr>
        <w:tabs>
          <w:tab w:pos="1102" w:val="left" w:leader="none"/>
          <w:tab w:pos="1103" w:val="left" w:leader="none"/>
        </w:tabs>
        <w:spacing w:line="240" w:lineRule="auto" w:before="41" w:after="0"/>
        <w:ind w:left="1102" w:right="0" w:hanging="564"/>
        <w:jc w:val="left"/>
        <w:rPr>
          <w:sz w:val="18"/>
        </w:rPr>
      </w:pPr>
      <w:r>
        <w:rPr>
          <w:w w:val="95"/>
          <w:sz w:val="18"/>
        </w:rPr>
        <w:t>在我们调整保险费率后，您应自调整后的首个</w:t>
      </w:r>
      <w:r>
        <w:rPr>
          <w:b/>
          <w:w w:val="95"/>
          <w:sz w:val="18"/>
        </w:rPr>
        <w:t>保险单周年日</w:t>
      </w:r>
      <w:r>
        <w:rPr>
          <w:w w:val="95"/>
          <w:sz w:val="18"/>
        </w:rPr>
        <w:t>（见释义）起交付按新的保险费率所计算的保险费。</w:t>
      </w:r>
    </w:p>
    <w:p>
      <w:pPr>
        <w:pStyle w:val="ListParagraph"/>
        <w:numPr>
          <w:ilvl w:val="1"/>
          <w:numId w:val="7"/>
        </w:numPr>
        <w:tabs>
          <w:tab w:pos="1105" w:val="left" w:leader="none"/>
          <w:tab w:pos="1106" w:val="left" w:leader="none"/>
        </w:tabs>
        <w:spacing w:line="240" w:lineRule="auto" w:before="106" w:after="0"/>
        <w:ind w:left="1105" w:right="0" w:hanging="567"/>
        <w:jc w:val="left"/>
        <w:rPr>
          <w:sz w:val="18"/>
        </w:rPr>
      </w:pPr>
      <w:r>
        <w:rPr>
          <w:sz w:val="18"/>
        </w:rPr>
        <w:t>若本附加合同保险费率发生调整，我们将及时通知您。</w:t>
      </w:r>
    </w:p>
    <w:p>
      <w:pPr>
        <w:pStyle w:val="Heading1"/>
      </w:pPr>
      <w:bookmarkStart w:name="_bookmark9" w:id="10"/>
      <w:bookmarkEnd w:id="10"/>
      <w:r>
        <w:rPr>
          <w:b w:val="0"/>
        </w:rPr>
      </w:r>
      <w:r>
        <w:rPr/>
        <w:t>第十条 理赔的申请</w:t>
      </w:r>
    </w:p>
    <w:p>
      <w:pPr>
        <w:pStyle w:val="ListParagraph"/>
        <w:numPr>
          <w:ilvl w:val="1"/>
          <w:numId w:val="8"/>
        </w:numPr>
        <w:tabs>
          <w:tab w:pos="1105" w:val="left" w:leader="none"/>
          <w:tab w:pos="1106" w:val="left" w:leader="none"/>
        </w:tabs>
        <w:spacing w:line="340" w:lineRule="auto" w:before="138" w:after="0"/>
        <w:ind w:left="1105" w:right="125" w:hanging="567"/>
        <w:jc w:val="left"/>
        <w:rPr>
          <w:sz w:val="18"/>
        </w:rPr>
      </w:pPr>
      <w:r>
        <w:rPr>
          <w:sz w:val="18"/>
        </w:rPr>
        <w:t>无息返还保险费的申请人为您，重大疾病豁免保险费的申请人为您或主合同受益人，申请人须填写理赔申请书，并提供下列证明和资料：</w:t>
      </w:r>
    </w:p>
    <w:p>
      <w:pPr>
        <w:pStyle w:val="ListParagraph"/>
        <w:numPr>
          <w:ilvl w:val="2"/>
          <w:numId w:val="8"/>
        </w:numPr>
        <w:tabs>
          <w:tab w:pos="1642" w:val="left" w:leader="none"/>
          <w:tab w:pos="1643" w:val="left" w:leader="none"/>
        </w:tabs>
        <w:spacing w:line="240" w:lineRule="auto" w:before="41" w:after="0"/>
        <w:ind w:left="1671" w:right="0" w:hanging="566"/>
        <w:jc w:val="left"/>
        <w:rPr>
          <w:sz w:val="18"/>
        </w:rPr>
      </w:pPr>
      <w:r>
        <w:rPr>
          <w:w w:val="95"/>
          <w:sz w:val="18"/>
        </w:rPr>
        <w:t>保险合同；</w:t>
      </w:r>
    </w:p>
    <w:p>
      <w:pPr>
        <w:pStyle w:val="ListParagraph"/>
        <w:numPr>
          <w:ilvl w:val="2"/>
          <w:numId w:val="8"/>
        </w:numPr>
        <w:tabs>
          <w:tab w:pos="1642" w:val="left" w:leader="none"/>
          <w:tab w:pos="1643" w:val="left" w:leader="none"/>
        </w:tabs>
        <w:spacing w:line="240" w:lineRule="auto" w:before="106" w:after="0"/>
        <w:ind w:left="1671" w:right="0" w:hanging="566"/>
        <w:jc w:val="left"/>
        <w:rPr>
          <w:sz w:val="18"/>
        </w:rPr>
      </w:pPr>
      <w:r>
        <w:rPr>
          <w:w w:val="95"/>
          <w:sz w:val="18"/>
        </w:rPr>
        <w:t>申请人的有效身份证件；</w:t>
      </w:r>
    </w:p>
    <w:p>
      <w:pPr>
        <w:pStyle w:val="ListParagraph"/>
        <w:numPr>
          <w:ilvl w:val="2"/>
          <w:numId w:val="8"/>
        </w:numPr>
        <w:tabs>
          <w:tab w:pos="1671" w:val="left" w:leader="none"/>
          <w:tab w:pos="1672" w:val="left" w:leader="none"/>
        </w:tabs>
        <w:spacing w:line="340" w:lineRule="auto" w:before="106" w:after="0"/>
        <w:ind w:left="1671" w:right="133" w:hanging="566"/>
        <w:jc w:val="left"/>
        <w:rPr>
          <w:sz w:val="18"/>
        </w:rPr>
      </w:pPr>
      <w:r>
        <w:rPr>
          <w:b/>
          <w:sz w:val="18"/>
        </w:rPr>
        <w:t>专科医生</w:t>
      </w:r>
      <w:r>
        <w:rPr>
          <w:sz w:val="18"/>
        </w:rPr>
        <w:t>（见释义）出具的被保险人病理组织学检查、血液检查、及其他科学方法检验报告的疾病诊断证明书；</w:t>
      </w:r>
    </w:p>
    <w:p>
      <w:pPr>
        <w:pStyle w:val="ListParagraph"/>
        <w:numPr>
          <w:ilvl w:val="2"/>
          <w:numId w:val="8"/>
        </w:numPr>
        <w:tabs>
          <w:tab w:pos="1642" w:val="left" w:leader="none"/>
          <w:tab w:pos="1643" w:val="left" w:leader="none"/>
        </w:tabs>
        <w:spacing w:line="240" w:lineRule="auto" w:before="41" w:after="0"/>
        <w:ind w:left="1671" w:right="0" w:hanging="566"/>
        <w:jc w:val="left"/>
        <w:rPr>
          <w:sz w:val="18"/>
        </w:rPr>
      </w:pPr>
      <w:r>
        <w:rPr>
          <w:sz w:val="18"/>
        </w:rPr>
        <w:t>所能提供的与确认保险事故的性质、原因、伤害程度等有关的其他证明和资料；</w:t>
      </w:r>
    </w:p>
    <w:p>
      <w:pPr>
        <w:pStyle w:val="ListParagraph"/>
        <w:numPr>
          <w:ilvl w:val="2"/>
          <w:numId w:val="8"/>
        </w:numPr>
        <w:tabs>
          <w:tab w:pos="1642" w:val="left" w:leader="none"/>
          <w:tab w:pos="1643" w:val="left" w:leader="none"/>
        </w:tabs>
        <w:spacing w:line="240" w:lineRule="auto" w:before="106" w:after="0"/>
        <w:ind w:left="1671" w:right="0" w:hanging="566"/>
        <w:jc w:val="left"/>
        <w:rPr>
          <w:sz w:val="18"/>
        </w:rPr>
      </w:pPr>
      <w:r>
        <w:rPr>
          <w:w w:val="95"/>
          <w:sz w:val="18"/>
        </w:rPr>
        <w:t>申请人与被保险人的相关关系证明（如有需要）。</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z w:val="18"/>
        </w:rPr>
        <w:t>保险金作为被保险人遗产时，必须提供可证明合法继承权的相关权利文件。</w:t>
      </w:r>
    </w:p>
    <w:p>
      <w:pPr>
        <w:spacing w:after="0" w:line="240" w:lineRule="auto"/>
        <w:jc w:val="left"/>
        <w:rPr>
          <w:sz w:val="18"/>
        </w:rPr>
        <w:sectPr>
          <w:pgSz w:w="11910" w:h="16840"/>
          <w:pgMar w:header="672" w:footer="757" w:top="860" w:bottom="940" w:left="880" w:right="720"/>
        </w:sectPr>
      </w:pPr>
    </w:p>
    <w:p>
      <w:pPr>
        <w:pStyle w:val="BodyText"/>
        <w:spacing w:before="9"/>
        <w:ind w:left="0"/>
        <w:rPr>
          <w:sz w:val="13"/>
        </w:rPr>
      </w:pPr>
    </w:p>
    <w:p>
      <w:pPr>
        <w:pStyle w:val="ListParagraph"/>
        <w:numPr>
          <w:ilvl w:val="1"/>
          <w:numId w:val="8"/>
        </w:numPr>
        <w:tabs>
          <w:tab w:pos="1105" w:val="left" w:leader="none"/>
          <w:tab w:pos="1106" w:val="left" w:leader="none"/>
        </w:tabs>
        <w:spacing w:line="240" w:lineRule="auto" w:before="53" w:after="0"/>
        <w:ind w:left="1105" w:right="0" w:hanging="567"/>
        <w:jc w:val="left"/>
        <w:rPr>
          <w:sz w:val="18"/>
        </w:rPr>
      </w:pPr>
      <w:r>
        <w:rPr>
          <w:sz w:val="18"/>
        </w:rPr>
        <w:t>以上证明和资料不完整的，我们将及时一次性通知申请人补充提供有关的证明和资料。</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z w:val="18"/>
        </w:rPr>
        <w:t>上述相关证明和资料，除保险合同外，我们审核原件，审核完毕后留存复印件，原件返还给申请人或受托人。</w:t>
      </w:r>
    </w:p>
    <w:p>
      <w:pPr>
        <w:pStyle w:val="ListParagraph"/>
        <w:numPr>
          <w:ilvl w:val="1"/>
          <w:numId w:val="8"/>
        </w:numPr>
        <w:tabs>
          <w:tab w:pos="1105" w:val="left" w:leader="none"/>
          <w:tab w:pos="1106" w:val="left" w:leader="none"/>
        </w:tabs>
        <w:spacing w:line="240" w:lineRule="auto" w:before="104" w:after="0"/>
        <w:ind w:left="1105" w:right="0" w:hanging="567"/>
        <w:jc w:val="left"/>
        <w:rPr>
          <w:sz w:val="18"/>
        </w:rPr>
      </w:pPr>
      <w:r>
        <w:rPr>
          <w:spacing w:val="-1"/>
          <w:sz w:val="18"/>
        </w:rPr>
        <w:t>除上述相关证明和资料外，我们如认为必要，可以对被保险人的身体进行检查，相关检查费用由我们承担。</w:t>
      </w:r>
    </w:p>
    <w:p>
      <w:pPr>
        <w:pStyle w:val="Heading1"/>
      </w:pPr>
      <w:bookmarkStart w:name="_bookmark10" w:id="11"/>
      <w:bookmarkEnd w:id="11"/>
      <w:r>
        <w:rPr>
          <w:b w:val="0"/>
        </w:rPr>
      </w:r>
      <w:r>
        <w:rPr/>
        <w:t>第十一条 诉讼时效</w:t>
      </w:r>
    </w:p>
    <w:p>
      <w:pPr>
        <w:pStyle w:val="BodyText"/>
        <w:tabs>
          <w:tab w:pos="1105" w:val="left" w:leader="none"/>
        </w:tabs>
        <w:spacing w:before="141"/>
        <w:ind w:left="538"/>
      </w:pPr>
      <w:r>
        <w:rPr>
          <w:rFonts w:ascii="Arial" w:eastAsia="Arial"/>
        </w:rPr>
        <w:t>11.1</w:t>
        <w:tab/>
      </w:r>
      <w:r>
        <w:rPr>
          <w:spacing w:val="-2"/>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spacing w:before="105"/>
      </w:pPr>
      <w:bookmarkStart w:name="_bookmark11" w:id="12"/>
      <w:bookmarkEnd w:id="12"/>
      <w:r>
        <w:rPr>
          <w:b w:val="0"/>
        </w:rPr>
      </w:r>
      <w:r>
        <w:rPr/>
        <w:t>第十</w:t>
      </w:r>
      <w:r>
        <w:rPr>
          <w:spacing w:val="-3"/>
        </w:rPr>
        <w:t>二</w:t>
      </w:r>
      <w:r>
        <w:rPr/>
        <w:t>条</w:t>
        <w:tab/>
        <w:t>合同</w:t>
      </w:r>
      <w:r>
        <w:rPr>
          <w:spacing w:val="-3"/>
        </w:rPr>
        <w:t>终止</w:t>
      </w:r>
    </w:p>
    <w:p>
      <w:pPr>
        <w:pStyle w:val="ListParagraph"/>
        <w:numPr>
          <w:ilvl w:val="1"/>
          <w:numId w:val="9"/>
        </w:numPr>
        <w:tabs>
          <w:tab w:pos="1105" w:val="left" w:leader="none"/>
          <w:tab w:pos="1106" w:val="left" w:leader="none"/>
        </w:tabs>
        <w:spacing w:line="240" w:lineRule="auto" w:before="139" w:after="0"/>
        <w:ind w:left="1105" w:right="0" w:hanging="567"/>
        <w:jc w:val="left"/>
        <w:rPr>
          <w:sz w:val="18"/>
        </w:rPr>
      </w:pPr>
      <w:r>
        <w:rPr>
          <w:sz w:val="18"/>
        </w:rPr>
        <w:t>发生下列情况之一时，本附加合同终止：</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您于本附加合同的保险期间内按约定申请解除本附加合同；</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主合同解除或终止；</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主合同转换成减额交清保险；</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本附加合同期满；</w:t>
      </w:r>
    </w:p>
    <w:p>
      <w:pPr>
        <w:pStyle w:val="ListParagraph"/>
        <w:numPr>
          <w:ilvl w:val="2"/>
          <w:numId w:val="9"/>
        </w:numPr>
        <w:tabs>
          <w:tab w:pos="1642" w:val="left" w:leader="none"/>
          <w:tab w:pos="1643" w:val="left" w:leader="none"/>
        </w:tabs>
        <w:spacing w:line="240" w:lineRule="auto" w:before="104" w:after="0"/>
        <w:ind w:left="1642" w:right="0" w:hanging="561"/>
        <w:jc w:val="left"/>
        <w:rPr>
          <w:sz w:val="18"/>
        </w:rPr>
      </w:pPr>
      <w:r>
        <w:rPr>
          <w:w w:val="95"/>
          <w:sz w:val="18"/>
        </w:rPr>
        <w:t>主合同投保人变更；</w:t>
      </w:r>
    </w:p>
    <w:p>
      <w:pPr>
        <w:pStyle w:val="ListParagraph"/>
        <w:numPr>
          <w:ilvl w:val="2"/>
          <w:numId w:val="9"/>
        </w:numPr>
        <w:tabs>
          <w:tab w:pos="1642" w:val="left" w:leader="none"/>
          <w:tab w:pos="1643" w:val="left" w:leader="none"/>
        </w:tabs>
        <w:spacing w:line="240" w:lineRule="auto" w:before="107" w:after="0"/>
        <w:ind w:left="1642" w:right="0" w:hanging="561"/>
        <w:jc w:val="left"/>
        <w:rPr>
          <w:sz w:val="18"/>
        </w:rPr>
      </w:pPr>
      <w:r>
        <w:rPr>
          <w:w w:val="95"/>
          <w:sz w:val="18"/>
        </w:rPr>
        <w:t>本附加合同因法律规定或本附加合同约定的其他情况而终止。</w:t>
      </w:r>
    </w:p>
    <w:p>
      <w:pPr>
        <w:pStyle w:val="Heading1"/>
        <w:tabs>
          <w:tab w:pos="1623" w:val="left" w:leader="none"/>
        </w:tabs>
        <w:spacing w:before="105"/>
      </w:pPr>
      <w:bookmarkStart w:name="_bookmark12" w:id="13"/>
      <w:bookmarkEnd w:id="13"/>
      <w:r>
        <w:rPr>
          <w:b w:val="0"/>
        </w:rPr>
      </w:r>
      <w:r>
        <w:rPr/>
        <w:t>第十</w:t>
      </w:r>
      <w:r>
        <w:rPr>
          <w:spacing w:val="-3"/>
        </w:rPr>
        <w:t>三</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0"/>
        </w:numPr>
        <w:tabs>
          <w:tab w:pos="1105" w:val="left" w:leader="none"/>
          <w:tab w:pos="1106" w:val="left" w:leader="none"/>
        </w:tabs>
        <w:spacing w:line="240" w:lineRule="auto" w:before="141" w:after="0"/>
        <w:ind w:left="1105" w:right="0" w:hanging="567"/>
        <w:jc w:val="left"/>
        <w:rPr>
          <w:sz w:val="18"/>
        </w:rPr>
      </w:pPr>
      <w:r>
        <w:rPr>
          <w:spacing w:val="-1"/>
          <w:sz w:val="18"/>
        </w:rPr>
        <w:t>如您申请解除本附加合同，请填写解除合同申请书并向我们提供下列资料：</w:t>
      </w:r>
    </w:p>
    <w:p>
      <w:pPr>
        <w:pStyle w:val="ListParagraph"/>
        <w:numPr>
          <w:ilvl w:val="2"/>
          <w:numId w:val="10"/>
        </w:numPr>
        <w:tabs>
          <w:tab w:pos="1813" w:val="left" w:leader="none"/>
          <w:tab w:pos="1814" w:val="left" w:leader="none"/>
        </w:tabs>
        <w:spacing w:line="240" w:lineRule="auto" w:before="106" w:after="0"/>
        <w:ind w:left="1813" w:right="0" w:hanging="569"/>
        <w:jc w:val="left"/>
        <w:rPr>
          <w:sz w:val="18"/>
        </w:rPr>
      </w:pPr>
      <w:r>
        <w:rPr>
          <w:w w:val="95"/>
          <w:sz w:val="18"/>
        </w:rPr>
        <w:t>保险合同；</w:t>
      </w:r>
    </w:p>
    <w:p>
      <w:pPr>
        <w:pStyle w:val="ListParagraph"/>
        <w:numPr>
          <w:ilvl w:val="2"/>
          <w:numId w:val="10"/>
        </w:numPr>
        <w:tabs>
          <w:tab w:pos="1813" w:val="left" w:leader="none"/>
          <w:tab w:pos="1814" w:val="left" w:leader="none"/>
        </w:tabs>
        <w:spacing w:line="240" w:lineRule="auto" w:before="104" w:after="0"/>
        <w:ind w:left="1813" w:right="0" w:hanging="569"/>
        <w:jc w:val="left"/>
        <w:rPr>
          <w:sz w:val="18"/>
        </w:rPr>
      </w:pPr>
      <w:r>
        <w:rPr>
          <w:w w:val="95"/>
          <w:sz w:val="18"/>
        </w:rPr>
        <w:t>您的有效身份证件。</w:t>
      </w:r>
    </w:p>
    <w:p>
      <w:pPr>
        <w:pStyle w:val="ListParagraph"/>
        <w:numPr>
          <w:ilvl w:val="1"/>
          <w:numId w:val="10"/>
        </w:numPr>
        <w:tabs>
          <w:tab w:pos="1106" w:val="left" w:leader="none"/>
        </w:tabs>
        <w:spacing w:line="350" w:lineRule="auto" w:before="106" w:after="0"/>
        <w:ind w:left="1105" w:right="100" w:hanging="567"/>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sz w:val="18"/>
        </w:rPr>
        <w:t>30 日内无息退还已收保险费。</w:t>
      </w:r>
    </w:p>
    <w:p>
      <w:pPr>
        <w:pStyle w:val="ListParagraph"/>
        <w:numPr>
          <w:ilvl w:val="1"/>
          <w:numId w:val="10"/>
        </w:numPr>
        <w:tabs>
          <w:tab w:pos="1105" w:val="left" w:leader="none"/>
          <w:tab w:pos="1106" w:val="left" w:leader="none"/>
        </w:tabs>
        <w:spacing w:line="340" w:lineRule="auto" w:before="34" w:after="0"/>
        <w:ind w:left="1105" w:right="100" w:hanging="567"/>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sz w:val="18"/>
        </w:rPr>
        <w:t>30</w:t>
      </w:r>
      <w:r>
        <w:rPr>
          <w:spacing w:val="-8"/>
          <w:sz w:val="18"/>
        </w:rPr>
        <w:t> 日内向您退还本附加合同的现金价值。</w:t>
      </w:r>
    </w:p>
    <w:p>
      <w:pPr>
        <w:pStyle w:val="ListParagraph"/>
        <w:numPr>
          <w:ilvl w:val="1"/>
          <w:numId w:val="10"/>
        </w:numPr>
        <w:tabs>
          <w:tab w:pos="1105" w:val="left" w:leader="none"/>
          <w:tab w:pos="1106" w:val="left" w:leader="none"/>
        </w:tabs>
        <w:spacing w:line="240" w:lineRule="auto" w:before="42" w:after="0"/>
        <w:ind w:left="1105" w:right="0" w:hanging="567"/>
        <w:jc w:val="left"/>
        <w:rPr>
          <w:sz w:val="18"/>
        </w:rPr>
      </w:pPr>
      <w:r>
        <w:rPr>
          <w:sz w:val="18"/>
        </w:rPr>
        <w:t>您犹豫期后解除合同会遭受一定损失。</w:t>
      </w:r>
    </w:p>
    <w:p>
      <w:pPr>
        <w:pStyle w:val="Heading1"/>
        <w:tabs>
          <w:tab w:pos="1623" w:val="left" w:leader="none"/>
        </w:tabs>
        <w:spacing w:before="106"/>
      </w:pPr>
      <w:bookmarkStart w:name="_bookmark13" w:id="14"/>
      <w:bookmarkEnd w:id="14"/>
      <w:r>
        <w:rPr>
          <w:b w:val="0"/>
        </w:rPr>
      </w:r>
      <w:r>
        <w:rPr/>
        <w:t>第十</w:t>
      </w:r>
      <w:r>
        <w:rPr>
          <w:spacing w:val="-3"/>
        </w:rPr>
        <w:t>四</w:t>
      </w:r>
      <w:r>
        <w:rPr/>
        <w:t>条</w:t>
        <w:tab/>
        <w:t>重大</w:t>
      </w:r>
      <w:r>
        <w:rPr>
          <w:spacing w:val="-3"/>
        </w:rPr>
        <w:t>疾</w:t>
      </w:r>
      <w:r>
        <w:rPr/>
        <w:t>病的</w:t>
      </w:r>
      <w:r>
        <w:rPr>
          <w:spacing w:val="-3"/>
        </w:rPr>
        <w:t>释</w:t>
      </w:r>
      <w:r>
        <w:rPr/>
        <w:t>义</w:t>
      </w:r>
    </w:p>
    <w:p>
      <w:pPr>
        <w:pStyle w:val="ListParagraph"/>
        <w:numPr>
          <w:ilvl w:val="1"/>
          <w:numId w:val="11"/>
        </w:numPr>
        <w:tabs>
          <w:tab w:pos="1105" w:val="left" w:leader="none"/>
          <w:tab w:pos="1106" w:val="left" w:leader="none"/>
        </w:tabs>
        <w:spacing w:line="240" w:lineRule="auto" w:before="139" w:after="0"/>
        <w:ind w:left="1105" w:right="0" w:hanging="567"/>
        <w:jc w:val="left"/>
        <w:rPr>
          <w:sz w:val="18"/>
        </w:rPr>
      </w:pPr>
      <w:r>
        <w:rPr>
          <w:sz w:val="18"/>
        </w:rPr>
        <w:t>恶性肿瘤</w:t>
      </w:r>
    </w:p>
    <w:p>
      <w:pPr>
        <w:pStyle w:val="BodyText"/>
        <w:spacing w:line="357" w:lineRule="auto"/>
        <w:ind w:right="183"/>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 </w:t>
      </w:r>
      <w:r>
        <w:rPr>
          <w:spacing w:val="-1"/>
          <w:w w:val="95"/>
        </w:rPr>
        <w:t>类》</w:t>
      </w:r>
      <w:r>
        <w:rPr>
          <w:w w:val="95"/>
        </w:rPr>
        <w:t>（</w:t>
      </w:r>
      <w:r>
        <w:rPr>
          <w:rFonts w:ascii="Arial" w:eastAsia="Arial"/>
          <w:w w:val="95"/>
        </w:rPr>
        <w:t>ICD-10</w:t>
      </w:r>
      <w:r>
        <w:rPr>
          <w:w w:val="95"/>
        </w:rPr>
        <w:t>）的恶性肿瘤范畴。</w:t>
      </w:r>
    </w:p>
    <w:p>
      <w:pPr>
        <w:pStyle w:val="Heading3"/>
        <w:spacing w:before="3"/>
      </w:pPr>
      <w:r>
        <w:rPr>
          <w:w w:val="95"/>
        </w:rPr>
        <w:t>下列疾病不在保障范围内：</w:t>
      </w:r>
    </w:p>
    <w:p>
      <w:pPr>
        <w:spacing w:before="114"/>
        <w:ind w:left="1102" w:right="0" w:firstLine="0"/>
        <w:jc w:val="left"/>
        <w:rPr>
          <w:b/>
          <w:sz w:val="18"/>
        </w:rPr>
      </w:pPr>
      <w:r>
        <w:rPr>
          <w:b/>
          <w:w w:val="95"/>
          <w:sz w:val="18"/>
        </w:rPr>
        <w:t>（</w:t>
      </w:r>
      <w:r>
        <w:rPr>
          <w:rFonts w:ascii="Arial" w:eastAsia="Arial"/>
          <w:b/>
          <w:w w:val="95"/>
          <w:sz w:val="18"/>
        </w:rPr>
        <w:t>1</w:t>
      </w:r>
      <w:r>
        <w:rPr>
          <w:b/>
          <w:w w:val="95"/>
          <w:sz w:val="18"/>
        </w:rPr>
        <w:t>）原位癌；</w:t>
      </w:r>
    </w:p>
    <w:p>
      <w:pPr>
        <w:spacing w:before="101"/>
        <w:ind w:left="1102" w:right="0" w:firstLine="0"/>
        <w:jc w:val="left"/>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 </w:t>
      </w:r>
      <w:r>
        <w:rPr>
          <w:rFonts w:ascii="Arial" w:eastAsia="Arial"/>
          <w:b/>
          <w:sz w:val="18"/>
        </w:rPr>
        <w:t>A </w:t>
      </w:r>
      <w:r>
        <w:rPr>
          <w:b/>
          <w:sz w:val="18"/>
        </w:rPr>
        <w:t>期程度的慢性淋巴细胞白血病；</w:t>
      </w:r>
    </w:p>
    <w:p>
      <w:pPr>
        <w:spacing w:before="103"/>
        <w:ind w:left="1102" w:right="0" w:firstLine="0"/>
        <w:jc w:val="left"/>
        <w:rPr>
          <w:b/>
          <w:sz w:val="18"/>
        </w:rPr>
      </w:pPr>
      <w:r>
        <w:rPr>
          <w:b/>
          <w:sz w:val="18"/>
        </w:rPr>
        <w:t>（</w:t>
      </w:r>
      <w:r>
        <w:rPr>
          <w:rFonts w:ascii="Arial" w:hAnsi="Arial" w:eastAsia="Arial"/>
          <w:b/>
          <w:sz w:val="18"/>
        </w:rPr>
        <w:t>3</w:t>
      </w:r>
      <w:r>
        <w:rPr>
          <w:b/>
          <w:sz w:val="18"/>
        </w:rPr>
        <w:t>）相当于 </w:t>
      </w:r>
      <w:r>
        <w:rPr>
          <w:rFonts w:ascii="Arial" w:hAnsi="Arial" w:eastAsia="Arial"/>
          <w:b/>
          <w:sz w:val="18"/>
        </w:rPr>
        <w:t>Ann Arbor </w:t>
      </w:r>
      <w:r>
        <w:rPr>
          <w:b/>
          <w:sz w:val="18"/>
        </w:rPr>
        <w:t>分期方案Ⅰ期程度的何杰金氏病；</w:t>
      </w:r>
    </w:p>
    <w:p>
      <w:pPr>
        <w:spacing w:before="101"/>
        <w:ind w:left="1102"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1"/>
        <w:ind w:left="1102" w:right="0" w:firstLine="0"/>
        <w:jc w:val="left"/>
        <w:rPr>
          <w:b/>
          <w:sz w:val="18"/>
        </w:rPr>
      </w:pPr>
      <w:r>
        <w:rPr>
          <w:b/>
          <w:position w:val="2"/>
          <w:sz w:val="18"/>
        </w:rPr>
        <w:t>（</w:t>
      </w:r>
      <w:r>
        <w:rPr>
          <w:rFonts w:ascii="Arial" w:eastAsia="Arial"/>
          <w:b/>
          <w:position w:val="2"/>
          <w:sz w:val="18"/>
        </w:rPr>
        <w:t>5</w:t>
      </w:r>
      <w:r>
        <w:rPr>
          <w:b/>
          <w:position w:val="2"/>
          <w:sz w:val="18"/>
        </w:rPr>
        <w:t>）</w:t>
      </w:r>
      <w:r>
        <w:rPr>
          <w:rFonts w:ascii="Arial" w:eastAsia="Arial"/>
          <w:b/>
          <w:position w:val="2"/>
          <w:sz w:val="18"/>
        </w:rPr>
        <w:t>TNM </w:t>
      </w:r>
      <w:r>
        <w:rPr>
          <w:b/>
          <w:position w:val="2"/>
          <w:sz w:val="18"/>
        </w:rPr>
        <w:t>分期为 </w:t>
      </w:r>
      <w:r>
        <w:rPr>
          <w:rFonts w:ascii="Arial" w:eastAsia="Arial"/>
          <w:b/>
          <w:position w:val="2"/>
          <w:sz w:val="18"/>
        </w:rPr>
        <w:t>T</w:t>
      </w:r>
      <w:r>
        <w:rPr>
          <w:rFonts w:ascii="Arial" w:eastAsia="Arial"/>
          <w:b/>
          <w:position w:val="2"/>
          <w:sz w:val="18"/>
          <w:vertAlign w:val="subscript"/>
        </w:rPr>
        <w:t>1</w:t>
      </w:r>
      <w:r>
        <w:rPr>
          <w:rFonts w:ascii="Arial" w:eastAsia="Arial"/>
          <w:b/>
          <w:position w:val="2"/>
          <w:sz w:val="18"/>
          <w:vertAlign w:val="baseline"/>
        </w:rPr>
        <w:t>N</w:t>
      </w:r>
      <w:r>
        <w:rPr>
          <w:rFonts w:ascii="Arial" w:eastAsia="Arial"/>
          <w:b/>
          <w:position w:val="2"/>
          <w:sz w:val="18"/>
          <w:vertAlign w:val="subscript"/>
        </w:rPr>
        <w:t>0</w:t>
      </w:r>
      <w:r>
        <w:rPr>
          <w:rFonts w:ascii="Arial" w:eastAsia="Arial"/>
          <w:b/>
          <w:position w:val="2"/>
          <w:sz w:val="18"/>
          <w:vertAlign w:val="baseline"/>
        </w:rPr>
        <w:t>M</w:t>
      </w:r>
      <w:r>
        <w:rPr>
          <w:rFonts w:ascii="Arial" w:eastAsia="Arial"/>
          <w:b/>
          <w:position w:val="2"/>
          <w:sz w:val="18"/>
          <w:vertAlign w:val="subscript"/>
        </w:rPr>
        <w:t>0</w:t>
      </w:r>
      <w:r>
        <w:rPr>
          <w:rFonts w:ascii="Arial" w:eastAsia="Arial"/>
          <w:b/>
          <w:position w:val="2"/>
          <w:sz w:val="18"/>
          <w:vertAlign w:val="baseline"/>
        </w:rPr>
        <w:t> </w:t>
      </w:r>
      <w:r>
        <w:rPr>
          <w:b/>
          <w:position w:val="2"/>
          <w:sz w:val="18"/>
          <w:vertAlign w:val="baseline"/>
        </w:rPr>
        <w:t>期或更轻分期的前列腺癌；</w:t>
      </w:r>
    </w:p>
    <w:p>
      <w:pPr>
        <w:spacing w:before="82"/>
        <w:ind w:left="1102"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1"/>
        </w:numPr>
        <w:tabs>
          <w:tab w:pos="1105" w:val="left" w:leader="none"/>
          <w:tab w:pos="1106" w:val="left" w:leader="none"/>
        </w:tabs>
        <w:spacing w:line="240" w:lineRule="auto" w:before="106" w:after="0"/>
        <w:ind w:left="1105" w:right="0" w:hanging="567"/>
        <w:jc w:val="left"/>
        <w:rPr>
          <w:sz w:val="18"/>
        </w:rPr>
      </w:pPr>
      <w:r>
        <w:rPr>
          <w:sz w:val="18"/>
        </w:rPr>
        <w:t>急性心肌梗塞</w:t>
      </w:r>
    </w:p>
    <w:p>
      <w:pPr>
        <w:pStyle w:val="BodyText"/>
        <w:spacing w:before="101"/>
      </w:pPr>
      <w:r>
        <w:rPr/>
        <w:t>指因冠状动脉阻塞导致的相应区域供血不足造成部分心肌坏死。须满足下列至少三项条件：</w:t>
      </w:r>
    </w:p>
    <w:p>
      <w:pPr>
        <w:pStyle w:val="BodyText"/>
        <w:spacing w:before="116"/>
      </w:pPr>
      <w:r>
        <w:rPr/>
        <w:t>（</w:t>
      </w:r>
      <w:r>
        <w:rPr>
          <w:rFonts w:ascii="Arial" w:eastAsia="Arial"/>
        </w:rPr>
        <w:t>1</w:t>
      </w:r>
      <w:r>
        <w:rPr/>
        <w:t>）典型临床表现，例如急性胸痛等；</w:t>
      </w:r>
    </w:p>
    <w:p>
      <w:pPr>
        <w:pStyle w:val="BodyText"/>
        <w:spacing w:before="101"/>
      </w:pPr>
      <w:r>
        <w:rPr/>
        <w:t>（</w:t>
      </w:r>
      <w:r>
        <w:rPr>
          <w:rFonts w:ascii="Arial" w:eastAsia="Arial"/>
        </w:rPr>
        <w:t>2</w:t>
      </w:r>
      <w:r>
        <w:rPr/>
        <w:t>）新近的心电图改变提示急性心肌梗塞；</w:t>
      </w:r>
    </w:p>
    <w:p>
      <w:pPr>
        <w:spacing w:after="0"/>
        <w:sectPr>
          <w:pgSz w:w="11910" w:h="16840"/>
          <w:pgMar w:header="672" w:footer="757" w:top="860" w:bottom="940" w:left="880" w:right="740"/>
        </w:sectPr>
      </w:pPr>
    </w:p>
    <w:p>
      <w:pPr>
        <w:pStyle w:val="BodyText"/>
        <w:spacing w:before="9"/>
        <w:ind w:left="0"/>
        <w:rPr>
          <w:sz w:val="13"/>
        </w:rPr>
      </w:pPr>
    </w:p>
    <w:p>
      <w:pPr>
        <w:pStyle w:val="BodyText"/>
        <w:spacing w:before="53"/>
      </w:pPr>
      <w:r>
        <w:rPr/>
        <w:t>（</w:t>
      </w:r>
      <w:r>
        <w:rPr>
          <w:rFonts w:ascii="Arial" w:eastAsia="Arial"/>
        </w:rPr>
        <w:t>3</w:t>
      </w:r>
      <w:r>
        <w:rPr/>
        <w:t>）心肌酶或肌钙蛋白有诊断意义的升高，或呈符合急性心肌梗塞的动态性变化；</w:t>
      </w:r>
    </w:p>
    <w:p>
      <w:pPr>
        <w:pStyle w:val="BodyText"/>
        <w:spacing w:before="103"/>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1"/>
        </w:numPr>
        <w:tabs>
          <w:tab w:pos="1105" w:val="left" w:leader="none"/>
          <w:tab w:pos="1106" w:val="left" w:leader="none"/>
        </w:tabs>
        <w:spacing w:line="240" w:lineRule="auto" w:before="104" w:after="0"/>
        <w:ind w:left="1105" w:right="0" w:hanging="567"/>
        <w:jc w:val="left"/>
        <w:rPr>
          <w:sz w:val="18"/>
        </w:rPr>
      </w:pPr>
      <w:r>
        <w:rPr>
          <w:sz w:val="18"/>
        </w:rPr>
        <w:t>脑中风后遗症</w:t>
      </w:r>
    </w:p>
    <w:p>
      <w:pPr>
        <w:pStyle w:val="BodyText"/>
        <w:spacing w:line="357" w:lineRule="auto"/>
        <w:ind w:right="183"/>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3"/>
        <w:ind w:left="1102" w:right="0" w:firstLine="0"/>
        <w:jc w:val="both"/>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4"/>
        <w:ind w:left="1131" w:right="0" w:firstLine="0"/>
        <w:jc w:val="both"/>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both"/>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1"/>
        </w:numPr>
        <w:tabs>
          <w:tab w:pos="1105" w:val="left" w:leader="none"/>
          <w:tab w:pos="1106" w:val="left" w:leader="none"/>
        </w:tabs>
        <w:spacing w:line="240" w:lineRule="auto" w:before="103" w:after="0"/>
        <w:ind w:left="1105" w:right="0" w:hanging="567"/>
        <w:jc w:val="left"/>
        <w:rPr>
          <w:sz w:val="18"/>
        </w:rPr>
      </w:pPr>
      <w:r>
        <w:rPr>
          <w:sz w:val="18"/>
        </w:rPr>
        <w:t>重大器官移植术或造血干细胞移植术</w:t>
      </w:r>
    </w:p>
    <w:p>
      <w:pPr>
        <w:pStyle w:val="BodyText"/>
        <w:spacing w:before="103"/>
        <w:jc w:val="both"/>
      </w:pPr>
      <w:r>
        <w:rPr/>
        <w:t>重大器官移植术，指因相应器官功能衰竭，已经实施了肾脏、肝脏、心脏或肺脏的异体移植手术。</w:t>
      </w:r>
    </w:p>
    <w:p>
      <w:pPr>
        <w:pStyle w:val="BodyText"/>
        <w:spacing w:line="357" w:lineRule="auto" w:before="114"/>
        <w:ind w:right="183"/>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1"/>
        </w:numPr>
        <w:tabs>
          <w:tab w:pos="1105" w:val="left" w:leader="none"/>
          <w:tab w:pos="1106" w:val="left" w:leader="none"/>
        </w:tabs>
        <w:spacing w:line="240" w:lineRule="auto" w:before="31" w:after="0"/>
        <w:ind w:left="1105" w:right="0" w:hanging="567"/>
        <w:jc w:val="left"/>
        <w:rPr>
          <w:sz w:val="18"/>
        </w:rPr>
      </w:pPr>
      <w:r>
        <w:rPr>
          <w:spacing w:val="-1"/>
          <w:sz w:val="18"/>
        </w:rPr>
        <w:t>冠状动脉搭桥术</w:t>
      </w:r>
      <w:r>
        <w:rPr>
          <w:sz w:val="18"/>
        </w:rPr>
        <w:t>（或称冠状动脉旁路移植术）</w:t>
      </w:r>
    </w:p>
    <w:p>
      <w:pPr>
        <w:pStyle w:val="BodyText"/>
        <w:jc w:val="both"/>
      </w:pPr>
      <w:r>
        <w:rPr/>
        <w:t>指为治疗严重的冠心病，实际实施了开胸进行的冠状动脉血管旁路移植的手术。</w:t>
      </w:r>
    </w:p>
    <w:p>
      <w:pPr>
        <w:pStyle w:val="Heading3"/>
        <w:spacing w:before="114"/>
        <w:jc w:val="both"/>
      </w:pPr>
      <w:r>
        <w:rPr>
          <w:w w:val="95"/>
        </w:rPr>
        <w:t>冠状动脉支架植入术、心导管球囊扩张术、激光射频技术及其它非开胸的介入手术、腔镜手术不在保障范围内。</w:t>
      </w:r>
    </w:p>
    <w:p>
      <w:pPr>
        <w:pStyle w:val="ListParagraph"/>
        <w:numPr>
          <w:ilvl w:val="1"/>
          <w:numId w:val="11"/>
        </w:numPr>
        <w:tabs>
          <w:tab w:pos="1105" w:val="left" w:leader="none"/>
          <w:tab w:pos="1106" w:val="left" w:leader="none"/>
        </w:tabs>
        <w:spacing w:line="240" w:lineRule="auto" w:before="117" w:after="0"/>
        <w:ind w:left="1105" w:right="0" w:hanging="567"/>
        <w:jc w:val="left"/>
        <w:rPr>
          <w:sz w:val="18"/>
        </w:rPr>
      </w:pPr>
      <w:r>
        <w:rPr>
          <w:sz w:val="18"/>
        </w:rPr>
        <w:t>终末期肾病（或称慢性肾功能衰竭尿毒症期）</w:t>
      </w:r>
    </w:p>
    <w:p>
      <w:pPr>
        <w:pStyle w:val="BodyText"/>
        <w:spacing w:line="338" w:lineRule="auto"/>
        <w:ind w:right="191"/>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1"/>
        </w:numPr>
        <w:tabs>
          <w:tab w:pos="1105" w:val="left" w:leader="none"/>
          <w:tab w:pos="1106" w:val="left" w:leader="none"/>
        </w:tabs>
        <w:spacing w:line="240" w:lineRule="auto" w:before="45" w:after="0"/>
        <w:ind w:left="1105" w:right="0" w:hanging="567"/>
        <w:jc w:val="left"/>
        <w:rPr>
          <w:sz w:val="18"/>
        </w:rPr>
      </w:pPr>
      <w:r>
        <w:rPr>
          <w:sz w:val="18"/>
        </w:rPr>
        <w:t>急性或亚急性重症肝炎</w:t>
      </w:r>
    </w:p>
    <w:p>
      <w:pPr>
        <w:pStyle w:val="BodyText"/>
        <w:spacing w:line="360" w:lineRule="auto" w:before="101"/>
        <w:ind w:right="183"/>
      </w:pPr>
      <w:r>
        <w:rPr/>
        <w:t>指因肝炎病毒感染引起肝脏组织弥漫性坏死，导致急性肝功能衰竭，且经血清学或病毒学检查证实，并须满足下列全部条件：</w:t>
      </w:r>
    </w:p>
    <w:p>
      <w:pPr>
        <w:pStyle w:val="BodyText"/>
        <w:spacing w:before="24"/>
        <w:ind w:left="1131"/>
        <w:jc w:val="both"/>
      </w:pPr>
      <w:r>
        <w:rPr>
          <w:w w:val="95"/>
        </w:rPr>
        <w:t>（</w:t>
      </w:r>
      <w:r>
        <w:rPr>
          <w:rFonts w:ascii="Arial" w:eastAsia="Arial"/>
          <w:w w:val="95"/>
        </w:rPr>
        <w:t>1</w:t>
      </w:r>
      <w:r>
        <w:rPr>
          <w:w w:val="95"/>
        </w:rPr>
        <w:t>）重度黄疸或黄疸迅速加重；</w:t>
      </w:r>
    </w:p>
    <w:p>
      <w:pPr>
        <w:pStyle w:val="BodyText"/>
        <w:spacing w:before="101"/>
        <w:ind w:left="1131"/>
        <w:jc w:val="both"/>
      </w:pPr>
      <w:r>
        <w:rPr>
          <w:w w:val="95"/>
        </w:rPr>
        <w:t>（</w:t>
      </w:r>
      <w:r>
        <w:rPr>
          <w:rFonts w:ascii="Arial" w:eastAsia="Arial"/>
          <w:w w:val="95"/>
        </w:rPr>
        <w:t>2</w:t>
      </w:r>
      <w:r>
        <w:rPr>
          <w:w w:val="95"/>
        </w:rPr>
        <w:t>）肝性脑病；</w:t>
      </w:r>
    </w:p>
    <w:p>
      <w:pPr>
        <w:pStyle w:val="BodyText"/>
        <w:spacing w:before="101"/>
        <w:ind w:left="1131"/>
        <w:jc w:val="both"/>
      </w:pPr>
      <w:r>
        <w:rPr/>
        <w:t>（</w:t>
      </w:r>
      <w:r>
        <w:rPr>
          <w:rFonts w:ascii="Arial" w:eastAsia="Arial"/>
        </w:rPr>
        <w:t>3</w:t>
      </w:r>
      <w:r>
        <w:rPr/>
        <w:t>）</w:t>
      </w:r>
      <w:r>
        <w:rPr>
          <w:rFonts w:ascii="Arial" w:eastAsia="Arial"/>
        </w:rPr>
        <w:t>B </w:t>
      </w:r>
      <w:r>
        <w:rPr/>
        <w:t>超或其他影像学检查显示肝脏体积急速萎缩；</w:t>
      </w:r>
    </w:p>
    <w:p>
      <w:pPr>
        <w:pStyle w:val="BodyText"/>
        <w:spacing w:before="103"/>
        <w:ind w:left="1131"/>
        <w:jc w:val="both"/>
      </w:pPr>
      <w:r>
        <w:rPr>
          <w:w w:val="95"/>
        </w:rPr>
        <w:t>（</w:t>
      </w:r>
      <w:r>
        <w:rPr>
          <w:rFonts w:ascii="Arial" w:eastAsia="Arial"/>
          <w:w w:val="95"/>
        </w:rPr>
        <w:t>4</w:t>
      </w:r>
      <w:r>
        <w:rPr>
          <w:w w:val="95"/>
        </w:rPr>
        <w:t>）肝功能指标进行性恶化。</w:t>
      </w:r>
    </w:p>
    <w:p>
      <w:pPr>
        <w:pStyle w:val="ListParagraph"/>
        <w:numPr>
          <w:ilvl w:val="1"/>
          <w:numId w:val="11"/>
        </w:numPr>
        <w:tabs>
          <w:tab w:pos="1105" w:val="left" w:leader="none"/>
          <w:tab w:pos="1106" w:val="left" w:leader="none"/>
        </w:tabs>
        <w:spacing w:line="240" w:lineRule="auto" w:before="103" w:after="0"/>
        <w:ind w:left="1105" w:right="0" w:hanging="567"/>
        <w:jc w:val="left"/>
        <w:rPr>
          <w:sz w:val="18"/>
        </w:rPr>
      </w:pPr>
      <w:r>
        <w:rPr>
          <w:sz w:val="18"/>
        </w:rPr>
        <w:t>良性脑肿瘤</w:t>
      </w:r>
    </w:p>
    <w:p>
      <w:pPr>
        <w:pStyle w:val="BodyText"/>
        <w:spacing w:line="348" w:lineRule="auto" w:before="103"/>
        <w:ind w:right="161"/>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5"/>
        <w:ind w:left="1131"/>
        <w:jc w:val="both"/>
      </w:pPr>
      <w:r>
        <w:rPr/>
        <w:t>（</w:t>
      </w:r>
      <w:r>
        <w:rPr>
          <w:rFonts w:ascii="Arial" w:eastAsia="Arial"/>
        </w:rPr>
        <w:t>1</w:t>
      </w:r>
      <w:r>
        <w:rPr/>
        <w:t>）实际实施了开颅进行的脑肿瘤完全切除或部分切除的手术；</w:t>
      </w:r>
    </w:p>
    <w:p>
      <w:pPr>
        <w:pStyle w:val="BodyText"/>
        <w:spacing w:before="101"/>
        <w:ind w:left="1131"/>
        <w:jc w:val="both"/>
      </w:pPr>
      <w:r>
        <w:rPr>
          <w:w w:val="95"/>
        </w:rPr>
        <w:t>（</w:t>
      </w:r>
      <w:r>
        <w:rPr>
          <w:rFonts w:ascii="Arial" w:eastAsia="Arial"/>
          <w:w w:val="95"/>
        </w:rPr>
        <w:t>2</w:t>
      </w:r>
      <w:r>
        <w:rPr>
          <w:w w:val="95"/>
        </w:rPr>
        <w:t>）实际实施了对脑肿瘤进行的放射治疗。</w:t>
      </w:r>
    </w:p>
    <w:p>
      <w:pPr>
        <w:pStyle w:val="Heading3"/>
        <w:spacing w:before="101"/>
        <w:jc w:val="both"/>
      </w:pPr>
      <w:r>
        <w:rPr>
          <w:w w:val="95"/>
        </w:rPr>
        <w:t>脑垂体瘤、脑囊肿、脑血管性疾病不在保障范围内。</w:t>
      </w:r>
    </w:p>
    <w:p>
      <w:pPr>
        <w:pStyle w:val="ListParagraph"/>
        <w:numPr>
          <w:ilvl w:val="1"/>
          <w:numId w:val="11"/>
        </w:numPr>
        <w:tabs>
          <w:tab w:pos="1105" w:val="left" w:leader="none"/>
          <w:tab w:pos="1106" w:val="left" w:leader="none"/>
        </w:tabs>
        <w:spacing w:line="240" w:lineRule="auto" w:before="116" w:after="0"/>
        <w:ind w:left="1105" w:right="0" w:hanging="567"/>
        <w:jc w:val="left"/>
        <w:rPr>
          <w:sz w:val="18"/>
        </w:rPr>
      </w:pPr>
      <w:r>
        <w:rPr>
          <w:sz w:val="18"/>
        </w:rPr>
        <w:t>慢性肝功能衰竭失代偿期</w:t>
      </w:r>
    </w:p>
    <w:p>
      <w:pPr>
        <w:pStyle w:val="BodyText"/>
        <w:spacing w:before="103"/>
        <w:jc w:val="both"/>
      </w:pPr>
      <w:r>
        <w:rPr/>
        <w:t>指因慢性肝脏疾病导致肝功能衰竭。须满足下列全部条件：</w:t>
      </w:r>
    </w:p>
    <w:p>
      <w:pPr>
        <w:pStyle w:val="BodyText"/>
        <w:spacing w:before="117"/>
        <w:ind w:left="1071"/>
        <w:jc w:val="both"/>
      </w:pPr>
      <w:r>
        <w:rPr/>
        <w:t>（</w:t>
      </w:r>
      <w:r>
        <w:rPr>
          <w:rFonts w:ascii="Arial" w:eastAsia="Arial"/>
        </w:rPr>
        <w:t>1</w:t>
      </w:r>
      <w:r>
        <w:rPr/>
        <w:t>）持续性黄疸；</w:t>
      </w:r>
    </w:p>
    <w:p>
      <w:pPr>
        <w:pStyle w:val="BodyText"/>
        <w:spacing w:before="102"/>
        <w:ind w:left="1071"/>
        <w:jc w:val="both"/>
      </w:pPr>
      <w:r>
        <w:rPr/>
        <w:t>（</w:t>
      </w:r>
      <w:r>
        <w:rPr>
          <w:rFonts w:ascii="Arial" w:eastAsia="Arial"/>
        </w:rPr>
        <w:t>2</w:t>
      </w:r>
      <w:r>
        <w:rPr/>
        <w:t>）腹水；</w:t>
      </w:r>
    </w:p>
    <w:p>
      <w:pPr>
        <w:pStyle w:val="BodyText"/>
        <w:spacing w:before="102"/>
        <w:ind w:left="1071"/>
        <w:jc w:val="both"/>
      </w:pPr>
      <w:r>
        <w:rPr/>
        <w:t>（</w:t>
      </w:r>
      <w:r>
        <w:rPr>
          <w:rFonts w:ascii="Arial" w:eastAsia="Arial"/>
        </w:rPr>
        <w:t>3</w:t>
      </w:r>
      <w:r>
        <w:rPr/>
        <w:t>）肝性脑病；</w:t>
      </w:r>
    </w:p>
    <w:p>
      <w:pPr>
        <w:spacing w:line="340" w:lineRule="auto" w:before="102"/>
        <w:ind w:left="1102" w:right="4794" w:hanging="32"/>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1"/>
        </w:numPr>
        <w:tabs>
          <w:tab w:pos="1106" w:val="left" w:leader="none"/>
        </w:tabs>
        <w:spacing w:line="240" w:lineRule="auto" w:before="41" w:after="0"/>
        <w:ind w:left="1105" w:right="0" w:hanging="567"/>
        <w:jc w:val="left"/>
        <w:rPr>
          <w:sz w:val="18"/>
        </w:rPr>
      </w:pPr>
      <w:r>
        <w:rPr>
          <w:sz w:val="18"/>
        </w:rPr>
        <w:t>深度昏迷</w:t>
      </w:r>
    </w:p>
    <w:p>
      <w:pPr>
        <w:spacing w:after="0" w:line="240" w:lineRule="auto"/>
        <w:jc w:val="left"/>
        <w:rPr>
          <w:sz w:val="18"/>
        </w:rPr>
        <w:sectPr>
          <w:pgSz w:w="11910" w:h="16840"/>
          <w:pgMar w:header="672" w:footer="757" w:top="860" w:bottom="940" w:left="880" w:right="740"/>
        </w:sectPr>
      </w:pPr>
    </w:p>
    <w:p>
      <w:pPr>
        <w:pStyle w:val="BodyText"/>
        <w:spacing w:before="9"/>
        <w:ind w:left="0"/>
        <w:rPr>
          <w:sz w:val="13"/>
        </w:rPr>
      </w:pPr>
    </w:p>
    <w:p>
      <w:pPr>
        <w:pStyle w:val="BodyText"/>
        <w:spacing w:line="340" w:lineRule="auto" w:before="53"/>
        <w:ind w:right="458"/>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17"/>
      </w:pPr>
      <w:r>
        <w:rPr>
          <w:w w:val="95"/>
        </w:rPr>
        <w:t>因酗酒或药物滥用导致的深度昏迷不在保障范围内。</w:t>
      </w:r>
    </w:p>
    <w:p>
      <w:pPr>
        <w:pStyle w:val="ListParagraph"/>
        <w:numPr>
          <w:ilvl w:val="1"/>
          <w:numId w:val="11"/>
        </w:numPr>
        <w:tabs>
          <w:tab w:pos="1106" w:val="left" w:leader="none"/>
        </w:tabs>
        <w:spacing w:line="240" w:lineRule="auto" w:before="117" w:after="0"/>
        <w:ind w:left="1105" w:right="0" w:hanging="567"/>
        <w:jc w:val="left"/>
        <w:rPr>
          <w:sz w:val="18"/>
        </w:rPr>
      </w:pPr>
      <w:r>
        <w:rPr>
          <w:sz w:val="18"/>
        </w:rPr>
        <w:t>双目失明</w:t>
      </w:r>
    </w:p>
    <w:p>
      <w:pPr>
        <w:pStyle w:val="BodyText"/>
      </w:pPr>
      <w:r>
        <w:rPr>
          <w:w w:val="95"/>
        </w:rPr>
        <w:t>指因疾病或意外伤害导致双眼视力</w:t>
      </w:r>
      <w:r>
        <w:rPr>
          <w:b/>
          <w:w w:val="95"/>
        </w:rPr>
        <w:t>永久不可逆</w:t>
      </w:r>
      <w:r>
        <w:rPr>
          <w:w w:val="95"/>
        </w:rPr>
        <w:t>（见释义）性丧失，双眼中较好眼须满足下列至少一项条件：</w:t>
      </w:r>
    </w:p>
    <w:p>
      <w:pPr>
        <w:pStyle w:val="BodyText"/>
        <w:spacing w:before="114"/>
      </w:pPr>
      <w:r>
        <w:rPr/>
        <w:t>（</w:t>
      </w:r>
      <w:r>
        <w:rPr>
          <w:rFonts w:ascii="Arial" w:eastAsia="Arial"/>
        </w:rPr>
        <w:t>1</w:t>
      </w:r>
      <w:r>
        <w:rPr/>
        <w:t>）眼球缺失或摘除；</w:t>
      </w:r>
    </w:p>
    <w:p>
      <w:pPr>
        <w:pStyle w:val="BodyText"/>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2"/>
      </w:pPr>
      <w:r>
        <w:rPr/>
        <w:t>（</w:t>
      </w:r>
      <w:r>
        <w:rPr>
          <w:rFonts w:ascii="Arial" w:eastAsia="Arial"/>
        </w:rPr>
        <w:t>3</w:t>
      </w:r>
      <w:r>
        <w:rPr/>
        <w:t>）视野半径小于 </w:t>
      </w:r>
      <w:r>
        <w:rPr>
          <w:rFonts w:ascii="Arial" w:eastAsia="Arial"/>
        </w:rPr>
        <w:t>5 </w:t>
      </w:r>
      <w:r>
        <w:rPr/>
        <w:t>度。</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瘫痪</w:t>
      </w:r>
    </w:p>
    <w:p>
      <w:pPr>
        <w:pStyle w:val="BodyText"/>
      </w:pPr>
      <w:r>
        <w:rPr/>
        <w:t>指因疾病或意外伤害导致两肢或两肢以上肢体机能永久完全丧失。肢体机能永久完全丧失，指疾病确诊 </w:t>
      </w:r>
      <w:r>
        <w:rPr>
          <w:rFonts w:ascii="Arial" w:eastAsia="Arial"/>
        </w:rPr>
        <w:t>180 </w:t>
      </w:r>
      <w:r>
        <w:rPr/>
        <w:t>日后或</w:t>
      </w:r>
    </w:p>
    <w:p>
      <w:pPr>
        <w:pStyle w:val="BodyText"/>
        <w:spacing w:before="102"/>
      </w:pPr>
      <w:r>
        <w:rPr/>
        <w:t>意外伤害发生 </w:t>
      </w:r>
      <w:r>
        <w:rPr>
          <w:rFonts w:ascii="Arial" w:eastAsia="Arial"/>
        </w:rPr>
        <w:t>180 </w:t>
      </w:r>
      <w:r>
        <w:rPr/>
        <w:t>日后，每肢三大关节中的两大关节仍然完全僵硬，或不能随意识活动。</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心脏瓣膜手术</w:t>
      </w:r>
    </w:p>
    <w:p>
      <w:pPr>
        <w:pStyle w:val="BodyText"/>
      </w:pPr>
      <w:r>
        <w:rPr/>
        <w:t>指为治疗心脏瓣膜疾病，实际实施了开胸进行的心脏瓣膜置换或修复的手术。</w:t>
      </w:r>
    </w:p>
    <w:p>
      <w:pPr>
        <w:pStyle w:val="ListParagraph"/>
        <w:numPr>
          <w:ilvl w:val="1"/>
          <w:numId w:val="11"/>
        </w:numPr>
        <w:tabs>
          <w:tab w:pos="1106" w:val="left" w:leader="none"/>
        </w:tabs>
        <w:spacing w:line="240" w:lineRule="auto" w:before="120" w:after="0"/>
        <w:ind w:left="1105" w:right="0" w:hanging="567"/>
        <w:jc w:val="left"/>
        <w:rPr>
          <w:sz w:val="18"/>
        </w:rPr>
      </w:pPr>
      <w:r>
        <w:rPr>
          <w:sz w:val="18"/>
        </w:rPr>
        <w:t>严重阿尔茨海默病</w:t>
      </w:r>
    </w:p>
    <w:p>
      <w:pPr>
        <w:pStyle w:val="BodyText"/>
        <w:spacing w:line="345" w:lineRule="auto"/>
        <w:ind w:right="151"/>
        <w:jc w:val="both"/>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）等影像学检查证实，且自主生活能力完全丧失，无法独立完成六项基本日常生活活动中的三项或三项以上。</w:t>
      </w:r>
    </w:p>
    <w:p>
      <w:pPr>
        <w:pStyle w:val="Heading3"/>
        <w:spacing w:before="38"/>
      </w:pPr>
      <w:r>
        <w:rPr>
          <w:w w:val="95"/>
        </w:rPr>
        <w:t>神经官能症和精神疾病不在保障范围内。</w:t>
      </w:r>
    </w:p>
    <w:p>
      <w:pPr>
        <w:spacing w:before="115"/>
        <w:ind w:left="1102" w:right="0" w:firstLine="0"/>
        <w:jc w:val="left"/>
        <w:rPr>
          <w:b/>
          <w:sz w:val="18"/>
        </w:rPr>
      </w:pPr>
      <w:r>
        <w:rPr>
          <w:b/>
          <w:sz w:val="18"/>
        </w:rPr>
        <w:t>我们仅承担被保险人在 </w:t>
      </w:r>
      <w:r>
        <w:rPr>
          <w:rFonts w:ascii="Arial" w:eastAsia="Arial"/>
          <w:b/>
          <w:sz w:val="18"/>
        </w:rPr>
        <w:t>65 </w:t>
      </w:r>
      <w:r>
        <w:rPr>
          <w:b/>
          <w:sz w:val="18"/>
        </w:rPr>
        <w:t>周岁之前的保障责任。</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严重脑损伤</w:t>
      </w:r>
    </w:p>
    <w:p>
      <w:pPr>
        <w:pStyle w:val="BodyText"/>
        <w:spacing w:line="338" w:lineRule="auto"/>
        <w:ind w:right="124"/>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w:t>
      </w:r>
    </w:p>
    <w:p>
      <w:pPr>
        <w:pStyle w:val="BodyText"/>
        <w:spacing w:before="20"/>
      </w:pPr>
      <w:r>
        <w:rPr>
          <w:rFonts w:ascii="Arial" w:eastAsia="Arial"/>
        </w:rPr>
        <w:t>180 </w:t>
      </w:r>
      <w:r>
        <w:rPr/>
        <w:t>日后，仍遗留下列一种或一种以上障碍：</w:t>
      </w:r>
    </w:p>
    <w:p>
      <w:pPr>
        <w:pStyle w:val="BodyText"/>
        <w:ind w:left="1011"/>
      </w:pPr>
      <w:r>
        <w:rPr/>
        <w:t>（</w:t>
      </w:r>
      <w:r>
        <w:rPr>
          <w:rFonts w:ascii="Arial" w:eastAsia="Arial"/>
        </w:rPr>
        <w:t>1</w:t>
      </w:r>
      <w:r>
        <w:rPr/>
        <w:t>）一肢或一肢以上肢体机能完全丧失；</w:t>
      </w:r>
    </w:p>
    <w:p>
      <w:pPr>
        <w:pStyle w:val="BodyText"/>
        <w:spacing w:before="101"/>
        <w:ind w:left="1011"/>
      </w:pPr>
      <w:r>
        <w:rPr/>
        <w:t>（</w:t>
      </w:r>
      <w:r>
        <w:rPr>
          <w:rFonts w:ascii="Arial" w:eastAsia="Arial"/>
        </w:rPr>
        <w:t>2</w:t>
      </w:r>
      <w:r>
        <w:rPr/>
        <w:t>）语言能力或咀嚼吞咽能力完全丧失；</w:t>
      </w:r>
    </w:p>
    <w:p>
      <w:pPr>
        <w:pStyle w:val="BodyText"/>
        <w:spacing w:before="101"/>
        <w:ind w:left="1011"/>
      </w:pPr>
      <w:r>
        <w:rPr/>
        <w:t>（</w:t>
      </w:r>
      <w:r>
        <w:rPr>
          <w:rFonts w:ascii="Arial" w:eastAsia="Arial"/>
        </w:rPr>
        <w:t>3</w:t>
      </w:r>
      <w:r>
        <w:rPr/>
        <w:t>）自主生活能力完全丧失，无法独立完成六项基本日常生活活动中的三项或三项以上。</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严重帕金森病</w:t>
      </w:r>
    </w:p>
    <w:p>
      <w:pPr>
        <w:pStyle w:val="BodyText"/>
      </w:pPr>
      <w:r>
        <w:rPr/>
        <w:t>是一种中枢神经系统的退行性疾病，临床表现为震颤麻痹、共济失调等。须满足下列全部条件：</w:t>
      </w:r>
    </w:p>
    <w:p>
      <w:pPr>
        <w:pStyle w:val="BodyText"/>
        <w:spacing w:before="116"/>
      </w:pPr>
      <w:r>
        <w:rPr/>
        <w:t>（</w:t>
      </w:r>
      <w:r>
        <w:rPr>
          <w:rFonts w:ascii="Arial" w:eastAsia="Arial"/>
        </w:rPr>
        <w:t>1</w:t>
      </w:r>
      <w:r>
        <w:rPr/>
        <w:t>）药物治疗无法控制病情；</w:t>
      </w:r>
    </w:p>
    <w:p>
      <w:pPr>
        <w:spacing w:line="338" w:lineRule="auto" w:before="101"/>
        <w:ind w:left="1102" w:right="2063" w:firstLine="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1"/>
      </w:pPr>
      <w:r>
        <w:rPr/>
        <w:t>我们仅承担被保险人在 </w:t>
      </w:r>
      <w:r>
        <w:rPr>
          <w:rFonts w:ascii="Arial" w:eastAsia="Arial"/>
        </w:rPr>
        <w:t>65 </w:t>
      </w:r>
      <w:r>
        <w:rPr/>
        <w:t>周岁之前的保障责任。</w:t>
      </w:r>
    </w:p>
    <w:p>
      <w:pPr>
        <w:pStyle w:val="ListParagraph"/>
        <w:numPr>
          <w:ilvl w:val="1"/>
          <w:numId w:val="11"/>
        </w:numPr>
        <w:tabs>
          <w:tab w:pos="1106" w:val="left" w:leader="none"/>
        </w:tabs>
        <w:spacing w:line="240" w:lineRule="auto" w:before="107" w:after="0"/>
        <w:ind w:left="1105" w:right="0" w:hanging="567"/>
        <w:jc w:val="left"/>
        <w:rPr>
          <w:sz w:val="18"/>
        </w:rPr>
      </w:pPr>
      <w:r>
        <w:rPr>
          <w:spacing w:val="-1"/>
          <w:sz w:val="18"/>
        </w:rPr>
        <w:t>严重Ⅲ度烧伤</w:t>
      </w:r>
    </w:p>
    <w:p>
      <w:pPr>
        <w:pStyle w:val="BodyText"/>
        <w:spacing w:line="338" w:lineRule="auto" w:before="105"/>
        <w:ind w:right="230"/>
      </w:pPr>
      <w:r>
        <w:rPr>
          <w:spacing w:val="-2"/>
        </w:rPr>
        <w:t>指烧伤程度为Ⅲ度，且Ⅲ度烧伤的面积达到全身体表面积的 </w:t>
      </w:r>
      <w:r>
        <w:rPr>
          <w:rFonts w:ascii="Arial" w:hAnsi="Arial" w:eastAsia="Arial"/>
        </w:rPr>
        <w:t>20</w:t>
      </w:r>
      <w:r>
        <w:rPr>
          <w:spacing w:val="-16"/>
        </w:rPr>
        <w:t>％或 </w:t>
      </w:r>
      <w:r>
        <w:rPr>
          <w:rFonts w:ascii="Arial" w:hAnsi="Arial" w:eastAsia="Arial"/>
        </w:rPr>
        <w:t>20</w:t>
      </w:r>
      <w:r>
        <w:rPr>
          <w:spacing w:val="-1"/>
        </w:rPr>
        <w:t>％以上。体表面积根据《中国新九分法》计算。</w:t>
      </w:r>
    </w:p>
    <w:p>
      <w:pPr>
        <w:pStyle w:val="ListParagraph"/>
        <w:numPr>
          <w:ilvl w:val="1"/>
          <w:numId w:val="11"/>
        </w:numPr>
        <w:tabs>
          <w:tab w:pos="1106" w:val="left" w:leader="none"/>
        </w:tabs>
        <w:spacing w:line="240" w:lineRule="auto" w:before="43" w:after="0"/>
        <w:ind w:left="1105" w:right="0" w:hanging="567"/>
        <w:jc w:val="left"/>
        <w:rPr>
          <w:sz w:val="18"/>
        </w:rPr>
      </w:pPr>
      <w:r>
        <w:rPr>
          <w:sz w:val="18"/>
        </w:rPr>
        <w:t>严重原发性肺动脉高压</w:t>
      </w:r>
    </w:p>
    <w:p>
      <w:pPr>
        <w:pStyle w:val="BodyText"/>
        <w:spacing w:line="357" w:lineRule="auto"/>
        <w:ind w:right="363"/>
      </w:pPr>
      <w:r>
        <w:rPr/>
        <w:t>指不明原因的肺动脉压力持续性增高，进行性发展而导致的慢性疾病，已经造成永久不可逆性的体力活动能力受限，达到美国纽约心脏病学会心功能状态分级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1"/>
        </w:numPr>
        <w:tabs>
          <w:tab w:pos="1106" w:val="left" w:leader="none"/>
        </w:tabs>
        <w:spacing w:line="240" w:lineRule="auto" w:before="6" w:after="0"/>
        <w:ind w:left="1105" w:right="0" w:hanging="567"/>
        <w:jc w:val="left"/>
        <w:rPr>
          <w:sz w:val="18"/>
        </w:rPr>
      </w:pPr>
      <w:r>
        <w:rPr>
          <w:sz w:val="18"/>
        </w:rPr>
        <w:t>重型再生障碍性贫血</w:t>
      </w:r>
    </w:p>
    <w:p>
      <w:pPr>
        <w:pStyle w:val="BodyText"/>
      </w:pPr>
      <w:r>
        <w:rPr/>
        <w:t>指因骨髓造血功能慢性持续性衰竭导致的贫血、中性粒细胞减少及血小板减少。须满足下列全部条件：</w:t>
      </w:r>
    </w:p>
    <w:p>
      <w:pPr>
        <w:spacing w:after="0"/>
        <w:sectPr>
          <w:pgSz w:w="11910" w:h="16840"/>
          <w:pgMar w:header="672" w:footer="757" w:top="860" w:bottom="940" w:left="880" w:right="740"/>
        </w:sectPr>
      </w:pPr>
    </w:p>
    <w:p>
      <w:pPr>
        <w:pStyle w:val="BodyText"/>
        <w:spacing w:before="9"/>
        <w:ind w:left="0"/>
        <w:rPr>
          <w:sz w:val="13"/>
        </w:rPr>
      </w:pPr>
    </w:p>
    <w:p>
      <w:pPr>
        <w:pStyle w:val="BodyText"/>
        <w:spacing w:before="53"/>
      </w:pPr>
      <w:r>
        <w:rPr/>
        <w:t>（</w:t>
      </w:r>
      <w:r>
        <w:rPr>
          <w:rFonts w:ascii="Arial" w:eastAsia="Arial"/>
        </w:rPr>
        <w:t>1</w:t>
      </w:r>
      <w:r>
        <w:rPr/>
        <w:t>）骨髓穿刺检查或骨髓活检结果支持诊断；</w:t>
      </w:r>
    </w:p>
    <w:p>
      <w:pPr>
        <w:pStyle w:val="BodyText"/>
        <w:spacing w:before="103"/>
      </w:pPr>
      <w:r>
        <w:rPr/>
        <w:t>（</w:t>
      </w:r>
      <w:r>
        <w:rPr>
          <w:rFonts w:ascii="Arial" w:eastAsia="Arial"/>
        </w:rPr>
        <w:t>2</w:t>
      </w:r>
      <w:r>
        <w:rPr/>
        <w:t>）外周血象须具备以下三项条件：</w:t>
      </w:r>
    </w:p>
    <w:p>
      <w:pPr>
        <w:pStyle w:val="BodyText"/>
        <w:spacing w:before="10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pPr>
      <w:r>
        <w:rPr/>
        <w:t>② 网织红细胞＜</w:t>
      </w:r>
      <w:r>
        <w:rPr>
          <w:rFonts w:ascii="Arial" w:hAnsi="Arial" w:eastAsia="Arial"/>
        </w:rPr>
        <w:t>1%</w:t>
      </w:r>
      <w:r>
        <w:rPr/>
        <w:t>；</w:t>
      </w:r>
    </w:p>
    <w:p>
      <w:pPr>
        <w:pStyle w:val="BodyText"/>
        <w:spacing w:before="10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1"/>
        </w:numPr>
        <w:tabs>
          <w:tab w:pos="1106" w:val="left" w:leader="none"/>
        </w:tabs>
        <w:spacing w:line="240" w:lineRule="auto" w:before="106" w:after="0"/>
        <w:ind w:left="1105" w:right="0" w:hanging="567"/>
        <w:jc w:val="left"/>
        <w:rPr>
          <w:sz w:val="18"/>
        </w:rPr>
      </w:pPr>
      <w:r>
        <w:rPr>
          <w:sz w:val="18"/>
        </w:rPr>
        <w:t>主动脉手术</w:t>
      </w:r>
    </w:p>
    <w:p>
      <w:pPr>
        <w:pStyle w:val="BodyText"/>
        <w:spacing w:line="357" w:lineRule="auto"/>
        <w:ind w:right="183"/>
      </w:pPr>
      <w:r>
        <w:rPr/>
        <w:t>指为治疗主动脉疾病，实际实施了开胸或开腹进行的切除、置换、修补病损主动脉血管的手术。主动脉指胸主动脉和腹主动脉，不包括胸主动脉和腹主动脉的分支血管。</w:t>
      </w:r>
    </w:p>
    <w:p>
      <w:pPr>
        <w:pStyle w:val="Heading3"/>
        <w:spacing w:before="26"/>
      </w:pPr>
      <w:r>
        <w:rPr>
          <w:w w:val="95"/>
        </w:rPr>
        <w:t>动脉内血管成形术不在保障范围内。</w:t>
      </w:r>
    </w:p>
    <w:p>
      <w:pPr>
        <w:pStyle w:val="ListParagraph"/>
        <w:numPr>
          <w:ilvl w:val="1"/>
          <w:numId w:val="11"/>
        </w:numPr>
        <w:tabs>
          <w:tab w:pos="1106" w:val="left" w:leader="none"/>
        </w:tabs>
        <w:spacing w:line="240" w:lineRule="auto" w:before="117" w:after="0"/>
        <w:ind w:left="1105" w:right="0" w:hanging="567"/>
        <w:jc w:val="left"/>
        <w:rPr>
          <w:sz w:val="18"/>
        </w:rPr>
      </w:pPr>
      <w:r>
        <w:rPr>
          <w:sz w:val="18"/>
        </w:rPr>
        <w:t>多发性硬化</w:t>
      </w:r>
    </w:p>
    <w:p>
      <w:pPr>
        <w:pStyle w:val="BodyText"/>
        <w:spacing w:line="348" w:lineRule="auto"/>
        <w:ind w:right="118"/>
      </w:pPr>
      <w:r>
        <w:rPr/>
        <w:t>被保险人因脑及脊髓内的脱髓鞘病变而出现神经系统多灶性（多发性）多时相（至少 </w:t>
      </w:r>
      <w:r>
        <w:rPr>
          <w:rFonts w:ascii="Arial" w:eastAsia="Arial"/>
        </w:rPr>
        <w:t>6 </w:t>
      </w:r>
      <w:r>
        <w:rPr/>
        <w:t>个月以内有一次以上的发作）的病变。其临床表现为神经系统症状与体征至少一次以上的发作并累及到视神经、脑干、脊髓，出现有共济失调或感觉障碍。该诊断必须经我们认可的神经科专家医师确诊。</w:t>
      </w:r>
    </w:p>
    <w:p>
      <w:pPr>
        <w:pStyle w:val="BodyText"/>
        <w:spacing w:before="34"/>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肌营养不良症</w:t>
      </w:r>
    </w:p>
    <w:p>
      <w:pPr>
        <w:pStyle w:val="BodyText"/>
        <w:spacing w:line="357" w:lineRule="auto"/>
        <w:ind w:right="183"/>
      </w:pPr>
      <w:r>
        <w:rPr/>
        <w:t>是一组原发于肌肉的遗传性的肌肉病变。主要临床特征为受累骨骼肌肉的无力和肌肉萎缩。经我们认可的神经专科医生确认符合以下四项诊断指标中的三项：</w:t>
      </w:r>
    </w:p>
    <w:p>
      <w:pPr>
        <w:pStyle w:val="BodyText"/>
        <w:spacing w:before="29"/>
      </w:pPr>
      <w:r>
        <w:rPr/>
        <w:t>（</w:t>
      </w:r>
      <w:r>
        <w:rPr>
          <w:rFonts w:ascii="Arial" w:eastAsia="Arial"/>
        </w:rPr>
        <w:t>1</w:t>
      </w:r>
      <w:r>
        <w:rPr/>
        <w:t>）家族史中有其他成员患相同疾病；</w:t>
      </w:r>
    </w:p>
    <w:p>
      <w:pPr>
        <w:pStyle w:val="BodyText"/>
        <w:spacing w:before="102"/>
      </w:pPr>
      <w:r>
        <w:rPr/>
        <w:t>（</w:t>
      </w:r>
      <w:r>
        <w:rPr>
          <w:rFonts w:ascii="Arial" w:eastAsia="Arial"/>
        </w:rPr>
        <w:t>2</w:t>
      </w:r>
      <w:r>
        <w:rPr/>
        <w:t>）临床表现包括：无感觉神经紊乱，正常脑脊液及轻微腱反射的减退；</w:t>
      </w:r>
    </w:p>
    <w:p>
      <w:pPr>
        <w:pStyle w:val="BodyText"/>
        <w:spacing w:before="102"/>
      </w:pPr>
      <w:r>
        <w:rPr/>
        <w:t>（</w:t>
      </w:r>
      <w:r>
        <w:rPr>
          <w:rFonts w:ascii="Arial" w:eastAsia="Arial"/>
        </w:rPr>
        <w:t>3</w:t>
      </w:r>
      <w:r>
        <w:rPr/>
        <w:t>）典型的肌电图；</w:t>
      </w:r>
    </w:p>
    <w:p>
      <w:pPr>
        <w:pStyle w:val="BodyText"/>
        <w:spacing w:before="102"/>
      </w:pPr>
      <w:r>
        <w:rPr/>
        <w:t>（</w:t>
      </w:r>
      <w:r>
        <w:rPr>
          <w:rFonts w:ascii="Arial" w:eastAsia="Arial"/>
        </w:rPr>
        <w:t>4</w:t>
      </w:r>
      <w:r>
        <w:rPr/>
        <w:t>）临床推测必须有肌肉或组织检查加以证实。</w:t>
      </w:r>
    </w:p>
    <w:p>
      <w:pPr>
        <w:pStyle w:val="ListParagraph"/>
        <w:numPr>
          <w:ilvl w:val="1"/>
          <w:numId w:val="11"/>
        </w:numPr>
        <w:tabs>
          <w:tab w:pos="1106" w:val="left" w:leader="none"/>
        </w:tabs>
        <w:spacing w:line="240" w:lineRule="auto" w:before="107" w:after="0"/>
        <w:ind w:left="1105" w:right="0" w:hanging="567"/>
        <w:jc w:val="left"/>
        <w:rPr>
          <w:sz w:val="18"/>
        </w:rPr>
      </w:pPr>
      <w:r>
        <w:rPr>
          <w:sz w:val="18"/>
        </w:rPr>
        <w:t>急诊和医疗服务导致的人类免疫缺陷病毒感染</w:t>
      </w:r>
    </w:p>
    <w:p>
      <w:pPr>
        <w:pStyle w:val="BodyText"/>
        <w:spacing w:line="357" w:lineRule="auto"/>
        <w:ind w:right="183"/>
      </w:pPr>
      <w:r>
        <w:rPr/>
        <w:t>在本附加险保单签发日、合同签署日或复效日（取其最晚者）之后，被保险人在从事正常职业生活中感染人类免疫缺陷病毒，并且证实满足以下所有条件者：</w:t>
      </w:r>
    </w:p>
    <w:p>
      <w:pPr>
        <w:pStyle w:val="BodyText"/>
        <w:spacing w:before="26"/>
        <w:ind w:left="1071"/>
      </w:pPr>
      <w:r>
        <w:rPr/>
        <w:t>（</w:t>
      </w:r>
      <w:r>
        <w:rPr>
          <w:rFonts w:ascii="Arial" w:eastAsia="Arial"/>
        </w:rPr>
        <w:t>1</w:t>
      </w:r>
      <w:r>
        <w:rPr/>
        <w:t>）导致感染人类免疫缺陷病毒的意外伤害事故必须在意外发生后 </w:t>
      </w:r>
      <w:r>
        <w:rPr>
          <w:rFonts w:ascii="Arial" w:eastAsia="Arial"/>
        </w:rPr>
        <w:t>30 </w:t>
      </w:r>
      <w:r>
        <w:rPr/>
        <w:t>日内（含第 </w:t>
      </w:r>
      <w:r>
        <w:rPr>
          <w:rFonts w:ascii="Arial" w:eastAsia="Arial"/>
        </w:rPr>
        <w:t>30 </w:t>
      </w:r>
      <w:r>
        <w:rPr/>
        <w:t>日）向我们报告；</w:t>
      </w:r>
    </w:p>
    <w:p>
      <w:pPr>
        <w:pStyle w:val="BodyText"/>
        <w:spacing w:before="102"/>
        <w:ind w:left="1071"/>
      </w:pPr>
      <w:r>
        <w:rPr/>
        <w:t>（</w:t>
      </w:r>
      <w:r>
        <w:rPr>
          <w:rFonts w:ascii="Arial" w:eastAsia="Arial"/>
        </w:rPr>
        <w:t>2</w:t>
      </w:r>
      <w:r>
        <w:rPr/>
        <w:t>）导致意外伤害事故的明确的人类免疫缺陷病毒感染的液体的证据；</w:t>
      </w:r>
    </w:p>
    <w:p>
      <w:pPr>
        <w:pStyle w:val="BodyText"/>
        <w:spacing w:line="338" w:lineRule="auto"/>
        <w:ind w:left="1071" w:right="193"/>
      </w:pPr>
      <w:r>
        <w:rPr/>
        <w:t>（</w:t>
      </w:r>
      <w:r>
        <w:rPr>
          <w:rFonts w:ascii="Arial" w:eastAsia="Arial"/>
        </w:rPr>
        <w:t>3</w:t>
      </w:r>
      <w:r>
        <w:rPr/>
        <w:t>）</w:t>
      </w:r>
      <w:r>
        <w:rPr>
          <w:spacing w:val="-4"/>
        </w:rPr>
        <w:t>在书面报告意外发生后的 </w:t>
      </w:r>
      <w:r>
        <w:rPr>
          <w:rFonts w:ascii="Arial" w:eastAsia="Arial"/>
        </w:rPr>
        <w:t>180 </w:t>
      </w:r>
      <w:r>
        <w:rPr/>
        <w:t>日内（</w:t>
      </w:r>
      <w:r>
        <w:rPr>
          <w:spacing w:val="-15"/>
        </w:rPr>
        <w:t>含第 </w:t>
      </w:r>
      <w:r>
        <w:rPr>
          <w:rFonts w:ascii="Arial" w:eastAsia="Arial"/>
        </w:rPr>
        <w:t>180 </w:t>
      </w:r>
      <w:r>
        <w:rPr/>
        <w:t>日）</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包括一个意外伤害事故发生后 </w:t>
      </w:r>
      <w:r>
        <w:rPr>
          <w:rFonts w:ascii="Arial" w:eastAsia="Arial"/>
        </w:rPr>
        <w:t>5 </w:t>
      </w:r>
      <w:r>
        <w:rPr/>
        <w:t>日内（</w:t>
      </w:r>
      <w:r>
        <w:rPr>
          <w:spacing w:val="-16"/>
        </w:rPr>
        <w:t>含第 </w:t>
      </w:r>
      <w:r>
        <w:rPr>
          <w:rFonts w:ascii="Arial" w:eastAsia="Arial"/>
        </w:rPr>
        <w:t>5 </w:t>
      </w:r>
      <w:r>
        <w:rPr/>
        <w:t>日）</w:t>
      </w:r>
      <w:r>
        <w:rPr>
          <w:rFonts w:ascii="Arial" w:eastAsia="Arial"/>
        </w:rPr>
        <w:t>HIV </w:t>
      </w:r>
      <w:r>
        <w:rPr>
          <w:spacing w:val="-2"/>
        </w:rPr>
        <w:t>抗体阴性的检查报告；</w:t>
      </w:r>
    </w:p>
    <w:p>
      <w:pPr>
        <w:pStyle w:val="Heading3"/>
        <w:spacing w:before="19"/>
      </w:pPr>
      <w:r>
        <w:rPr>
          <w:w w:val="95"/>
        </w:rPr>
        <w:t>由其他途径感染的人类免疫缺陷病毒，包括性行为和静脉注射毒品，不在保障范围内。</w:t>
      </w:r>
    </w:p>
    <w:p>
      <w:pPr>
        <w:pStyle w:val="BodyText"/>
        <w:spacing w:before="115"/>
      </w:pPr>
      <w:r>
        <w:rPr/>
        <w:t>意外伤害事故后 </w:t>
      </w:r>
      <w:r>
        <w:rPr>
          <w:rFonts w:ascii="Arial" w:eastAsia="Arial"/>
        </w:rPr>
        <w:t>12 </w:t>
      </w:r>
      <w:r>
        <w:rPr/>
        <w:t>个月内需要进行进一步的血液检查以确认存在人类免疫缺陷病毒抗体的存在。</w:t>
      </w:r>
    </w:p>
    <w:p>
      <w:pPr>
        <w:pStyle w:val="BodyText"/>
        <w:spacing w:line="357" w:lineRule="auto"/>
        <w:ind w:right="180" w:firstLine="2"/>
      </w:pPr>
      <w:r>
        <w:rPr/>
        <w:t>我们仅在被保险人的职业为从业医生、医学院学生、国家注册护士、医学检验技师、牙医（外科医生和护士）或辅助医务工作者、医学中心或</w:t>
      </w:r>
      <w:r>
        <w:rPr>
          <w:b/>
        </w:rPr>
        <w:t>医院</w:t>
      </w:r>
      <w:r>
        <w:rPr/>
        <w:t>（见释义）工作人员时承担此项保险责任。</w:t>
      </w:r>
    </w:p>
    <w:p>
      <w:pPr>
        <w:pStyle w:val="ListParagraph"/>
        <w:numPr>
          <w:ilvl w:val="1"/>
          <w:numId w:val="11"/>
        </w:numPr>
        <w:tabs>
          <w:tab w:pos="1106" w:val="left" w:leader="none"/>
        </w:tabs>
        <w:spacing w:line="240" w:lineRule="auto" w:before="28" w:after="0"/>
        <w:ind w:left="1105" w:right="0" w:hanging="567"/>
        <w:jc w:val="left"/>
        <w:rPr>
          <w:sz w:val="18"/>
        </w:rPr>
      </w:pPr>
      <w:r>
        <w:rPr>
          <w:sz w:val="18"/>
        </w:rPr>
        <w:t>慢性复发性胰腺炎</w:t>
      </w:r>
    </w:p>
    <w:p>
      <w:pPr>
        <w:pStyle w:val="BodyText"/>
        <w:spacing w:line="348" w:lineRule="auto"/>
        <w:ind w:right="181" w:firstLine="2"/>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6"/>
      </w:pPr>
      <w:r>
        <w:rPr>
          <w:w w:val="95"/>
        </w:rPr>
        <w:t>酒精导致的慢性复发性胰腺炎不在保障范围内。</w:t>
      </w:r>
    </w:p>
    <w:p>
      <w:pPr>
        <w:pStyle w:val="ListParagraph"/>
        <w:numPr>
          <w:ilvl w:val="1"/>
          <w:numId w:val="11"/>
        </w:numPr>
        <w:tabs>
          <w:tab w:pos="1106" w:val="left" w:leader="none"/>
        </w:tabs>
        <w:spacing w:line="240" w:lineRule="auto" w:before="117" w:after="0"/>
        <w:ind w:left="1105" w:right="0" w:hanging="567"/>
        <w:jc w:val="left"/>
        <w:rPr>
          <w:sz w:val="18"/>
        </w:rPr>
      </w:pPr>
      <w:r>
        <w:rPr>
          <w:sz w:val="18"/>
        </w:rPr>
        <w:t>系统性红斑狼疮</w:t>
      </w:r>
    </w:p>
    <w:p>
      <w:pPr>
        <w:pStyle w:val="BodyText"/>
        <w:ind w:left="1105"/>
      </w:pPr>
      <w:r>
        <w:rPr/>
        <w:t>限于被保险人因系统性红斑狼疮并发狼疮性肾炎并引起肾功能损害或中枢神经系统病变符合下列定义的：</w:t>
      </w:r>
    </w:p>
    <w:p>
      <w:pPr>
        <w:pStyle w:val="BodyText"/>
        <w:spacing w:line="338" w:lineRule="auto" w:before="114"/>
        <w:ind w:right="59" w:firstLine="2"/>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spacing w:after="0" w:line="338" w:lineRule="auto"/>
        <w:sectPr>
          <w:pgSz w:w="11910" w:h="16840"/>
          <w:pgMar w:header="672" w:footer="757" w:top="860" w:bottom="940" w:left="880" w:right="740"/>
        </w:sectPr>
      </w:pPr>
    </w:p>
    <w:p>
      <w:pPr>
        <w:pStyle w:val="BodyText"/>
        <w:spacing w:before="9"/>
        <w:ind w:left="0"/>
        <w:rPr>
          <w:sz w:val="13"/>
        </w:rPr>
      </w:pPr>
    </w:p>
    <w:p>
      <w:pPr>
        <w:pStyle w:val="BodyText"/>
        <w:spacing w:before="53"/>
        <w:ind w:left="1105"/>
        <w:jc w:val="both"/>
      </w:pPr>
      <w:r>
        <w:rPr/>
        <w:t>世界卫生组织（</w:t>
      </w:r>
      <w:r>
        <w:rPr>
          <w:rFonts w:ascii="Arial" w:eastAsia="Arial"/>
        </w:rPr>
        <w:t>WHO</w:t>
      </w:r>
      <w:r>
        <w:rPr/>
        <w:t>）对狼疮性肾炎的分类标准：</w:t>
      </w:r>
    </w:p>
    <w:p>
      <w:pPr>
        <w:pStyle w:val="ListParagraph"/>
        <w:numPr>
          <w:ilvl w:val="0"/>
          <w:numId w:val="12"/>
        </w:numPr>
        <w:tabs>
          <w:tab w:pos="1293" w:val="left" w:leader="none"/>
        </w:tabs>
        <w:spacing w:line="240" w:lineRule="auto" w:before="103" w:after="0"/>
        <w:ind w:left="1292" w:right="0" w:hanging="101"/>
        <w:jc w:val="both"/>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2"/>
        </w:numPr>
        <w:tabs>
          <w:tab w:pos="1334" w:val="left" w:leader="none"/>
        </w:tabs>
        <w:spacing w:line="240" w:lineRule="auto" w:before="101" w:after="0"/>
        <w:ind w:left="1333" w:right="0" w:hanging="142"/>
        <w:jc w:val="both"/>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2"/>
        </w:numPr>
        <w:tabs>
          <w:tab w:pos="1384" w:val="left" w:leader="none"/>
        </w:tabs>
        <w:spacing w:line="240" w:lineRule="auto" w:before="101" w:after="0"/>
        <w:ind w:left="1383" w:right="0" w:hanging="192"/>
        <w:jc w:val="both"/>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2"/>
        </w:numPr>
        <w:tabs>
          <w:tab w:pos="1403" w:val="left" w:leader="none"/>
        </w:tabs>
        <w:spacing w:line="240" w:lineRule="auto" w:before="101" w:after="0"/>
        <w:ind w:left="1402" w:right="0" w:hanging="211"/>
        <w:jc w:val="both"/>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2"/>
        </w:numPr>
        <w:tabs>
          <w:tab w:pos="1353" w:val="left" w:leader="none"/>
        </w:tabs>
        <w:spacing w:line="240" w:lineRule="auto" w:before="103" w:after="0"/>
        <w:ind w:left="1352" w:right="0" w:hanging="161"/>
        <w:jc w:val="both"/>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2"/>
        </w:numPr>
        <w:tabs>
          <w:tab w:pos="1403" w:val="left" w:leader="none"/>
        </w:tabs>
        <w:spacing w:line="240" w:lineRule="auto" w:before="101" w:after="0"/>
        <w:ind w:left="1402" w:right="0" w:hanging="211"/>
        <w:jc w:val="both"/>
        <w:rPr>
          <w:sz w:val="18"/>
        </w:rPr>
      </w:pPr>
      <w:r>
        <w:rPr>
          <w:sz w:val="18"/>
        </w:rPr>
        <w:t>型</w:t>
      </w:r>
      <w:r>
        <w:rPr>
          <w:rFonts w:ascii="Arial" w:hAnsi="Arial" w:eastAsia="Arial"/>
          <w:sz w:val="18"/>
        </w:rPr>
        <w:t>–</w:t>
      </w:r>
      <w:r>
        <w:rPr>
          <w:spacing w:val="-1"/>
          <w:sz w:val="18"/>
        </w:rPr>
        <w:t>肾小球硬化型狼疮性肾小球肾炎。</w:t>
      </w:r>
    </w:p>
    <w:p>
      <w:pPr>
        <w:spacing w:line="357" w:lineRule="auto" w:before="101"/>
        <w:ind w:left="1102" w:right="174"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    </w:t>
      </w:r>
      <w:r>
        <w:rPr>
          <w:sz w:val="18"/>
        </w:rPr>
        <w:t>终诊断必须由风湿免疫专科医师确认。</w:t>
      </w:r>
    </w:p>
    <w:p>
      <w:pPr>
        <w:pStyle w:val="ListParagraph"/>
        <w:numPr>
          <w:ilvl w:val="1"/>
          <w:numId w:val="11"/>
        </w:numPr>
        <w:tabs>
          <w:tab w:pos="1106" w:val="left" w:leader="none"/>
        </w:tabs>
        <w:spacing w:line="240" w:lineRule="auto" w:before="30" w:after="0"/>
        <w:ind w:left="1105" w:right="0" w:hanging="567"/>
        <w:jc w:val="left"/>
        <w:rPr>
          <w:sz w:val="18"/>
        </w:rPr>
      </w:pPr>
      <w:r>
        <w:rPr>
          <w:sz w:val="18"/>
        </w:rPr>
        <w:t>乙脑</w:t>
      </w:r>
    </w:p>
    <w:p>
      <w:pPr>
        <w:pStyle w:val="BodyText"/>
        <w:spacing w:line="357" w:lineRule="auto" w:before="103"/>
        <w:ind w:right="181" w:firstLine="2"/>
      </w:pPr>
      <w:r>
        <w:rPr/>
        <w:t>即流行性乙型脑炎，指因乙脑病毒感染所致的中枢神经系统永久性的神经功能障碍。所谓永久性的神经功能障碍指事故发生一百八十日后经我们认可的脑神经专科医师鉴定仍残留下列一种或一种以上障碍：</w:t>
      </w:r>
    </w:p>
    <w:p>
      <w:pPr>
        <w:pStyle w:val="BodyText"/>
        <w:spacing w:before="26"/>
        <w:jc w:val="both"/>
      </w:pPr>
      <w:r>
        <w:rPr/>
        <w:t>（</w:t>
      </w:r>
      <w:r>
        <w:rPr>
          <w:rFonts w:ascii="Arial" w:eastAsia="Arial"/>
        </w:rPr>
        <w:t>1</w:t>
      </w:r>
      <w:r>
        <w:rPr/>
        <w:t>）一肢以上感觉或运动功能完全丧失；</w:t>
      </w:r>
    </w:p>
    <w:p>
      <w:pPr>
        <w:pStyle w:val="BodyText"/>
        <w:spacing w:before="102"/>
        <w:jc w:val="both"/>
      </w:pPr>
      <w:r>
        <w:rPr/>
        <w:t>（</w:t>
      </w:r>
      <w:r>
        <w:rPr>
          <w:rFonts w:ascii="Arial" w:eastAsia="Arial"/>
        </w:rPr>
        <w:t>2</w:t>
      </w:r>
      <w:r>
        <w:rPr/>
        <w:t>）两肢以上感觉或运动功能障碍而无法自理基本日常生活活动中的全部六项；</w:t>
      </w:r>
    </w:p>
    <w:p>
      <w:pPr>
        <w:pStyle w:val="BodyText"/>
        <w:spacing w:before="103"/>
        <w:jc w:val="both"/>
      </w:pPr>
      <w:r>
        <w:rPr/>
        <w:t>（</w:t>
      </w:r>
      <w:r>
        <w:rPr>
          <w:rFonts w:ascii="Arial" w:eastAsia="Arial"/>
        </w:rPr>
        <w:t>3</w:t>
      </w:r>
      <w:r>
        <w:rPr/>
        <w:t>）植物人状态；</w:t>
      </w:r>
    </w:p>
    <w:p>
      <w:pPr>
        <w:pStyle w:val="BodyText"/>
        <w:spacing w:before="101"/>
        <w:jc w:val="both"/>
      </w:pPr>
      <w:r>
        <w:rPr/>
        <w:t>（</w:t>
      </w:r>
      <w:r>
        <w:rPr>
          <w:rFonts w:ascii="Arial" w:eastAsia="Arial"/>
        </w:rPr>
        <w:t>4</w:t>
      </w:r>
      <w:r>
        <w:rPr/>
        <w:t>）完全丧失言语或咀嚼功能。</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植物人状态</w:t>
      </w:r>
    </w:p>
    <w:p>
      <w:pPr>
        <w:pStyle w:val="BodyText"/>
        <w:spacing w:line="357" w:lineRule="auto"/>
        <w:ind w:right="182"/>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1"/>
        </w:numPr>
        <w:tabs>
          <w:tab w:pos="1106" w:val="left" w:leader="none"/>
        </w:tabs>
        <w:spacing w:line="240" w:lineRule="auto" w:before="31" w:after="0"/>
        <w:ind w:left="1105" w:right="0" w:hanging="567"/>
        <w:jc w:val="left"/>
        <w:rPr>
          <w:sz w:val="18"/>
        </w:rPr>
      </w:pPr>
      <w:r>
        <w:rPr>
          <w:sz w:val="18"/>
        </w:rPr>
        <w:t>终末期肺病</w:t>
      </w:r>
    </w:p>
    <w:p>
      <w:pPr>
        <w:pStyle w:val="BodyText"/>
        <w:jc w:val="both"/>
      </w:pPr>
      <w:r>
        <w:rPr/>
        <w:t>由我们认可的呼吸科专家确诊被保险人患有终末期肺病而出现慢性呼吸功能衰竭，其诊断标准包括以下各项：</w:t>
      </w:r>
    </w:p>
    <w:p>
      <w:pPr>
        <w:pStyle w:val="BodyText"/>
        <w:spacing w:before="114"/>
        <w:jc w:val="both"/>
      </w:pPr>
      <w:r>
        <w:rPr/>
        <w:t>（</w:t>
      </w:r>
      <w:r>
        <w:rPr>
          <w:rFonts w:ascii="Arial" w:eastAsia="Arial"/>
        </w:rPr>
        <w:t>1</w:t>
      </w:r>
      <w:r>
        <w:rPr/>
        <w:t>）肺功能测试其 </w:t>
      </w:r>
      <w:r>
        <w:rPr>
          <w:rFonts w:ascii="Arial" w:eastAsia="Arial"/>
        </w:rPr>
        <w:t>FEV1 </w:t>
      </w:r>
      <w:r>
        <w:rPr/>
        <w:t>持续低于 </w:t>
      </w:r>
      <w:r>
        <w:rPr>
          <w:rFonts w:ascii="Arial" w:eastAsia="Arial"/>
        </w:rPr>
        <w:t>0.75 </w:t>
      </w:r>
      <w:r>
        <w:rPr/>
        <w:t>升；</w:t>
      </w:r>
    </w:p>
    <w:p>
      <w:pPr>
        <w:pStyle w:val="BodyText"/>
        <w:spacing w:before="102"/>
        <w:jc w:val="both"/>
      </w:pPr>
      <w:r>
        <w:rPr/>
        <w:t>（</w:t>
      </w:r>
      <w:r>
        <w:rPr>
          <w:rFonts w:ascii="Arial" w:eastAsia="Arial"/>
        </w:rPr>
        <w:t>2</w:t>
      </w:r>
      <w:r>
        <w:rPr/>
        <w:t>）病人缺氧必须广泛而持续地进行输氧治疗；</w:t>
      </w:r>
    </w:p>
    <w:p>
      <w:pPr>
        <w:pStyle w:val="BodyText"/>
        <w:spacing w:before="102"/>
        <w:jc w:val="both"/>
      </w:pPr>
      <w:r>
        <w:rPr/>
        <w:t>（</w:t>
      </w:r>
      <w:r>
        <w:rPr>
          <w:rFonts w:ascii="Arial" w:eastAsia="Arial"/>
        </w:rPr>
        <w:t>3</w:t>
      </w:r>
      <w:r>
        <w:rPr/>
        <w:t>）动脉血气分析氧分压低于 </w:t>
      </w:r>
      <w:r>
        <w:rPr>
          <w:rFonts w:ascii="Arial" w:eastAsia="Arial"/>
        </w:rPr>
        <w:t>55mmHg</w:t>
      </w:r>
      <w:r>
        <w:rPr/>
        <w:t>。</w:t>
      </w:r>
    </w:p>
    <w:p>
      <w:pPr>
        <w:pStyle w:val="BodyText"/>
        <w:jc w:val="both"/>
      </w:pPr>
      <w:r>
        <w:rPr/>
        <w:t>（</w:t>
      </w:r>
      <w:r>
        <w:rPr>
          <w:rFonts w:ascii="Arial" w:eastAsia="Arial"/>
        </w:rPr>
        <w:t>4</w:t>
      </w:r>
      <w:r>
        <w:rPr/>
        <w:t>） 理赔时必须提供以上各项中相应的医院证明文件或检查报告。</w:t>
      </w:r>
    </w:p>
    <w:p>
      <w:pPr>
        <w:pStyle w:val="ListParagraph"/>
        <w:numPr>
          <w:ilvl w:val="1"/>
          <w:numId w:val="11"/>
        </w:numPr>
        <w:tabs>
          <w:tab w:pos="1106" w:val="left" w:leader="none"/>
        </w:tabs>
        <w:spacing w:line="340" w:lineRule="auto" w:before="104" w:after="0"/>
        <w:ind w:left="1105" w:right="154" w:hanging="567"/>
        <w:jc w:val="left"/>
        <w:rPr>
          <w:sz w:val="18"/>
        </w:rPr>
      </w:pPr>
      <w:r>
        <w:rPr>
          <w:sz w:val="18"/>
        </w:rPr>
        <w:t>上述定义的各项重大疾病中，</w:t>
      </w:r>
      <w:r>
        <w:rPr>
          <w:rFonts w:ascii="Arial" w:eastAsia="Arial"/>
          <w:sz w:val="18"/>
        </w:rPr>
        <w:t>14.1</w:t>
      </w:r>
      <w:r>
        <w:rPr>
          <w:rFonts w:ascii="Arial" w:eastAsia="Arial"/>
          <w:spacing w:val="-10"/>
          <w:sz w:val="18"/>
        </w:rPr>
        <w:t> </w:t>
      </w:r>
      <w:r>
        <w:rPr>
          <w:spacing w:val="-24"/>
          <w:sz w:val="18"/>
        </w:rPr>
        <w:t>至 </w:t>
      </w:r>
      <w:r>
        <w:rPr>
          <w:rFonts w:ascii="Arial" w:eastAsia="Arial"/>
          <w:sz w:val="18"/>
        </w:rPr>
        <w:t>14.20</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40"/>
      </w:pPr>
      <w:bookmarkStart w:name="_bookmark14" w:id="15"/>
      <w:bookmarkEnd w:id="15"/>
      <w:r>
        <w:rPr>
          <w:b w:val="0"/>
        </w:rPr>
      </w:r>
      <w:r>
        <w:rPr/>
        <w:t>第十</w:t>
      </w:r>
      <w:r>
        <w:rPr>
          <w:spacing w:val="-3"/>
        </w:rPr>
        <w:t>五</w:t>
      </w:r>
      <w:r>
        <w:rPr/>
        <w:t>条</w:t>
        <w:tab/>
        <w:t>释义</w:t>
      </w:r>
    </w:p>
    <w:p>
      <w:pPr>
        <w:pStyle w:val="ListParagraph"/>
        <w:numPr>
          <w:ilvl w:val="1"/>
          <w:numId w:val="13"/>
        </w:numPr>
        <w:tabs>
          <w:tab w:pos="1263" w:val="left" w:leader="none"/>
          <w:tab w:pos="1264" w:val="left" w:leader="none"/>
        </w:tabs>
        <w:spacing w:line="240" w:lineRule="auto" w:before="139" w:after="0"/>
        <w:ind w:left="1244" w:right="0" w:hanging="706"/>
        <w:jc w:val="left"/>
        <w:rPr>
          <w:sz w:val="18"/>
        </w:rPr>
      </w:pPr>
      <w:r>
        <w:rPr>
          <w:sz w:val="18"/>
        </w:rPr>
        <w:t>长期附加合同是指：</w:t>
      </w:r>
    </w:p>
    <w:p>
      <w:pPr>
        <w:pStyle w:val="ListParagraph"/>
        <w:numPr>
          <w:ilvl w:val="2"/>
          <w:numId w:val="13"/>
        </w:numPr>
        <w:tabs>
          <w:tab w:pos="1552" w:val="left" w:leader="none"/>
        </w:tabs>
        <w:spacing w:line="240" w:lineRule="auto" w:before="106" w:after="0"/>
        <w:ind w:left="1551" w:right="0" w:hanging="307"/>
        <w:jc w:val="left"/>
        <w:rPr>
          <w:sz w:val="18"/>
        </w:rPr>
      </w:pPr>
      <w:r>
        <w:rPr>
          <w:sz w:val="18"/>
        </w:rPr>
        <w:t>保险期间大于一年的长期附加合同；</w:t>
      </w:r>
    </w:p>
    <w:p>
      <w:pPr>
        <w:pStyle w:val="ListParagraph"/>
        <w:numPr>
          <w:ilvl w:val="2"/>
          <w:numId w:val="13"/>
        </w:numPr>
        <w:tabs>
          <w:tab w:pos="1552" w:val="left" w:leader="none"/>
        </w:tabs>
        <w:spacing w:line="240" w:lineRule="auto" w:before="119" w:after="0"/>
        <w:ind w:left="1551" w:right="0" w:hanging="307"/>
        <w:jc w:val="left"/>
        <w:rPr>
          <w:sz w:val="18"/>
        </w:rPr>
      </w:pPr>
      <w:r>
        <w:rPr>
          <w:w w:val="95"/>
          <w:sz w:val="18"/>
        </w:rPr>
        <w:t>含有</w:t>
      </w:r>
      <w:r>
        <w:rPr>
          <w:b/>
          <w:w w:val="95"/>
          <w:sz w:val="18"/>
        </w:rPr>
        <w:t>保证续保条款</w:t>
      </w:r>
      <w:r>
        <w:rPr>
          <w:w w:val="95"/>
          <w:sz w:val="18"/>
        </w:rPr>
        <w:t>（见释义）的一年期附加合同，且已经进入保证续保期。</w:t>
      </w:r>
    </w:p>
    <w:p>
      <w:pPr>
        <w:pStyle w:val="ListParagraph"/>
        <w:numPr>
          <w:ilvl w:val="1"/>
          <w:numId w:val="13"/>
        </w:numPr>
        <w:tabs>
          <w:tab w:pos="1263" w:val="left" w:leader="none"/>
          <w:tab w:pos="1264" w:val="left" w:leader="none"/>
        </w:tabs>
        <w:spacing w:line="240" w:lineRule="auto" w:before="119" w:after="0"/>
        <w:ind w:left="1244" w:right="0" w:hanging="706"/>
        <w:jc w:val="left"/>
        <w:rPr>
          <w:sz w:val="18"/>
        </w:rPr>
      </w:pPr>
      <w:r>
        <w:rPr>
          <w:sz w:val="18"/>
        </w:rPr>
        <w:t>等待期：本附加合同生效日起或最后一次复效日起（以较迟者为准）</w:t>
      </w:r>
      <w:r>
        <w:rPr>
          <w:rFonts w:ascii="Arial" w:eastAsia="Arial"/>
          <w:sz w:val="18"/>
        </w:rPr>
        <w:t>90</w:t>
      </w:r>
      <w:r>
        <w:rPr>
          <w:rFonts w:ascii="Arial" w:eastAsia="Arial"/>
          <w:spacing w:val="-9"/>
          <w:sz w:val="18"/>
        </w:rPr>
        <w:t> </w:t>
      </w:r>
      <w:r>
        <w:rPr>
          <w:sz w:val="18"/>
        </w:rPr>
        <w:t>日内（</w:t>
      </w:r>
      <w:r>
        <w:rPr>
          <w:spacing w:val="-16"/>
          <w:sz w:val="18"/>
        </w:rPr>
        <w:t>含第 </w:t>
      </w:r>
      <w:r>
        <w:rPr>
          <w:rFonts w:ascii="Arial" w:eastAsia="Arial"/>
          <w:sz w:val="18"/>
        </w:rPr>
        <w:t>90</w:t>
      </w:r>
      <w:r>
        <w:rPr>
          <w:rFonts w:ascii="Arial" w:eastAsia="Arial"/>
          <w:spacing w:val="-9"/>
          <w:sz w:val="18"/>
        </w:rPr>
        <w:t> </w:t>
      </w:r>
      <w:r>
        <w:rPr>
          <w:spacing w:val="-3"/>
          <w:sz w:val="18"/>
        </w:rPr>
        <w:t>日</w:t>
      </w:r>
      <w:r>
        <w:rPr>
          <w:sz w:val="18"/>
        </w:rPr>
        <w:t>）为等待期。</w:t>
      </w:r>
    </w:p>
    <w:p>
      <w:pPr>
        <w:pStyle w:val="ListParagraph"/>
        <w:numPr>
          <w:ilvl w:val="1"/>
          <w:numId w:val="13"/>
        </w:numPr>
        <w:tabs>
          <w:tab w:pos="1263" w:val="left" w:leader="none"/>
          <w:tab w:pos="1264" w:val="left" w:leader="none"/>
        </w:tabs>
        <w:spacing w:line="340" w:lineRule="auto" w:before="106" w:after="0"/>
        <w:ind w:left="1244" w:right="103" w:hanging="706"/>
        <w:jc w:val="left"/>
        <w:rPr>
          <w:sz w:val="18"/>
        </w:rPr>
      </w:pPr>
      <w:r>
        <w:rPr>
          <w:sz w:val="18"/>
        </w:rPr>
        <w:t>意外伤害事故：指遭受外来的、突发的、非本意的、非疾病的使被保险人身体受到伤害的客观事件。此类意外伤害事故不包括无明确外来意外伤害原因导致的后果，如过敏、原发性感染、细菌性食物中毒、猝死等。</w:t>
      </w:r>
    </w:p>
    <w:p>
      <w:pPr>
        <w:pStyle w:val="ListParagraph"/>
        <w:numPr>
          <w:ilvl w:val="1"/>
          <w:numId w:val="13"/>
        </w:numPr>
        <w:tabs>
          <w:tab w:pos="1263" w:val="left" w:leader="none"/>
          <w:tab w:pos="1264" w:val="left" w:leader="none"/>
        </w:tabs>
        <w:spacing w:line="240" w:lineRule="auto" w:before="41" w:after="0"/>
        <w:ind w:left="1244" w:right="0" w:hanging="706"/>
        <w:jc w:val="left"/>
        <w:rPr>
          <w:sz w:val="18"/>
        </w:rPr>
      </w:pPr>
      <w:r>
        <w:rPr>
          <w:sz w:val="18"/>
        </w:rPr>
        <w:t>重大疾病：指本附加合同第十四条所约定的疾病、疾病状态或手术。</w:t>
      </w:r>
    </w:p>
    <w:p>
      <w:pPr>
        <w:pStyle w:val="ListParagraph"/>
        <w:numPr>
          <w:ilvl w:val="1"/>
          <w:numId w:val="13"/>
        </w:numPr>
        <w:tabs>
          <w:tab w:pos="1264" w:val="left" w:leader="none"/>
        </w:tabs>
        <w:spacing w:line="348" w:lineRule="auto" w:before="106" w:after="0"/>
        <w:ind w:left="1244" w:right="101"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3"/>
        </w:numPr>
        <w:tabs>
          <w:tab w:pos="1244" w:val="left" w:leader="none"/>
          <w:tab w:pos="1245" w:val="left" w:leader="none"/>
        </w:tabs>
        <w:spacing w:line="340" w:lineRule="auto" w:before="35" w:after="0"/>
        <w:ind w:left="1244" w:right="104"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spacing w:after="0" w:line="340" w:lineRule="auto"/>
        <w:jc w:val="left"/>
        <w:rPr>
          <w:sz w:val="18"/>
        </w:rPr>
        <w:sectPr>
          <w:pgSz w:w="11910" w:h="16840"/>
          <w:pgMar w:header="672" w:footer="757" w:top="860" w:bottom="940" w:left="880" w:right="740"/>
        </w:sectPr>
      </w:pPr>
    </w:p>
    <w:p>
      <w:pPr>
        <w:pStyle w:val="BodyText"/>
        <w:spacing w:before="9"/>
        <w:ind w:left="0"/>
        <w:rPr>
          <w:sz w:val="13"/>
        </w:rPr>
      </w:pPr>
    </w:p>
    <w:p>
      <w:pPr>
        <w:pStyle w:val="ListParagraph"/>
        <w:numPr>
          <w:ilvl w:val="1"/>
          <w:numId w:val="13"/>
        </w:numPr>
        <w:tabs>
          <w:tab w:pos="1244" w:val="left" w:leader="none"/>
          <w:tab w:pos="1245" w:val="left" w:leader="none"/>
        </w:tabs>
        <w:spacing w:line="240" w:lineRule="auto" w:before="53" w:after="0"/>
        <w:ind w:left="1244" w:right="0" w:hanging="706"/>
        <w:jc w:val="left"/>
        <w:rPr>
          <w:sz w:val="18"/>
        </w:rPr>
      </w:pPr>
      <w:r>
        <w:rPr>
          <w:sz w:val="18"/>
        </w:rPr>
        <w:t>无合法有效驾驶证驾驶：是指下列情形之一：</w:t>
      </w:r>
    </w:p>
    <w:p>
      <w:pPr>
        <w:pStyle w:val="BodyText"/>
        <w:spacing w:before="103"/>
        <w:ind w:left="1244"/>
      </w:pPr>
      <w:r>
        <w:rPr/>
        <w:t>（1）没有取得驾驶资格；</w:t>
      </w:r>
    </w:p>
    <w:p>
      <w:pPr>
        <w:pStyle w:val="BodyText"/>
        <w:spacing w:before="114"/>
        <w:ind w:left="1244"/>
      </w:pPr>
      <w:r>
        <w:rPr/>
        <w:t>（2）驾驶与驾驶证准驾车型不相符合的车辆；</w:t>
      </w:r>
    </w:p>
    <w:p>
      <w:pPr>
        <w:pStyle w:val="BodyText"/>
        <w:spacing w:before="114"/>
        <w:ind w:left="1244"/>
      </w:pPr>
      <w:r>
        <w:rPr/>
        <w:t>（3）持审验不合格的驾驶证驾驶；</w:t>
      </w:r>
    </w:p>
    <w:p>
      <w:pPr>
        <w:pStyle w:val="BodyText"/>
        <w:spacing w:before="114"/>
        <w:ind w:left="1244"/>
      </w:pPr>
      <w:r>
        <w:rPr/>
        <w:t>（4）持学习驾驶证学习驾车时，无教练员随车指导，或不按指定时间、路线学习驾车。</w:t>
      </w:r>
    </w:p>
    <w:p>
      <w:pPr>
        <w:pStyle w:val="ListParagraph"/>
        <w:numPr>
          <w:ilvl w:val="1"/>
          <w:numId w:val="13"/>
        </w:numPr>
        <w:tabs>
          <w:tab w:pos="1244" w:val="left" w:leader="none"/>
          <w:tab w:pos="1245" w:val="left" w:leader="none"/>
        </w:tabs>
        <w:spacing w:line="240" w:lineRule="auto" w:before="119" w:after="0"/>
        <w:ind w:left="1244" w:right="0" w:hanging="706"/>
        <w:jc w:val="left"/>
        <w:rPr>
          <w:sz w:val="18"/>
        </w:rPr>
      </w:pPr>
      <w:r>
        <w:rPr>
          <w:sz w:val="18"/>
        </w:rPr>
        <w:t>无有效行驶证：是指下列情形之一：</w:t>
      </w:r>
    </w:p>
    <w:p>
      <w:pPr>
        <w:pStyle w:val="BodyText"/>
        <w:ind w:left="1244"/>
      </w:pPr>
      <w:r>
        <w:rPr/>
        <w:t>（1）没有机动车行驶证或已被依法注销登记；</w:t>
      </w:r>
    </w:p>
    <w:p>
      <w:pPr>
        <w:pStyle w:val="BodyText"/>
        <w:spacing w:before="114"/>
        <w:ind w:left="1244"/>
      </w:pPr>
      <w:r>
        <w:rPr/>
        <w:t>（2）未依法按时进行或通过机动车安全技术检验。</w:t>
      </w:r>
    </w:p>
    <w:p>
      <w:pPr>
        <w:pStyle w:val="ListParagraph"/>
        <w:numPr>
          <w:ilvl w:val="1"/>
          <w:numId w:val="13"/>
        </w:numPr>
        <w:tabs>
          <w:tab w:pos="1263" w:val="left" w:leader="none"/>
          <w:tab w:pos="1264" w:val="left" w:leader="none"/>
        </w:tabs>
        <w:spacing w:line="340" w:lineRule="auto" w:before="116" w:after="0"/>
        <w:ind w:left="1244" w:right="101"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3"/>
        </w:numPr>
        <w:tabs>
          <w:tab w:pos="1263" w:val="left" w:leader="none"/>
          <w:tab w:pos="1264" w:val="left" w:leader="none"/>
        </w:tabs>
        <w:spacing w:line="340" w:lineRule="auto" w:before="41" w:after="0"/>
        <w:ind w:left="1244" w:right="101"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3"/>
        </w:numPr>
        <w:tabs>
          <w:tab w:pos="1263" w:val="left" w:leader="none"/>
          <w:tab w:pos="1264" w:val="left" w:leader="none"/>
        </w:tabs>
        <w:spacing w:line="340" w:lineRule="auto" w:before="41" w:after="0"/>
        <w:ind w:left="1244" w:right="101" w:hanging="706"/>
        <w:jc w:val="left"/>
        <w:rPr>
          <w:sz w:val="18"/>
        </w:rPr>
      </w:pPr>
      <w:r>
        <w:rPr>
          <w:sz w:val="18"/>
        </w:rPr>
        <w:t>先天性畸形、变形或染色体异常：指被保险人出生时就具有的畸形、变形或染色体异常。先天性畸形、变形和染色体异常依照世界卫生组织《疾病和有关健康问题的国际统计分类》（</w:t>
      </w:r>
      <w:r>
        <w:rPr>
          <w:rFonts w:ascii="Arial" w:eastAsia="Arial"/>
          <w:sz w:val="18"/>
        </w:rPr>
        <w:t>ICD-10</w:t>
      </w:r>
      <w:r>
        <w:rPr>
          <w:sz w:val="18"/>
        </w:rPr>
        <w:t>）确定。</w:t>
      </w:r>
    </w:p>
    <w:p>
      <w:pPr>
        <w:pStyle w:val="ListParagraph"/>
        <w:numPr>
          <w:ilvl w:val="1"/>
          <w:numId w:val="13"/>
        </w:numPr>
        <w:tabs>
          <w:tab w:pos="1264" w:val="left" w:leader="none"/>
        </w:tabs>
        <w:spacing w:line="340" w:lineRule="auto" w:before="21" w:after="0"/>
        <w:ind w:left="1244" w:right="108"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3"/>
        </w:numPr>
        <w:tabs>
          <w:tab w:pos="1244" w:val="left" w:leader="none"/>
          <w:tab w:pos="1245" w:val="left" w:leader="none"/>
        </w:tabs>
        <w:spacing w:line="240" w:lineRule="auto" w:before="43" w:after="0"/>
        <w:ind w:left="1244" w:right="0" w:hanging="708"/>
        <w:jc w:val="left"/>
        <w:rPr>
          <w:sz w:val="18"/>
        </w:rPr>
      </w:pPr>
      <w:r>
        <w:rPr>
          <w:sz w:val="18"/>
        </w:rPr>
        <w:t>现金价值：指保险单所具有的价值，通常体现为解除合同时，根据精算原理计算的，由我们退还的那部分金额。</w:t>
      </w:r>
    </w:p>
    <w:p>
      <w:pPr>
        <w:pStyle w:val="ListParagraph"/>
        <w:numPr>
          <w:ilvl w:val="1"/>
          <w:numId w:val="13"/>
        </w:numPr>
        <w:tabs>
          <w:tab w:pos="1263" w:val="left" w:leader="none"/>
          <w:tab w:pos="1264" w:val="left" w:leader="none"/>
        </w:tabs>
        <w:spacing w:line="240" w:lineRule="auto" w:before="56" w:after="0"/>
        <w:ind w:left="1244" w:right="0" w:hanging="706"/>
        <w:jc w:val="left"/>
        <w:rPr>
          <w:sz w:val="18"/>
        </w:rPr>
      </w:pPr>
      <w:r>
        <w:rPr>
          <w:w w:val="95"/>
          <w:sz w:val="18"/>
        </w:rPr>
        <w:t>保险单周年日：指</w:t>
      </w:r>
      <w:r>
        <w:rPr>
          <w:b/>
          <w:w w:val="95"/>
          <w:sz w:val="18"/>
        </w:rPr>
        <w:t>保险单生效日</w:t>
      </w:r>
      <w:r>
        <w:rPr>
          <w:w w:val="95"/>
          <w:sz w:val="18"/>
        </w:rPr>
        <w:t>（见释义）</w:t>
      </w:r>
      <w:r>
        <w:rPr>
          <w:spacing w:val="-1"/>
          <w:w w:val="95"/>
          <w:sz w:val="18"/>
        </w:rPr>
        <w:t>所对应的每个周年日。</w:t>
      </w:r>
    </w:p>
    <w:p>
      <w:pPr>
        <w:pStyle w:val="ListParagraph"/>
        <w:numPr>
          <w:ilvl w:val="1"/>
          <w:numId w:val="13"/>
        </w:numPr>
        <w:tabs>
          <w:tab w:pos="1244" w:val="left" w:leader="none"/>
          <w:tab w:pos="1245" w:val="left" w:leader="none"/>
        </w:tabs>
        <w:spacing w:line="240" w:lineRule="auto" w:before="109" w:after="0"/>
        <w:ind w:left="1244" w:right="0" w:hanging="708"/>
        <w:jc w:val="left"/>
        <w:rPr>
          <w:sz w:val="18"/>
        </w:rPr>
      </w:pPr>
      <w:r>
        <w:rPr>
          <w:sz w:val="18"/>
        </w:rPr>
        <w:t>专科医生：专科医生应当同时满足以下四项资格条件：</w:t>
      </w:r>
    </w:p>
    <w:p>
      <w:pPr>
        <w:pStyle w:val="BodyText"/>
        <w:spacing w:before="58"/>
        <w:ind w:left="1244"/>
      </w:pPr>
      <w:r>
        <w:rPr/>
        <w:t>（1）具有有效的中华人民共和国《医师资格证书》；</w:t>
      </w:r>
    </w:p>
    <w:p>
      <w:pPr>
        <w:pStyle w:val="BodyText"/>
        <w:spacing w:before="119"/>
        <w:ind w:left="1244"/>
      </w:pPr>
      <w:r>
        <w:rPr/>
        <w:t>（2）具有有效的中华人民共和国《医师执业证书》，并按期到相关部门登记注册；</w:t>
      </w:r>
    </w:p>
    <w:p>
      <w:pPr>
        <w:pStyle w:val="BodyText"/>
        <w:spacing w:before="119"/>
        <w:ind w:left="1244"/>
      </w:pPr>
      <w:r>
        <w:rPr/>
        <w:t>（3）具有有效的中华人民共和国主治医师或主治医师以上职称的《医师职称证书》；</w:t>
      </w:r>
    </w:p>
    <w:p>
      <w:pPr>
        <w:pStyle w:val="BodyText"/>
        <w:spacing w:before="117"/>
        <w:ind w:left="1244"/>
      </w:pPr>
      <w:r>
        <w:rPr/>
        <w:t>（4）在二级或二级以上医院的相应科室从事临床工作三年以上。</w:t>
      </w:r>
    </w:p>
    <w:p>
      <w:pPr>
        <w:pStyle w:val="ListParagraph"/>
        <w:numPr>
          <w:ilvl w:val="1"/>
          <w:numId w:val="13"/>
        </w:numPr>
        <w:tabs>
          <w:tab w:pos="1244" w:val="left" w:leader="none"/>
          <w:tab w:pos="1245" w:val="left" w:leader="none"/>
        </w:tabs>
        <w:spacing w:line="240" w:lineRule="auto" w:before="122" w:after="0"/>
        <w:ind w:left="1244" w:right="0" w:hanging="708"/>
        <w:jc w:val="left"/>
        <w:rPr>
          <w:sz w:val="18"/>
        </w:rPr>
      </w:pPr>
      <w:r>
        <w:rPr>
          <w:sz w:val="18"/>
        </w:rPr>
        <w:t>犹豫期：是指您在书面签收保险合同之日起的十日内（含第十日）。</w:t>
      </w:r>
    </w:p>
    <w:p>
      <w:pPr>
        <w:pStyle w:val="ListParagraph"/>
        <w:numPr>
          <w:ilvl w:val="1"/>
          <w:numId w:val="13"/>
        </w:numPr>
        <w:tabs>
          <w:tab w:pos="1263" w:val="left" w:leader="none"/>
          <w:tab w:pos="1264" w:val="left" w:leader="none"/>
        </w:tabs>
        <w:spacing w:line="340" w:lineRule="auto" w:before="58" w:after="0"/>
        <w:ind w:left="1244" w:right="101"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3"/>
        </w:numPr>
        <w:tabs>
          <w:tab w:pos="1244" w:val="left" w:leader="none"/>
          <w:tab w:pos="1245" w:val="left" w:leader="none"/>
        </w:tabs>
        <w:spacing w:line="240" w:lineRule="auto" w:before="43" w:after="0"/>
        <w:ind w:left="1244" w:right="0" w:hanging="708"/>
        <w:jc w:val="left"/>
        <w:rPr>
          <w:sz w:val="18"/>
        </w:rPr>
      </w:pPr>
      <w:r>
        <w:rPr>
          <w:sz w:val="18"/>
        </w:rPr>
        <w:t>语言能力或咀嚼吞咽能力完全丧失：</w:t>
      </w:r>
    </w:p>
    <w:p>
      <w:pPr>
        <w:pStyle w:val="BodyText"/>
        <w:spacing w:line="360" w:lineRule="auto" w:before="56"/>
        <w:ind w:left="1244" w:right="103"/>
      </w:pPr>
      <w:r>
        <w:rPr/>
        <w:t>语言能力完全丧失，指无法发出四种语音（包括口唇音、齿舌音、口盖音和喉头音）中的任何三种、或声带全部切除，或因大脑语言中枢受伤害而患失语症。</w:t>
      </w:r>
    </w:p>
    <w:p>
      <w:pPr>
        <w:pStyle w:val="BodyText"/>
        <w:spacing w:line="357" w:lineRule="auto" w:before="29"/>
        <w:ind w:left="1244" w:right="104"/>
      </w:pPr>
      <w:r>
        <w:rPr/>
        <w:t>咀嚼吞咽能力完全丧失，指因牙齿以外的原因导致器质障碍或机能障碍，以致不能作咀嚼吞咽运动，除流质食物外不能摄取或吞咽的状态。</w:t>
      </w:r>
    </w:p>
    <w:p>
      <w:pPr>
        <w:pStyle w:val="ListParagraph"/>
        <w:numPr>
          <w:ilvl w:val="1"/>
          <w:numId w:val="13"/>
        </w:numPr>
        <w:tabs>
          <w:tab w:pos="1244" w:val="left" w:leader="none"/>
          <w:tab w:pos="1245" w:val="left" w:leader="none"/>
        </w:tabs>
        <w:spacing w:line="240" w:lineRule="auto" w:before="33" w:after="0"/>
        <w:ind w:left="1244" w:right="0" w:hanging="708"/>
        <w:jc w:val="left"/>
        <w:rPr>
          <w:sz w:val="18"/>
        </w:rPr>
      </w:pPr>
      <w:r>
        <w:rPr>
          <w:sz w:val="18"/>
        </w:rPr>
        <w:t>六项基本日常生活活动是指：</w:t>
      </w:r>
    </w:p>
    <w:p>
      <w:pPr>
        <w:pStyle w:val="BodyText"/>
        <w:spacing w:before="56"/>
        <w:ind w:left="1244"/>
      </w:pPr>
      <w:r>
        <w:rPr/>
        <w:t>（1）穿衣：自己能够穿衣及脱衣；</w:t>
      </w:r>
    </w:p>
    <w:p>
      <w:pPr>
        <w:pStyle w:val="BodyText"/>
        <w:spacing w:before="120"/>
        <w:ind w:left="1244"/>
      </w:pPr>
      <w:r>
        <w:rPr/>
        <w:t>（2）移动：自己从一个房间到另一个房间；</w:t>
      </w:r>
    </w:p>
    <w:p>
      <w:pPr>
        <w:pStyle w:val="BodyText"/>
        <w:spacing w:before="119"/>
        <w:ind w:left="1244"/>
      </w:pPr>
      <w:r>
        <w:rPr/>
        <w:t>（3）行动：自己上下床或上下轮椅；</w:t>
      </w:r>
    </w:p>
    <w:p>
      <w:pPr>
        <w:pStyle w:val="BodyText"/>
        <w:spacing w:before="119"/>
        <w:ind w:left="1244"/>
      </w:pPr>
      <w:r>
        <w:rPr/>
        <w:t>（4）如厕：自己控制进行大小便；</w:t>
      </w:r>
    </w:p>
    <w:p>
      <w:pPr>
        <w:pStyle w:val="BodyText"/>
        <w:spacing w:before="119"/>
        <w:ind w:left="1244"/>
      </w:pPr>
      <w:r>
        <w:rPr/>
        <w:t>（5）进食：自己从已准备好的碗或碟中取食物放入口中；</w:t>
      </w:r>
    </w:p>
    <w:p>
      <w:pPr>
        <w:pStyle w:val="BodyText"/>
        <w:spacing w:before="119"/>
        <w:ind w:left="1244"/>
      </w:pPr>
      <w:r>
        <w:rPr/>
        <w:t>（6）洗澡：自己进行淋浴或盆浴。</w:t>
      </w:r>
    </w:p>
    <w:p>
      <w:pPr>
        <w:pStyle w:val="ListParagraph"/>
        <w:numPr>
          <w:ilvl w:val="1"/>
          <w:numId w:val="13"/>
        </w:numPr>
        <w:tabs>
          <w:tab w:pos="1244" w:val="left" w:leader="none"/>
          <w:tab w:pos="1245" w:val="left" w:leader="none"/>
        </w:tabs>
        <w:spacing w:line="240" w:lineRule="auto" w:before="122" w:after="0"/>
        <w:ind w:left="1244" w:right="0" w:hanging="708"/>
        <w:jc w:val="left"/>
        <w:rPr>
          <w:sz w:val="18"/>
        </w:rPr>
      </w:pPr>
      <w:r>
        <w:rPr>
          <w:spacing w:val="-2"/>
          <w:sz w:val="18"/>
        </w:rPr>
        <w:t>永久不可逆：指自疾病确诊或意外伤害发生之日起，经过积极治疗 </w:t>
      </w:r>
      <w:r>
        <w:rPr>
          <w:sz w:val="18"/>
        </w:rPr>
        <w:t>180</w:t>
      </w:r>
      <w:r>
        <w:rPr>
          <w:spacing w:val="-7"/>
          <w:sz w:val="18"/>
        </w:rPr>
        <w:t> 日后，仍无法通过现有医疗手段恢复。</w:t>
      </w:r>
    </w:p>
    <w:p>
      <w:pPr>
        <w:pStyle w:val="ListParagraph"/>
        <w:numPr>
          <w:ilvl w:val="1"/>
          <w:numId w:val="13"/>
        </w:numPr>
        <w:tabs>
          <w:tab w:pos="1263" w:val="left" w:leader="none"/>
          <w:tab w:pos="1264" w:val="left" w:leader="none"/>
        </w:tabs>
        <w:spacing w:line="340" w:lineRule="auto" w:before="56" w:after="0"/>
        <w:ind w:left="1244" w:right="104" w:hanging="706"/>
        <w:jc w:val="left"/>
        <w:rPr>
          <w:sz w:val="18"/>
        </w:rPr>
      </w:pPr>
      <w:r>
        <w:rPr>
          <w:sz w:val="18"/>
        </w:rPr>
        <w:t>医院：是指经中华人民共和国卫生部门正式评定的二级以上（含二级）之公立医院，但不包括精神病院及专供康复、休养、戒毒、戒酒、护理、养老等非以直接诊治病人为目的之医疗机构。该医院必须具有符合国家有关医院</w:t>
      </w:r>
    </w:p>
    <w:p>
      <w:pPr>
        <w:spacing w:after="0" w:line="340" w:lineRule="auto"/>
        <w:jc w:val="left"/>
        <w:rPr>
          <w:sz w:val="18"/>
        </w:rPr>
        <w:sectPr>
          <w:pgSz w:w="11910" w:h="16840"/>
          <w:pgMar w:header="672" w:footer="757" w:top="860" w:bottom="940" w:left="880" w:right="740"/>
        </w:sectPr>
      </w:pPr>
    </w:p>
    <w:p>
      <w:pPr>
        <w:pStyle w:val="BodyText"/>
        <w:spacing w:before="5"/>
        <w:ind w:left="0"/>
        <w:rPr>
          <w:sz w:val="14"/>
        </w:rPr>
      </w:pPr>
    </w:p>
    <w:p>
      <w:pPr>
        <w:pStyle w:val="BodyText"/>
        <w:spacing w:line="360" w:lineRule="auto" w:before="44"/>
        <w:ind w:left="1264" w:right="544"/>
      </w:pPr>
      <w:r>
        <w:rPr/>
        <w:t>管理规则设置标准的医疗设备，且全天二十四小时有合格医师及护士驻院提供医疗及护理服务。若国家有关部门对于医院的评级标准有更改或取消，我们保留调整医院定义的权利。</w:t>
      </w:r>
    </w:p>
    <w:p>
      <w:pPr>
        <w:pStyle w:val="ListParagraph"/>
        <w:numPr>
          <w:ilvl w:val="1"/>
          <w:numId w:val="13"/>
        </w:numPr>
        <w:tabs>
          <w:tab w:pos="1283" w:val="left" w:leader="none"/>
          <w:tab w:pos="1284" w:val="left" w:leader="none"/>
        </w:tabs>
        <w:spacing w:line="340" w:lineRule="auto" w:before="27" w:after="0"/>
        <w:ind w:left="1264" w:right="543" w:hanging="706"/>
        <w:jc w:val="left"/>
        <w:rPr>
          <w:sz w:val="18"/>
        </w:rPr>
      </w:pPr>
      <w:r>
        <w:rPr>
          <w:sz w:val="18"/>
        </w:rPr>
        <w:t>保证续保条款：指在前一保险期间届满后，投保人提出续保申请，保险公司必须按照约定费率和原条款继续承保的合同约定。</w:t>
      </w:r>
    </w:p>
    <w:p>
      <w:pPr>
        <w:pStyle w:val="ListParagraph"/>
        <w:numPr>
          <w:ilvl w:val="1"/>
          <w:numId w:val="13"/>
        </w:numPr>
        <w:tabs>
          <w:tab w:pos="1283" w:val="left" w:leader="none"/>
          <w:tab w:pos="1284" w:val="left" w:leader="none"/>
        </w:tabs>
        <w:spacing w:line="340" w:lineRule="auto" w:before="41" w:after="0"/>
        <w:ind w:left="1264" w:right="540" w:hanging="706"/>
        <w:jc w:val="left"/>
        <w:rPr>
          <w:sz w:val="18"/>
        </w:rPr>
      </w:pPr>
      <w:r>
        <w:rPr>
          <w:spacing w:val="0"/>
          <w:sz w:val="18"/>
        </w:rPr>
        <w:t>保险单生效日：指保险单上载明的合同生效日，除非本附加合同另行约定，本保险单自保险单生效日的 </w:t>
      </w:r>
      <w:r>
        <w:rPr>
          <w:rFonts w:ascii="Arial" w:eastAsia="Arial"/>
          <w:sz w:val="18"/>
        </w:rPr>
        <w:t>24</w:t>
      </w:r>
      <w:r>
        <w:rPr>
          <w:rFonts w:ascii="Arial" w:eastAsia="Arial"/>
          <w:spacing w:val="11"/>
          <w:sz w:val="18"/>
        </w:rPr>
        <w:t> </w:t>
      </w:r>
      <w:r>
        <w:rPr>
          <w:sz w:val="18"/>
        </w:rPr>
        <w:t>时开始生效。</w:t>
      </w:r>
    </w:p>
    <w:p>
      <w:pPr>
        <w:pStyle w:val="BodyText"/>
        <w:spacing w:before="0"/>
        <w:ind w:left="0"/>
        <w:rPr>
          <w:sz w:val="20"/>
        </w:rPr>
      </w:pPr>
    </w:p>
    <w:p>
      <w:pPr>
        <w:pStyle w:val="BodyText"/>
        <w:spacing w:before="0"/>
        <w:ind w:left="0"/>
        <w:rPr>
          <w:sz w:val="11"/>
        </w:rPr>
      </w:pPr>
      <w:r>
        <w:rPr/>
        <w:pict>
          <v:line style="position:absolute;mso-position-horizontal-relative:page;mso-position-vertical-relative:paragraph;z-index:1072;mso-wrap-distance-left:0;mso-wrap-distance-right:0" from="48.119999pt,9.441013pt" to="575.279999pt,9.441013pt" stroked="true" strokeweight=".48pt" strokecolor="#000000">
            <v:stroke dashstyle="shortdot"/>
            <w10:wrap type="topAndBottom"/>
          </v:line>
        </w:pict>
      </w:r>
    </w:p>
    <w:p>
      <w:pPr>
        <w:pStyle w:val="Heading2"/>
        <w:spacing w:line="205" w:lineRule="exact"/>
        <w:ind w:left="4977" w:right="4973"/>
        <w:jc w:val="center"/>
      </w:pPr>
      <w:r>
        <w:rPr>
          <w:w w:val="95"/>
        </w:rPr>
        <w:t>以下空白</w:t>
      </w:r>
    </w:p>
    <w:sectPr>
      <w:pgSz w:w="11910" w:h="16840"/>
      <w:pgMar w:header="672" w:footer="757"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817566pt;width:31.9pt;height:11pt;mso-position-horizontal-relative:page;mso-position-vertical-relative:page;z-index:-14920" type="#_x0000_t202" filled="false" stroked="false">
          <v:textbox inset="0,0,0,0">
            <w:txbxContent>
              <w:p>
                <w:pPr>
                  <w:spacing w:before="15"/>
                  <w:ind w:left="20" w:right="0" w:firstLine="0"/>
                  <w:jc w:val="left"/>
                  <w:rPr>
                    <w:rFonts w:ascii="Arial"/>
                    <w:sz w:val="16"/>
                  </w:rPr>
                </w:pPr>
                <w:r>
                  <w:rPr>
                    <w:rFonts w:ascii="Arial"/>
                    <w:sz w:val="16"/>
                  </w:rPr>
                  <w:t>WP01-B</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779999pt;margin-top:34.570618pt;width:106.3pt;height:10.050pt;mso-position-horizontal-relative:page;mso-position-vertical-relative:page;z-index:-14896"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5"/>
      <w:numFmt w:val="decimal"/>
      <w:lvlText w:val="%1"/>
      <w:lvlJc w:val="left"/>
      <w:pPr>
        <w:ind w:left="1263" w:hanging="725"/>
        <w:jc w:val="left"/>
      </w:pPr>
      <w:rPr>
        <w:rFonts w:hint="default"/>
      </w:rPr>
    </w:lvl>
    <w:lvl w:ilvl="1">
      <w:start w:val="1"/>
      <w:numFmt w:val="decimal"/>
      <w:lvlText w:val="%1.%2"/>
      <w:lvlJc w:val="left"/>
      <w:pPr>
        <w:ind w:left="1244" w:hanging="725"/>
        <w:jc w:val="left"/>
      </w:pPr>
      <w:rPr>
        <w:rFonts w:hint="default" w:ascii="Arial" w:hAnsi="Arial" w:eastAsia="Arial" w:cs="Arial"/>
        <w:w w:val="99"/>
        <w:sz w:val="18"/>
        <w:szCs w:val="18"/>
      </w:rPr>
    </w:lvl>
    <w:lvl w:ilvl="2">
      <w:start w:val="1"/>
      <w:numFmt w:val="decimal"/>
      <w:lvlText w:val="(%3)"/>
      <w:lvlJc w:val="left"/>
      <w:pPr>
        <w:ind w:left="1551" w:hanging="308"/>
        <w:jc w:val="left"/>
      </w:pPr>
      <w:rPr>
        <w:rFonts w:hint="default" w:ascii="宋体" w:hAnsi="宋体" w:eastAsia="宋体" w:cs="宋体"/>
        <w:spacing w:val="0"/>
        <w:w w:val="100"/>
        <w:sz w:val="18"/>
        <w:szCs w:val="18"/>
      </w:rPr>
    </w:lvl>
    <w:lvl w:ilvl="3">
      <w:start w:val="0"/>
      <w:numFmt w:val="bullet"/>
      <w:lvlText w:val="•"/>
      <w:lvlJc w:val="left"/>
      <w:pPr>
        <w:ind w:left="2651" w:hanging="308"/>
      </w:pPr>
      <w:rPr>
        <w:rFonts w:hint="default"/>
      </w:rPr>
    </w:lvl>
    <w:lvl w:ilvl="4">
      <w:start w:val="0"/>
      <w:numFmt w:val="bullet"/>
      <w:lvlText w:val="•"/>
      <w:lvlJc w:val="left"/>
      <w:pPr>
        <w:ind w:left="3742" w:hanging="308"/>
      </w:pPr>
      <w:rPr>
        <w:rFonts w:hint="default"/>
      </w:rPr>
    </w:lvl>
    <w:lvl w:ilvl="5">
      <w:start w:val="0"/>
      <w:numFmt w:val="bullet"/>
      <w:lvlText w:val="•"/>
      <w:lvlJc w:val="left"/>
      <w:pPr>
        <w:ind w:left="4833" w:hanging="308"/>
      </w:pPr>
      <w:rPr>
        <w:rFonts w:hint="default"/>
      </w:rPr>
    </w:lvl>
    <w:lvl w:ilvl="6">
      <w:start w:val="0"/>
      <w:numFmt w:val="bullet"/>
      <w:lvlText w:val="•"/>
      <w:lvlJc w:val="left"/>
      <w:pPr>
        <w:ind w:left="5924" w:hanging="308"/>
      </w:pPr>
      <w:rPr>
        <w:rFonts w:hint="default"/>
      </w:rPr>
    </w:lvl>
    <w:lvl w:ilvl="7">
      <w:start w:val="0"/>
      <w:numFmt w:val="bullet"/>
      <w:lvlText w:val="•"/>
      <w:lvlJc w:val="left"/>
      <w:pPr>
        <w:ind w:left="7015" w:hanging="308"/>
      </w:pPr>
      <w:rPr>
        <w:rFonts w:hint="default"/>
      </w:rPr>
    </w:lvl>
    <w:lvl w:ilvl="8">
      <w:start w:val="0"/>
      <w:numFmt w:val="bullet"/>
      <w:lvlText w:val="•"/>
      <w:lvlJc w:val="left"/>
      <w:pPr>
        <w:ind w:left="8106" w:hanging="308"/>
      </w:pPr>
      <w:rPr>
        <w:rFonts w:hint="default"/>
      </w:rPr>
    </w:lvl>
  </w:abstractNum>
  <w:abstractNum w:abstractNumId="11">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0">
    <w:multiLevelType w:val="hybridMultilevel"/>
    <w:lvl w:ilvl="0">
      <w:start w:val="14"/>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1620" w:hanging="567"/>
      </w:pPr>
      <w:rPr>
        <w:rFonts w:hint="default"/>
      </w:rPr>
    </w:lvl>
    <w:lvl w:ilvl="3">
      <w:start w:val="0"/>
      <w:numFmt w:val="bullet"/>
      <w:lvlText w:val="•"/>
      <w:lvlJc w:val="left"/>
      <w:pPr>
        <w:ind w:left="2703" w:hanging="567"/>
      </w:pPr>
      <w:rPr>
        <w:rFonts w:hint="default"/>
      </w:rPr>
    </w:lvl>
    <w:lvl w:ilvl="4">
      <w:start w:val="0"/>
      <w:numFmt w:val="bullet"/>
      <w:lvlText w:val="•"/>
      <w:lvlJc w:val="left"/>
      <w:pPr>
        <w:ind w:left="3787" w:hanging="567"/>
      </w:pPr>
      <w:rPr>
        <w:rFonts w:hint="default"/>
      </w:rPr>
    </w:lvl>
    <w:lvl w:ilvl="5">
      <w:start w:val="0"/>
      <w:numFmt w:val="bullet"/>
      <w:lvlText w:val="•"/>
      <w:lvlJc w:val="left"/>
      <w:pPr>
        <w:ind w:left="4870" w:hanging="567"/>
      </w:pPr>
      <w:rPr>
        <w:rFonts w:hint="default"/>
      </w:rPr>
    </w:lvl>
    <w:lvl w:ilvl="6">
      <w:start w:val="0"/>
      <w:numFmt w:val="bullet"/>
      <w:lvlText w:val="•"/>
      <w:lvlJc w:val="left"/>
      <w:pPr>
        <w:ind w:left="5954" w:hanging="567"/>
      </w:pPr>
      <w:rPr>
        <w:rFonts w:hint="default"/>
      </w:rPr>
    </w:lvl>
    <w:lvl w:ilvl="7">
      <w:start w:val="0"/>
      <w:numFmt w:val="bullet"/>
      <w:lvlText w:val="•"/>
      <w:lvlJc w:val="left"/>
      <w:pPr>
        <w:ind w:left="7038" w:hanging="567"/>
      </w:pPr>
      <w:rPr>
        <w:rFonts w:hint="default"/>
      </w:rPr>
    </w:lvl>
    <w:lvl w:ilvl="8">
      <w:start w:val="0"/>
      <w:numFmt w:val="bullet"/>
      <w:lvlText w:val="•"/>
      <w:lvlJc w:val="left"/>
      <w:pPr>
        <w:ind w:left="8121" w:hanging="567"/>
      </w:pPr>
      <w:rPr>
        <w:rFonts w:hint="default"/>
      </w:rPr>
    </w:lvl>
  </w:abstractNum>
  <w:abstractNum w:abstractNumId="9">
    <w:multiLevelType w:val="hybridMultilevel"/>
    <w:lvl w:ilvl="0">
      <w:start w:val="13"/>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8">
    <w:multiLevelType w:val="hybridMultilevel"/>
    <w:lvl w:ilvl="0">
      <w:start w:val="12"/>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7">
    <w:multiLevelType w:val="hybridMultilevel"/>
    <w:lvl w:ilvl="0">
      <w:start w:val="10"/>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71" w:hanging="538"/>
        <w:jc w:val="left"/>
      </w:pPr>
      <w:rPr>
        <w:rFonts w:hint="default" w:ascii="Arial" w:hAnsi="Arial" w:eastAsia="Arial" w:cs="Arial"/>
        <w:w w:val="99"/>
        <w:sz w:val="18"/>
        <w:szCs w:val="18"/>
      </w:rPr>
    </w:lvl>
    <w:lvl w:ilvl="3">
      <w:start w:val="0"/>
      <w:numFmt w:val="bullet"/>
      <w:lvlText w:val="•"/>
      <w:lvlJc w:val="left"/>
      <w:pPr>
        <w:ind w:left="3597" w:hanging="538"/>
      </w:pPr>
      <w:rPr>
        <w:rFonts w:hint="default"/>
      </w:rPr>
    </w:lvl>
    <w:lvl w:ilvl="4">
      <w:start w:val="0"/>
      <w:numFmt w:val="bullet"/>
      <w:lvlText w:val="•"/>
      <w:lvlJc w:val="left"/>
      <w:pPr>
        <w:ind w:left="4556" w:hanging="538"/>
      </w:pPr>
      <w:rPr>
        <w:rFonts w:hint="default"/>
      </w:rPr>
    </w:lvl>
    <w:lvl w:ilvl="5">
      <w:start w:val="0"/>
      <w:numFmt w:val="bullet"/>
      <w:lvlText w:val="•"/>
      <w:lvlJc w:val="left"/>
      <w:pPr>
        <w:ind w:left="5515" w:hanging="538"/>
      </w:pPr>
      <w:rPr>
        <w:rFonts w:hint="default"/>
      </w:rPr>
    </w:lvl>
    <w:lvl w:ilvl="6">
      <w:start w:val="0"/>
      <w:numFmt w:val="bullet"/>
      <w:lvlText w:val="•"/>
      <w:lvlJc w:val="left"/>
      <w:pPr>
        <w:ind w:left="6473" w:hanging="538"/>
      </w:pPr>
      <w:rPr>
        <w:rFonts w:hint="default"/>
      </w:rPr>
    </w:lvl>
    <w:lvl w:ilvl="7">
      <w:start w:val="0"/>
      <w:numFmt w:val="bullet"/>
      <w:lvlText w:val="•"/>
      <w:lvlJc w:val="left"/>
      <w:pPr>
        <w:ind w:left="7432" w:hanging="538"/>
      </w:pPr>
      <w:rPr>
        <w:rFonts w:hint="default"/>
      </w:rPr>
    </w:lvl>
    <w:lvl w:ilvl="8">
      <w:start w:val="0"/>
      <w:numFmt w:val="bullet"/>
      <w:lvlText w:val="•"/>
      <w:lvlJc w:val="left"/>
      <w:pPr>
        <w:ind w:left="8391" w:hanging="538"/>
      </w:pPr>
      <w:rPr>
        <w:rFonts w:hint="default"/>
      </w:rPr>
    </w:lvl>
  </w:abstractNum>
  <w:abstractNum w:abstractNumId="6">
    <w:multiLevelType w:val="hybridMultilevel"/>
    <w:lvl w:ilvl="0">
      <w:start w:val="9"/>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941" w:hanging="567"/>
      </w:pPr>
      <w:rPr>
        <w:rFonts w:hint="default"/>
      </w:rPr>
    </w:lvl>
    <w:lvl w:ilvl="3">
      <w:start w:val="0"/>
      <w:numFmt w:val="bullet"/>
      <w:lvlText w:val="•"/>
      <w:lvlJc w:val="left"/>
      <w:pPr>
        <w:ind w:left="3862" w:hanging="567"/>
      </w:pPr>
      <w:rPr>
        <w:rFonts w:hint="default"/>
      </w:rPr>
    </w:lvl>
    <w:lvl w:ilvl="4">
      <w:start w:val="0"/>
      <w:numFmt w:val="bullet"/>
      <w:lvlText w:val="•"/>
      <w:lvlJc w:val="left"/>
      <w:pPr>
        <w:ind w:left="4783" w:hanging="567"/>
      </w:pPr>
      <w:rPr>
        <w:rFonts w:hint="default"/>
      </w:rPr>
    </w:lvl>
    <w:lvl w:ilvl="5">
      <w:start w:val="0"/>
      <w:numFmt w:val="bullet"/>
      <w:lvlText w:val="•"/>
      <w:lvlJc w:val="left"/>
      <w:pPr>
        <w:ind w:left="5704" w:hanging="567"/>
      </w:pPr>
      <w:rPr>
        <w:rFonts w:hint="default"/>
      </w:rPr>
    </w:lvl>
    <w:lvl w:ilvl="6">
      <w:start w:val="0"/>
      <w:numFmt w:val="bullet"/>
      <w:lvlText w:val="•"/>
      <w:lvlJc w:val="left"/>
      <w:pPr>
        <w:ind w:left="6625" w:hanging="567"/>
      </w:pPr>
      <w:rPr>
        <w:rFonts w:hint="default"/>
      </w:rPr>
    </w:lvl>
    <w:lvl w:ilvl="7">
      <w:start w:val="0"/>
      <w:numFmt w:val="bullet"/>
      <w:lvlText w:val="•"/>
      <w:lvlJc w:val="left"/>
      <w:pPr>
        <w:ind w:left="7546" w:hanging="567"/>
      </w:pPr>
      <w:rPr>
        <w:rFonts w:hint="default"/>
      </w:rPr>
    </w:lvl>
    <w:lvl w:ilvl="8">
      <w:start w:val="0"/>
      <w:numFmt w:val="bullet"/>
      <w:lvlText w:val="•"/>
      <w:lvlJc w:val="left"/>
      <w:pPr>
        <w:ind w:left="8467" w:hanging="567"/>
      </w:pPr>
      <w:rPr>
        <w:rFonts w:hint="default"/>
      </w:rPr>
    </w:lvl>
  </w:abstractNum>
  <w:abstractNum w:abstractNumId="5">
    <w:multiLevelType w:val="hybridMultilevel"/>
    <w:lvl w:ilvl="0">
      <w:start w:val="8"/>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0"/>
      <w:numFmt w:val="bullet"/>
      <w:lvlText w:val="•"/>
      <w:lvlJc w:val="left"/>
      <w:pPr>
        <w:ind w:left="2941" w:hanging="567"/>
      </w:pPr>
      <w:rPr>
        <w:rFonts w:hint="default"/>
      </w:rPr>
    </w:lvl>
    <w:lvl w:ilvl="3">
      <w:start w:val="0"/>
      <w:numFmt w:val="bullet"/>
      <w:lvlText w:val="•"/>
      <w:lvlJc w:val="left"/>
      <w:pPr>
        <w:ind w:left="3862" w:hanging="567"/>
      </w:pPr>
      <w:rPr>
        <w:rFonts w:hint="default"/>
      </w:rPr>
    </w:lvl>
    <w:lvl w:ilvl="4">
      <w:start w:val="0"/>
      <w:numFmt w:val="bullet"/>
      <w:lvlText w:val="•"/>
      <w:lvlJc w:val="left"/>
      <w:pPr>
        <w:ind w:left="4783" w:hanging="567"/>
      </w:pPr>
      <w:rPr>
        <w:rFonts w:hint="default"/>
      </w:rPr>
    </w:lvl>
    <w:lvl w:ilvl="5">
      <w:start w:val="0"/>
      <w:numFmt w:val="bullet"/>
      <w:lvlText w:val="•"/>
      <w:lvlJc w:val="left"/>
      <w:pPr>
        <w:ind w:left="5704" w:hanging="567"/>
      </w:pPr>
      <w:rPr>
        <w:rFonts w:hint="default"/>
      </w:rPr>
    </w:lvl>
    <w:lvl w:ilvl="6">
      <w:start w:val="0"/>
      <w:numFmt w:val="bullet"/>
      <w:lvlText w:val="•"/>
      <w:lvlJc w:val="left"/>
      <w:pPr>
        <w:ind w:left="6625" w:hanging="567"/>
      </w:pPr>
      <w:rPr>
        <w:rFonts w:hint="default"/>
      </w:rPr>
    </w:lvl>
    <w:lvl w:ilvl="7">
      <w:start w:val="0"/>
      <w:numFmt w:val="bullet"/>
      <w:lvlText w:val="•"/>
      <w:lvlJc w:val="left"/>
      <w:pPr>
        <w:ind w:left="7546" w:hanging="567"/>
      </w:pPr>
      <w:rPr>
        <w:rFonts w:hint="default"/>
      </w:rPr>
    </w:lvl>
    <w:lvl w:ilvl="8">
      <w:start w:val="0"/>
      <w:numFmt w:val="bullet"/>
      <w:lvlText w:val="•"/>
      <w:lvlJc w:val="left"/>
      <w:pPr>
        <w:ind w:left="8467" w:hanging="567"/>
      </w:pPr>
      <w:rPr>
        <w:rFonts w:hint="default"/>
      </w:rPr>
    </w:lvl>
  </w:abstractNum>
  <w:abstractNum w:abstractNumId="4">
    <w:multiLevelType w:val="hybridMultilevel"/>
    <w:lvl w:ilvl="0">
      <w:start w:val="6"/>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7" w:hanging="569"/>
      </w:pPr>
      <w:rPr>
        <w:rFonts w:hint="default"/>
      </w:rPr>
    </w:lvl>
    <w:lvl w:ilvl="4">
      <w:start w:val="0"/>
      <w:numFmt w:val="bullet"/>
      <w:lvlText w:val="•"/>
      <w:lvlJc w:val="left"/>
      <w:pPr>
        <w:ind w:left="4556" w:hanging="569"/>
      </w:pPr>
      <w:rPr>
        <w:rFonts w:hint="default"/>
      </w:rPr>
    </w:lvl>
    <w:lvl w:ilvl="5">
      <w:start w:val="0"/>
      <w:numFmt w:val="bullet"/>
      <w:lvlText w:val="•"/>
      <w:lvlJc w:val="left"/>
      <w:pPr>
        <w:ind w:left="5515" w:hanging="569"/>
      </w:pPr>
      <w:rPr>
        <w:rFonts w:hint="default"/>
      </w:rPr>
    </w:lvl>
    <w:lvl w:ilvl="6">
      <w:start w:val="0"/>
      <w:numFmt w:val="bullet"/>
      <w:lvlText w:val="•"/>
      <w:lvlJc w:val="left"/>
      <w:pPr>
        <w:ind w:left="6473" w:hanging="569"/>
      </w:pPr>
      <w:rPr>
        <w:rFonts w:hint="default"/>
      </w:rPr>
    </w:lvl>
    <w:lvl w:ilvl="7">
      <w:start w:val="0"/>
      <w:numFmt w:val="bullet"/>
      <w:lvlText w:val="•"/>
      <w:lvlJc w:val="left"/>
      <w:pPr>
        <w:ind w:left="7432" w:hanging="569"/>
      </w:pPr>
      <w:rPr>
        <w:rFonts w:hint="default"/>
      </w:rPr>
    </w:lvl>
    <w:lvl w:ilvl="8">
      <w:start w:val="0"/>
      <w:numFmt w:val="bullet"/>
      <w:lvlText w:val="•"/>
      <w:lvlJc w:val="left"/>
      <w:pPr>
        <w:ind w:left="8391" w:hanging="569"/>
      </w:pPr>
      <w:rPr>
        <w:rFonts w:hint="default"/>
      </w:rPr>
    </w:lvl>
  </w:abstractNum>
  <w:abstractNum w:abstractNumId="3">
    <w:multiLevelType w:val="hybridMultilevel"/>
    <w:lvl w:ilvl="0">
      <w:start w:val="5"/>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30" w:hanging="420"/>
        <w:jc w:val="left"/>
      </w:pPr>
      <w:rPr>
        <w:rFonts w:hint="default" w:ascii="Arial" w:hAnsi="Arial" w:eastAsia="Arial" w:cs="Arial"/>
        <w:w w:val="99"/>
        <w:sz w:val="18"/>
        <w:szCs w:val="18"/>
      </w:rPr>
    </w:lvl>
    <w:lvl w:ilvl="3">
      <w:start w:val="1"/>
      <w:numFmt w:val="decimal"/>
      <w:lvlText w:val="%1.%2.%3.%4"/>
      <w:lvlJc w:val="left"/>
      <w:pPr>
        <w:ind w:left="2238" w:hanging="708"/>
        <w:jc w:val="left"/>
      </w:pPr>
      <w:rPr>
        <w:rFonts w:hint="default"/>
        <w:b/>
        <w:bCs/>
        <w:spacing w:val="-2"/>
        <w:w w:val="99"/>
      </w:rPr>
    </w:lvl>
    <w:lvl w:ilvl="4">
      <w:start w:val="0"/>
      <w:numFmt w:val="bullet"/>
      <w:lvlText w:val="•"/>
      <w:lvlJc w:val="left"/>
      <w:pPr>
        <w:ind w:left="4267" w:hanging="708"/>
      </w:pPr>
      <w:rPr>
        <w:rFonts w:hint="default"/>
      </w:rPr>
    </w:lvl>
    <w:lvl w:ilvl="5">
      <w:start w:val="0"/>
      <w:numFmt w:val="bullet"/>
      <w:lvlText w:val="•"/>
      <w:lvlJc w:val="left"/>
      <w:pPr>
        <w:ind w:left="5280" w:hanging="708"/>
      </w:pPr>
      <w:rPr>
        <w:rFonts w:hint="default"/>
      </w:rPr>
    </w:lvl>
    <w:lvl w:ilvl="6">
      <w:start w:val="0"/>
      <w:numFmt w:val="bullet"/>
      <w:lvlText w:val="•"/>
      <w:lvlJc w:val="left"/>
      <w:pPr>
        <w:ind w:left="6294" w:hanging="708"/>
      </w:pPr>
      <w:rPr>
        <w:rFonts w:hint="default"/>
      </w:rPr>
    </w:lvl>
    <w:lvl w:ilvl="7">
      <w:start w:val="0"/>
      <w:numFmt w:val="bullet"/>
      <w:lvlText w:val="•"/>
      <w:lvlJc w:val="left"/>
      <w:pPr>
        <w:ind w:left="7308" w:hanging="708"/>
      </w:pPr>
      <w:rPr>
        <w:rFonts w:hint="default"/>
      </w:rPr>
    </w:lvl>
    <w:lvl w:ilvl="8">
      <w:start w:val="0"/>
      <w:numFmt w:val="bullet"/>
      <w:lvlText w:val="•"/>
      <w:lvlJc w:val="left"/>
      <w:pPr>
        <w:ind w:left="8321" w:hanging="708"/>
      </w:pPr>
      <w:rPr>
        <w:rFonts w:hint="default"/>
      </w:rPr>
    </w:lvl>
  </w:abstractNum>
  <w:abstractNum w:abstractNumId="2">
    <w:multiLevelType w:val="hybridMultilevel"/>
    <w:lvl w:ilvl="0">
      <w:start w:val="4"/>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ascii="Arial" w:hAnsi="Arial" w:eastAsia="Arial" w:cs="Arial"/>
        <w:spacing w:val="-1"/>
        <w:w w:val="99"/>
        <w:sz w:val="18"/>
        <w:szCs w:val="18"/>
      </w:rPr>
    </w:lvl>
    <w:lvl w:ilvl="2">
      <w:start w:val="1"/>
      <w:numFmt w:val="decimal"/>
      <w:lvlText w:val="%1.%2.%3"/>
      <w:lvlJc w:val="left"/>
      <w:pPr>
        <w:ind w:left="1813" w:hanging="708"/>
        <w:jc w:val="left"/>
      </w:pPr>
      <w:rPr>
        <w:rFonts w:hint="default" w:ascii="Arial" w:hAnsi="Arial" w:eastAsia="Arial" w:cs="Arial"/>
        <w:w w:val="99"/>
        <w:sz w:val="18"/>
        <w:szCs w:val="18"/>
      </w:rPr>
    </w:lvl>
    <w:lvl w:ilvl="3">
      <w:start w:val="0"/>
      <w:numFmt w:val="bullet"/>
      <w:lvlText w:val="•"/>
      <w:lvlJc w:val="left"/>
      <w:pPr>
        <w:ind w:left="3715" w:hanging="708"/>
      </w:pPr>
      <w:rPr>
        <w:rFonts w:hint="default"/>
      </w:rPr>
    </w:lvl>
    <w:lvl w:ilvl="4">
      <w:start w:val="0"/>
      <w:numFmt w:val="bullet"/>
      <w:lvlText w:val="•"/>
      <w:lvlJc w:val="left"/>
      <w:pPr>
        <w:ind w:left="4662" w:hanging="708"/>
      </w:pPr>
      <w:rPr>
        <w:rFonts w:hint="default"/>
      </w:rPr>
    </w:lvl>
    <w:lvl w:ilvl="5">
      <w:start w:val="0"/>
      <w:numFmt w:val="bullet"/>
      <w:lvlText w:val="•"/>
      <w:lvlJc w:val="left"/>
      <w:pPr>
        <w:ind w:left="5610" w:hanging="708"/>
      </w:pPr>
      <w:rPr>
        <w:rFonts w:hint="default"/>
      </w:rPr>
    </w:lvl>
    <w:lvl w:ilvl="6">
      <w:start w:val="0"/>
      <w:numFmt w:val="bullet"/>
      <w:lvlText w:val="•"/>
      <w:lvlJc w:val="left"/>
      <w:pPr>
        <w:ind w:left="6558" w:hanging="708"/>
      </w:pPr>
      <w:rPr>
        <w:rFonts w:hint="default"/>
      </w:rPr>
    </w:lvl>
    <w:lvl w:ilvl="7">
      <w:start w:val="0"/>
      <w:numFmt w:val="bullet"/>
      <w:lvlText w:val="•"/>
      <w:lvlJc w:val="left"/>
      <w:pPr>
        <w:ind w:left="7505" w:hanging="708"/>
      </w:pPr>
      <w:rPr>
        <w:rFonts w:hint="default"/>
      </w:rPr>
    </w:lvl>
    <w:lvl w:ilvl="8">
      <w:start w:val="0"/>
      <w:numFmt w:val="bullet"/>
      <w:lvlText w:val="•"/>
      <w:lvlJc w:val="left"/>
      <w:pPr>
        <w:ind w:left="8453" w:hanging="708"/>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spacing w:val="-44"/>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9" w:hanging="651"/>
        <w:jc w:val="left"/>
      </w:pPr>
      <w:rPr>
        <w:rFonts w:hint="default"/>
      </w:rPr>
    </w:lvl>
    <w:lvl w:ilvl="1">
      <w:start w:val="1"/>
      <w:numFmt w:val="decimal"/>
      <w:lvlText w:val="%1.%2"/>
      <w:lvlJc w:val="left"/>
      <w:pPr>
        <w:ind w:left="1189" w:hanging="651"/>
        <w:jc w:val="left"/>
      </w:pPr>
      <w:rPr>
        <w:rFonts w:hint="default" w:ascii="Arial" w:hAnsi="Arial" w:eastAsia="Arial" w:cs="Arial"/>
        <w:spacing w:val="-8"/>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4"/>
      <w:ind w:left="1102"/>
    </w:pPr>
    <w:rPr>
      <w:rFonts w:ascii="宋体" w:hAnsi="宋体" w:eastAsia="宋体" w:cs="宋体"/>
      <w:sz w:val="18"/>
      <w:szCs w:val="18"/>
    </w:rPr>
  </w:style>
  <w:style w:styleId="Heading1" w:type="paragraph">
    <w:name w:val="Heading 1"/>
    <w:basedOn w:val="Normal"/>
    <w:uiPriority w:val="1"/>
    <w:qFormat/>
    <w:pPr>
      <w:spacing w:before="104"/>
      <w:ind w:left="471"/>
      <w:outlineLvl w:val="1"/>
    </w:pPr>
    <w:rPr>
      <w:rFonts w:ascii="宋体" w:hAnsi="宋体" w:eastAsia="宋体" w:cs="宋体"/>
      <w:b/>
      <w:bCs/>
      <w:sz w:val="21"/>
      <w:szCs w:val="21"/>
    </w:rPr>
  </w:style>
  <w:style w:styleId="Heading2" w:type="paragraph">
    <w:name w:val="Heading 2"/>
    <w:basedOn w:val="Normal"/>
    <w:uiPriority w:val="1"/>
    <w:qFormat/>
    <w:pPr>
      <w:ind w:left="382"/>
      <w:outlineLvl w:val="2"/>
    </w:pPr>
    <w:rPr>
      <w:rFonts w:ascii="宋体" w:hAnsi="宋体" w:eastAsia="宋体" w:cs="宋体"/>
      <w:sz w:val="20"/>
      <w:szCs w:val="20"/>
    </w:rPr>
  </w:style>
  <w:style w:styleId="Heading3" w:type="paragraph">
    <w:name w:val="Heading 3"/>
    <w:basedOn w:val="Normal"/>
    <w:uiPriority w:val="1"/>
    <w:qFormat/>
    <w:pPr>
      <w:spacing w:before="107"/>
      <w:ind w:left="1102"/>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105" w:hanging="56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2018-10-19T22:51:24Z</dcterms:created>
  <dcterms:modified xsi:type="dcterms:W3CDTF">2018-10-19T22:51:24Z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