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111"/>
        <w:ind w:left="7883" w:right="0" w:firstLine="0"/>
        <w:jc w:val="left"/>
        <w:rPr>
          <w:rFonts w:ascii="仿宋" w:eastAsia="仿宋" w:hint="eastAsia"/>
          <w:sz w:val="20"/>
        </w:rPr>
      </w:pPr>
      <w:r>
        <w:rPr/>
        <w:drawing>
          <wp:anchor distT="0" distB="0" distL="0" distR="0" allowOverlap="1" layoutInCell="1" locked="0" behindDoc="0" simplePos="0" relativeHeight="0">
            <wp:simplePos x="0" y="0"/>
            <wp:positionH relativeFrom="page">
              <wp:posOffset>4770120</wp:posOffset>
            </wp:positionH>
            <wp:positionV relativeFrom="paragraph">
              <wp:posOffset>885</wp:posOffset>
            </wp:positionV>
            <wp:extent cx="723900" cy="723900"/>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900" cy="723900"/>
                    </a:xfrm>
                    <a:prstGeom prst="rect">
                      <a:avLst/>
                    </a:prstGeom>
                  </pic:spPr>
                </pic:pic>
              </a:graphicData>
            </a:graphic>
          </wp:anchor>
        </w:drawing>
      </w:r>
      <w:r>
        <w:rPr>
          <w:rFonts w:ascii="仿宋" w:eastAsia="仿宋" w:hint="eastAsia"/>
          <w:w w:val="95"/>
          <w:sz w:val="20"/>
        </w:rPr>
        <w:t>复星保德信人寿</w:t>
      </w:r>
    </w:p>
    <w:p>
      <w:pPr>
        <w:spacing w:line="285" w:lineRule="auto" w:before="50"/>
        <w:ind w:left="7883" w:right="321" w:firstLine="0"/>
        <w:jc w:val="right"/>
        <w:rPr>
          <w:rFonts w:ascii="仿宋" w:eastAsia="仿宋" w:hint="eastAsia"/>
          <w:sz w:val="20"/>
        </w:rPr>
      </w:pPr>
      <w:r>
        <w:rPr>
          <w:rFonts w:ascii="仿宋" w:eastAsia="仿宋" w:hint="eastAsia"/>
          <w:sz w:val="20"/>
        </w:rPr>
        <w:t>[2012</w:t>
      </w:r>
      <w:r>
        <w:rPr>
          <w:rFonts w:ascii="仿宋" w:eastAsia="仿宋" w:hint="eastAsia"/>
          <w:spacing w:val="-9"/>
          <w:sz w:val="20"/>
        </w:rPr>
        <w:t>]疾病保险 </w:t>
      </w:r>
      <w:r>
        <w:rPr>
          <w:rFonts w:ascii="仿宋" w:eastAsia="仿宋" w:hint="eastAsia"/>
          <w:sz w:val="20"/>
        </w:rPr>
        <w:t>010</w:t>
      </w:r>
      <w:r>
        <w:rPr>
          <w:rFonts w:ascii="仿宋" w:eastAsia="仿宋" w:hint="eastAsia"/>
          <w:spacing w:val="-28"/>
          <w:sz w:val="20"/>
        </w:rPr>
        <w:t> 号</w:t>
      </w:r>
      <w:r>
        <w:rPr>
          <w:rFonts w:ascii="仿宋" w:eastAsia="仿宋" w:hint="eastAsia"/>
          <w:spacing w:val="-28"/>
          <w:w w:val="95"/>
          <w:sz w:val="20"/>
        </w:rPr>
        <w:t>请扫描以查询验证条款</w:t>
      </w:r>
    </w:p>
    <w:p>
      <w:pPr>
        <w:pStyle w:val="Heading1"/>
        <w:spacing w:line="460" w:lineRule="auto" w:before="128"/>
        <w:ind w:left="1901" w:right="1791"/>
        <w:jc w:val="center"/>
      </w:pPr>
      <w:r>
        <w:rPr/>
        <w:t>复星保德信附加保得康重大疾病保险条款阅 读 提 示</w:t>
      </w:r>
    </w:p>
    <w:p>
      <w:pPr>
        <w:spacing w:before="92"/>
        <w:ind w:left="413" w:right="345" w:firstLine="0"/>
        <w:jc w:val="center"/>
        <w:rPr>
          <w:sz w:val="20"/>
        </w:rPr>
      </w:pPr>
      <w:r>
        <w:rPr>
          <w:w w:val="95"/>
          <w:sz w:val="20"/>
        </w:rPr>
        <w:t>本阅读提示是为了帮助投保人、被保险人和受益人更好地理解条款，对本附加合同内容的解释以条款正文为准。</w:t>
      </w:r>
    </w:p>
    <w:p>
      <w:pPr>
        <w:pStyle w:val="BodyText"/>
        <w:spacing w:before="8"/>
        <w:ind w:left="0"/>
        <w:rPr>
          <w:sz w:val="15"/>
        </w:rPr>
      </w:pPr>
    </w:p>
    <w:p>
      <w:pPr>
        <w:pStyle w:val="Heading3"/>
        <w:ind w:left="237" w:firstLine="0"/>
      </w:pPr>
      <w:r>
        <w:rPr>
          <w:w w:val="95"/>
        </w:rPr>
        <w:t>您拥有的重要权益</w:t>
      </w:r>
    </w:p>
    <w:p>
      <w:pPr>
        <w:tabs>
          <w:tab w:pos="10090" w:val="right" w:leader="dot"/>
        </w:tabs>
        <w:spacing w:before="51"/>
        <w:ind w:left="237" w:right="0" w:firstLine="0"/>
        <w:jc w:val="left"/>
        <w:rPr>
          <w:sz w:val="20"/>
        </w:rPr>
      </w:pPr>
      <w:r>
        <w:rPr>
          <w:sz w:val="20"/>
        </w:rPr>
        <w:t>本附加合同提供的保障在保险责任条款中列明</w:t>
        <w:tab/>
        <w:t>2.3</w:t>
      </w:r>
    </w:p>
    <w:p>
      <w:pPr>
        <w:tabs>
          <w:tab w:pos="10089" w:val="right" w:leader="dot"/>
        </w:tabs>
        <w:spacing w:before="35"/>
        <w:ind w:left="237" w:right="0" w:firstLine="0"/>
        <w:jc w:val="left"/>
        <w:rPr>
          <w:sz w:val="20"/>
        </w:rPr>
      </w:pPr>
      <w:r>
        <w:rPr>
          <w:sz w:val="20"/>
        </w:rPr>
        <w:t>您有退保的权利</w:t>
        <w:tab/>
        <w:t>6.1</w:t>
      </w:r>
    </w:p>
    <w:p>
      <w:pPr>
        <w:pStyle w:val="Heading3"/>
        <w:spacing w:before="290"/>
        <w:ind w:left="237" w:firstLine="0"/>
      </w:pPr>
      <w:r>
        <w:rPr>
          <w:w w:val="95"/>
        </w:rPr>
        <w:t>您应当特别注意的事项</w:t>
      </w:r>
    </w:p>
    <w:p>
      <w:pPr>
        <w:tabs>
          <w:tab w:pos="10090" w:val="right" w:leader="dot"/>
        </w:tabs>
        <w:spacing w:before="51"/>
        <w:ind w:left="237" w:right="0" w:firstLine="0"/>
        <w:jc w:val="left"/>
        <w:rPr>
          <w:sz w:val="20"/>
        </w:rPr>
      </w:pPr>
      <w:r>
        <w:rPr>
          <w:sz w:val="20"/>
        </w:rPr>
        <w:t>在某些情况下，我们不承担保险责任</w:t>
        <w:tab/>
        <w:t>2.4</w:t>
      </w:r>
    </w:p>
    <w:p>
      <w:pPr>
        <w:tabs>
          <w:tab w:pos="10089" w:val="right" w:leader="dot"/>
        </w:tabs>
        <w:spacing w:before="35"/>
        <w:ind w:left="237" w:right="0" w:firstLine="0"/>
        <w:jc w:val="left"/>
        <w:rPr>
          <w:sz w:val="20"/>
        </w:rPr>
      </w:pPr>
      <w:r>
        <w:rPr>
          <w:sz w:val="20"/>
        </w:rPr>
        <w:t>您应当按时支付保险费</w:t>
        <w:tab/>
        <w:t>3.1</w:t>
      </w:r>
    </w:p>
    <w:p>
      <w:pPr>
        <w:tabs>
          <w:tab w:pos="10089" w:val="right" w:leader="dot"/>
        </w:tabs>
        <w:spacing w:before="33"/>
        <w:ind w:left="237" w:right="0" w:firstLine="0"/>
        <w:jc w:val="left"/>
        <w:rPr>
          <w:sz w:val="20"/>
        </w:rPr>
      </w:pPr>
      <w:r>
        <w:rPr>
          <w:sz w:val="20"/>
        </w:rPr>
        <w:t>保险事故发生后请您及时通知我们</w:t>
        <w:tab/>
        <w:t>4.2</w:t>
      </w:r>
    </w:p>
    <w:p>
      <w:pPr>
        <w:tabs>
          <w:tab w:pos="10089" w:val="right" w:leader="dot"/>
        </w:tabs>
        <w:spacing w:before="35"/>
        <w:ind w:left="237" w:right="0" w:firstLine="0"/>
        <w:jc w:val="left"/>
        <w:rPr>
          <w:sz w:val="20"/>
        </w:rPr>
      </w:pPr>
      <w:r>
        <w:rPr>
          <w:sz w:val="20"/>
        </w:rPr>
        <w:t>退保会给您造成一定的损失，请您慎重决策</w:t>
        <w:tab/>
        <w:t>6.1</w:t>
      </w:r>
    </w:p>
    <w:p>
      <w:pPr>
        <w:tabs>
          <w:tab w:pos="10090" w:val="right" w:leader="dot"/>
        </w:tabs>
        <w:spacing w:before="32"/>
        <w:ind w:left="237" w:right="0" w:firstLine="0"/>
        <w:jc w:val="left"/>
        <w:rPr>
          <w:sz w:val="20"/>
        </w:rPr>
      </w:pPr>
      <w:r>
        <w:rPr>
          <w:sz w:val="20"/>
        </w:rPr>
        <w:t>主合同中部分条款适用于本附加合同，请您仔细阅读</w:t>
        <w:tab/>
        <w:t>8</w:t>
      </w:r>
    </w:p>
    <w:p>
      <w:pPr>
        <w:spacing w:before="34"/>
        <w:ind w:left="464" w:right="342" w:firstLine="0"/>
        <w:jc w:val="center"/>
        <w:rPr>
          <w:sz w:val="20"/>
        </w:rPr>
      </w:pPr>
      <w:r>
        <w:rPr>
          <w:w w:val="95"/>
          <w:sz w:val="20"/>
        </w:rPr>
        <w:t>我们对一些重要术语进行了解释，并作了显著标识，请您注意</w:t>
      </w:r>
      <w:r>
        <w:rPr>
          <w:rFonts w:ascii="Times New Roman" w:eastAsia="Times New Roman"/>
          <w:w w:val="95"/>
          <w:sz w:val="20"/>
        </w:rPr>
        <w:t>.......................................................................</w:t>
      </w:r>
      <w:r>
        <w:rPr>
          <w:w w:val="95"/>
          <w:sz w:val="20"/>
        </w:rPr>
        <w:t>9、10、11</w:t>
      </w:r>
    </w:p>
    <w:p>
      <w:pPr>
        <w:pStyle w:val="Heading3"/>
        <w:spacing w:line="453" w:lineRule="auto" w:before="605"/>
        <w:ind w:left="1327" w:right="1168" w:firstLine="0"/>
        <w:jc w:val="center"/>
      </w:pPr>
      <w:r>
        <w:rPr>
          <w:w w:val="95"/>
        </w:rPr>
        <w:t>条款是保险合同的重要内容，为充分保障您的权益，请您仔细阅读本条款  </w:t>
      </w:r>
      <w:r>
        <w:rPr/>
        <w:t>条款目录</w:t>
      </w:r>
    </w:p>
    <w:p>
      <w:pPr>
        <w:spacing w:after="0" w:line="453" w:lineRule="auto"/>
        <w:jc w:val="center"/>
        <w:sectPr>
          <w:type w:val="continuous"/>
          <w:pgSz w:w="11910" w:h="16840"/>
          <w:pgMar w:top="280" w:bottom="280" w:left="840" w:right="860"/>
        </w:sectPr>
      </w:pPr>
    </w:p>
    <w:p>
      <w:pPr>
        <w:pStyle w:val="ListParagraph"/>
        <w:numPr>
          <w:ilvl w:val="0"/>
          <w:numId w:val="1"/>
        </w:numPr>
        <w:tabs>
          <w:tab w:pos="515" w:val="left" w:leader="none"/>
        </w:tabs>
        <w:spacing w:line="240" w:lineRule="auto" w:before="95" w:after="0"/>
        <w:ind w:left="514" w:right="0" w:hanging="361"/>
        <w:jc w:val="left"/>
        <w:rPr>
          <w:b/>
          <w:sz w:val="20"/>
        </w:rPr>
      </w:pPr>
      <w:r>
        <w:rPr>
          <w:b/>
          <w:w w:val="95"/>
          <w:sz w:val="20"/>
        </w:rPr>
        <w:t>您与我们订立的合同</w:t>
      </w:r>
    </w:p>
    <w:p>
      <w:pPr>
        <w:pStyle w:val="ListParagraph"/>
        <w:numPr>
          <w:ilvl w:val="1"/>
          <w:numId w:val="1"/>
        </w:numPr>
        <w:tabs>
          <w:tab w:pos="575" w:val="left" w:leader="none"/>
        </w:tabs>
        <w:spacing w:line="240" w:lineRule="auto" w:before="50" w:after="0"/>
        <w:ind w:left="574" w:right="0" w:hanging="421"/>
        <w:jc w:val="left"/>
        <w:rPr>
          <w:sz w:val="20"/>
        </w:rPr>
      </w:pPr>
      <w:r>
        <w:rPr>
          <w:w w:val="95"/>
          <w:sz w:val="20"/>
        </w:rPr>
        <w:t>合同构成</w:t>
      </w:r>
    </w:p>
    <w:p>
      <w:pPr>
        <w:pStyle w:val="ListParagraph"/>
        <w:numPr>
          <w:ilvl w:val="1"/>
          <w:numId w:val="1"/>
        </w:numPr>
        <w:tabs>
          <w:tab w:pos="575" w:val="left" w:leader="none"/>
        </w:tabs>
        <w:spacing w:line="240" w:lineRule="auto" w:before="50" w:after="0"/>
        <w:ind w:left="574" w:right="0" w:hanging="421"/>
        <w:jc w:val="left"/>
        <w:rPr>
          <w:sz w:val="20"/>
        </w:rPr>
      </w:pPr>
      <w:r>
        <w:rPr>
          <w:w w:val="95"/>
          <w:sz w:val="20"/>
        </w:rPr>
        <w:t>合同生效</w:t>
      </w:r>
    </w:p>
    <w:p>
      <w:pPr>
        <w:pStyle w:val="ListParagraph"/>
        <w:numPr>
          <w:ilvl w:val="1"/>
          <w:numId w:val="2"/>
        </w:numPr>
        <w:tabs>
          <w:tab w:pos="575" w:val="left" w:leader="none"/>
        </w:tabs>
        <w:spacing w:line="240" w:lineRule="auto" w:before="95" w:after="0"/>
        <w:ind w:left="574" w:right="0" w:hanging="421"/>
        <w:jc w:val="left"/>
        <w:rPr>
          <w:sz w:val="20"/>
        </w:rPr>
      </w:pPr>
      <w:r>
        <w:rPr>
          <w:w w:val="99"/>
          <w:sz w:val="20"/>
        </w:rPr>
        <w:br w:type="column"/>
      </w:r>
      <w:r>
        <w:rPr>
          <w:w w:val="95"/>
          <w:sz w:val="20"/>
        </w:rPr>
        <w:t>保险金给付</w:t>
      </w:r>
    </w:p>
    <w:p>
      <w:pPr>
        <w:pStyle w:val="ListParagraph"/>
        <w:numPr>
          <w:ilvl w:val="1"/>
          <w:numId w:val="2"/>
        </w:numPr>
        <w:tabs>
          <w:tab w:pos="575" w:val="left" w:leader="none"/>
        </w:tabs>
        <w:spacing w:line="240" w:lineRule="auto" w:before="50" w:after="0"/>
        <w:ind w:left="574" w:right="0" w:hanging="421"/>
        <w:jc w:val="left"/>
        <w:rPr>
          <w:sz w:val="20"/>
        </w:rPr>
      </w:pPr>
      <w:r>
        <w:rPr>
          <w:w w:val="95"/>
          <w:sz w:val="20"/>
        </w:rPr>
        <w:t>诉讼时效</w:t>
      </w:r>
    </w:p>
    <w:p>
      <w:pPr>
        <w:pStyle w:val="ListParagraph"/>
        <w:numPr>
          <w:ilvl w:val="0"/>
          <w:numId w:val="3"/>
        </w:numPr>
        <w:tabs>
          <w:tab w:pos="514" w:val="left" w:leader="none"/>
        </w:tabs>
        <w:spacing w:line="240" w:lineRule="auto" w:before="95" w:after="0"/>
        <w:ind w:left="514" w:right="0" w:hanging="361"/>
        <w:jc w:val="left"/>
        <w:rPr>
          <w:b/>
          <w:sz w:val="20"/>
        </w:rPr>
      </w:pPr>
      <w:r>
        <w:rPr>
          <w:b/>
          <w:spacing w:val="1"/>
          <w:w w:val="99"/>
          <w:sz w:val="20"/>
        </w:rPr>
        <w:br w:type="column"/>
      </w:r>
      <w:r>
        <w:rPr>
          <w:b/>
          <w:sz w:val="20"/>
        </w:rPr>
        <w:t>重大疾病定义</w:t>
      </w:r>
    </w:p>
    <w:p>
      <w:pPr>
        <w:pStyle w:val="BodyText"/>
        <w:spacing w:before="8"/>
        <w:ind w:left="0"/>
        <w:rPr>
          <w:b/>
          <w:sz w:val="27"/>
        </w:rPr>
      </w:pPr>
    </w:p>
    <w:p>
      <w:pPr>
        <w:pStyle w:val="ListParagraph"/>
        <w:numPr>
          <w:ilvl w:val="0"/>
          <w:numId w:val="3"/>
        </w:numPr>
        <w:tabs>
          <w:tab w:pos="514" w:val="left" w:leader="none"/>
        </w:tabs>
        <w:spacing w:line="240" w:lineRule="auto" w:before="1" w:after="0"/>
        <w:ind w:left="514" w:right="0" w:hanging="361"/>
        <w:jc w:val="left"/>
        <w:rPr>
          <w:b/>
          <w:sz w:val="20"/>
        </w:rPr>
      </w:pPr>
      <w:r>
        <w:rPr>
          <w:b/>
          <w:sz w:val="20"/>
        </w:rPr>
        <w:t>术语释义</w:t>
      </w:r>
    </w:p>
    <w:p>
      <w:pPr>
        <w:spacing w:before="95"/>
        <w:ind w:left="720" w:right="0" w:firstLine="0"/>
        <w:jc w:val="left"/>
        <w:rPr>
          <w:sz w:val="20"/>
        </w:rPr>
      </w:pPr>
      <w:r>
        <w:rPr/>
        <w:br w:type="column"/>
      </w:r>
      <w:r>
        <w:rPr>
          <w:w w:val="95"/>
          <w:sz w:val="20"/>
        </w:rPr>
        <w:t>咽能力完全丧失</w:t>
      </w:r>
    </w:p>
    <w:p>
      <w:pPr>
        <w:spacing w:line="285" w:lineRule="auto" w:before="50"/>
        <w:ind w:left="720" w:right="67" w:hanging="567"/>
        <w:jc w:val="left"/>
        <w:rPr>
          <w:sz w:val="20"/>
        </w:rPr>
      </w:pPr>
      <w:r>
        <w:rPr>
          <w:sz w:val="20"/>
        </w:rPr>
        <w:t>11.13 六项基本日常生活</w:t>
      </w:r>
      <w:r>
        <w:rPr>
          <w:w w:val="95"/>
          <w:sz w:val="20"/>
        </w:rPr>
        <w:t>活动</w:t>
      </w:r>
    </w:p>
    <w:p>
      <w:pPr>
        <w:spacing w:after="0" w:line="285" w:lineRule="auto"/>
        <w:jc w:val="left"/>
        <w:rPr>
          <w:sz w:val="20"/>
        </w:rPr>
        <w:sectPr>
          <w:type w:val="continuous"/>
          <w:pgSz w:w="11910" w:h="16840"/>
          <w:pgMar w:top="280" w:bottom="280" w:left="840" w:right="860"/>
          <w:cols w:num="4" w:equalWidth="0">
            <w:col w:w="2321" w:space="267"/>
            <w:col w:w="1573" w:space="1015"/>
            <w:col w:w="1722" w:space="865"/>
            <w:col w:w="2447"/>
          </w:cols>
        </w:sectPr>
      </w:pPr>
    </w:p>
    <w:p>
      <w:pPr>
        <w:pStyle w:val="BodyText"/>
        <w:spacing w:before="9"/>
        <w:ind w:left="0"/>
        <w:rPr>
          <w:sz w:val="5"/>
        </w:r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81"/>
        <w:gridCol w:w="1871"/>
        <w:gridCol w:w="717"/>
        <w:gridCol w:w="1972"/>
        <w:gridCol w:w="818"/>
        <w:gridCol w:w="1912"/>
        <w:gridCol w:w="1758"/>
      </w:tblGrid>
      <w:tr>
        <w:trPr>
          <w:trHeight w:val="255" w:hRule="atLeast"/>
        </w:trPr>
        <w:tc>
          <w:tcPr>
            <w:tcW w:w="2252" w:type="dxa"/>
            <w:gridSpan w:val="2"/>
          </w:tcPr>
          <w:p>
            <w:pPr>
              <w:pStyle w:val="TableParagraph"/>
              <w:spacing w:line="240" w:lineRule="auto"/>
              <w:rPr>
                <w:rFonts w:ascii="Times New Roman"/>
                <w:sz w:val="18"/>
              </w:rPr>
            </w:pPr>
          </w:p>
        </w:tc>
        <w:tc>
          <w:tcPr>
            <w:tcW w:w="717" w:type="dxa"/>
          </w:tcPr>
          <w:p>
            <w:pPr>
              <w:pStyle w:val="TableParagraph"/>
              <w:spacing w:line="199" w:lineRule="exact"/>
              <w:ind w:left="385"/>
              <w:rPr>
                <w:b/>
                <w:sz w:val="20"/>
              </w:rPr>
            </w:pPr>
            <w:r>
              <w:rPr>
                <w:b/>
                <w:sz w:val="20"/>
              </w:rPr>
              <w:t>5.</w:t>
            </w:r>
          </w:p>
        </w:tc>
        <w:tc>
          <w:tcPr>
            <w:tcW w:w="1972" w:type="dxa"/>
          </w:tcPr>
          <w:p>
            <w:pPr>
              <w:pStyle w:val="TableParagraph"/>
              <w:spacing w:line="199" w:lineRule="exact"/>
              <w:ind w:left="29"/>
              <w:rPr>
                <w:b/>
                <w:sz w:val="20"/>
              </w:rPr>
            </w:pPr>
            <w:r>
              <w:rPr>
                <w:b/>
                <w:w w:val="95"/>
                <w:sz w:val="20"/>
              </w:rPr>
              <w:t>合同效力的中止及</w:t>
            </w:r>
          </w:p>
        </w:tc>
        <w:tc>
          <w:tcPr>
            <w:tcW w:w="818" w:type="dxa"/>
          </w:tcPr>
          <w:p>
            <w:pPr>
              <w:pStyle w:val="TableParagraph"/>
              <w:spacing w:line="199" w:lineRule="exact"/>
              <w:ind w:left="284"/>
              <w:rPr>
                <w:sz w:val="20"/>
              </w:rPr>
            </w:pPr>
            <w:r>
              <w:rPr>
                <w:sz w:val="20"/>
              </w:rPr>
              <w:t>11.1</w:t>
            </w:r>
          </w:p>
        </w:tc>
        <w:tc>
          <w:tcPr>
            <w:tcW w:w="1912" w:type="dxa"/>
          </w:tcPr>
          <w:p>
            <w:pPr>
              <w:pStyle w:val="TableParagraph"/>
              <w:spacing w:line="199" w:lineRule="exact"/>
              <w:ind w:left="33"/>
              <w:rPr>
                <w:sz w:val="20"/>
              </w:rPr>
            </w:pPr>
            <w:r>
              <w:rPr>
                <w:w w:val="95"/>
                <w:sz w:val="20"/>
              </w:rPr>
              <w:t>初次发生</w:t>
            </w:r>
          </w:p>
        </w:tc>
        <w:tc>
          <w:tcPr>
            <w:tcW w:w="1758" w:type="dxa"/>
          </w:tcPr>
          <w:p>
            <w:pPr>
              <w:pStyle w:val="TableParagraph"/>
              <w:spacing w:line="199" w:lineRule="exact"/>
              <w:ind w:left="141"/>
              <w:rPr>
                <w:sz w:val="20"/>
              </w:rPr>
            </w:pPr>
            <w:r>
              <w:rPr>
                <w:sz w:val="20"/>
              </w:rPr>
              <w:t>11.14 永久不可逆</w:t>
            </w:r>
          </w:p>
        </w:tc>
      </w:tr>
      <w:tr>
        <w:trPr>
          <w:trHeight w:val="312" w:hRule="atLeast"/>
        </w:trPr>
        <w:tc>
          <w:tcPr>
            <w:tcW w:w="381" w:type="dxa"/>
          </w:tcPr>
          <w:p>
            <w:pPr>
              <w:pStyle w:val="TableParagraph"/>
              <w:ind w:left="50"/>
              <w:rPr>
                <w:b/>
                <w:sz w:val="20"/>
              </w:rPr>
            </w:pPr>
            <w:r>
              <w:rPr>
                <w:b/>
                <w:sz w:val="20"/>
              </w:rPr>
              <w:t>2.</w:t>
            </w:r>
          </w:p>
        </w:tc>
        <w:tc>
          <w:tcPr>
            <w:tcW w:w="1871" w:type="dxa"/>
          </w:tcPr>
          <w:p>
            <w:pPr>
              <w:pStyle w:val="TableParagraph"/>
              <w:ind w:left="29"/>
              <w:rPr>
                <w:b/>
                <w:sz w:val="20"/>
              </w:rPr>
            </w:pPr>
            <w:r>
              <w:rPr>
                <w:b/>
                <w:w w:val="95"/>
                <w:sz w:val="20"/>
              </w:rPr>
              <w:t>我们提供的保障</w:t>
            </w:r>
          </w:p>
        </w:tc>
        <w:tc>
          <w:tcPr>
            <w:tcW w:w="717" w:type="dxa"/>
          </w:tcPr>
          <w:p>
            <w:pPr>
              <w:pStyle w:val="TableParagraph"/>
              <w:spacing w:line="240" w:lineRule="auto"/>
              <w:rPr>
                <w:rFonts w:ascii="Times New Roman"/>
                <w:sz w:val="20"/>
              </w:rPr>
            </w:pPr>
          </w:p>
        </w:tc>
        <w:tc>
          <w:tcPr>
            <w:tcW w:w="1972" w:type="dxa"/>
          </w:tcPr>
          <w:p>
            <w:pPr>
              <w:pStyle w:val="TableParagraph"/>
              <w:ind w:left="29"/>
              <w:rPr>
                <w:b/>
                <w:sz w:val="20"/>
              </w:rPr>
            </w:pPr>
            <w:r>
              <w:rPr>
                <w:b/>
                <w:sz w:val="20"/>
              </w:rPr>
              <w:t>恢复</w:t>
            </w:r>
          </w:p>
        </w:tc>
        <w:tc>
          <w:tcPr>
            <w:tcW w:w="818" w:type="dxa"/>
          </w:tcPr>
          <w:p>
            <w:pPr>
              <w:pStyle w:val="TableParagraph"/>
              <w:ind w:left="284"/>
              <w:rPr>
                <w:sz w:val="20"/>
              </w:rPr>
            </w:pPr>
            <w:r>
              <w:rPr>
                <w:sz w:val="20"/>
              </w:rPr>
              <w:t>11.2</w:t>
            </w:r>
          </w:p>
        </w:tc>
        <w:tc>
          <w:tcPr>
            <w:tcW w:w="1912" w:type="dxa"/>
          </w:tcPr>
          <w:p>
            <w:pPr>
              <w:pStyle w:val="TableParagraph"/>
              <w:ind w:left="33"/>
              <w:rPr>
                <w:sz w:val="20"/>
              </w:rPr>
            </w:pPr>
            <w:r>
              <w:rPr>
                <w:w w:val="95"/>
                <w:sz w:val="20"/>
              </w:rPr>
              <w:t>本公司指定或认可</w:t>
            </w:r>
          </w:p>
        </w:tc>
        <w:tc>
          <w:tcPr>
            <w:tcW w:w="1758" w:type="dxa"/>
          </w:tcPr>
          <w:p>
            <w:pPr>
              <w:pStyle w:val="TableParagraph"/>
              <w:ind w:left="141"/>
              <w:rPr>
                <w:sz w:val="20"/>
              </w:rPr>
            </w:pPr>
            <w:r>
              <w:rPr>
                <w:sz w:val="20"/>
              </w:rPr>
              <w:t>11.15 专科医生</w:t>
            </w:r>
          </w:p>
        </w:tc>
      </w:tr>
      <w:tr>
        <w:trPr>
          <w:trHeight w:val="312" w:hRule="atLeast"/>
        </w:trPr>
        <w:tc>
          <w:tcPr>
            <w:tcW w:w="381" w:type="dxa"/>
          </w:tcPr>
          <w:p>
            <w:pPr>
              <w:pStyle w:val="TableParagraph"/>
              <w:ind w:left="50"/>
              <w:rPr>
                <w:sz w:val="20"/>
              </w:rPr>
            </w:pPr>
            <w:r>
              <w:rPr>
                <w:sz w:val="20"/>
              </w:rPr>
              <w:t>2.1</w:t>
            </w:r>
          </w:p>
        </w:tc>
        <w:tc>
          <w:tcPr>
            <w:tcW w:w="1871" w:type="dxa"/>
          </w:tcPr>
          <w:p>
            <w:pPr>
              <w:pStyle w:val="TableParagraph"/>
              <w:ind w:left="89"/>
              <w:rPr>
                <w:sz w:val="20"/>
              </w:rPr>
            </w:pPr>
            <w:r>
              <w:rPr>
                <w:w w:val="95"/>
                <w:sz w:val="20"/>
              </w:rPr>
              <w:t>基本保险金额</w:t>
            </w:r>
          </w:p>
        </w:tc>
        <w:tc>
          <w:tcPr>
            <w:tcW w:w="717" w:type="dxa"/>
          </w:tcPr>
          <w:p>
            <w:pPr>
              <w:pStyle w:val="TableParagraph"/>
              <w:ind w:left="385"/>
              <w:rPr>
                <w:sz w:val="20"/>
              </w:rPr>
            </w:pPr>
            <w:r>
              <w:rPr>
                <w:sz w:val="20"/>
              </w:rPr>
              <w:t>5.1</w:t>
            </w:r>
          </w:p>
        </w:tc>
        <w:tc>
          <w:tcPr>
            <w:tcW w:w="1972" w:type="dxa"/>
          </w:tcPr>
          <w:p>
            <w:pPr>
              <w:pStyle w:val="TableParagraph"/>
              <w:ind w:left="89"/>
              <w:rPr>
                <w:sz w:val="20"/>
              </w:rPr>
            </w:pPr>
            <w:r>
              <w:rPr>
                <w:w w:val="95"/>
                <w:sz w:val="20"/>
              </w:rPr>
              <w:t>效力中止</w:t>
            </w:r>
          </w:p>
        </w:tc>
        <w:tc>
          <w:tcPr>
            <w:tcW w:w="818" w:type="dxa"/>
          </w:tcPr>
          <w:p>
            <w:pPr>
              <w:pStyle w:val="TableParagraph"/>
              <w:spacing w:line="240" w:lineRule="auto"/>
              <w:rPr>
                <w:rFonts w:ascii="Times New Roman"/>
                <w:sz w:val="20"/>
              </w:rPr>
            </w:pPr>
          </w:p>
        </w:tc>
        <w:tc>
          <w:tcPr>
            <w:tcW w:w="1912" w:type="dxa"/>
          </w:tcPr>
          <w:p>
            <w:pPr>
              <w:pStyle w:val="TableParagraph"/>
              <w:ind w:left="33"/>
              <w:rPr>
                <w:sz w:val="20"/>
              </w:rPr>
            </w:pPr>
            <w:r>
              <w:rPr>
                <w:w w:val="95"/>
                <w:sz w:val="20"/>
              </w:rPr>
              <w:t>的医疗机构</w:t>
            </w:r>
          </w:p>
        </w:tc>
        <w:tc>
          <w:tcPr>
            <w:tcW w:w="1758" w:type="dxa"/>
          </w:tcPr>
          <w:p>
            <w:pPr>
              <w:pStyle w:val="TableParagraph"/>
              <w:spacing w:line="240" w:lineRule="auto"/>
              <w:rPr>
                <w:rFonts w:ascii="Times New Roman"/>
                <w:sz w:val="20"/>
              </w:rPr>
            </w:pPr>
          </w:p>
        </w:tc>
      </w:tr>
      <w:tr>
        <w:trPr>
          <w:trHeight w:val="312" w:hRule="atLeast"/>
        </w:trPr>
        <w:tc>
          <w:tcPr>
            <w:tcW w:w="381" w:type="dxa"/>
          </w:tcPr>
          <w:p>
            <w:pPr>
              <w:pStyle w:val="TableParagraph"/>
              <w:ind w:left="50"/>
              <w:rPr>
                <w:sz w:val="20"/>
              </w:rPr>
            </w:pPr>
            <w:r>
              <w:rPr>
                <w:sz w:val="20"/>
              </w:rPr>
              <w:t>2.2</w:t>
            </w:r>
          </w:p>
        </w:tc>
        <w:tc>
          <w:tcPr>
            <w:tcW w:w="1871" w:type="dxa"/>
          </w:tcPr>
          <w:p>
            <w:pPr>
              <w:pStyle w:val="TableParagraph"/>
              <w:ind w:left="89"/>
              <w:rPr>
                <w:sz w:val="20"/>
              </w:rPr>
            </w:pPr>
            <w:r>
              <w:rPr>
                <w:w w:val="95"/>
                <w:sz w:val="20"/>
              </w:rPr>
              <w:t>保险期间</w:t>
            </w:r>
          </w:p>
        </w:tc>
        <w:tc>
          <w:tcPr>
            <w:tcW w:w="717" w:type="dxa"/>
          </w:tcPr>
          <w:p>
            <w:pPr>
              <w:pStyle w:val="TableParagraph"/>
              <w:ind w:left="385"/>
              <w:rPr>
                <w:sz w:val="20"/>
              </w:rPr>
            </w:pPr>
            <w:r>
              <w:rPr>
                <w:sz w:val="20"/>
              </w:rPr>
              <w:t>5.2</w:t>
            </w:r>
          </w:p>
        </w:tc>
        <w:tc>
          <w:tcPr>
            <w:tcW w:w="1972" w:type="dxa"/>
          </w:tcPr>
          <w:p>
            <w:pPr>
              <w:pStyle w:val="TableParagraph"/>
              <w:ind w:left="89"/>
              <w:rPr>
                <w:sz w:val="20"/>
              </w:rPr>
            </w:pPr>
            <w:r>
              <w:rPr>
                <w:w w:val="95"/>
                <w:sz w:val="20"/>
              </w:rPr>
              <w:t>效力恢复</w:t>
            </w:r>
          </w:p>
        </w:tc>
        <w:tc>
          <w:tcPr>
            <w:tcW w:w="818" w:type="dxa"/>
          </w:tcPr>
          <w:p>
            <w:pPr>
              <w:pStyle w:val="TableParagraph"/>
              <w:ind w:left="284"/>
              <w:rPr>
                <w:sz w:val="20"/>
              </w:rPr>
            </w:pPr>
            <w:r>
              <w:rPr>
                <w:sz w:val="20"/>
              </w:rPr>
              <w:t>11.3</w:t>
            </w:r>
          </w:p>
        </w:tc>
        <w:tc>
          <w:tcPr>
            <w:tcW w:w="1912" w:type="dxa"/>
          </w:tcPr>
          <w:p>
            <w:pPr>
              <w:pStyle w:val="TableParagraph"/>
              <w:ind w:left="33"/>
              <w:rPr>
                <w:sz w:val="20"/>
              </w:rPr>
            </w:pPr>
            <w:r>
              <w:rPr>
                <w:w w:val="95"/>
                <w:sz w:val="20"/>
              </w:rPr>
              <w:t>意外伤害</w:t>
            </w:r>
          </w:p>
        </w:tc>
        <w:tc>
          <w:tcPr>
            <w:tcW w:w="1758" w:type="dxa"/>
          </w:tcPr>
          <w:p>
            <w:pPr>
              <w:pStyle w:val="TableParagraph"/>
              <w:spacing w:line="240" w:lineRule="auto"/>
              <w:rPr>
                <w:rFonts w:ascii="Times New Roman"/>
                <w:sz w:val="20"/>
              </w:rPr>
            </w:pPr>
          </w:p>
        </w:tc>
      </w:tr>
      <w:tr>
        <w:trPr>
          <w:trHeight w:val="312" w:hRule="atLeast"/>
        </w:trPr>
        <w:tc>
          <w:tcPr>
            <w:tcW w:w="381" w:type="dxa"/>
          </w:tcPr>
          <w:p>
            <w:pPr>
              <w:pStyle w:val="TableParagraph"/>
              <w:ind w:left="50"/>
              <w:rPr>
                <w:sz w:val="20"/>
              </w:rPr>
            </w:pPr>
            <w:r>
              <w:rPr>
                <w:sz w:val="20"/>
              </w:rPr>
              <w:t>2.3</w:t>
            </w:r>
          </w:p>
        </w:tc>
        <w:tc>
          <w:tcPr>
            <w:tcW w:w="1871" w:type="dxa"/>
          </w:tcPr>
          <w:p>
            <w:pPr>
              <w:pStyle w:val="TableParagraph"/>
              <w:ind w:left="89"/>
              <w:rPr>
                <w:sz w:val="20"/>
              </w:rPr>
            </w:pPr>
            <w:r>
              <w:rPr>
                <w:w w:val="95"/>
                <w:sz w:val="20"/>
              </w:rPr>
              <w:t>保险责任</w:t>
            </w:r>
          </w:p>
        </w:tc>
        <w:tc>
          <w:tcPr>
            <w:tcW w:w="717" w:type="dxa"/>
          </w:tcPr>
          <w:p>
            <w:pPr>
              <w:pStyle w:val="TableParagraph"/>
              <w:spacing w:line="240" w:lineRule="auto"/>
              <w:rPr>
                <w:rFonts w:ascii="Times New Roman"/>
                <w:sz w:val="20"/>
              </w:rPr>
            </w:pPr>
          </w:p>
        </w:tc>
        <w:tc>
          <w:tcPr>
            <w:tcW w:w="1972" w:type="dxa"/>
          </w:tcPr>
          <w:p>
            <w:pPr>
              <w:pStyle w:val="TableParagraph"/>
              <w:spacing w:line="240" w:lineRule="auto"/>
              <w:rPr>
                <w:rFonts w:ascii="Times New Roman"/>
                <w:sz w:val="20"/>
              </w:rPr>
            </w:pPr>
          </w:p>
        </w:tc>
        <w:tc>
          <w:tcPr>
            <w:tcW w:w="818" w:type="dxa"/>
          </w:tcPr>
          <w:p>
            <w:pPr>
              <w:pStyle w:val="TableParagraph"/>
              <w:ind w:left="284"/>
              <w:rPr>
                <w:sz w:val="20"/>
              </w:rPr>
            </w:pPr>
            <w:r>
              <w:rPr>
                <w:sz w:val="20"/>
              </w:rPr>
              <w:t>11.4</w:t>
            </w:r>
          </w:p>
        </w:tc>
        <w:tc>
          <w:tcPr>
            <w:tcW w:w="1912" w:type="dxa"/>
          </w:tcPr>
          <w:p>
            <w:pPr>
              <w:pStyle w:val="TableParagraph"/>
              <w:ind w:left="33"/>
              <w:rPr>
                <w:sz w:val="20"/>
              </w:rPr>
            </w:pPr>
            <w:r>
              <w:rPr>
                <w:w w:val="95"/>
                <w:sz w:val="20"/>
              </w:rPr>
              <w:t>毒品</w:t>
            </w:r>
          </w:p>
        </w:tc>
        <w:tc>
          <w:tcPr>
            <w:tcW w:w="1758" w:type="dxa"/>
          </w:tcPr>
          <w:p>
            <w:pPr>
              <w:pStyle w:val="TableParagraph"/>
              <w:spacing w:line="240" w:lineRule="auto"/>
              <w:rPr>
                <w:rFonts w:ascii="Times New Roman"/>
                <w:sz w:val="20"/>
              </w:rPr>
            </w:pPr>
          </w:p>
        </w:tc>
      </w:tr>
      <w:tr>
        <w:trPr>
          <w:trHeight w:val="311" w:hRule="atLeast"/>
        </w:trPr>
        <w:tc>
          <w:tcPr>
            <w:tcW w:w="381" w:type="dxa"/>
          </w:tcPr>
          <w:p>
            <w:pPr>
              <w:pStyle w:val="TableParagraph"/>
              <w:ind w:left="50"/>
              <w:rPr>
                <w:sz w:val="20"/>
              </w:rPr>
            </w:pPr>
            <w:r>
              <w:rPr>
                <w:sz w:val="20"/>
              </w:rPr>
              <w:t>2.4</w:t>
            </w:r>
          </w:p>
        </w:tc>
        <w:tc>
          <w:tcPr>
            <w:tcW w:w="1871" w:type="dxa"/>
          </w:tcPr>
          <w:p>
            <w:pPr>
              <w:pStyle w:val="TableParagraph"/>
              <w:ind w:left="89"/>
              <w:rPr>
                <w:sz w:val="20"/>
              </w:rPr>
            </w:pPr>
            <w:r>
              <w:rPr>
                <w:w w:val="95"/>
                <w:sz w:val="20"/>
              </w:rPr>
              <w:t>责任免除</w:t>
            </w:r>
          </w:p>
        </w:tc>
        <w:tc>
          <w:tcPr>
            <w:tcW w:w="717" w:type="dxa"/>
          </w:tcPr>
          <w:p>
            <w:pPr>
              <w:pStyle w:val="TableParagraph"/>
              <w:ind w:left="385"/>
              <w:rPr>
                <w:b/>
                <w:sz w:val="20"/>
              </w:rPr>
            </w:pPr>
            <w:r>
              <w:rPr>
                <w:b/>
                <w:sz w:val="20"/>
              </w:rPr>
              <w:t>6.</w:t>
            </w:r>
          </w:p>
        </w:tc>
        <w:tc>
          <w:tcPr>
            <w:tcW w:w="1972" w:type="dxa"/>
          </w:tcPr>
          <w:p>
            <w:pPr>
              <w:pStyle w:val="TableParagraph"/>
              <w:ind w:left="29"/>
              <w:rPr>
                <w:b/>
                <w:sz w:val="20"/>
              </w:rPr>
            </w:pPr>
            <w:r>
              <w:rPr>
                <w:b/>
                <w:sz w:val="20"/>
              </w:rPr>
              <w:t>合同解除</w:t>
            </w:r>
          </w:p>
        </w:tc>
        <w:tc>
          <w:tcPr>
            <w:tcW w:w="818" w:type="dxa"/>
          </w:tcPr>
          <w:p>
            <w:pPr>
              <w:pStyle w:val="TableParagraph"/>
              <w:ind w:left="284"/>
              <w:rPr>
                <w:sz w:val="20"/>
              </w:rPr>
            </w:pPr>
            <w:r>
              <w:rPr>
                <w:sz w:val="20"/>
              </w:rPr>
              <w:t>11.5</w:t>
            </w:r>
          </w:p>
        </w:tc>
        <w:tc>
          <w:tcPr>
            <w:tcW w:w="1912" w:type="dxa"/>
          </w:tcPr>
          <w:p>
            <w:pPr>
              <w:pStyle w:val="TableParagraph"/>
              <w:ind w:left="33"/>
              <w:rPr>
                <w:sz w:val="20"/>
              </w:rPr>
            </w:pPr>
            <w:r>
              <w:rPr>
                <w:w w:val="95"/>
                <w:sz w:val="20"/>
              </w:rPr>
              <w:t>酒后驾驶</w:t>
            </w:r>
          </w:p>
        </w:tc>
        <w:tc>
          <w:tcPr>
            <w:tcW w:w="1758" w:type="dxa"/>
          </w:tcPr>
          <w:p>
            <w:pPr>
              <w:pStyle w:val="TableParagraph"/>
              <w:spacing w:line="240" w:lineRule="auto"/>
              <w:rPr>
                <w:rFonts w:ascii="Times New Roman"/>
                <w:sz w:val="20"/>
              </w:rPr>
            </w:pPr>
          </w:p>
        </w:tc>
      </w:tr>
      <w:tr>
        <w:trPr>
          <w:trHeight w:val="311" w:hRule="atLeast"/>
        </w:trPr>
        <w:tc>
          <w:tcPr>
            <w:tcW w:w="381" w:type="dxa"/>
          </w:tcPr>
          <w:p>
            <w:pPr>
              <w:pStyle w:val="TableParagraph"/>
              <w:spacing w:line="240" w:lineRule="auto"/>
              <w:rPr>
                <w:rFonts w:ascii="Times New Roman"/>
                <w:sz w:val="20"/>
              </w:rPr>
            </w:pPr>
          </w:p>
        </w:tc>
        <w:tc>
          <w:tcPr>
            <w:tcW w:w="1871" w:type="dxa"/>
          </w:tcPr>
          <w:p>
            <w:pPr>
              <w:pStyle w:val="TableParagraph"/>
              <w:spacing w:line="240" w:lineRule="auto"/>
              <w:rPr>
                <w:rFonts w:ascii="Times New Roman"/>
                <w:sz w:val="20"/>
              </w:rPr>
            </w:pPr>
          </w:p>
        </w:tc>
        <w:tc>
          <w:tcPr>
            <w:tcW w:w="717" w:type="dxa"/>
          </w:tcPr>
          <w:p>
            <w:pPr>
              <w:pStyle w:val="TableParagraph"/>
              <w:ind w:left="385"/>
              <w:rPr>
                <w:sz w:val="20"/>
              </w:rPr>
            </w:pPr>
            <w:r>
              <w:rPr>
                <w:sz w:val="20"/>
              </w:rPr>
              <w:t>6.1</w:t>
            </w:r>
          </w:p>
        </w:tc>
        <w:tc>
          <w:tcPr>
            <w:tcW w:w="1972" w:type="dxa"/>
          </w:tcPr>
          <w:p>
            <w:pPr>
              <w:pStyle w:val="TableParagraph"/>
              <w:ind w:left="89"/>
              <w:rPr>
                <w:sz w:val="20"/>
              </w:rPr>
            </w:pPr>
            <w:r>
              <w:rPr>
                <w:w w:val="95"/>
                <w:sz w:val="20"/>
              </w:rPr>
              <w:t>您解除合同的手续</w:t>
            </w:r>
          </w:p>
        </w:tc>
        <w:tc>
          <w:tcPr>
            <w:tcW w:w="818" w:type="dxa"/>
          </w:tcPr>
          <w:p>
            <w:pPr>
              <w:pStyle w:val="TableParagraph"/>
              <w:ind w:left="284"/>
              <w:rPr>
                <w:sz w:val="20"/>
              </w:rPr>
            </w:pPr>
            <w:r>
              <w:rPr>
                <w:sz w:val="20"/>
              </w:rPr>
              <w:t>11.6</w:t>
            </w:r>
          </w:p>
        </w:tc>
        <w:tc>
          <w:tcPr>
            <w:tcW w:w="1912" w:type="dxa"/>
          </w:tcPr>
          <w:p>
            <w:pPr>
              <w:pStyle w:val="TableParagraph"/>
              <w:ind w:left="33"/>
              <w:rPr>
                <w:sz w:val="20"/>
              </w:rPr>
            </w:pPr>
            <w:r>
              <w:rPr>
                <w:w w:val="95"/>
                <w:sz w:val="20"/>
              </w:rPr>
              <w:t>感染艾滋病病毒或</w:t>
            </w:r>
          </w:p>
        </w:tc>
        <w:tc>
          <w:tcPr>
            <w:tcW w:w="1758" w:type="dxa"/>
          </w:tcPr>
          <w:p>
            <w:pPr>
              <w:pStyle w:val="TableParagraph"/>
              <w:spacing w:line="240" w:lineRule="auto"/>
              <w:rPr>
                <w:rFonts w:ascii="Times New Roman"/>
                <w:sz w:val="20"/>
              </w:rPr>
            </w:pPr>
          </w:p>
        </w:tc>
      </w:tr>
      <w:tr>
        <w:trPr>
          <w:trHeight w:val="312" w:hRule="atLeast"/>
        </w:trPr>
        <w:tc>
          <w:tcPr>
            <w:tcW w:w="381" w:type="dxa"/>
          </w:tcPr>
          <w:p>
            <w:pPr>
              <w:pStyle w:val="TableParagraph"/>
              <w:ind w:left="50"/>
              <w:rPr>
                <w:b/>
                <w:sz w:val="20"/>
              </w:rPr>
            </w:pPr>
            <w:r>
              <w:rPr>
                <w:b/>
                <w:sz w:val="20"/>
              </w:rPr>
              <w:t>3.</w:t>
            </w:r>
          </w:p>
        </w:tc>
        <w:tc>
          <w:tcPr>
            <w:tcW w:w="1871" w:type="dxa"/>
          </w:tcPr>
          <w:p>
            <w:pPr>
              <w:pStyle w:val="TableParagraph"/>
              <w:ind w:left="29"/>
              <w:rPr>
                <w:b/>
                <w:sz w:val="20"/>
              </w:rPr>
            </w:pPr>
            <w:r>
              <w:rPr>
                <w:b/>
                <w:w w:val="95"/>
                <w:sz w:val="20"/>
              </w:rPr>
              <w:t>保险费的支付</w:t>
            </w:r>
          </w:p>
        </w:tc>
        <w:tc>
          <w:tcPr>
            <w:tcW w:w="717" w:type="dxa"/>
          </w:tcPr>
          <w:p>
            <w:pPr>
              <w:pStyle w:val="TableParagraph"/>
              <w:spacing w:line="240" w:lineRule="auto"/>
              <w:rPr>
                <w:rFonts w:ascii="Times New Roman"/>
                <w:sz w:val="20"/>
              </w:rPr>
            </w:pPr>
          </w:p>
        </w:tc>
        <w:tc>
          <w:tcPr>
            <w:tcW w:w="1972" w:type="dxa"/>
          </w:tcPr>
          <w:p>
            <w:pPr>
              <w:pStyle w:val="TableParagraph"/>
              <w:ind w:left="96"/>
              <w:rPr>
                <w:sz w:val="20"/>
              </w:rPr>
            </w:pPr>
            <w:r>
              <w:rPr>
                <w:w w:val="95"/>
                <w:sz w:val="20"/>
              </w:rPr>
              <w:t>及风险</w:t>
            </w:r>
          </w:p>
        </w:tc>
        <w:tc>
          <w:tcPr>
            <w:tcW w:w="818" w:type="dxa"/>
          </w:tcPr>
          <w:p>
            <w:pPr>
              <w:pStyle w:val="TableParagraph"/>
              <w:spacing w:line="240" w:lineRule="auto"/>
              <w:rPr>
                <w:rFonts w:ascii="Times New Roman"/>
                <w:sz w:val="20"/>
              </w:rPr>
            </w:pPr>
          </w:p>
        </w:tc>
        <w:tc>
          <w:tcPr>
            <w:tcW w:w="1912" w:type="dxa"/>
          </w:tcPr>
          <w:p>
            <w:pPr>
              <w:pStyle w:val="TableParagraph"/>
              <w:ind w:left="33"/>
              <w:rPr>
                <w:sz w:val="20"/>
              </w:rPr>
            </w:pPr>
            <w:r>
              <w:rPr>
                <w:w w:val="95"/>
                <w:sz w:val="20"/>
              </w:rPr>
              <w:t>患艾滋病</w:t>
            </w:r>
          </w:p>
        </w:tc>
        <w:tc>
          <w:tcPr>
            <w:tcW w:w="1758" w:type="dxa"/>
          </w:tcPr>
          <w:p>
            <w:pPr>
              <w:pStyle w:val="TableParagraph"/>
              <w:spacing w:line="240" w:lineRule="auto"/>
              <w:rPr>
                <w:rFonts w:ascii="Times New Roman"/>
                <w:sz w:val="20"/>
              </w:rPr>
            </w:pPr>
          </w:p>
        </w:tc>
      </w:tr>
      <w:tr>
        <w:trPr>
          <w:trHeight w:val="311" w:hRule="atLeast"/>
        </w:trPr>
        <w:tc>
          <w:tcPr>
            <w:tcW w:w="381" w:type="dxa"/>
          </w:tcPr>
          <w:p>
            <w:pPr>
              <w:pStyle w:val="TableParagraph"/>
              <w:ind w:left="50"/>
              <w:rPr>
                <w:sz w:val="20"/>
              </w:rPr>
            </w:pPr>
            <w:r>
              <w:rPr>
                <w:sz w:val="20"/>
              </w:rPr>
              <w:t>3.1</w:t>
            </w:r>
          </w:p>
        </w:tc>
        <w:tc>
          <w:tcPr>
            <w:tcW w:w="1871" w:type="dxa"/>
          </w:tcPr>
          <w:p>
            <w:pPr>
              <w:pStyle w:val="TableParagraph"/>
              <w:ind w:left="89"/>
              <w:rPr>
                <w:sz w:val="20"/>
              </w:rPr>
            </w:pPr>
            <w:r>
              <w:rPr>
                <w:w w:val="95"/>
                <w:sz w:val="20"/>
              </w:rPr>
              <w:t>保险费的支付</w:t>
            </w:r>
          </w:p>
        </w:tc>
        <w:tc>
          <w:tcPr>
            <w:tcW w:w="717" w:type="dxa"/>
          </w:tcPr>
          <w:p>
            <w:pPr>
              <w:pStyle w:val="TableParagraph"/>
              <w:spacing w:line="240" w:lineRule="auto"/>
              <w:rPr>
                <w:rFonts w:ascii="Times New Roman"/>
                <w:sz w:val="20"/>
              </w:rPr>
            </w:pPr>
          </w:p>
        </w:tc>
        <w:tc>
          <w:tcPr>
            <w:tcW w:w="1972" w:type="dxa"/>
          </w:tcPr>
          <w:p>
            <w:pPr>
              <w:pStyle w:val="TableParagraph"/>
              <w:spacing w:line="240" w:lineRule="auto"/>
              <w:rPr>
                <w:rFonts w:ascii="Times New Roman"/>
                <w:sz w:val="20"/>
              </w:rPr>
            </w:pPr>
          </w:p>
        </w:tc>
        <w:tc>
          <w:tcPr>
            <w:tcW w:w="818" w:type="dxa"/>
          </w:tcPr>
          <w:p>
            <w:pPr>
              <w:pStyle w:val="TableParagraph"/>
              <w:ind w:left="284"/>
              <w:rPr>
                <w:sz w:val="20"/>
              </w:rPr>
            </w:pPr>
            <w:r>
              <w:rPr>
                <w:sz w:val="20"/>
              </w:rPr>
              <w:t>11.7</w:t>
            </w:r>
          </w:p>
        </w:tc>
        <w:tc>
          <w:tcPr>
            <w:tcW w:w="1912" w:type="dxa"/>
          </w:tcPr>
          <w:p>
            <w:pPr>
              <w:pStyle w:val="TableParagraph"/>
              <w:ind w:left="33"/>
              <w:rPr>
                <w:sz w:val="20"/>
              </w:rPr>
            </w:pPr>
            <w:r>
              <w:rPr>
                <w:w w:val="95"/>
                <w:sz w:val="20"/>
              </w:rPr>
              <w:t>遗传性疾病</w:t>
            </w:r>
          </w:p>
        </w:tc>
        <w:tc>
          <w:tcPr>
            <w:tcW w:w="1758" w:type="dxa"/>
          </w:tcPr>
          <w:p>
            <w:pPr>
              <w:pStyle w:val="TableParagraph"/>
              <w:spacing w:line="240" w:lineRule="auto"/>
              <w:rPr>
                <w:rFonts w:ascii="Times New Roman"/>
                <w:sz w:val="20"/>
              </w:rPr>
            </w:pPr>
          </w:p>
        </w:tc>
      </w:tr>
      <w:tr>
        <w:trPr>
          <w:trHeight w:val="312" w:hRule="atLeast"/>
        </w:trPr>
        <w:tc>
          <w:tcPr>
            <w:tcW w:w="381" w:type="dxa"/>
          </w:tcPr>
          <w:p>
            <w:pPr>
              <w:pStyle w:val="TableParagraph"/>
              <w:ind w:left="50"/>
              <w:rPr>
                <w:sz w:val="20"/>
              </w:rPr>
            </w:pPr>
            <w:r>
              <w:rPr>
                <w:sz w:val="20"/>
              </w:rPr>
              <w:t>3.2</w:t>
            </w:r>
          </w:p>
        </w:tc>
        <w:tc>
          <w:tcPr>
            <w:tcW w:w="1871" w:type="dxa"/>
          </w:tcPr>
          <w:p>
            <w:pPr>
              <w:pStyle w:val="TableParagraph"/>
              <w:ind w:left="89"/>
              <w:rPr>
                <w:sz w:val="20"/>
              </w:rPr>
            </w:pPr>
            <w:r>
              <w:rPr>
                <w:w w:val="95"/>
                <w:sz w:val="20"/>
              </w:rPr>
              <w:t>保险费费率调整</w:t>
            </w:r>
          </w:p>
        </w:tc>
        <w:tc>
          <w:tcPr>
            <w:tcW w:w="717" w:type="dxa"/>
          </w:tcPr>
          <w:p>
            <w:pPr>
              <w:pStyle w:val="TableParagraph"/>
              <w:ind w:left="385"/>
              <w:rPr>
                <w:b/>
                <w:sz w:val="20"/>
              </w:rPr>
            </w:pPr>
            <w:r>
              <w:rPr>
                <w:b/>
                <w:sz w:val="20"/>
              </w:rPr>
              <w:t>7.</w:t>
            </w:r>
          </w:p>
        </w:tc>
        <w:tc>
          <w:tcPr>
            <w:tcW w:w="1972" w:type="dxa"/>
          </w:tcPr>
          <w:p>
            <w:pPr>
              <w:pStyle w:val="TableParagraph"/>
              <w:ind w:left="29"/>
              <w:rPr>
                <w:b/>
                <w:sz w:val="20"/>
              </w:rPr>
            </w:pPr>
            <w:r>
              <w:rPr>
                <w:b/>
                <w:w w:val="95"/>
                <w:sz w:val="20"/>
              </w:rPr>
              <w:t>合同效力终止</w:t>
            </w:r>
          </w:p>
        </w:tc>
        <w:tc>
          <w:tcPr>
            <w:tcW w:w="818" w:type="dxa"/>
          </w:tcPr>
          <w:p>
            <w:pPr>
              <w:pStyle w:val="TableParagraph"/>
              <w:ind w:left="284"/>
              <w:rPr>
                <w:sz w:val="20"/>
              </w:rPr>
            </w:pPr>
            <w:r>
              <w:rPr>
                <w:sz w:val="20"/>
              </w:rPr>
              <w:t>11.8</w:t>
            </w:r>
          </w:p>
        </w:tc>
        <w:tc>
          <w:tcPr>
            <w:tcW w:w="1912" w:type="dxa"/>
          </w:tcPr>
          <w:p>
            <w:pPr>
              <w:pStyle w:val="TableParagraph"/>
              <w:ind w:left="33"/>
              <w:rPr>
                <w:sz w:val="20"/>
              </w:rPr>
            </w:pPr>
            <w:r>
              <w:rPr>
                <w:sz w:val="20"/>
              </w:rPr>
              <w:t>先天性疾病、畸形、</w:t>
            </w:r>
          </w:p>
        </w:tc>
        <w:tc>
          <w:tcPr>
            <w:tcW w:w="1758" w:type="dxa"/>
          </w:tcPr>
          <w:p>
            <w:pPr>
              <w:pStyle w:val="TableParagraph"/>
              <w:spacing w:line="240" w:lineRule="auto"/>
              <w:rPr>
                <w:rFonts w:ascii="Times New Roman"/>
                <w:sz w:val="20"/>
              </w:rPr>
            </w:pPr>
          </w:p>
        </w:tc>
      </w:tr>
      <w:tr>
        <w:trPr>
          <w:trHeight w:val="312" w:hRule="atLeast"/>
        </w:trPr>
        <w:tc>
          <w:tcPr>
            <w:tcW w:w="381" w:type="dxa"/>
          </w:tcPr>
          <w:p>
            <w:pPr>
              <w:pStyle w:val="TableParagraph"/>
              <w:spacing w:line="240" w:lineRule="auto"/>
              <w:rPr>
                <w:rFonts w:ascii="Times New Roman"/>
                <w:sz w:val="20"/>
              </w:rPr>
            </w:pPr>
          </w:p>
        </w:tc>
        <w:tc>
          <w:tcPr>
            <w:tcW w:w="1871" w:type="dxa"/>
          </w:tcPr>
          <w:p>
            <w:pPr>
              <w:pStyle w:val="TableParagraph"/>
              <w:spacing w:line="240" w:lineRule="auto"/>
              <w:rPr>
                <w:rFonts w:ascii="Times New Roman"/>
                <w:sz w:val="20"/>
              </w:rPr>
            </w:pPr>
          </w:p>
        </w:tc>
        <w:tc>
          <w:tcPr>
            <w:tcW w:w="717" w:type="dxa"/>
          </w:tcPr>
          <w:p>
            <w:pPr>
              <w:pStyle w:val="TableParagraph"/>
              <w:spacing w:line="240" w:lineRule="auto"/>
              <w:rPr>
                <w:rFonts w:ascii="Times New Roman"/>
                <w:sz w:val="20"/>
              </w:rPr>
            </w:pPr>
          </w:p>
        </w:tc>
        <w:tc>
          <w:tcPr>
            <w:tcW w:w="1972" w:type="dxa"/>
          </w:tcPr>
          <w:p>
            <w:pPr>
              <w:pStyle w:val="TableParagraph"/>
              <w:spacing w:line="240" w:lineRule="auto"/>
              <w:rPr>
                <w:rFonts w:ascii="Times New Roman"/>
                <w:sz w:val="20"/>
              </w:rPr>
            </w:pPr>
          </w:p>
        </w:tc>
        <w:tc>
          <w:tcPr>
            <w:tcW w:w="818" w:type="dxa"/>
          </w:tcPr>
          <w:p>
            <w:pPr>
              <w:pStyle w:val="TableParagraph"/>
              <w:spacing w:line="240" w:lineRule="auto"/>
              <w:rPr>
                <w:rFonts w:ascii="Times New Roman"/>
                <w:sz w:val="20"/>
              </w:rPr>
            </w:pPr>
          </w:p>
        </w:tc>
        <w:tc>
          <w:tcPr>
            <w:tcW w:w="1912" w:type="dxa"/>
          </w:tcPr>
          <w:p>
            <w:pPr>
              <w:pStyle w:val="TableParagraph"/>
              <w:ind w:left="33"/>
              <w:rPr>
                <w:sz w:val="20"/>
              </w:rPr>
            </w:pPr>
            <w:r>
              <w:rPr>
                <w:w w:val="95"/>
                <w:sz w:val="20"/>
              </w:rPr>
              <w:t>变形或染色体异常</w:t>
            </w:r>
          </w:p>
        </w:tc>
        <w:tc>
          <w:tcPr>
            <w:tcW w:w="1758" w:type="dxa"/>
          </w:tcPr>
          <w:p>
            <w:pPr>
              <w:pStyle w:val="TableParagraph"/>
              <w:spacing w:line="240" w:lineRule="auto"/>
              <w:rPr>
                <w:rFonts w:ascii="Times New Roman"/>
                <w:sz w:val="20"/>
              </w:rPr>
            </w:pPr>
          </w:p>
        </w:tc>
      </w:tr>
      <w:tr>
        <w:trPr>
          <w:trHeight w:val="312" w:hRule="atLeast"/>
        </w:trPr>
        <w:tc>
          <w:tcPr>
            <w:tcW w:w="381" w:type="dxa"/>
          </w:tcPr>
          <w:p>
            <w:pPr>
              <w:pStyle w:val="TableParagraph"/>
              <w:ind w:left="50"/>
              <w:rPr>
                <w:b/>
                <w:sz w:val="20"/>
              </w:rPr>
            </w:pPr>
            <w:r>
              <w:rPr>
                <w:b/>
                <w:sz w:val="20"/>
              </w:rPr>
              <w:t>4.</w:t>
            </w:r>
          </w:p>
        </w:tc>
        <w:tc>
          <w:tcPr>
            <w:tcW w:w="1871" w:type="dxa"/>
          </w:tcPr>
          <w:p>
            <w:pPr>
              <w:pStyle w:val="TableParagraph"/>
              <w:ind w:left="29"/>
              <w:rPr>
                <w:b/>
                <w:sz w:val="20"/>
              </w:rPr>
            </w:pPr>
            <w:r>
              <w:rPr>
                <w:b/>
                <w:w w:val="95"/>
                <w:sz w:val="20"/>
              </w:rPr>
              <w:t>保险金的申请</w:t>
            </w:r>
          </w:p>
        </w:tc>
        <w:tc>
          <w:tcPr>
            <w:tcW w:w="717" w:type="dxa"/>
          </w:tcPr>
          <w:p>
            <w:pPr>
              <w:pStyle w:val="TableParagraph"/>
              <w:ind w:left="385"/>
              <w:rPr>
                <w:b/>
                <w:sz w:val="20"/>
              </w:rPr>
            </w:pPr>
            <w:r>
              <w:rPr>
                <w:b/>
                <w:sz w:val="20"/>
              </w:rPr>
              <w:t>8.</w:t>
            </w:r>
          </w:p>
        </w:tc>
        <w:tc>
          <w:tcPr>
            <w:tcW w:w="1972" w:type="dxa"/>
          </w:tcPr>
          <w:p>
            <w:pPr>
              <w:pStyle w:val="TableParagraph"/>
              <w:ind w:left="29"/>
              <w:rPr>
                <w:b/>
                <w:sz w:val="20"/>
              </w:rPr>
            </w:pPr>
            <w:r>
              <w:rPr>
                <w:b/>
                <w:w w:val="95"/>
                <w:sz w:val="20"/>
              </w:rPr>
              <w:t>适用主合同的条款</w:t>
            </w:r>
          </w:p>
        </w:tc>
        <w:tc>
          <w:tcPr>
            <w:tcW w:w="818" w:type="dxa"/>
          </w:tcPr>
          <w:p>
            <w:pPr>
              <w:pStyle w:val="TableParagraph"/>
              <w:ind w:left="284"/>
              <w:rPr>
                <w:sz w:val="20"/>
              </w:rPr>
            </w:pPr>
            <w:r>
              <w:rPr>
                <w:sz w:val="20"/>
              </w:rPr>
              <w:t>11.9</w:t>
            </w:r>
          </w:p>
        </w:tc>
        <w:tc>
          <w:tcPr>
            <w:tcW w:w="1912" w:type="dxa"/>
          </w:tcPr>
          <w:p>
            <w:pPr>
              <w:pStyle w:val="TableParagraph"/>
              <w:ind w:left="33"/>
              <w:rPr>
                <w:sz w:val="20"/>
              </w:rPr>
            </w:pPr>
            <w:r>
              <w:rPr>
                <w:w w:val="95"/>
                <w:sz w:val="20"/>
              </w:rPr>
              <w:t>现金价值</w:t>
            </w:r>
          </w:p>
        </w:tc>
        <w:tc>
          <w:tcPr>
            <w:tcW w:w="1758" w:type="dxa"/>
          </w:tcPr>
          <w:p>
            <w:pPr>
              <w:pStyle w:val="TableParagraph"/>
              <w:spacing w:line="240" w:lineRule="auto"/>
              <w:rPr>
                <w:rFonts w:ascii="Times New Roman"/>
                <w:sz w:val="20"/>
              </w:rPr>
            </w:pPr>
          </w:p>
        </w:tc>
      </w:tr>
      <w:tr>
        <w:trPr>
          <w:trHeight w:val="312" w:hRule="atLeast"/>
        </w:trPr>
        <w:tc>
          <w:tcPr>
            <w:tcW w:w="381" w:type="dxa"/>
          </w:tcPr>
          <w:p>
            <w:pPr>
              <w:pStyle w:val="TableParagraph"/>
              <w:ind w:left="50"/>
              <w:rPr>
                <w:sz w:val="20"/>
              </w:rPr>
            </w:pPr>
            <w:r>
              <w:rPr>
                <w:sz w:val="20"/>
              </w:rPr>
              <w:t>4.1</w:t>
            </w:r>
          </w:p>
        </w:tc>
        <w:tc>
          <w:tcPr>
            <w:tcW w:w="1871" w:type="dxa"/>
          </w:tcPr>
          <w:p>
            <w:pPr>
              <w:pStyle w:val="TableParagraph"/>
              <w:ind w:left="89"/>
              <w:rPr>
                <w:sz w:val="20"/>
              </w:rPr>
            </w:pPr>
            <w:r>
              <w:rPr>
                <w:w w:val="95"/>
                <w:sz w:val="20"/>
              </w:rPr>
              <w:t>受益人</w:t>
            </w:r>
          </w:p>
        </w:tc>
        <w:tc>
          <w:tcPr>
            <w:tcW w:w="717" w:type="dxa"/>
          </w:tcPr>
          <w:p>
            <w:pPr>
              <w:pStyle w:val="TableParagraph"/>
              <w:spacing w:line="240" w:lineRule="auto"/>
              <w:rPr>
                <w:rFonts w:ascii="Times New Roman"/>
                <w:sz w:val="20"/>
              </w:rPr>
            </w:pPr>
          </w:p>
        </w:tc>
        <w:tc>
          <w:tcPr>
            <w:tcW w:w="1972" w:type="dxa"/>
          </w:tcPr>
          <w:p>
            <w:pPr>
              <w:pStyle w:val="TableParagraph"/>
              <w:spacing w:line="240" w:lineRule="auto"/>
              <w:rPr>
                <w:rFonts w:ascii="Times New Roman"/>
                <w:sz w:val="20"/>
              </w:rPr>
            </w:pPr>
          </w:p>
        </w:tc>
        <w:tc>
          <w:tcPr>
            <w:tcW w:w="818" w:type="dxa"/>
          </w:tcPr>
          <w:p>
            <w:pPr>
              <w:pStyle w:val="TableParagraph"/>
              <w:ind w:left="284"/>
              <w:rPr>
                <w:sz w:val="20"/>
              </w:rPr>
            </w:pPr>
            <w:r>
              <w:rPr>
                <w:sz w:val="20"/>
              </w:rPr>
              <w:t>11.10</w:t>
            </w:r>
          </w:p>
        </w:tc>
        <w:tc>
          <w:tcPr>
            <w:tcW w:w="1912" w:type="dxa"/>
          </w:tcPr>
          <w:p>
            <w:pPr>
              <w:pStyle w:val="TableParagraph"/>
              <w:ind w:left="33"/>
              <w:rPr>
                <w:sz w:val="20"/>
              </w:rPr>
            </w:pPr>
            <w:r>
              <w:rPr>
                <w:w w:val="95"/>
                <w:sz w:val="20"/>
              </w:rPr>
              <w:t>利息损失</w:t>
            </w:r>
          </w:p>
        </w:tc>
        <w:tc>
          <w:tcPr>
            <w:tcW w:w="1758" w:type="dxa"/>
          </w:tcPr>
          <w:p>
            <w:pPr>
              <w:pStyle w:val="TableParagraph"/>
              <w:spacing w:line="240" w:lineRule="auto"/>
              <w:rPr>
                <w:rFonts w:ascii="Times New Roman"/>
                <w:sz w:val="20"/>
              </w:rPr>
            </w:pPr>
          </w:p>
        </w:tc>
      </w:tr>
      <w:tr>
        <w:trPr>
          <w:trHeight w:val="311" w:hRule="atLeast"/>
        </w:trPr>
        <w:tc>
          <w:tcPr>
            <w:tcW w:w="381" w:type="dxa"/>
          </w:tcPr>
          <w:p>
            <w:pPr>
              <w:pStyle w:val="TableParagraph"/>
              <w:ind w:left="50"/>
              <w:rPr>
                <w:sz w:val="20"/>
              </w:rPr>
            </w:pPr>
            <w:r>
              <w:rPr>
                <w:sz w:val="20"/>
              </w:rPr>
              <w:t>4.2</w:t>
            </w:r>
          </w:p>
        </w:tc>
        <w:tc>
          <w:tcPr>
            <w:tcW w:w="1871" w:type="dxa"/>
          </w:tcPr>
          <w:p>
            <w:pPr>
              <w:pStyle w:val="TableParagraph"/>
              <w:ind w:left="89"/>
              <w:rPr>
                <w:sz w:val="20"/>
              </w:rPr>
            </w:pPr>
            <w:r>
              <w:rPr>
                <w:w w:val="95"/>
                <w:sz w:val="20"/>
              </w:rPr>
              <w:t>保险事故通知</w:t>
            </w:r>
          </w:p>
        </w:tc>
        <w:tc>
          <w:tcPr>
            <w:tcW w:w="717" w:type="dxa"/>
          </w:tcPr>
          <w:p>
            <w:pPr>
              <w:pStyle w:val="TableParagraph"/>
              <w:ind w:left="385"/>
              <w:rPr>
                <w:b/>
                <w:sz w:val="20"/>
              </w:rPr>
            </w:pPr>
            <w:r>
              <w:rPr>
                <w:b/>
                <w:sz w:val="20"/>
              </w:rPr>
              <w:t>9.</w:t>
            </w:r>
          </w:p>
        </w:tc>
        <w:tc>
          <w:tcPr>
            <w:tcW w:w="1972" w:type="dxa"/>
          </w:tcPr>
          <w:p>
            <w:pPr>
              <w:pStyle w:val="TableParagraph"/>
              <w:ind w:left="29"/>
              <w:rPr>
                <w:b/>
                <w:sz w:val="20"/>
              </w:rPr>
            </w:pPr>
            <w:r>
              <w:rPr>
                <w:b/>
                <w:w w:val="95"/>
                <w:sz w:val="20"/>
              </w:rPr>
              <w:t>原位癌定义</w:t>
            </w:r>
          </w:p>
        </w:tc>
        <w:tc>
          <w:tcPr>
            <w:tcW w:w="818" w:type="dxa"/>
          </w:tcPr>
          <w:p>
            <w:pPr>
              <w:pStyle w:val="TableParagraph"/>
              <w:ind w:left="284"/>
              <w:rPr>
                <w:sz w:val="20"/>
              </w:rPr>
            </w:pPr>
            <w:r>
              <w:rPr>
                <w:sz w:val="20"/>
              </w:rPr>
              <w:t>11.11</w:t>
            </w:r>
          </w:p>
        </w:tc>
        <w:tc>
          <w:tcPr>
            <w:tcW w:w="1912" w:type="dxa"/>
          </w:tcPr>
          <w:p>
            <w:pPr>
              <w:pStyle w:val="TableParagraph"/>
              <w:ind w:left="33"/>
              <w:rPr>
                <w:sz w:val="20"/>
              </w:rPr>
            </w:pPr>
            <w:r>
              <w:rPr>
                <w:w w:val="95"/>
                <w:sz w:val="20"/>
              </w:rPr>
              <w:t>肢体机能完全丧失</w:t>
            </w:r>
          </w:p>
        </w:tc>
        <w:tc>
          <w:tcPr>
            <w:tcW w:w="1758" w:type="dxa"/>
          </w:tcPr>
          <w:p>
            <w:pPr>
              <w:pStyle w:val="TableParagraph"/>
              <w:spacing w:line="240" w:lineRule="auto"/>
              <w:rPr>
                <w:rFonts w:ascii="Times New Roman"/>
                <w:sz w:val="20"/>
              </w:rPr>
            </w:pPr>
          </w:p>
        </w:tc>
      </w:tr>
      <w:tr>
        <w:trPr>
          <w:trHeight w:val="255" w:hRule="atLeast"/>
        </w:trPr>
        <w:tc>
          <w:tcPr>
            <w:tcW w:w="381" w:type="dxa"/>
          </w:tcPr>
          <w:p>
            <w:pPr>
              <w:pStyle w:val="TableParagraph"/>
              <w:spacing w:line="236" w:lineRule="exact"/>
              <w:ind w:left="50"/>
              <w:rPr>
                <w:sz w:val="20"/>
              </w:rPr>
            </w:pPr>
            <w:r>
              <w:rPr>
                <w:sz w:val="20"/>
              </w:rPr>
              <w:t>4.3</w:t>
            </w:r>
          </w:p>
        </w:tc>
        <w:tc>
          <w:tcPr>
            <w:tcW w:w="1871" w:type="dxa"/>
          </w:tcPr>
          <w:p>
            <w:pPr>
              <w:pStyle w:val="TableParagraph"/>
              <w:spacing w:line="236" w:lineRule="exact"/>
              <w:ind w:left="89"/>
              <w:rPr>
                <w:sz w:val="20"/>
              </w:rPr>
            </w:pPr>
            <w:r>
              <w:rPr>
                <w:w w:val="95"/>
                <w:sz w:val="20"/>
              </w:rPr>
              <w:t>保险金申请</w:t>
            </w:r>
          </w:p>
        </w:tc>
        <w:tc>
          <w:tcPr>
            <w:tcW w:w="717" w:type="dxa"/>
          </w:tcPr>
          <w:p>
            <w:pPr>
              <w:pStyle w:val="TableParagraph"/>
              <w:spacing w:line="240" w:lineRule="auto"/>
              <w:rPr>
                <w:rFonts w:ascii="Times New Roman"/>
                <w:sz w:val="18"/>
              </w:rPr>
            </w:pPr>
          </w:p>
        </w:tc>
        <w:tc>
          <w:tcPr>
            <w:tcW w:w="1972" w:type="dxa"/>
          </w:tcPr>
          <w:p>
            <w:pPr>
              <w:pStyle w:val="TableParagraph"/>
              <w:spacing w:line="240" w:lineRule="auto"/>
              <w:rPr>
                <w:rFonts w:ascii="Times New Roman"/>
                <w:sz w:val="18"/>
              </w:rPr>
            </w:pPr>
          </w:p>
        </w:tc>
        <w:tc>
          <w:tcPr>
            <w:tcW w:w="818" w:type="dxa"/>
          </w:tcPr>
          <w:p>
            <w:pPr>
              <w:pStyle w:val="TableParagraph"/>
              <w:spacing w:line="236" w:lineRule="exact"/>
              <w:ind w:left="284"/>
              <w:rPr>
                <w:sz w:val="20"/>
              </w:rPr>
            </w:pPr>
            <w:r>
              <w:rPr>
                <w:sz w:val="20"/>
              </w:rPr>
              <w:t>11.12</w:t>
            </w:r>
          </w:p>
        </w:tc>
        <w:tc>
          <w:tcPr>
            <w:tcW w:w="1912" w:type="dxa"/>
          </w:tcPr>
          <w:p>
            <w:pPr>
              <w:pStyle w:val="TableParagraph"/>
              <w:spacing w:line="236" w:lineRule="exact"/>
              <w:ind w:left="33"/>
              <w:rPr>
                <w:sz w:val="20"/>
              </w:rPr>
            </w:pPr>
            <w:r>
              <w:rPr>
                <w:w w:val="95"/>
                <w:sz w:val="20"/>
              </w:rPr>
              <w:t>语言能力或咀嚼吞</w:t>
            </w:r>
          </w:p>
        </w:tc>
        <w:tc>
          <w:tcPr>
            <w:tcW w:w="1758" w:type="dxa"/>
          </w:tcPr>
          <w:p>
            <w:pPr>
              <w:pStyle w:val="TableParagraph"/>
              <w:spacing w:line="240" w:lineRule="auto"/>
              <w:rPr>
                <w:rFonts w:ascii="Times New Roman"/>
                <w:sz w:val="18"/>
              </w:rPr>
            </w:pPr>
          </w:p>
        </w:tc>
      </w:tr>
    </w:tbl>
    <w:p>
      <w:pPr>
        <w:spacing w:after="0" w:line="240" w:lineRule="auto"/>
        <w:rPr>
          <w:rFonts w:ascii="Times New Roman"/>
          <w:sz w:val="18"/>
        </w:rPr>
        <w:sectPr>
          <w:type w:val="continuous"/>
          <w:pgSz w:w="11910" w:h="16840"/>
          <w:pgMar w:top="280" w:bottom="280" w:left="840" w:right="860"/>
        </w:sectPr>
      </w:pPr>
    </w:p>
    <w:p>
      <w:pPr>
        <w:pStyle w:val="BodyText"/>
        <w:spacing w:before="11"/>
        <w:ind w:left="0"/>
        <w:rPr>
          <w:sz w:val="11"/>
        </w:rPr>
      </w:pPr>
    </w:p>
    <w:p>
      <w:pPr>
        <w:pStyle w:val="Heading1"/>
        <w:spacing w:line="460" w:lineRule="exact"/>
      </w:pPr>
      <w:r>
        <w:rPr/>
        <w:t>复星保德信附加保得康重大疾病保险条款</w:t>
      </w:r>
    </w:p>
    <w:p>
      <w:pPr>
        <w:pStyle w:val="BodyText"/>
        <w:spacing w:before="8"/>
        <w:ind w:left="0"/>
        <w:rPr>
          <w:b/>
          <w:sz w:val="29"/>
        </w:rPr>
      </w:pPr>
    </w:p>
    <w:p>
      <w:pPr>
        <w:pStyle w:val="BodyText"/>
        <w:spacing w:before="1"/>
        <w:ind w:left="2554"/>
      </w:pPr>
      <w:r>
        <w:rPr/>
        <w:t>（2012 年 10 月呈报中国保险监督管理委员会备案）</w:t>
      </w:r>
    </w:p>
    <w:p>
      <w:pPr>
        <w:pStyle w:val="BodyText"/>
        <w:spacing w:before="4"/>
        <w:ind w:left="0"/>
        <w:rPr>
          <w:sz w:val="23"/>
        </w:rPr>
      </w:pPr>
    </w:p>
    <w:p>
      <w:pPr>
        <w:pStyle w:val="BodyText"/>
        <w:spacing w:line="259" w:lineRule="auto" w:before="0"/>
        <w:ind w:left="137" w:right="125" w:firstLine="425"/>
      </w:pPr>
      <w:r>
        <w:rPr>
          <w:spacing w:val="-3"/>
        </w:rPr>
        <w:t>在本条款中，“您”指投保人，“我们” 、“本公司”指复星保德信人寿保险有限公司，“本附加合同”指“复星保德信附加保得康重大疾病保险合同”。投保人、被保险人的姓名在保险单上载明。</w:t>
      </w:r>
    </w:p>
    <w:p>
      <w:pPr>
        <w:pStyle w:val="BodyText"/>
        <w:spacing w:before="5"/>
        <w:ind w:left="0"/>
        <w:rPr>
          <w:sz w:val="30"/>
        </w:rPr>
      </w:pPr>
    </w:p>
    <w:p>
      <w:pPr>
        <w:pStyle w:val="Heading2"/>
        <w:numPr>
          <w:ilvl w:val="0"/>
          <w:numId w:val="4"/>
        </w:numPr>
        <w:tabs>
          <w:tab w:pos="559" w:val="left" w:leader="none"/>
        </w:tabs>
        <w:spacing w:line="240" w:lineRule="auto" w:before="0" w:after="0"/>
        <w:ind w:left="558" w:right="0" w:hanging="421"/>
        <w:jc w:val="left"/>
      </w:pPr>
      <w:r>
        <w:rPr>
          <w:w w:val="95"/>
        </w:rPr>
        <w:t>您与我们订立的合同</w:t>
      </w:r>
    </w:p>
    <w:p>
      <w:pPr>
        <w:pStyle w:val="BodyText"/>
        <w:spacing w:before="5"/>
        <w:ind w:left="0"/>
        <w:rPr>
          <w:b/>
          <w:sz w:val="11"/>
        </w:rPr>
      </w:pPr>
      <w:r>
        <w:rPr/>
        <w:pict>
          <v:group style="position:absolute;margin-left:52.439999pt;margin-top:9.418679pt;width:494.9pt;height:1.45pt;mso-position-horizontal-relative:page;mso-position-vertical-relative:paragraph;z-index:1048;mso-wrap-distance-left:0;mso-wrap-distance-right:0" coordorigin="1049,188" coordsize="9898,29">
            <v:line style="position:absolute" from="1049,212" to="10946,212" stroked="true" strokeweight=".48pt" strokecolor="#000000">
              <v:stroke dashstyle="solid"/>
            </v:line>
            <v:line style="position:absolute" from="1049,193" to="10946,193" stroked="true" strokeweight=".48pt" strokecolor="#000000">
              <v:stroke dashstyle="solid"/>
            </v:line>
            <w10:wrap type="topAndBottom"/>
          </v:group>
        </w:pict>
      </w:r>
    </w:p>
    <w:p>
      <w:pPr>
        <w:pStyle w:val="BodyText"/>
        <w:spacing w:before="2"/>
        <w:ind w:left="0"/>
        <w:rPr>
          <w:b/>
          <w:sz w:val="14"/>
        </w:rPr>
      </w:pPr>
    </w:p>
    <w:p>
      <w:pPr>
        <w:pStyle w:val="Heading3"/>
        <w:numPr>
          <w:ilvl w:val="1"/>
          <w:numId w:val="4"/>
        </w:numPr>
        <w:tabs>
          <w:tab w:pos="623" w:val="left" w:leader="none"/>
        </w:tabs>
        <w:spacing w:line="240" w:lineRule="auto" w:before="26" w:after="0"/>
        <w:ind w:left="622" w:right="0" w:hanging="485"/>
        <w:jc w:val="left"/>
      </w:pPr>
      <w:r>
        <w:rPr>
          <w:w w:val="95"/>
        </w:rPr>
        <w:t>合同构成</w:t>
      </w:r>
    </w:p>
    <w:p>
      <w:pPr>
        <w:pStyle w:val="BodyText"/>
        <w:spacing w:line="259" w:lineRule="auto" w:before="16"/>
        <w:ind w:left="562" w:right="188"/>
      </w:pPr>
      <w:r>
        <w:rPr>
          <w:spacing w:val="-3"/>
        </w:rPr>
        <w:t>本附加合同由主保险合同</w:t>
      </w:r>
      <w:r>
        <w:rPr/>
        <w:t>（</w:t>
      </w:r>
      <w:r>
        <w:rPr>
          <w:spacing w:val="-2"/>
        </w:rPr>
        <w:t>以下简称“主合同</w:t>
      </w:r>
      <w:r>
        <w:rPr>
          <w:spacing w:val="-3"/>
        </w:rPr>
        <w:t>”）的投保人申请，经我们同意，附加于主合同。 </w:t>
      </w:r>
      <w:r>
        <w:rPr>
          <w:spacing w:val="-7"/>
        </w:rPr>
        <w:t>本附加合同是您与我们约定保险权利义务关系的协议，包括本保险条款、保险单、投保单、相关投</w:t>
      </w:r>
    </w:p>
    <w:p>
      <w:pPr>
        <w:pStyle w:val="BodyText"/>
        <w:spacing w:before="6"/>
        <w:ind w:left="137"/>
      </w:pPr>
      <w:r>
        <w:rPr/>
        <w:t>保文件、保险凭证、合法有效的声明、批注、批单及其他您与我们共同认可的书面协议。</w:t>
      </w:r>
    </w:p>
    <w:p>
      <w:pPr>
        <w:pStyle w:val="BodyText"/>
        <w:spacing w:before="3"/>
        <w:ind w:left="0"/>
        <w:rPr>
          <w:sz w:val="24"/>
        </w:rPr>
      </w:pPr>
    </w:p>
    <w:p>
      <w:pPr>
        <w:pStyle w:val="Heading3"/>
        <w:numPr>
          <w:ilvl w:val="1"/>
          <w:numId w:val="4"/>
        </w:numPr>
        <w:tabs>
          <w:tab w:pos="623" w:val="left" w:leader="none"/>
        </w:tabs>
        <w:spacing w:line="240" w:lineRule="auto" w:before="0" w:after="0"/>
        <w:ind w:left="622" w:right="0" w:hanging="485"/>
        <w:jc w:val="left"/>
      </w:pPr>
      <w:r>
        <w:rPr>
          <w:w w:val="95"/>
        </w:rPr>
        <w:t>合同生效</w:t>
      </w:r>
    </w:p>
    <w:p>
      <w:pPr>
        <w:pStyle w:val="BodyText"/>
        <w:spacing w:line="259" w:lineRule="auto" w:before="16"/>
        <w:ind w:left="562" w:right="580"/>
      </w:pPr>
      <w:r>
        <w:rPr/>
        <w:t>本附加合同与主合同必须同时投保，本附加合同的生效日与主合同相同，并在保险单上载明。本附加合同的保单周年日、保单年度、保险费约定支付日同主合同。</w:t>
      </w:r>
    </w:p>
    <w:p>
      <w:pPr>
        <w:pStyle w:val="BodyText"/>
        <w:spacing w:before="0"/>
        <w:ind w:left="0"/>
      </w:pPr>
    </w:p>
    <w:p>
      <w:pPr>
        <w:pStyle w:val="BodyText"/>
        <w:spacing w:before="2"/>
        <w:ind w:left="0"/>
        <w:rPr>
          <w:sz w:val="32"/>
        </w:rPr>
      </w:pPr>
    </w:p>
    <w:p>
      <w:pPr>
        <w:pStyle w:val="Heading2"/>
        <w:numPr>
          <w:ilvl w:val="0"/>
          <w:numId w:val="4"/>
        </w:numPr>
        <w:tabs>
          <w:tab w:pos="559" w:val="left" w:leader="none"/>
        </w:tabs>
        <w:spacing w:line="240" w:lineRule="auto" w:before="1" w:after="0"/>
        <w:ind w:left="558" w:right="0" w:hanging="421"/>
        <w:jc w:val="left"/>
      </w:pPr>
      <w:r>
        <w:rPr>
          <w:w w:val="95"/>
        </w:rPr>
        <w:t>我们提供的保障</w:t>
      </w:r>
    </w:p>
    <w:p>
      <w:pPr>
        <w:pStyle w:val="BodyText"/>
        <w:spacing w:before="5"/>
        <w:ind w:left="0"/>
        <w:rPr>
          <w:b/>
          <w:sz w:val="11"/>
        </w:rPr>
      </w:pPr>
      <w:r>
        <w:rPr/>
        <w:pict>
          <v:group style="position:absolute;margin-left:52.439999pt;margin-top:9.437014pt;width:494.9pt;height:1.45pt;mso-position-horizontal-relative:page;mso-position-vertical-relative:paragraph;z-index:1072;mso-wrap-distance-left:0;mso-wrap-distance-right:0" coordorigin="1049,189" coordsize="9898,29">
            <v:line style="position:absolute" from="1049,213" to="10946,213" stroked="true" strokeweight=".47998pt" strokecolor="#000000">
              <v:stroke dashstyle="solid"/>
            </v:line>
            <v:line style="position:absolute" from="1049,194" to="10946,194" stroked="true" strokeweight=".48001pt" strokecolor="#000000">
              <v:stroke dashstyle="solid"/>
            </v:line>
            <w10:wrap type="topAndBottom"/>
          </v:group>
        </w:pict>
      </w:r>
    </w:p>
    <w:p>
      <w:pPr>
        <w:pStyle w:val="BodyText"/>
        <w:spacing w:before="2"/>
        <w:ind w:left="0"/>
        <w:rPr>
          <w:b/>
          <w:sz w:val="14"/>
        </w:rPr>
      </w:pPr>
    </w:p>
    <w:p>
      <w:pPr>
        <w:pStyle w:val="Heading3"/>
        <w:numPr>
          <w:ilvl w:val="1"/>
          <w:numId w:val="4"/>
        </w:numPr>
        <w:tabs>
          <w:tab w:pos="623" w:val="left" w:leader="none"/>
        </w:tabs>
        <w:spacing w:line="240" w:lineRule="auto" w:before="26" w:after="0"/>
        <w:ind w:left="622" w:right="0" w:hanging="485"/>
        <w:jc w:val="left"/>
      </w:pPr>
      <w:r>
        <w:rPr>
          <w:w w:val="95"/>
        </w:rPr>
        <w:t>基本保险金额</w:t>
      </w:r>
    </w:p>
    <w:p>
      <w:pPr>
        <w:pStyle w:val="BodyText"/>
        <w:spacing w:before="16"/>
        <w:ind w:left="565"/>
      </w:pPr>
      <w:r>
        <w:rPr/>
        <w:t>本附加合同的基本保险金额由您在投保时与我们约定，并在保险单上载明。</w:t>
      </w:r>
    </w:p>
    <w:p>
      <w:pPr>
        <w:pStyle w:val="BodyText"/>
        <w:spacing w:before="3"/>
        <w:ind w:left="0"/>
        <w:rPr>
          <w:sz w:val="24"/>
        </w:rPr>
      </w:pPr>
    </w:p>
    <w:p>
      <w:pPr>
        <w:pStyle w:val="Heading3"/>
        <w:numPr>
          <w:ilvl w:val="1"/>
          <w:numId w:val="4"/>
        </w:numPr>
        <w:tabs>
          <w:tab w:pos="623" w:val="left" w:leader="none"/>
        </w:tabs>
        <w:spacing w:line="240" w:lineRule="auto" w:before="0" w:after="0"/>
        <w:ind w:left="622" w:right="0" w:hanging="485"/>
        <w:jc w:val="left"/>
      </w:pPr>
      <w:r>
        <w:rPr>
          <w:w w:val="95"/>
        </w:rPr>
        <w:t>保险期间</w:t>
      </w:r>
    </w:p>
    <w:p>
      <w:pPr>
        <w:pStyle w:val="BodyText"/>
        <w:spacing w:before="17"/>
        <w:ind w:left="562"/>
      </w:pPr>
      <w:r>
        <w:rPr/>
        <w:t>本附加合同的保险期间自本附加合同生效日零时起，至保险单上载明的合同期满日二十四时止。</w:t>
      </w:r>
    </w:p>
    <w:p>
      <w:pPr>
        <w:pStyle w:val="BodyText"/>
        <w:spacing w:before="3"/>
        <w:ind w:left="0"/>
        <w:rPr>
          <w:sz w:val="24"/>
        </w:rPr>
      </w:pPr>
    </w:p>
    <w:p>
      <w:pPr>
        <w:pStyle w:val="Heading3"/>
        <w:numPr>
          <w:ilvl w:val="1"/>
          <w:numId w:val="4"/>
        </w:numPr>
        <w:tabs>
          <w:tab w:pos="623" w:val="left" w:leader="none"/>
        </w:tabs>
        <w:spacing w:line="240" w:lineRule="auto" w:before="0" w:after="0"/>
        <w:ind w:left="622" w:right="0" w:hanging="485"/>
        <w:jc w:val="left"/>
      </w:pPr>
      <w:r>
        <w:rPr>
          <w:w w:val="95"/>
        </w:rPr>
        <w:t>保险责任</w:t>
      </w:r>
    </w:p>
    <w:p>
      <w:pPr>
        <w:pStyle w:val="BodyText"/>
        <w:spacing w:before="0"/>
        <w:ind w:left="0"/>
        <w:rPr>
          <w:b/>
          <w:sz w:val="25"/>
        </w:rPr>
      </w:pPr>
    </w:p>
    <w:p>
      <w:pPr>
        <w:pStyle w:val="Heading4"/>
        <w:numPr>
          <w:ilvl w:val="2"/>
          <w:numId w:val="4"/>
        </w:numPr>
        <w:tabs>
          <w:tab w:pos="803" w:val="left" w:leader="none"/>
        </w:tabs>
        <w:spacing w:line="240" w:lineRule="auto" w:before="1" w:after="0"/>
        <w:ind w:left="802" w:right="0" w:hanging="665"/>
        <w:jc w:val="left"/>
      </w:pPr>
      <w:r>
        <w:rPr>
          <w:w w:val="95"/>
        </w:rPr>
        <w:t>原位癌额外保险金</w:t>
      </w:r>
    </w:p>
    <w:p>
      <w:pPr>
        <w:pStyle w:val="BodyText"/>
        <w:spacing w:line="259" w:lineRule="auto"/>
        <w:ind w:left="137" w:right="110" w:firstLine="425"/>
      </w:pPr>
      <w:r>
        <w:rPr>
          <w:spacing w:val="-8"/>
        </w:rPr>
        <w:t>在本附加合同有效期内，如被保险人于本附加合同生效之日起九十日后或本附加合同最后复效之日起九十日后，</w:t>
      </w:r>
      <w:r>
        <w:rPr>
          <w:b/>
        </w:rPr>
        <w:t>初次发生</w:t>
      </w:r>
      <w:r>
        <w:rPr>
          <w:spacing w:val="-3"/>
        </w:rPr>
        <w:t>（</w:t>
      </w:r>
      <w:r>
        <w:rPr/>
        <w:t>见11.1）</w:t>
      </w:r>
      <w:r>
        <w:rPr>
          <w:spacing w:val="-2"/>
        </w:rPr>
        <w:t>并经</w:t>
      </w:r>
      <w:r>
        <w:rPr>
          <w:b/>
        </w:rPr>
        <w:t>本公司指定或认可的医疗机构</w:t>
      </w:r>
      <w:r>
        <w:rPr/>
        <w:t>（</w:t>
      </w:r>
      <w:r>
        <w:rPr>
          <w:spacing w:val="-3"/>
        </w:rPr>
        <w:t>见</w:t>
      </w:r>
      <w:r>
        <w:rPr/>
        <w:t>11.2）</w:t>
      </w:r>
      <w:r>
        <w:rPr>
          <w:spacing w:val="-3"/>
        </w:rPr>
        <w:t>初次确诊患有原位癌， 我们将向原位癌额外保险金受益人给付等同于</w:t>
      </w:r>
      <w:r>
        <w:rPr/>
        <w:t>20</w:t>
      </w:r>
      <w:r>
        <w:rPr>
          <w:spacing w:val="-3"/>
        </w:rPr>
        <w:t>%基本保险金额的原位癌额外保险金，本项保险责任终止。</w:t>
      </w:r>
    </w:p>
    <w:p>
      <w:pPr>
        <w:pStyle w:val="BodyText"/>
        <w:spacing w:line="259" w:lineRule="auto" w:before="6"/>
        <w:ind w:left="137" w:right="189" w:firstLine="425"/>
        <w:jc w:val="both"/>
      </w:pPr>
      <w:r>
        <w:rPr>
          <w:spacing w:val="-8"/>
        </w:rPr>
        <w:t>在本附加合同有效期内，如被保险人于本附加合同生效之日起九十日内或本附加合同最后复效之日</w:t>
      </w:r>
      <w:r>
        <w:rPr>
          <w:spacing w:val="-9"/>
        </w:rPr>
        <w:t>起九十日内，初次发生或经本公司指定或认可的医疗机构初次确诊患有原位癌，我们将向原位癌额外保</w:t>
      </w:r>
      <w:r>
        <w:rPr>
          <w:spacing w:val="-3"/>
        </w:rPr>
        <w:t>险金受益人无息返还主合同及本附加合同所交的保险费，主合同及本附加合同终止。</w:t>
      </w:r>
    </w:p>
    <w:p>
      <w:pPr>
        <w:pStyle w:val="BodyText"/>
        <w:spacing w:before="6"/>
        <w:ind w:left="562"/>
        <w:rPr>
          <w:rFonts w:ascii="黑体" w:hAnsi="黑体" w:eastAsia="黑体" w:hint="eastAsia"/>
        </w:rPr>
      </w:pPr>
      <w:r>
        <w:rPr>
          <w:rFonts w:ascii="黑体" w:hAnsi="黑体" w:eastAsia="黑体" w:hint="eastAsia"/>
        </w:rPr>
        <w:t>本附加合同所定义的原位癌载明于本附加合同“9.原位癌定义”。</w:t>
      </w:r>
    </w:p>
    <w:p>
      <w:pPr>
        <w:pStyle w:val="BodyText"/>
        <w:spacing w:before="8"/>
        <w:ind w:left="0"/>
        <w:rPr>
          <w:rFonts w:ascii="黑体"/>
          <w:sz w:val="25"/>
        </w:rPr>
      </w:pPr>
    </w:p>
    <w:p>
      <w:pPr>
        <w:pStyle w:val="Heading4"/>
        <w:numPr>
          <w:ilvl w:val="2"/>
          <w:numId w:val="4"/>
        </w:numPr>
        <w:tabs>
          <w:tab w:pos="803" w:val="left" w:leader="none"/>
        </w:tabs>
        <w:spacing w:line="240" w:lineRule="auto" w:before="0" w:after="0"/>
        <w:ind w:left="802" w:right="0" w:hanging="665"/>
        <w:jc w:val="left"/>
      </w:pPr>
      <w:r>
        <w:rPr>
          <w:spacing w:val="-1"/>
          <w:w w:val="95"/>
        </w:rPr>
        <w:t>重大疾病关爱金</w:t>
      </w:r>
    </w:p>
    <w:p>
      <w:pPr>
        <w:pStyle w:val="BodyText"/>
        <w:spacing w:before="23"/>
        <w:ind w:left="565"/>
      </w:pPr>
      <w:r>
        <w:rPr/>
        <w:t>在本附加合同有效期内，如被保险人于本附加合同生效之日起九十日后或本附加合同最后复效之日</w:t>
      </w:r>
    </w:p>
    <w:p>
      <w:pPr>
        <w:spacing w:after="0"/>
        <w:sectPr>
          <w:pgSz w:w="11910" w:h="16840"/>
          <w:pgMar w:top="1580" w:bottom="280" w:left="940" w:right="800"/>
        </w:sectPr>
      </w:pPr>
    </w:p>
    <w:p>
      <w:pPr>
        <w:pStyle w:val="BodyText"/>
        <w:spacing w:line="259" w:lineRule="auto" w:before="20"/>
        <w:ind w:right="149"/>
        <w:jc w:val="both"/>
      </w:pPr>
      <w:r>
        <w:rPr>
          <w:spacing w:val="-7"/>
        </w:rPr>
        <w:t>起九十日后，初次发生并经本公司指定或认可的医疗机构初次确诊患有重大疾病，且被保险人于该重大</w:t>
      </w:r>
      <w:r>
        <w:rPr>
          <w:spacing w:val="-8"/>
        </w:rPr>
        <w:t>疾病确诊日起第二十八日仍生存的，我们自被保险人重大疾病确诊日的下一保单年度起，每年向重大疾病关爱金受益人给付等同于20%基本保险金额的重大疾病关爱金，直至累积给付金额等同于基本保险金</w:t>
      </w:r>
      <w:r>
        <w:rPr>
          <w:spacing w:val="-3"/>
        </w:rPr>
        <w:t>额。如被保险人因</w:t>
      </w:r>
      <w:r>
        <w:rPr>
          <w:b/>
        </w:rPr>
        <w:t>意外伤害</w:t>
      </w:r>
      <w:r>
        <w:rPr>
          <w:spacing w:val="-3"/>
        </w:rPr>
        <w:t>（</w:t>
      </w:r>
      <w:r>
        <w:rPr/>
        <w:t>见11.3）</w:t>
      </w:r>
      <w:r>
        <w:rPr>
          <w:spacing w:val="-3"/>
        </w:rPr>
        <w:t>事故直接导致重大疾病，不受此九十日的限制。</w:t>
      </w:r>
    </w:p>
    <w:p>
      <w:pPr>
        <w:pStyle w:val="BodyText"/>
        <w:spacing w:line="259" w:lineRule="auto" w:before="6"/>
        <w:ind w:right="148" w:firstLine="425"/>
        <w:jc w:val="both"/>
      </w:pPr>
      <w:r>
        <w:rPr>
          <w:spacing w:val="-5"/>
        </w:rPr>
        <w:t>重大疾病关爱金给付日为被保险人重大疾病确诊日在每年的对应日。如果当月无对应的同一日，则</w:t>
      </w:r>
      <w:r>
        <w:rPr>
          <w:spacing w:val="-3"/>
        </w:rPr>
        <w:t>以该月最后一日为对应日。</w:t>
      </w:r>
    </w:p>
    <w:p>
      <w:pPr>
        <w:pStyle w:val="BodyText"/>
        <w:spacing w:line="259" w:lineRule="auto" w:before="6"/>
        <w:ind w:right="149" w:firstLine="425"/>
        <w:jc w:val="both"/>
      </w:pPr>
      <w:r>
        <w:rPr>
          <w:spacing w:val="-6"/>
        </w:rPr>
        <w:t>如给付期间重大疾病关爱金受益人身故，剩余部分我们将作为重大疾病关爱金受益人的遗产一次性给付。</w:t>
      </w:r>
    </w:p>
    <w:p>
      <w:pPr>
        <w:pStyle w:val="BodyText"/>
        <w:spacing w:before="6"/>
        <w:ind w:left="545"/>
        <w:rPr>
          <w:rFonts w:ascii="黑体" w:hAnsi="黑体" w:eastAsia="黑体" w:hint="eastAsia"/>
        </w:rPr>
      </w:pPr>
      <w:r>
        <w:rPr>
          <w:rFonts w:ascii="黑体" w:hAnsi="黑体" w:eastAsia="黑体" w:hint="eastAsia"/>
        </w:rPr>
        <w:t>本附加合同所定义的重大疾病载明于本附加合同“10.重大疾病定义”。</w:t>
      </w:r>
    </w:p>
    <w:p>
      <w:pPr>
        <w:pStyle w:val="BodyText"/>
        <w:spacing w:line="261" w:lineRule="auto"/>
        <w:ind w:right="147" w:firstLine="427"/>
        <w:jc w:val="both"/>
      </w:pPr>
      <w:r>
        <w:rPr>
          <w:spacing w:val="-5"/>
        </w:rPr>
        <w:t>如被保险人经本公司指定或认可的医疗机构初次确诊患有两种或两种以上重大疾病，我们仅对一种</w:t>
      </w:r>
      <w:r>
        <w:rPr>
          <w:spacing w:val="-4"/>
        </w:rPr>
        <w:t>重大疾病承担关爱金给付责任。</w:t>
      </w:r>
    </w:p>
    <w:p>
      <w:pPr>
        <w:pStyle w:val="BodyText"/>
        <w:spacing w:before="2"/>
        <w:ind w:left="0"/>
        <w:rPr>
          <w:sz w:val="24"/>
        </w:rPr>
      </w:pPr>
    </w:p>
    <w:p>
      <w:pPr>
        <w:pStyle w:val="Heading4"/>
        <w:numPr>
          <w:ilvl w:val="2"/>
          <w:numId w:val="4"/>
        </w:numPr>
        <w:tabs>
          <w:tab w:pos="783" w:val="left" w:leader="none"/>
        </w:tabs>
        <w:spacing w:line="240" w:lineRule="auto" w:before="0" w:after="0"/>
        <w:ind w:left="782" w:right="0" w:hanging="665"/>
        <w:jc w:val="left"/>
      </w:pPr>
      <w:r>
        <w:rPr>
          <w:spacing w:val="-1"/>
          <w:w w:val="95"/>
        </w:rPr>
        <w:t>重大疾病保险金</w:t>
      </w:r>
    </w:p>
    <w:p>
      <w:pPr>
        <w:pStyle w:val="BodyText"/>
        <w:spacing w:line="259" w:lineRule="auto" w:before="23"/>
        <w:ind w:right="144" w:firstLine="427"/>
        <w:jc w:val="both"/>
      </w:pPr>
      <w:r>
        <w:rPr>
          <w:spacing w:val="-8"/>
        </w:rPr>
        <w:t>在本附加合同有效期内，如被保险人于本附加合同生效之日起九十日后或本附加合同最后复效之日</w:t>
      </w:r>
      <w:r>
        <w:rPr>
          <w:spacing w:val="-9"/>
        </w:rPr>
        <w:t>起九十日后，初次发生并经本公司指定或认可的医疗机构初次确诊患有重大疾病，且被保险人于该重大疾病确诊日起第二十八日仍生存的，除按照本合同2.3.2给付重大疾病关爱金，我们还将向重大疾病保险金受益人给付等同于基本保险金额的重大疾病保险金，主合同及本附加合同终止。如被保险人因意外</w:t>
      </w:r>
      <w:r>
        <w:rPr>
          <w:spacing w:val="-6"/>
        </w:rPr>
        <w:t>伤害事故直接导致重大疾病，不受此九十日的限制。</w:t>
      </w:r>
    </w:p>
    <w:p>
      <w:pPr>
        <w:pStyle w:val="BodyText"/>
        <w:spacing w:line="259" w:lineRule="auto" w:before="5"/>
        <w:ind w:right="146" w:firstLine="427"/>
        <w:jc w:val="both"/>
      </w:pPr>
      <w:r>
        <w:rPr>
          <w:spacing w:val="-8"/>
        </w:rPr>
        <w:t>在本附加合同有效期内，如被保险人于本附加合同生效之日起九十日内或本附加合同最后复效之日</w:t>
      </w:r>
      <w:r>
        <w:rPr>
          <w:spacing w:val="-9"/>
        </w:rPr>
        <w:t>起九十日内，初次发生或经本公司指定或认可的医疗机构初次确诊患有重大疾病，且该重大疾病非因意</w:t>
      </w:r>
      <w:r>
        <w:rPr>
          <w:spacing w:val="-10"/>
        </w:rPr>
        <w:t>外伤害事故直接导致，我们将向重大疾病保险金受益人无息返还主合同及本附加合同所交的保险费，主</w:t>
      </w:r>
      <w:r>
        <w:rPr>
          <w:spacing w:val="-3"/>
        </w:rPr>
        <w:t>合同及本附加合同终止，且我们不承担给付</w:t>
      </w:r>
      <w:r>
        <w:rPr/>
        <w:t>2.3.2</w:t>
      </w:r>
      <w:r>
        <w:rPr>
          <w:spacing w:val="-3"/>
        </w:rPr>
        <w:t>重大疾病关爱金的责任。</w:t>
      </w:r>
    </w:p>
    <w:p>
      <w:pPr>
        <w:pStyle w:val="BodyText"/>
        <w:spacing w:line="259" w:lineRule="auto" w:before="5"/>
        <w:ind w:right="147" w:firstLine="427"/>
        <w:jc w:val="both"/>
      </w:pPr>
      <w:r>
        <w:rPr>
          <w:spacing w:val="-5"/>
        </w:rPr>
        <w:t>如被保险人经本公司指定或认可的医疗机构初次确诊患有两种或两种以上重大疾病，我们仅对一种</w:t>
      </w:r>
      <w:r>
        <w:rPr>
          <w:spacing w:val="-4"/>
        </w:rPr>
        <w:t>重大疾病承担保险金给付责任，主合同及本附加合同终止。</w:t>
      </w:r>
    </w:p>
    <w:p>
      <w:pPr>
        <w:pStyle w:val="BodyText"/>
        <w:spacing w:before="11"/>
        <w:ind w:left="0"/>
      </w:pPr>
    </w:p>
    <w:p>
      <w:pPr>
        <w:pStyle w:val="Heading3"/>
        <w:numPr>
          <w:ilvl w:val="1"/>
          <w:numId w:val="4"/>
        </w:numPr>
        <w:tabs>
          <w:tab w:pos="603" w:val="left" w:leader="none"/>
        </w:tabs>
        <w:spacing w:line="240" w:lineRule="auto" w:before="0" w:after="0"/>
        <w:ind w:left="602" w:right="0" w:hanging="485"/>
        <w:jc w:val="left"/>
        <w:rPr>
          <w:rFonts w:ascii="黑体" w:eastAsia="黑体" w:hint="eastAsia"/>
        </w:rPr>
      </w:pPr>
      <w:r>
        <w:rPr>
          <w:rFonts w:ascii="黑体" w:eastAsia="黑体" w:hint="eastAsia"/>
          <w:w w:val="95"/>
        </w:rPr>
        <w:t>责任免除</w:t>
      </w:r>
    </w:p>
    <w:p>
      <w:pPr>
        <w:pStyle w:val="BodyText"/>
        <w:spacing w:before="16"/>
        <w:ind w:left="542"/>
        <w:rPr>
          <w:rFonts w:ascii="黑体" w:eastAsia="黑体" w:hint="eastAsia"/>
        </w:rPr>
      </w:pPr>
      <w:r>
        <w:rPr>
          <w:rFonts w:ascii="黑体" w:eastAsia="黑体" w:hint="eastAsia"/>
        </w:rPr>
        <w:t>因下列情形之一导致被保险人患原位癌、重大疾病的，我们不承担给付各项保险金的责任：</w:t>
      </w:r>
    </w:p>
    <w:p>
      <w:pPr>
        <w:pStyle w:val="ListParagraph"/>
        <w:numPr>
          <w:ilvl w:val="0"/>
          <w:numId w:val="5"/>
        </w:numPr>
        <w:tabs>
          <w:tab w:pos="539" w:val="left" w:leader="none"/>
        </w:tabs>
        <w:spacing w:line="240" w:lineRule="auto" w:before="24" w:after="0"/>
        <w:ind w:left="545" w:right="0" w:hanging="428"/>
        <w:jc w:val="left"/>
        <w:rPr>
          <w:rFonts w:ascii="黑体" w:eastAsia="黑体" w:hint="eastAsia"/>
          <w:sz w:val="22"/>
        </w:rPr>
      </w:pPr>
      <w:r>
        <w:rPr>
          <w:rFonts w:ascii="黑体" w:eastAsia="黑体" w:hint="eastAsia"/>
          <w:spacing w:val="-3"/>
          <w:sz w:val="22"/>
        </w:rPr>
        <w:t>投保人对被保险人的故意杀害、故意伤害；</w:t>
      </w:r>
    </w:p>
    <w:p>
      <w:pPr>
        <w:pStyle w:val="ListParagraph"/>
        <w:numPr>
          <w:ilvl w:val="0"/>
          <w:numId w:val="5"/>
        </w:numPr>
        <w:tabs>
          <w:tab w:pos="539" w:val="left" w:leader="none"/>
        </w:tabs>
        <w:spacing w:line="261" w:lineRule="auto" w:before="24" w:after="0"/>
        <w:ind w:left="545" w:right="202" w:hanging="428"/>
        <w:jc w:val="left"/>
        <w:rPr>
          <w:rFonts w:ascii="黑体" w:eastAsia="黑体" w:hint="eastAsia"/>
          <w:sz w:val="22"/>
        </w:rPr>
      </w:pPr>
      <w:r>
        <w:rPr>
          <w:rFonts w:ascii="黑体" w:eastAsia="黑体" w:hint="eastAsia"/>
          <w:spacing w:val="-6"/>
          <w:sz w:val="22"/>
        </w:rPr>
        <w:t>被保险人故意犯罪或抗拒依法采取的刑事强制措施、主动吸食或注射</w:t>
      </w:r>
      <w:r>
        <w:rPr>
          <w:rFonts w:ascii="黑体" w:eastAsia="黑体" w:hint="eastAsia"/>
          <w:b/>
          <w:spacing w:val="-32"/>
          <w:sz w:val="22"/>
        </w:rPr>
        <w:t>毒品</w:t>
      </w:r>
      <w:r>
        <w:rPr>
          <w:rFonts w:ascii="黑体" w:eastAsia="黑体" w:hint="eastAsia"/>
          <w:spacing w:val="-3"/>
          <w:sz w:val="22"/>
        </w:rPr>
        <w:t>（</w:t>
      </w:r>
      <w:r>
        <w:rPr>
          <w:rFonts w:ascii="黑体" w:eastAsia="黑体" w:hint="eastAsia"/>
          <w:sz w:val="22"/>
        </w:rPr>
        <w:t>见</w:t>
      </w:r>
      <w:r>
        <w:rPr>
          <w:rFonts w:ascii="黑体" w:eastAsia="黑体" w:hint="eastAsia"/>
          <w:spacing w:val="-14"/>
          <w:sz w:val="22"/>
        </w:rPr>
        <w:t>11.4）</w:t>
      </w:r>
      <w:r>
        <w:rPr>
          <w:rFonts w:ascii="黑体" w:eastAsia="黑体" w:hint="eastAsia"/>
          <w:spacing w:val="-68"/>
          <w:sz w:val="22"/>
        </w:rPr>
        <w:t>、</w:t>
      </w:r>
      <w:r>
        <w:rPr>
          <w:rFonts w:ascii="黑体" w:eastAsia="黑体" w:hint="eastAsia"/>
          <w:b/>
          <w:spacing w:val="-16"/>
          <w:sz w:val="22"/>
        </w:rPr>
        <w:t>酒后驾驶</w:t>
      </w:r>
      <w:r>
        <w:rPr>
          <w:rFonts w:ascii="黑体" w:eastAsia="黑体" w:hint="eastAsia"/>
          <w:sz w:val="22"/>
        </w:rPr>
        <w:t>（见11.5）；</w:t>
      </w:r>
    </w:p>
    <w:p>
      <w:pPr>
        <w:pStyle w:val="ListParagraph"/>
        <w:numPr>
          <w:ilvl w:val="0"/>
          <w:numId w:val="5"/>
        </w:numPr>
        <w:tabs>
          <w:tab w:pos="539" w:val="left" w:leader="none"/>
        </w:tabs>
        <w:spacing w:line="259" w:lineRule="auto" w:before="4" w:after="0"/>
        <w:ind w:left="545" w:right="202" w:hanging="428"/>
        <w:jc w:val="left"/>
        <w:rPr>
          <w:rFonts w:ascii="黑体" w:eastAsia="黑体" w:hint="eastAsia"/>
          <w:sz w:val="22"/>
        </w:rPr>
      </w:pPr>
      <w:r>
        <w:rPr>
          <w:rFonts w:ascii="黑体" w:eastAsia="黑体" w:hint="eastAsia"/>
          <w:spacing w:val="-7"/>
          <w:sz w:val="22"/>
        </w:rPr>
        <w:t>被保险人自本附加合同成立或本附加合同效力恢复之日起二年内自杀，但被保险人自杀时为无民事</w:t>
      </w:r>
      <w:r>
        <w:rPr>
          <w:rFonts w:ascii="黑体" w:eastAsia="黑体" w:hint="eastAsia"/>
          <w:spacing w:val="-3"/>
          <w:sz w:val="22"/>
        </w:rPr>
        <w:t>行为能力人的除外；</w:t>
      </w:r>
    </w:p>
    <w:p>
      <w:pPr>
        <w:pStyle w:val="ListParagraph"/>
        <w:numPr>
          <w:ilvl w:val="0"/>
          <w:numId w:val="5"/>
        </w:numPr>
        <w:tabs>
          <w:tab w:pos="539" w:val="left" w:leader="none"/>
        </w:tabs>
        <w:spacing w:line="240" w:lineRule="auto" w:before="6" w:after="0"/>
        <w:ind w:left="545" w:right="0" w:hanging="428"/>
        <w:jc w:val="left"/>
        <w:rPr>
          <w:rFonts w:ascii="黑体" w:eastAsia="黑体" w:hint="eastAsia"/>
          <w:sz w:val="22"/>
        </w:rPr>
      </w:pPr>
      <w:r>
        <w:rPr>
          <w:rFonts w:ascii="黑体" w:eastAsia="黑体" w:hint="eastAsia"/>
          <w:spacing w:val="-3"/>
          <w:sz w:val="22"/>
        </w:rPr>
        <w:t>核爆炸、核辐射或者核污染、战争、军事冲突、被保险人主动参与暴乱或武装叛乱；</w:t>
      </w:r>
    </w:p>
    <w:p>
      <w:pPr>
        <w:pStyle w:val="ListParagraph"/>
        <w:numPr>
          <w:ilvl w:val="0"/>
          <w:numId w:val="5"/>
        </w:numPr>
        <w:tabs>
          <w:tab w:pos="539" w:val="left" w:leader="none"/>
        </w:tabs>
        <w:spacing w:line="259" w:lineRule="auto" w:before="23" w:after="0"/>
        <w:ind w:left="545" w:right="200" w:hanging="428"/>
        <w:jc w:val="left"/>
        <w:rPr>
          <w:rFonts w:ascii="黑体" w:hAnsi="黑体" w:eastAsia="黑体" w:hint="eastAsia"/>
          <w:sz w:val="22"/>
        </w:rPr>
      </w:pPr>
      <w:r>
        <w:rPr>
          <w:rFonts w:ascii="黑体" w:hAnsi="黑体" w:eastAsia="黑体" w:hint="eastAsia"/>
          <w:spacing w:val="-1"/>
          <w:sz w:val="22"/>
        </w:rPr>
        <w:t>被保险人</w:t>
      </w:r>
      <w:r>
        <w:rPr>
          <w:rFonts w:ascii="黑体" w:hAnsi="黑体" w:eastAsia="黑体" w:hint="eastAsia"/>
          <w:b/>
          <w:sz w:val="22"/>
        </w:rPr>
        <w:t>感染艾滋病病毒或患艾滋病</w:t>
      </w:r>
      <w:r>
        <w:rPr>
          <w:rFonts w:ascii="黑体" w:hAnsi="黑体" w:eastAsia="黑体" w:hint="eastAsia"/>
          <w:sz w:val="22"/>
        </w:rPr>
        <w:t>（</w:t>
      </w:r>
      <w:r>
        <w:rPr>
          <w:rFonts w:ascii="黑体" w:hAnsi="黑体" w:eastAsia="黑体" w:hint="eastAsia"/>
          <w:spacing w:val="-3"/>
          <w:sz w:val="22"/>
        </w:rPr>
        <w:t>见</w:t>
      </w:r>
      <w:r>
        <w:rPr>
          <w:rFonts w:ascii="黑体" w:hAnsi="黑体" w:eastAsia="黑体" w:hint="eastAsia"/>
          <w:sz w:val="22"/>
        </w:rPr>
        <w:t>11.6）</w:t>
      </w:r>
      <w:r>
        <w:rPr>
          <w:rFonts w:ascii="黑体" w:hAnsi="黑体" w:eastAsia="黑体" w:hint="eastAsia"/>
          <w:spacing w:val="-1"/>
          <w:sz w:val="22"/>
        </w:rPr>
        <w:t>，但本附加合同“</w:t>
      </w:r>
      <w:r>
        <w:rPr>
          <w:rFonts w:ascii="黑体" w:hAnsi="黑体" w:eastAsia="黑体" w:hint="eastAsia"/>
          <w:sz w:val="22"/>
        </w:rPr>
        <w:t>10.</w:t>
      </w:r>
      <w:r>
        <w:rPr>
          <w:rFonts w:ascii="黑体" w:hAnsi="黑体" w:eastAsia="黑体" w:hint="eastAsia"/>
          <w:spacing w:val="-3"/>
          <w:sz w:val="22"/>
        </w:rPr>
        <w:t>重大疾病定义”中“艾滋病病毒感染”除外；</w:t>
      </w:r>
    </w:p>
    <w:p>
      <w:pPr>
        <w:pStyle w:val="ListParagraph"/>
        <w:numPr>
          <w:ilvl w:val="0"/>
          <w:numId w:val="5"/>
        </w:numPr>
        <w:tabs>
          <w:tab w:pos="539" w:val="left" w:leader="none"/>
        </w:tabs>
        <w:spacing w:line="240" w:lineRule="auto" w:before="5" w:after="0"/>
        <w:ind w:left="545" w:right="0" w:hanging="428"/>
        <w:jc w:val="left"/>
        <w:rPr>
          <w:rFonts w:ascii="黑体" w:eastAsia="黑体" w:hint="eastAsia"/>
          <w:sz w:val="22"/>
        </w:rPr>
      </w:pPr>
      <w:r>
        <w:rPr>
          <w:rFonts w:ascii="黑体" w:eastAsia="黑体" w:hint="eastAsia"/>
          <w:spacing w:val="-2"/>
          <w:sz w:val="22"/>
        </w:rPr>
        <w:t>被保险人患有</w:t>
      </w:r>
      <w:r>
        <w:rPr>
          <w:rFonts w:ascii="黑体" w:eastAsia="黑体" w:hint="eastAsia"/>
          <w:b/>
          <w:sz w:val="22"/>
        </w:rPr>
        <w:t>遗传性疾病</w:t>
      </w:r>
      <w:r>
        <w:rPr>
          <w:rFonts w:ascii="黑体" w:eastAsia="黑体" w:hint="eastAsia"/>
          <w:spacing w:val="0"/>
          <w:sz w:val="22"/>
        </w:rPr>
        <w:t>( 见</w:t>
      </w:r>
      <w:r>
        <w:rPr>
          <w:rFonts w:ascii="黑体" w:eastAsia="黑体" w:hint="eastAsia"/>
          <w:sz w:val="22"/>
        </w:rPr>
        <w:t>11.7)，</w:t>
      </w:r>
      <w:r>
        <w:rPr>
          <w:rFonts w:ascii="黑体" w:eastAsia="黑体" w:hint="eastAsia"/>
          <w:b/>
          <w:sz w:val="22"/>
        </w:rPr>
        <w:t>先天性疾病、畸形、变形或染色体异常</w:t>
      </w:r>
      <w:r>
        <w:rPr>
          <w:rFonts w:ascii="黑体" w:eastAsia="黑体" w:hint="eastAsia"/>
          <w:spacing w:val="-2"/>
          <w:sz w:val="22"/>
        </w:rPr>
        <w:t>(见</w:t>
      </w:r>
      <w:r>
        <w:rPr>
          <w:rFonts w:ascii="黑体" w:eastAsia="黑体" w:hint="eastAsia"/>
          <w:sz w:val="22"/>
        </w:rPr>
        <w:t>11.8)。</w:t>
      </w:r>
    </w:p>
    <w:p>
      <w:pPr>
        <w:pStyle w:val="BodyText"/>
        <w:spacing w:before="8"/>
        <w:ind w:left="0"/>
        <w:rPr>
          <w:rFonts w:ascii="黑体"/>
          <w:sz w:val="25"/>
        </w:rPr>
      </w:pPr>
    </w:p>
    <w:p>
      <w:pPr>
        <w:pStyle w:val="BodyText"/>
        <w:spacing w:line="259" w:lineRule="auto" w:before="0"/>
        <w:ind w:right="201" w:firstLine="427"/>
        <w:jc w:val="both"/>
        <w:rPr>
          <w:rFonts w:ascii="黑体" w:eastAsia="黑体" w:hint="eastAsia"/>
        </w:rPr>
      </w:pPr>
      <w:r>
        <w:rPr>
          <w:rFonts w:ascii="黑体" w:eastAsia="黑体" w:hint="eastAsia"/>
        </w:rPr>
        <w:t>发Th上述第(1)项情形导致被保险人被确诊为重大疾病的，本合同终止，我们向被保险人给付本合同终止时的</w:t>
      </w:r>
      <w:r>
        <w:rPr>
          <w:rFonts w:ascii="黑体" w:eastAsia="黑体" w:hint="eastAsia"/>
          <w:b/>
        </w:rPr>
        <w:t>现金价值</w:t>
      </w:r>
      <w:r>
        <w:rPr>
          <w:rFonts w:ascii="黑体" w:eastAsia="黑体" w:hint="eastAsia"/>
        </w:rPr>
        <w:t>（见11.9）。</w:t>
      </w:r>
    </w:p>
    <w:p>
      <w:pPr>
        <w:pStyle w:val="BodyText"/>
        <w:spacing w:line="259" w:lineRule="auto" w:before="6"/>
        <w:ind w:right="200" w:firstLine="427"/>
        <w:jc w:val="both"/>
        <w:rPr>
          <w:rFonts w:ascii="黑体" w:eastAsia="黑体" w:hint="eastAsia"/>
        </w:rPr>
      </w:pPr>
      <w:r>
        <w:rPr>
          <w:rFonts w:ascii="黑体" w:eastAsia="黑体" w:hint="eastAsia"/>
        </w:rPr>
        <w:t>发Th</w:t>
      </w:r>
      <w:r>
        <w:rPr>
          <w:rFonts w:ascii="黑体" w:eastAsia="黑体" w:hint="eastAsia"/>
          <w:spacing w:val="-2"/>
        </w:rPr>
        <w:t>上述第</w:t>
      </w:r>
      <w:r>
        <w:rPr>
          <w:rFonts w:ascii="黑体" w:eastAsia="黑体" w:hint="eastAsia"/>
        </w:rPr>
        <w:t>(2)</w:t>
      </w:r>
      <w:r>
        <w:rPr>
          <w:rFonts w:ascii="黑体" w:eastAsia="黑体" w:hint="eastAsia"/>
          <w:spacing w:val="-2"/>
        </w:rPr>
        <w:t>项至第(</w:t>
      </w:r>
      <w:r>
        <w:rPr>
          <w:rFonts w:ascii="黑体" w:eastAsia="黑体" w:hint="eastAsia"/>
        </w:rPr>
        <w:t>6</w:t>
      </w:r>
      <w:r>
        <w:rPr>
          <w:rFonts w:ascii="黑体" w:eastAsia="黑体" w:hint="eastAsia"/>
          <w:spacing w:val="-8"/>
        </w:rPr>
        <w:t>)项情形导致被保险人被确诊为重大疾病的，本合同终止，我们向您退还本</w:t>
      </w:r>
      <w:r>
        <w:rPr>
          <w:rFonts w:ascii="黑体" w:eastAsia="黑体" w:hint="eastAsia"/>
          <w:spacing w:val="-5"/>
        </w:rPr>
        <w:t>合同终止时的现金价值。</w:t>
      </w:r>
    </w:p>
    <w:p>
      <w:pPr>
        <w:pStyle w:val="BodyText"/>
        <w:spacing w:before="6"/>
        <w:ind w:left="545"/>
        <w:rPr>
          <w:rFonts w:ascii="黑体" w:hAnsi="黑体" w:eastAsia="黑体" w:hint="eastAsia"/>
        </w:rPr>
      </w:pPr>
      <w:r>
        <w:rPr>
          <w:rFonts w:ascii="黑体" w:hAnsi="黑体" w:eastAsia="黑体" w:hint="eastAsia"/>
        </w:rPr>
        <w:t>发Th上述第(1)项至第(6)情形导致被保险人被确诊为原位癌的，“原位癌额外保险金”责任终止。</w:t>
      </w:r>
    </w:p>
    <w:p>
      <w:pPr>
        <w:spacing w:after="0"/>
        <w:rPr>
          <w:rFonts w:ascii="黑体" w:hAnsi="黑体" w:eastAsia="黑体" w:hint="eastAsia"/>
        </w:rPr>
        <w:sectPr>
          <w:pgSz w:w="11910" w:h="16840"/>
          <w:pgMar w:top="1380" w:bottom="280" w:left="960" w:right="840"/>
        </w:sectPr>
      </w:pPr>
    </w:p>
    <w:p>
      <w:pPr>
        <w:pStyle w:val="Heading2"/>
        <w:numPr>
          <w:ilvl w:val="0"/>
          <w:numId w:val="4"/>
        </w:numPr>
        <w:tabs>
          <w:tab w:pos="559" w:val="left" w:leader="none"/>
        </w:tabs>
        <w:spacing w:line="357" w:lineRule="exact" w:before="0" w:after="0"/>
        <w:ind w:left="558" w:right="0" w:hanging="421"/>
        <w:jc w:val="left"/>
      </w:pPr>
      <w:r>
        <w:rPr/>
        <w:t>保险费的支付</w:t>
      </w:r>
    </w:p>
    <w:p>
      <w:pPr>
        <w:pStyle w:val="BodyText"/>
        <w:spacing w:before="5"/>
        <w:ind w:left="0"/>
        <w:rPr>
          <w:b/>
          <w:sz w:val="11"/>
        </w:rPr>
      </w:pPr>
      <w:r>
        <w:rPr/>
        <w:pict>
          <v:group style="position:absolute;margin-left:52.439999pt;margin-top:9.431265pt;width:494.9pt;height:1.45pt;mso-position-horizontal-relative:page;mso-position-vertical-relative:paragraph;z-index:1096;mso-wrap-distance-left:0;mso-wrap-distance-right:0" coordorigin="1049,189" coordsize="9898,29">
            <v:line style="position:absolute" from="1049,213" to="10946,213" stroked="true" strokeweight=".48pt" strokecolor="#000000">
              <v:stroke dashstyle="solid"/>
            </v:line>
            <v:line style="position:absolute" from="1049,193" to="10946,193" stroked="true" strokeweight=".48pt" strokecolor="#000000">
              <v:stroke dashstyle="solid"/>
            </v:line>
            <w10:wrap type="topAndBottom"/>
          </v:group>
        </w:pict>
      </w:r>
    </w:p>
    <w:p>
      <w:pPr>
        <w:pStyle w:val="BodyText"/>
        <w:spacing w:before="2"/>
        <w:ind w:left="0"/>
        <w:rPr>
          <w:b/>
          <w:sz w:val="14"/>
        </w:rPr>
      </w:pPr>
    </w:p>
    <w:p>
      <w:pPr>
        <w:pStyle w:val="Heading3"/>
        <w:numPr>
          <w:ilvl w:val="1"/>
          <w:numId w:val="4"/>
        </w:numPr>
        <w:tabs>
          <w:tab w:pos="623" w:val="left" w:leader="none"/>
        </w:tabs>
        <w:spacing w:line="240" w:lineRule="auto" w:before="26" w:after="0"/>
        <w:ind w:left="622" w:right="0" w:hanging="485"/>
        <w:jc w:val="left"/>
      </w:pPr>
      <w:r>
        <w:rPr>
          <w:w w:val="95"/>
        </w:rPr>
        <w:t>保险费的支付</w:t>
      </w:r>
    </w:p>
    <w:p>
      <w:pPr>
        <w:pStyle w:val="BodyText"/>
        <w:spacing w:before="16"/>
        <w:ind w:left="565"/>
      </w:pPr>
      <w:r>
        <w:rPr/>
        <w:t>您在投保时与我们约定本附加合同的交费方式和交费期间，并在保险单上载明。</w:t>
      </w:r>
    </w:p>
    <w:p>
      <w:pPr>
        <w:pStyle w:val="BodyText"/>
        <w:spacing w:line="259" w:lineRule="auto" w:before="23"/>
        <w:ind w:left="137" w:right="164" w:firstLine="427"/>
        <w:jc w:val="both"/>
      </w:pPr>
      <w:r>
        <w:rPr>
          <w:spacing w:val="-6"/>
        </w:rPr>
        <w:t>分期支付保险费的，在支付首期保险费后，您应当按照本附加合同约定，在每个保险费约定支付日</w:t>
      </w:r>
      <w:r>
        <w:rPr>
          <w:spacing w:val="-5"/>
        </w:rPr>
        <w:t>支付其余各期的保险费。</w:t>
      </w:r>
    </w:p>
    <w:p>
      <w:pPr>
        <w:pStyle w:val="BodyText"/>
        <w:spacing w:before="11"/>
        <w:ind w:left="0"/>
      </w:pPr>
    </w:p>
    <w:p>
      <w:pPr>
        <w:pStyle w:val="Heading3"/>
        <w:numPr>
          <w:ilvl w:val="1"/>
          <w:numId w:val="4"/>
        </w:numPr>
        <w:tabs>
          <w:tab w:pos="623" w:val="left" w:leader="none"/>
        </w:tabs>
        <w:spacing w:line="240" w:lineRule="auto" w:before="0" w:after="0"/>
        <w:ind w:left="622" w:right="0" w:hanging="485"/>
        <w:jc w:val="left"/>
      </w:pPr>
      <w:r>
        <w:rPr>
          <w:w w:val="95"/>
        </w:rPr>
        <w:t>保险费费率调整</w:t>
      </w:r>
    </w:p>
    <w:p>
      <w:pPr>
        <w:pStyle w:val="BodyText"/>
        <w:spacing w:line="261" w:lineRule="auto" w:before="16"/>
        <w:ind w:left="137" w:right="121" w:firstLine="425"/>
        <w:jc w:val="both"/>
      </w:pPr>
      <w:r>
        <w:rPr/>
        <w:t>我们可以根据整体风险的变化情况调整本合同保险费率，并向中国保险监督管理机构进行备案。费率的调整，适用于本附加合同的所有被保险人或同一投保年龄或同一性别的所有被保险人。</w:t>
      </w:r>
    </w:p>
    <w:p>
      <w:pPr>
        <w:pStyle w:val="BodyText"/>
        <w:spacing w:line="259" w:lineRule="auto" w:before="4"/>
        <w:ind w:left="137" w:right="116" w:firstLine="425"/>
        <w:jc w:val="both"/>
      </w:pPr>
      <w:r>
        <w:rPr>
          <w:spacing w:val="-3"/>
        </w:rPr>
        <w:t>如有保险费率的调整，我们将以书面形式通知您，如您同意，则您须按调整后的保险费率支付续保</w:t>
      </w:r>
      <w:r>
        <w:rPr>
          <w:spacing w:val="-5"/>
        </w:rPr>
        <w:t>保险费，保险费率调整前您已经支付的保险费不受影响。如不同意，则您可以选择解除合同，相关内容</w:t>
      </w:r>
      <w:r>
        <w:rPr>
          <w:spacing w:val="-3"/>
        </w:rPr>
        <w:t>参见本附加合同</w:t>
      </w:r>
      <w:r>
        <w:rPr/>
        <w:t>“6.1</w:t>
      </w:r>
      <w:r>
        <w:rPr>
          <w:spacing w:val="-3"/>
        </w:rPr>
        <w:t>您解除合同的手续及风险”。</w:t>
      </w:r>
    </w:p>
    <w:p>
      <w:pPr>
        <w:pStyle w:val="BodyText"/>
        <w:spacing w:before="0"/>
        <w:ind w:left="0"/>
      </w:pPr>
    </w:p>
    <w:p>
      <w:pPr>
        <w:pStyle w:val="BodyText"/>
        <w:spacing w:before="2"/>
        <w:ind w:left="0"/>
        <w:rPr>
          <w:sz w:val="32"/>
        </w:rPr>
      </w:pPr>
    </w:p>
    <w:p>
      <w:pPr>
        <w:pStyle w:val="Heading2"/>
        <w:numPr>
          <w:ilvl w:val="0"/>
          <w:numId w:val="4"/>
        </w:numPr>
        <w:tabs>
          <w:tab w:pos="559" w:val="left" w:leader="none"/>
        </w:tabs>
        <w:spacing w:line="240" w:lineRule="auto" w:before="0" w:after="0"/>
        <w:ind w:left="558" w:right="0" w:hanging="421"/>
        <w:jc w:val="left"/>
      </w:pPr>
      <w:r>
        <w:rPr/>
        <w:t>保险金的申请</w:t>
      </w:r>
    </w:p>
    <w:p>
      <w:pPr>
        <w:pStyle w:val="BodyText"/>
        <w:spacing w:before="7"/>
        <w:ind w:left="0"/>
        <w:rPr>
          <w:b/>
          <w:sz w:val="11"/>
        </w:rPr>
      </w:pPr>
      <w:r>
        <w:rPr/>
        <w:pict>
          <v:group style="position:absolute;margin-left:52.439999pt;margin-top:9.530552pt;width:494.9pt;height:1.45pt;mso-position-horizontal-relative:page;mso-position-vertical-relative:paragraph;z-index:1120;mso-wrap-distance-left:0;mso-wrap-distance-right:0" coordorigin="1049,191" coordsize="9898,29">
            <v:line style="position:absolute" from="1049,215" to="10946,215" stroked="true" strokeweight=".48001pt" strokecolor="#000000">
              <v:stroke dashstyle="solid"/>
            </v:line>
            <v:line style="position:absolute" from="1049,195" to="10946,195" stroked="true" strokeweight=".47998pt" strokecolor="#000000">
              <v:stroke dashstyle="solid"/>
            </v:line>
            <w10:wrap type="topAndBottom"/>
          </v:group>
        </w:pict>
      </w:r>
    </w:p>
    <w:p>
      <w:pPr>
        <w:pStyle w:val="BodyText"/>
        <w:spacing w:before="2"/>
        <w:ind w:left="0"/>
        <w:rPr>
          <w:b/>
          <w:sz w:val="14"/>
        </w:rPr>
      </w:pPr>
    </w:p>
    <w:p>
      <w:pPr>
        <w:pStyle w:val="Heading3"/>
        <w:numPr>
          <w:ilvl w:val="1"/>
          <w:numId w:val="4"/>
        </w:numPr>
        <w:tabs>
          <w:tab w:pos="623" w:val="left" w:leader="none"/>
        </w:tabs>
        <w:spacing w:line="240" w:lineRule="auto" w:before="26" w:after="0"/>
        <w:ind w:left="622" w:right="0" w:hanging="485"/>
        <w:jc w:val="left"/>
      </w:pPr>
      <w:r>
        <w:rPr>
          <w:w w:val="95"/>
        </w:rPr>
        <w:t>受益人</w:t>
      </w:r>
    </w:p>
    <w:p>
      <w:pPr>
        <w:pStyle w:val="BodyText"/>
        <w:spacing w:before="16"/>
        <w:ind w:left="565"/>
      </w:pPr>
      <w:r>
        <w:rPr/>
        <w:t>您或者被保险人可以指定一人或多人为保险金受益人。</w:t>
      </w:r>
    </w:p>
    <w:p>
      <w:pPr>
        <w:pStyle w:val="BodyText"/>
        <w:ind w:left="577"/>
      </w:pPr>
      <w:r>
        <w:rPr/>
        <w:t>除另有指定外，本附加合同各项保险金的受益人为被保险人本人。</w:t>
      </w:r>
    </w:p>
    <w:p>
      <w:pPr>
        <w:pStyle w:val="BodyText"/>
        <w:spacing w:line="259" w:lineRule="auto"/>
        <w:ind w:left="137" w:right="220" w:firstLine="427"/>
      </w:pPr>
      <w:r>
        <w:rPr>
          <w:spacing w:val="-9"/>
        </w:rPr>
        <w:t>保险金受益人为多人时，可以确定受益顺序和受益份额。如果没有确定顺序，各受益人均按照第一</w:t>
      </w:r>
      <w:r>
        <w:rPr>
          <w:spacing w:val="-6"/>
        </w:rPr>
        <w:t>顺序享有受益权；如果没有确定份额，各受益人按照相等份额享有受益权。</w:t>
      </w:r>
    </w:p>
    <w:p>
      <w:pPr>
        <w:pStyle w:val="BodyText"/>
        <w:spacing w:before="6"/>
        <w:ind w:left="565"/>
      </w:pPr>
      <w:r>
        <w:rPr/>
        <w:t>被保险人为无民事行为能力人或限制民事行为能力人的，可以由其监护人指定受益人。</w:t>
      </w:r>
    </w:p>
    <w:p>
      <w:pPr>
        <w:pStyle w:val="BodyText"/>
        <w:spacing w:line="259" w:lineRule="auto" w:before="23"/>
        <w:ind w:left="137" w:right="116" w:firstLine="427"/>
      </w:pPr>
      <w:r>
        <w:rPr>
          <w:spacing w:val="-3"/>
        </w:rPr>
        <w:t>保险事故发生前，您或被保险人可以变更保险金受益人、受益顺序或受益份额，并书面通知我们。我们收到变更的书面通知后，在保险单或其他保险凭证上批注或附贴批单，变更的生效时间以批注或 者批单上载明的时间为准。</w:t>
      </w:r>
    </w:p>
    <w:p>
      <w:pPr>
        <w:pStyle w:val="BodyText"/>
        <w:spacing w:before="6"/>
        <w:ind w:left="565"/>
      </w:pPr>
      <w:r>
        <w:rPr/>
        <w:t>您在指定和变更保险金受益人、受益顺序或受益份额时，必须经过被保险人同意。</w:t>
      </w:r>
    </w:p>
    <w:p>
      <w:pPr>
        <w:pStyle w:val="BodyText"/>
        <w:spacing w:line="259" w:lineRule="auto" w:before="25"/>
        <w:ind w:left="137" w:right="224" w:firstLine="427"/>
      </w:pPr>
      <w:r>
        <w:rPr>
          <w:spacing w:val="-10"/>
        </w:rPr>
        <w:t>被保险人身故后，有下列情形之一的，保险金作为被保险人的遗产，由我们依照《中华人民共和国</w:t>
      </w:r>
      <w:r>
        <w:rPr>
          <w:spacing w:val="-7"/>
        </w:rPr>
        <w:t>继承法》的规定履行给付保险金的义务：</w:t>
      </w:r>
    </w:p>
    <w:p>
      <w:pPr>
        <w:pStyle w:val="ListParagraph"/>
        <w:numPr>
          <w:ilvl w:val="0"/>
          <w:numId w:val="6"/>
        </w:numPr>
        <w:tabs>
          <w:tab w:pos="979" w:val="left" w:leader="none"/>
        </w:tabs>
        <w:spacing w:line="240" w:lineRule="auto" w:before="6" w:after="0"/>
        <w:ind w:left="978" w:right="0" w:hanging="413"/>
        <w:jc w:val="left"/>
        <w:rPr>
          <w:sz w:val="22"/>
        </w:rPr>
      </w:pPr>
      <w:r>
        <w:rPr>
          <w:spacing w:val="-3"/>
          <w:sz w:val="22"/>
        </w:rPr>
        <w:t>没有指定受益人，或者受益人指定不明无法确定的；</w:t>
      </w:r>
    </w:p>
    <w:p>
      <w:pPr>
        <w:pStyle w:val="ListParagraph"/>
        <w:numPr>
          <w:ilvl w:val="0"/>
          <w:numId w:val="6"/>
        </w:numPr>
        <w:tabs>
          <w:tab w:pos="979" w:val="left" w:leader="none"/>
        </w:tabs>
        <w:spacing w:line="240" w:lineRule="auto" w:before="23" w:after="0"/>
        <w:ind w:left="978" w:right="0" w:hanging="413"/>
        <w:jc w:val="left"/>
        <w:rPr>
          <w:sz w:val="22"/>
        </w:rPr>
      </w:pPr>
      <w:r>
        <w:rPr>
          <w:spacing w:val="-3"/>
          <w:sz w:val="22"/>
        </w:rPr>
        <w:t>受益人先于被保险人身故，没有其他受益人的；</w:t>
      </w:r>
    </w:p>
    <w:p>
      <w:pPr>
        <w:pStyle w:val="ListParagraph"/>
        <w:numPr>
          <w:ilvl w:val="0"/>
          <w:numId w:val="6"/>
        </w:numPr>
        <w:tabs>
          <w:tab w:pos="979" w:val="left" w:leader="none"/>
        </w:tabs>
        <w:spacing w:line="240" w:lineRule="auto" w:before="23" w:after="0"/>
        <w:ind w:left="978" w:right="0" w:hanging="413"/>
        <w:jc w:val="left"/>
        <w:rPr>
          <w:sz w:val="22"/>
        </w:rPr>
      </w:pPr>
      <w:r>
        <w:rPr>
          <w:spacing w:val="-3"/>
          <w:sz w:val="22"/>
        </w:rPr>
        <w:t>受益人依法丧失受益权或者放弃受益权，没有其他受益人的。</w:t>
      </w:r>
    </w:p>
    <w:p>
      <w:pPr>
        <w:pStyle w:val="BodyText"/>
        <w:spacing w:before="8"/>
        <w:ind w:left="0"/>
        <w:rPr>
          <w:sz w:val="25"/>
        </w:rPr>
      </w:pPr>
    </w:p>
    <w:p>
      <w:pPr>
        <w:pStyle w:val="BodyText"/>
        <w:spacing w:before="0"/>
        <w:ind w:left="565"/>
      </w:pPr>
      <w:r>
        <w:rPr/>
        <w:t>受益人与被保险人在同一事件中身故，且不能确定身故先后顺序的，推定受益人身故在先。</w:t>
      </w:r>
    </w:p>
    <w:p>
      <w:pPr>
        <w:pStyle w:val="BodyText"/>
        <w:spacing w:line="259" w:lineRule="auto"/>
        <w:ind w:left="137" w:right="222" w:firstLine="427"/>
      </w:pPr>
      <w:r>
        <w:rPr>
          <w:spacing w:val="-9"/>
        </w:rPr>
        <w:t>受益人故意造成被保险人身故、伤残、疾病的，或者故意杀害被保险人未遂的，该受益人丧失受益权。</w:t>
      </w:r>
    </w:p>
    <w:p>
      <w:pPr>
        <w:pStyle w:val="BodyText"/>
        <w:spacing w:before="12"/>
        <w:ind w:left="0"/>
      </w:pPr>
    </w:p>
    <w:p>
      <w:pPr>
        <w:pStyle w:val="Heading3"/>
        <w:numPr>
          <w:ilvl w:val="1"/>
          <w:numId w:val="4"/>
        </w:numPr>
        <w:tabs>
          <w:tab w:pos="623" w:val="left" w:leader="none"/>
        </w:tabs>
        <w:spacing w:line="240" w:lineRule="auto" w:before="0" w:after="0"/>
        <w:ind w:left="622" w:right="0" w:hanging="485"/>
        <w:jc w:val="left"/>
      </w:pPr>
      <w:r>
        <w:rPr>
          <w:w w:val="95"/>
        </w:rPr>
        <w:t>保险事故通知</w:t>
      </w:r>
    </w:p>
    <w:p>
      <w:pPr>
        <w:pStyle w:val="BodyText"/>
        <w:spacing w:before="16"/>
        <w:ind w:left="565"/>
      </w:pPr>
      <w:r>
        <w:rPr/>
        <w:t>您、被保险人或受益人知道保险事故发生后应当在十日内通知我们。</w:t>
      </w:r>
    </w:p>
    <w:p>
      <w:pPr>
        <w:pStyle w:val="BodyText"/>
        <w:spacing w:line="259" w:lineRule="auto"/>
        <w:ind w:left="137" w:right="106" w:firstLine="427"/>
        <w:jc w:val="both"/>
      </w:pPr>
      <w:r>
        <w:rPr>
          <w:spacing w:val="-7"/>
        </w:rPr>
        <w:t>如果您、被保险人或受益人故意或者因重大过失未及时通知我们，致使保险事故的性质、原因、损</w:t>
      </w:r>
      <w:r>
        <w:rPr>
          <w:spacing w:val="-9"/>
        </w:rPr>
        <w:t>失程度等难以确定的，我们对无法确定的部分，不承担给付保险金的责任，但我们通过其他途径已经及</w:t>
      </w:r>
      <w:r>
        <w:rPr>
          <w:spacing w:val="-6"/>
        </w:rPr>
        <w:t>时知道或者应当及时知道保险事故发生或者您虽未及时通知但不影响我们确定保险事故的性质、原因、</w:t>
      </w:r>
    </w:p>
    <w:p>
      <w:pPr>
        <w:spacing w:after="0" w:line="259" w:lineRule="auto"/>
        <w:jc w:val="both"/>
        <w:sectPr>
          <w:pgSz w:w="11910" w:h="16840"/>
          <w:pgMar w:top="1520" w:bottom="280" w:left="940" w:right="820"/>
        </w:sectPr>
      </w:pPr>
    </w:p>
    <w:p>
      <w:pPr>
        <w:pStyle w:val="BodyText"/>
        <w:spacing w:before="20"/>
      </w:pPr>
      <w:r>
        <w:rPr/>
        <w:t>损失程度的除外。</w:t>
      </w:r>
    </w:p>
    <w:p>
      <w:pPr>
        <w:pStyle w:val="BodyText"/>
        <w:spacing w:before="3"/>
        <w:ind w:left="0"/>
        <w:rPr>
          <w:sz w:val="24"/>
        </w:rPr>
      </w:pPr>
    </w:p>
    <w:p>
      <w:pPr>
        <w:pStyle w:val="Heading3"/>
        <w:numPr>
          <w:ilvl w:val="1"/>
          <w:numId w:val="4"/>
        </w:numPr>
        <w:tabs>
          <w:tab w:pos="603" w:val="left" w:leader="none"/>
        </w:tabs>
        <w:spacing w:line="240" w:lineRule="auto" w:before="0" w:after="0"/>
        <w:ind w:left="602" w:right="0" w:hanging="485"/>
        <w:jc w:val="left"/>
      </w:pPr>
      <w:r>
        <w:rPr>
          <w:w w:val="95"/>
        </w:rPr>
        <w:t>保险金申请</w:t>
      </w:r>
    </w:p>
    <w:p>
      <w:pPr>
        <w:pStyle w:val="BodyText"/>
        <w:spacing w:before="16"/>
        <w:ind w:left="545"/>
      </w:pPr>
      <w:r>
        <w:rPr/>
        <w:t>在申请保险金时，受益人需要填写申请书，并提供下列证明和资料的原件：</w:t>
      </w:r>
    </w:p>
    <w:p>
      <w:pPr>
        <w:pStyle w:val="BodyText"/>
        <w:spacing w:before="8"/>
        <w:ind w:left="0"/>
        <w:rPr>
          <w:sz w:val="25"/>
        </w:rPr>
      </w:pPr>
    </w:p>
    <w:p>
      <w:pPr>
        <w:pStyle w:val="Heading4"/>
        <w:numPr>
          <w:ilvl w:val="2"/>
          <w:numId w:val="4"/>
        </w:numPr>
        <w:tabs>
          <w:tab w:pos="783" w:val="left" w:leader="none"/>
        </w:tabs>
        <w:spacing w:line="240" w:lineRule="auto" w:before="0" w:after="0"/>
        <w:ind w:left="782" w:right="0" w:hanging="665"/>
        <w:jc w:val="left"/>
      </w:pPr>
      <w:r>
        <w:rPr>
          <w:w w:val="95"/>
        </w:rPr>
        <w:t>原位癌额外保险金申请</w:t>
      </w:r>
    </w:p>
    <w:p>
      <w:pPr>
        <w:pStyle w:val="BodyText"/>
        <w:spacing w:before="23"/>
      </w:pPr>
      <w:r>
        <w:rPr/>
        <w:t>（1）保险合同；</w:t>
      </w:r>
    </w:p>
    <w:p>
      <w:pPr>
        <w:pStyle w:val="BodyText"/>
        <w:spacing w:before="23"/>
      </w:pPr>
      <w:r>
        <w:rPr/>
        <w:t>（2）被保险人的户籍证明与有效身份证件；</w:t>
      </w:r>
    </w:p>
    <w:p>
      <w:pPr>
        <w:pStyle w:val="BodyText"/>
        <w:spacing w:line="259" w:lineRule="auto" w:before="23"/>
        <w:ind w:left="684" w:right="103" w:hanging="567"/>
      </w:pPr>
      <w:r>
        <w:rPr>
          <w:spacing w:val="3"/>
        </w:rPr>
        <w:t>（3）</w:t>
      </w:r>
      <w:r>
        <w:rPr>
          <w:spacing w:val="-7"/>
        </w:rPr>
        <w:t>本公司指定或认可的医疗机构出具的被保险人疾病诊断书或诊断证明、病理检查、血液检验及其他科</w:t>
      </w:r>
      <w:r>
        <w:rPr>
          <w:spacing w:val="-5"/>
        </w:rPr>
        <w:t>学方法检验报告；</w:t>
      </w:r>
    </w:p>
    <w:p>
      <w:pPr>
        <w:pStyle w:val="BodyText"/>
        <w:spacing w:before="6"/>
      </w:pPr>
      <w:r>
        <w:rPr/>
        <w:t>（4）被保险人完整的门急诊病历卡（含首诊病历）和出院小结；</w:t>
      </w:r>
    </w:p>
    <w:p>
      <w:pPr>
        <w:pStyle w:val="BodyText"/>
        <w:spacing w:before="23"/>
      </w:pPr>
      <w:r>
        <w:rPr/>
        <w:t>（5）所能提供的与确认保险事故的性质、原因等有关的其他证明文件和资料。</w:t>
      </w:r>
    </w:p>
    <w:p>
      <w:pPr>
        <w:pStyle w:val="BodyText"/>
        <w:spacing w:before="8"/>
        <w:ind w:left="0"/>
        <w:rPr>
          <w:sz w:val="25"/>
        </w:rPr>
      </w:pPr>
    </w:p>
    <w:p>
      <w:pPr>
        <w:pStyle w:val="Heading4"/>
        <w:numPr>
          <w:ilvl w:val="2"/>
          <w:numId w:val="4"/>
        </w:numPr>
        <w:tabs>
          <w:tab w:pos="783" w:val="left" w:leader="none"/>
        </w:tabs>
        <w:spacing w:line="240" w:lineRule="auto" w:before="0" w:after="0"/>
        <w:ind w:left="782" w:right="0" w:hanging="665"/>
        <w:jc w:val="left"/>
      </w:pPr>
      <w:r>
        <w:rPr>
          <w:spacing w:val="-1"/>
          <w:w w:val="95"/>
        </w:rPr>
        <w:t>重大疾病保险金及重大疾病关爱金申请</w:t>
      </w:r>
    </w:p>
    <w:p>
      <w:pPr>
        <w:pStyle w:val="BodyText"/>
        <w:spacing w:before="23"/>
      </w:pPr>
      <w:r>
        <w:rPr/>
        <w:t>（1）保险合同；</w:t>
      </w:r>
    </w:p>
    <w:p>
      <w:pPr>
        <w:pStyle w:val="BodyText"/>
        <w:spacing w:before="23"/>
      </w:pPr>
      <w:r>
        <w:rPr/>
        <w:t>（2）被保险人的户籍证明与有效身份证件；</w:t>
      </w:r>
    </w:p>
    <w:p>
      <w:pPr>
        <w:pStyle w:val="BodyText"/>
        <w:spacing w:line="259" w:lineRule="auto" w:before="23"/>
        <w:ind w:left="684" w:right="103" w:hanging="567"/>
      </w:pPr>
      <w:r>
        <w:rPr>
          <w:spacing w:val="3"/>
        </w:rPr>
        <w:t>（3）</w:t>
      </w:r>
      <w:r>
        <w:rPr>
          <w:spacing w:val="-7"/>
        </w:rPr>
        <w:t>本公司指定或认可的医疗机构出具的被保险人疾病诊断书或诊断证明、病理检查、血液检验及其他科</w:t>
      </w:r>
      <w:r>
        <w:rPr>
          <w:spacing w:val="-5"/>
        </w:rPr>
        <w:t>学方法检验报告；</w:t>
      </w:r>
    </w:p>
    <w:p>
      <w:pPr>
        <w:pStyle w:val="BodyText"/>
        <w:spacing w:before="6"/>
      </w:pPr>
      <w:r>
        <w:rPr/>
        <w:t>（4）被保险人完整的门急诊病历卡（含首诊病历）和出院小结；</w:t>
      </w:r>
    </w:p>
    <w:p>
      <w:pPr>
        <w:pStyle w:val="BodyText"/>
      </w:pPr>
      <w:r>
        <w:rPr/>
        <w:t>（5）所能提供的与确认保险事故的性质、原因等有关的其他证明文件和资料。</w:t>
      </w:r>
    </w:p>
    <w:p>
      <w:pPr>
        <w:pStyle w:val="BodyText"/>
        <w:spacing w:before="8"/>
        <w:ind w:left="0"/>
        <w:rPr>
          <w:sz w:val="25"/>
        </w:rPr>
      </w:pPr>
    </w:p>
    <w:p>
      <w:pPr>
        <w:pStyle w:val="BodyText"/>
        <w:spacing w:line="259" w:lineRule="auto" w:before="0"/>
        <w:ind w:right="480" w:firstLine="425"/>
      </w:pPr>
      <w:r>
        <w:rPr>
          <w:spacing w:val="-10"/>
        </w:rPr>
        <w:t>对于以上各项保险金，如受益人委托他人代为申请的，受托人还应提供受益人亲笔签名的授权委托</w:t>
      </w:r>
      <w:r>
        <w:rPr>
          <w:spacing w:val="-3"/>
        </w:rPr>
        <w:t>书、受托人的有效身份证件等相关证明文件。</w:t>
      </w:r>
    </w:p>
    <w:p>
      <w:pPr>
        <w:pStyle w:val="BodyText"/>
        <w:spacing w:before="6"/>
        <w:ind w:left="542"/>
      </w:pPr>
      <w:r>
        <w:rPr/>
        <w:t>保险金作为被保险人遗产时，继承人还必须提供可证明合法继承权的相关权利文件。</w:t>
      </w:r>
    </w:p>
    <w:p>
      <w:pPr>
        <w:pStyle w:val="BodyText"/>
        <w:spacing w:line="259" w:lineRule="auto"/>
        <w:ind w:right="484" w:firstLine="425"/>
      </w:pPr>
      <w:r>
        <w:rPr>
          <w:spacing w:val="-8"/>
        </w:rPr>
        <w:t>受益人或继承人为未成年人或无民事行为能力人的，由其合法监护人代其申请领取保险金，其合法</w:t>
      </w:r>
      <w:r>
        <w:rPr>
          <w:spacing w:val="-5"/>
        </w:rPr>
        <w:t>监护人还必须提供受益人或继承人为未成年人或无民事行为能力人的证明和监护人具有合法监护权的证明。</w:t>
      </w:r>
    </w:p>
    <w:p>
      <w:pPr>
        <w:pStyle w:val="BodyText"/>
        <w:spacing w:before="6"/>
        <w:ind w:left="542"/>
      </w:pPr>
      <w:r>
        <w:rPr/>
        <w:t>以上证明和资料不完整的，我们将一次性通知受益人补充提供有关证明和资料。</w:t>
      </w:r>
    </w:p>
    <w:p>
      <w:pPr>
        <w:pStyle w:val="BodyText"/>
        <w:spacing w:before="3"/>
        <w:ind w:left="0"/>
        <w:rPr>
          <w:sz w:val="24"/>
        </w:rPr>
      </w:pPr>
    </w:p>
    <w:p>
      <w:pPr>
        <w:pStyle w:val="Heading3"/>
        <w:numPr>
          <w:ilvl w:val="1"/>
          <w:numId w:val="7"/>
        </w:numPr>
        <w:tabs>
          <w:tab w:pos="603" w:val="left" w:leader="none"/>
        </w:tabs>
        <w:spacing w:line="240" w:lineRule="auto" w:before="0" w:after="0"/>
        <w:ind w:left="602" w:right="0" w:hanging="485"/>
        <w:jc w:val="left"/>
      </w:pPr>
      <w:r>
        <w:rPr>
          <w:w w:val="95"/>
        </w:rPr>
        <w:t>保险金给付</w:t>
      </w:r>
    </w:p>
    <w:p>
      <w:pPr>
        <w:pStyle w:val="BodyText"/>
        <w:spacing w:line="259" w:lineRule="auto" w:before="16"/>
        <w:ind w:right="381" w:firstLine="422"/>
        <w:jc w:val="both"/>
      </w:pPr>
      <w:r>
        <w:rPr>
          <w:spacing w:val="-3"/>
        </w:rPr>
        <w:t>我们在收到给付保险金的申请书及本附加合同约定的证明和资料后，将在五个工作日内作出核定； </w:t>
      </w:r>
      <w:r>
        <w:rPr>
          <w:spacing w:val="-9"/>
        </w:rPr>
        <w:t>情形复杂的，在三十日内作出核定。对属于保险责任的，我们在与受益人达成给付保险金的协议后十日</w:t>
      </w:r>
      <w:r>
        <w:rPr>
          <w:spacing w:val="-6"/>
        </w:rPr>
        <w:t>内，履行给付保险金义务。</w:t>
      </w:r>
    </w:p>
    <w:p>
      <w:pPr>
        <w:pStyle w:val="BodyText"/>
        <w:spacing w:line="259" w:lineRule="auto" w:before="6"/>
        <w:ind w:right="483" w:firstLine="422"/>
      </w:pPr>
      <w:r>
        <w:rPr>
          <w:spacing w:val="-9"/>
        </w:rPr>
        <w:t>我们未及时履行前款规定义务的，对属于保险责任的，除支付保险金外，应当赔偿受益人因此受到</w:t>
      </w:r>
      <w:r>
        <w:rPr>
          <w:spacing w:val="-1"/>
        </w:rPr>
        <w:t>的</w:t>
      </w:r>
      <w:r>
        <w:rPr>
          <w:b/>
          <w:spacing w:val="-1"/>
        </w:rPr>
        <w:t>利息损失</w:t>
      </w:r>
      <w:r>
        <w:rPr>
          <w:spacing w:val="-1"/>
        </w:rPr>
        <w:t>（见</w:t>
      </w:r>
      <w:r>
        <w:rPr/>
        <w:t>11.10）。</w:t>
      </w:r>
    </w:p>
    <w:p>
      <w:pPr>
        <w:pStyle w:val="BodyText"/>
        <w:spacing w:line="259" w:lineRule="auto" w:before="6"/>
        <w:ind w:right="483" w:firstLine="422"/>
      </w:pPr>
      <w:r>
        <w:rPr>
          <w:spacing w:val="-12"/>
        </w:rPr>
        <w:t>对不属于保险责任的，我们自作出核定之日起三日内向受益人发出拒绝给付保险金通知书并说明理由。</w:t>
      </w:r>
    </w:p>
    <w:p>
      <w:pPr>
        <w:pStyle w:val="BodyText"/>
        <w:spacing w:line="259" w:lineRule="auto" w:before="6"/>
        <w:ind w:right="588" w:firstLine="422"/>
        <w:jc w:val="both"/>
      </w:pPr>
      <w:r>
        <w:rPr/>
        <w:t>我们在收到保险金给付申请书及有关证明和资料之日起六十日内，对给付保险金的数额不能确定的，根据已有证明和资料可以确定的数额先予支付；我们最终确定给付保险金的数额后，将支付相应的差额。</w:t>
      </w:r>
    </w:p>
    <w:p>
      <w:pPr>
        <w:pStyle w:val="BodyText"/>
        <w:spacing w:before="11"/>
        <w:ind w:left="0"/>
      </w:pPr>
    </w:p>
    <w:p>
      <w:pPr>
        <w:pStyle w:val="Heading3"/>
        <w:numPr>
          <w:ilvl w:val="1"/>
          <w:numId w:val="7"/>
        </w:numPr>
        <w:tabs>
          <w:tab w:pos="603" w:val="left" w:leader="none"/>
        </w:tabs>
        <w:spacing w:line="240" w:lineRule="auto" w:before="0" w:after="0"/>
        <w:ind w:left="602" w:right="0" w:hanging="485"/>
        <w:jc w:val="left"/>
      </w:pPr>
      <w:r>
        <w:rPr>
          <w:w w:val="95"/>
        </w:rPr>
        <w:t>诉讼时效</w:t>
      </w:r>
    </w:p>
    <w:p>
      <w:pPr>
        <w:pStyle w:val="BodyText"/>
        <w:spacing w:line="259" w:lineRule="auto" w:before="16"/>
        <w:ind w:right="386" w:firstLine="427"/>
      </w:pPr>
      <w:r>
        <w:rPr/>
        <w:t>受益人向我们请求给付保险金的诉讼时效期间为二年，自其知道或者应当知道保险事故发生之日起计算。</w:t>
      </w:r>
    </w:p>
    <w:p>
      <w:pPr>
        <w:spacing w:after="0" w:line="259" w:lineRule="auto"/>
        <w:sectPr>
          <w:pgSz w:w="11910" w:h="16840"/>
          <w:pgMar w:top="1380" w:bottom="280" w:left="960" w:right="560"/>
        </w:sectPr>
      </w:pPr>
    </w:p>
    <w:p>
      <w:pPr>
        <w:pStyle w:val="Heading2"/>
        <w:numPr>
          <w:ilvl w:val="0"/>
          <w:numId w:val="4"/>
        </w:numPr>
        <w:tabs>
          <w:tab w:pos="559" w:val="left" w:leader="none"/>
        </w:tabs>
        <w:spacing w:line="357" w:lineRule="exact" w:before="0" w:after="0"/>
        <w:ind w:left="558" w:right="0" w:hanging="421"/>
        <w:jc w:val="left"/>
      </w:pPr>
      <w:r>
        <w:rPr>
          <w:w w:val="95"/>
        </w:rPr>
        <w:t>合同效力的中止及恢复</w:t>
      </w:r>
    </w:p>
    <w:p>
      <w:pPr>
        <w:pStyle w:val="BodyText"/>
        <w:spacing w:before="5"/>
        <w:ind w:left="0"/>
        <w:rPr>
          <w:b/>
          <w:sz w:val="11"/>
        </w:rPr>
      </w:pPr>
      <w:r>
        <w:rPr/>
        <w:pict>
          <v:group style="position:absolute;margin-left:52.439999pt;margin-top:9.431265pt;width:494.9pt;height:1.45pt;mso-position-horizontal-relative:page;mso-position-vertical-relative:paragraph;z-index:1144;mso-wrap-distance-left:0;mso-wrap-distance-right:0" coordorigin="1049,189" coordsize="9898,29">
            <v:line style="position:absolute" from="1049,213" to="10946,213" stroked="true" strokeweight=".48pt" strokecolor="#000000">
              <v:stroke dashstyle="solid"/>
            </v:line>
            <v:line style="position:absolute" from="1049,193" to="10946,193" stroked="true" strokeweight=".48pt" strokecolor="#000000">
              <v:stroke dashstyle="solid"/>
            </v:line>
            <w10:wrap type="topAndBottom"/>
          </v:group>
        </w:pict>
      </w:r>
    </w:p>
    <w:p>
      <w:pPr>
        <w:pStyle w:val="BodyText"/>
        <w:spacing w:before="2"/>
        <w:ind w:left="0"/>
        <w:rPr>
          <w:b/>
          <w:sz w:val="14"/>
        </w:rPr>
      </w:pPr>
    </w:p>
    <w:p>
      <w:pPr>
        <w:pStyle w:val="Heading3"/>
        <w:numPr>
          <w:ilvl w:val="1"/>
          <w:numId w:val="4"/>
        </w:numPr>
        <w:tabs>
          <w:tab w:pos="623" w:val="left" w:leader="none"/>
        </w:tabs>
        <w:spacing w:line="240" w:lineRule="auto" w:before="26" w:after="0"/>
        <w:ind w:left="622" w:right="0" w:hanging="485"/>
        <w:jc w:val="left"/>
      </w:pPr>
      <w:r>
        <w:rPr>
          <w:w w:val="95"/>
        </w:rPr>
        <w:t>效力中止</w:t>
      </w:r>
    </w:p>
    <w:p>
      <w:pPr>
        <w:pStyle w:val="BodyText"/>
        <w:spacing w:before="16"/>
        <w:ind w:left="565"/>
      </w:pPr>
      <w:r>
        <w:rPr/>
        <w:t>本附加合同效力中止期间，我们不承担保险责任。</w:t>
      </w:r>
    </w:p>
    <w:p>
      <w:pPr>
        <w:pStyle w:val="BodyText"/>
        <w:spacing w:before="3"/>
        <w:ind w:left="0"/>
        <w:rPr>
          <w:sz w:val="24"/>
        </w:rPr>
      </w:pPr>
    </w:p>
    <w:p>
      <w:pPr>
        <w:pStyle w:val="Heading3"/>
        <w:numPr>
          <w:ilvl w:val="1"/>
          <w:numId w:val="4"/>
        </w:numPr>
        <w:tabs>
          <w:tab w:pos="623" w:val="left" w:leader="none"/>
        </w:tabs>
        <w:spacing w:line="240" w:lineRule="auto" w:before="0" w:after="0"/>
        <w:ind w:left="622" w:right="0" w:hanging="485"/>
        <w:jc w:val="left"/>
      </w:pPr>
      <w:r>
        <w:rPr>
          <w:w w:val="95"/>
        </w:rPr>
        <w:t>效力恢复</w:t>
      </w:r>
    </w:p>
    <w:p>
      <w:pPr>
        <w:pStyle w:val="BodyText"/>
        <w:spacing w:line="259" w:lineRule="auto" w:before="16"/>
        <w:ind w:left="137" w:right="122" w:firstLine="427"/>
        <w:jc w:val="both"/>
      </w:pPr>
      <w:r>
        <w:rPr>
          <w:spacing w:val="-6"/>
        </w:rPr>
        <w:t>本附加合同效力中止后二年内，您可以申请恢复合同效力，并提供被保险人的健康声明书、我们指</w:t>
      </w:r>
      <w:r>
        <w:rPr>
          <w:spacing w:val="-8"/>
        </w:rPr>
        <w:t>定或认可的医疗机构出具的体检报告书，在经我们审核同意并由您补足各项欠款后的次日零时起，本附</w:t>
      </w:r>
      <w:r>
        <w:rPr>
          <w:spacing w:val="-5"/>
        </w:rPr>
        <w:t>加合同的效力恢复。</w:t>
      </w:r>
    </w:p>
    <w:p>
      <w:pPr>
        <w:pStyle w:val="BodyText"/>
        <w:spacing w:before="6"/>
        <w:ind w:left="565"/>
      </w:pPr>
      <w:r>
        <w:rPr/>
        <w:t>主合同效力中止期间，本附加合同不得单独申请恢复效力。</w:t>
      </w:r>
    </w:p>
    <w:p>
      <w:pPr>
        <w:pStyle w:val="BodyText"/>
        <w:spacing w:line="259" w:lineRule="auto" w:before="23"/>
        <w:ind w:left="137" w:right="124" w:firstLine="427"/>
      </w:pPr>
      <w:r>
        <w:rPr>
          <w:spacing w:val="-6"/>
        </w:rPr>
        <w:t>自本附加合同效力中止之日起满二年，您和我们未达成协议恢复合同效力的，我们有权解除本附加</w:t>
      </w:r>
      <w:r>
        <w:rPr>
          <w:spacing w:val="-3"/>
        </w:rPr>
        <w:t>合同。本附加合同自解除之日起终止，我们将向您退还本附加合同效力中止时的现金价值。</w:t>
      </w:r>
    </w:p>
    <w:p>
      <w:pPr>
        <w:pStyle w:val="BodyText"/>
        <w:spacing w:before="0"/>
        <w:ind w:left="0"/>
      </w:pPr>
    </w:p>
    <w:p>
      <w:pPr>
        <w:pStyle w:val="BodyText"/>
        <w:spacing w:before="2"/>
        <w:ind w:left="0"/>
        <w:rPr>
          <w:sz w:val="32"/>
        </w:rPr>
      </w:pPr>
    </w:p>
    <w:p>
      <w:pPr>
        <w:pStyle w:val="Heading2"/>
        <w:numPr>
          <w:ilvl w:val="0"/>
          <w:numId w:val="4"/>
        </w:numPr>
        <w:tabs>
          <w:tab w:pos="559" w:val="left" w:leader="none"/>
        </w:tabs>
        <w:spacing w:line="240" w:lineRule="auto" w:before="0" w:after="0"/>
        <w:ind w:left="558" w:right="0" w:hanging="421"/>
        <w:jc w:val="left"/>
      </w:pPr>
      <w:r>
        <w:rPr/>
        <w:t>合同解除</w:t>
      </w:r>
    </w:p>
    <w:p>
      <w:pPr>
        <w:pStyle w:val="BodyText"/>
        <w:spacing w:before="7"/>
        <w:ind w:left="0"/>
        <w:rPr>
          <w:b/>
          <w:sz w:val="11"/>
        </w:rPr>
      </w:pPr>
      <w:r>
        <w:rPr/>
        <w:pict>
          <v:group style="position:absolute;margin-left:52.439999pt;margin-top:9.5429pt;width:494.9pt;height:1.45pt;mso-position-horizontal-relative:page;mso-position-vertical-relative:paragraph;z-index:1168;mso-wrap-distance-left:0;mso-wrap-distance-right:0" coordorigin="1049,191" coordsize="9898,29">
            <v:line style="position:absolute" from="1049,215" to="10946,215" stroked="true" strokeweight=".48001pt" strokecolor="#000000">
              <v:stroke dashstyle="solid"/>
            </v:line>
            <v:line style="position:absolute" from="1049,196" to="10946,196" stroked="true" strokeweight=".48001pt" strokecolor="#000000">
              <v:stroke dashstyle="solid"/>
            </v:line>
            <w10:wrap type="topAndBottom"/>
          </v:group>
        </w:pict>
      </w:r>
    </w:p>
    <w:p>
      <w:pPr>
        <w:pStyle w:val="BodyText"/>
        <w:spacing w:before="2"/>
        <w:ind w:left="0"/>
        <w:rPr>
          <w:b/>
          <w:sz w:val="14"/>
        </w:rPr>
      </w:pPr>
    </w:p>
    <w:p>
      <w:pPr>
        <w:pStyle w:val="Heading3"/>
        <w:numPr>
          <w:ilvl w:val="1"/>
          <w:numId w:val="4"/>
        </w:numPr>
        <w:tabs>
          <w:tab w:pos="623" w:val="left" w:leader="none"/>
        </w:tabs>
        <w:spacing w:line="240" w:lineRule="auto" w:before="26" w:after="0"/>
        <w:ind w:left="622" w:right="0" w:hanging="485"/>
        <w:jc w:val="left"/>
      </w:pPr>
      <w:r>
        <w:rPr>
          <w:w w:val="95"/>
        </w:rPr>
        <w:t>您解除合同的手续及风险</w:t>
      </w:r>
    </w:p>
    <w:p>
      <w:pPr>
        <w:pStyle w:val="BodyText"/>
        <w:spacing w:line="259" w:lineRule="auto" w:before="17"/>
        <w:ind w:left="137" w:right="180" w:firstLine="425"/>
      </w:pPr>
      <w:r>
        <w:rPr>
          <w:spacing w:val="-4"/>
        </w:rPr>
        <w:t>如果您在犹豫期后申请解除本附加合同</w:t>
      </w:r>
      <w:r>
        <w:rPr/>
        <w:t>（</w:t>
      </w:r>
      <w:r>
        <w:rPr>
          <w:spacing w:val="-8"/>
        </w:rPr>
        <w:t>简称“退保”</w:t>
      </w:r>
      <w:r>
        <w:rPr>
          <w:spacing w:val="-18"/>
        </w:rPr>
        <w:t>）</w:t>
      </w:r>
      <w:r>
        <w:rPr>
          <w:spacing w:val="-6"/>
        </w:rPr>
        <w:t>，请您填写解除合同申请书，并提供下列</w:t>
      </w:r>
      <w:r>
        <w:rPr>
          <w:spacing w:val="-5"/>
        </w:rPr>
        <w:t>证明和资料的原件：</w:t>
      </w:r>
    </w:p>
    <w:p>
      <w:pPr>
        <w:pStyle w:val="BodyText"/>
        <w:spacing w:before="6"/>
        <w:ind w:left="137"/>
      </w:pPr>
      <w:r>
        <w:rPr/>
        <w:t>（1）您的有效身份证件；</w:t>
      </w:r>
    </w:p>
    <w:p>
      <w:pPr>
        <w:pStyle w:val="BodyText"/>
        <w:spacing w:before="23"/>
        <w:ind w:left="137"/>
      </w:pPr>
      <w:r>
        <w:rPr/>
        <w:t>（2）保险合同。</w:t>
      </w:r>
    </w:p>
    <w:p>
      <w:pPr>
        <w:pStyle w:val="BodyText"/>
        <w:spacing w:line="259" w:lineRule="auto" w:before="23"/>
        <w:ind w:left="137" w:right="180" w:firstLine="425"/>
      </w:pPr>
      <w:r>
        <w:rPr>
          <w:spacing w:val="-9"/>
        </w:rPr>
        <w:t>自我们收到解除合同申请书时起，本附加合同效力终止。我们将于收到上述证明和资料后三十日内</w:t>
      </w:r>
      <w:r>
        <w:rPr>
          <w:spacing w:val="-3"/>
        </w:rPr>
        <w:t>退还本附加合同终止时的现金价值。</w:t>
      </w:r>
    </w:p>
    <w:p>
      <w:pPr>
        <w:pStyle w:val="BodyText"/>
        <w:spacing w:before="6"/>
        <w:ind w:left="562"/>
      </w:pPr>
      <w:r>
        <w:rPr/>
        <w:t>您在犹豫期后解除本附加合同会遭受一定损失。</w:t>
      </w:r>
    </w:p>
    <w:p>
      <w:pPr>
        <w:pStyle w:val="BodyText"/>
        <w:spacing w:before="0"/>
        <w:ind w:left="0"/>
      </w:pPr>
    </w:p>
    <w:p>
      <w:pPr>
        <w:pStyle w:val="BodyText"/>
        <w:spacing w:before="0"/>
        <w:ind w:left="0"/>
      </w:pPr>
    </w:p>
    <w:p>
      <w:pPr>
        <w:pStyle w:val="Heading2"/>
        <w:numPr>
          <w:ilvl w:val="0"/>
          <w:numId w:val="4"/>
        </w:numPr>
        <w:tabs>
          <w:tab w:pos="559" w:val="left" w:leader="none"/>
        </w:tabs>
        <w:spacing w:line="240" w:lineRule="auto" w:before="152" w:after="0"/>
        <w:ind w:left="558" w:right="0" w:hanging="421"/>
        <w:jc w:val="left"/>
      </w:pPr>
      <w:r>
        <w:rPr>
          <w:w w:val="95"/>
        </w:rPr>
        <w:t>合同效力终止</w:t>
      </w:r>
    </w:p>
    <w:p>
      <w:pPr>
        <w:pStyle w:val="BodyText"/>
        <w:spacing w:before="5"/>
        <w:ind w:left="0"/>
        <w:rPr>
          <w:b/>
          <w:sz w:val="11"/>
        </w:rPr>
      </w:pPr>
      <w:r>
        <w:rPr/>
        <w:pict>
          <v:group style="position:absolute;margin-left:52.439999pt;margin-top:9.439318pt;width:494.9pt;height:1.45pt;mso-position-horizontal-relative:page;mso-position-vertical-relative:paragraph;z-index:1192;mso-wrap-distance-left:0;mso-wrap-distance-right:0" coordorigin="1049,189" coordsize="9898,29">
            <v:line style="position:absolute" from="1049,213" to="10946,213" stroked="true" strokeweight=".48004pt" strokecolor="#000000">
              <v:stroke dashstyle="solid"/>
            </v:line>
            <v:line style="position:absolute" from="1049,194" to="10946,194" stroked="true" strokeweight=".47998pt" strokecolor="#000000">
              <v:stroke dashstyle="solid"/>
            </v:line>
            <w10:wrap type="topAndBottom"/>
          </v:group>
        </w:pict>
      </w:r>
    </w:p>
    <w:p>
      <w:pPr>
        <w:pStyle w:val="BodyText"/>
        <w:spacing w:before="0"/>
        <w:ind w:left="0"/>
        <w:rPr>
          <w:b/>
          <w:sz w:val="15"/>
        </w:rPr>
      </w:pPr>
    </w:p>
    <w:p>
      <w:pPr>
        <w:pStyle w:val="BodyText"/>
        <w:spacing w:before="33"/>
        <w:ind w:left="562"/>
      </w:pPr>
      <w:r>
        <w:rPr/>
        <w:t>发生下列情况之一时，本附加合同效力终止：</w:t>
      </w:r>
    </w:p>
    <w:p>
      <w:pPr>
        <w:pStyle w:val="BodyText"/>
        <w:spacing w:before="23"/>
        <w:ind w:left="137"/>
      </w:pPr>
      <w:r>
        <w:rPr/>
        <w:t>（1）主合同效力终止；</w:t>
      </w:r>
    </w:p>
    <w:p>
      <w:pPr>
        <w:pStyle w:val="BodyText"/>
        <w:spacing w:before="23"/>
        <w:ind w:left="137"/>
      </w:pPr>
      <w:r>
        <w:rPr/>
        <w:t>（2）其他条款约定的本附加合同效力终止情况。</w:t>
      </w:r>
    </w:p>
    <w:p>
      <w:pPr>
        <w:pStyle w:val="BodyText"/>
        <w:spacing w:before="0"/>
        <w:ind w:left="0"/>
      </w:pPr>
    </w:p>
    <w:p>
      <w:pPr>
        <w:pStyle w:val="BodyText"/>
        <w:spacing w:before="0"/>
        <w:ind w:left="0"/>
      </w:pPr>
    </w:p>
    <w:p>
      <w:pPr>
        <w:pStyle w:val="Heading2"/>
        <w:numPr>
          <w:ilvl w:val="0"/>
          <w:numId w:val="4"/>
        </w:numPr>
        <w:tabs>
          <w:tab w:pos="559" w:val="left" w:leader="none"/>
        </w:tabs>
        <w:spacing w:line="240" w:lineRule="auto" w:before="150" w:after="0"/>
        <w:ind w:left="558" w:right="0" w:hanging="421"/>
        <w:jc w:val="left"/>
      </w:pPr>
      <w:r>
        <w:rPr>
          <w:w w:val="95"/>
        </w:rPr>
        <w:t>适用主合同的条款</w:t>
      </w:r>
    </w:p>
    <w:p>
      <w:pPr>
        <w:pStyle w:val="BodyText"/>
        <w:spacing w:before="4"/>
        <w:ind w:left="0"/>
        <w:rPr>
          <w:b/>
          <w:sz w:val="11"/>
        </w:rPr>
      </w:pPr>
      <w:r>
        <w:rPr/>
        <w:pict>
          <v:group style="position:absolute;margin-left:52.439999pt;margin-top:9.406597pt;width:494.9pt;height:1.45pt;mso-position-horizontal-relative:page;mso-position-vertical-relative:paragraph;z-index:1216;mso-wrap-distance-left:0;mso-wrap-distance-right:0" coordorigin="1049,188" coordsize="9898,29">
            <v:line style="position:absolute" from="1049,212" to="10946,212" stroked="true" strokeweight=".47998pt" strokecolor="#000000">
              <v:stroke dashstyle="solid"/>
            </v:line>
            <v:line style="position:absolute" from="1049,193" to="10946,193" stroked="true" strokeweight=".48004pt" strokecolor="#000000">
              <v:stroke dashstyle="solid"/>
            </v:line>
            <w10:wrap type="topAndBottom"/>
          </v:group>
        </w:pict>
      </w:r>
    </w:p>
    <w:p>
      <w:pPr>
        <w:pStyle w:val="BodyText"/>
        <w:spacing w:before="1"/>
        <w:ind w:left="0"/>
        <w:rPr>
          <w:b/>
          <w:sz w:val="15"/>
        </w:rPr>
      </w:pPr>
    </w:p>
    <w:p>
      <w:pPr>
        <w:pStyle w:val="BodyText"/>
        <w:spacing w:before="33"/>
        <w:ind w:left="562"/>
      </w:pPr>
      <w:r>
        <w:rPr/>
        <w:t>主合同中的下列各项条款适用于本附加合同：</w:t>
      </w:r>
    </w:p>
    <w:p>
      <w:pPr>
        <w:pStyle w:val="BodyText"/>
        <w:ind w:left="137"/>
      </w:pPr>
      <w:r>
        <w:rPr/>
        <w:t>（1）投保年龄</w:t>
      </w:r>
    </w:p>
    <w:p>
      <w:pPr>
        <w:pStyle w:val="BodyText"/>
        <w:ind w:left="137"/>
      </w:pPr>
      <w:r>
        <w:rPr/>
        <w:t>（2）犹豫期</w:t>
      </w:r>
    </w:p>
    <w:p>
      <w:pPr>
        <w:pStyle w:val="BodyText"/>
        <w:ind w:left="137"/>
      </w:pPr>
      <w:r>
        <w:rPr/>
        <w:t>（3）有效身份证件</w:t>
      </w:r>
    </w:p>
    <w:p>
      <w:pPr>
        <w:pStyle w:val="BodyText"/>
        <w:ind w:left="137"/>
      </w:pPr>
      <w:r>
        <w:rPr/>
        <w:t>（4）宽限期</w:t>
      </w:r>
    </w:p>
    <w:p>
      <w:pPr>
        <w:spacing w:after="0"/>
        <w:sectPr>
          <w:pgSz w:w="11910" w:h="16840"/>
          <w:pgMar w:top="1520" w:bottom="280" w:left="940" w:right="860"/>
        </w:sectPr>
      </w:pPr>
    </w:p>
    <w:p>
      <w:pPr>
        <w:pStyle w:val="BodyText"/>
        <w:spacing w:before="20"/>
        <w:ind w:left="137"/>
      </w:pPr>
      <w:r>
        <w:rPr/>
        <w:t>（5）保险费的自动垫交</w:t>
      </w:r>
    </w:p>
    <w:p>
      <w:pPr>
        <w:pStyle w:val="BodyText"/>
        <w:ind w:left="137"/>
      </w:pPr>
      <w:r>
        <w:rPr/>
        <w:t>（6）保单贷款</w:t>
      </w:r>
    </w:p>
    <w:p>
      <w:pPr>
        <w:pStyle w:val="BodyText"/>
        <w:ind w:left="137"/>
      </w:pPr>
      <w:r>
        <w:rPr/>
        <w:t>（7）基本保险金额的变更</w:t>
      </w:r>
    </w:p>
    <w:p>
      <w:pPr>
        <w:pStyle w:val="BodyText"/>
        <w:ind w:left="137"/>
      </w:pPr>
      <w:r>
        <w:rPr/>
        <w:t>（8）明确说明与如实告知</w:t>
      </w:r>
    </w:p>
    <w:p>
      <w:pPr>
        <w:pStyle w:val="BodyText"/>
        <w:ind w:left="137"/>
      </w:pPr>
      <w:r>
        <w:rPr/>
        <w:t>（9）我们合同解除权的限制</w:t>
      </w:r>
    </w:p>
    <w:p>
      <w:pPr>
        <w:pStyle w:val="ListParagraph"/>
        <w:numPr>
          <w:ilvl w:val="0"/>
          <w:numId w:val="8"/>
        </w:numPr>
        <w:tabs>
          <w:tab w:pos="847" w:val="left" w:leader="none"/>
        </w:tabs>
        <w:spacing w:line="240" w:lineRule="auto" w:before="24" w:after="0"/>
        <w:ind w:left="846" w:right="0" w:hanging="709"/>
        <w:jc w:val="left"/>
        <w:rPr>
          <w:sz w:val="22"/>
        </w:rPr>
      </w:pPr>
      <w:r>
        <w:rPr>
          <w:spacing w:val="-1"/>
          <w:sz w:val="22"/>
        </w:rPr>
        <w:t>年龄性别错误</w:t>
      </w:r>
    </w:p>
    <w:p>
      <w:pPr>
        <w:pStyle w:val="ListParagraph"/>
        <w:numPr>
          <w:ilvl w:val="0"/>
          <w:numId w:val="8"/>
        </w:numPr>
        <w:tabs>
          <w:tab w:pos="847" w:val="left" w:leader="none"/>
        </w:tabs>
        <w:spacing w:line="240" w:lineRule="auto" w:before="24" w:after="0"/>
        <w:ind w:left="846" w:right="0" w:hanging="709"/>
        <w:jc w:val="left"/>
        <w:rPr>
          <w:sz w:val="22"/>
        </w:rPr>
      </w:pPr>
      <w:r>
        <w:rPr>
          <w:spacing w:val="-1"/>
          <w:sz w:val="22"/>
        </w:rPr>
        <w:t>联系方式变更</w:t>
      </w:r>
    </w:p>
    <w:p>
      <w:pPr>
        <w:pStyle w:val="ListParagraph"/>
        <w:numPr>
          <w:ilvl w:val="0"/>
          <w:numId w:val="8"/>
        </w:numPr>
        <w:tabs>
          <w:tab w:pos="847" w:val="left" w:leader="none"/>
        </w:tabs>
        <w:spacing w:line="240" w:lineRule="auto" w:before="24" w:after="0"/>
        <w:ind w:left="846" w:right="0" w:hanging="709"/>
        <w:jc w:val="left"/>
        <w:rPr>
          <w:sz w:val="22"/>
        </w:rPr>
      </w:pPr>
      <w:r>
        <w:rPr>
          <w:sz w:val="22"/>
        </w:rPr>
        <w:t>争议处理</w:t>
      </w:r>
    </w:p>
    <w:p>
      <w:pPr>
        <w:pStyle w:val="BodyText"/>
        <w:spacing w:before="0"/>
        <w:ind w:left="0"/>
      </w:pPr>
    </w:p>
    <w:p>
      <w:pPr>
        <w:pStyle w:val="BodyText"/>
        <w:spacing w:before="0"/>
        <w:ind w:left="0"/>
      </w:pPr>
    </w:p>
    <w:p>
      <w:pPr>
        <w:pStyle w:val="Heading2"/>
        <w:numPr>
          <w:ilvl w:val="0"/>
          <w:numId w:val="4"/>
        </w:numPr>
        <w:tabs>
          <w:tab w:pos="559" w:val="left" w:leader="none"/>
        </w:tabs>
        <w:spacing w:line="240" w:lineRule="auto" w:before="151" w:after="0"/>
        <w:ind w:left="558" w:right="0" w:hanging="421"/>
        <w:jc w:val="left"/>
      </w:pPr>
      <w:r>
        <w:rPr/>
        <w:t>原位癌定义</w:t>
      </w:r>
    </w:p>
    <w:p>
      <w:pPr>
        <w:pStyle w:val="BodyText"/>
        <w:spacing w:before="4"/>
        <w:ind w:left="0"/>
        <w:rPr>
          <w:b/>
          <w:sz w:val="11"/>
        </w:rPr>
      </w:pPr>
      <w:r>
        <w:rPr/>
        <w:pict>
          <v:group style="position:absolute;margin-left:52.439999pt;margin-top:9.391788pt;width:494.9pt;height:1.45pt;mso-position-horizontal-relative:page;mso-position-vertical-relative:paragraph;z-index:1240;mso-wrap-distance-left:0;mso-wrap-distance-right:0" coordorigin="1049,188" coordsize="9898,29">
            <v:line style="position:absolute" from="1049,212" to="10946,212" stroked="true" strokeweight=".48001pt" strokecolor="#000000">
              <v:stroke dashstyle="solid"/>
            </v:line>
            <v:line style="position:absolute" from="1049,193" to="10946,193" stroked="true" strokeweight=".47998pt" strokecolor="#000000">
              <v:stroke dashstyle="solid"/>
            </v:line>
            <w10:wrap type="topAndBottom"/>
          </v:group>
        </w:pict>
      </w:r>
    </w:p>
    <w:p>
      <w:pPr>
        <w:pStyle w:val="BodyText"/>
        <w:spacing w:before="0"/>
        <w:ind w:left="0"/>
        <w:rPr>
          <w:b/>
          <w:sz w:val="15"/>
        </w:rPr>
      </w:pPr>
    </w:p>
    <w:p>
      <w:pPr>
        <w:pStyle w:val="BodyText"/>
        <w:spacing w:line="259" w:lineRule="auto" w:before="33"/>
        <w:ind w:left="137" w:right="131" w:firstLine="439"/>
      </w:pPr>
      <w:r>
        <w:rPr>
          <w:spacing w:val="-3"/>
        </w:rPr>
        <w:t>本附加合同所定义的原位癌指恶性细胞局限于上皮内尚未穿破基底膜浸润周围正常组织的癌细胞</w:t>
      </w:r>
      <w:r>
        <w:rPr>
          <w:spacing w:val="-8"/>
        </w:rPr>
        <w:t>新生物。原位癌必须经对固定活组织的组织病理学检查明确诊断。被保险人必须已经接受了针对原位癌</w:t>
      </w:r>
      <w:r>
        <w:rPr>
          <w:spacing w:val="-5"/>
        </w:rPr>
        <w:t>病灶的积极治疗。</w:t>
      </w:r>
    </w:p>
    <w:p>
      <w:pPr>
        <w:pStyle w:val="BodyText"/>
        <w:spacing w:before="0"/>
        <w:ind w:left="0"/>
      </w:pPr>
    </w:p>
    <w:p>
      <w:pPr>
        <w:pStyle w:val="BodyText"/>
        <w:spacing w:before="2"/>
        <w:ind w:left="0"/>
        <w:rPr>
          <w:sz w:val="32"/>
        </w:rPr>
      </w:pPr>
    </w:p>
    <w:p>
      <w:pPr>
        <w:pStyle w:val="Heading2"/>
        <w:numPr>
          <w:ilvl w:val="0"/>
          <w:numId w:val="4"/>
        </w:numPr>
        <w:tabs>
          <w:tab w:pos="679" w:val="left" w:leader="none"/>
        </w:tabs>
        <w:spacing w:line="240" w:lineRule="auto" w:before="0" w:after="0"/>
        <w:ind w:left="678" w:right="0" w:hanging="541"/>
        <w:jc w:val="left"/>
      </w:pPr>
      <w:r>
        <w:rPr/>
        <w:t>重大疾病定义</w:t>
      </w:r>
    </w:p>
    <w:p>
      <w:pPr>
        <w:pStyle w:val="BodyText"/>
        <w:spacing w:before="5"/>
        <w:ind w:left="0"/>
        <w:rPr>
          <w:b/>
          <w:sz w:val="11"/>
        </w:rPr>
      </w:pPr>
      <w:r>
        <w:rPr/>
        <w:pict>
          <v:group style="position:absolute;margin-left:52.439999pt;margin-top:9.449580pt;width:494.9pt;height:1.45pt;mso-position-horizontal-relative:page;mso-position-vertical-relative:paragraph;z-index:1264;mso-wrap-distance-left:0;mso-wrap-distance-right:0" coordorigin="1049,189" coordsize="9898,29">
            <v:line style="position:absolute" from="1049,213" to="10946,213" stroked="true" strokeweight=".48001pt" strokecolor="#000000">
              <v:stroke dashstyle="solid"/>
            </v:line>
            <v:line style="position:absolute" from="1049,194" to="10946,194" stroked="true" strokeweight=".47998pt" strokecolor="#000000">
              <v:stroke dashstyle="solid"/>
            </v:line>
            <w10:wrap type="topAndBottom"/>
          </v:group>
        </w:pict>
      </w:r>
    </w:p>
    <w:p>
      <w:pPr>
        <w:pStyle w:val="BodyText"/>
        <w:spacing w:before="0"/>
        <w:ind w:left="0"/>
        <w:rPr>
          <w:b/>
          <w:sz w:val="15"/>
        </w:rPr>
      </w:pPr>
    </w:p>
    <w:p>
      <w:pPr>
        <w:pStyle w:val="BodyText"/>
        <w:spacing w:line="259" w:lineRule="auto" w:before="33"/>
        <w:ind w:left="137" w:right="187" w:firstLine="425"/>
      </w:pPr>
      <w:r>
        <w:rPr>
          <w:spacing w:val="-3"/>
        </w:rPr>
        <w:t>本附加合同所定义的重大疾病共有 </w:t>
      </w:r>
      <w:r>
        <w:rPr/>
        <w:t>50</w:t>
      </w:r>
      <w:r>
        <w:rPr>
          <w:spacing w:val="-1"/>
        </w:rPr>
        <w:t> 种，其中第 </w:t>
      </w:r>
      <w:r>
        <w:rPr/>
        <w:t>1</w:t>
      </w:r>
      <w:r>
        <w:rPr>
          <w:spacing w:val="1"/>
        </w:rPr>
        <w:t> 至 </w:t>
      </w:r>
      <w:r>
        <w:rPr/>
        <w:t>25</w:t>
      </w:r>
      <w:r>
        <w:rPr>
          <w:spacing w:val="-3"/>
        </w:rPr>
        <w:t> 种重大疾病为中国保险行业协会颁布的《重大疾病保险的疾病定义使用规范》</w:t>
      </w:r>
      <w:r>
        <w:rPr/>
        <w:t>（</w:t>
      </w:r>
      <w:r>
        <w:rPr>
          <w:spacing w:val="-3"/>
        </w:rPr>
        <w:t>以下简称“规范</w:t>
      </w:r>
      <w:r>
        <w:rPr/>
        <w:t>”）</w:t>
      </w:r>
      <w:r>
        <w:rPr>
          <w:spacing w:val="-3"/>
        </w:rPr>
        <w:t>规定的疾病，且疾病名称和疾病定义与“规范”一致，第 </w:t>
      </w:r>
      <w:r>
        <w:rPr/>
        <w:t>26</w:t>
      </w:r>
      <w:r>
        <w:rPr>
          <w:spacing w:val="1"/>
        </w:rPr>
        <w:t> 至 </w:t>
      </w:r>
      <w:r>
        <w:rPr/>
        <w:t>50</w:t>
      </w:r>
      <w:r>
        <w:rPr>
          <w:spacing w:val="-3"/>
        </w:rPr>
        <w:t> 种重大疾病为“规范”规定范围之外的疾病。</w:t>
      </w:r>
    </w:p>
    <w:p>
      <w:pPr>
        <w:pStyle w:val="BodyText"/>
        <w:spacing w:before="3"/>
        <w:ind w:left="0"/>
        <w:rPr>
          <w:sz w:val="24"/>
        </w:rPr>
      </w:pPr>
    </w:p>
    <w:p>
      <w:pPr>
        <w:pStyle w:val="Heading4"/>
        <w:numPr>
          <w:ilvl w:val="0"/>
          <w:numId w:val="9"/>
        </w:numPr>
        <w:tabs>
          <w:tab w:pos="470" w:val="left" w:leader="none"/>
        </w:tabs>
        <w:spacing w:line="240" w:lineRule="auto" w:before="1" w:after="0"/>
        <w:ind w:left="469" w:right="0" w:hanging="332"/>
        <w:jc w:val="left"/>
      </w:pPr>
      <w:r>
        <w:rPr/>
        <w:t>恶性肿瘤</w:t>
      </w:r>
    </w:p>
    <w:p>
      <w:pPr>
        <w:pStyle w:val="BodyText"/>
        <w:spacing w:line="259" w:lineRule="auto"/>
        <w:ind w:left="137" w:right="287" w:firstLine="439"/>
        <w:jc w:val="both"/>
      </w:pPr>
      <w:r>
        <w:rPr/>
        <w:t>指恶性细胞不受控制的进行性增长和扩散，浸润和破坏周围正常组织，可以经血管、淋巴管和体腔扩散转移到身体其它部位的疾病。经病理学检查结果明确诊断，临床诊断属于世界卫生组织《疾病和有关健康问题的国际统计分类》（ICD-10）的恶性肿瘤范畴。</w:t>
      </w:r>
    </w:p>
    <w:p>
      <w:pPr>
        <w:pStyle w:val="BodyText"/>
        <w:spacing w:before="7"/>
        <w:ind w:left="137"/>
        <w:rPr>
          <w:rFonts w:ascii="黑体" w:eastAsia="黑体" w:hint="eastAsia"/>
        </w:rPr>
      </w:pPr>
      <w:r>
        <w:rPr>
          <w:rFonts w:ascii="黑体" w:eastAsia="黑体" w:hint="eastAsia"/>
        </w:rPr>
        <w:t>下列疾病不在保障范围内：</w:t>
      </w:r>
    </w:p>
    <w:p>
      <w:pPr>
        <w:pStyle w:val="BodyText"/>
        <w:ind w:left="137"/>
        <w:rPr>
          <w:rFonts w:ascii="黑体" w:eastAsia="黑体" w:hint="eastAsia"/>
        </w:rPr>
      </w:pPr>
      <w:r>
        <w:rPr>
          <w:rFonts w:ascii="黑体" w:eastAsia="黑体" w:hint="eastAsia"/>
        </w:rPr>
        <w:t>（1）原位癌；</w:t>
      </w:r>
    </w:p>
    <w:p>
      <w:pPr>
        <w:pStyle w:val="BodyText"/>
        <w:ind w:left="137"/>
        <w:rPr>
          <w:rFonts w:ascii="黑体" w:eastAsia="黑体" w:hint="eastAsia"/>
        </w:rPr>
      </w:pPr>
      <w:r>
        <w:rPr>
          <w:rFonts w:ascii="黑体" w:eastAsia="黑体" w:hint="eastAsia"/>
        </w:rPr>
        <w:t>（2）相当于Binet分期方案A期程度的慢性淋巴细胞白血病；</w:t>
      </w:r>
    </w:p>
    <w:p>
      <w:pPr>
        <w:pStyle w:val="BodyText"/>
        <w:ind w:left="137"/>
        <w:rPr>
          <w:rFonts w:ascii="黑体" w:eastAsia="黑体" w:hint="eastAsia"/>
        </w:rPr>
      </w:pPr>
      <w:r>
        <w:rPr>
          <w:rFonts w:ascii="黑体" w:eastAsia="黑体" w:hint="eastAsia"/>
        </w:rPr>
        <w:t>（3）相当于Ann Arbor分期方案I期程度的何杰金氏病；</w:t>
      </w:r>
    </w:p>
    <w:p>
      <w:pPr>
        <w:pStyle w:val="BodyText"/>
        <w:ind w:left="137"/>
        <w:rPr>
          <w:rFonts w:ascii="黑体" w:eastAsia="黑体" w:hint="eastAsia"/>
        </w:rPr>
      </w:pPr>
      <w:r>
        <w:rPr>
          <w:rFonts w:ascii="黑体" w:eastAsia="黑体" w:hint="eastAsia"/>
        </w:rPr>
        <w:t>（4）皮肤癌（不包括恶性黑色素瘤及已发Th转移的皮肤癌）；</w:t>
      </w:r>
    </w:p>
    <w:p>
      <w:pPr>
        <w:pStyle w:val="BodyText"/>
        <w:spacing w:before="28"/>
        <w:ind w:left="137"/>
        <w:rPr>
          <w:rFonts w:ascii="黑体" w:eastAsia="黑体" w:hint="eastAsia"/>
        </w:rPr>
      </w:pPr>
      <w:r>
        <w:rPr>
          <w:rFonts w:ascii="黑体" w:eastAsia="黑体" w:hint="eastAsia"/>
          <w:position w:val="2"/>
        </w:rPr>
        <w:t>（5）TNM分期为T</w:t>
      </w:r>
      <w:r>
        <w:rPr>
          <w:rFonts w:ascii="黑体" w:eastAsia="黑体" w:hint="eastAsia"/>
          <w:sz w:val="12"/>
        </w:rPr>
        <w:t>1</w:t>
      </w:r>
      <w:r>
        <w:rPr>
          <w:rFonts w:ascii="黑体" w:eastAsia="黑体" w:hint="eastAsia"/>
          <w:position w:val="2"/>
        </w:rPr>
        <w:t>N</w:t>
      </w:r>
      <w:r>
        <w:rPr>
          <w:rFonts w:ascii="黑体" w:eastAsia="黑体" w:hint="eastAsia"/>
          <w:sz w:val="12"/>
        </w:rPr>
        <w:t>0</w:t>
      </w:r>
      <w:r>
        <w:rPr>
          <w:rFonts w:ascii="黑体" w:eastAsia="黑体" w:hint="eastAsia"/>
          <w:position w:val="2"/>
        </w:rPr>
        <w:t>M</w:t>
      </w:r>
      <w:r>
        <w:rPr>
          <w:rFonts w:ascii="黑体" w:eastAsia="黑体" w:hint="eastAsia"/>
          <w:sz w:val="12"/>
        </w:rPr>
        <w:t>0</w:t>
      </w:r>
      <w:r>
        <w:rPr>
          <w:rFonts w:ascii="黑体" w:eastAsia="黑体" w:hint="eastAsia"/>
          <w:position w:val="2"/>
        </w:rPr>
        <w:t>期或更轻分期的前列腺癌；</w:t>
      </w:r>
    </w:p>
    <w:p>
      <w:pPr>
        <w:pStyle w:val="BodyText"/>
        <w:spacing w:before="14"/>
        <w:ind w:left="137"/>
        <w:rPr>
          <w:rFonts w:ascii="黑体" w:eastAsia="黑体" w:hint="eastAsia"/>
        </w:rPr>
      </w:pPr>
      <w:r>
        <w:rPr>
          <w:rFonts w:ascii="黑体" w:eastAsia="黑体" w:hint="eastAsia"/>
        </w:rPr>
        <w:t>（6）感染艾滋病病毒或患艾滋病期间所患恶性肿瘤。</w:t>
      </w:r>
    </w:p>
    <w:p>
      <w:pPr>
        <w:pStyle w:val="BodyText"/>
        <w:spacing w:before="9"/>
        <w:ind w:left="0"/>
        <w:rPr>
          <w:rFonts w:ascii="黑体"/>
          <w:sz w:val="25"/>
        </w:rPr>
      </w:pPr>
    </w:p>
    <w:p>
      <w:pPr>
        <w:pStyle w:val="Heading4"/>
        <w:numPr>
          <w:ilvl w:val="0"/>
          <w:numId w:val="9"/>
        </w:numPr>
        <w:tabs>
          <w:tab w:pos="470" w:val="left" w:leader="none"/>
        </w:tabs>
        <w:spacing w:line="240" w:lineRule="auto" w:before="0" w:after="0"/>
        <w:ind w:left="469" w:right="0" w:hanging="332"/>
        <w:jc w:val="left"/>
      </w:pPr>
      <w:r>
        <w:rPr/>
        <w:t>急性心肌梗塞</w:t>
      </w:r>
    </w:p>
    <w:p>
      <w:pPr>
        <w:pStyle w:val="BodyText"/>
        <w:ind w:left="565"/>
      </w:pPr>
      <w:r>
        <w:rPr/>
        <w:t>指因冠状动脉阻塞导致的相应区域供血不足造成部分心肌坏死。须满足下列至少三项条件：</w:t>
      </w:r>
    </w:p>
    <w:p>
      <w:pPr>
        <w:pStyle w:val="BodyText"/>
        <w:ind w:left="137"/>
      </w:pPr>
      <w:r>
        <w:rPr/>
        <w:t>（1）典型临床表现，例如急性胸痛等；</w:t>
      </w:r>
    </w:p>
    <w:p>
      <w:pPr>
        <w:pStyle w:val="BodyText"/>
        <w:spacing w:before="23"/>
        <w:ind w:left="137"/>
      </w:pPr>
      <w:r>
        <w:rPr/>
        <w:t>（2）新近的心电图改变提示急性心肌梗塞；</w:t>
      </w:r>
    </w:p>
    <w:p>
      <w:pPr>
        <w:pStyle w:val="BodyText"/>
        <w:spacing w:before="23"/>
        <w:ind w:left="137"/>
      </w:pPr>
      <w:r>
        <w:rPr/>
        <w:t>（3）心肌酶或肌钙蛋白有诊断意义的升高，或呈符合急性心肌梗塞的动态性变化；</w:t>
      </w:r>
    </w:p>
    <w:p>
      <w:pPr>
        <w:pStyle w:val="BodyText"/>
        <w:spacing w:before="23"/>
        <w:ind w:left="137"/>
      </w:pPr>
      <w:r>
        <w:rPr/>
        <w:t>（4）发病 90 天后，经检查证实左心室功能降低，如左心室射血分数低于 50%。</w:t>
      </w:r>
    </w:p>
    <w:p>
      <w:pPr>
        <w:spacing w:after="0"/>
        <w:sectPr>
          <w:pgSz w:w="11910" w:h="16840"/>
          <w:pgMar w:top="1380" w:bottom="280" w:left="940" w:right="860"/>
        </w:sectPr>
      </w:pPr>
    </w:p>
    <w:p>
      <w:pPr>
        <w:pStyle w:val="Heading4"/>
        <w:numPr>
          <w:ilvl w:val="0"/>
          <w:numId w:val="9"/>
        </w:numPr>
        <w:tabs>
          <w:tab w:pos="450" w:val="left" w:leader="none"/>
        </w:tabs>
        <w:spacing w:line="240" w:lineRule="auto" w:before="20" w:after="0"/>
        <w:ind w:left="449" w:right="0" w:hanging="332"/>
        <w:jc w:val="left"/>
      </w:pPr>
      <w:r>
        <w:rPr/>
        <w:t>脑中风后遗症</w:t>
      </w:r>
    </w:p>
    <w:p>
      <w:pPr>
        <w:pStyle w:val="BodyText"/>
        <w:spacing w:line="259" w:lineRule="auto"/>
        <w:ind w:right="226" w:firstLine="439"/>
        <w:jc w:val="both"/>
      </w:pPr>
      <w:r>
        <w:rPr>
          <w:spacing w:val="-7"/>
        </w:rPr>
        <w:t>指因脑血管的突发病变引起脑血管出血、栓塞或梗塞，并导致神经系统永久性的功能障碍。神经系</w:t>
      </w:r>
      <w:r>
        <w:rPr>
          <w:spacing w:val="-8"/>
        </w:rPr>
        <w:t>统永久性的功能障碍，指疾病确诊 </w:t>
      </w:r>
      <w:r>
        <w:rPr/>
        <w:t>180</w:t>
      </w:r>
      <w:r>
        <w:rPr>
          <w:spacing w:val="-8"/>
        </w:rPr>
        <w:t> 天后，仍遗留下列一种或一种以上障碍：</w:t>
      </w:r>
    </w:p>
    <w:p>
      <w:pPr>
        <w:spacing w:before="6"/>
        <w:ind w:left="117" w:right="0" w:firstLine="0"/>
        <w:jc w:val="left"/>
        <w:rPr>
          <w:sz w:val="22"/>
        </w:rPr>
      </w:pPr>
      <w:r>
        <w:rPr>
          <w:sz w:val="22"/>
        </w:rPr>
        <w:t>（1）一肢或一肢以上</w:t>
      </w:r>
      <w:r>
        <w:rPr>
          <w:b/>
          <w:sz w:val="22"/>
        </w:rPr>
        <w:t>肢体机能完全丧失</w:t>
      </w:r>
      <w:r>
        <w:rPr>
          <w:sz w:val="22"/>
        </w:rPr>
        <w:t>（见 11.11）；</w:t>
      </w:r>
    </w:p>
    <w:p>
      <w:pPr>
        <w:spacing w:before="23"/>
        <w:ind w:left="117" w:right="0" w:firstLine="0"/>
        <w:jc w:val="left"/>
        <w:rPr>
          <w:sz w:val="22"/>
        </w:rPr>
      </w:pPr>
      <w:r>
        <w:rPr>
          <w:sz w:val="22"/>
        </w:rPr>
        <w:t>（2）</w:t>
      </w:r>
      <w:r>
        <w:rPr>
          <w:b/>
          <w:sz w:val="22"/>
        </w:rPr>
        <w:t>语言能力或咀嚼吞咽能力完全丧失</w:t>
      </w:r>
      <w:r>
        <w:rPr>
          <w:sz w:val="22"/>
        </w:rPr>
        <w:t>（见 11.12）；</w:t>
      </w:r>
    </w:p>
    <w:p>
      <w:pPr>
        <w:spacing w:before="23"/>
        <w:ind w:left="117" w:right="0" w:firstLine="0"/>
        <w:jc w:val="left"/>
        <w:rPr>
          <w:sz w:val="22"/>
        </w:rPr>
      </w:pPr>
      <w:r>
        <w:rPr>
          <w:sz w:val="22"/>
        </w:rPr>
        <w:t>（3）自主生活能力完全丧失，无法独立完成</w:t>
      </w:r>
      <w:r>
        <w:rPr>
          <w:b/>
          <w:sz w:val="22"/>
        </w:rPr>
        <w:t>六项基本日常生活活动</w:t>
      </w:r>
      <w:r>
        <w:rPr>
          <w:sz w:val="22"/>
        </w:rPr>
        <w:t>（见 11.13）中的三项或三项以上。</w:t>
      </w:r>
    </w:p>
    <w:p>
      <w:pPr>
        <w:pStyle w:val="BodyText"/>
        <w:spacing w:before="8"/>
        <w:ind w:left="0"/>
        <w:rPr>
          <w:sz w:val="25"/>
        </w:rPr>
      </w:pPr>
    </w:p>
    <w:p>
      <w:pPr>
        <w:pStyle w:val="Heading4"/>
        <w:numPr>
          <w:ilvl w:val="0"/>
          <w:numId w:val="9"/>
        </w:numPr>
        <w:tabs>
          <w:tab w:pos="450" w:val="left" w:leader="none"/>
        </w:tabs>
        <w:spacing w:line="240" w:lineRule="auto" w:before="0" w:after="0"/>
        <w:ind w:left="449" w:right="0" w:hanging="332"/>
        <w:jc w:val="left"/>
      </w:pPr>
      <w:r>
        <w:rPr/>
        <w:t>重大器官移植术或造血干细胞移植术</w:t>
      </w:r>
    </w:p>
    <w:p>
      <w:pPr>
        <w:pStyle w:val="BodyText"/>
        <w:spacing w:line="259" w:lineRule="auto" w:before="23"/>
        <w:ind w:right="181" w:firstLine="425"/>
        <w:jc w:val="both"/>
      </w:pPr>
      <w:r>
        <w:rPr>
          <w:spacing w:val="-3"/>
        </w:rPr>
        <w:t>重大器官移植术，指因相应器官功能衰竭，已经实施了肾脏、肝脏、心脏或肺脏的异体移植手术。</w:t>
      </w:r>
      <w:r>
        <w:rPr>
          <w:spacing w:val="-8"/>
        </w:rPr>
        <w:t>造血干细胞移植术，指因造血功能损害或造血系统恶性肿瘤，已经实施了造血干细胞</w:t>
      </w:r>
      <w:r>
        <w:rPr>
          <w:spacing w:val="-3"/>
        </w:rPr>
        <w:t>（</w:t>
      </w:r>
      <w:r>
        <w:rPr>
          <w:spacing w:val="-2"/>
        </w:rPr>
        <w:t>包括骨髓造血干</w:t>
      </w:r>
      <w:r>
        <w:rPr>
          <w:spacing w:val="-3"/>
        </w:rPr>
        <w:t>细胞、外周血造血干细胞和脐血造血干细胞</w:t>
      </w:r>
      <w:r>
        <w:rPr/>
        <w:t>）</w:t>
      </w:r>
      <w:r>
        <w:rPr>
          <w:spacing w:val="-3"/>
        </w:rPr>
        <w:t>的异体移植手术。</w:t>
      </w:r>
    </w:p>
    <w:p>
      <w:pPr>
        <w:pStyle w:val="BodyText"/>
        <w:spacing w:before="3"/>
        <w:ind w:left="0"/>
        <w:rPr>
          <w:sz w:val="24"/>
        </w:rPr>
      </w:pPr>
    </w:p>
    <w:p>
      <w:pPr>
        <w:pStyle w:val="Heading4"/>
        <w:numPr>
          <w:ilvl w:val="0"/>
          <w:numId w:val="9"/>
        </w:numPr>
        <w:tabs>
          <w:tab w:pos="450" w:val="left" w:leader="none"/>
        </w:tabs>
        <w:spacing w:line="240" w:lineRule="auto" w:before="0" w:after="0"/>
        <w:ind w:left="449" w:right="0" w:hanging="332"/>
        <w:jc w:val="left"/>
      </w:pPr>
      <w:r>
        <w:rPr/>
        <w:t>冠状动脉搭桥术（或称冠状动脉旁路移植术）</w:t>
      </w:r>
    </w:p>
    <w:p>
      <w:pPr>
        <w:pStyle w:val="BodyText"/>
        <w:spacing w:before="23"/>
        <w:ind w:left="542"/>
      </w:pPr>
      <w:r>
        <w:rPr/>
        <w:t>指为治疗严重的冠心病，实际实施了开胸进行的冠状动脉血管旁路移植的手术。</w:t>
      </w:r>
    </w:p>
    <w:p>
      <w:pPr>
        <w:pStyle w:val="BodyText"/>
        <w:spacing w:line="259" w:lineRule="auto" w:before="23"/>
        <w:ind w:right="226" w:firstLine="425"/>
        <w:jc w:val="both"/>
        <w:rPr>
          <w:rFonts w:ascii="黑体" w:eastAsia="黑体" w:hint="eastAsia"/>
        </w:rPr>
      </w:pPr>
      <w:r>
        <w:rPr>
          <w:rFonts w:ascii="黑体" w:eastAsia="黑体" w:hint="eastAsia"/>
          <w:spacing w:val="-6"/>
        </w:rPr>
        <w:t>冠状动脉支架植入术、心导管球囊扩张术、激光射频技术及其它非开胸的介入手术、腔镜手术不在</w:t>
      </w:r>
      <w:r>
        <w:rPr>
          <w:rFonts w:ascii="黑体" w:eastAsia="黑体" w:hint="eastAsia"/>
          <w:spacing w:val="-5"/>
        </w:rPr>
        <w:t>保障范围内。</w:t>
      </w:r>
    </w:p>
    <w:p>
      <w:pPr>
        <w:pStyle w:val="BodyText"/>
        <w:spacing w:before="3"/>
        <w:ind w:left="0"/>
        <w:rPr>
          <w:rFonts w:ascii="黑体"/>
          <w:sz w:val="24"/>
        </w:rPr>
      </w:pPr>
    </w:p>
    <w:p>
      <w:pPr>
        <w:pStyle w:val="Heading4"/>
        <w:numPr>
          <w:ilvl w:val="0"/>
          <w:numId w:val="9"/>
        </w:numPr>
        <w:tabs>
          <w:tab w:pos="450" w:val="left" w:leader="none"/>
        </w:tabs>
        <w:spacing w:line="240" w:lineRule="auto" w:before="0" w:after="0"/>
        <w:ind w:left="449" w:right="0" w:hanging="332"/>
        <w:jc w:val="left"/>
      </w:pPr>
      <w:r>
        <w:rPr/>
        <w:t>终末期肾病（或称慢性肾功能衰竭尿毒症期）</w:t>
      </w:r>
    </w:p>
    <w:p>
      <w:pPr>
        <w:pStyle w:val="BodyText"/>
        <w:spacing w:line="261" w:lineRule="auto" w:before="23"/>
        <w:ind w:right="290" w:firstLine="425"/>
      </w:pPr>
      <w:r>
        <w:rPr>
          <w:spacing w:val="-5"/>
        </w:rPr>
        <w:t>指双肾功能慢性不可逆性衰竭，达到尿毒症期，经诊断后已经进行了至少 </w:t>
      </w:r>
      <w:r>
        <w:rPr/>
        <w:t>90</w:t>
      </w:r>
      <w:r>
        <w:rPr>
          <w:spacing w:val="-8"/>
        </w:rPr>
        <w:t> 天的规律性透析治疗</w:t>
      </w:r>
      <w:r>
        <w:rPr>
          <w:spacing w:val="-5"/>
        </w:rPr>
        <w:t>或实施了肾脏移植手术。</w:t>
      </w:r>
    </w:p>
    <w:p>
      <w:pPr>
        <w:pStyle w:val="BodyText"/>
        <w:spacing w:before="1"/>
        <w:ind w:left="0"/>
        <w:rPr>
          <w:sz w:val="24"/>
        </w:rPr>
      </w:pPr>
    </w:p>
    <w:p>
      <w:pPr>
        <w:pStyle w:val="Heading4"/>
        <w:numPr>
          <w:ilvl w:val="0"/>
          <w:numId w:val="9"/>
        </w:numPr>
        <w:tabs>
          <w:tab w:pos="450" w:val="left" w:leader="none"/>
        </w:tabs>
        <w:spacing w:line="240" w:lineRule="auto" w:before="1" w:after="0"/>
        <w:ind w:left="449" w:right="0" w:hanging="332"/>
        <w:jc w:val="left"/>
      </w:pPr>
      <w:r>
        <w:rPr/>
        <w:t>多个肢体缺失</w:t>
      </w:r>
    </w:p>
    <w:p>
      <w:pPr>
        <w:pStyle w:val="BodyText"/>
        <w:spacing w:line="259" w:lineRule="auto"/>
        <w:ind w:right="229" w:firstLine="425"/>
        <w:jc w:val="both"/>
      </w:pPr>
      <w:r>
        <w:rPr>
          <w:spacing w:val="-4"/>
        </w:rPr>
        <w:t>指因疾病或意外伤害导致两个或两个以上肢体自腕关节或踝关节近端</w:t>
      </w:r>
      <w:r>
        <w:rPr/>
        <w:t>（</w:t>
      </w:r>
      <w:r>
        <w:rPr>
          <w:spacing w:val="-2"/>
        </w:rPr>
        <w:t>靠近躯干端</w:t>
      </w:r>
      <w:r>
        <w:rPr>
          <w:spacing w:val="-27"/>
        </w:rPr>
        <w:t>）</w:t>
      </w:r>
      <w:r>
        <w:rPr>
          <w:spacing w:val="-1"/>
        </w:rPr>
        <w:t>以上完全性断离。</w:t>
      </w:r>
    </w:p>
    <w:p>
      <w:pPr>
        <w:pStyle w:val="BodyText"/>
        <w:spacing w:before="4"/>
        <w:ind w:left="0"/>
        <w:rPr>
          <w:sz w:val="24"/>
        </w:rPr>
      </w:pPr>
    </w:p>
    <w:p>
      <w:pPr>
        <w:pStyle w:val="Heading4"/>
        <w:numPr>
          <w:ilvl w:val="0"/>
          <w:numId w:val="9"/>
        </w:numPr>
        <w:tabs>
          <w:tab w:pos="450" w:val="left" w:leader="none"/>
        </w:tabs>
        <w:spacing w:line="240" w:lineRule="auto" w:before="0" w:after="0"/>
        <w:ind w:left="449" w:right="0" w:hanging="332"/>
        <w:jc w:val="left"/>
      </w:pPr>
      <w:r>
        <w:rPr/>
        <w:t>急性或亚急性重症肝炎</w:t>
      </w:r>
    </w:p>
    <w:p>
      <w:pPr>
        <w:pStyle w:val="BodyText"/>
        <w:spacing w:line="259" w:lineRule="auto"/>
        <w:ind w:right="118" w:firstLine="439"/>
      </w:pPr>
      <w:r>
        <w:rPr>
          <w:spacing w:val="-11"/>
        </w:rPr>
        <w:t>指因肝炎病毒感染引起肝脏组织弥漫性坏死，导致急性肝功能衰竭，且经血清学或病毒学检查证实， </w:t>
      </w:r>
      <w:r>
        <w:rPr>
          <w:spacing w:val="-7"/>
        </w:rPr>
        <w:t>并须满足下列全部条件：</w:t>
      </w:r>
    </w:p>
    <w:p>
      <w:pPr>
        <w:pStyle w:val="BodyText"/>
        <w:spacing w:before="6"/>
      </w:pPr>
      <w:r>
        <w:rPr/>
        <w:t>（1）重度黄疸或黄疸迅速加重；</w:t>
      </w:r>
    </w:p>
    <w:p>
      <w:pPr>
        <w:pStyle w:val="BodyText"/>
      </w:pPr>
      <w:r>
        <w:rPr/>
        <w:t>（2）肝性脑病；</w:t>
      </w:r>
    </w:p>
    <w:p>
      <w:pPr>
        <w:pStyle w:val="BodyText"/>
      </w:pPr>
      <w:r>
        <w:rPr/>
        <w:t>（3）B 超或其它影像学检查显示肝脏体积急速萎缩；</w:t>
      </w:r>
    </w:p>
    <w:p>
      <w:pPr>
        <w:pStyle w:val="BodyText"/>
      </w:pPr>
      <w:r>
        <w:rPr/>
        <w:t>（4）肝功能指标进行性恶化。</w:t>
      </w:r>
    </w:p>
    <w:p>
      <w:pPr>
        <w:pStyle w:val="BodyText"/>
        <w:spacing w:before="8"/>
        <w:ind w:left="0"/>
        <w:rPr>
          <w:sz w:val="25"/>
        </w:rPr>
      </w:pPr>
    </w:p>
    <w:p>
      <w:pPr>
        <w:pStyle w:val="Heading4"/>
        <w:numPr>
          <w:ilvl w:val="0"/>
          <w:numId w:val="9"/>
        </w:numPr>
        <w:tabs>
          <w:tab w:pos="450" w:val="left" w:leader="none"/>
        </w:tabs>
        <w:spacing w:line="240" w:lineRule="auto" w:before="1" w:after="0"/>
        <w:ind w:left="449" w:right="0" w:hanging="332"/>
        <w:jc w:val="left"/>
      </w:pPr>
      <w:r>
        <w:rPr/>
        <w:t>良性脑肿瘤</w:t>
      </w:r>
    </w:p>
    <w:p>
      <w:pPr>
        <w:pStyle w:val="BodyText"/>
        <w:spacing w:line="259" w:lineRule="auto"/>
        <w:ind w:right="164" w:firstLine="425"/>
        <w:jc w:val="both"/>
      </w:pPr>
      <w:r>
        <w:rPr>
          <w:spacing w:val="-7"/>
        </w:rPr>
        <w:t>指脑的良性肿瘤，已经引起颅内压增高，临床表现为视神经乳头水肿、精神症状、癫痫及运动感觉</w:t>
      </w:r>
      <w:r>
        <w:rPr>
          <w:spacing w:val="-5"/>
        </w:rPr>
        <w:t>障碍等，并危及生命。须由头颅断层扫描</w:t>
      </w:r>
      <w:r>
        <w:rPr/>
        <w:t>（CT）</w:t>
      </w:r>
      <w:r>
        <w:rPr>
          <w:spacing w:val="-3"/>
        </w:rPr>
        <w:t>、核磁共振检查</w:t>
      </w:r>
      <w:r>
        <w:rPr/>
        <w:t>（MRI）</w:t>
      </w:r>
      <w:r>
        <w:rPr>
          <w:spacing w:val="-3"/>
        </w:rPr>
        <w:t>或正电子发射断层扫描</w:t>
      </w:r>
      <w:r>
        <w:rPr/>
        <w:t>（PET） </w:t>
      </w:r>
      <w:r>
        <w:rPr>
          <w:spacing w:val="-3"/>
        </w:rPr>
        <w:t>等影像学检查证实，并须满足下列至少一项条件：</w:t>
      </w:r>
    </w:p>
    <w:p>
      <w:pPr>
        <w:pStyle w:val="BodyText"/>
        <w:spacing w:before="6"/>
      </w:pPr>
      <w:r>
        <w:rPr/>
        <w:t>（1）实际实施了开颅进行的脑肿瘤完全切除或部分切除的手术；</w:t>
      </w:r>
    </w:p>
    <w:p>
      <w:pPr>
        <w:pStyle w:val="BodyText"/>
        <w:spacing w:before="23"/>
      </w:pPr>
      <w:r>
        <w:rPr/>
        <w:t>（2）实际实施了对脑肿瘤进行的放射治疗。</w:t>
      </w:r>
    </w:p>
    <w:p>
      <w:pPr>
        <w:pStyle w:val="BodyText"/>
        <w:spacing w:before="23"/>
        <w:ind w:left="542"/>
        <w:rPr>
          <w:rFonts w:ascii="黑体" w:eastAsia="黑体" w:hint="eastAsia"/>
        </w:rPr>
      </w:pPr>
      <w:r>
        <w:rPr>
          <w:rFonts w:ascii="黑体" w:eastAsia="黑体" w:hint="eastAsia"/>
        </w:rPr>
        <w:t>脑垂体瘤、脑囊肿、脑血管性疾病不在保障范围内。</w:t>
      </w:r>
    </w:p>
    <w:p>
      <w:pPr>
        <w:pStyle w:val="BodyText"/>
        <w:spacing w:before="8"/>
        <w:ind w:left="0"/>
        <w:rPr>
          <w:rFonts w:ascii="黑体"/>
          <w:sz w:val="25"/>
        </w:rPr>
      </w:pPr>
    </w:p>
    <w:p>
      <w:pPr>
        <w:pStyle w:val="Heading4"/>
        <w:numPr>
          <w:ilvl w:val="0"/>
          <w:numId w:val="9"/>
        </w:numPr>
        <w:tabs>
          <w:tab w:pos="563" w:val="left" w:leader="none"/>
        </w:tabs>
        <w:spacing w:line="240" w:lineRule="auto" w:before="0" w:after="0"/>
        <w:ind w:left="562" w:right="0" w:hanging="445"/>
        <w:jc w:val="left"/>
      </w:pPr>
      <w:r>
        <w:rPr>
          <w:w w:val="95"/>
        </w:rPr>
        <w:t>慢性肝功能衰竭失代偿期</w:t>
      </w:r>
    </w:p>
    <w:p>
      <w:pPr>
        <w:pStyle w:val="BodyText"/>
        <w:ind w:left="557"/>
      </w:pPr>
      <w:r>
        <w:rPr/>
        <w:t>指因慢性肝脏疾病导致肝功能衰竭。须满足下列全部条件：</w:t>
      </w:r>
    </w:p>
    <w:p>
      <w:pPr>
        <w:pStyle w:val="BodyText"/>
      </w:pPr>
      <w:r>
        <w:rPr/>
        <w:t>（1）持续性黄疸；</w:t>
      </w:r>
    </w:p>
    <w:p>
      <w:pPr>
        <w:spacing w:after="0"/>
        <w:sectPr>
          <w:pgSz w:w="11910" w:h="16840"/>
          <w:pgMar w:top="1380" w:bottom="280" w:left="960" w:right="760"/>
        </w:sectPr>
      </w:pPr>
    </w:p>
    <w:p>
      <w:pPr>
        <w:pStyle w:val="BodyText"/>
        <w:spacing w:before="20"/>
      </w:pPr>
      <w:r>
        <w:rPr/>
        <w:t>（2）腹水；</w:t>
      </w:r>
    </w:p>
    <w:p>
      <w:pPr>
        <w:pStyle w:val="BodyText"/>
      </w:pPr>
      <w:r>
        <w:rPr/>
        <w:t>（3）肝性脑病；</w:t>
      </w:r>
    </w:p>
    <w:p>
      <w:pPr>
        <w:pStyle w:val="BodyText"/>
      </w:pPr>
      <w:r>
        <w:rPr/>
        <w:t>（4）充血性脾肿大伴脾功能亢进或食管胃底静脉曲张。</w:t>
      </w:r>
    </w:p>
    <w:p>
      <w:pPr>
        <w:pStyle w:val="BodyText"/>
        <w:ind w:left="542"/>
        <w:rPr>
          <w:rFonts w:ascii="黑体" w:eastAsia="黑体" w:hint="eastAsia"/>
        </w:rPr>
      </w:pPr>
      <w:r>
        <w:rPr>
          <w:rFonts w:ascii="黑体" w:eastAsia="黑体" w:hint="eastAsia"/>
        </w:rPr>
        <w:t>因酗酒或药物滥用导致的肝功能衰竭不在保障范围内。</w:t>
      </w:r>
    </w:p>
    <w:p>
      <w:pPr>
        <w:pStyle w:val="BodyText"/>
        <w:spacing w:before="9"/>
        <w:ind w:left="0"/>
        <w:rPr>
          <w:rFonts w:ascii="黑体"/>
          <w:sz w:val="25"/>
        </w:rPr>
      </w:pPr>
    </w:p>
    <w:p>
      <w:pPr>
        <w:pStyle w:val="Heading4"/>
        <w:numPr>
          <w:ilvl w:val="0"/>
          <w:numId w:val="9"/>
        </w:numPr>
        <w:tabs>
          <w:tab w:pos="563" w:val="left" w:leader="none"/>
        </w:tabs>
        <w:spacing w:line="240" w:lineRule="auto" w:before="0" w:after="0"/>
        <w:ind w:left="562" w:right="0" w:hanging="445"/>
        <w:jc w:val="left"/>
      </w:pPr>
      <w:r>
        <w:rPr>
          <w:w w:val="95"/>
        </w:rPr>
        <w:t>脑炎后遗症或脑膜炎后遗症</w:t>
      </w:r>
    </w:p>
    <w:p>
      <w:pPr>
        <w:pStyle w:val="BodyText"/>
        <w:ind w:left="557"/>
      </w:pPr>
      <w:r>
        <w:rPr/>
        <w:t>指因患脑炎或脑膜炎导致的神经系统永久性的功能障碍。神经系统永久性的功能障碍，指疾病确诊</w:t>
      </w:r>
    </w:p>
    <w:p>
      <w:pPr>
        <w:pStyle w:val="BodyText"/>
      </w:pPr>
      <w:r>
        <w:rPr/>
        <w:t>180 天后，仍遗留下列一种或一种以上障碍：</w:t>
      </w:r>
    </w:p>
    <w:p>
      <w:pPr>
        <w:pStyle w:val="BodyText"/>
      </w:pPr>
      <w:r>
        <w:rPr/>
        <w:t>（1）一肢或一肢以上肢体机能完全丧失；</w:t>
      </w:r>
    </w:p>
    <w:p>
      <w:pPr>
        <w:pStyle w:val="BodyText"/>
      </w:pPr>
      <w:r>
        <w:rPr/>
        <w:t>（2）语言能力或咀嚼吞咽能力完全丧失；</w:t>
      </w:r>
    </w:p>
    <w:p>
      <w:pPr>
        <w:pStyle w:val="BodyText"/>
      </w:pPr>
      <w:r>
        <w:rPr/>
        <w:t>（3）自主生活能力完全丧失，无法独立完成六项基本日常生活活动中的三项或三项以上。</w:t>
      </w:r>
    </w:p>
    <w:p>
      <w:pPr>
        <w:pStyle w:val="BodyText"/>
        <w:spacing w:before="8"/>
        <w:ind w:left="0"/>
        <w:rPr>
          <w:sz w:val="25"/>
        </w:rPr>
      </w:pPr>
    </w:p>
    <w:p>
      <w:pPr>
        <w:pStyle w:val="Heading4"/>
        <w:numPr>
          <w:ilvl w:val="0"/>
          <w:numId w:val="9"/>
        </w:numPr>
        <w:tabs>
          <w:tab w:pos="563" w:val="left" w:leader="none"/>
        </w:tabs>
        <w:spacing w:line="240" w:lineRule="auto" w:before="0" w:after="0"/>
        <w:ind w:left="562" w:right="0" w:hanging="445"/>
        <w:jc w:val="left"/>
      </w:pPr>
      <w:r>
        <w:rPr>
          <w:w w:val="95"/>
        </w:rPr>
        <w:t>深度昏迷</w:t>
      </w:r>
    </w:p>
    <w:p>
      <w:pPr>
        <w:pStyle w:val="BodyText"/>
        <w:spacing w:line="259" w:lineRule="auto" w:before="23"/>
        <w:ind w:right="335" w:firstLine="425"/>
        <w:jc w:val="both"/>
      </w:pPr>
      <w:r>
        <w:rPr>
          <w:spacing w:val="-3"/>
        </w:rPr>
        <w:t>指因疾病或意外伤害导致意识丧失,对外界刺激和体内需求均无反应,昏迷程度按照格拉斯哥昏迷分级（Glasgow </w:t>
      </w:r>
      <w:r>
        <w:rPr/>
        <w:t>coma scale）</w:t>
      </w:r>
      <w:r>
        <w:rPr>
          <w:spacing w:val="-15"/>
        </w:rPr>
        <w:t>结果为 </w:t>
      </w:r>
      <w:r>
        <w:rPr/>
        <w:t>5</w:t>
      </w:r>
      <w:r>
        <w:rPr>
          <w:spacing w:val="-28"/>
        </w:rPr>
        <w:t> 分或 </w:t>
      </w:r>
      <w:r>
        <w:rPr/>
        <w:t>5</w:t>
      </w:r>
      <w:r>
        <w:rPr>
          <w:spacing w:val="-10"/>
        </w:rPr>
        <w:t> 分以下，且已经持续使用呼吸机及其它生命维持系统 </w:t>
      </w:r>
      <w:r>
        <w:rPr>
          <w:spacing w:val="-3"/>
        </w:rPr>
        <w:t>96 </w:t>
      </w:r>
      <w:r>
        <w:rPr>
          <w:spacing w:val="-1"/>
        </w:rPr>
        <w:t>小时以上。</w:t>
      </w:r>
    </w:p>
    <w:p>
      <w:pPr>
        <w:pStyle w:val="BodyText"/>
        <w:spacing w:before="5"/>
        <w:ind w:left="542"/>
        <w:rPr>
          <w:rFonts w:ascii="黑体" w:eastAsia="黑体" w:hint="eastAsia"/>
        </w:rPr>
      </w:pPr>
      <w:r>
        <w:rPr>
          <w:rFonts w:ascii="黑体" w:eastAsia="黑体" w:hint="eastAsia"/>
        </w:rPr>
        <w:t>因酗酒或药物滥用导致的深度昏迷不在保障范围内。</w:t>
      </w:r>
    </w:p>
    <w:p>
      <w:pPr>
        <w:pStyle w:val="BodyText"/>
        <w:spacing w:before="8"/>
        <w:ind w:left="0"/>
        <w:rPr>
          <w:rFonts w:ascii="黑体"/>
          <w:sz w:val="25"/>
        </w:rPr>
      </w:pPr>
    </w:p>
    <w:p>
      <w:pPr>
        <w:pStyle w:val="Heading4"/>
        <w:numPr>
          <w:ilvl w:val="0"/>
          <w:numId w:val="9"/>
        </w:numPr>
        <w:tabs>
          <w:tab w:pos="563" w:val="left" w:leader="none"/>
        </w:tabs>
        <w:spacing w:line="240" w:lineRule="auto" w:before="0" w:after="0"/>
        <w:ind w:left="562" w:right="0" w:hanging="445"/>
        <w:jc w:val="left"/>
      </w:pPr>
      <w:r>
        <w:rPr>
          <w:w w:val="95"/>
        </w:rPr>
        <w:t>双耳失聪</w:t>
      </w:r>
    </w:p>
    <w:p>
      <w:pPr>
        <w:pStyle w:val="BodyText"/>
        <w:ind w:left="542"/>
      </w:pPr>
      <w:r>
        <w:rPr>
          <w:spacing w:val="-3"/>
        </w:rPr>
        <w:t>指因疾病或意外伤害导致双耳听力</w:t>
      </w:r>
      <w:r>
        <w:rPr>
          <w:b/>
          <w:spacing w:val="-6"/>
        </w:rPr>
        <w:t>永久不可逆</w:t>
      </w:r>
      <w:r>
        <w:rPr/>
        <w:t>（</w:t>
      </w:r>
      <w:r>
        <w:rPr>
          <w:spacing w:val="-27"/>
        </w:rPr>
        <w:t>见 </w:t>
      </w:r>
      <w:r>
        <w:rPr>
          <w:spacing w:val="-5"/>
        </w:rPr>
        <w:t>11.14）</w:t>
      </w:r>
      <w:r>
        <w:rPr>
          <w:spacing w:val="-15"/>
        </w:rPr>
        <w:t>性丧失，在 </w:t>
      </w:r>
      <w:r>
        <w:rPr/>
        <w:t>500</w:t>
      </w:r>
      <w:r>
        <w:rPr>
          <w:spacing w:val="-21"/>
        </w:rPr>
        <w:t> 赫兹、</w:t>
      </w:r>
      <w:r>
        <w:rPr/>
        <w:t>1000</w:t>
      </w:r>
      <w:r>
        <w:rPr>
          <w:spacing w:val="-23"/>
        </w:rPr>
        <w:t> 赫兹和 </w:t>
      </w:r>
      <w:r>
        <w:rPr/>
        <w:t>2000</w:t>
      </w:r>
    </w:p>
    <w:p>
      <w:pPr>
        <w:pStyle w:val="BodyText"/>
      </w:pPr>
      <w:r>
        <w:rPr>
          <w:spacing w:val="-7"/>
        </w:rPr>
        <w:t>赫兹语音频率下，平均听阈大于 </w:t>
      </w:r>
      <w:r>
        <w:rPr/>
        <w:t>90</w:t>
      </w:r>
      <w:r>
        <w:rPr>
          <w:spacing w:val="-10"/>
        </w:rPr>
        <w:t> 分贝，且经纯音听力测试、声导抗检测或听觉诱发电位检测等证实。</w:t>
      </w:r>
    </w:p>
    <w:p>
      <w:pPr>
        <w:pStyle w:val="BodyText"/>
        <w:spacing w:before="9"/>
        <w:ind w:left="0"/>
        <w:rPr>
          <w:sz w:val="25"/>
        </w:rPr>
      </w:pPr>
    </w:p>
    <w:p>
      <w:pPr>
        <w:pStyle w:val="Heading4"/>
        <w:numPr>
          <w:ilvl w:val="0"/>
          <w:numId w:val="9"/>
        </w:numPr>
        <w:tabs>
          <w:tab w:pos="563" w:val="left" w:leader="none"/>
        </w:tabs>
        <w:spacing w:line="240" w:lineRule="auto" w:before="0" w:after="0"/>
        <w:ind w:left="562" w:right="0" w:hanging="445"/>
        <w:jc w:val="left"/>
      </w:pPr>
      <w:r>
        <w:rPr>
          <w:w w:val="95"/>
        </w:rPr>
        <w:t>双目失明</w:t>
      </w:r>
    </w:p>
    <w:p>
      <w:pPr>
        <w:pStyle w:val="BodyText"/>
        <w:ind w:left="542"/>
      </w:pPr>
      <w:r>
        <w:rPr/>
        <w:t>指因疾病或意外伤害导致双眼视力永久不可逆性丧失，双眼中较好眼须满足下列至少一项条件：</w:t>
      </w:r>
    </w:p>
    <w:p>
      <w:pPr>
        <w:pStyle w:val="BodyText"/>
      </w:pPr>
      <w:r>
        <w:rPr/>
        <w:t>（1）眼球缺失或摘除；</w:t>
      </w:r>
    </w:p>
    <w:p>
      <w:pPr>
        <w:pStyle w:val="BodyText"/>
      </w:pPr>
      <w:r>
        <w:rPr/>
        <w:t>（2）矫正视力低于 0.02（采用国际标准视力表，如果使用其它视力表应进行换算）；</w:t>
      </w:r>
    </w:p>
    <w:p>
      <w:pPr>
        <w:pStyle w:val="BodyText"/>
      </w:pPr>
      <w:r>
        <w:rPr/>
        <w:t>（3）视野半径小于 5 度。</w:t>
      </w:r>
    </w:p>
    <w:p>
      <w:pPr>
        <w:pStyle w:val="BodyText"/>
        <w:spacing w:before="8"/>
        <w:ind w:left="0"/>
        <w:rPr>
          <w:sz w:val="25"/>
        </w:rPr>
      </w:pPr>
    </w:p>
    <w:p>
      <w:pPr>
        <w:pStyle w:val="Heading4"/>
        <w:numPr>
          <w:ilvl w:val="0"/>
          <w:numId w:val="9"/>
        </w:numPr>
        <w:tabs>
          <w:tab w:pos="563" w:val="left" w:leader="none"/>
        </w:tabs>
        <w:spacing w:line="240" w:lineRule="auto" w:before="1" w:after="0"/>
        <w:ind w:left="562" w:right="0" w:hanging="445"/>
        <w:jc w:val="left"/>
      </w:pPr>
      <w:r>
        <w:rPr>
          <w:w w:val="95"/>
        </w:rPr>
        <w:t>瘫痪</w:t>
      </w:r>
    </w:p>
    <w:p>
      <w:pPr>
        <w:pStyle w:val="BodyText"/>
        <w:spacing w:line="259" w:lineRule="auto" w:before="25"/>
        <w:ind w:right="120" w:firstLine="425"/>
      </w:pPr>
      <w:r>
        <w:rPr>
          <w:spacing w:val="-5"/>
        </w:rPr>
        <w:t>指因疾病或意外伤害导致两肢或两肢以上肢体机能永久完全丧失。肢体机能永久完全丧失，指疾病</w:t>
      </w:r>
      <w:r>
        <w:rPr>
          <w:spacing w:val="-19"/>
        </w:rPr>
        <w:t>确诊 </w:t>
      </w:r>
      <w:r>
        <w:rPr/>
        <w:t>180</w:t>
      </w:r>
      <w:r>
        <w:rPr>
          <w:spacing w:val="-12"/>
        </w:rPr>
        <w:t> 天后或意外伤害发生 </w:t>
      </w:r>
      <w:r>
        <w:rPr/>
        <w:t>180</w:t>
      </w:r>
      <w:r>
        <w:rPr>
          <w:spacing w:val="-17"/>
        </w:rPr>
        <w:t> 天后，每肢三大关节中的两大关节仍然完全僵硬，或不能随意识活动。</w:t>
      </w:r>
    </w:p>
    <w:p>
      <w:pPr>
        <w:pStyle w:val="BodyText"/>
        <w:spacing w:before="4"/>
        <w:ind w:left="0"/>
        <w:rPr>
          <w:sz w:val="24"/>
        </w:rPr>
      </w:pPr>
    </w:p>
    <w:p>
      <w:pPr>
        <w:pStyle w:val="Heading4"/>
        <w:numPr>
          <w:ilvl w:val="0"/>
          <w:numId w:val="9"/>
        </w:numPr>
        <w:tabs>
          <w:tab w:pos="563" w:val="left" w:leader="none"/>
        </w:tabs>
        <w:spacing w:line="240" w:lineRule="auto" w:before="0" w:after="0"/>
        <w:ind w:left="562" w:right="0" w:hanging="445"/>
        <w:jc w:val="left"/>
      </w:pPr>
      <w:r>
        <w:rPr>
          <w:w w:val="95"/>
        </w:rPr>
        <w:t>心脏瓣膜手术</w:t>
      </w:r>
    </w:p>
    <w:p>
      <w:pPr>
        <w:pStyle w:val="BodyText"/>
        <w:spacing w:before="23"/>
        <w:ind w:left="542"/>
      </w:pPr>
      <w:r>
        <w:rPr/>
        <w:t>指为治疗心脏瓣膜疾病，实际实施了开胸进行的心脏瓣膜置换或修复的手术。</w:t>
      </w:r>
    </w:p>
    <w:p>
      <w:pPr>
        <w:pStyle w:val="BodyText"/>
        <w:spacing w:before="8"/>
        <w:ind w:left="0"/>
        <w:rPr>
          <w:sz w:val="25"/>
        </w:rPr>
      </w:pPr>
    </w:p>
    <w:p>
      <w:pPr>
        <w:pStyle w:val="Heading4"/>
        <w:numPr>
          <w:ilvl w:val="0"/>
          <w:numId w:val="9"/>
        </w:numPr>
        <w:tabs>
          <w:tab w:pos="563" w:val="left" w:leader="none"/>
        </w:tabs>
        <w:spacing w:line="240" w:lineRule="auto" w:before="0" w:after="0"/>
        <w:ind w:left="562" w:right="0" w:hanging="445"/>
        <w:jc w:val="left"/>
      </w:pPr>
      <w:r>
        <w:rPr>
          <w:w w:val="95"/>
        </w:rPr>
        <w:t>严重阿尔茨海默病</w:t>
      </w:r>
    </w:p>
    <w:p>
      <w:pPr>
        <w:pStyle w:val="BodyText"/>
        <w:spacing w:line="259" w:lineRule="auto" w:before="23"/>
        <w:ind w:right="119" w:firstLine="425"/>
      </w:pPr>
      <w:r>
        <w:rPr>
          <w:spacing w:val="-6"/>
        </w:rPr>
        <w:t>指因大脑进行性、不可逆性改变导致智能严重衰退或丧失，临床表现为明显的认知能力障碍、行为</w:t>
      </w:r>
      <w:r>
        <w:rPr>
          <w:spacing w:val="-18"/>
        </w:rPr>
        <w:t>异常和社交能力减退，其日常生活必须持续受到他人监护。须由头颅断层扫描</w:t>
      </w:r>
      <w:r>
        <w:rPr>
          <w:spacing w:val="-21"/>
        </w:rPr>
        <w:t>（CT）</w:t>
      </w:r>
      <w:r>
        <w:rPr>
          <w:spacing w:val="-27"/>
        </w:rPr>
        <w:t>、核磁共振检查</w:t>
      </w:r>
      <w:r>
        <w:rPr/>
        <w:t>（MRI） </w:t>
      </w:r>
      <w:r>
        <w:rPr>
          <w:spacing w:val="-3"/>
        </w:rPr>
        <w:t>或正电子发射断层扫描</w:t>
      </w:r>
      <w:r>
        <w:rPr/>
        <w:t>（PET）</w:t>
      </w:r>
      <w:r>
        <w:rPr>
          <w:spacing w:val="-3"/>
        </w:rPr>
        <w:t>等影像学检查证实，且自主生活能力完全丧失，无法独立完成六项基本日常生活活动中的三项或三项以上。</w:t>
      </w:r>
    </w:p>
    <w:p>
      <w:pPr>
        <w:pStyle w:val="BodyText"/>
        <w:spacing w:before="6"/>
        <w:ind w:left="542"/>
        <w:rPr>
          <w:rFonts w:ascii="黑体" w:eastAsia="黑体" w:hint="eastAsia"/>
        </w:rPr>
      </w:pPr>
      <w:r>
        <w:rPr>
          <w:rFonts w:ascii="黑体" w:eastAsia="黑体" w:hint="eastAsia"/>
        </w:rPr>
        <w:t>神经官能症和精神疾病不在保障范围内。</w:t>
      </w:r>
    </w:p>
    <w:p>
      <w:pPr>
        <w:pStyle w:val="BodyText"/>
        <w:spacing w:before="9"/>
        <w:ind w:left="0"/>
        <w:rPr>
          <w:rFonts w:ascii="黑体"/>
          <w:sz w:val="25"/>
        </w:rPr>
      </w:pPr>
    </w:p>
    <w:p>
      <w:pPr>
        <w:pStyle w:val="Heading4"/>
        <w:numPr>
          <w:ilvl w:val="0"/>
          <w:numId w:val="9"/>
        </w:numPr>
        <w:tabs>
          <w:tab w:pos="673" w:val="left" w:leader="none"/>
        </w:tabs>
        <w:spacing w:line="240" w:lineRule="auto" w:before="0" w:after="0"/>
        <w:ind w:left="672" w:right="0" w:hanging="444"/>
        <w:jc w:val="left"/>
      </w:pPr>
      <w:r>
        <w:rPr>
          <w:w w:val="95"/>
        </w:rPr>
        <w:t>严重脑损伤</w:t>
      </w:r>
    </w:p>
    <w:p>
      <w:pPr>
        <w:spacing w:after="0" w:line="240" w:lineRule="auto"/>
        <w:jc w:val="left"/>
        <w:sectPr>
          <w:pgSz w:w="11910" w:h="16840"/>
          <w:pgMar w:top="1380" w:bottom="280" w:left="960" w:right="760"/>
        </w:sectPr>
      </w:pPr>
    </w:p>
    <w:p>
      <w:pPr>
        <w:pStyle w:val="BodyText"/>
        <w:spacing w:line="259" w:lineRule="auto" w:before="20"/>
        <w:ind w:right="144" w:firstLine="439"/>
        <w:jc w:val="both"/>
      </w:pPr>
      <w:r>
        <w:rPr>
          <w:spacing w:val="-7"/>
        </w:rPr>
        <w:t>指因头部遭受机械性外力，引起脑重要部位损伤，导致神经系统永久性的功能障碍。须由头颅断层</w:t>
      </w:r>
      <w:r>
        <w:rPr>
          <w:spacing w:val="-8"/>
        </w:rPr>
        <w:t>扫描</w:t>
      </w:r>
      <w:r>
        <w:rPr>
          <w:spacing w:val="-4"/>
        </w:rPr>
        <w:t>（CT）、核磁共振检查</w:t>
      </w:r>
      <w:r>
        <w:rPr>
          <w:spacing w:val="-3"/>
        </w:rPr>
        <w:t>（MRI）</w:t>
      </w:r>
      <w:r>
        <w:rPr>
          <w:spacing w:val="-4"/>
        </w:rPr>
        <w:t>或正电子发射断层扫描</w:t>
      </w:r>
      <w:r>
        <w:rPr>
          <w:spacing w:val="-3"/>
        </w:rPr>
        <w:t>（PET）</w:t>
      </w:r>
      <w:r>
        <w:rPr>
          <w:spacing w:val="-4"/>
        </w:rPr>
        <w:t>等影像学检查证实。神经系统永久性</w:t>
      </w:r>
      <w:r>
        <w:rPr>
          <w:spacing w:val="-8"/>
        </w:rPr>
        <w:t>的功能障碍，指脑损伤 </w:t>
      </w:r>
      <w:r>
        <w:rPr/>
        <w:t>180</w:t>
      </w:r>
      <w:r>
        <w:rPr>
          <w:spacing w:val="-8"/>
        </w:rPr>
        <w:t> 天后，仍遗留下列一种或一种以上障碍：</w:t>
      </w:r>
    </w:p>
    <w:p>
      <w:pPr>
        <w:pStyle w:val="BodyText"/>
        <w:spacing w:before="6"/>
      </w:pPr>
      <w:r>
        <w:rPr/>
        <w:t>（1）一肢或一肢以上肢体机能完全丧失；</w:t>
      </w:r>
    </w:p>
    <w:p>
      <w:pPr>
        <w:pStyle w:val="BodyText"/>
      </w:pPr>
      <w:r>
        <w:rPr/>
        <w:t>（2）语言能力或咀嚼吞咽能力完全丧失；</w:t>
      </w:r>
    </w:p>
    <w:p>
      <w:pPr>
        <w:pStyle w:val="BodyText"/>
      </w:pPr>
      <w:r>
        <w:rPr/>
        <w:t>（3）自主生活能力完全丧失，无法独立完成六项基本日常生活活动中的三项或三项以上。</w:t>
      </w:r>
    </w:p>
    <w:p>
      <w:pPr>
        <w:pStyle w:val="BodyText"/>
        <w:spacing w:before="8"/>
        <w:ind w:left="0"/>
        <w:rPr>
          <w:sz w:val="25"/>
        </w:rPr>
      </w:pPr>
    </w:p>
    <w:p>
      <w:pPr>
        <w:pStyle w:val="Heading4"/>
        <w:numPr>
          <w:ilvl w:val="0"/>
          <w:numId w:val="9"/>
        </w:numPr>
        <w:tabs>
          <w:tab w:pos="673" w:val="left" w:leader="none"/>
        </w:tabs>
        <w:spacing w:line="240" w:lineRule="auto" w:before="0" w:after="0"/>
        <w:ind w:left="672" w:right="0" w:hanging="444"/>
        <w:jc w:val="left"/>
      </w:pPr>
      <w:r>
        <w:rPr>
          <w:w w:val="95"/>
        </w:rPr>
        <w:t>严重帕金森病</w:t>
      </w:r>
    </w:p>
    <w:p>
      <w:pPr>
        <w:pStyle w:val="BodyText"/>
        <w:spacing w:before="23"/>
        <w:ind w:left="542"/>
      </w:pPr>
      <w:r>
        <w:rPr/>
        <w:t>是一种中枢神经系统的退行性疾病，临床表现为震颤麻痹、共济失调等。须满足下列全部条件：</w:t>
      </w:r>
    </w:p>
    <w:p>
      <w:pPr>
        <w:pStyle w:val="BodyText"/>
        <w:spacing w:before="23"/>
      </w:pPr>
      <w:r>
        <w:rPr/>
        <w:t>（1）药物治疗无法控制病情；</w:t>
      </w:r>
    </w:p>
    <w:p>
      <w:pPr>
        <w:pStyle w:val="BodyText"/>
      </w:pPr>
      <w:r>
        <w:rPr/>
        <w:t>（2）自主生活能力完全丧失，无法独立完成六项基本日常生活活动中的三项或三项以上。</w:t>
      </w:r>
    </w:p>
    <w:p>
      <w:pPr>
        <w:pStyle w:val="BodyText"/>
        <w:ind w:left="542"/>
        <w:rPr>
          <w:rFonts w:ascii="黑体" w:eastAsia="黑体" w:hint="eastAsia"/>
        </w:rPr>
      </w:pPr>
      <w:r>
        <w:rPr>
          <w:rFonts w:ascii="黑体" w:eastAsia="黑体" w:hint="eastAsia"/>
        </w:rPr>
        <w:t>继发性帕金森综合征不在保障范围内。</w:t>
      </w:r>
    </w:p>
    <w:p>
      <w:pPr>
        <w:pStyle w:val="BodyText"/>
        <w:spacing w:before="8"/>
        <w:ind w:left="0"/>
        <w:rPr>
          <w:rFonts w:ascii="黑体"/>
          <w:sz w:val="25"/>
        </w:rPr>
      </w:pPr>
    </w:p>
    <w:p>
      <w:pPr>
        <w:pStyle w:val="Heading4"/>
        <w:numPr>
          <w:ilvl w:val="0"/>
          <w:numId w:val="9"/>
        </w:numPr>
        <w:tabs>
          <w:tab w:pos="673" w:val="left" w:leader="none"/>
        </w:tabs>
        <w:spacing w:line="240" w:lineRule="auto" w:before="1" w:after="0"/>
        <w:ind w:left="672" w:right="0" w:hanging="444"/>
        <w:jc w:val="left"/>
      </w:pPr>
      <w:r>
        <w:rPr>
          <w:spacing w:val="-1"/>
          <w:w w:val="95"/>
        </w:rPr>
        <w:t>严重Ⅲ度烧伤</w:t>
      </w:r>
    </w:p>
    <w:p>
      <w:pPr>
        <w:pStyle w:val="BodyText"/>
        <w:spacing w:line="259" w:lineRule="auto"/>
        <w:ind w:right="207" w:firstLine="425"/>
      </w:pPr>
      <w:r>
        <w:rPr>
          <w:spacing w:val="-5"/>
        </w:rPr>
        <w:t>指烧伤程度为Ⅲ度，且Ⅲ度烧伤的面积达到全身体表面积的 </w:t>
      </w:r>
      <w:r>
        <w:rPr/>
        <w:t>20%</w:t>
      </w:r>
      <w:r>
        <w:rPr>
          <w:spacing w:val="-22"/>
        </w:rPr>
        <w:t>或 </w:t>
      </w:r>
      <w:r>
        <w:rPr/>
        <w:t>20%</w:t>
      </w:r>
      <w:r>
        <w:rPr>
          <w:spacing w:val="-3"/>
        </w:rPr>
        <w:t>以上。体表面积根据《中国新九分法》计算。</w:t>
      </w:r>
    </w:p>
    <w:p>
      <w:pPr>
        <w:pStyle w:val="BodyText"/>
        <w:spacing w:before="4"/>
        <w:ind w:left="0"/>
        <w:rPr>
          <w:sz w:val="24"/>
        </w:rPr>
      </w:pPr>
    </w:p>
    <w:p>
      <w:pPr>
        <w:pStyle w:val="Heading4"/>
        <w:numPr>
          <w:ilvl w:val="0"/>
          <w:numId w:val="9"/>
        </w:numPr>
        <w:tabs>
          <w:tab w:pos="673" w:val="left" w:leader="none"/>
        </w:tabs>
        <w:spacing w:line="240" w:lineRule="auto" w:before="0" w:after="0"/>
        <w:ind w:left="672" w:right="0" w:hanging="444"/>
        <w:jc w:val="left"/>
      </w:pPr>
      <w:r>
        <w:rPr>
          <w:w w:val="95"/>
        </w:rPr>
        <w:t>严重原发性肺动脉高压</w:t>
      </w:r>
    </w:p>
    <w:p>
      <w:pPr>
        <w:pStyle w:val="BodyText"/>
        <w:spacing w:line="261" w:lineRule="auto"/>
        <w:ind w:right="149" w:firstLine="425"/>
        <w:jc w:val="both"/>
      </w:pPr>
      <w:r>
        <w:rPr>
          <w:spacing w:val="-6"/>
        </w:rPr>
        <w:t>指不明原因的肺动脉压力持续性增高，进行性发展而导致的慢性疾病，已经造成永久不可逆性的体</w:t>
      </w:r>
      <w:r>
        <w:rPr>
          <w:spacing w:val="-3"/>
        </w:rPr>
        <w:t>力活动能力受限，达到美国纽约心脏病学会心功能状态分级Ⅳ级，且静息状态下肺动脉平均压超过</w:t>
      </w:r>
    </w:p>
    <w:p>
      <w:pPr>
        <w:pStyle w:val="BodyText"/>
        <w:spacing w:before="4"/>
      </w:pPr>
      <w:r>
        <w:rPr/>
        <w:t>30mmHg。</w:t>
      </w:r>
    </w:p>
    <w:p>
      <w:pPr>
        <w:pStyle w:val="BodyText"/>
        <w:spacing w:before="8"/>
        <w:ind w:left="0"/>
        <w:rPr>
          <w:sz w:val="25"/>
        </w:rPr>
      </w:pPr>
    </w:p>
    <w:p>
      <w:pPr>
        <w:pStyle w:val="Heading4"/>
        <w:numPr>
          <w:ilvl w:val="0"/>
          <w:numId w:val="9"/>
        </w:numPr>
        <w:tabs>
          <w:tab w:pos="673" w:val="left" w:leader="none"/>
        </w:tabs>
        <w:spacing w:line="240" w:lineRule="auto" w:before="0" w:after="0"/>
        <w:ind w:left="672" w:right="0" w:hanging="444"/>
        <w:jc w:val="left"/>
      </w:pPr>
      <w:r>
        <w:rPr>
          <w:w w:val="95"/>
        </w:rPr>
        <w:t>严重运动神经元病</w:t>
      </w:r>
    </w:p>
    <w:p>
      <w:pPr>
        <w:pStyle w:val="BodyText"/>
        <w:spacing w:line="259" w:lineRule="auto" w:before="23"/>
        <w:ind w:right="101" w:firstLine="425"/>
        <w:jc w:val="both"/>
      </w:pPr>
      <w:r>
        <w:rPr>
          <w:spacing w:val="-3"/>
        </w:rPr>
        <w:t>是一组中枢神经系统运动神经元的进行性变性疾病，包括进行性脊肌萎缩症、进行性延髓麻痹症、</w:t>
      </w:r>
      <w:r>
        <w:rPr>
          <w:spacing w:val="-8"/>
        </w:rPr>
        <w:t>原发性侧索硬化症、肌萎缩性侧索硬化症。须满足自主生活能力完全丧失，无法独立完成六项基本日常</w:t>
      </w:r>
      <w:r>
        <w:rPr>
          <w:spacing w:val="-5"/>
        </w:rPr>
        <w:t>生活活动中的三项或三项以上的条件。</w:t>
      </w:r>
    </w:p>
    <w:p>
      <w:pPr>
        <w:pStyle w:val="BodyText"/>
        <w:spacing w:before="3"/>
        <w:ind w:left="0"/>
        <w:rPr>
          <w:sz w:val="24"/>
        </w:rPr>
      </w:pPr>
    </w:p>
    <w:p>
      <w:pPr>
        <w:pStyle w:val="Heading4"/>
        <w:numPr>
          <w:ilvl w:val="0"/>
          <w:numId w:val="9"/>
        </w:numPr>
        <w:tabs>
          <w:tab w:pos="673" w:val="left" w:leader="none"/>
        </w:tabs>
        <w:spacing w:line="240" w:lineRule="auto" w:before="1" w:after="0"/>
        <w:ind w:left="672" w:right="0" w:hanging="444"/>
        <w:jc w:val="left"/>
      </w:pPr>
      <w:r>
        <w:rPr>
          <w:w w:val="95"/>
        </w:rPr>
        <w:t>语言能力丧失</w:t>
      </w:r>
    </w:p>
    <w:p>
      <w:pPr>
        <w:pStyle w:val="BodyText"/>
        <w:spacing w:line="261" w:lineRule="auto"/>
        <w:ind w:right="207" w:firstLine="425"/>
      </w:pPr>
      <w:r>
        <w:rPr>
          <w:spacing w:val="-5"/>
        </w:rPr>
        <w:t>指因疾病或意外伤害导致完全丧失语言能力，经过积极治疗至少 </w:t>
      </w:r>
      <w:r>
        <w:rPr/>
        <w:t>12</w:t>
      </w:r>
      <w:r>
        <w:rPr>
          <w:spacing w:val="-15"/>
        </w:rPr>
        <w:t> 个月</w:t>
      </w:r>
      <w:r>
        <w:rPr>
          <w:spacing w:val="-3"/>
        </w:rPr>
        <w:t>（</w:t>
      </w:r>
      <w:r>
        <w:rPr>
          <w:spacing w:val="-2"/>
        </w:rPr>
        <w:t>声带完全切除不受此时</w:t>
      </w:r>
      <w:r>
        <w:rPr>
          <w:spacing w:val="-1"/>
        </w:rPr>
        <w:t>间限制</w:t>
      </w:r>
      <w:r>
        <w:rPr/>
        <w:t>）</w:t>
      </w:r>
      <w:r>
        <w:rPr>
          <w:spacing w:val="-3"/>
        </w:rPr>
        <w:t>，仍无法通过现有医疗手段恢复。</w:t>
      </w:r>
    </w:p>
    <w:p>
      <w:pPr>
        <w:pStyle w:val="BodyText"/>
        <w:spacing w:before="4"/>
        <w:ind w:left="542"/>
        <w:rPr>
          <w:rFonts w:ascii="黑体" w:eastAsia="黑体" w:hint="eastAsia"/>
        </w:rPr>
      </w:pPr>
      <w:r>
        <w:rPr>
          <w:rFonts w:ascii="黑体" w:eastAsia="黑体" w:hint="eastAsia"/>
        </w:rPr>
        <w:t>精神心理因素所致的语言能力丧失不在保障范围内。</w:t>
      </w:r>
    </w:p>
    <w:p>
      <w:pPr>
        <w:pStyle w:val="BodyText"/>
        <w:spacing w:before="8"/>
        <w:ind w:left="0"/>
        <w:rPr>
          <w:rFonts w:ascii="黑体"/>
          <w:sz w:val="25"/>
        </w:rPr>
      </w:pPr>
    </w:p>
    <w:p>
      <w:pPr>
        <w:pStyle w:val="Heading4"/>
        <w:numPr>
          <w:ilvl w:val="0"/>
          <w:numId w:val="9"/>
        </w:numPr>
        <w:tabs>
          <w:tab w:pos="673" w:val="left" w:leader="none"/>
        </w:tabs>
        <w:spacing w:line="240" w:lineRule="auto" w:before="1" w:after="0"/>
        <w:ind w:left="672" w:right="0" w:hanging="444"/>
        <w:jc w:val="left"/>
      </w:pPr>
      <w:r>
        <w:rPr>
          <w:w w:val="95"/>
        </w:rPr>
        <w:t>重型再生障碍性贫血</w:t>
      </w:r>
    </w:p>
    <w:p>
      <w:pPr>
        <w:pStyle w:val="BodyText"/>
        <w:spacing w:line="259" w:lineRule="auto"/>
        <w:ind w:right="148" w:firstLine="439"/>
        <w:jc w:val="both"/>
      </w:pPr>
      <w:r>
        <w:rPr>
          <w:spacing w:val="-6"/>
        </w:rPr>
        <w:t>指因骨髓造血功能慢性持续性衰竭导致的贫血、中性粒细胞减少及血小板减少。须满足下列全部条件：</w:t>
      </w:r>
    </w:p>
    <w:p>
      <w:pPr>
        <w:pStyle w:val="BodyText"/>
        <w:spacing w:before="6"/>
      </w:pPr>
      <w:r>
        <w:rPr/>
        <w:t>（1）骨髓穿刺检查或骨髓活检结果支持诊断；</w:t>
      </w:r>
    </w:p>
    <w:p>
      <w:pPr>
        <w:pStyle w:val="BodyText"/>
      </w:pPr>
      <w:r>
        <w:rPr/>
        <w:t>（2）外周血象须具备以下三项条件：</w:t>
      </w:r>
    </w:p>
    <w:p>
      <w:pPr>
        <w:pStyle w:val="BodyText"/>
        <w:ind w:left="682"/>
      </w:pPr>
      <w:r>
        <w:rPr>
          <w:spacing w:val="-2"/>
        </w:rPr>
        <w:t>① 中性粒细胞绝对值</w:t>
      </w:r>
      <w:r>
        <w:rPr/>
        <w:t>≤0.5×10</w:t>
      </w:r>
      <w:r>
        <w:rPr>
          <w:spacing w:val="-87"/>
        </w:rPr>
        <w:t> </w:t>
      </w:r>
      <w:r>
        <w:rPr>
          <w:position w:val="8"/>
          <w:sz w:val="13"/>
        </w:rPr>
        <w:t>9 </w:t>
      </w:r>
      <w:r>
        <w:rPr/>
        <w:t>/L ；</w:t>
      </w:r>
    </w:p>
    <w:p>
      <w:pPr>
        <w:pStyle w:val="BodyText"/>
        <w:ind w:left="682"/>
      </w:pPr>
      <w:r>
        <w:rPr/>
        <w:t>② 网织红细胞＜1%；</w:t>
      </w:r>
    </w:p>
    <w:p>
      <w:pPr>
        <w:pStyle w:val="BodyText"/>
        <w:ind w:left="682"/>
      </w:pPr>
      <w:r>
        <w:rPr>
          <w:spacing w:val="-3"/>
        </w:rPr>
        <w:t>③ 血小板绝对值</w:t>
      </w:r>
      <w:r>
        <w:rPr/>
        <w:t>≤20×10</w:t>
      </w:r>
      <w:r>
        <w:rPr>
          <w:spacing w:val="-85"/>
        </w:rPr>
        <w:t> </w:t>
      </w:r>
      <w:r>
        <w:rPr>
          <w:position w:val="8"/>
          <w:sz w:val="13"/>
        </w:rPr>
        <w:t>9 </w:t>
      </w:r>
      <w:r>
        <w:rPr/>
        <w:t>/L。</w:t>
      </w:r>
    </w:p>
    <w:p>
      <w:pPr>
        <w:pStyle w:val="BodyText"/>
        <w:spacing w:before="8"/>
        <w:ind w:left="0"/>
        <w:rPr>
          <w:sz w:val="25"/>
        </w:rPr>
      </w:pPr>
    </w:p>
    <w:p>
      <w:pPr>
        <w:pStyle w:val="Heading4"/>
        <w:numPr>
          <w:ilvl w:val="0"/>
          <w:numId w:val="9"/>
        </w:numPr>
        <w:tabs>
          <w:tab w:pos="673" w:val="left" w:leader="none"/>
        </w:tabs>
        <w:spacing w:line="240" w:lineRule="auto" w:before="0" w:after="0"/>
        <w:ind w:left="672" w:right="0" w:hanging="444"/>
        <w:jc w:val="left"/>
      </w:pPr>
      <w:r>
        <w:rPr>
          <w:w w:val="95"/>
        </w:rPr>
        <w:t>主动脉手术</w:t>
      </w:r>
    </w:p>
    <w:p>
      <w:pPr>
        <w:pStyle w:val="BodyText"/>
        <w:spacing w:line="259" w:lineRule="auto"/>
        <w:ind w:right="148" w:firstLine="425"/>
        <w:jc w:val="both"/>
      </w:pPr>
      <w:r>
        <w:rPr>
          <w:spacing w:val="-7"/>
        </w:rPr>
        <w:t>指为治疗主动脉疾病，实际实施了开胸或开腹进行的切除、置换、修补病损主动脉血管的手术。主</w:t>
      </w:r>
      <w:r>
        <w:rPr>
          <w:spacing w:val="-5"/>
        </w:rPr>
        <w:t>动脉指胸主动脉和腹主动脉，不包括胸主动脉和腹主动脉的分支血管。</w:t>
      </w:r>
    </w:p>
    <w:p>
      <w:pPr>
        <w:spacing w:after="0" w:line="259" w:lineRule="auto"/>
        <w:jc w:val="both"/>
        <w:sectPr>
          <w:pgSz w:w="11910" w:h="16840"/>
          <w:pgMar w:top="1380" w:bottom="280" w:left="960" w:right="840"/>
        </w:sectPr>
      </w:pPr>
    </w:p>
    <w:p>
      <w:pPr>
        <w:pStyle w:val="BodyText"/>
        <w:spacing w:before="20"/>
        <w:ind w:left="542"/>
        <w:rPr>
          <w:rFonts w:ascii="黑体" w:eastAsia="黑体" w:hint="eastAsia"/>
        </w:rPr>
      </w:pPr>
      <w:r>
        <w:rPr>
          <w:rFonts w:ascii="黑体" w:eastAsia="黑体" w:hint="eastAsia"/>
        </w:rPr>
        <w:t>动脉内血管成形术不在保障范围内。</w:t>
      </w:r>
    </w:p>
    <w:p>
      <w:pPr>
        <w:pStyle w:val="BodyText"/>
        <w:spacing w:before="8"/>
        <w:ind w:left="0"/>
        <w:rPr>
          <w:rFonts w:ascii="黑体"/>
          <w:sz w:val="25"/>
        </w:rPr>
      </w:pPr>
    </w:p>
    <w:p>
      <w:pPr>
        <w:pStyle w:val="Heading4"/>
        <w:numPr>
          <w:ilvl w:val="0"/>
          <w:numId w:val="9"/>
        </w:numPr>
        <w:tabs>
          <w:tab w:pos="673" w:val="left" w:leader="none"/>
        </w:tabs>
        <w:spacing w:line="240" w:lineRule="auto" w:before="0" w:after="0"/>
        <w:ind w:left="672" w:right="0" w:hanging="444"/>
        <w:jc w:val="left"/>
      </w:pPr>
      <w:r>
        <w:rPr>
          <w:w w:val="95"/>
        </w:rPr>
        <w:t>慢性呼吸功能衰竭</w:t>
      </w:r>
    </w:p>
    <w:p>
      <w:pPr>
        <w:pStyle w:val="BodyText"/>
        <w:spacing w:line="259" w:lineRule="auto" w:before="23"/>
        <w:ind w:right="229" w:firstLine="425"/>
        <w:jc w:val="both"/>
      </w:pPr>
      <w:r>
        <w:rPr>
          <w:spacing w:val="-5"/>
        </w:rPr>
        <w:t>慢性肺部疾病导致永久不可逆性的慢性呼吸功能衰竭。慢性呼吸功能衰竭必须明确诊断并满足下列</w:t>
      </w:r>
      <w:r>
        <w:rPr>
          <w:spacing w:val="-4"/>
        </w:rPr>
        <w:t>全部条件：</w:t>
      </w:r>
    </w:p>
    <w:p>
      <w:pPr>
        <w:pStyle w:val="BodyText"/>
        <w:spacing w:before="6"/>
      </w:pPr>
      <w:r>
        <w:rPr/>
        <w:t>（1）休息时出现呼吸困难；</w:t>
      </w:r>
    </w:p>
    <w:p>
      <w:pPr>
        <w:pStyle w:val="BodyText"/>
      </w:pPr>
      <w:r>
        <w:rPr/>
        <w:t>（2）动脉血氧分压 （PaO</w:t>
      </w:r>
      <w:r>
        <w:rPr>
          <w:vertAlign w:val="subscript"/>
        </w:rPr>
        <w:t>2</w:t>
      </w:r>
      <w:r>
        <w:rPr>
          <w:vertAlign w:val="baseline"/>
        </w:rPr>
        <w:t>）&lt;</w:t>
      </w:r>
      <w:r>
        <w:rPr>
          <w:vertAlign w:val="baseline"/>
        </w:rPr>
        <w:t> 50mmHg；</w:t>
      </w:r>
    </w:p>
    <w:p>
      <w:pPr>
        <w:pStyle w:val="BodyText"/>
      </w:pPr>
      <w:r>
        <w:rPr/>
        <w:t>（3）动脉血氧饱和度 （SaO</w:t>
      </w:r>
      <w:r>
        <w:rPr>
          <w:vertAlign w:val="subscript"/>
        </w:rPr>
        <w:t>2</w:t>
      </w:r>
      <w:r>
        <w:rPr>
          <w:vertAlign w:val="baseline"/>
        </w:rPr>
        <w:t>）</w:t>
      </w:r>
      <w:r>
        <w:rPr>
          <w:vertAlign w:val="baseline"/>
        </w:rPr>
        <w:t>&lt; 80%；</w:t>
      </w:r>
    </w:p>
    <w:p>
      <w:pPr>
        <w:pStyle w:val="BodyText"/>
      </w:pPr>
      <w:r>
        <w:rPr/>
        <w:t>（4）因缺氧必须接受持续的输氧治疗。</w:t>
      </w:r>
    </w:p>
    <w:p>
      <w:pPr>
        <w:pStyle w:val="BodyText"/>
        <w:spacing w:before="9"/>
        <w:ind w:left="0"/>
        <w:rPr>
          <w:sz w:val="25"/>
        </w:rPr>
      </w:pPr>
    </w:p>
    <w:p>
      <w:pPr>
        <w:pStyle w:val="Heading4"/>
        <w:numPr>
          <w:ilvl w:val="0"/>
          <w:numId w:val="9"/>
        </w:numPr>
        <w:tabs>
          <w:tab w:pos="563" w:val="left" w:leader="none"/>
        </w:tabs>
        <w:spacing w:line="240" w:lineRule="auto" w:before="0" w:after="0"/>
        <w:ind w:left="562" w:right="0" w:hanging="445"/>
        <w:jc w:val="left"/>
      </w:pPr>
      <w:r>
        <w:rPr>
          <w:w w:val="95"/>
        </w:rPr>
        <w:t>严重多发性硬化</w:t>
      </w:r>
    </w:p>
    <w:p>
      <w:pPr>
        <w:pStyle w:val="BodyText"/>
        <w:spacing w:line="259" w:lineRule="auto" w:before="23"/>
        <w:ind w:right="116" w:firstLine="425"/>
      </w:pPr>
      <w:r>
        <w:rPr>
          <w:spacing w:val="-10"/>
        </w:rPr>
        <w:t>多发性硬化为中枢神经系统白质多灶性脱髓鞘病变，病变有时累及灰质。多发性硬化必须明确诊断， </w:t>
      </w:r>
      <w:r>
        <w:rPr>
          <w:spacing w:val="-11"/>
        </w:rPr>
        <w:t>并且已经造成永久不可逆的神经系统功能损害。永久不可逆的神经系统损害指被保险人持续 </w:t>
      </w:r>
      <w:r>
        <w:rPr/>
        <w:t>180</w:t>
      </w:r>
      <w:r>
        <w:rPr>
          <w:spacing w:val="-15"/>
        </w:rPr>
        <w:t> 天无法</w:t>
      </w:r>
      <w:r>
        <w:rPr>
          <w:spacing w:val="-3"/>
        </w:rPr>
        <w:t>独立完成下列基本日常生活活动中的一项：</w:t>
      </w:r>
    </w:p>
    <w:p>
      <w:pPr>
        <w:pStyle w:val="BodyText"/>
        <w:spacing w:before="6"/>
      </w:pPr>
      <w:r>
        <w:rPr/>
        <w:t>（1）移动：自己从一个房间到另一个房间；</w:t>
      </w:r>
    </w:p>
    <w:p>
      <w:pPr>
        <w:pStyle w:val="BodyText"/>
      </w:pPr>
      <w:r>
        <w:rPr/>
        <w:t>（2）进食：自己从已准备好的碗或碟中取食物放入口中。</w:t>
      </w:r>
    </w:p>
    <w:p>
      <w:pPr>
        <w:pStyle w:val="BodyText"/>
        <w:spacing w:before="8"/>
        <w:ind w:left="0"/>
        <w:rPr>
          <w:sz w:val="25"/>
        </w:rPr>
      </w:pPr>
    </w:p>
    <w:p>
      <w:pPr>
        <w:pStyle w:val="Heading4"/>
        <w:numPr>
          <w:ilvl w:val="0"/>
          <w:numId w:val="9"/>
        </w:numPr>
        <w:tabs>
          <w:tab w:pos="563" w:val="left" w:leader="none"/>
        </w:tabs>
        <w:spacing w:line="240" w:lineRule="auto" w:before="1" w:after="0"/>
        <w:ind w:left="562" w:right="0" w:hanging="445"/>
        <w:jc w:val="left"/>
      </w:pPr>
      <w:r>
        <w:rPr>
          <w:w w:val="95"/>
        </w:rPr>
        <w:t>脊髓灰质炎</w:t>
      </w:r>
    </w:p>
    <w:p>
      <w:pPr>
        <w:pStyle w:val="BodyText"/>
        <w:spacing w:line="259" w:lineRule="auto"/>
        <w:ind w:right="179" w:firstLine="427"/>
        <w:jc w:val="both"/>
      </w:pPr>
      <w:r>
        <w:rPr>
          <w:spacing w:val="-3"/>
        </w:rPr>
        <w:t>脊髓灰质炎是由于脊髓灰质炎病毒感染所致的瘫痪性疾病，临床表现为运动功能损害或呼吸无力。</w:t>
      </w:r>
      <w:r>
        <w:rPr>
          <w:spacing w:val="-9"/>
        </w:rPr>
        <w:t>脊髓灰质炎必须明确诊断。本附加合同仅对脊髓灰质炎造成的神经系统功能损害导致被保险人一肢或一肢以上肢体机能永久完全丧失的情况予以理赔。肢体机能永久完全丧失，指疾病确诊 </w:t>
      </w:r>
      <w:r>
        <w:rPr/>
        <w:t>180</w:t>
      </w:r>
      <w:r>
        <w:rPr>
          <w:spacing w:val="-12"/>
        </w:rPr>
        <w:t> 天后，每肢三</w:t>
      </w:r>
      <w:r>
        <w:rPr>
          <w:spacing w:val="-7"/>
        </w:rPr>
        <w:t>大关节中的两大关节仍然完全僵硬，或不能随意识活动。</w:t>
      </w:r>
    </w:p>
    <w:p>
      <w:pPr>
        <w:pStyle w:val="BodyText"/>
        <w:spacing w:before="4"/>
        <w:ind w:left="0"/>
        <w:rPr>
          <w:sz w:val="24"/>
        </w:rPr>
      </w:pPr>
    </w:p>
    <w:p>
      <w:pPr>
        <w:pStyle w:val="Heading4"/>
        <w:numPr>
          <w:ilvl w:val="0"/>
          <w:numId w:val="9"/>
        </w:numPr>
        <w:tabs>
          <w:tab w:pos="563" w:val="left" w:leader="none"/>
        </w:tabs>
        <w:spacing w:line="240" w:lineRule="auto" w:before="0" w:after="0"/>
        <w:ind w:left="562" w:right="0" w:hanging="445"/>
        <w:jc w:val="left"/>
      </w:pPr>
      <w:r>
        <w:rPr>
          <w:w w:val="95"/>
        </w:rPr>
        <w:t>全身性重症肌无力</w:t>
      </w:r>
    </w:p>
    <w:p>
      <w:pPr>
        <w:pStyle w:val="BodyText"/>
        <w:spacing w:line="259" w:lineRule="auto"/>
        <w:ind w:right="181" w:firstLine="427"/>
        <w:jc w:val="both"/>
      </w:pPr>
      <w:r>
        <w:rPr/>
        <w:t>重症肌无力是一种神经肌肉接头传递障碍所致的疾病，表现为局部或全身骨骼肌（特别是眼外肌） 极易疲劳。疾病可以累及呼吸肌、上肢或下肢的近端肌群或全身肌肉，必须满足下列全部条件：</w:t>
      </w:r>
    </w:p>
    <w:p>
      <w:pPr>
        <w:pStyle w:val="BodyText"/>
        <w:spacing w:before="6"/>
      </w:pPr>
      <w:r>
        <w:rPr/>
        <w:t>（1）经药物治疗和胸腺切除治疗一年以上仍无法控制病情；</w:t>
      </w:r>
    </w:p>
    <w:p>
      <w:pPr>
        <w:pStyle w:val="BodyText"/>
        <w:spacing w:before="23"/>
      </w:pPr>
      <w:r>
        <w:rPr/>
        <w:t>（2）自主生活能力完全丧失，无法独立完成六项基本日常生活活动中的三项或三项以上。</w:t>
      </w:r>
    </w:p>
    <w:p>
      <w:pPr>
        <w:pStyle w:val="BodyText"/>
        <w:spacing w:before="9"/>
        <w:ind w:left="0"/>
        <w:rPr>
          <w:sz w:val="25"/>
        </w:rPr>
      </w:pPr>
    </w:p>
    <w:p>
      <w:pPr>
        <w:pStyle w:val="Heading4"/>
        <w:numPr>
          <w:ilvl w:val="0"/>
          <w:numId w:val="9"/>
        </w:numPr>
        <w:tabs>
          <w:tab w:pos="563" w:val="left" w:leader="none"/>
        </w:tabs>
        <w:spacing w:line="240" w:lineRule="auto" w:before="0" w:after="0"/>
        <w:ind w:left="562" w:right="0" w:hanging="445"/>
        <w:jc w:val="left"/>
      </w:pPr>
      <w:r>
        <w:rPr>
          <w:w w:val="95"/>
        </w:rPr>
        <w:t>严重冠心病</w:t>
      </w:r>
    </w:p>
    <w:p>
      <w:pPr>
        <w:pStyle w:val="BodyText"/>
        <w:spacing w:line="259" w:lineRule="auto"/>
        <w:ind w:right="228" w:firstLine="439"/>
        <w:jc w:val="both"/>
      </w:pPr>
      <w:r>
        <w:rPr>
          <w:spacing w:val="-5"/>
        </w:rPr>
        <w:t>指经根据冠状动脉造影检查结果明确诊断为三支主要血管严重狭窄性病变</w:t>
      </w:r>
      <w:r>
        <w:rPr>
          <w:spacing w:val="-3"/>
        </w:rPr>
        <w:t>（</w:t>
      </w:r>
      <w:r>
        <w:rPr>
          <w:spacing w:val="-2"/>
        </w:rPr>
        <w:t>至少一支血管管腔直径</w:t>
      </w:r>
      <w:r>
        <w:rPr>
          <w:spacing w:val="-17"/>
        </w:rPr>
        <w:t>减少 </w:t>
      </w:r>
      <w:r>
        <w:rPr/>
        <w:t>75</w:t>
      </w:r>
      <w:r>
        <w:rPr>
          <w:spacing w:val="-6"/>
        </w:rPr>
        <w:t>%以上和其他两支血管管腔直径减少 </w:t>
      </w:r>
      <w:r>
        <w:rPr/>
        <w:t>60</w:t>
      </w:r>
      <w:r>
        <w:rPr>
          <w:spacing w:val="-2"/>
        </w:rPr>
        <w:t>%以上</w:t>
      </w:r>
      <w:r>
        <w:rPr/>
        <w:t>）</w:t>
      </w:r>
      <w:r>
        <w:rPr>
          <w:spacing w:val="-3"/>
        </w:rPr>
        <w:t>。冠状动脉的主要血管指左冠状动脉主干、前降支、回旋支及右冠状动脉。</w:t>
      </w:r>
    </w:p>
    <w:p>
      <w:pPr>
        <w:pStyle w:val="BodyText"/>
        <w:spacing w:before="6"/>
        <w:ind w:left="542"/>
        <w:rPr>
          <w:rFonts w:ascii="黑体" w:eastAsia="黑体" w:hint="eastAsia"/>
        </w:rPr>
      </w:pPr>
      <w:r>
        <w:rPr>
          <w:rFonts w:ascii="黑体" w:eastAsia="黑体" w:hint="eastAsia"/>
        </w:rPr>
        <w:t>前降支、左旋支及右冠状动脉的分支血管的狭窄不作为本保障的衡量指标。</w:t>
      </w:r>
    </w:p>
    <w:p>
      <w:pPr>
        <w:pStyle w:val="BodyText"/>
        <w:spacing w:before="8"/>
        <w:ind w:left="0"/>
        <w:rPr>
          <w:rFonts w:ascii="黑体"/>
          <w:sz w:val="25"/>
        </w:rPr>
      </w:pPr>
    </w:p>
    <w:p>
      <w:pPr>
        <w:pStyle w:val="Heading4"/>
        <w:numPr>
          <w:ilvl w:val="0"/>
          <w:numId w:val="9"/>
        </w:numPr>
        <w:tabs>
          <w:tab w:pos="563" w:val="left" w:leader="none"/>
        </w:tabs>
        <w:spacing w:line="240" w:lineRule="auto" w:before="0" w:after="0"/>
        <w:ind w:left="562" w:right="0" w:hanging="445"/>
        <w:jc w:val="left"/>
      </w:pPr>
      <w:r>
        <w:rPr>
          <w:w w:val="95"/>
        </w:rPr>
        <w:t>严重心肌病</w:t>
      </w:r>
    </w:p>
    <w:p>
      <w:pPr>
        <w:pStyle w:val="BodyText"/>
        <w:spacing w:line="259" w:lineRule="auto" w:before="23"/>
        <w:ind w:right="227" w:firstLine="425"/>
        <w:jc w:val="both"/>
      </w:pPr>
      <w:r>
        <w:rPr>
          <w:spacing w:val="-5"/>
        </w:rPr>
        <w:t>指被保险人因心肌病导致慢性心功能损害造成永久不可逆性的心功能衰竭。心功能衰竭程度达到纽约心脏病学会的心功能分级标准之心功能Ⅳ级，必须由心脏</w:t>
      </w:r>
      <w:r>
        <w:rPr>
          <w:b/>
          <w:spacing w:val="-1"/>
        </w:rPr>
        <w:t>专科医生</w:t>
      </w:r>
      <w:r>
        <w:rPr/>
        <w:t>（</w:t>
      </w:r>
      <w:r>
        <w:rPr>
          <w:spacing w:val="-19"/>
        </w:rPr>
        <w:t>见 </w:t>
      </w:r>
      <w:r>
        <w:rPr/>
        <w:t>11.15）</w:t>
      </w:r>
      <w:r>
        <w:rPr>
          <w:spacing w:val="-3"/>
        </w:rPr>
        <w:t>确诊，并有包括超声心动图在内的相关检查证实。被保险人永久不可逆性的体力活动能力受限，不能从事任何体力活动。</w:t>
      </w:r>
    </w:p>
    <w:p>
      <w:pPr>
        <w:pStyle w:val="BodyText"/>
        <w:spacing w:before="6"/>
        <w:ind w:left="542"/>
        <w:rPr>
          <w:rFonts w:ascii="黑体" w:eastAsia="黑体" w:hint="eastAsia"/>
        </w:rPr>
      </w:pPr>
      <w:r>
        <w:rPr>
          <w:rFonts w:ascii="黑体" w:eastAsia="黑体" w:hint="eastAsia"/>
        </w:rPr>
        <w:t>酗酒或滥用药物引起的心肌病不在保险责任范围内。</w:t>
      </w:r>
    </w:p>
    <w:p>
      <w:pPr>
        <w:pStyle w:val="BodyText"/>
        <w:spacing w:before="8"/>
        <w:ind w:left="0"/>
        <w:rPr>
          <w:rFonts w:ascii="黑体"/>
          <w:sz w:val="25"/>
        </w:rPr>
      </w:pPr>
    </w:p>
    <w:p>
      <w:pPr>
        <w:pStyle w:val="Heading4"/>
        <w:numPr>
          <w:ilvl w:val="0"/>
          <w:numId w:val="9"/>
        </w:numPr>
        <w:tabs>
          <w:tab w:pos="563" w:val="left" w:leader="none"/>
        </w:tabs>
        <w:spacing w:line="240" w:lineRule="auto" w:before="0" w:after="0"/>
        <w:ind w:left="562" w:right="0" w:hanging="445"/>
        <w:jc w:val="left"/>
      </w:pPr>
      <w:r>
        <w:rPr>
          <w:w w:val="95"/>
        </w:rPr>
        <w:t>严重类风湿性关节炎</w:t>
      </w:r>
    </w:p>
    <w:p>
      <w:pPr>
        <w:pStyle w:val="BodyText"/>
        <w:spacing w:line="259" w:lineRule="auto" w:before="23"/>
        <w:ind w:right="229" w:firstLine="425"/>
        <w:jc w:val="both"/>
      </w:pPr>
      <w:r>
        <w:rPr>
          <w:spacing w:val="-5"/>
        </w:rPr>
        <w:t>类风湿性关节炎为广泛分布的慢性进行性多关节病变，表现为关节严重变形，侵犯至少三个主要关</w:t>
      </w:r>
      <w:r>
        <w:rPr>
          <w:spacing w:val="-7"/>
        </w:rPr>
        <w:t>节或关节组【如：双手</w:t>
      </w:r>
      <w:r>
        <w:rPr>
          <w:spacing w:val="-3"/>
        </w:rPr>
        <w:t>（</w:t>
      </w:r>
      <w:r>
        <w:rPr>
          <w:spacing w:val="-1"/>
        </w:rPr>
        <w:t>多手指</w:t>
      </w:r>
      <w:r>
        <w:rPr>
          <w:spacing w:val="-5"/>
        </w:rPr>
        <w:t>）</w:t>
      </w:r>
      <w:r>
        <w:rPr>
          <w:spacing w:val="-4"/>
        </w:rPr>
        <w:t>关节、双足</w:t>
      </w:r>
      <w:r>
        <w:rPr>
          <w:spacing w:val="-3"/>
        </w:rPr>
        <w:t>（</w:t>
      </w:r>
      <w:r>
        <w:rPr>
          <w:spacing w:val="-2"/>
        </w:rPr>
        <w:t>多足趾</w:t>
      </w:r>
      <w:r>
        <w:rPr>
          <w:spacing w:val="-8"/>
        </w:rPr>
        <w:t>）</w:t>
      </w:r>
      <w:r>
        <w:rPr>
          <w:spacing w:val="-6"/>
        </w:rPr>
        <w:t>关节、双腕关节、双膝关节和双髋关节】。类</w:t>
      </w:r>
    </w:p>
    <w:p>
      <w:pPr>
        <w:spacing w:after="0" w:line="259" w:lineRule="auto"/>
        <w:jc w:val="both"/>
        <w:sectPr>
          <w:pgSz w:w="11910" w:h="16840"/>
          <w:pgMar w:top="1380" w:bottom="280" w:left="960" w:right="760"/>
        </w:sectPr>
      </w:pPr>
    </w:p>
    <w:p>
      <w:pPr>
        <w:pStyle w:val="BodyText"/>
        <w:spacing w:before="20"/>
      </w:pPr>
      <w:r>
        <w:rPr/>
        <w:t>风湿性关节炎必须明确诊断并且已经达到类风湿性关节炎功能分类Ⅳ级的永久不可逆性关节功能障碍</w:t>
      </w:r>
    </w:p>
    <w:p>
      <w:pPr>
        <w:pStyle w:val="BodyText"/>
      </w:pPr>
      <w:r>
        <w:rPr/>
        <w:t>（生活不能自理，且丧失工作能力）并且满足下列全部条件：</w:t>
      </w:r>
    </w:p>
    <w:p>
      <w:pPr>
        <w:pStyle w:val="BodyText"/>
      </w:pPr>
      <w:r>
        <w:rPr/>
        <w:t>（1）晨僵；</w:t>
      </w:r>
    </w:p>
    <w:p>
      <w:pPr>
        <w:pStyle w:val="BodyText"/>
      </w:pPr>
      <w:r>
        <w:rPr/>
        <w:t>（2）对称性关节炎；</w:t>
      </w:r>
    </w:p>
    <w:p>
      <w:pPr>
        <w:pStyle w:val="BodyText"/>
      </w:pPr>
      <w:r>
        <w:rPr/>
        <w:t>（3）类风湿性皮下结节；</w:t>
      </w:r>
    </w:p>
    <w:p>
      <w:pPr>
        <w:pStyle w:val="BodyText"/>
      </w:pPr>
      <w:r>
        <w:rPr/>
        <w:t>（4）类风湿因子滴度升高；</w:t>
      </w:r>
    </w:p>
    <w:p>
      <w:pPr>
        <w:pStyle w:val="BodyText"/>
      </w:pPr>
      <w:r>
        <w:rPr/>
        <w:t>（5）X 线显示严重的关节（软骨和骨）破坏和关节畸形。</w:t>
      </w:r>
    </w:p>
    <w:p>
      <w:pPr>
        <w:pStyle w:val="BodyText"/>
        <w:spacing w:before="8"/>
        <w:ind w:left="0"/>
        <w:rPr>
          <w:sz w:val="25"/>
        </w:rPr>
      </w:pPr>
    </w:p>
    <w:p>
      <w:pPr>
        <w:pStyle w:val="Heading4"/>
        <w:numPr>
          <w:ilvl w:val="0"/>
          <w:numId w:val="9"/>
        </w:numPr>
        <w:tabs>
          <w:tab w:pos="563" w:val="left" w:leader="none"/>
        </w:tabs>
        <w:spacing w:line="240" w:lineRule="auto" w:before="0" w:after="0"/>
        <w:ind w:left="562" w:right="0" w:hanging="445"/>
        <w:jc w:val="left"/>
      </w:pPr>
      <w:r>
        <w:rPr>
          <w:spacing w:val="-1"/>
          <w:w w:val="95"/>
        </w:rPr>
        <w:t>系统性红斑狼疮－Ⅲ型或以上狼疮性肾炎</w:t>
      </w:r>
    </w:p>
    <w:p>
      <w:pPr>
        <w:pStyle w:val="BodyText"/>
        <w:spacing w:line="261" w:lineRule="auto" w:before="23"/>
        <w:ind w:right="209" w:firstLine="425"/>
      </w:pPr>
      <w:r>
        <w:rPr>
          <w:spacing w:val="-6"/>
        </w:rPr>
        <w:t>系统性红斑狼疮是由多种因素引起，累及多系统的自身免疫性疾病。其特点是生成自身抗体对抗多</w:t>
      </w:r>
      <w:r>
        <w:rPr>
          <w:spacing w:val="-5"/>
        </w:rPr>
        <w:t>种自身抗原。多见于育龄妇女。</w:t>
      </w:r>
    </w:p>
    <w:p>
      <w:pPr>
        <w:pStyle w:val="BodyText"/>
        <w:spacing w:line="259" w:lineRule="auto" w:before="4"/>
        <w:ind w:right="99" w:firstLine="442"/>
      </w:pPr>
      <w:r>
        <w:rPr>
          <w:spacing w:val="-6"/>
        </w:rPr>
        <w:t>本附加合同所指的系统性红斑狼疮仅限于累及肾脏，并经肾脏活检确认的符合世界卫生组织</w:t>
      </w:r>
      <w:r>
        <w:rPr/>
        <w:t>（WHO） </w:t>
      </w:r>
      <w:r>
        <w:rPr>
          <w:spacing w:val="-3"/>
        </w:rPr>
        <w:t>诊断标准定义Ⅲ型或Ⅲ型以上狼疮性肾炎的系统性红斑狼疮。</w:t>
      </w:r>
    </w:p>
    <w:p>
      <w:pPr>
        <w:pStyle w:val="BodyText"/>
        <w:spacing w:before="6"/>
        <w:ind w:left="542"/>
        <w:rPr>
          <w:rFonts w:ascii="黑体" w:eastAsia="黑体" w:hint="eastAsia"/>
        </w:rPr>
      </w:pPr>
      <w:r>
        <w:rPr>
          <w:rFonts w:ascii="黑体" w:eastAsia="黑体" w:hint="eastAsia"/>
        </w:rPr>
        <w:t>其他类型的红斑性狼疮，如盘状狼疮、仅累及血液及关节的狼疮不在本附加合同保障范围内。</w:t>
      </w:r>
    </w:p>
    <w:p>
      <w:pPr>
        <w:pStyle w:val="BodyText"/>
        <w:spacing w:before="23"/>
        <w:ind w:left="542"/>
      </w:pPr>
      <w:r>
        <w:rPr/>
        <w:t>世界卫生组织（WHO）狼疮性肾炎分型：</w:t>
      </w:r>
    </w:p>
    <w:p>
      <w:pPr>
        <w:pStyle w:val="BodyText"/>
        <w:tabs>
          <w:tab w:pos="1315" w:val="left" w:leader="none"/>
        </w:tabs>
        <w:spacing w:before="23"/>
        <w:ind w:left="542"/>
      </w:pPr>
      <w:r>
        <w:rPr/>
        <w:t>Ⅰ型</w:t>
        <w:tab/>
      </w:r>
      <w:r>
        <w:rPr>
          <w:spacing w:val="-3"/>
        </w:rPr>
        <w:t>微</w:t>
      </w:r>
      <w:r>
        <w:rPr/>
        <w:t>小病</w:t>
      </w:r>
      <w:r>
        <w:rPr>
          <w:spacing w:val="-3"/>
        </w:rPr>
        <w:t>变</w:t>
      </w:r>
      <w:r>
        <w:rPr/>
        <w:t>型</w:t>
      </w:r>
    </w:p>
    <w:p>
      <w:pPr>
        <w:pStyle w:val="BodyText"/>
        <w:tabs>
          <w:tab w:pos="1315" w:val="left" w:leader="none"/>
        </w:tabs>
        <w:spacing w:before="23"/>
        <w:ind w:left="542"/>
      </w:pPr>
      <w:r>
        <w:rPr/>
        <w:t>Ⅱ型</w:t>
        <w:tab/>
      </w:r>
      <w:r>
        <w:rPr>
          <w:spacing w:val="-3"/>
        </w:rPr>
        <w:t>系</w:t>
      </w:r>
      <w:r>
        <w:rPr/>
        <w:t>膜病</w:t>
      </w:r>
      <w:r>
        <w:rPr>
          <w:spacing w:val="-3"/>
        </w:rPr>
        <w:t>变</w:t>
      </w:r>
      <w:r>
        <w:rPr/>
        <w:t>型</w:t>
      </w:r>
    </w:p>
    <w:p>
      <w:pPr>
        <w:pStyle w:val="BodyText"/>
        <w:tabs>
          <w:tab w:pos="1315" w:val="left" w:leader="none"/>
        </w:tabs>
        <w:spacing w:before="23"/>
        <w:ind w:left="542"/>
      </w:pPr>
      <w:r>
        <w:rPr/>
        <w:t>Ⅲ型</w:t>
        <w:tab/>
      </w:r>
      <w:r>
        <w:rPr>
          <w:spacing w:val="-3"/>
        </w:rPr>
        <w:t>局</w:t>
      </w:r>
      <w:r>
        <w:rPr/>
        <w:t>灶及</w:t>
      </w:r>
      <w:r>
        <w:rPr>
          <w:spacing w:val="-3"/>
        </w:rPr>
        <w:t>节</w:t>
      </w:r>
      <w:r>
        <w:rPr/>
        <w:t>段增</w:t>
      </w:r>
      <w:r>
        <w:rPr>
          <w:spacing w:val="-3"/>
        </w:rPr>
        <w:t>生</w:t>
      </w:r>
      <w:r>
        <w:rPr/>
        <w:t>型</w:t>
      </w:r>
    </w:p>
    <w:p>
      <w:pPr>
        <w:pStyle w:val="BodyText"/>
        <w:tabs>
          <w:tab w:pos="1315" w:val="left" w:leader="none"/>
        </w:tabs>
        <w:spacing w:before="23"/>
        <w:ind w:left="542"/>
      </w:pPr>
      <w:r>
        <w:rPr/>
        <w:t>Ⅳ型</w:t>
        <w:tab/>
      </w:r>
      <w:r>
        <w:rPr>
          <w:spacing w:val="-3"/>
        </w:rPr>
        <w:t>弥</w:t>
      </w:r>
      <w:r>
        <w:rPr/>
        <w:t>漫增</w:t>
      </w:r>
      <w:r>
        <w:rPr>
          <w:spacing w:val="-3"/>
        </w:rPr>
        <w:t>生</w:t>
      </w:r>
      <w:r>
        <w:rPr/>
        <w:t>型</w:t>
      </w:r>
    </w:p>
    <w:p>
      <w:pPr>
        <w:pStyle w:val="BodyText"/>
        <w:tabs>
          <w:tab w:pos="1315" w:val="left" w:leader="none"/>
        </w:tabs>
        <w:ind w:left="542"/>
      </w:pPr>
      <w:r>
        <w:rPr/>
        <w:t>Ⅴ型</w:t>
        <w:tab/>
      </w:r>
      <w:r>
        <w:rPr>
          <w:spacing w:val="-3"/>
        </w:rPr>
        <w:t>膜型</w:t>
      </w:r>
    </w:p>
    <w:p>
      <w:pPr>
        <w:pStyle w:val="BodyText"/>
        <w:tabs>
          <w:tab w:pos="1315" w:val="left" w:leader="none"/>
        </w:tabs>
        <w:ind w:left="542"/>
      </w:pPr>
      <w:r>
        <w:rPr/>
        <w:t>Ⅵ型</w:t>
        <w:tab/>
      </w:r>
      <w:r>
        <w:rPr>
          <w:spacing w:val="-3"/>
        </w:rPr>
        <w:t>肾</w:t>
      </w:r>
      <w:r>
        <w:rPr/>
        <w:t>小球</w:t>
      </w:r>
      <w:r>
        <w:rPr>
          <w:spacing w:val="-3"/>
        </w:rPr>
        <w:t>硬</w:t>
      </w:r>
      <w:r>
        <w:rPr/>
        <w:t>化型</w:t>
      </w:r>
    </w:p>
    <w:p>
      <w:pPr>
        <w:pStyle w:val="BodyText"/>
        <w:spacing w:before="8"/>
        <w:ind w:left="0"/>
        <w:rPr>
          <w:sz w:val="25"/>
        </w:rPr>
      </w:pPr>
    </w:p>
    <w:p>
      <w:pPr>
        <w:pStyle w:val="Heading4"/>
        <w:numPr>
          <w:ilvl w:val="0"/>
          <w:numId w:val="9"/>
        </w:numPr>
        <w:tabs>
          <w:tab w:pos="563" w:val="left" w:leader="none"/>
        </w:tabs>
        <w:spacing w:line="240" w:lineRule="auto" w:before="1" w:after="0"/>
        <w:ind w:left="562" w:right="0" w:hanging="445"/>
        <w:jc w:val="left"/>
      </w:pPr>
      <w:r>
        <w:rPr>
          <w:w w:val="95"/>
        </w:rPr>
        <w:t>因职业关系导致的艾滋病病毒（HIV）感染</w:t>
      </w:r>
    </w:p>
    <w:p>
      <w:pPr>
        <w:pStyle w:val="BodyText"/>
        <w:spacing w:line="259" w:lineRule="auto"/>
        <w:ind w:right="207" w:firstLine="425"/>
      </w:pPr>
      <w:r>
        <w:rPr>
          <w:spacing w:val="-6"/>
        </w:rPr>
        <w:t>被保险人在其常规职业工作过程中遭遇外伤，或者职业需要处理血液或者其他体液时感染上艾滋病</w:t>
      </w:r>
      <w:r>
        <w:rPr>
          <w:spacing w:val="-3"/>
        </w:rPr>
        <w:t>病毒，也即人类免疫缺陷病毒</w:t>
      </w:r>
      <w:r>
        <w:rPr/>
        <w:t>（HIV）</w:t>
      </w:r>
      <w:r>
        <w:rPr>
          <w:spacing w:val="-3"/>
        </w:rPr>
        <w:t>。必须满足下列全部条件：</w:t>
      </w:r>
    </w:p>
    <w:p>
      <w:pPr>
        <w:pStyle w:val="BodyText"/>
        <w:spacing w:before="6"/>
      </w:pPr>
      <w:r>
        <w:rPr/>
        <w:t>（1）感染必须是在被保险人正在从事其职业工作中发生，该职业必须属于以下职业：</w:t>
      </w:r>
    </w:p>
    <w:p>
      <w:pPr>
        <w:pStyle w:val="BodyText"/>
        <w:ind w:left="684"/>
      </w:pPr>
      <w:r>
        <w:rPr/>
        <w:t>① 医生和牙科医生、护士；</w:t>
      </w:r>
    </w:p>
    <w:p>
      <w:pPr>
        <w:pStyle w:val="BodyText"/>
        <w:ind w:left="684"/>
      </w:pPr>
      <w:r>
        <w:rPr/>
        <w:t>② 医院化验室工作人员、医院护工；</w:t>
      </w:r>
    </w:p>
    <w:p>
      <w:pPr>
        <w:pStyle w:val="BodyText"/>
        <w:ind w:left="684"/>
      </w:pPr>
      <w:r>
        <w:rPr/>
        <w:t>③ 医生助理和牙医助理、救护车工作人员；</w:t>
      </w:r>
    </w:p>
    <w:p>
      <w:pPr>
        <w:pStyle w:val="BodyText"/>
        <w:spacing w:before="25"/>
        <w:ind w:left="684"/>
      </w:pPr>
      <w:r>
        <w:rPr/>
        <w:t>④ 助产士、消防队员；</w:t>
      </w:r>
    </w:p>
    <w:p>
      <w:pPr>
        <w:pStyle w:val="BodyText"/>
        <w:ind w:left="684"/>
      </w:pPr>
      <w:r>
        <w:rPr/>
        <w:t>⑤ 警察、狱警。</w:t>
      </w:r>
    </w:p>
    <w:p>
      <w:pPr>
        <w:pStyle w:val="BodyText"/>
      </w:pPr>
      <w:r>
        <w:rPr/>
        <w:t>（2）血清转化必须出现在事故发生后的6个月以内；</w:t>
      </w:r>
    </w:p>
    <w:p>
      <w:pPr>
        <w:pStyle w:val="BodyText"/>
      </w:pPr>
      <w:r>
        <w:rPr/>
        <w:t>（3）必须提供被保险人在所报事故发生后的5天以内进行的检查报告，该报告必须显示被保险人血液</w:t>
      </w:r>
    </w:p>
    <w:p>
      <w:pPr>
        <w:pStyle w:val="BodyText"/>
        <w:ind w:left="684"/>
      </w:pPr>
      <w:r>
        <w:rPr/>
        <w:t>HIV病毒阴性和/或HIV抗体阴性；</w:t>
      </w:r>
    </w:p>
    <w:p>
      <w:pPr>
        <w:pStyle w:val="BodyText"/>
      </w:pPr>
      <w:r>
        <w:rPr/>
        <w:t>（4）必须在事故发生后的12个月内证实被保险人体内存在HIV病毒或者HIV抗体。</w:t>
      </w:r>
    </w:p>
    <w:p>
      <w:pPr>
        <w:pStyle w:val="BodyText"/>
        <w:spacing w:before="8"/>
        <w:ind w:left="0"/>
        <w:rPr>
          <w:sz w:val="25"/>
        </w:rPr>
      </w:pPr>
    </w:p>
    <w:p>
      <w:pPr>
        <w:pStyle w:val="Heading4"/>
        <w:numPr>
          <w:ilvl w:val="0"/>
          <w:numId w:val="9"/>
        </w:numPr>
        <w:tabs>
          <w:tab w:pos="563" w:val="left" w:leader="none"/>
        </w:tabs>
        <w:spacing w:line="240" w:lineRule="auto" w:before="0" w:after="0"/>
        <w:ind w:left="562" w:right="0" w:hanging="445"/>
        <w:jc w:val="left"/>
      </w:pPr>
      <w:r>
        <w:rPr>
          <w:spacing w:val="-1"/>
          <w:w w:val="95"/>
        </w:rPr>
        <w:t>经输血导致的艾滋病病毒感染</w:t>
      </w:r>
    </w:p>
    <w:p>
      <w:pPr>
        <w:pStyle w:val="BodyText"/>
        <w:spacing w:before="23"/>
        <w:ind w:left="542"/>
      </w:pPr>
      <w:r>
        <w:rPr/>
        <w:t>被保险人感染上艾滋病病毒，也即人类免疫缺陷病毒（HIV）并且满足下列全部条件：</w:t>
      </w:r>
    </w:p>
    <w:p>
      <w:pPr>
        <w:pStyle w:val="BodyText"/>
        <w:spacing w:before="23"/>
      </w:pPr>
      <w:r>
        <w:rPr/>
        <w:t>（1）在保障起始日或复效日之后，被保险人因输血而感染HIV；</w:t>
      </w:r>
    </w:p>
    <w:p>
      <w:pPr>
        <w:pStyle w:val="BodyText"/>
        <w:spacing w:line="259" w:lineRule="auto"/>
        <w:ind w:left="684" w:right="230" w:hanging="567"/>
      </w:pPr>
      <w:r>
        <w:rPr/>
        <w:t>（2）提供输血治疗的输血中心或医院出具该项输血感染属医疗责任事故的报告，或者法院终审裁定为医疗责任并且不准上诉；</w:t>
      </w:r>
    </w:p>
    <w:p>
      <w:pPr>
        <w:pStyle w:val="BodyText"/>
        <w:spacing w:before="6"/>
      </w:pPr>
      <w:r>
        <w:rPr/>
        <w:t>（3）受感染的被保险人不是血友病患者。</w:t>
      </w:r>
    </w:p>
    <w:p>
      <w:pPr>
        <w:pStyle w:val="BodyText"/>
        <w:spacing w:line="259" w:lineRule="auto" w:before="23"/>
        <w:ind w:right="267" w:firstLine="425"/>
        <w:rPr>
          <w:rFonts w:ascii="黑体" w:eastAsia="黑体" w:hint="eastAsia"/>
        </w:rPr>
      </w:pPr>
      <w:r>
        <w:rPr>
          <w:rFonts w:ascii="黑体" w:eastAsia="黑体" w:hint="eastAsia"/>
        </w:rPr>
        <w:t>在任何治愈艾滋病（AIDS）或阻止HIV病毒作用的疗法被发现以后，或能防止AIDS发Th的医疗方法被研究出来以后，本保障将不再予以赔付。</w:t>
      </w:r>
    </w:p>
    <w:p>
      <w:pPr>
        <w:spacing w:after="0" w:line="259" w:lineRule="auto"/>
        <w:rPr>
          <w:rFonts w:ascii="黑体" w:eastAsia="黑体" w:hint="eastAsia"/>
        </w:rPr>
        <w:sectPr>
          <w:pgSz w:w="11910" w:h="16840"/>
          <w:pgMar w:top="1380" w:bottom="280" w:left="960" w:right="780"/>
        </w:sectPr>
      </w:pPr>
    </w:p>
    <w:p>
      <w:pPr>
        <w:pStyle w:val="BodyText"/>
        <w:spacing w:before="20"/>
        <w:ind w:left="542"/>
        <w:rPr>
          <w:rFonts w:ascii="黑体" w:eastAsia="黑体" w:hint="eastAsia"/>
        </w:rPr>
      </w:pPr>
      <w:r>
        <w:rPr>
          <w:rFonts w:ascii="黑体" w:eastAsia="黑体" w:hint="eastAsia"/>
        </w:rPr>
        <w:t>任何因其他传播方式（包括：性传播或静脉注射毒品）导致的HIV感染不在本附加合同保障范围内。</w:t>
      </w:r>
    </w:p>
    <w:p>
      <w:pPr>
        <w:pStyle w:val="BodyText"/>
      </w:pPr>
      <w:r>
        <w:rPr/>
        <w:t>本公司必须拥有获得使用被保险人的所有血液样本的权利和能够对这些样本进行独立检验的权利。</w:t>
      </w:r>
    </w:p>
    <w:p>
      <w:pPr>
        <w:pStyle w:val="BodyText"/>
        <w:spacing w:before="9"/>
        <w:ind w:left="0"/>
        <w:rPr>
          <w:sz w:val="25"/>
        </w:rPr>
      </w:pPr>
    </w:p>
    <w:p>
      <w:pPr>
        <w:pStyle w:val="Heading4"/>
        <w:numPr>
          <w:ilvl w:val="0"/>
          <w:numId w:val="9"/>
        </w:numPr>
        <w:tabs>
          <w:tab w:pos="563" w:val="left" w:leader="none"/>
        </w:tabs>
        <w:spacing w:line="240" w:lineRule="auto" w:before="0" w:after="0"/>
        <w:ind w:left="562" w:right="0" w:hanging="445"/>
        <w:jc w:val="left"/>
      </w:pPr>
      <w:r>
        <w:rPr>
          <w:w w:val="95"/>
        </w:rPr>
        <w:t>严重克隆病</w:t>
      </w:r>
    </w:p>
    <w:p>
      <w:pPr>
        <w:pStyle w:val="BodyText"/>
        <w:spacing w:line="259" w:lineRule="auto"/>
        <w:ind w:right="169" w:firstLine="425"/>
      </w:pPr>
      <w:r>
        <w:rPr>
          <w:spacing w:val="-6"/>
        </w:rPr>
        <w:t>克隆病是一种慢性肉芽肿性肠炎，具有特征性的克隆病病理组织学变化。诊断必须由病理检查结果</w:t>
      </w:r>
      <w:r>
        <w:rPr>
          <w:spacing w:val="-5"/>
        </w:rPr>
        <w:t>证实。被保险人所患的克隆病必须已经造成瘘管形成并伴有肠梗阻或肠穿孔。</w:t>
      </w:r>
    </w:p>
    <w:p>
      <w:pPr>
        <w:pStyle w:val="BodyText"/>
        <w:spacing w:before="4"/>
        <w:ind w:left="0"/>
        <w:rPr>
          <w:sz w:val="24"/>
        </w:rPr>
      </w:pPr>
    </w:p>
    <w:p>
      <w:pPr>
        <w:pStyle w:val="Heading4"/>
        <w:numPr>
          <w:ilvl w:val="0"/>
          <w:numId w:val="9"/>
        </w:numPr>
        <w:tabs>
          <w:tab w:pos="563" w:val="left" w:leader="none"/>
        </w:tabs>
        <w:spacing w:line="240" w:lineRule="auto" w:before="0" w:after="0"/>
        <w:ind w:left="562" w:right="0" w:hanging="445"/>
        <w:jc w:val="left"/>
      </w:pPr>
      <w:r>
        <w:rPr>
          <w:w w:val="95"/>
        </w:rPr>
        <w:t>严重溃疡性结肠炎</w:t>
      </w:r>
    </w:p>
    <w:p>
      <w:pPr>
        <w:pStyle w:val="BodyText"/>
        <w:spacing w:line="259" w:lineRule="auto" w:before="23"/>
        <w:ind w:right="169" w:firstLine="425"/>
        <w:jc w:val="both"/>
      </w:pPr>
      <w:r>
        <w:rPr>
          <w:spacing w:val="-5"/>
        </w:rPr>
        <w:t>溃疡性结肠炎是指伴有致命性电解质紊乱的急性暴发性溃疡性结肠炎，病变累及全结肠，表现为严</w:t>
      </w:r>
      <w:r>
        <w:rPr>
          <w:spacing w:val="-8"/>
        </w:rPr>
        <w:t>重的血便和系统性症状体征，治疗通常采取全结肠切除和回肠造瘘术。溃疡性结肠炎必须根据组织病理</w:t>
      </w:r>
      <w:r>
        <w:rPr>
          <w:spacing w:val="-3"/>
        </w:rPr>
        <w:t>学特点诊断，并且被保险人已经接受了结肠切除和</w:t>
      </w:r>
      <w:r>
        <w:rPr/>
        <w:t>/</w:t>
      </w:r>
      <w:r>
        <w:rPr>
          <w:spacing w:val="-1"/>
        </w:rPr>
        <w:t>或回肠造瘘术。</w:t>
      </w:r>
    </w:p>
    <w:p>
      <w:pPr>
        <w:pStyle w:val="BodyText"/>
        <w:spacing w:before="3"/>
        <w:ind w:left="0"/>
        <w:rPr>
          <w:sz w:val="24"/>
        </w:rPr>
      </w:pPr>
    </w:p>
    <w:p>
      <w:pPr>
        <w:pStyle w:val="Heading4"/>
        <w:numPr>
          <w:ilvl w:val="0"/>
          <w:numId w:val="9"/>
        </w:numPr>
        <w:tabs>
          <w:tab w:pos="563" w:val="left" w:leader="none"/>
        </w:tabs>
        <w:spacing w:line="240" w:lineRule="auto" w:before="0" w:after="0"/>
        <w:ind w:left="562" w:right="0" w:hanging="445"/>
        <w:jc w:val="left"/>
      </w:pPr>
      <w:r>
        <w:rPr>
          <w:w w:val="95"/>
        </w:rPr>
        <w:t>Ⅱ级重症急性胰腺炎</w:t>
      </w:r>
    </w:p>
    <w:p>
      <w:pPr>
        <w:pStyle w:val="BodyText"/>
        <w:spacing w:line="259" w:lineRule="auto" w:before="23"/>
        <w:ind w:right="169" w:firstLine="425"/>
      </w:pPr>
      <w:r>
        <w:rPr>
          <w:spacing w:val="-5"/>
        </w:rPr>
        <w:t>Ⅱ级重症急性胰腺炎是指急性胰腺炎伴有脏器功能障碍。被保险人所患的Ⅱ级重症急性胰腺炎必须</w:t>
      </w:r>
      <w:r>
        <w:rPr>
          <w:spacing w:val="-11"/>
        </w:rPr>
        <w:t>明确诊断，按 </w:t>
      </w:r>
      <w:r>
        <w:rPr/>
        <w:t>APACHE</w:t>
      </w:r>
      <w:r>
        <w:rPr>
          <w:spacing w:val="-10"/>
        </w:rPr>
        <w:t>Ⅱ评分达到 </w:t>
      </w:r>
      <w:r>
        <w:rPr/>
        <w:t>8</w:t>
      </w:r>
      <w:r>
        <w:rPr>
          <w:spacing w:val="-28"/>
        </w:rPr>
        <w:t> 分或 </w:t>
      </w:r>
      <w:r>
        <w:rPr/>
        <w:t>8</w:t>
      </w:r>
      <w:r>
        <w:rPr>
          <w:spacing w:val="-19"/>
        </w:rPr>
        <w:t> 分以上和 </w:t>
      </w:r>
      <w:r>
        <w:rPr/>
        <w:t>Balthazar</w:t>
      </w:r>
      <w:r>
        <w:rPr>
          <w:spacing w:val="-9"/>
        </w:rPr>
        <w:t> 分级系统达到Ⅱ级或Ⅱ级以上，并且接</w:t>
      </w:r>
      <w:r>
        <w:rPr>
          <w:spacing w:val="-6"/>
        </w:rPr>
        <w:t>受了外科剖腹手术治疗，以进行坏死组织清除、坏死病灶切除或胰腺切除。</w:t>
      </w:r>
    </w:p>
    <w:p>
      <w:pPr>
        <w:pStyle w:val="BodyText"/>
        <w:spacing w:before="6"/>
        <w:ind w:left="542"/>
        <w:rPr>
          <w:rFonts w:ascii="黑体" w:eastAsia="黑体" w:hint="eastAsia"/>
        </w:rPr>
      </w:pPr>
      <w:r>
        <w:rPr>
          <w:rFonts w:ascii="黑体" w:eastAsia="黑体" w:hint="eastAsia"/>
        </w:rPr>
        <w:t>因酗酒或饮酒过量所致的急性坏死性胰腺炎以及腹腔镜手术不在本附加合同保障范围内。</w:t>
      </w:r>
    </w:p>
    <w:p>
      <w:pPr>
        <w:pStyle w:val="BodyText"/>
        <w:spacing w:before="8"/>
        <w:ind w:left="0"/>
        <w:rPr>
          <w:rFonts w:ascii="黑体"/>
          <w:sz w:val="25"/>
        </w:rPr>
      </w:pPr>
    </w:p>
    <w:p>
      <w:pPr>
        <w:pStyle w:val="Heading4"/>
        <w:numPr>
          <w:ilvl w:val="0"/>
          <w:numId w:val="9"/>
        </w:numPr>
        <w:tabs>
          <w:tab w:pos="563" w:val="left" w:leader="none"/>
        </w:tabs>
        <w:spacing w:line="240" w:lineRule="auto" w:before="0" w:after="0"/>
        <w:ind w:left="562" w:right="0" w:hanging="445"/>
        <w:jc w:val="left"/>
      </w:pPr>
      <w:r>
        <w:rPr>
          <w:w w:val="95"/>
        </w:rPr>
        <w:t>植物人状态</w:t>
      </w:r>
    </w:p>
    <w:p>
      <w:pPr>
        <w:pStyle w:val="BodyText"/>
        <w:spacing w:line="259" w:lineRule="auto" w:before="23"/>
        <w:ind w:right="166" w:firstLine="425"/>
        <w:jc w:val="both"/>
      </w:pPr>
      <w:r>
        <w:rPr>
          <w:spacing w:val="-2"/>
        </w:rPr>
        <w:t>植物人状态系指大脑和</w:t>
      </w:r>
      <w:r>
        <w:rPr/>
        <w:t>/</w:t>
      </w:r>
      <w:r>
        <w:rPr>
          <w:spacing w:val="-3"/>
        </w:rPr>
        <w:t>或脑干严重损害导致完全永久性的对自身和环境的意识丧失和中枢神经系</w:t>
      </w:r>
      <w:r>
        <w:rPr>
          <w:spacing w:val="-8"/>
        </w:rPr>
        <w:t>统功能丧失，仅残存植物神经功能的疾病状态。必须经神经科医生确诊并且具有严重脑损害的证据。植</w:t>
      </w:r>
      <w:r>
        <w:rPr>
          <w:spacing w:val="-10"/>
        </w:rPr>
        <w:t>物人状态必须持续 </w:t>
      </w:r>
      <w:r>
        <w:rPr/>
        <w:t>30</w:t>
      </w:r>
      <w:r>
        <w:rPr>
          <w:spacing w:val="-9"/>
        </w:rPr>
        <w:t> 天以上方可申请理赔。</w:t>
      </w:r>
    </w:p>
    <w:p>
      <w:pPr>
        <w:pStyle w:val="BodyText"/>
        <w:spacing w:before="3"/>
        <w:ind w:left="0"/>
        <w:rPr>
          <w:sz w:val="24"/>
        </w:rPr>
      </w:pPr>
    </w:p>
    <w:p>
      <w:pPr>
        <w:pStyle w:val="Heading4"/>
        <w:numPr>
          <w:ilvl w:val="0"/>
          <w:numId w:val="9"/>
        </w:numPr>
        <w:tabs>
          <w:tab w:pos="563" w:val="left" w:leader="none"/>
        </w:tabs>
        <w:spacing w:line="240" w:lineRule="auto" w:before="0" w:after="0"/>
        <w:ind w:left="562" w:right="0" w:hanging="445"/>
        <w:jc w:val="left"/>
      </w:pPr>
      <w:r>
        <w:rPr>
          <w:w w:val="95"/>
        </w:rPr>
        <w:t>非阿尔茨海默病所致严重痴呆</w:t>
      </w:r>
    </w:p>
    <w:p>
      <w:pPr>
        <w:pStyle w:val="BodyText"/>
        <w:spacing w:line="259" w:lineRule="auto" w:before="23"/>
        <w:ind w:right="167" w:firstLine="425"/>
        <w:jc w:val="both"/>
      </w:pPr>
      <w:r>
        <w:rPr>
          <w:spacing w:val="-5"/>
        </w:rPr>
        <w:t>指因阿尔茨海默病以外的脑的器质性疾病造成脑功能衰竭导致永久不可逆性的严重痴呆，临床表现</w:t>
      </w:r>
      <w:r>
        <w:rPr>
          <w:spacing w:val="-8"/>
        </w:rPr>
        <w:t>为明显的认知能力障碍、行为异常和社交能力减退。被保险人自主生活能力完全丧失，无法独立完成六项基本日常生活活动中的三项或三项以上，日常生活必须持续受到他人监护。导致痴呆的疾病必须明确</w:t>
      </w:r>
      <w:r>
        <w:rPr>
          <w:spacing w:val="-5"/>
        </w:rPr>
        <w:t>诊断，并且由完整的临床、实验室和影像学检查结果证实。</w:t>
      </w:r>
    </w:p>
    <w:p>
      <w:pPr>
        <w:pStyle w:val="BodyText"/>
        <w:spacing w:before="6"/>
        <w:ind w:left="542"/>
        <w:rPr>
          <w:rFonts w:ascii="黑体" w:eastAsia="黑体" w:hint="eastAsia"/>
        </w:rPr>
      </w:pPr>
      <w:r>
        <w:rPr>
          <w:rFonts w:ascii="黑体" w:eastAsia="黑体" w:hint="eastAsia"/>
        </w:rPr>
        <w:t>神经官能症等精神疾病及酒精中毒所致脑损害不在保障范围内。</w:t>
      </w:r>
    </w:p>
    <w:p>
      <w:pPr>
        <w:pStyle w:val="BodyText"/>
        <w:spacing w:before="9"/>
        <w:ind w:left="0"/>
        <w:rPr>
          <w:rFonts w:ascii="黑体"/>
          <w:sz w:val="25"/>
        </w:rPr>
      </w:pPr>
    </w:p>
    <w:p>
      <w:pPr>
        <w:pStyle w:val="Heading4"/>
        <w:numPr>
          <w:ilvl w:val="0"/>
          <w:numId w:val="9"/>
        </w:numPr>
        <w:tabs>
          <w:tab w:pos="563" w:val="left" w:leader="none"/>
        </w:tabs>
        <w:spacing w:line="240" w:lineRule="auto" w:before="0" w:after="0"/>
        <w:ind w:left="562" w:right="0" w:hanging="445"/>
        <w:jc w:val="left"/>
      </w:pPr>
      <w:r>
        <w:rPr>
          <w:w w:val="95"/>
        </w:rPr>
        <w:t>重症急性坏死性筋膜炎</w:t>
      </w:r>
    </w:p>
    <w:p>
      <w:pPr>
        <w:pStyle w:val="BodyText"/>
        <w:spacing w:line="259" w:lineRule="auto" w:before="23"/>
        <w:ind w:right="169" w:firstLine="425"/>
      </w:pPr>
      <w:r>
        <w:rPr>
          <w:spacing w:val="-6"/>
        </w:rPr>
        <w:t>是一种由细菌侵入皮下组织和筋膜引起的急性坏死性软组织感染，可伴有毒血症、败血症、中毒性</w:t>
      </w:r>
      <w:r>
        <w:rPr>
          <w:spacing w:val="-5"/>
        </w:rPr>
        <w:t>休克、弥漫性血管内凝血及多器官衰竭。必须满足以下所有条件：</w:t>
      </w:r>
    </w:p>
    <w:p>
      <w:pPr>
        <w:pStyle w:val="BodyText"/>
        <w:spacing w:before="6"/>
      </w:pPr>
      <w:r>
        <w:rPr/>
        <w:t>（1）细菌培养和临床表现符合坏死性筋膜炎诊断标准；</w:t>
      </w:r>
    </w:p>
    <w:p>
      <w:pPr>
        <w:pStyle w:val="BodyText"/>
      </w:pPr>
      <w:r>
        <w:rPr/>
        <w:t>（2）病情迅速恶化，有脓毒血症表现；</w:t>
      </w:r>
    </w:p>
    <w:p>
      <w:pPr>
        <w:pStyle w:val="BodyText"/>
      </w:pPr>
      <w:r>
        <w:rPr/>
        <w:t>（3）受感染肢体被截肢（自腕关节或踝关节近端）。</w:t>
      </w:r>
    </w:p>
    <w:p>
      <w:pPr>
        <w:pStyle w:val="BodyText"/>
        <w:spacing w:before="9"/>
        <w:ind w:left="0"/>
        <w:rPr>
          <w:sz w:val="25"/>
        </w:rPr>
      </w:pPr>
    </w:p>
    <w:p>
      <w:pPr>
        <w:pStyle w:val="Heading4"/>
        <w:numPr>
          <w:ilvl w:val="0"/>
          <w:numId w:val="9"/>
        </w:numPr>
        <w:tabs>
          <w:tab w:pos="562" w:val="left" w:leader="none"/>
        </w:tabs>
        <w:spacing w:line="240" w:lineRule="auto" w:before="0" w:after="0"/>
        <w:ind w:left="561" w:right="0" w:hanging="444"/>
        <w:jc w:val="left"/>
      </w:pPr>
      <w:r>
        <w:rPr/>
        <w:t>1</w:t>
      </w:r>
      <w:r>
        <w:rPr>
          <w:spacing w:val="-12"/>
        </w:rPr>
        <w:t> 型糖尿病</w:t>
      </w:r>
    </w:p>
    <w:p>
      <w:pPr>
        <w:pStyle w:val="BodyText"/>
        <w:ind w:left="542"/>
      </w:pPr>
      <w:r>
        <w:rPr/>
        <w:t>1 型糖尿病的特征为由于胰岛素分泌绝对不足引起严重胰岛素缺乏导致慢性血糖升高，需要依赖外</w:t>
      </w:r>
    </w:p>
    <w:p>
      <w:pPr>
        <w:pStyle w:val="BodyText"/>
        <w:spacing w:line="259" w:lineRule="auto"/>
        <w:ind w:right="169"/>
      </w:pPr>
      <w:r>
        <w:rPr>
          <w:spacing w:val="-7"/>
        </w:rPr>
        <w:t>源性胰岛素进行机体的葡萄糖代谢和维持生命。被保险人的 </w:t>
      </w:r>
      <w:r>
        <w:rPr/>
        <w:t>1</w:t>
      </w:r>
      <w:r>
        <w:rPr>
          <w:spacing w:val="-10"/>
        </w:rPr>
        <w:t> 型糖尿病必须明确诊断，而且有血胰岛素</w:t>
      </w:r>
      <w:r>
        <w:rPr>
          <w:spacing w:val="-19"/>
        </w:rPr>
        <w:t>测定及血 </w:t>
      </w:r>
      <w:r>
        <w:rPr/>
        <w:t>C</w:t>
      </w:r>
      <w:r>
        <w:rPr>
          <w:spacing w:val="-22"/>
        </w:rPr>
        <w:t> 肽或尿 </w:t>
      </w:r>
      <w:r>
        <w:rPr/>
        <w:t>C</w:t>
      </w:r>
      <w:r>
        <w:rPr>
          <w:spacing w:val="-8"/>
        </w:rPr>
        <w:t> 肽测定结果支持诊断，并且满足下列全部条件：</w:t>
      </w:r>
    </w:p>
    <w:p>
      <w:pPr>
        <w:pStyle w:val="BodyText"/>
        <w:spacing w:before="6"/>
      </w:pPr>
      <w:r>
        <w:rPr/>
        <w:t>（1）已经持续性地接受外源性胰岛素注射治疗连续 180 天以上；</w:t>
      </w:r>
    </w:p>
    <w:p>
      <w:pPr>
        <w:pStyle w:val="BodyText"/>
        <w:spacing w:line="259" w:lineRule="auto"/>
        <w:ind w:left="682" w:right="217" w:hanging="565"/>
      </w:pPr>
      <w:r>
        <w:rPr/>
        <w:t>（2）因需要已经接受了下列治疗：因严重心律失常植入了心脏起搏器；或因坏疽自跖趾关节或以上切除了一趾或多趾。</w:t>
      </w:r>
    </w:p>
    <w:p>
      <w:pPr>
        <w:spacing w:after="0" w:line="259" w:lineRule="auto"/>
        <w:sectPr>
          <w:pgSz w:w="11910" w:h="16840"/>
          <w:pgMar w:top="1380" w:bottom="280" w:left="960" w:right="820"/>
        </w:sectPr>
      </w:pPr>
    </w:p>
    <w:p>
      <w:pPr>
        <w:pStyle w:val="Heading4"/>
        <w:numPr>
          <w:ilvl w:val="0"/>
          <w:numId w:val="9"/>
        </w:numPr>
        <w:tabs>
          <w:tab w:pos="563" w:val="left" w:leader="none"/>
        </w:tabs>
        <w:spacing w:line="240" w:lineRule="auto" w:before="20" w:after="0"/>
        <w:ind w:left="562" w:right="0" w:hanging="445"/>
        <w:jc w:val="left"/>
      </w:pPr>
      <w:r>
        <w:rPr>
          <w:w w:val="95"/>
        </w:rPr>
        <w:t>丝虫病所致象皮病</w:t>
      </w:r>
    </w:p>
    <w:p>
      <w:pPr>
        <w:pStyle w:val="BodyText"/>
        <w:spacing w:line="259" w:lineRule="auto"/>
        <w:ind w:right="147" w:firstLine="425"/>
        <w:jc w:val="both"/>
      </w:pPr>
      <w:r>
        <w:rPr>
          <w:spacing w:val="-7"/>
        </w:rPr>
        <w:t>指因丝虫感染导致淋巴阻塞，出现严重淋巴水肿，达到国际淋巴学会淋巴肿分期第Ⅲ期，其临床表</w:t>
      </w:r>
      <w:r>
        <w:rPr>
          <w:spacing w:val="-8"/>
        </w:rPr>
        <w:t>现为肢体非凹陷性水肿伴畸形增大、硬皮症和疣状增生。此病症须经专科医生根据临床表现和微丝蚴的</w:t>
      </w:r>
      <w:r>
        <w:rPr>
          <w:spacing w:val="-5"/>
        </w:rPr>
        <w:t>化验结果确诊。</w:t>
      </w:r>
    </w:p>
    <w:p>
      <w:pPr>
        <w:pStyle w:val="BodyText"/>
        <w:spacing w:before="4"/>
        <w:ind w:left="0"/>
        <w:rPr>
          <w:sz w:val="24"/>
        </w:rPr>
      </w:pPr>
    </w:p>
    <w:p>
      <w:pPr>
        <w:pStyle w:val="Heading4"/>
        <w:numPr>
          <w:ilvl w:val="0"/>
          <w:numId w:val="9"/>
        </w:numPr>
        <w:tabs>
          <w:tab w:pos="563" w:val="left" w:leader="none"/>
        </w:tabs>
        <w:spacing w:line="240" w:lineRule="auto" w:before="0" w:after="0"/>
        <w:ind w:left="562" w:right="0" w:hanging="445"/>
        <w:jc w:val="left"/>
      </w:pPr>
      <w:r>
        <w:rPr>
          <w:w w:val="95"/>
        </w:rPr>
        <w:t>胰腺移植</w:t>
      </w:r>
    </w:p>
    <w:p>
      <w:pPr>
        <w:pStyle w:val="BodyText"/>
        <w:spacing w:before="23"/>
        <w:ind w:left="542"/>
      </w:pPr>
      <w:r>
        <w:rPr/>
        <w:t>指因胰腺功能衰竭，已经实施了在全身麻醉下进行的胰腺的异体器官移植手术。</w:t>
      </w:r>
    </w:p>
    <w:p>
      <w:pPr>
        <w:pStyle w:val="BodyText"/>
        <w:spacing w:before="23"/>
        <w:ind w:left="542"/>
        <w:rPr>
          <w:rFonts w:ascii="黑体" w:eastAsia="黑体" w:hint="eastAsia"/>
        </w:rPr>
      </w:pPr>
      <w:r>
        <w:rPr>
          <w:rFonts w:ascii="黑体" w:eastAsia="黑体" w:hint="eastAsia"/>
        </w:rPr>
        <w:t>单纯胰岛移植、部分胰腺组织或细胞的移植不在本保障范围之内。</w:t>
      </w:r>
    </w:p>
    <w:p>
      <w:pPr>
        <w:pStyle w:val="BodyText"/>
        <w:spacing w:before="8"/>
        <w:ind w:left="0"/>
        <w:rPr>
          <w:rFonts w:ascii="黑体"/>
          <w:sz w:val="25"/>
        </w:rPr>
      </w:pPr>
    </w:p>
    <w:p>
      <w:pPr>
        <w:pStyle w:val="Heading4"/>
        <w:numPr>
          <w:ilvl w:val="0"/>
          <w:numId w:val="9"/>
        </w:numPr>
        <w:tabs>
          <w:tab w:pos="563" w:val="left" w:leader="none"/>
        </w:tabs>
        <w:spacing w:line="240" w:lineRule="auto" w:before="0" w:after="0"/>
        <w:ind w:left="562" w:right="0" w:hanging="445"/>
        <w:jc w:val="left"/>
      </w:pPr>
      <w:r>
        <w:rPr>
          <w:w w:val="95"/>
        </w:rPr>
        <w:t>肌营养不良症</w:t>
      </w:r>
    </w:p>
    <w:p>
      <w:pPr>
        <w:pStyle w:val="BodyText"/>
        <w:spacing w:line="259" w:lineRule="auto"/>
        <w:ind w:right="101" w:firstLine="425"/>
      </w:pPr>
      <w:r>
        <w:rPr/>
        <w:t>肌营养不良症是一组遗传性肌肉变性性病变，临床特征为与神经系统无关的肌肉无力和肌肉萎缩。必须满足以下所有条件：</w:t>
      </w:r>
    </w:p>
    <w:p>
      <w:pPr>
        <w:pStyle w:val="BodyText"/>
        <w:spacing w:line="259" w:lineRule="auto" w:before="6"/>
        <w:ind w:left="684" w:right="192" w:hanging="567"/>
      </w:pPr>
      <w:r>
        <w:rPr/>
        <w:t>（1）肌营养不良症已造成永久不可逆性的运动功能损害，导致被保险人无法独立完成六项基本日常生活活动中的三项或三项以上；</w:t>
      </w:r>
    </w:p>
    <w:p>
      <w:pPr>
        <w:pStyle w:val="BodyText"/>
        <w:spacing w:before="6"/>
      </w:pPr>
      <w:r>
        <w:rPr/>
        <w:t>（2）经我们认可的神经专科医生确认符合以下四项诊断指标中的三项：</w:t>
      </w:r>
    </w:p>
    <w:p>
      <w:pPr>
        <w:pStyle w:val="BodyText"/>
        <w:spacing w:before="23"/>
        <w:ind w:left="684"/>
      </w:pPr>
      <w:r>
        <w:rPr/>
        <w:t>① 家族史中有其他成员患相同疾病；</w:t>
      </w:r>
    </w:p>
    <w:p>
      <w:pPr>
        <w:pStyle w:val="BodyText"/>
        <w:spacing w:before="23"/>
        <w:ind w:left="684"/>
      </w:pPr>
      <w:r>
        <w:rPr/>
        <w:t>② 临床表现包括：无感觉神经紊乱，正常脑脊液及轻微腱反射的减退；</w:t>
      </w:r>
    </w:p>
    <w:p>
      <w:pPr>
        <w:pStyle w:val="BodyText"/>
        <w:spacing w:before="23"/>
        <w:ind w:left="684"/>
      </w:pPr>
      <w:r>
        <w:rPr/>
        <w:t>③ 典型的肌电图；</w:t>
      </w:r>
    </w:p>
    <w:p>
      <w:pPr>
        <w:pStyle w:val="BodyText"/>
        <w:spacing w:before="23"/>
        <w:ind w:left="684"/>
      </w:pPr>
      <w:r>
        <w:rPr/>
        <w:t>④ 临床推测必须有肌肉或组织检查加以证实。</w:t>
      </w:r>
    </w:p>
    <w:p>
      <w:pPr>
        <w:pStyle w:val="BodyText"/>
        <w:spacing w:before="9"/>
        <w:ind w:left="0"/>
        <w:rPr>
          <w:sz w:val="25"/>
        </w:rPr>
      </w:pPr>
    </w:p>
    <w:p>
      <w:pPr>
        <w:pStyle w:val="Heading4"/>
        <w:numPr>
          <w:ilvl w:val="0"/>
          <w:numId w:val="9"/>
        </w:numPr>
        <w:tabs>
          <w:tab w:pos="563" w:val="left" w:leader="none"/>
        </w:tabs>
        <w:spacing w:line="240" w:lineRule="auto" w:before="0" w:after="0"/>
        <w:ind w:left="562" w:right="0" w:hanging="445"/>
        <w:jc w:val="left"/>
      </w:pPr>
      <w:r>
        <w:rPr>
          <w:w w:val="95"/>
        </w:rPr>
        <w:t>严重慢性复发性胰腺炎</w:t>
      </w:r>
    </w:p>
    <w:p>
      <w:pPr>
        <w:pStyle w:val="BodyText"/>
        <w:spacing w:line="259" w:lineRule="auto"/>
        <w:ind w:right="149" w:firstLine="425"/>
      </w:pPr>
      <w:r>
        <w:rPr>
          <w:spacing w:val="-6"/>
        </w:rPr>
        <w:t>指慢性反复发作的胰腺炎症导致胰腺的广泛纤维化、坏死、弥漫性钙化及假性囊肿形成，造成胰腺</w:t>
      </w:r>
      <w:r>
        <w:rPr>
          <w:spacing w:val="-5"/>
        </w:rPr>
        <w:t>功能障碍出现严重糖尿病和营养不良。必须满足以下所有条件：</w:t>
      </w:r>
    </w:p>
    <w:p>
      <w:pPr>
        <w:pStyle w:val="BodyText"/>
        <w:spacing w:before="6"/>
      </w:pPr>
      <w:r>
        <w:rPr/>
        <w:t>（1）CT 显示胰腺广泛钙化或逆行胰胆管造影（ERCP）显示胰管扭曲、扩张和狭窄；</w:t>
      </w:r>
    </w:p>
    <w:p>
      <w:pPr>
        <w:pStyle w:val="BodyText"/>
        <w:spacing w:before="23"/>
      </w:pPr>
      <w:r>
        <w:rPr/>
        <w:t>（2）接受胰岛素替代治疗和酶替代治疗 180 天以上。</w:t>
      </w:r>
    </w:p>
    <w:p>
      <w:pPr>
        <w:pStyle w:val="BodyText"/>
        <w:spacing w:before="23"/>
        <w:ind w:left="542"/>
        <w:rPr>
          <w:rFonts w:ascii="黑体" w:eastAsia="黑体" w:hint="eastAsia"/>
        </w:rPr>
      </w:pPr>
      <w:r>
        <w:rPr>
          <w:rFonts w:ascii="黑体" w:eastAsia="黑体" w:hint="eastAsia"/>
        </w:rPr>
        <w:t>酒精导致的慢性复发性胰腺炎不在本保障范围内。</w:t>
      </w:r>
    </w:p>
    <w:p>
      <w:pPr>
        <w:pStyle w:val="BodyText"/>
        <w:spacing w:before="8"/>
        <w:ind w:left="0"/>
        <w:rPr>
          <w:rFonts w:ascii="黑体"/>
          <w:sz w:val="25"/>
        </w:rPr>
      </w:pPr>
    </w:p>
    <w:p>
      <w:pPr>
        <w:pStyle w:val="Heading4"/>
        <w:numPr>
          <w:ilvl w:val="0"/>
          <w:numId w:val="9"/>
        </w:numPr>
        <w:tabs>
          <w:tab w:pos="563" w:val="left" w:leader="none"/>
        </w:tabs>
        <w:spacing w:line="240" w:lineRule="auto" w:before="0" w:after="0"/>
        <w:ind w:left="562" w:right="0" w:hanging="445"/>
        <w:jc w:val="left"/>
      </w:pPr>
      <w:r>
        <w:rPr>
          <w:w w:val="95"/>
        </w:rPr>
        <w:t>严重原发性硬化性胆管炎</w:t>
      </w:r>
    </w:p>
    <w:p>
      <w:pPr>
        <w:pStyle w:val="BodyText"/>
        <w:spacing w:line="261" w:lineRule="auto" w:before="23"/>
        <w:ind w:right="147" w:firstLine="425"/>
      </w:pPr>
      <w:r>
        <w:rPr>
          <w:spacing w:val="-6"/>
        </w:rPr>
        <w:t>为一种特发型淤胆性疾病，特点为肝内及肝外胆道系统胆管壁增厚和管腔狭窄。必须满足以下所有条件：</w:t>
      </w:r>
    </w:p>
    <w:p>
      <w:pPr>
        <w:pStyle w:val="BodyText"/>
        <w:spacing w:before="3"/>
      </w:pPr>
      <w:r>
        <w:rPr/>
        <w:t>（1）诊断由逆行胰胆管造影（ERCP）或经皮胆管造影（PTC）确认；</w:t>
      </w:r>
    </w:p>
    <w:p>
      <w:pPr>
        <w:pStyle w:val="BodyText"/>
        <w:spacing w:before="23"/>
      </w:pPr>
      <w:r>
        <w:rPr/>
        <w:t>（2）持续性黄疸伴碱性磷酸酶显著升高（血清 ALP&gt;200U/L）；</w:t>
      </w:r>
    </w:p>
    <w:p>
      <w:pPr>
        <w:pStyle w:val="BodyText"/>
        <w:spacing w:before="23"/>
      </w:pPr>
      <w:r>
        <w:rPr/>
        <w:t>（3）出现继发性胆汁性肝硬化和门静脉高压。</w:t>
      </w:r>
    </w:p>
    <w:p>
      <w:pPr>
        <w:pStyle w:val="BodyText"/>
        <w:spacing w:before="8"/>
        <w:ind w:left="0"/>
        <w:rPr>
          <w:sz w:val="25"/>
        </w:rPr>
      </w:pPr>
    </w:p>
    <w:p>
      <w:pPr>
        <w:pStyle w:val="Heading4"/>
        <w:numPr>
          <w:ilvl w:val="0"/>
          <w:numId w:val="9"/>
        </w:numPr>
        <w:tabs>
          <w:tab w:pos="563" w:val="left" w:leader="none"/>
        </w:tabs>
        <w:spacing w:line="240" w:lineRule="auto" w:before="0" w:after="0"/>
        <w:ind w:left="562" w:right="0" w:hanging="445"/>
        <w:jc w:val="left"/>
      </w:pPr>
      <w:r>
        <w:rPr>
          <w:w w:val="95"/>
        </w:rPr>
        <w:t>严重弥漫性系统性硬皮病</w:t>
      </w:r>
    </w:p>
    <w:p>
      <w:pPr>
        <w:pStyle w:val="BodyText"/>
        <w:spacing w:line="259" w:lineRule="auto"/>
        <w:ind w:right="208" w:firstLine="425"/>
      </w:pPr>
      <w:r>
        <w:rPr/>
        <w:t>一种系统性胶原血管病引起进行性的皮肤/血管和内脏器官的弥漫性纤维化。诊断必须明确并由活检和血清学证据支持并且疾病已经影响到心脏、肺或肾脏等内脏器官并且达到下列标准之一：</w:t>
      </w:r>
    </w:p>
    <w:p>
      <w:pPr>
        <w:pStyle w:val="BodyText"/>
        <w:spacing w:before="6"/>
      </w:pPr>
      <w:r>
        <w:rPr/>
        <w:t>（1）肺纤维化，已经出现肺动脉高压、肺心病；</w:t>
      </w:r>
    </w:p>
    <w:p>
      <w:pPr>
        <w:pStyle w:val="BodyText"/>
        <w:spacing w:before="23"/>
      </w:pPr>
      <w:r>
        <w:rPr/>
        <w:t>（2）心脏损害，心脏功能衰竭程度达到纽约心脏病学会的心功能分级标准之心功能Ⅳ级；</w:t>
      </w:r>
    </w:p>
    <w:p>
      <w:pPr>
        <w:pStyle w:val="BodyText"/>
      </w:pPr>
      <w:r>
        <w:rPr/>
        <w:t>（3）肾脏损害，已经出现肾功能衰竭。</w:t>
      </w:r>
    </w:p>
    <w:p>
      <w:pPr>
        <w:pStyle w:val="BodyText"/>
        <w:ind w:left="542"/>
        <w:rPr>
          <w:rFonts w:ascii="黑体" w:eastAsia="黑体" w:hint="eastAsia"/>
        </w:rPr>
      </w:pPr>
      <w:r>
        <w:rPr>
          <w:rFonts w:ascii="黑体" w:eastAsia="黑体" w:hint="eastAsia"/>
        </w:rPr>
        <w:t>局限硬皮病、嗜酸细胞筋膜炎、CREST 综合征不在本保障范围内。</w:t>
      </w:r>
    </w:p>
    <w:p>
      <w:pPr>
        <w:pStyle w:val="BodyText"/>
        <w:spacing w:before="8"/>
        <w:ind w:left="0"/>
        <w:rPr>
          <w:rFonts w:ascii="黑体"/>
          <w:sz w:val="25"/>
        </w:rPr>
      </w:pPr>
    </w:p>
    <w:p>
      <w:pPr>
        <w:pStyle w:val="Heading4"/>
        <w:numPr>
          <w:ilvl w:val="0"/>
          <w:numId w:val="9"/>
        </w:numPr>
        <w:tabs>
          <w:tab w:pos="563" w:val="left" w:leader="none"/>
        </w:tabs>
        <w:spacing w:line="240" w:lineRule="auto" w:before="1" w:after="0"/>
        <w:ind w:left="562" w:right="0" w:hanging="445"/>
        <w:jc w:val="left"/>
      </w:pPr>
      <w:r>
        <w:rPr>
          <w:w w:val="95"/>
        </w:rPr>
        <w:t>特发性慢性肾上腺皮质功能减退</w:t>
      </w:r>
    </w:p>
    <w:p>
      <w:pPr>
        <w:pStyle w:val="BodyText"/>
        <w:ind w:left="545"/>
      </w:pPr>
      <w:r>
        <w:rPr/>
        <w:t>指自身免疫性肾上腺炎（既往称：特发性肾上腺皮质萎缩）导致肾上腺萎缩和慢性肾上腺皮质功能</w:t>
      </w:r>
    </w:p>
    <w:p>
      <w:pPr>
        <w:spacing w:after="0"/>
        <w:sectPr>
          <w:pgSz w:w="11910" w:h="16840"/>
          <w:pgMar w:top="1380" w:bottom="280" w:left="960" w:right="840"/>
        </w:sectPr>
      </w:pPr>
    </w:p>
    <w:p>
      <w:pPr>
        <w:pStyle w:val="BodyText"/>
        <w:spacing w:before="20"/>
        <w:ind w:left="137"/>
      </w:pPr>
      <w:r>
        <w:rPr/>
        <w:t>减退。必须满足所有以下条件：</w:t>
      </w:r>
    </w:p>
    <w:p>
      <w:pPr>
        <w:pStyle w:val="ListParagraph"/>
        <w:numPr>
          <w:ilvl w:val="0"/>
          <w:numId w:val="10"/>
        </w:numPr>
        <w:tabs>
          <w:tab w:pos="801" w:val="left" w:leader="none"/>
        </w:tabs>
        <w:spacing w:line="240" w:lineRule="auto" w:before="24" w:after="0"/>
        <w:ind w:left="800" w:right="0" w:hanging="663"/>
        <w:jc w:val="left"/>
        <w:rPr>
          <w:sz w:val="22"/>
        </w:rPr>
      </w:pPr>
      <w:r>
        <w:rPr>
          <w:spacing w:val="-3"/>
          <w:sz w:val="22"/>
        </w:rPr>
        <w:t>明确诊断，符合所有以下诊断标准：</w:t>
      </w:r>
    </w:p>
    <w:p>
      <w:pPr>
        <w:pStyle w:val="BodyText"/>
        <w:ind w:left="704"/>
      </w:pPr>
      <w:r>
        <w:rPr/>
        <w:t>①血浆促肾上腺皮质激素(ACTH)水平测定，&gt;100pg/ml；</w:t>
      </w:r>
    </w:p>
    <w:p>
      <w:pPr>
        <w:pStyle w:val="BodyText"/>
        <w:ind w:left="704"/>
      </w:pPr>
      <w:r>
        <w:rPr/>
        <w:t>②血浆肾素活性、血管紧张素Ⅱ和醛固酮测定，显示为原发性肾上腺皮质功能减退症；</w:t>
      </w:r>
    </w:p>
    <w:p>
      <w:pPr>
        <w:pStyle w:val="BodyText"/>
        <w:ind w:left="704"/>
      </w:pPr>
      <w:r>
        <w:rPr/>
        <w:t>③促肾上腺皮质激素(ACTH)刺激试验显示为原发性肾上腺皮质功能减退症。</w:t>
      </w:r>
    </w:p>
    <w:p>
      <w:pPr>
        <w:pStyle w:val="ListParagraph"/>
        <w:numPr>
          <w:ilvl w:val="0"/>
          <w:numId w:val="10"/>
        </w:numPr>
        <w:tabs>
          <w:tab w:pos="801" w:val="left" w:leader="none"/>
        </w:tabs>
        <w:spacing w:line="240" w:lineRule="auto" w:before="24" w:after="0"/>
        <w:ind w:left="800" w:right="0" w:hanging="663"/>
        <w:jc w:val="left"/>
        <w:rPr>
          <w:sz w:val="22"/>
        </w:rPr>
      </w:pPr>
      <w:r>
        <w:rPr>
          <w:spacing w:val="-7"/>
          <w:sz w:val="22"/>
        </w:rPr>
        <w:t>已经采用皮质类固醇替代治疗 </w:t>
      </w:r>
      <w:r>
        <w:rPr>
          <w:sz w:val="22"/>
        </w:rPr>
        <w:t>180</w:t>
      </w:r>
      <w:r>
        <w:rPr>
          <w:spacing w:val="-12"/>
          <w:sz w:val="22"/>
        </w:rPr>
        <w:t> 天以上。</w:t>
      </w:r>
    </w:p>
    <w:p>
      <w:pPr>
        <w:pStyle w:val="BodyText"/>
        <w:spacing w:line="259" w:lineRule="auto"/>
        <w:ind w:left="137" w:right="228" w:firstLine="425"/>
        <w:rPr>
          <w:rFonts w:ascii="黑体" w:eastAsia="黑体" w:hint="eastAsia"/>
        </w:rPr>
      </w:pPr>
      <w:r>
        <w:rPr>
          <w:rFonts w:ascii="黑体" w:eastAsia="黑体" w:hint="eastAsia"/>
        </w:rPr>
        <w:t>肾上腺结核、人类免疫缺陷病毒（HIV）感染或艾滋病、感染、肿瘤所致的原发性肾上腺皮质功能减退和继发性肾上腺皮质功能减退不在本保障范围内。</w:t>
      </w:r>
    </w:p>
    <w:p>
      <w:pPr>
        <w:pStyle w:val="BodyText"/>
        <w:spacing w:before="4"/>
        <w:ind w:left="0"/>
        <w:rPr>
          <w:rFonts w:ascii="黑体"/>
          <w:sz w:val="24"/>
        </w:rPr>
      </w:pPr>
    </w:p>
    <w:p>
      <w:pPr>
        <w:pStyle w:val="Heading4"/>
        <w:numPr>
          <w:ilvl w:val="0"/>
          <w:numId w:val="9"/>
        </w:numPr>
        <w:tabs>
          <w:tab w:pos="583" w:val="left" w:leader="none"/>
        </w:tabs>
        <w:spacing w:line="240" w:lineRule="auto" w:before="0" w:after="0"/>
        <w:ind w:left="582" w:right="0" w:hanging="445"/>
        <w:jc w:val="left"/>
      </w:pPr>
      <w:r>
        <w:rPr>
          <w:w w:val="95"/>
        </w:rPr>
        <w:t>破裂脑动脉瘤夹闭手术</w:t>
      </w:r>
    </w:p>
    <w:p>
      <w:pPr>
        <w:pStyle w:val="BodyText"/>
        <w:spacing w:line="259" w:lineRule="auto"/>
        <w:ind w:left="137" w:right="341" w:firstLine="425"/>
      </w:pPr>
      <w:r>
        <w:rPr/>
        <w:t>指因脑动脉瘤破裂造成蛛网膜下腔出血，被保险人实际接受了在全麻下进行的开颅动脉瘤夹闭手术。</w:t>
      </w:r>
    </w:p>
    <w:p>
      <w:pPr>
        <w:pStyle w:val="BodyText"/>
        <w:spacing w:line="259" w:lineRule="auto" w:before="6"/>
        <w:ind w:left="137" w:right="168" w:firstLine="425"/>
        <w:rPr>
          <w:rFonts w:ascii="黑体" w:eastAsia="黑体" w:hint="eastAsia"/>
        </w:rPr>
      </w:pPr>
      <w:r>
        <w:rPr>
          <w:rFonts w:ascii="黑体" w:eastAsia="黑体" w:hint="eastAsia"/>
          <w:spacing w:val="-3"/>
        </w:rPr>
        <w:t>脑动脉瘤</w:t>
      </w:r>
      <w:r>
        <w:rPr>
          <w:rFonts w:ascii="黑体" w:eastAsia="黑体" w:hint="eastAsia"/>
        </w:rPr>
        <w:t>（</w:t>
      </w:r>
      <w:r>
        <w:rPr>
          <w:rFonts w:ascii="黑体" w:eastAsia="黑体" w:hint="eastAsia"/>
          <w:spacing w:val="-2"/>
        </w:rPr>
        <w:t>未破裂</w:t>
      </w:r>
      <w:r>
        <w:rPr>
          <w:rFonts w:ascii="黑体" w:eastAsia="黑体" w:hint="eastAsia"/>
          <w:spacing w:val="-10"/>
        </w:rPr>
        <w:t>）</w:t>
      </w:r>
      <w:r>
        <w:rPr>
          <w:rFonts w:ascii="黑体" w:eastAsia="黑体" w:hint="eastAsia"/>
          <w:spacing w:val="-6"/>
        </w:rPr>
        <w:t>预防性手术、颅骨打孔手术、动脉瘤栓塞手术、血管内手术及其他颅脑手术不</w:t>
      </w:r>
      <w:r>
        <w:rPr>
          <w:rFonts w:ascii="黑体" w:eastAsia="黑体" w:hint="eastAsia"/>
          <w:spacing w:val="-5"/>
        </w:rPr>
        <w:t>在本保障范围内。</w:t>
      </w:r>
    </w:p>
    <w:p>
      <w:pPr>
        <w:pStyle w:val="BodyText"/>
        <w:spacing w:before="0"/>
        <w:ind w:left="0"/>
        <w:rPr>
          <w:rFonts w:ascii="黑体"/>
        </w:rPr>
      </w:pPr>
    </w:p>
    <w:p>
      <w:pPr>
        <w:pStyle w:val="BodyText"/>
        <w:spacing w:before="2"/>
        <w:ind w:left="0"/>
        <w:rPr>
          <w:rFonts w:ascii="黑体"/>
          <w:sz w:val="32"/>
        </w:rPr>
      </w:pPr>
    </w:p>
    <w:p>
      <w:pPr>
        <w:pStyle w:val="Heading2"/>
        <w:numPr>
          <w:ilvl w:val="0"/>
          <w:numId w:val="11"/>
        </w:numPr>
        <w:tabs>
          <w:tab w:pos="679" w:val="left" w:leader="none"/>
        </w:tabs>
        <w:spacing w:line="240" w:lineRule="auto" w:before="0" w:after="0"/>
        <w:ind w:left="678" w:right="0" w:hanging="541"/>
        <w:jc w:val="left"/>
      </w:pPr>
      <w:r>
        <w:rPr/>
        <w:t>术语释义</w:t>
      </w:r>
    </w:p>
    <w:p>
      <w:pPr>
        <w:pStyle w:val="BodyText"/>
        <w:spacing w:before="4"/>
        <w:ind w:left="0"/>
        <w:rPr>
          <w:b/>
          <w:sz w:val="11"/>
        </w:rPr>
      </w:pPr>
      <w:r>
        <w:rPr/>
        <w:pict>
          <v:group style="position:absolute;margin-left:52.439999pt;margin-top:9.401753pt;width:494.9pt;height:1.45pt;mso-position-horizontal-relative:page;mso-position-vertical-relative:paragraph;z-index:1288;mso-wrap-distance-left:0;mso-wrap-distance-right:0" coordorigin="1049,188" coordsize="9898,29">
            <v:line style="position:absolute" from="1049,212" to="10946,212" stroked="true" strokeweight=".47998pt" strokecolor="#000000">
              <v:stroke dashstyle="solid"/>
            </v:line>
            <v:line style="position:absolute" from="1049,193" to="10946,193" stroked="true" strokeweight=".47998pt" strokecolor="#000000">
              <v:stroke dashstyle="solid"/>
            </v:line>
            <w10:wrap type="topAndBottom"/>
          </v:group>
        </w:pict>
      </w:r>
    </w:p>
    <w:p>
      <w:pPr>
        <w:pStyle w:val="BodyText"/>
        <w:spacing w:before="2"/>
        <w:ind w:left="0"/>
        <w:rPr>
          <w:b/>
          <w:sz w:val="14"/>
        </w:rPr>
      </w:pPr>
    </w:p>
    <w:p>
      <w:pPr>
        <w:pStyle w:val="Heading3"/>
        <w:numPr>
          <w:ilvl w:val="1"/>
          <w:numId w:val="11"/>
        </w:numPr>
        <w:tabs>
          <w:tab w:pos="743" w:val="left" w:leader="none"/>
        </w:tabs>
        <w:spacing w:line="240" w:lineRule="auto" w:before="26" w:after="0"/>
        <w:ind w:left="742" w:right="0" w:hanging="605"/>
        <w:jc w:val="left"/>
      </w:pPr>
      <w:r>
        <w:rPr>
          <w:w w:val="95"/>
        </w:rPr>
        <w:t>初次发生</w:t>
      </w:r>
    </w:p>
    <w:p>
      <w:pPr>
        <w:pStyle w:val="BodyText"/>
        <w:spacing w:line="259" w:lineRule="auto" w:before="16"/>
        <w:ind w:left="137" w:right="171" w:firstLine="442"/>
        <w:jc w:val="both"/>
      </w:pPr>
      <w:r>
        <w:rPr>
          <w:spacing w:val="-5"/>
        </w:rPr>
        <w:t>指被保险人初次出现本附加合同约定的重大疾病的临床症状或体征，且该临床症状或体征足以引起</w:t>
      </w:r>
      <w:r>
        <w:rPr>
          <w:spacing w:val="-4"/>
        </w:rPr>
        <w:t>注意并需寻求医疗检查、诊断、治疗或护理。</w:t>
      </w:r>
    </w:p>
    <w:p>
      <w:pPr>
        <w:pStyle w:val="BodyText"/>
        <w:spacing w:before="12"/>
        <w:ind w:left="0"/>
      </w:pPr>
    </w:p>
    <w:p>
      <w:pPr>
        <w:pStyle w:val="Heading3"/>
        <w:numPr>
          <w:ilvl w:val="1"/>
          <w:numId w:val="11"/>
        </w:numPr>
        <w:tabs>
          <w:tab w:pos="743" w:val="left" w:leader="none"/>
        </w:tabs>
        <w:spacing w:line="240" w:lineRule="auto" w:before="0" w:after="0"/>
        <w:ind w:left="742" w:right="0" w:hanging="605"/>
        <w:jc w:val="left"/>
      </w:pPr>
      <w:r>
        <w:rPr>
          <w:w w:val="95"/>
        </w:rPr>
        <w:t>本公司指定或认可的医疗机构</w:t>
      </w:r>
    </w:p>
    <w:p>
      <w:pPr>
        <w:pStyle w:val="BodyText"/>
        <w:spacing w:line="259" w:lineRule="auto" w:before="16"/>
        <w:ind w:left="137" w:right="114" w:firstLine="425"/>
        <w:jc w:val="both"/>
      </w:pPr>
      <w:r>
        <w:rPr>
          <w:spacing w:val="-3"/>
        </w:rPr>
        <w:t>指经中华人民共和国卫生部门正式评定的二级以上</w:t>
      </w:r>
      <w:r>
        <w:rPr/>
        <w:t>（</w:t>
      </w:r>
      <w:r>
        <w:rPr>
          <w:spacing w:val="-1"/>
        </w:rPr>
        <w:t>含二级</w:t>
      </w:r>
      <w:r>
        <w:rPr/>
        <w:t>）</w:t>
      </w:r>
      <w:r>
        <w:rPr>
          <w:spacing w:val="-3"/>
        </w:rPr>
        <w:t>公立医院，不包括康复医院或康复病</w:t>
      </w:r>
      <w:r>
        <w:rPr>
          <w:spacing w:val="-5"/>
        </w:rPr>
        <w:t>房、精神病院、疗养院、护理院、戒酒或戒毒中心、精神心理治疗中心、急诊或门诊观察室、无相应医</w:t>
      </w:r>
      <w:r>
        <w:rPr>
          <w:spacing w:val="-4"/>
        </w:rPr>
        <w:t>护人员或设备的二级或三级医院的联合医院或联合病房。</w:t>
      </w:r>
    </w:p>
    <w:p>
      <w:pPr>
        <w:pStyle w:val="BodyText"/>
        <w:spacing w:before="11"/>
        <w:ind w:left="0"/>
      </w:pPr>
    </w:p>
    <w:p>
      <w:pPr>
        <w:pStyle w:val="Heading3"/>
        <w:numPr>
          <w:ilvl w:val="1"/>
          <w:numId w:val="11"/>
        </w:numPr>
        <w:tabs>
          <w:tab w:pos="743" w:val="left" w:leader="none"/>
        </w:tabs>
        <w:spacing w:line="240" w:lineRule="auto" w:before="0" w:after="0"/>
        <w:ind w:left="742" w:right="0" w:hanging="605"/>
        <w:jc w:val="left"/>
      </w:pPr>
      <w:r>
        <w:rPr>
          <w:w w:val="95"/>
        </w:rPr>
        <w:t>意外伤害</w:t>
      </w:r>
    </w:p>
    <w:p>
      <w:pPr>
        <w:pStyle w:val="BodyText"/>
        <w:spacing w:line="259" w:lineRule="auto" w:before="16"/>
        <w:ind w:left="137" w:right="168" w:firstLine="425"/>
        <w:jc w:val="both"/>
      </w:pPr>
      <w:r>
        <w:rPr>
          <w:spacing w:val="-7"/>
        </w:rPr>
        <w:t>指外来的、突然的、非本意的、非疾病的使被保险人身体受到伤害的客观事件，并以此客观事件为</w:t>
      </w:r>
      <w:r>
        <w:rPr>
          <w:spacing w:val="-5"/>
        </w:rPr>
        <w:t>直接且单独原因导致被保险人身体受到伤害。</w:t>
      </w:r>
    </w:p>
    <w:p>
      <w:pPr>
        <w:pStyle w:val="BodyText"/>
        <w:spacing w:before="11"/>
        <w:ind w:left="0"/>
      </w:pPr>
    </w:p>
    <w:p>
      <w:pPr>
        <w:pStyle w:val="Heading3"/>
        <w:numPr>
          <w:ilvl w:val="1"/>
          <w:numId w:val="11"/>
        </w:numPr>
        <w:tabs>
          <w:tab w:pos="743" w:val="left" w:leader="none"/>
        </w:tabs>
        <w:spacing w:line="240" w:lineRule="auto" w:before="0" w:after="0"/>
        <w:ind w:left="742" w:right="0" w:hanging="605"/>
        <w:jc w:val="left"/>
      </w:pPr>
      <w:r>
        <w:rPr/>
        <w:t>毒品</w:t>
      </w:r>
    </w:p>
    <w:p>
      <w:pPr>
        <w:pStyle w:val="BodyText"/>
        <w:spacing w:line="259" w:lineRule="auto" w:before="16"/>
        <w:ind w:left="137" w:right="164" w:firstLine="427"/>
        <w:jc w:val="both"/>
      </w:pPr>
      <w:r>
        <w:rPr>
          <w:spacing w:val="-5"/>
        </w:rPr>
        <w:t>指根据《中华人民共和国刑法》规定的鸦片、海洛因、甲基苯丙胺</w:t>
      </w:r>
      <w:r>
        <w:rPr/>
        <w:t>（</w:t>
      </w:r>
      <w:r>
        <w:rPr>
          <w:spacing w:val="-2"/>
        </w:rPr>
        <w:t>冰毒</w:t>
      </w:r>
      <w:r>
        <w:rPr>
          <w:spacing w:val="-8"/>
        </w:rPr>
        <w:t>）</w:t>
      </w:r>
      <w:r>
        <w:rPr>
          <w:spacing w:val="-5"/>
        </w:rPr>
        <w:t>、吗啡、大麻、可卡因</w:t>
      </w:r>
      <w:r>
        <w:rPr>
          <w:spacing w:val="-6"/>
        </w:rPr>
        <w:t>以及国家规定管制的其他能够使人形成瘾癖的麻醉药品和精神药品，但不包括由医生开具并遵医嘱使用</w:t>
      </w:r>
      <w:r>
        <w:rPr>
          <w:spacing w:val="-5"/>
        </w:rPr>
        <w:t>的用于治疗疾病但含有毒品成分的处方药品。</w:t>
      </w:r>
    </w:p>
    <w:p>
      <w:pPr>
        <w:pStyle w:val="BodyText"/>
        <w:spacing w:before="12"/>
        <w:ind w:left="0"/>
      </w:pPr>
    </w:p>
    <w:p>
      <w:pPr>
        <w:pStyle w:val="Heading3"/>
        <w:numPr>
          <w:ilvl w:val="1"/>
          <w:numId w:val="11"/>
        </w:numPr>
        <w:tabs>
          <w:tab w:pos="743" w:val="left" w:leader="none"/>
        </w:tabs>
        <w:spacing w:line="240" w:lineRule="auto" w:before="0" w:after="0"/>
        <w:ind w:left="742" w:right="0" w:hanging="605"/>
        <w:jc w:val="left"/>
      </w:pPr>
      <w:r>
        <w:rPr>
          <w:w w:val="95"/>
        </w:rPr>
        <w:t>酒后驾驶</w:t>
      </w:r>
    </w:p>
    <w:p>
      <w:pPr>
        <w:pStyle w:val="BodyText"/>
        <w:spacing w:line="261" w:lineRule="auto" w:before="16"/>
        <w:ind w:left="137" w:right="106" w:firstLine="427"/>
        <w:jc w:val="both"/>
      </w:pPr>
      <w:r>
        <w:rPr>
          <w:spacing w:val="-6"/>
        </w:rPr>
        <w:t>指经检测或鉴定，发生事故时车辆驾驶人员每百毫升血液中的酒精含量达到或超过一定的标准，公</w:t>
      </w:r>
      <w:r>
        <w:rPr>
          <w:spacing w:val="-5"/>
        </w:rPr>
        <w:t>安机关交通管理部门依据《中华人民共和国道路交通安全法》的规定认定为饮酒后驾驶或醉酒后驾驶。</w:t>
      </w:r>
    </w:p>
    <w:p>
      <w:pPr>
        <w:pStyle w:val="BodyText"/>
        <w:spacing w:before="9"/>
        <w:ind w:left="0"/>
      </w:pPr>
    </w:p>
    <w:p>
      <w:pPr>
        <w:pStyle w:val="Heading3"/>
        <w:numPr>
          <w:ilvl w:val="1"/>
          <w:numId w:val="11"/>
        </w:numPr>
        <w:tabs>
          <w:tab w:pos="743" w:val="left" w:leader="none"/>
        </w:tabs>
        <w:spacing w:line="240" w:lineRule="auto" w:before="0" w:after="0"/>
        <w:ind w:left="742" w:right="0" w:hanging="605"/>
        <w:jc w:val="left"/>
      </w:pPr>
      <w:r>
        <w:rPr>
          <w:w w:val="95"/>
        </w:rPr>
        <w:t>感染艾滋病病毒或患艾滋病</w:t>
      </w:r>
    </w:p>
    <w:p>
      <w:pPr>
        <w:pStyle w:val="BodyText"/>
        <w:spacing w:line="259" w:lineRule="auto" w:before="16"/>
        <w:ind w:left="137" w:right="228" w:firstLine="425"/>
        <w:jc w:val="both"/>
      </w:pPr>
      <w:r>
        <w:rPr/>
        <w:t>艾滋病病毒指人类免疫缺陷病毒，英文缩写为HIV。艾滋病指人类免疫缺陷病毒引起的获得性免疫缺陷综合征，英文缩写为AIDS。</w:t>
      </w:r>
    </w:p>
    <w:p>
      <w:pPr>
        <w:spacing w:after="0" w:line="259" w:lineRule="auto"/>
        <w:jc w:val="both"/>
        <w:sectPr>
          <w:pgSz w:w="11910" w:h="16840"/>
          <w:pgMar w:top="1380" w:bottom="280" w:left="940" w:right="820"/>
        </w:sectPr>
      </w:pPr>
    </w:p>
    <w:p>
      <w:pPr>
        <w:pStyle w:val="BodyText"/>
        <w:spacing w:line="259" w:lineRule="auto" w:before="20"/>
        <w:ind w:right="166" w:firstLine="425"/>
      </w:pPr>
      <w:r>
        <w:rPr/>
        <w:t>在人体血液或其它样本中检测到艾滋病病毒或其抗体呈阳性，没有出现临床症状或体征的，为感染艾滋病病毒；如果同时出现了明显临床症状或体征的，为患艾滋病。</w:t>
      </w:r>
    </w:p>
    <w:p>
      <w:pPr>
        <w:pStyle w:val="BodyText"/>
        <w:spacing w:before="11"/>
        <w:ind w:left="0"/>
      </w:pPr>
    </w:p>
    <w:p>
      <w:pPr>
        <w:pStyle w:val="Heading3"/>
        <w:numPr>
          <w:ilvl w:val="1"/>
          <w:numId w:val="11"/>
        </w:numPr>
        <w:tabs>
          <w:tab w:pos="723" w:val="left" w:leader="none"/>
        </w:tabs>
        <w:spacing w:line="240" w:lineRule="auto" w:before="1" w:after="0"/>
        <w:ind w:left="722" w:right="0" w:hanging="605"/>
        <w:jc w:val="left"/>
      </w:pPr>
      <w:r>
        <w:rPr>
          <w:w w:val="95"/>
        </w:rPr>
        <w:t>遗传性疾病</w:t>
      </w:r>
    </w:p>
    <w:p>
      <w:pPr>
        <w:pStyle w:val="BodyText"/>
        <w:spacing w:line="259" w:lineRule="auto" w:before="16"/>
        <w:ind w:right="148" w:firstLine="425"/>
      </w:pPr>
      <w:r>
        <w:rPr/>
        <w:t>指生殖细胞或受精卵的遗传物质（染色体和基因）发生突变或畸变所引起的疾病，通常具有由亲代传至后代的垂直传递的特征。</w:t>
      </w:r>
    </w:p>
    <w:p>
      <w:pPr>
        <w:pStyle w:val="BodyText"/>
        <w:spacing w:before="11"/>
        <w:ind w:left="0"/>
      </w:pPr>
    </w:p>
    <w:p>
      <w:pPr>
        <w:pStyle w:val="Heading3"/>
        <w:numPr>
          <w:ilvl w:val="1"/>
          <w:numId w:val="11"/>
        </w:numPr>
        <w:tabs>
          <w:tab w:pos="723" w:val="left" w:leader="none"/>
        </w:tabs>
        <w:spacing w:line="240" w:lineRule="auto" w:before="0" w:after="0"/>
        <w:ind w:left="722" w:right="0" w:hanging="605"/>
        <w:jc w:val="left"/>
      </w:pPr>
      <w:r>
        <w:rPr>
          <w:w w:val="95"/>
        </w:rPr>
        <w:t>先天性疾病、畸形、变形或染色体异常</w:t>
      </w:r>
    </w:p>
    <w:p>
      <w:pPr>
        <w:pStyle w:val="BodyText"/>
        <w:spacing w:line="259" w:lineRule="auto" w:before="16"/>
        <w:ind w:right="207" w:firstLine="425"/>
      </w:pPr>
      <w:r>
        <w:rPr>
          <w:spacing w:val="-8"/>
        </w:rPr>
        <w:t>指被保险人出生时就具有的疾病、畸形、变形或染色体异常。先天性疾病、畸形、变形或染色体异</w:t>
      </w:r>
      <w:r>
        <w:rPr>
          <w:spacing w:val="-3"/>
        </w:rPr>
        <w:t>常依照世界卫生组织《疾病和有关健康问题的国际统计分类》</w:t>
      </w:r>
      <w:r>
        <w:rPr/>
        <w:t>（ICD-10）</w:t>
      </w:r>
      <w:r>
        <w:rPr>
          <w:spacing w:val="-2"/>
        </w:rPr>
        <w:t>确定。</w:t>
      </w:r>
    </w:p>
    <w:p>
      <w:pPr>
        <w:pStyle w:val="BodyText"/>
        <w:spacing w:before="12"/>
        <w:ind w:left="0"/>
      </w:pPr>
    </w:p>
    <w:p>
      <w:pPr>
        <w:pStyle w:val="Heading3"/>
        <w:numPr>
          <w:ilvl w:val="1"/>
          <w:numId w:val="11"/>
        </w:numPr>
        <w:tabs>
          <w:tab w:pos="723" w:val="left" w:leader="none"/>
        </w:tabs>
        <w:spacing w:line="240" w:lineRule="auto" w:before="0" w:after="0"/>
        <w:ind w:left="722" w:right="0" w:hanging="605"/>
        <w:jc w:val="left"/>
      </w:pPr>
      <w:r>
        <w:rPr>
          <w:w w:val="95"/>
        </w:rPr>
        <w:t>现金价值</w:t>
      </w:r>
    </w:p>
    <w:p>
      <w:pPr>
        <w:pStyle w:val="BodyText"/>
        <w:spacing w:line="259" w:lineRule="auto" w:before="16"/>
        <w:ind w:right="204" w:firstLine="427"/>
      </w:pPr>
      <w:r>
        <w:rPr>
          <w:spacing w:val="-7"/>
        </w:rPr>
        <w:t>指本附加合同保险单所具有的价值，通常体现为解除合同时，根据精算原理计算的，由我们退还的</w:t>
      </w:r>
      <w:r>
        <w:rPr>
          <w:spacing w:val="-5"/>
        </w:rPr>
        <w:t>那部分金额。</w:t>
      </w:r>
    </w:p>
    <w:p>
      <w:pPr>
        <w:pStyle w:val="BodyText"/>
        <w:spacing w:line="259" w:lineRule="auto" w:before="6"/>
        <w:ind w:right="165" w:firstLine="427"/>
      </w:pPr>
      <w:r>
        <w:rPr/>
        <w:t>各保单年度末的现金价值如保险单或合同批注上所示，如因其他条款的约定而发生变更，则现金价值将重新计算。</w:t>
      </w:r>
    </w:p>
    <w:p>
      <w:pPr>
        <w:pStyle w:val="BodyText"/>
        <w:spacing w:before="11"/>
        <w:ind w:left="0"/>
      </w:pPr>
    </w:p>
    <w:p>
      <w:pPr>
        <w:pStyle w:val="Heading3"/>
        <w:numPr>
          <w:ilvl w:val="1"/>
          <w:numId w:val="11"/>
        </w:numPr>
        <w:tabs>
          <w:tab w:pos="846" w:val="left" w:leader="none"/>
        </w:tabs>
        <w:spacing w:line="240" w:lineRule="auto" w:before="0" w:after="0"/>
        <w:ind w:left="845" w:right="0" w:hanging="728"/>
        <w:jc w:val="left"/>
      </w:pPr>
      <w:r>
        <w:rPr>
          <w:w w:val="95"/>
        </w:rPr>
        <w:t>利息损失</w:t>
      </w:r>
    </w:p>
    <w:p>
      <w:pPr>
        <w:pStyle w:val="BodyText"/>
        <w:spacing w:before="16"/>
        <w:ind w:left="545"/>
      </w:pPr>
      <w:r>
        <w:rPr/>
        <w:t>指根据中国人民银行最近一次已公布的同期的人民币活期存款基准利率计算的利息损失。</w:t>
      </w:r>
    </w:p>
    <w:p>
      <w:pPr>
        <w:pStyle w:val="BodyText"/>
        <w:spacing w:before="3"/>
        <w:ind w:left="0"/>
        <w:rPr>
          <w:sz w:val="24"/>
        </w:rPr>
      </w:pPr>
    </w:p>
    <w:p>
      <w:pPr>
        <w:pStyle w:val="Heading3"/>
        <w:numPr>
          <w:ilvl w:val="1"/>
          <w:numId w:val="11"/>
        </w:numPr>
        <w:tabs>
          <w:tab w:pos="846" w:val="left" w:leader="none"/>
        </w:tabs>
        <w:spacing w:line="240" w:lineRule="auto" w:before="1" w:after="0"/>
        <w:ind w:left="845" w:right="0" w:hanging="728"/>
        <w:jc w:val="left"/>
      </w:pPr>
      <w:r>
        <w:rPr>
          <w:w w:val="95"/>
        </w:rPr>
        <w:t>肢体机能完全丧失</w:t>
      </w:r>
    </w:p>
    <w:p>
      <w:pPr>
        <w:pStyle w:val="BodyText"/>
        <w:spacing w:line="259" w:lineRule="auto" w:before="16"/>
        <w:ind w:right="209" w:firstLine="425"/>
      </w:pPr>
      <w:r>
        <w:rPr>
          <w:spacing w:val="-6"/>
        </w:rPr>
        <w:t>指肢体的三大关节中的两大关节僵硬，或不能随意识活动。肢体是指包括肩关节的整个上肢或包括</w:t>
      </w:r>
      <w:r>
        <w:rPr>
          <w:spacing w:val="-5"/>
        </w:rPr>
        <w:t>髋关节的整个下肢。</w:t>
      </w:r>
    </w:p>
    <w:p>
      <w:pPr>
        <w:pStyle w:val="BodyText"/>
        <w:spacing w:before="11"/>
        <w:ind w:left="0"/>
      </w:pPr>
    </w:p>
    <w:p>
      <w:pPr>
        <w:pStyle w:val="Heading3"/>
        <w:numPr>
          <w:ilvl w:val="1"/>
          <w:numId w:val="11"/>
        </w:numPr>
        <w:tabs>
          <w:tab w:pos="846" w:val="left" w:leader="none"/>
        </w:tabs>
        <w:spacing w:line="240" w:lineRule="auto" w:before="0" w:after="0"/>
        <w:ind w:left="845" w:right="0" w:hanging="728"/>
        <w:jc w:val="left"/>
      </w:pPr>
      <w:r>
        <w:rPr>
          <w:w w:val="95"/>
        </w:rPr>
        <w:t>语言能力或咀嚼吞咽能力完全丧失</w:t>
      </w:r>
    </w:p>
    <w:p>
      <w:pPr>
        <w:pStyle w:val="BodyText"/>
        <w:spacing w:line="259" w:lineRule="auto" w:before="16"/>
        <w:ind w:right="98" w:firstLine="425"/>
      </w:pPr>
      <w:r>
        <w:rPr>
          <w:spacing w:val="-8"/>
        </w:rPr>
        <w:t>语言能力完全丧失，指无法发出四种语音</w:t>
      </w:r>
      <w:r>
        <w:rPr/>
        <w:t>（</w:t>
      </w:r>
      <w:r>
        <w:rPr>
          <w:spacing w:val="-10"/>
        </w:rPr>
        <w:t>包括口唇音、齿舌音、口盖音和喉头音</w:t>
      </w:r>
      <w:r>
        <w:rPr>
          <w:spacing w:val="-34"/>
        </w:rPr>
        <w:t>）</w:t>
      </w:r>
      <w:r>
        <w:rPr>
          <w:spacing w:val="-2"/>
        </w:rPr>
        <w:t>中的任何三种、</w:t>
      </w:r>
      <w:r>
        <w:rPr>
          <w:spacing w:val="-3"/>
        </w:rPr>
        <w:t>或声带全部切除，或因大脑语言中枢受伤害而患失语症。</w:t>
      </w:r>
    </w:p>
    <w:p>
      <w:pPr>
        <w:pStyle w:val="BodyText"/>
        <w:spacing w:line="259" w:lineRule="auto" w:before="6"/>
        <w:ind w:right="98" w:firstLine="425"/>
      </w:pPr>
      <w:r>
        <w:rPr>
          <w:spacing w:val="-14"/>
        </w:rPr>
        <w:t>咀嚼吞咽能力完全丧失，指因牙齿以外的原因导致器质障碍或机能障碍，以致不能作咀嚼吞咽运动， </w:t>
      </w:r>
      <w:r>
        <w:rPr>
          <w:spacing w:val="-8"/>
        </w:rPr>
        <w:t>除流质食物外不能摄取或吞咽的状态。</w:t>
      </w:r>
    </w:p>
    <w:p>
      <w:pPr>
        <w:pStyle w:val="BodyText"/>
        <w:spacing w:before="12"/>
        <w:ind w:left="0"/>
      </w:pPr>
    </w:p>
    <w:p>
      <w:pPr>
        <w:pStyle w:val="Heading3"/>
        <w:numPr>
          <w:ilvl w:val="1"/>
          <w:numId w:val="11"/>
        </w:numPr>
        <w:tabs>
          <w:tab w:pos="846" w:val="left" w:leader="none"/>
        </w:tabs>
        <w:spacing w:line="240" w:lineRule="auto" w:before="0" w:after="0"/>
        <w:ind w:left="845" w:right="0" w:hanging="728"/>
        <w:jc w:val="left"/>
      </w:pPr>
      <w:r>
        <w:rPr>
          <w:w w:val="95"/>
        </w:rPr>
        <w:t>六项基本日常生活活动</w:t>
      </w:r>
    </w:p>
    <w:p>
      <w:pPr>
        <w:pStyle w:val="BodyText"/>
        <w:spacing w:before="16"/>
        <w:ind w:left="545"/>
      </w:pPr>
      <w:r>
        <w:rPr/>
        <w:t>六项基本日常生活活动是指：</w:t>
      </w:r>
    </w:p>
    <w:p>
      <w:pPr>
        <w:pStyle w:val="BodyText"/>
        <w:spacing w:before="23"/>
      </w:pPr>
      <w:r>
        <w:rPr/>
        <w:t>（1）穿衣：自己能够穿衣及脱衣；</w:t>
      </w:r>
    </w:p>
    <w:p>
      <w:pPr>
        <w:pStyle w:val="BodyText"/>
        <w:spacing w:before="23"/>
      </w:pPr>
      <w:r>
        <w:rPr/>
        <w:t>（2）移动：自己从一个房间到另一个房间；</w:t>
      </w:r>
    </w:p>
    <w:p>
      <w:pPr>
        <w:pStyle w:val="BodyText"/>
        <w:spacing w:before="23"/>
      </w:pPr>
      <w:r>
        <w:rPr/>
        <w:t>（3）行动：自己上下床或上下轮椅；</w:t>
      </w:r>
    </w:p>
    <w:p>
      <w:pPr>
        <w:pStyle w:val="BodyText"/>
        <w:spacing w:before="23"/>
      </w:pPr>
      <w:r>
        <w:rPr/>
        <w:t>（4）如厕：自己控制进行大小便；</w:t>
      </w:r>
    </w:p>
    <w:p>
      <w:pPr>
        <w:pStyle w:val="BodyText"/>
        <w:spacing w:before="23"/>
      </w:pPr>
      <w:r>
        <w:rPr/>
        <w:t>（5）进食：自己从已准备好的碗或碟中取食物放入口中；</w:t>
      </w:r>
    </w:p>
    <w:p>
      <w:pPr>
        <w:pStyle w:val="BodyText"/>
        <w:spacing w:before="23"/>
      </w:pPr>
      <w:r>
        <w:rPr/>
        <w:t>（6）洗澡：自己进行淋浴或盆浴。</w:t>
      </w:r>
    </w:p>
    <w:p>
      <w:pPr>
        <w:pStyle w:val="BodyText"/>
        <w:spacing w:before="3"/>
        <w:ind w:left="0"/>
        <w:rPr>
          <w:sz w:val="24"/>
        </w:rPr>
      </w:pPr>
    </w:p>
    <w:p>
      <w:pPr>
        <w:pStyle w:val="Heading3"/>
        <w:numPr>
          <w:ilvl w:val="1"/>
          <w:numId w:val="11"/>
        </w:numPr>
        <w:tabs>
          <w:tab w:pos="783" w:val="left" w:leader="none"/>
        </w:tabs>
        <w:spacing w:line="240" w:lineRule="auto" w:before="0" w:after="0"/>
        <w:ind w:left="782" w:right="0" w:hanging="665"/>
        <w:jc w:val="left"/>
        <w:rPr>
          <w:sz w:val="22"/>
        </w:rPr>
      </w:pPr>
      <w:r>
        <w:rPr>
          <w:w w:val="95"/>
        </w:rPr>
        <w:t>永久不可逆</w:t>
      </w:r>
    </w:p>
    <w:p>
      <w:pPr>
        <w:pStyle w:val="BodyText"/>
        <w:spacing w:before="16"/>
        <w:ind w:left="542"/>
      </w:pPr>
      <w:r>
        <w:rPr/>
        <w:t>指自疾病确诊或意外伤害发生之日起，经过积极治疗180天后，仍无法通过现有医疗手段恢复。</w:t>
      </w:r>
    </w:p>
    <w:p>
      <w:pPr>
        <w:pStyle w:val="BodyText"/>
        <w:spacing w:before="3"/>
        <w:ind w:left="0"/>
        <w:rPr>
          <w:sz w:val="24"/>
        </w:rPr>
      </w:pPr>
    </w:p>
    <w:p>
      <w:pPr>
        <w:pStyle w:val="Heading3"/>
        <w:numPr>
          <w:ilvl w:val="1"/>
          <w:numId w:val="11"/>
        </w:numPr>
        <w:tabs>
          <w:tab w:pos="783" w:val="left" w:leader="none"/>
        </w:tabs>
        <w:spacing w:line="240" w:lineRule="auto" w:before="0" w:after="0"/>
        <w:ind w:left="782" w:right="0" w:hanging="665"/>
        <w:jc w:val="left"/>
        <w:rPr>
          <w:sz w:val="22"/>
        </w:rPr>
      </w:pPr>
      <w:r>
        <w:rPr/>
        <w:t>专科医生</w:t>
      </w:r>
    </w:p>
    <w:p>
      <w:pPr>
        <w:pStyle w:val="BodyText"/>
        <w:spacing w:before="16"/>
        <w:ind w:left="542"/>
      </w:pPr>
      <w:r>
        <w:rPr/>
        <w:t>专科医生应当同时满足以下四项资格条件：</w:t>
      </w:r>
    </w:p>
    <w:p>
      <w:pPr>
        <w:spacing w:after="0"/>
        <w:sectPr>
          <w:pgSz w:w="11910" w:h="16840"/>
          <w:pgMar w:top="1380" w:bottom="280" w:left="960" w:right="780"/>
        </w:sectPr>
      </w:pPr>
    </w:p>
    <w:p>
      <w:pPr>
        <w:pStyle w:val="BodyText"/>
        <w:spacing w:before="20"/>
      </w:pPr>
      <w:r>
        <w:rPr/>
        <w:t>（1）具有有效的中华人民共和国《医师资格证书》；</w:t>
      </w:r>
    </w:p>
    <w:p>
      <w:pPr>
        <w:pStyle w:val="BodyText"/>
      </w:pPr>
      <w:r>
        <w:rPr/>
        <w:t>（2）具有有效的中华人民共和国《医师执业证书》，并按期到相关部门登记注册；</w:t>
      </w:r>
    </w:p>
    <w:p>
      <w:pPr>
        <w:pStyle w:val="BodyText"/>
      </w:pPr>
      <w:r>
        <w:rPr/>
        <w:t>（3）具有有效的中华人民共和国主治医师或主治医师以上职称的《医师职称证书》；</w:t>
      </w:r>
    </w:p>
    <w:p>
      <w:pPr>
        <w:pStyle w:val="BodyText"/>
      </w:pPr>
      <w:r>
        <w:rPr/>
        <w:t>（4）在二级或二级以上医院的相应科室从事临床工作三年以上。</w:t>
      </w:r>
    </w:p>
    <w:sectPr>
      <w:pgSz w:w="11910" w:h="16840"/>
      <w:pgMar w:top="1380" w:bottom="280" w:left="960" w:right="1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黑体">
    <w:altName w:val="黑体"/>
    <w:charset w:val="86"/>
    <w:family w:val="modern"/>
    <w:pitch w:val="fixed"/>
  </w:font>
  <w:font w:name="仿宋">
    <w:altName w:val="仿宋"/>
    <w:charset w:val="86"/>
    <w:family w:val="modern"/>
    <w:pitch w:val="fixed"/>
  </w:font>
  <w:font w:name="宋体">
    <w:altName w:val="宋体"/>
    <w:charset w:val="86"/>
    <w:family w:val="auto"/>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0">
    <w:multiLevelType w:val="hybridMultilevel"/>
    <w:lvl w:ilvl="0">
      <w:start w:val="11"/>
      <w:numFmt w:val="decimal"/>
      <w:lvlText w:val="%1."/>
      <w:lvlJc w:val="left"/>
      <w:pPr>
        <w:ind w:left="678" w:hanging="541"/>
        <w:jc w:val="left"/>
      </w:pPr>
      <w:rPr>
        <w:rFonts w:hint="default" w:ascii="宋体" w:hAnsi="宋体" w:eastAsia="宋体" w:cs="宋体"/>
        <w:b/>
        <w:bCs/>
        <w:spacing w:val="0"/>
        <w:w w:val="99"/>
        <w:sz w:val="28"/>
        <w:szCs w:val="28"/>
      </w:rPr>
    </w:lvl>
    <w:lvl w:ilvl="1">
      <w:start w:val="1"/>
      <w:numFmt w:val="decimal"/>
      <w:lvlText w:val="%1.%2"/>
      <w:lvlJc w:val="left"/>
      <w:pPr>
        <w:ind w:left="742" w:hanging="606"/>
        <w:jc w:val="left"/>
      </w:pPr>
      <w:rPr>
        <w:rFonts w:hint="default"/>
        <w:b/>
        <w:bCs/>
        <w:spacing w:val="0"/>
        <w:w w:val="99"/>
      </w:rPr>
    </w:lvl>
    <w:lvl w:ilvl="2">
      <w:start w:val="0"/>
      <w:numFmt w:val="bullet"/>
      <w:lvlText w:val="•"/>
      <w:lvlJc w:val="left"/>
      <w:pPr>
        <w:ind w:left="1785" w:hanging="606"/>
      </w:pPr>
      <w:rPr>
        <w:rFonts w:hint="default"/>
      </w:rPr>
    </w:lvl>
    <w:lvl w:ilvl="3">
      <w:start w:val="0"/>
      <w:numFmt w:val="bullet"/>
      <w:lvlText w:val="•"/>
      <w:lvlJc w:val="left"/>
      <w:pPr>
        <w:ind w:left="2830" w:hanging="606"/>
      </w:pPr>
      <w:rPr>
        <w:rFonts w:hint="default"/>
      </w:rPr>
    </w:lvl>
    <w:lvl w:ilvl="4">
      <w:start w:val="0"/>
      <w:numFmt w:val="bullet"/>
      <w:lvlText w:val="•"/>
      <w:lvlJc w:val="left"/>
      <w:pPr>
        <w:ind w:left="3875" w:hanging="606"/>
      </w:pPr>
      <w:rPr>
        <w:rFonts w:hint="default"/>
      </w:rPr>
    </w:lvl>
    <w:lvl w:ilvl="5">
      <w:start w:val="0"/>
      <w:numFmt w:val="bullet"/>
      <w:lvlText w:val="•"/>
      <w:lvlJc w:val="left"/>
      <w:pPr>
        <w:ind w:left="4920" w:hanging="606"/>
      </w:pPr>
      <w:rPr>
        <w:rFonts w:hint="default"/>
      </w:rPr>
    </w:lvl>
    <w:lvl w:ilvl="6">
      <w:start w:val="0"/>
      <w:numFmt w:val="bullet"/>
      <w:lvlText w:val="•"/>
      <w:lvlJc w:val="left"/>
      <w:pPr>
        <w:ind w:left="5965" w:hanging="606"/>
      </w:pPr>
      <w:rPr>
        <w:rFonts w:hint="default"/>
      </w:rPr>
    </w:lvl>
    <w:lvl w:ilvl="7">
      <w:start w:val="0"/>
      <w:numFmt w:val="bullet"/>
      <w:lvlText w:val="•"/>
      <w:lvlJc w:val="left"/>
      <w:pPr>
        <w:ind w:left="7010" w:hanging="606"/>
      </w:pPr>
      <w:rPr>
        <w:rFonts w:hint="default"/>
      </w:rPr>
    </w:lvl>
    <w:lvl w:ilvl="8">
      <w:start w:val="0"/>
      <w:numFmt w:val="bullet"/>
      <w:lvlText w:val="•"/>
      <w:lvlJc w:val="left"/>
      <w:pPr>
        <w:ind w:left="8056" w:hanging="606"/>
      </w:pPr>
      <w:rPr>
        <w:rFonts w:hint="default"/>
      </w:rPr>
    </w:lvl>
  </w:abstractNum>
  <w:abstractNum w:abstractNumId="9">
    <w:multiLevelType w:val="hybridMultilevel"/>
    <w:lvl w:ilvl="0">
      <w:start w:val="1"/>
      <w:numFmt w:val="decimal"/>
      <w:lvlText w:val="（%1）"/>
      <w:lvlJc w:val="left"/>
      <w:pPr>
        <w:ind w:left="800" w:hanging="663"/>
        <w:jc w:val="left"/>
      </w:pPr>
      <w:rPr>
        <w:rFonts w:hint="default" w:ascii="宋体" w:hAnsi="宋体" w:eastAsia="宋体" w:cs="宋体"/>
        <w:w w:val="100"/>
        <w:sz w:val="22"/>
        <w:szCs w:val="22"/>
      </w:rPr>
    </w:lvl>
    <w:lvl w:ilvl="1">
      <w:start w:val="0"/>
      <w:numFmt w:val="bullet"/>
      <w:lvlText w:val="•"/>
      <w:lvlJc w:val="left"/>
      <w:pPr>
        <w:ind w:left="1734" w:hanging="663"/>
      </w:pPr>
      <w:rPr>
        <w:rFonts w:hint="default"/>
      </w:rPr>
    </w:lvl>
    <w:lvl w:ilvl="2">
      <w:start w:val="0"/>
      <w:numFmt w:val="bullet"/>
      <w:lvlText w:val="•"/>
      <w:lvlJc w:val="left"/>
      <w:pPr>
        <w:ind w:left="2669" w:hanging="663"/>
      </w:pPr>
      <w:rPr>
        <w:rFonts w:hint="default"/>
      </w:rPr>
    </w:lvl>
    <w:lvl w:ilvl="3">
      <w:start w:val="0"/>
      <w:numFmt w:val="bullet"/>
      <w:lvlText w:val="•"/>
      <w:lvlJc w:val="left"/>
      <w:pPr>
        <w:ind w:left="3603" w:hanging="663"/>
      </w:pPr>
      <w:rPr>
        <w:rFonts w:hint="default"/>
      </w:rPr>
    </w:lvl>
    <w:lvl w:ilvl="4">
      <w:start w:val="0"/>
      <w:numFmt w:val="bullet"/>
      <w:lvlText w:val="•"/>
      <w:lvlJc w:val="left"/>
      <w:pPr>
        <w:ind w:left="4538" w:hanging="663"/>
      </w:pPr>
      <w:rPr>
        <w:rFonts w:hint="default"/>
      </w:rPr>
    </w:lvl>
    <w:lvl w:ilvl="5">
      <w:start w:val="0"/>
      <w:numFmt w:val="bullet"/>
      <w:lvlText w:val="•"/>
      <w:lvlJc w:val="left"/>
      <w:pPr>
        <w:ind w:left="5473" w:hanging="663"/>
      </w:pPr>
      <w:rPr>
        <w:rFonts w:hint="default"/>
      </w:rPr>
    </w:lvl>
    <w:lvl w:ilvl="6">
      <w:start w:val="0"/>
      <w:numFmt w:val="bullet"/>
      <w:lvlText w:val="•"/>
      <w:lvlJc w:val="left"/>
      <w:pPr>
        <w:ind w:left="6407" w:hanging="663"/>
      </w:pPr>
      <w:rPr>
        <w:rFonts w:hint="default"/>
      </w:rPr>
    </w:lvl>
    <w:lvl w:ilvl="7">
      <w:start w:val="0"/>
      <w:numFmt w:val="bullet"/>
      <w:lvlText w:val="•"/>
      <w:lvlJc w:val="left"/>
      <w:pPr>
        <w:ind w:left="7342" w:hanging="663"/>
      </w:pPr>
      <w:rPr>
        <w:rFonts w:hint="default"/>
      </w:rPr>
    </w:lvl>
    <w:lvl w:ilvl="8">
      <w:start w:val="0"/>
      <w:numFmt w:val="bullet"/>
      <w:lvlText w:val="•"/>
      <w:lvlJc w:val="left"/>
      <w:pPr>
        <w:ind w:left="8277" w:hanging="663"/>
      </w:pPr>
      <w:rPr>
        <w:rFonts w:hint="default"/>
      </w:rPr>
    </w:lvl>
  </w:abstractNum>
  <w:abstractNum w:abstractNumId="8">
    <w:multiLevelType w:val="hybridMultilevel"/>
    <w:lvl w:ilvl="0">
      <w:start w:val="1"/>
      <w:numFmt w:val="decimal"/>
      <w:lvlText w:val="%1."/>
      <w:lvlJc w:val="left"/>
      <w:pPr>
        <w:ind w:left="469" w:hanging="332"/>
        <w:jc w:val="right"/>
      </w:pPr>
      <w:rPr>
        <w:rFonts w:hint="default" w:ascii="宋体" w:hAnsi="宋体" w:eastAsia="宋体" w:cs="宋体"/>
        <w:b/>
        <w:bCs/>
        <w:w w:val="99"/>
        <w:sz w:val="22"/>
        <w:szCs w:val="22"/>
      </w:rPr>
    </w:lvl>
    <w:lvl w:ilvl="1">
      <w:start w:val="0"/>
      <w:numFmt w:val="bullet"/>
      <w:lvlText w:val="•"/>
      <w:lvlJc w:val="left"/>
      <w:pPr>
        <w:ind w:left="700" w:hanging="332"/>
      </w:pPr>
      <w:rPr>
        <w:rFonts w:hint="default"/>
      </w:rPr>
    </w:lvl>
    <w:lvl w:ilvl="2">
      <w:start w:val="0"/>
      <w:numFmt w:val="bullet"/>
      <w:lvlText w:val="•"/>
      <w:lvlJc w:val="left"/>
      <w:pPr>
        <w:ind w:left="1742" w:hanging="332"/>
      </w:pPr>
      <w:rPr>
        <w:rFonts w:hint="default"/>
      </w:rPr>
    </w:lvl>
    <w:lvl w:ilvl="3">
      <w:start w:val="0"/>
      <w:numFmt w:val="bullet"/>
      <w:lvlText w:val="•"/>
      <w:lvlJc w:val="left"/>
      <w:pPr>
        <w:ind w:left="2785" w:hanging="332"/>
      </w:pPr>
      <w:rPr>
        <w:rFonts w:hint="default"/>
      </w:rPr>
    </w:lvl>
    <w:lvl w:ilvl="4">
      <w:start w:val="0"/>
      <w:numFmt w:val="bullet"/>
      <w:lvlText w:val="•"/>
      <w:lvlJc w:val="left"/>
      <w:pPr>
        <w:ind w:left="3828" w:hanging="332"/>
      </w:pPr>
      <w:rPr>
        <w:rFonts w:hint="default"/>
      </w:rPr>
    </w:lvl>
    <w:lvl w:ilvl="5">
      <w:start w:val="0"/>
      <w:numFmt w:val="bullet"/>
      <w:lvlText w:val="•"/>
      <w:lvlJc w:val="left"/>
      <w:pPr>
        <w:ind w:left="4871" w:hanging="332"/>
      </w:pPr>
      <w:rPr>
        <w:rFonts w:hint="default"/>
      </w:rPr>
    </w:lvl>
    <w:lvl w:ilvl="6">
      <w:start w:val="0"/>
      <w:numFmt w:val="bullet"/>
      <w:lvlText w:val="•"/>
      <w:lvlJc w:val="left"/>
      <w:pPr>
        <w:ind w:left="5914" w:hanging="332"/>
      </w:pPr>
      <w:rPr>
        <w:rFonts w:hint="default"/>
      </w:rPr>
    </w:lvl>
    <w:lvl w:ilvl="7">
      <w:start w:val="0"/>
      <w:numFmt w:val="bullet"/>
      <w:lvlText w:val="•"/>
      <w:lvlJc w:val="left"/>
      <w:pPr>
        <w:ind w:left="6957" w:hanging="332"/>
      </w:pPr>
      <w:rPr>
        <w:rFonts w:hint="default"/>
      </w:rPr>
    </w:lvl>
    <w:lvl w:ilvl="8">
      <w:start w:val="0"/>
      <w:numFmt w:val="bullet"/>
      <w:lvlText w:val="•"/>
      <w:lvlJc w:val="left"/>
      <w:pPr>
        <w:ind w:left="8000" w:hanging="332"/>
      </w:pPr>
      <w:rPr>
        <w:rFonts w:hint="default"/>
      </w:rPr>
    </w:lvl>
  </w:abstractNum>
  <w:abstractNum w:abstractNumId="7">
    <w:multiLevelType w:val="hybridMultilevel"/>
    <w:lvl w:ilvl="0">
      <w:start w:val="10"/>
      <w:numFmt w:val="decimal"/>
      <w:lvlText w:val="（%1）"/>
      <w:lvlJc w:val="left"/>
      <w:pPr>
        <w:ind w:left="846" w:hanging="709"/>
        <w:jc w:val="left"/>
      </w:pPr>
      <w:rPr>
        <w:rFonts w:hint="default" w:ascii="宋体" w:hAnsi="宋体" w:eastAsia="宋体" w:cs="宋体"/>
        <w:w w:val="100"/>
        <w:sz w:val="22"/>
        <w:szCs w:val="22"/>
      </w:rPr>
    </w:lvl>
    <w:lvl w:ilvl="1">
      <w:start w:val="0"/>
      <w:numFmt w:val="bullet"/>
      <w:lvlText w:val="•"/>
      <w:lvlJc w:val="left"/>
      <w:pPr>
        <w:ind w:left="1766" w:hanging="709"/>
      </w:pPr>
      <w:rPr>
        <w:rFonts w:hint="default"/>
      </w:rPr>
    </w:lvl>
    <w:lvl w:ilvl="2">
      <w:start w:val="0"/>
      <w:numFmt w:val="bullet"/>
      <w:lvlText w:val="•"/>
      <w:lvlJc w:val="left"/>
      <w:pPr>
        <w:ind w:left="2693" w:hanging="709"/>
      </w:pPr>
      <w:rPr>
        <w:rFonts w:hint="default"/>
      </w:rPr>
    </w:lvl>
    <w:lvl w:ilvl="3">
      <w:start w:val="0"/>
      <w:numFmt w:val="bullet"/>
      <w:lvlText w:val="•"/>
      <w:lvlJc w:val="left"/>
      <w:pPr>
        <w:ind w:left="3619" w:hanging="709"/>
      </w:pPr>
      <w:rPr>
        <w:rFonts w:hint="default"/>
      </w:rPr>
    </w:lvl>
    <w:lvl w:ilvl="4">
      <w:start w:val="0"/>
      <w:numFmt w:val="bullet"/>
      <w:lvlText w:val="•"/>
      <w:lvlJc w:val="left"/>
      <w:pPr>
        <w:ind w:left="4546" w:hanging="709"/>
      </w:pPr>
      <w:rPr>
        <w:rFonts w:hint="default"/>
      </w:rPr>
    </w:lvl>
    <w:lvl w:ilvl="5">
      <w:start w:val="0"/>
      <w:numFmt w:val="bullet"/>
      <w:lvlText w:val="•"/>
      <w:lvlJc w:val="left"/>
      <w:pPr>
        <w:ind w:left="5473" w:hanging="709"/>
      </w:pPr>
      <w:rPr>
        <w:rFonts w:hint="default"/>
      </w:rPr>
    </w:lvl>
    <w:lvl w:ilvl="6">
      <w:start w:val="0"/>
      <w:numFmt w:val="bullet"/>
      <w:lvlText w:val="•"/>
      <w:lvlJc w:val="left"/>
      <w:pPr>
        <w:ind w:left="6399" w:hanging="709"/>
      </w:pPr>
      <w:rPr>
        <w:rFonts w:hint="default"/>
      </w:rPr>
    </w:lvl>
    <w:lvl w:ilvl="7">
      <w:start w:val="0"/>
      <w:numFmt w:val="bullet"/>
      <w:lvlText w:val="•"/>
      <w:lvlJc w:val="left"/>
      <w:pPr>
        <w:ind w:left="7326" w:hanging="709"/>
      </w:pPr>
      <w:rPr>
        <w:rFonts w:hint="default"/>
      </w:rPr>
    </w:lvl>
    <w:lvl w:ilvl="8">
      <w:start w:val="0"/>
      <w:numFmt w:val="bullet"/>
      <w:lvlText w:val="•"/>
      <w:lvlJc w:val="left"/>
      <w:pPr>
        <w:ind w:left="8253" w:hanging="709"/>
      </w:pPr>
      <w:rPr>
        <w:rFonts w:hint="default"/>
      </w:rPr>
    </w:lvl>
  </w:abstractNum>
  <w:abstractNum w:abstractNumId="6">
    <w:multiLevelType w:val="hybridMultilevel"/>
    <w:lvl w:ilvl="0">
      <w:start w:val="4"/>
      <w:numFmt w:val="decimal"/>
      <w:lvlText w:val="%1"/>
      <w:lvlJc w:val="left"/>
      <w:pPr>
        <w:ind w:left="602" w:hanging="486"/>
        <w:jc w:val="left"/>
      </w:pPr>
      <w:rPr>
        <w:rFonts w:hint="default"/>
      </w:rPr>
    </w:lvl>
    <w:lvl w:ilvl="1">
      <w:start w:val="4"/>
      <w:numFmt w:val="decimal"/>
      <w:lvlText w:val="%1.%2"/>
      <w:lvlJc w:val="left"/>
      <w:pPr>
        <w:ind w:left="602" w:hanging="486"/>
        <w:jc w:val="left"/>
      </w:pPr>
      <w:rPr>
        <w:rFonts w:hint="default" w:ascii="宋体" w:hAnsi="宋体" w:eastAsia="宋体" w:cs="宋体"/>
        <w:b/>
        <w:bCs/>
        <w:spacing w:val="0"/>
        <w:w w:val="99"/>
        <w:sz w:val="24"/>
        <w:szCs w:val="24"/>
      </w:rPr>
    </w:lvl>
    <w:lvl w:ilvl="2">
      <w:start w:val="0"/>
      <w:numFmt w:val="bullet"/>
      <w:lvlText w:val="•"/>
      <w:lvlJc w:val="left"/>
      <w:pPr>
        <w:ind w:left="2557" w:hanging="486"/>
      </w:pPr>
      <w:rPr>
        <w:rFonts w:hint="default"/>
      </w:rPr>
    </w:lvl>
    <w:lvl w:ilvl="3">
      <w:start w:val="0"/>
      <w:numFmt w:val="bullet"/>
      <w:lvlText w:val="•"/>
      <w:lvlJc w:val="left"/>
      <w:pPr>
        <w:ind w:left="3535" w:hanging="486"/>
      </w:pPr>
      <w:rPr>
        <w:rFonts w:hint="default"/>
      </w:rPr>
    </w:lvl>
    <w:lvl w:ilvl="4">
      <w:start w:val="0"/>
      <w:numFmt w:val="bullet"/>
      <w:lvlText w:val="•"/>
      <w:lvlJc w:val="left"/>
      <w:pPr>
        <w:ind w:left="4514" w:hanging="486"/>
      </w:pPr>
      <w:rPr>
        <w:rFonts w:hint="default"/>
      </w:rPr>
    </w:lvl>
    <w:lvl w:ilvl="5">
      <w:start w:val="0"/>
      <w:numFmt w:val="bullet"/>
      <w:lvlText w:val="•"/>
      <w:lvlJc w:val="left"/>
      <w:pPr>
        <w:ind w:left="5493" w:hanging="486"/>
      </w:pPr>
      <w:rPr>
        <w:rFonts w:hint="default"/>
      </w:rPr>
    </w:lvl>
    <w:lvl w:ilvl="6">
      <w:start w:val="0"/>
      <w:numFmt w:val="bullet"/>
      <w:lvlText w:val="•"/>
      <w:lvlJc w:val="left"/>
      <w:pPr>
        <w:ind w:left="6471" w:hanging="486"/>
      </w:pPr>
      <w:rPr>
        <w:rFonts w:hint="default"/>
      </w:rPr>
    </w:lvl>
    <w:lvl w:ilvl="7">
      <w:start w:val="0"/>
      <w:numFmt w:val="bullet"/>
      <w:lvlText w:val="•"/>
      <w:lvlJc w:val="left"/>
      <w:pPr>
        <w:ind w:left="7450" w:hanging="486"/>
      </w:pPr>
      <w:rPr>
        <w:rFonts w:hint="default"/>
      </w:rPr>
    </w:lvl>
    <w:lvl w:ilvl="8">
      <w:start w:val="0"/>
      <w:numFmt w:val="bullet"/>
      <w:lvlText w:val="•"/>
      <w:lvlJc w:val="left"/>
      <w:pPr>
        <w:ind w:left="8429" w:hanging="486"/>
      </w:pPr>
      <w:rPr>
        <w:rFonts w:hint="default"/>
      </w:rPr>
    </w:lvl>
  </w:abstractNum>
  <w:abstractNum w:abstractNumId="5">
    <w:multiLevelType w:val="hybridMultilevel"/>
    <w:lvl w:ilvl="0">
      <w:start w:val="1"/>
      <w:numFmt w:val="decimal"/>
      <w:lvlText w:val="(%1)"/>
      <w:lvlJc w:val="left"/>
      <w:pPr>
        <w:ind w:left="978" w:hanging="413"/>
        <w:jc w:val="left"/>
      </w:pPr>
      <w:rPr>
        <w:rFonts w:hint="default" w:ascii="宋体" w:hAnsi="宋体" w:eastAsia="宋体" w:cs="宋体"/>
        <w:w w:val="100"/>
        <w:sz w:val="22"/>
        <w:szCs w:val="22"/>
      </w:rPr>
    </w:lvl>
    <w:lvl w:ilvl="1">
      <w:start w:val="0"/>
      <w:numFmt w:val="bullet"/>
      <w:lvlText w:val="•"/>
      <w:lvlJc w:val="left"/>
      <w:pPr>
        <w:ind w:left="1896" w:hanging="413"/>
      </w:pPr>
      <w:rPr>
        <w:rFonts w:hint="default"/>
      </w:rPr>
    </w:lvl>
    <w:lvl w:ilvl="2">
      <w:start w:val="0"/>
      <w:numFmt w:val="bullet"/>
      <w:lvlText w:val="•"/>
      <w:lvlJc w:val="left"/>
      <w:pPr>
        <w:ind w:left="2813" w:hanging="413"/>
      </w:pPr>
      <w:rPr>
        <w:rFonts w:hint="default"/>
      </w:rPr>
    </w:lvl>
    <w:lvl w:ilvl="3">
      <w:start w:val="0"/>
      <w:numFmt w:val="bullet"/>
      <w:lvlText w:val="•"/>
      <w:lvlJc w:val="left"/>
      <w:pPr>
        <w:ind w:left="3729" w:hanging="413"/>
      </w:pPr>
      <w:rPr>
        <w:rFonts w:hint="default"/>
      </w:rPr>
    </w:lvl>
    <w:lvl w:ilvl="4">
      <w:start w:val="0"/>
      <w:numFmt w:val="bullet"/>
      <w:lvlText w:val="•"/>
      <w:lvlJc w:val="left"/>
      <w:pPr>
        <w:ind w:left="4646" w:hanging="413"/>
      </w:pPr>
      <w:rPr>
        <w:rFonts w:hint="default"/>
      </w:rPr>
    </w:lvl>
    <w:lvl w:ilvl="5">
      <w:start w:val="0"/>
      <w:numFmt w:val="bullet"/>
      <w:lvlText w:val="•"/>
      <w:lvlJc w:val="left"/>
      <w:pPr>
        <w:ind w:left="5563" w:hanging="413"/>
      </w:pPr>
      <w:rPr>
        <w:rFonts w:hint="default"/>
      </w:rPr>
    </w:lvl>
    <w:lvl w:ilvl="6">
      <w:start w:val="0"/>
      <w:numFmt w:val="bullet"/>
      <w:lvlText w:val="•"/>
      <w:lvlJc w:val="left"/>
      <w:pPr>
        <w:ind w:left="6479" w:hanging="413"/>
      </w:pPr>
      <w:rPr>
        <w:rFonts w:hint="default"/>
      </w:rPr>
    </w:lvl>
    <w:lvl w:ilvl="7">
      <w:start w:val="0"/>
      <w:numFmt w:val="bullet"/>
      <w:lvlText w:val="•"/>
      <w:lvlJc w:val="left"/>
      <w:pPr>
        <w:ind w:left="7396" w:hanging="413"/>
      </w:pPr>
      <w:rPr>
        <w:rFonts w:hint="default"/>
      </w:rPr>
    </w:lvl>
    <w:lvl w:ilvl="8">
      <w:start w:val="0"/>
      <w:numFmt w:val="bullet"/>
      <w:lvlText w:val="•"/>
      <w:lvlJc w:val="left"/>
      <w:pPr>
        <w:ind w:left="8313" w:hanging="413"/>
      </w:pPr>
      <w:rPr>
        <w:rFonts w:hint="default"/>
      </w:rPr>
    </w:lvl>
  </w:abstractNum>
  <w:abstractNum w:abstractNumId="4">
    <w:multiLevelType w:val="hybridMultilevel"/>
    <w:lvl w:ilvl="0">
      <w:start w:val="1"/>
      <w:numFmt w:val="decimal"/>
      <w:lvlText w:val="(%1)"/>
      <w:lvlJc w:val="left"/>
      <w:pPr>
        <w:ind w:left="545" w:hanging="421"/>
        <w:jc w:val="left"/>
      </w:pPr>
      <w:rPr>
        <w:rFonts w:hint="default" w:ascii="黑体" w:hAnsi="黑体" w:eastAsia="黑体" w:cs="黑体"/>
        <w:w w:val="100"/>
        <w:sz w:val="22"/>
        <w:szCs w:val="22"/>
      </w:rPr>
    </w:lvl>
    <w:lvl w:ilvl="1">
      <w:start w:val="0"/>
      <w:numFmt w:val="bullet"/>
      <w:lvlText w:val="•"/>
      <w:lvlJc w:val="left"/>
      <w:pPr>
        <w:ind w:left="1496" w:hanging="421"/>
      </w:pPr>
      <w:rPr>
        <w:rFonts w:hint="default"/>
      </w:rPr>
    </w:lvl>
    <w:lvl w:ilvl="2">
      <w:start w:val="0"/>
      <w:numFmt w:val="bullet"/>
      <w:lvlText w:val="•"/>
      <w:lvlJc w:val="left"/>
      <w:pPr>
        <w:ind w:left="2453" w:hanging="421"/>
      </w:pPr>
      <w:rPr>
        <w:rFonts w:hint="default"/>
      </w:rPr>
    </w:lvl>
    <w:lvl w:ilvl="3">
      <w:start w:val="0"/>
      <w:numFmt w:val="bullet"/>
      <w:lvlText w:val="•"/>
      <w:lvlJc w:val="left"/>
      <w:pPr>
        <w:ind w:left="3409" w:hanging="421"/>
      </w:pPr>
      <w:rPr>
        <w:rFonts w:hint="default"/>
      </w:rPr>
    </w:lvl>
    <w:lvl w:ilvl="4">
      <w:start w:val="0"/>
      <w:numFmt w:val="bullet"/>
      <w:lvlText w:val="•"/>
      <w:lvlJc w:val="left"/>
      <w:pPr>
        <w:ind w:left="4366" w:hanging="421"/>
      </w:pPr>
      <w:rPr>
        <w:rFonts w:hint="default"/>
      </w:rPr>
    </w:lvl>
    <w:lvl w:ilvl="5">
      <w:start w:val="0"/>
      <w:numFmt w:val="bullet"/>
      <w:lvlText w:val="•"/>
      <w:lvlJc w:val="left"/>
      <w:pPr>
        <w:ind w:left="5323" w:hanging="421"/>
      </w:pPr>
      <w:rPr>
        <w:rFonts w:hint="default"/>
      </w:rPr>
    </w:lvl>
    <w:lvl w:ilvl="6">
      <w:start w:val="0"/>
      <w:numFmt w:val="bullet"/>
      <w:lvlText w:val="•"/>
      <w:lvlJc w:val="left"/>
      <w:pPr>
        <w:ind w:left="6279" w:hanging="421"/>
      </w:pPr>
      <w:rPr>
        <w:rFonts w:hint="default"/>
      </w:rPr>
    </w:lvl>
    <w:lvl w:ilvl="7">
      <w:start w:val="0"/>
      <w:numFmt w:val="bullet"/>
      <w:lvlText w:val="•"/>
      <w:lvlJc w:val="left"/>
      <w:pPr>
        <w:ind w:left="7236" w:hanging="421"/>
      </w:pPr>
      <w:rPr>
        <w:rFonts w:hint="default"/>
      </w:rPr>
    </w:lvl>
    <w:lvl w:ilvl="8">
      <w:start w:val="0"/>
      <w:numFmt w:val="bullet"/>
      <w:lvlText w:val="•"/>
      <w:lvlJc w:val="left"/>
      <w:pPr>
        <w:ind w:left="8193" w:hanging="421"/>
      </w:pPr>
      <w:rPr>
        <w:rFonts w:hint="default"/>
      </w:rPr>
    </w:lvl>
  </w:abstractNum>
  <w:abstractNum w:abstractNumId="3">
    <w:multiLevelType w:val="hybridMultilevel"/>
    <w:lvl w:ilvl="0">
      <w:start w:val="1"/>
      <w:numFmt w:val="decimal"/>
      <w:lvlText w:val="%1."/>
      <w:lvlJc w:val="left"/>
      <w:pPr>
        <w:ind w:left="558" w:hanging="421"/>
        <w:jc w:val="left"/>
      </w:pPr>
      <w:rPr>
        <w:rFonts w:hint="default" w:ascii="宋体" w:hAnsi="宋体" w:eastAsia="宋体" w:cs="宋体"/>
        <w:b/>
        <w:bCs/>
        <w:spacing w:val="0"/>
        <w:w w:val="99"/>
        <w:sz w:val="28"/>
        <w:szCs w:val="28"/>
      </w:rPr>
    </w:lvl>
    <w:lvl w:ilvl="1">
      <w:start w:val="1"/>
      <w:numFmt w:val="decimal"/>
      <w:lvlText w:val="%1.%2"/>
      <w:lvlJc w:val="left"/>
      <w:pPr>
        <w:ind w:left="622" w:hanging="486"/>
        <w:jc w:val="left"/>
      </w:pPr>
      <w:rPr>
        <w:rFonts w:hint="default"/>
        <w:b/>
        <w:bCs/>
        <w:spacing w:val="0"/>
        <w:w w:val="99"/>
      </w:rPr>
    </w:lvl>
    <w:lvl w:ilvl="2">
      <w:start w:val="1"/>
      <w:numFmt w:val="decimal"/>
      <w:lvlText w:val="%1.%2.%3"/>
      <w:lvlJc w:val="left"/>
      <w:pPr>
        <w:ind w:left="802" w:hanging="486"/>
        <w:jc w:val="left"/>
      </w:pPr>
      <w:rPr>
        <w:rFonts w:hint="default" w:ascii="宋体" w:hAnsi="宋体" w:eastAsia="宋体" w:cs="宋体"/>
        <w:b/>
        <w:bCs/>
        <w:w w:val="99"/>
        <w:sz w:val="22"/>
        <w:szCs w:val="22"/>
      </w:rPr>
    </w:lvl>
    <w:lvl w:ilvl="3">
      <w:start w:val="0"/>
      <w:numFmt w:val="bullet"/>
      <w:lvlText w:val="•"/>
      <w:lvlJc w:val="left"/>
      <w:pPr>
        <w:ind w:left="800" w:hanging="486"/>
      </w:pPr>
      <w:rPr>
        <w:rFonts w:hint="default"/>
      </w:rPr>
    </w:lvl>
    <w:lvl w:ilvl="4">
      <w:start w:val="0"/>
      <w:numFmt w:val="bullet"/>
      <w:lvlText w:val="•"/>
      <w:lvlJc w:val="left"/>
      <w:pPr>
        <w:ind w:left="2126" w:hanging="486"/>
      </w:pPr>
      <w:rPr>
        <w:rFonts w:hint="default"/>
      </w:rPr>
    </w:lvl>
    <w:lvl w:ilvl="5">
      <w:start w:val="0"/>
      <w:numFmt w:val="bullet"/>
      <w:lvlText w:val="•"/>
      <w:lvlJc w:val="left"/>
      <w:pPr>
        <w:ind w:left="3453" w:hanging="486"/>
      </w:pPr>
      <w:rPr>
        <w:rFonts w:hint="default"/>
      </w:rPr>
    </w:lvl>
    <w:lvl w:ilvl="6">
      <w:start w:val="0"/>
      <w:numFmt w:val="bullet"/>
      <w:lvlText w:val="•"/>
      <w:lvlJc w:val="left"/>
      <w:pPr>
        <w:ind w:left="4779" w:hanging="486"/>
      </w:pPr>
      <w:rPr>
        <w:rFonts w:hint="default"/>
      </w:rPr>
    </w:lvl>
    <w:lvl w:ilvl="7">
      <w:start w:val="0"/>
      <w:numFmt w:val="bullet"/>
      <w:lvlText w:val="•"/>
      <w:lvlJc w:val="left"/>
      <w:pPr>
        <w:ind w:left="6106" w:hanging="486"/>
      </w:pPr>
      <w:rPr>
        <w:rFonts w:hint="default"/>
      </w:rPr>
    </w:lvl>
    <w:lvl w:ilvl="8">
      <w:start w:val="0"/>
      <w:numFmt w:val="bullet"/>
      <w:lvlText w:val="•"/>
      <w:lvlJc w:val="left"/>
      <w:pPr>
        <w:ind w:left="7433" w:hanging="486"/>
      </w:pPr>
      <w:rPr>
        <w:rFonts w:hint="default"/>
      </w:rPr>
    </w:lvl>
  </w:abstractNum>
  <w:abstractNum w:abstractNumId="2">
    <w:multiLevelType w:val="hybridMultilevel"/>
    <w:lvl w:ilvl="0">
      <w:start w:val="10"/>
      <w:numFmt w:val="decimal"/>
      <w:lvlText w:val="%1."/>
      <w:lvlJc w:val="left"/>
      <w:pPr>
        <w:ind w:left="514" w:hanging="361"/>
        <w:jc w:val="left"/>
      </w:pPr>
      <w:rPr>
        <w:rFonts w:hint="default" w:ascii="宋体" w:hAnsi="宋体" w:eastAsia="宋体" w:cs="宋体"/>
        <w:b/>
        <w:bCs/>
        <w:spacing w:val="0"/>
        <w:w w:val="98"/>
        <w:sz w:val="20"/>
        <w:szCs w:val="20"/>
      </w:rPr>
    </w:lvl>
    <w:lvl w:ilvl="1">
      <w:start w:val="0"/>
      <w:numFmt w:val="bullet"/>
      <w:lvlText w:val="•"/>
      <w:lvlJc w:val="left"/>
      <w:pPr>
        <w:ind w:left="640" w:hanging="361"/>
      </w:pPr>
      <w:rPr>
        <w:rFonts w:hint="default"/>
      </w:rPr>
    </w:lvl>
    <w:lvl w:ilvl="2">
      <w:start w:val="0"/>
      <w:numFmt w:val="bullet"/>
      <w:lvlText w:val="•"/>
      <w:lvlJc w:val="left"/>
      <w:pPr>
        <w:ind w:left="760" w:hanging="361"/>
      </w:pPr>
      <w:rPr>
        <w:rFonts w:hint="default"/>
      </w:rPr>
    </w:lvl>
    <w:lvl w:ilvl="3">
      <w:start w:val="0"/>
      <w:numFmt w:val="bullet"/>
      <w:lvlText w:val="•"/>
      <w:lvlJc w:val="left"/>
      <w:pPr>
        <w:ind w:left="880" w:hanging="361"/>
      </w:pPr>
      <w:rPr>
        <w:rFonts w:hint="default"/>
      </w:rPr>
    </w:lvl>
    <w:lvl w:ilvl="4">
      <w:start w:val="0"/>
      <w:numFmt w:val="bullet"/>
      <w:lvlText w:val="•"/>
      <w:lvlJc w:val="left"/>
      <w:pPr>
        <w:ind w:left="1000" w:hanging="361"/>
      </w:pPr>
      <w:rPr>
        <w:rFonts w:hint="default"/>
      </w:rPr>
    </w:lvl>
    <w:lvl w:ilvl="5">
      <w:start w:val="0"/>
      <w:numFmt w:val="bullet"/>
      <w:lvlText w:val="•"/>
      <w:lvlJc w:val="left"/>
      <w:pPr>
        <w:ind w:left="1120" w:hanging="361"/>
      </w:pPr>
      <w:rPr>
        <w:rFonts w:hint="default"/>
      </w:rPr>
    </w:lvl>
    <w:lvl w:ilvl="6">
      <w:start w:val="0"/>
      <w:numFmt w:val="bullet"/>
      <w:lvlText w:val="•"/>
      <w:lvlJc w:val="left"/>
      <w:pPr>
        <w:ind w:left="1240" w:hanging="361"/>
      </w:pPr>
      <w:rPr>
        <w:rFonts w:hint="default"/>
      </w:rPr>
    </w:lvl>
    <w:lvl w:ilvl="7">
      <w:start w:val="0"/>
      <w:numFmt w:val="bullet"/>
      <w:lvlText w:val="•"/>
      <w:lvlJc w:val="left"/>
      <w:pPr>
        <w:ind w:left="1360" w:hanging="361"/>
      </w:pPr>
      <w:rPr>
        <w:rFonts w:hint="default"/>
      </w:rPr>
    </w:lvl>
    <w:lvl w:ilvl="8">
      <w:start w:val="0"/>
      <w:numFmt w:val="bullet"/>
      <w:lvlText w:val="•"/>
      <w:lvlJc w:val="left"/>
      <w:pPr>
        <w:ind w:left="1480" w:hanging="361"/>
      </w:pPr>
      <w:rPr>
        <w:rFonts w:hint="default"/>
      </w:rPr>
    </w:lvl>
  </w:abstractNum>
  <w:abstractNum w:abstractNumId="1">
    <w:multiLevelType w:val="hybridMultilevel"/>
    <w:lvl w:ilvl="0">
      <w:start w:val="4"/>
      <w:numFmt w:val="decimal"/>
      <w:lvlText w:val="%1"/>
      <w:lvlJc w:val="left"/>
      <w:pPr>
        <w:ind w:left="574" w:hanging="421"/>
        <w:jc w:val="left"/>
      </w:pPr>
      <w:rPr>
        <w:rFonts w:hint="default"/>
      </w:rPr>
    </w:lvl>
    <w:lvl w:ilvl="1">
      <w:start w:val="4"/>
      <w:numFmt w:val="decimal"/>
      <w:lvlText w:val="%1.%2"/>
      <w:lvlJc w:val="left"/>
      <w:pPr>
        <w:ind w:left="574" w:hanging="421"/>
        <w:jc w:val="left"/>
      </w:pPr>
      <w:rPr>
        <w:rFonts w:hint="default" w:ascii="宋体" w:hAnsi="宋体" w:eastAsia="宋体" w:cs="宋体"/>
        <w:spacing w:val="0"/>
        <w:w w:val="99"/>
        <w:sz w:val="20"/>
        <w:szCs w:val="20"/>
      </w:rPr>
    </w:lvl>
    <w:lvl w:ilvl="2">
      <w:start w:val="0"/>
      <w:numFmt w:val="bullet"/>
      <w:lvlText w:val="•"/>
      <w:lvlJc w:val="left"/>
      <w:pPr>
        <w:ind w:left="778" w:hanging="421"/>
      </w:pPr>
      <w:rPr>
        <w:rFonts w:hint="default"/>
      </w:rPr>
    </w:lvl>
    <w:lvl w:ilvl="3">
      <w:start w:val="0"/>
      <w:numFmt w:val="bullet"/>
      <w:lvlText w:val="•"/>
      <w:lvlJc w:val="left"/>
      <w:pPr>
        <w:ind w:left="877" w:hanging="421"/>
      </w:pPr>
      <w:rPr>
        <w:rFonts w:hint="default"/>
      </w:rPr>
    </w:lvl>
    <w:lvl w:ilvl="4">
      <w:start w:val="0"/>
      <w:numFmt w:val="bullet"/>
      <w:lvlText w:val="•"/>
      <w:lvlJc w:val="left"/>
      <w:pPr>
        <w:ind w:left="976" w:hanging="421"/>
      </w:pPr>
      <w:rPr>
        <w:rFonts w:hint="default"/>
      </w:rPr>
    </w:lvl>
    <w:lvl w:ilvl="5">
      <w:start w:val="0"/>
      <w:numFmt w:val="bullet"/>
      <w:lvlText w:val="•"/>
      <w:lvlJc w:val="left"/>
      <w:pPr>
        <w:ind w:left="1076" w:hanging="421"/>
      </w:pPr>
      <w:rPr>
        <w:rFonts w:hint="default"/>
      </w:rPr>
    </w:lvl>
    <w:lvl w:ilvl="6">
      <w:start w:val="0"/>
      <w:numFmt w:val="bullet"/>
      <w:lvlText w:val="•"/>
      <w:lvlJc w:val="left"/>
      <w:pPr>
        <w:ind w:left="1175" w:hanging="421"/>
      </w:pPr>
      <w:rPr>
        <w:rFonts w:hint="default"/>
      </w:rPr>
    </w:lvl>
    <w:lvl w:ilvl="7">
      <w:start w:val="0"/>
      <w:numFmt w:val="bullet"/>
      <w:lvlText w:val="•"/>
      <w:lvlJc w:val="left"/>
      <w:pPr>
        <w:ind w:left="1274" w:hanging="421"/>
      </w:pPr>
      <w:rPr>
        <w:rFonts w:hint="default"/>
      </w:rPr>
    </w:lvl>
    <w:lvl w:ilvl="8">
      <w:start w:val="0"/>
      <w:numFmt w:val="bullet"/>
      <w:lvlText w:val="•"/>
      <w:lvlJc w:val="left"/>
      <w:pPr>
        <w:ind w:left="1373" w:hanging="421"/>
      </w:pPr>
      <w:rPr>
        <w:rFonts w:hint="default"/>
      </w:rPr>
    </w:lvl>
  </w:abstractNum>
  <w:abstractNum w:abstractNumId="0">
    <w:multiLevelType w:val="hybridMultilevel"/>
    <w:lvl w:ilvl="0">
      <w:start w:val="1"/>
      <w:numFmt w:val="decimal"/>
      <w:lvlText w:val="%1."/>
      <w:lvlJc w:val="left"/>
      <w:pPr>
        <w:ind w:left="514" w:hanging="361"/>
        <w:jc w:val="left"/>
      </w:pPr>
      <w:rPr>
        <w:rFonts w:hint="default" w:ascii="宋体" w:hAnsi="宋体" w:eastAsia="宋体" w:cs="宋体"/>
        <w:b/>
        <w:bCs/>
        <w:spacing w:val="0"/>
        <w:w w:val="98"/>
        <w:sz w:val="20"/>
        <w:szCs w:val="20"/>
      </w:rPr>
    </w:lvl>
    <w:lvl w:ilvl="1">
      <w:start w:val="1"/>
      <w:numFmt w:val="decimal"/>
      <w:lvlText w:val="%1.%2"/>
      <w:lvlJc w:val="left"/>
      <w:pPr>
        <w:ind w:left="574" w:hanging="421"/>
        <w:jc w:val="left"/>
      </w:pPr>
      <w:rPr>
        <w:rFonts w:hint="default" w:ascii="宋体" w:hAnsi="宋体" w:eastAsia="宋体" w:cs="宋体"/>
        <w:spacing w:val="0"/>
        <w:w w:val="99"/>
        <w:sz w:val="20"/>
        <w:szCs w:val="20"/>
      </w:rPr>
    </w:lvl>
    <w:lvl w:ilvl="2">
      <w:start w:val="0"/>
      <w:numFmt w:val="bullet"/>
      <w:lvlText w:val="•"/>
      <w:lvlJc w:val="left"/>
      <w:pPr>
        <w:ind w:left="773" w:hanging="421"/>
      </w:pPr>
      <w:rPr>
        <w:rFonts w:hint="default"/>
      </w:rPr>
    </w:lvl>
    <w:lvl w:ilvl="3">
      <w:start w:val="0"/>
      <w:numFmt w:val="bullet"/>
      <w:lvlText w:val="•"/>
      <w:lvlJc w:val="left"/>
      <w:pPr>
        <w:ind w:left="966" w:hanging="421"/>
      </w:pPr>
      <w:rPr>
        <w:rFonts w:hint="default"/>
      </w:rPr>
    </w:lvl>
    <w:lvl w:ilvl="4">
      <w:start w:val="0"/>
      <w:numFmt w:val="bullet"/>
      <w:lvlText w:val="•"/>
      <w:lvlJc w:val="left"/>
      <w:pPr>
        <w:ind w:left="1160" w:hanging="421"/>
      </w:pPr>
      <w:rPr>
        <w:rFonts w:hint="default"/>
      </w:rPr>
    </w:lvl>
    <w:lvl w:ilvl="5">
      <w:start w:val="0"/>
      <w:numFmt w:val="bullet"/>
      <w:lvlText w:val="•"/>
      <w:lvlJc w:val="left"/>
      <w:pPr>
        <w:ind w:left="1353" w:hanging="421"/>
      </w:pPr>
      <w:rPr>
        <w:rFonts w:hint="default"/>
      </w:rPr>
    </w:lvl>
    <w:lvl w:ilvl="6">
      <w:start w:val="0"/>
      <w:numFmt w:val="bullet"/>
      <w:lvlText w:val="•"/>
      <w:lvlJc w:val="left"/>
      <w:pPr>
        <w:ind w:left="1546" w:hanging="421"/>
      </w:pPr>
      <w:rPr>
        <w:rFonts w:hint="default"/>
      </w:rPr>
    </w:lvl>
    <w:lvl w:ilvl="7">
      <w:start w:val="0"/>
      <w:numFmt w:val="bullet"/>
      <w:lvlText w:val="•"/>
      <w:lvlJc w:val="left"/>
      <w:pPr>
        <w:ind w:left="1740" w:hanging="421"/>
      </w:pPr>
      <w:rPr>
        <w:rFonts w:hint="default"/>
      </w:rPr>
    </w:lvl>
    <w:lvl w:ilvl="8">
      <w:start w:val="0"/>
      <w:numFmt w:val="bullet"/>
      <w:lvlText w:val="•"/>
      <w:lvlJc w:val="left"/>
      <w:pPr>
        <w:ind w:left="1933" w:hanging="421"/>
      </w:pPr>
      <w:rPr>
        <w:rFonts w:hint="default"/>
      </w:rPr>
    </w:lvl>
  </w:abstract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24"/>
      <w:ind w:left="117"/>
    </w:pPr>
    <w:rPr>
      <w:rFonts w:ascii="宋体" w:hAnsi="宋体" w:eastAsia="宋体" w:cs="宋体"/>
      <w:sz w:val="22"/>
      <w:szCs w:val="22"/>
    </w:rPr>
  </w:style>
  <w:style w:styleId="Heading1" w:type="paragraph">
    <w:name w:val="Heading 1"/>
    <w:basedOn w:val="Normal"/>
    <w:uiPriority w:val="1"/>
    <w:qFormat/>
    <w:pPr>
      <w:ind w:left="1801"/>
      <w:outlineLvl w:val="1"/>
    </w:pPr>
    <w:rPr>
      <w:rFonts w:ascii="宋体" w:hAnsi="宋体" w:eastAsia="宋体" w:cs="宋体"/>
      <w:b/>
      <w:bCs/>
      <w:sz w:val="36"/>
      <w:szCs w:val="36"/>
    </w:rPr>
  </w:style>
  <w:style w:styleId="Heading2" w:type="paragraph">
    <w:name w:val="Heading 2"/>
    <w:basedOn w:val="Normal"/>
    <w:uiPriority w:val="1"/>
    <w:qFormat/>
    <w:pPr>
      <w:ind w:left="558" w:hanging="421"/>
      <w:outlineLvl w:val="2"/>
    </w:pPr>
    <w:rPr>
      <w:rFonts w:ascii="宋体" w:hAnsi="宋体" w:eastAsia="宋体" w:cs="宋体"/>
      <w:b/>
      <w:bCs/>
      <w:sz w:val="28"/>
      <w:szCs w:val="28"/>
    </w:rPr>
  </w:style>
  <w:style w:styleId="Heading3" w:type="paragraph">
    <w:name w:val="Heading 3"/>
    <w:basedOn w:val="Normal"/>
    <w:uiPriority w:val="1"/>
    <w:qFormat/>
    <w:pPr>
      <w:ind w:left="622" w:hanging="485"/>
      <w:outlineLvl w:val="3"/>
    </w:pPr>
    <w:rPr>
      <w:rFonts w:ascii="宋体" w:hAnsi="宋体" w:eastAsia="宋体" w:cs="宋体"/>
      <w:b/>
      <w:bCs/>
      <w:sz w:val="24"/>
      <w:szCs w:val="24"/>
    </w:rPr>
  </w:style>
  <w:style w:styleId="Heading4" w:type="paragraph">
    <w:name w:val="Heading 4"/>
    <w:basedOn w:val="Normal"/>
    <w:uiPriority w:val="1"/>
    <w:qFormat/>
    <w:pPr>
      <w:ind w:left="562" w:hanging="445"/>
      <w:outlineLvl w:val="4"/>
    </w:pPr>
    <w:rPr>
      <w:rFonts w:ascii="宋体" w:hAnsi="宋体" w:eastAsia="宋体" w:cs="宋体"/>
      <w:b/>
      <w:bCs/>
      <w:sz w:val="22"/>
      <w:szCs w:val="22"/>
    </w:rPr>
  </w:style>
  <w:style w:styleId="ListParagraph" w:type="paragraph">
    <w:name w:val="List Paragraph"/>
    <w:basedOn w:val="Normal"/>
    <w:uiPriority w:val="1"/>
    <w:qFormat/>
    <w:pPr>
      <w:ind w:left="562" w:hanging="445"/>
    </w:pPr>
    <w:rPr>
      <w:rFonts w:ascii="宋体" w:hAnsi="宋体" w:eastAsia="宋体" w:cs="宋体"/>
    </w:rPr>
  </w:style>
  <w:style w:styleId="TableParagraph" w:type="paragraph">
    <w:name w:val="Table Paragraph"/>
    <w:basedOn w:val="Normal"/>
    <w:uiPriority w:val="1"/>
    <w:qFormat/>
    <w:pPr>
      <w:spacing w:line="256" w:lineRule="exac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X168704</dc:creator>
  <dcterms:created xsi:type="dcterms:W3CDTF">2018-10-20T01:55:42Z</dcterms:created>
  <dcterms:modified xsi:type="dcterms:W3CDTF">2018-10-20T01:55:42Z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2014-04-23T00:00:00Z</vt:filetime>
  </property>
  <property fmtid="{D5CDD505-2E9C-101B-9397-08002B2CF9AE}" pid="3" name="Creator">
    <vt:lpwstr>Microsoft® Word 2010</vt:lpwstr>
  </property>
  <property fmtid="{D5CDD505-2E9C-101B-9397-08002B2CF9AE}" pid="4" name="LastSaved">
    <vt:filetime>2018-10-19T00:00:00Z</vt:filetime>
  </property>
</Properties>
</file>