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6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tblGrid>
      <w:tr>
        <w:trPr>
          <w:trHeight w:val="885" w:hRule="atLeast"/>
        </w:trPr>
        <w:tc>
          <w:tcPr>
            <w:tcW w:w="3343" w:type="dxa"/>
          </w:tcPr>
          <w:p>
            <w:pPr>
              <w:pStyle w:val="TableParagraph"/>
              <w:spacing w:line="211" w:lineRule="exact"/>
              <w:ind w:left="129" w:right="129"/>
              <w:jc w:val="center"/>
              <w:rPr>
                <w:sz w:val="21"/>
              </w:rPr>
            </w:pPr>
            <w:r>
              <w:rPr>
                <w:sz w:val="21"/>
              </w:rPr>
              <w:t>阳光人寿[2014]疾病保险 040 号</w:t>
            </w:r>
          </w:p>
        </w:tc>
      </w:tr>
      <w:tr>
        <w:trPr>
          <w:trHeight w:val="885" w:hRule="atLeast"/>
        </w:trPr>
        <w:tc>
          <w:tcPr>
            <w:tcW w:w="3343" w:type="dxa"/>
          </w:tcPr>
          <w:p>
            <w:pPr>
              <w:pStyle w:val="TableParagraph"/>
              <w:ind w:left="0"/>
              <w:rPr>
                <w:rFonts w:ascii="Times New Roman"/>
                <w:sz w:val="20"/>
              </w:rPr>
            </w:pPr>
          </w:p>
          <w:p>
            <w:pPr>
              <w:pStyle w:val="TableParagraph"/>
              <w:ind w:left="0"/>
              <w:rPr>
                <w:rFonts w:ascii="Times New Roman"/>
                <w:sz w:val="20"/>
              </w:rPr>
            </w:pPr>
          </w:p>
          <w:p>
            <w:pPr>
              <w:pStyle w:val="TableParagraph"/>
              <w:spacing w:line="255" w:lineRule="exact" w:before="151"/>
              <w:ind w:left="129" w:right="129"/>
              <w:jc w:val="center"/>
              <w:rPr>
                <w:sz w:val="21"/>
              </w:rPr>
            </w:pPr>
            <w:r>
              <w:rPr>
                <w:sz w:val="21"/>
              </w:rPr>
              <w:t>请扫描以查询验证条款</w:t>
            </w:r>
          </w:p>
        </w:tc>
      </w:tr>
    </w:tbl>
    <w:p>
      <w:pPr>
        <w:pStyle w:val="BodyText"/>
        <w:rPr>
          <w:rFonts w:ascii="Times New Roman"/>
          <w:sz w:val="20"/>
        </w:rPr>
      </w:pPr>
    </w:p>
    <w:p>
      <w:pPr>
        <w:pStyle w:val="BodyText"/>
        <w:spacing w:before="6"/>
        <w:rPr>
          <w:rFonts w:ascii="Times New Roman"/>
          <w:sz w:val="19"/>
        </w:rPr>
      </w:pPr>
    </w:p>
    <w:p>
      <w:pPr>
        <w:pStyle w:val="Heading1"/>
        <w:spacing w:line="505" w:lineRule="exact"/>
        <w:ind w:left="2910"/>
      </w:pPr>
      <w:r>
        <w:rPr/>
        <w:drawing>
          <wp:anchor distT="0" distB="0" distL="0" distR="0" allowOverlap="1" layoutInCell="1" locked="0" behindDoc="1" simplePos="0" relativeHeight="268381103">
            <wp:simplePos x="0" y="0"/>
            <wp:positionH relativeFrom="page">
              <wp:posOffset>5626100</wp:posOffset>
            </wp:positionH>
            <wp:positionV relativeFrom="paragraph">
              <wp:posOffset>-1209333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阳光人寿保险股份有限公司</w:t>
      </w:r>
    </w:p>
    <w:p>
      <w:pPr>
        <w:pStyle w:val="BodyText"/>
        <w:spacing w:before="8"/>
        <w:rPr>
          <w:rFonts w:ascii="微软雅黑"/>
          <w:b/>
          <w:sz w:val="20"/>
        </w:rPr>
      </w:pPr>
    </w:p>
    <w:p>
      <w:pPr>
        <w:spacing w:line="506" w:lineRule="exact" w:before="0"/>
        <w:ind w:left="1309" w:right="0" w:firstLine="0"/>
        <w:jc w:val="left"/>
        <w:rPr>
          <w:rFonts w:ascii="微软雅黑" w:eastAsia="微软雅黑" w:hint="eastAsia"/>
          <w:b/>
          <w:sz w:val="32"/>
        </w:rPr>
      </w:pPr>
      <w:r>
        <w:rPr>
          <w:rFonts w:ascii="微软雅黑" w:eastAsia="微软雅黑" w:hint="eastAsia"/>
          <w:b/>
          <w:sz w:val="32"/>
        </w:rPr>
        <w:t>阳光人寿附加阳光随行额外给付重大疾病保险条款</w:t>
      </w:r>
    </w:p>
    <w:p>
      <w:pPr>
        <w:pStyle w:val="BodyText"/>
        <w:rPr>
          <w:rFonts w:ascii="微软雅黑"/>
          <w:b/>
          <w:sz w:val="20"/>
        </w:rPr>
      </w:pPr>
    </w:p>
    <w:p>
      <w:pPr>
        <w:pStyle w:val="BodyText"/>
        <w:rPr>
          <w:rFonts w:ascii="微软雅黑"/>
          <w:b/>
          <w:sz w:val="20"/>
        </w:rPr>
      </w:pPr>
    </w:p>
    <w:p>
      <w:pPr>
        <w:pStyle w:val="BodyText"/>
        <w:spacing w:before="10"/>
        <w:rPr>
          <w:rFonts w:ascii="微软雅黑"/>
          <w:b/>
          <w:sz w:val="13"/>
        </w:rPr>
      </w:pPr>
      <w:r>
        <w:rPr/>
        <w:pict>
          <v:line style="position:absolute;mso-position-horizontal-relative:page;mso-position-vertical-relative:paragraph;z-index:0;mso-wrap-distance-left:0;mso-wrap-distance-right:0" from="61.549999pt,14.110199pt" to="523.549999pt,14.110199pt" stroked="true" strokeweight=".75pt" strokecolor="#000000">
            <v:stroke dashstyle="solid"/>
            <w10:wrap type="topAndBottom"/>
          </v:line>
        </w:pict>
      </w:r>
    </w:p>
    <w:p>
      <w:pPr>
        <w:pStyle w:val="BodyText"/>
        <w:spacing w:before="1"/>
        <w:rPr>
          <w:rFonts w:ascii="微软雅黑"/>
          <w:b/>
          <w:sz w:val="54"/>
        </w:rPr>
      </w:pPr>
    </w:p>
    <w:p>
      <w:pPr>
        <w:spacing w:before="0"/>
        <w:ind w:left="0" w:right="8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4" w:lineRule="auto"/>
        <w:ind w:left="1791" w:right="17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Heading3"/>
        <w:spacing w:before="250"/>
        <w:ind w:left="0" w:right="677" w:firstLine="0"/>
        <w:jc w:val="center"/>
      </w:pPr>
      <w:r>
        <w:rPr/>
        <w:t>您拥有的重要权益</w:t>
      </w:r>
    </w:p>
    <w:p>
      <w:pPr>
        <w:pStyle w:val="BodyText"/>
        <w:tabs>
          <w:tab w:pos="9250" w:val="left" w:leader="dot"/>
        </w:tabs>
        <w:spacing w:before="348"/>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6"/>
        </w:rPr>
        <w:t> </w:t>
      </w:r>
      <w:r>
        <w:rPr/>
        <w:t>15</w:t>
      </w:r>
      <w:r>
        <w:rPr>
          <w:spacing w:val="-49"/>
        </w:rPr>
        <w:t> </w:t>
      </w:r>
      <w:r>
        <w:rPr/>
        <w:t>日内</w:t>
      </w:r>
      <w:r>
        <w:rPr>
          <w:spacing w:val="-3"/>
        </w:rPr>
        <w:t>您</w:t>
      </w:r>
      <w:r>
        <w:rPr/>
        <w:t>可</w:t>
      </w:r>
      <w:r>
        <w:rPr>
          <w:spacing w:val="-3"/>
        </w:rPr>
        <w:t>以</w:t>
      </w:r>
      <w:r>
        <w:rPr/>
        <w:t>要</w:t>
      </w:r>
      <w:r>
        <w:rPr>
          <w:spacing w:val="-3"/>
        </w:rPr>
        <w:t>求</w:t>
      </w:r>
      <w:r>
        <w:rPr/>
        <w:t>退</w:t>
      </w:r>
      <w:r>
        <w:rPr>
          <w:spacing w:val="-3"/>
        </w:rPr>
        <w:t>还</w:t>
      </w:r>
      <w:r>
        <w:rPr/>
        <w:t>所</w:t>
      </w:r>
      <w:r>
        <w:rPr>
          <w:spacing w:val="-3"/>
        </w:rPr>
        <w:t>交</w:t>
      </w:r>
      <w:r>
        <w:rPr/>
        <w:t>纳的</w:t>
      </w:r>
      <w:r>
        <w:rPr>
          <w:spacing w:val="-3"/>
        </w:rPr>
        <w:t>保</w:t>
      </w:r>
      <w:r>
        <w:rPr/>
        <w:t>险费</w:t>
        <w:tab/>
        <w:t>1.3</w:t>
      </w:r>
    </w:p>
    <w:p>
      <w:pPr>
        <w:pStyle w:val="BodyText"/>
        <w:tabs>
          <w:tab w:pos="9250" w:val="lef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6"/>
        <w:ind w:left="111"/>
      </w:pPr>
      <w:r>
        <w:rPr/>
        <w:t>您有</w:t>
      </w:r>
      <w:r>
        <w:rPr>
          <w:spacing w:val="-3"/>
        </w:rPr>
        <w:t>退</w:t>
      </w:r>
      <w:r>
        <w:rPr/>
        <w:t>保</w:t>
      </w:r>
      <w:r>
        <w:rPr>
          <w:spacing w:val="-3"/>
        </w:rPr>
        <w:t>的</w:t>
      </w:r>
      <w:r>
        <w:rPr/>
        <w:t>权利</w:t>
        <w:tab/>
        <w:t>8.1</w:t>
      </w:r>
    </w:p>
    <w:p>
      <w:pPr>
        <w:pStyle w:val="Heading3"/>
        <w:spacing w:before="660"/>
        <w:ind w:left="0" w:right="703" w:firstLine="0"/>
        <w:jc w:val="center"/>
      </w:pPr>
      <w:r>
        <w:rPr/>
        <w:t>您应当特别注意的事项</w:t>
      </w:r>
    </w:p>
    <w:p>
      <w:pPr>
        <w:pStyle w:val="BodyText"/>
        <w:tabs>
          <w:tab w:pos="9032" w:val="left" w:leader="dot"/>
        </w:tabs>
        <w:spacing w:before="348"/>
        <w:ind w:right="5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6"/>
        <w:ind w:right="5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6"/>
        <w:ind w:right="5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5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7"/>
        <w:ind w:right="5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3" w:val="left" w:leader="dot"/>
        </w:tabs>
        <w:spacing w:before="37"/>
        <w:ind w:right="5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7"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160" w:bottom="280" w:left="1120" w:right="700"/>
        </w:sectPr>
      </w:pPr>
    </w:p>
    <w:p>
      <w:pPr>
        <w:spacing w:line="478" w:lineRule="exact" w:before="0"/>
        <w:ind w:left="4476" w:right="501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673"/>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673" w:type="dxa"/>
            <w:tcBorders>
              <w:left w:val="single" w:sz="2" w:space="0" w:color="000000"/>
            </w:tcBorders>
          </w:tcPr>
          <w:p>
            <w:pPr>
              <w:pStyle w:val="TableParagraph"/>
              <w:spacing w:line="262" w:lineRule="exact"/>
              <w:ind w:left="105"/>
              <w:rPr>
                <w:b/>
                <w:sz w:val="21"/>
              </w:rPr>
            </w:pPr>
            <w:r>
              <w:rPr>
                <w:b/>
                <w:sz w:val="21"/>
              </w:rPr>
              <w:t>10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673" w:type="dxa"/>
            <w:tcBorders>
              <w:left w:val="single" w:sz="2" w:space="0" w:color="000000"/>
            </w:tcBorders>
          </w:tcPr>
          <w:p>
            <w:pPr>
              <w:pStyle w:val="TableParagraph"/>
              <w:spacing w:before="66"/>
              <w:ind w:left="316"/>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673" w:type="dxa"/>
            <w:tcBorders>
              <w:left w:val="single" w:sz="2" w:space="0" w:color="000000"/>
            </w:tcBorders>
          </w:tcPr>
          <w:p>
            <w:pPr>
              <w:pStyle w:val="TableParagraph"/>
              <w:spacing w:before="1"/>
              <w:ind w:left="316"/>
              <w:rPr>
                <w:sz w:val="21"/>
              </w:rPr>
            </w:pPr>
            <w:r>
              <w:rPr>
                <w:sz w:val="21"/>
              </w:rPr>
              <w:t>10.2 合同效力终止</w:t>
            </w:r>
          </w:p>
        </w:tc>
      </w:tr>
      <w:tr>
        <w:trPr>
          <w:trHeight w:val="67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673" w:type="dxa"/>
            <w:tcBorders>
              <w:left w:val="single" w:sz="2" w:space="0" w:color="000000"/>
            </w:tcBorders>
          </w:tcPr>
          <w:p>
            <w:pPr>
              <w:pStyle w:val="TableParagraph"/>
              <w:ind w:left="316"/>
              <w:rPr>
                <w:sz w:val="21"/>
              </w:rPr>
            </w:pPr>
            <w:r>
              <w:rPr>
                <w:sz w:val="21"/>
              </w:rPr>
              <w:t>10.3 适用主合同条款</w:t>
            </w:r>
          </w:p>
        </w:tc>
      </w:tr>
      <w:tr>
        <w:trPr>
          <w:trHeight w:val="680" w:hRule="atLeast"/>
        </w:trPr>
        <w:tc>
          <w:tcPr>
            <w:tcW w:w="3138" w:type="dxa"/>
            <w:tcBorders>
              <w:right w:val="single" w:sz="2" w:space="0" w:color="000000"/>
            </w:tcBorders>
          </w:tcPr>
          <w:p>
            <w:pPr>
              <w:pStyle w:val="TableParagraph"/>
              <w:spacing w:before="12"/>
              <w:ind w:left="0"/>
              <w:rPr>
                <w:rFonts w:ascii="微软雅黑"/>
                <w:b/>
                <w:sz w:val="1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6 现金价值权益</w:t>
            </w:r>
          </w:p>
        </w:tc>
        <w:tc>
          <w:tcPr>
            <w:tcW w:w="3673" w:type="dxa"/>
            <w:tcBorders>
              <w:lef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11 释义</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现金价值</w:t>
            </w:r>
          </w:p>
        </w:tc>
        <w:tc>
          <w:tcPr>
            <w:tcW w:w="3673" w:type="dxa"/>
            <w:tcBorders>
              <w:left w:val="single" w:sz="2" w:space="0" w:color="000000"/>
            </w:tcBorders>
          </w:tcPr>
          <w:p>
            <w:pPr>
              <w:pStyle w:val="TableParagraph"/>
              <w:spacing w:before="1"/>
              <w:ind w:left="316"/>
              <w:rPr>
                <w:sz w:val="21"/>
              </w:rPr>
            </w:pPr>
            <w:r>
              <w:rPr>
                <w:sz w:val="21"/>
              </w:rPr>
              <w:t>11.1 保单年度</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11.2 保险费约定交纳日</w:t>
            </w:r>
          </w:p>
        </w:tc>
      </w:tr>
      <w:tr>
        <w:trPr>
          <w:trHeight w:val="339" w:hRule="atLeast"/>
        </w:trPr>
        <w:tc>
          <w:tcPr>
            <w:tcW w:w="3138" w:type="dxa"/>
            <w:tcBorders>
              <w:right w:val="single" w:sz="2" w:space="0" w:color="000000"/>
            </w:tcBorders>
          </w:tcPr>
          <w:p>
            <w:pPr>
              <w:pStyle w:val="TableParagraph"/>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11.3 意外伤害</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11.4 我们认可的医院</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11.5 专科医生</w:t>
            </w:r>
          </w:p>
        </w:tc>
      </w:tr>
      <w:tr>
        <w:trPr>
          <w:trHeight w:val="325"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11.6 全残</w:t>
            </w:r>
          </w:p>
        </w:tc>
      </w:tr>
      <w:tr>
        <w:trPr>
          <w:trHeight w:val="326"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合同效力的中止与恢复</w:t>
            </w:r>
          </w:p>
        </w:tc>
        <w:tc>
          <w:tcPr>
            <w:tcW w:w="3673" w:type="dxa"/>
            <w:tcBorders>
              <w:left w:val="single" w:sz="2" w:space="0" w:color="000000"/>
            </w:tcBorders>
          </w:tcPr>
          <w:p>
            <w:pPr>
              <w:pStyle w:val="TableParagraph"/>
              <w:spacing w:line="261" w:lineRule="exact"/>
              <w:ind w:left="316"/>
              <w:rPr>
                <w:sz w:val="21"/>
              </w:rPr>
            </w:pPr>
            <w:r>
              <w:rPr>
                <w:sz w:val="21"/>
              </w:rPr>
              <w:t>11.7 毒品</w:t>
            </w:r>
          </w:p>
        </w:tc>
      </w:tr>
      <w:tr>
        <w:trPr>
          <w:trHeight w:val="340" w:hRule="atLeast"/>
        </w:trPr>
        <w:tc>
          <w:tcPr>
            <w:tcW w:w="3138" w:type="dxa"/>
            <w:tcBorders>
              <w:right w:val="single" w:sz="2" w:space="0" w:color="000000"/>
            </w:tcBorders>
          </w:tcPr>
          <w:p>
            <w:pPr>
              <w:pStyle w:val="TableParagraph"/>
              <w:spacing w:before="1"/>
              <w:ind w:left="0" w:right="828"/>
              <w:jc w:val="right"/>
              <w:rPr>
                <w:sz w:val="21"/>
              </w:rPr>
            </w:pPr>
            <w:r>
              <w:rPr>
                <w:sz w:val="21"/>
              </w:rPr>
              <w:t>3.1 轻症重疾的范围</w:t>
            </w:r>
          </w:p>
        </w:tc>
        <w:tc>
          <w:tcPr>
            <w:tcW w:w="3769" w:type="dxa"/>
            <w:tcBorders>
              <w:left w:val="single" w:sz="2" w:space="0" w:color="000000"/>
              <w:right w:val="single" w:sz="2" w:space="0" w:color="000000"/>
            </w:tcBorders>
          </w:tcPr>
          <w:p>
            <w:pPr>
              <w:pStyle w:val="TableParagraph"/>
              <w:spacing w:before="1"/>
              <w:ind w:left="316"/>
              <w:rPr>
                <w:sz w:val="21"/>
              </w:rPr>
            </w:pPr>
            <w:r>
              <w:rPr>
                <w:sz w:val="21"/>
              </w:rPr>
              <w:t>7.1 合同效力中止</w:t>
            </w:r>
          </w:p>
        </w:tc>
        <w:tc>
          <w:tcPr>
            <w:tcW w:w="3673" w:type="dxa"/>
            <w:tcBorders>
              <w:left w:val="single" w:sz="2" w:space="0" w:color="000000"/>
            </w:tcBorders>
          </w:tcPr>
          <w:p>
            <w:pPr>
              <w:pStyle w:val="TableParagraph"/>
              <w:spacing w:before="1"/>
              <w:ind w:left="316"/>
              <w:rPr>
                <w:sz w:val="21"/>
              </w:rPr>
            </w:pPr>
            <w:r>
              <w:rPr>
                <w:sz w:val="21"/>
              </w:rPr>
              <w:t>11.8 酒后驾驶</w:t>
            </w:r>
          </w:p>
        </w:tc>
      </w:tr>
      <w:tr>
        <w:trPr>
          <w:trHeight w:val="339" w:hRule="atLeast"/>
        </w:trPr>
        <w:tc>
          <w:tcPr>
            <w:tcW w:w="3138" w:type="dxa"/>
            <w:tcBorders>
              <w:right w:val="single" w:sz="2" w:space="0" w:color="000000"/>
            </w:tcBorders>
          </w:tcPr>
          <w:p>
            <w:pPr>
              <w:pStyle w:val="TableParagraph"/>
              <w:spacing w:before="1"/>
              <w:ind w:left="0" w:right="828"/>
              <w:jc w:val="right"/>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before="1"/>
              <w:ind w:left="316"/>
              <w:rPr>
                <w:sz w:val="21"/>
              </w:rPr>
            </w:pPr>
            <w:r>
              <w:rPr>
                <w:sz w:val="21"/>
              </w:rPr>
              <w:t>7.2 合同效力恢复（复效）</w:t>
            </w:r>
          </w:p>
        </w:tc>
        <w:tc>
          <w:tcPr>
            <w:tcW w:w="3673" w:type="dxa"/>
            <w:tcBorders>
              <w:left w:val="single" w:sz="2" w:space="0" w:color="000000"/>
            </w:tcBorders>
          </w:tcPr>
          <w:p>
            <w:pPr>
              <w:pStyle w:val="TableParagraph"/>
              <w:spacing w:before="1"/>
              <w:ind w:left="316"/>
              <w:rPr>
                <w:sz w:val="21"/>
              </w:rPr>
            </w:pPr>
            <w:r>
              <w:rPr>
                <w:sz w:val="21"/>
              </w:rPr>
              <w:t>11.9 无合法有效驾驶证驾驶</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3.3 重大疾病的范围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11.10 无有效行驶证</w:t>
            </w:r>
          </w:p>
        </w:tc>
      </w:tr>
      <w:tr>
        <w:trPr>
          <w:trHeight w:val="340" w:hRule="atLeast"/>
        </w:trPr>
        <w:tc>
          <w:tcPr>
            <w:tcW w:w="3138" w:type="dxa"/>
            <w:tcBorders>
              <w:right w:val="single" w:sz="2" w:space="0" w:color="000000"/>
            </w:tcBorders>
          </w:tcPr>
          <w:p>
            <w:pPr>
              <w:pStyle w:val="TableParagraph"/>
              <w:spacing w:before="1"/>
              <w:ind w:left="0" w:right="828"/>
              <w:jc w:val="right"/>
              <w:rPr>
                <w:sz w:val="21"/>
              </w:rPr>
            </w:pPr>
            <w:r>
              <w:rPr>
                <w:sz w:val="21"/>
              </w:rPr>
              <w:t>3.4 重大疾病的定义</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11.11 患艾滋病或感染艾滋病病毒</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673" w:type="dxa"/>
            <w:tcBorders>
              <w:left w:val="single" w:sz="2" w:space="0" w:color="000000"/>
            </w:tcBorders>
          </w:tcPr>
          <w:p>
            <w:pPr>
              <w:pStyle w:val="TableParagraph"/>
              <w:spacing w:before="1"/>
              <w:ind w:left="316"/>
              <w:rPr>
                <w:sz w:val="21"/>
              </w:rPr>
            </w:pPr>
            <w:r>
              <w:rPr>
                <w:sz w:val="21"/>
              </w:rPr>
              <w:t>11.12 遗传性疾病</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673" w:type="dxa"/>
            <w:tcBorders>
              <w:left w:val="single" w:sz="2" w:space="0" w:color="000000"/>
            </w:tcBorders>
          </w:tcPr>
          <w:p>
            <w:pPr>
              <w:pStyle w:val="TableParagraph"/>
              <w:ind w:left="316"/>
              <w:rPr>
                <w:sz w:val="21"/>
              </w:rPr>
            </w:pPr>
            <w:r>
              <w:rPr>
                <w:sz w:val="21"/>
              </w:rPr>
              <w:t>11.13 先天性畸形、变形或染</w:t>
            </w:r>
          </w:p>
        </w:tc>
      </w:tr>
      <w:tr>
        <w:trPr>
          <w:trHeight w:val="341"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673" w:type="dxa"/>
            <w:tcBorders>
              <w:left w:val="single" w:sz="2" w:space="0" w:color="000000"/>
            </w:tcBorders>
          </w:tcPr>
          <w:p>
            <w:pPr>
              <w:pStyle w:val="TableParagraph"/>
              <w:spacing w:before="1"/>
              <w:ind w:left="945"/>
              <w:rPr>
                <w:sz w:val="21"/>
              </w:rPr>
            </w:pPr>
            <w:r>
              <w:rPr>
                <w:sz w:val="21"/>
              </w:rPr>
              <w:t>色体异常</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spacing w:before="1"/>
              <w:ind w:left="316"/>
              <w:rPr>
                <w:sz w:val="21"/>
              </w:rPr>
            </w:pPr>
            <w:r>
              <w:rPr>
                <w:sz w:val="21"/>
              </w:rPr>
              <w:t>11.14 六项基本日常生活活动</w:t>
            </w:r>
          </w:p>
        </w:tc>
      </w:tr>
      <w:tr>
        <w:trPr>
          <w:trHeight w:val="339" w:hRule="atLeast"/>
        </w:trPr>
        <w:tc>
          <w:tcPr>
            <w:tcW w:w="3138" w:type="dxa"/>
            <w:tcBorders>
              <w:right w:val="single" w:sz="2" w:space="0" w:color="000000"/>
            </w:tcBorders>
          </w:tcPr>
          <w:p>
            <w:pPr>
              <w:pStyle w:val="TableParagraph"/>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ind w:left="105"/>
              <w:rPr>
                <w:b/>
                <w:sz w:val="21"/>
              </w:rPr>
            </w:pPr>
            <w:r>
              <w:rPr>
                <w:b/>
                <w:sz w:val="21"/>
              </w:rPr>
              <w:t>9 如实告知</w:t>
            </w:r>
          </w:p>
        </w:tc>
        <w:tc>
          <w:tcPr>
            <w:tcW w:w="3673" w:type="dxa"/>
            <w:tcBorders>
              <w:left w:val="single" w:sz="2" w:space="0" w:color="000000"/>
            </w:tcBorders>
          </w:tcPr>
          <w:p>
            <w:pPr>
              <w:pStyle w:val="TableParagraph"/>
              <w:ind w:left="316"/>
              <w:rPr>
                <w:sz w:val="21"/>
              </w:rPr>
            </w:pPr>
            <w:r>
              <w:rPr>
                <w:sz w:val="21"/>
              </w:rPr>
              <w:t>11.15 肢体机能完全丧失</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09"/>
              <w:rPr>
                <w:sz w:val="21"/>
              </w:rPr>
            </w:pPr>
            <w:r>
              <w:rPr>
                <w:sz w:val="21"/>
              </w:rPr>
              <w:t>9.1 明确说明与如实告知</w:t>
            </w:r>
          </w:p>
        </w:tc>
        <w:tc>
          <w:tcPr>
            <w:tcW w:w="3673" w:type="dxa"/>
            <w:tcBorders>
              <w:left w:val="single" w:sz="2" w:space="0" w:color="000000"/>
            </w:tcBorders>
          </w:tcPr>
          <w:p>
            <w:pPr>
              <w:pStyle w:val="TableParagraph"/>
              <w:spacing w:before="1"/>
              <w:ind w:left="316"/>
              <w:rPr>
                <w:sz w:val="21"/>
              </w:rPr>
            </w:pPr>
            <w:r>
              <w:rPr>
                <w:sz w:val="21"/>
              </w:rPr>
              <w:t>11.16 语言能力或咀嚼吞咽</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673" w:type="dxa"/>
            <w:tcBorders>
              <w:left w:val="single" w:sz="2" w:space="0" w:color="000000"/>
            </w:tcBorders>
          </w:tcPr>
          <w:p>
            <w:pPr>
              <w:pStyle w:val="TableParagraph"/>
              <w:spacing w:before="1"/>
              <w:ind w:left="945"/>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316"/>
              <w:rPr>
                <w:sz w:val="21"/>
              </w:rPr>
            </w:pPr>
            <w:r>
              <w:rPr>
                <w:sz w:val="21"/>
              </w:rPr>
              <w:t>11.17 永久不可逆</w:t>
            </w:r>
          </w:p>
        </w:tc>
      </w:tr>
      <w:tr>
        <w:trPr>
          <w:trHeight w:val="354"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673"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140" w:bottom="280" w:left="820" w:right="280"/>
        </w:sectPr>
      </w:pPr>
    </w:p>
    <w:p>
      <w:pPr>
        <w:pStyle w:val="BodyText"/>
        <w:spacing w:before="1"/>
        <w:rPr>
          <w:rFonts w:ascii="微软雅黑"/>
          <w:b/>
          <w:sz w:val="22"/>
        </w:rPr>
      </w:pPr>
    </w:p>
    <w:p>
      <w:pPr>
        <w:pStyle w:val="Heading1"/>
        <w:spacing w:before="1"/>
        <w:ind w:left="2012"/>
        <w:rPr>
          <w:rFonts w:ascii="黑体" w:eastAsia="黑体" w:hint="eastAsia"/>
        </w:rPr>
      </w:pPr>
      <w:r>
        <w:rPr>
          <w:rFonts w:ascii="黑体" w:eastAsia="黑体" w:hint="eastAsia"/>
          <w:w w:val="95"/>
        </w:rPr>
        <w:t>阳光人寿附加阳光随行额外给付重大疾病保险条款</w:t>
      </w:r>
    </w:p>
    <w:p>
      <w:pPr>
        <w:pStyle w:val="BodyText"/>
        <w:spacing w:before="9"/>
        <w:rPr>
          <w:rFonts w:ascii="黑体"/>
          <w:b/>
          <w:sz w:val="34"/>
        </w:rPr>
      </w:pPr>
    </w:p>
    <w:p>
      <w:pPr>
        <w:pStyle w:val="BodyText"/>
        <w:spacing w:line="273" w:lineRule="auto"/>
        <w:ind w:left="260" w:right="250"/>
      </w:pPr>
      <w:r>
        <w:rPr>
          <w:w w:val="100"/>
        </w:rPr>
        <w:t>在本条款中，“您”指投保人，“我们”、“本公司”均指阳光人寿保险股份有限公司，“本附加合同”指</w:t>
      </w:r>
      <w:r>
        <w:rPr/>
        <w:t>您与我们之间订立的“阳光人寿附加阳光随行额外给付重大疾病保险合同”。</w:t>
      </w:r>
    </w:p>
    <w:p>
      <w:pPr>
        <w:pStyle w:val="BodyText"/>
        <w:rPr>
          <w:sz w:val="20"/>
        </w:rPr>
      </w:pPr>
    </w:p>
    <w:p>
      <w:pPr>
        <w:pStyle w:val="BodyText"/>
        <w:spacing w:before="6"/>
        <w:rPr>
          <w:sz w:val="2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1492"/>
        <w:gridCol w:w="7763"/>
      </w:tblGrid>
      <w:tr>
        <w:trPr>
          <w:trHeight w:val="451" w:hRule="atLeast"/>
        </w:trPr>
        <w:tc>
          <w:tcPr>
            <w:tcW w:w="970" w:type="dxa"/>
            <w:tcBorders>
              <w:bottom w:val="double" w:sz="1" w:space="0" w:color="000000"/>
            </w:tcBorders>
          </w:tcPr>
          <w:p>
            <w:pPr>
              <w:pStyle w:val="TableParagraph"/>
              <w:spacing w:line="281" w:lineRule="exact"/>
              <w:ind w:left="107"/>
              <w:rPr>
                <w:b/>
                <w:sz w:val="28"/>
              </w:rPr>
            </w:pPr>
            <w:r>
              <w:rPr>
                <w:b/>
                <w:w w:val="99"/>
                <w:sz w:val="28"/>
              </w:rPr>
              <w:t>1</w:t>
            </w:r>
          </w:p>
        </w:tc>
        <w:tc>
          <w:tcPr>
            <w:tcW w:w="9255" w:type="dxa"/>
            <w:gridSpan w:val="2"/>
            <w:tcBorders>
              <w:bottom w:val="double" w:sz="1" w:space="0" w:color="000000"/>
            </w:tcBorders>
          </w:tcPr>
          <w:p>
            <w:pPr>
              <w:pStyle w:val="TableParagraph"/>
              <w:spacing w:line="281" w:lineRule="exact"/>
              <w:ind w:left="333"/>
              <w:rPr>
                <w:b/>
                <w:sz w:val="28"/>
              </w:rPr>
            </w:pPr>
            <w:r>
              <w:rPr>
                <w:b/>
                <w:w w:val="95"/>
                <w:sz w:val="28"/>
              </w:rPr>
              <w:t>您与我们订立的合同</w:t>
            </w:r>
          </w:p>
        </w:tc>
      </w:tr>
      <w:tr>
        <w:trPr>
          <w:trHeight w:val="935" w:hRule="atLeast"/>
        </w:trPr>
        <w:tc>
          <w:tcPr>
            <w:tcW w:w="970"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492" w:type="dxa"/>
            <w:tcBorders>
              <w:top w:val="double" w:sz="1" w:space="0" w:color="000000"/>
            </w:tcBorders>
          </w:tcPr>
          <w:p>
            <w:pPr>
              <w:pStyle w:val="TableParagraph"/>
              <w:ind w:left="0"/>
              <w:rPr>
                <w:sz w:val="14"/>
              </w:rPr>
            </w:pPr>
          </w:p>
          <w:p>
            <w:pPr>
              <w:pStyle w:val="TableParagraph"/>
              <w:ind w:left="333"/>
              <w:rPr>
                <w:b/>
                <w:sz w:val="21"/>
              </w:rPr>
            </w:pPr>
            <w:r>
              <w:rPr>
                <w:b/>
                <w:sz w:val="21"/>
              </w:rPr>
              <w:t>合同订立</w:t>
            </w:r>
          </w:p>
        </w:tc>
        <w:tc>
          <w:tcPr>
            <w:tcW w:w="7763" w:type="dxa"/>
            <w:tcBorders>
              <w:top w:val="double" w:sz="1" w:space="0" w:color="000000"/>
            </w:tcBorders>
          </w:tcPr>
          <w:p>
            <w:pPr>
              <w:pStyle w:val="TableParagraph"/>
              <w:ind w:left="0"/>
              <w:rPr>
                <w:sz w:val="14"/>
              </w:rPr>
            </w:pPr>
          </w:p>
          <w:p>
            <w:pPr>
              <w:pStyle w:val="TableParagraph"/>
              <w:spacing w:line="273" w:lineRule="auto"/>
              <w:ind w:left="313" w:right="84"/>
              <w:rPr>
                <w:sz w:val="21"/>
              </w:rPr>
            </w:pPr>
            <w:r>
              <w:rPr>
                <w:sz w:val="21"/>
              </w:rPr>
              <w:t>本附加合同由主合同投保人提出申请，经我们同意而订立。本附加合同须附加于主合同后始为有效。</w:t>
            </w:r>
          </w:p>
        </w:tc>
      </w:tr>
      <w:tr>
        <w:trPr>
          <w:trHeight w:val="1475" w:hRule="atLeast"/>
        </w:trPr>
        <w:tc>
          <w:tcPr>
            <w:tcW w:w="970" w:type="dxa"/>
          </w:tcPr>
          <w:p>
            <w:pPr>
              <w:pStyle w:val="TableParagraph"/>
              <w:spacing w:before="100"/>
              <w:ind w:left="107"/>
              <w:rPr>
                <w:b/>
                <w:sz w:val="21"/>
              </w:rPr>
            </w:pPr>
            <w:r>
              <w:rPr>
                <w:b/>
                <w:sz w:val="21"/>
              </w:rPr>
              <w:t>1.2</w:t>
            </w:r>
          </w:p>
        </w:tc>
        <w:tc>
          <w:tcPr>
            <w:tcW w:w="1492" w:type="dxa"/>
          </w:tcPr>
          <w:p>
            <w:pPr>
              <w:pStyle w:val="TableParagraph"/>
              <w:spacing w:before="100"/>
              <w:ind w:left="333"/>
              <w:rPr>
                <w:b/>
                <w:sz w:val="21"/>
              </w:rPr>
            </w:pPr>
            <w:r>
              <w:rPr>
                <w:b/>
                <w:sz w:val="21"/>
              </w:rPr>
              <w:t>合同生效</w:t>
            </w:r>
          </w:p>
        </w:tc>
        <w:tc>
          <w:tcPr>
            <w:tcW w:w="7763" w:type="dxa"/>
          </w:tcPr>
          <w:p>
            <w:pPr>
              <w:pStyle w:val="TableParagraph"/>
              <w:spacing w:before="100"/>
              <w:ind w:left="313"/>
              <w:rPr>
                <w:sz w:val="21"/>
              </w:rPr>
            </w:pPr>
            <w:r>
              <w:rPr>
                <w:sz w:val="21"/>
              </w:rPr>
              <w:t>如果本附加合同与主合同同时投保，本附加合同的生效日与主合同相同。</w:t>
            </w:r>
          </w:p>
          <w:p>
            <w:pPr>
              <w:pStyle w:val="TableParagraph"/>
              <w:spacing w:line="273" w:lineRule="auto" w:before="36"/>
              <w:ind w:left="313" w:right="65"/>
              <w:rPr>
                <w:sz w:val="21"/>
              </w:rPr>
            </w:pPr>
            <w:r>
              <w:rPr>
                <w:sz w:val="21"/>
              </w:rPr>
              <w:t>如果您在主合同有效期内投保本附加合同，本附加合同生效日以批注所载的日期为准。我们自生效日零时起开始承担本附加合同约定的保险责任。</w:t>
            </w:r>
          </w:p>
          <w:p>
            <w:pPr>
              <w:pStyle w:val="TableParagraph"/>
              <w:spacing w:before="7"/>
              <w:ind w:left="313"/>
              <w:rPr>
                <w:sz w:val="21"/>
              </w:rPr>
            </w:pPr>
            <w:r>
              <w:rPr>
                <w:sz w:val="21"/>
              </w:rPr>
              <w:t>本附加合同的</w:t>
            </w:r>
            <w:r>
              <w:rPr>
                <w:b/>
                <w:sz w:val="21"/>
              </w:rPr>
              <w:t>保单年度</w:t>
            </w:r>
            <w:r>
              <w:rPr>
                <w:sz w:val="21"/>
              </w:rPr>
              <w:t>、</w:t>
            </w:r>
            <w:r>
              <w:rPr>
                <w:b/>
                <w:sz w:val="21"/>
              </w:rPr>
              <w:t>保险费约定交纳日</w:t>
            </w:r>
            <w:r>
              <w:rPr>
                <w:sz w:val="21"/>
              </w:rPr>
              <w:t>均以生效日起算。</w:t>
            </w:r>
          </w:p>
        </w:tc>
      </w:tr>
      <w:tr>
        <w:trPr>
          <w:trHeight w:val="2272" w:hRule="atLeast"/>
        </w:trPr>
        <w:tc>
          <w:tcPr>
            <w:tcW w:w="970" w:type="dxa"/>
          </w:tcPr>
          <w:p>
            <w:pPr>
              <w:pStyle w:val="TableParagraph"/>
              <w:spacing w:before="99"/>
              <w:ind w:left="107"/>
              <w:rPr>
                <w:b/>
                <w:sz w:val="21"/>
              </w:rPr>
            </w:pPr>
            <w:r>
              <w:rPr>
                <w:b/>
                <w:sz w:val="21"/>
              </w:rPr>
              <w:t>1.3</w:t>
            </w:r>
          </w:p>
        </w:tc>
        <w:tc>
          <w:tcPr>
            <w:tcW w:w="1492" w:type="dxa"/>
          </w:tcPr>
          <w:p>
            <w:pPr>
              <w:pStyle w:val="TableParagraph"/>
              <w:spacing w:before="99"/>
              <w:ind w:left="333"/>
              <w:rPr>
                <w:b/>
                <w:sz w:val="21"/>
              </w:rPr>
            </w:pPr>
            <w:r>
              <w:rPr>
                <w:b/>
                <w:sz w:val="21"/>
              </w:rPr>
              <w:t>犹豫期</w:t>
            </w:r>
          </w:p>
        </w:tc>
        <w:tc>
          <w:tcPr>
            <w:tcW w:w="7763" w:type="dxa"/>
          </w:tcPr>
          <w:p>
            <w:pPr>
              <w:pStyle w:val="TableParagraph"/>
              <w:spacing w:line="273" w:lineRule="auto" w:before="99"/>
              <w:ind w:left="313" w:right="-15"/>
              <w:rPr>
                <w:sz w:val="21"/>
              </w:rPr>
            </w:pPr>
            <w:r>
              <w:rPr>
                <w:spacing w:val="-3"/>
                <w:sz w:val="21"/>
              </w:rPr>
              <w:t>自您签收本附加合同次日起，有 </w:t>
            </w:r>
            <w:r>
              <w:rPr>
                <w:sz w:val="21"/>
              </w:rPr>
              <w:t>15</w:t>
            </w:r>
            <w:r>
              <w:rPr>
                <w:spacing w:val="-3"/>
                <w:sz w:val="21"/>
              </w:rPr>
              <w:t> 日的犹豫期。在此期间，请您认真审视本附</w:t>
            </w:r>
            <w:r>
              <w:rPr>
                <w:spacing w:val="-13"/>
                <w:sz w:val="21"/>
              </w:rPr>
              <w:t>加合同，如果您认为本附加合同与您的需求不相符，您可以提出解除本附加合同， </w:t>
            </w:r>
            <w:r>
              <w:rPr>
                <w:spacing w:val="-6"/>
                <w:sz w:val="21"/>
              </w:rPr>
              <w:t>我们将无息退还您所交纳的保险费。</w:t>
            </w:r>
          </w:p>
          <w:p>
            <w:pPr>
              <w:pStyle w:val="TableParagraph"/>
              <w:spacing w:line="273" w:lineRule="auto" w:before="7"/>
              <w:ind w:left="313" w:right="104"/>
              <w:jc w:val="both"/>
              <w:rPr>
                <w:sz w:val="21"/>
              </w:rPr>
            </w:pPr>
            <w:r>
              <w:rPr>
                <w:spacing w:val="-4"/>
                <w:sz w:val="21"/>
              </w:rPr>
              <w:t>解除合同时，您需要填写申请书，并提供您的保险合同及</w:t>
            </w:r>
            <w:r>
              <w:rPr>
                <w:b/>
                <w:sz w:val="21"/>
              </w:rPr>
              <w:t>有效身份证件</w:t>
            </w:r>
            <w:r>
              <w:rPr>
                <w:spacing w:val="-5"/>
                <w:sz w:val="21"/>
              </w:rPr>
              <w:t>。自我们收到您解除合同的书面申请之时起，本附加合同即被解除，我们自始不承担保险责任。</w:t>
            </w:r>
          </w:p>
        </w:tc>
      </w:tr>
      <w:tr>
        <w:trPr>
          <w:trHeight w:val="790" w:hRule="atLeast"/>
        </w:trPr>
        <w:tc>
          <w:tcPr>
            <w:tcW w:w="970"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255" w:type="dxa"/>
            <w:gridSpan w:val="2"/>
            <w:tcBorders>
              <w:bottom w:val="double" w:sz="1" w:space="0" w:color="000000"/>
            </w:tcBorders>
          </w:tcPr>
          <w:p>
            <w:pPr>
              <w:pStyle w:val="TableParagraph"/>
              <w:spacing w:before="4"/>
              <w:ind w:left="0"/>
              <w:rPr>
                <w:sz w:val="19"/>
              </w:rPr>
            </w:pPr>
          </w:p>
          <w:p>
            <w:pPr>
              <w:pStyle w:val="TableParagraph"/>
              <w:ind w:left="333"/>
              <w:rPr>
                <w:b/>
                <w:sz w:val="28"/>
              </w:rPr>
            </w:pPr>
            <w:r>
              <w:rPr>
                <w:b/>
                <w:w w:val="95"/>
                <w:sz w:val="28"/>
              </w:rPr>
              <w:t>我们提供的保障</w:t>
            </w:r>
          </w:p>
        </w:tc>
      </w:tr>
      <w:tr>
        <w:trPr>
          <w:trHeight w:val="1083" w:hRule="atLeast"/>
        </w:trPr>
        <w:tc>
          <w:tcPr>
            <w:tcW w:w="970" w:type="dxa"/>
            <w:tcBorders>
              <w:top w:val="double" w:sz="1" w:space="0" w:color="000000"/>
            </w:tcBorders>
          </w:tcPr>
          <w:p>
            <w:pPr>
              <w:pStyle w:val="TableParagraph"/>
              <w:spacing w:before="133"/>
              <w:ind w:left="107"/>
              <w:rPr>
                <w:b/>
                <w:sz w:val="21"/>
              </w:rPr>
            </w:pPr>
            <w:r>
              <w:rPr>
                <w:b/>
                <w:sz w:val="21"/>
              </w:rPr>
              <w:t>2.1</w:t>
            </w:r>
          </w:p>
        </w:tc>
        <w:tc>
          <w:tcPr>
            <w:tcW w:w="1492" w:type="dxa"/>
            <w:tcBorders>
              <w:top w:val="double" w:sz="1" w:space="0" w:color="000000"/>
            </w:tcBorders>
          </w:tcPr>
          <w:p>
            <w:pPr>
              <w:pStyle w:val="TableParagraph"/>
              <w:spacing w:before="133"/>
              <w:ind w:left="333"/>
              <w:rPr>
                <w:b/>
                <w:sz w:val="21"/>
              </w:rPr>
            </w:pPr>
            <w:r>
              <w:rPr>
                <w:b/>
                <w:sz w:val="21"/>
              </w:rPr>
              <w:t>保险金额</w:t>
            </w:r>
          </w:p>
        </w:tc>
        <w:tc>
          <w:tcPr>
            <w:tcW w:w="7763" w:type="dxa"/>
            <w:tcBorders>
              <w:top w:val="double" w:sz="1" w:space="0" w:color="000000"/>
            </w:tcBorders>
          </w:tcPr>
          <w:p>
            <w:pPr>
              <w:pStyle w:val="TableParagraph"/>
              <w:spacing w:before="133"/>
              <w:ind w:left="313"/>
              <w:rPr>
                <w:sz w:val="21"/>
              </w:rPr>
            </w:pPr>
            <w:r>
              <w:rPr>
                <w:sz w:val="21"/>
              </w:rPr>
              <w:t>（1）基本保险金额</w:t>
            </w:r>
          </w:p>
          <w:p>
            <w:pPr>
              <w:pStyle w:val="TableParagraph"/>
              <w:spacing w:line="273" w:lineRule="auto" w:before="36"/>
              <w:ind w:left="313" w:right="65"/>
              <w:rPr>
                <w:sz w:val="21"/>
              </w:rPr>
            </w:pPr>
            <w:r>
              <w:rPr>
                <w:sz w:val="21"/>
              </w:rPr>
              <w:t>本附加合同的基本保险金额由您在投保时与我们约定，并在保险单或批注单上载明。若该金额发生变更，则以变更后的金额为基本保险金额。</w:t>
            </w:r>
          </w:p>
        </w:tc>
      </w:tr>
      <w:tr>
        <w:trPr>
          <w:trHeight w:val="1317" w:hRule="atLeast"/>
        </w:trPr>
        <w:tc>
          <w:tcPr>
            <w:tcW w:w="970"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763" w:type="dxa"/>
          </w:tcPr>
          <w:p>
            <w:pPr>
              <w:pStyle w:val="TableParagraph"/>
              <w:spacing w:line="261" w:lineRule="exact"/>
              <w:ind w:left="313"/>
              <w:rPr>
                <w:sz w:val="21"/>
              </w:rPr>
            </w:pPr>
            <w:r>
              <w:rPr>
                <w:sz w:val="21"/>
              </w:rPr>
              <w:t>（2）轻症重疾保险金额</w:t>
            </w:r>
          </w:p>
          <w:p>
            <w:pPr>
              <w:pStyle w:val="TableParagraph"/>
              <w:spacing w:before="37"/>
              <w:ind w:left="313"/>
              <w:rPr>
                <w:sz w:val="21"/>
              </w:rPr>
            </w:pPr>
            <w:r>
              <w:rPr>
                <w:sz w:val="21"/>
              </w:rPr>
              <w:t>本附加合同的轻症重疾保险金额等于本附加合同的基本保险金额的 20%。</w:t>
            </w:r>
          </w:p>
          <w:p>
            <w:pPr>
              <w:pStyle w:val="TableParagraph"/>
              <w:spacing w:before="37"/>
              <w:ind w:left="313"/>
              <w:rPr>
                <w:sz w:val="21"/>
              </w:rPr>
            </w:pPr>
            <w:r>
              <w:rPr>
                <w:sz w:val="21"/>
              </w:rPr>
              <w:t>（3）再次恶性肿瘤保险金额</w:t>
            </w:r>
          </w:p>
          <w:p>
            <w:pPr>
              <w:pStyle w:val="TableParagraph"/>
              <w:spacing w:before="37"/>
              <w:ind w:left="313"/>
              <w:rPr>
                <w:sz w:val="21"/>
              </w:rPr>
            </w:pPr>
            <w:r>
              <w:rPr>
                <w:sz w:val="21"/>
              </w:rPr>
              <w:t>本附加合同的再次恶性肿瘤保险金额等于本附加合同的基本保险金额的 50%。</w:t>
            </w:r>
          </w:p>
        </w:tc>
      </w:tr>
      <w:tr>
        <w:trPr>
          <w:trHeight w:val="494" w:hRule="atLeast"/>
        </w:trPr>
        <w:tc>
          <w:tcPr>
            <w:tcW w:w="970" w:type="dxa"/>
          </w:tcPr>
          <w:p>
            <w:pPr>
              <w:pStyle w:val="TableParagraph"/>
              <w:spacing w:before="56"/>
              <w:ind w:left="107"/>
              <w:rPr>
                <w:b/>
                <w:sz w:val="21"/>
              </w:rPr>
            </w:pPr>
            <w:r>
              <w:rPr>
                <w:b/>
                <w:sz w:val="21"/>
              </w:rPr>
              <w:t>2.2</w:t>
            </w:r>
          </w:p>
        </w:tc>
        <w:tc>
          <w:tcPr>
            <w:tcW w:w="1492" w:type="dxa"/>
          </w:tcPr>
          <w:p>
            <w:pPr>
              <w:pStyle w:val="TableParagraph"/>
              <w:spacing w:before="56"/>
              <w:ind w:left="333"/>
              <w:rPr>
                <w:b/>
                <w:sz w:val="21"/>
              </w:rPr>
            </w:pPr>
            <w:r>
              <w:rPr>
                <w:b/>
                <w:sz w:val="21"/>
              </w:rPr>
              <w:t>保险期间</w:t>
            </w:r>
          </w:p>
        </w:tc>
        <w:tc>
          <w:tcPr>
            <w:tcW w:w="7763" w:type="dxa"/>
          </w:tcPr>
          <w:p>
            <w:pPr>
              <w:pStyle w:val="TableParagraph"/>
              <w:spacing w:before="56"/>
              <w:ind w:left="313"/>
              <w:rPr>
                <w:sz w:val="21"/>
              </w:rPr>
            </w:pPr>
            <w:r>
              <w:rPr>
                <w:sz w:val="21"/>
              </w:rPr>
              <w:t>本附加合同的保险期间与主合同相同。</w:t>
            </w:r>
          </w:p>
        </w:tc>
      </w:tr>
      <w:tr>
        <w:trPr>
          <w:trHeight w:val="550" w:hRule="atLeast"/>
        </w:trPr>
        <w:tc>
          <w:tcPr>
            <w:tcW w:w="970" w:type="dxa"/>
          </w:tcPr>
          <w:p>
            <w:pPr>
              <w:pStyle w:val="TableParagraph"/>
              <w:spacing w:before="99"/>
              <w:ind w:left="107"/>
              <w:rPr>
                <w:b/>
                <w:sz w:val="21"/>
              </w:rPr>
            </w:pPr>
            <w:r>
              <w:rPr>
                <w:b/>
                <w:sz w:val="21"/>
              </w:rPr>
              <w:t>2.3</w:t>
            </w:r>
          </w:p>
        </w:tc>
        <w:tc>
          <w:tcPr>
            <w:tcW w:w="1492" w:type="dxa"/>
          </w:tcPr>
          <w:p>
            <w:pPr>
              <w:pStyle w:val="TableParagraph"/>
              <w:spacing w:before="99"/>
              <w:ind w:left="333"/>
              <w:rPr>
                <w:b/>
                <w:sz w:val="21"/>
              </w:rPr>
            </w:pPr>
            <w:r>
              <w:rPr>
                <w:b/>
                <w:sz w:val="21"/>
              </w:rPr>
              <w:t>保险责任</w:t>
            </w:r>
          </w:p>
        </w:tc>
        <w:tc>
          <w:tcPr>
            <w:tcW w:w="7763" w:type="dxa"/>
          </w:tcPr>
          <w:p>
            <w:pPr>
              <w:pStyle w:val="TableParagraph"/>
              <w:spacing w:before="126"/>
              <w:ind w:left="313"/>
              <w:rPr>
                <w:sz w:val="21"/>
              </w:rPr>
            </w:pPr>
            <w:r>
              <w:rPr>
                <w:sz w:val="21"/>
              </w:rPr>
              <w:t>在本附加合同有效期内，我们承担如下保险责任：</w:t>
            </w:r>
          </w:p>
        </w:tc>
      </w:tr>
      <w:tr>
        <w:trPr>
          <w:trHeight w:val="2564" w:hRule="atLeast"/>
        </w:trPr>
        <w:tc>
          <w:tcPr>
            <w:tcW w:w="970" w:type="dxa"/>
          </w:tcPr>
          <w:p>
            <w:pPr>
              <w:pStyle w:val="TableParagraph"/>
              <w:spacing w:before="84"/>
              <w:ind w:left="107"/>
              <w:rPr>
                <w:i/>
                <w:sz w:val="22"/>
              </w:rPr>
            </w:pPr>
            <w:r>
              <w:rPr>
                <w:i/>
                <w:sz w:val="22"/>
              </w:rPr>
              <w:t>2.3.1</w:t>
            </w:r>
          </w:p>
        </w:tc>
        <w:tc>
          <w:tcPr>
            <w:tcW w:w="1492" w:type="dxa"/>
          </w:tcPr>
          <w:p>
            <w:pPr>
              <w:pStyle w:val="TableParagraph"/>
              <w:spacing w:before="84"/>
              <w:ind w:left="333"/>
              <w:rPr>
                <w:i/>
                <w:sz w:val="22"/>
              </w:rPr>
            </w:pPr>
            <w:r>
              <w:rPr>
                <w:i/>
                <w:w w:val="95"/>
                <w:sz w:val="22"/>
              </w:rPr>
              <w:t>等待期</w:t>
            </w:r>
          </w:p>
        </w:tc>
        <w:tc>
          <w:tcPr>
            <w:tcW w:w="7763" w:type="dxa"/>
          </w:tcPr>
          <w:p>
            <w:pPr>
              <w:pStyle w:val="TableParagraph"/>
              <w:spacing w:before="122"/>
              <w:ind w:left="313"/>
              <w:rPr>
                <w:sz w:val="21"/>
              </w:rPr>
            </w:pPr>
            <w:r>
              <w:rPr>
                <w:sz w:val="21"/>
              </w:rPr>
              <w:t>在本附加合同有效期内，我们承担如下保险责任：</w:t>
            </w:r>
          </w:p>
          <w:p>
            <w:pPr>
              <w:pStyle w:val="TableParagraph"/>
              <w:spacing w:before="19"/>
              <w:ind w:left="313"/>
              <w:rPr>
                <w:sz w:val="21"/>
              </w:rPr>
            </w:pPr>
            <w:r>
              <w:rPr>
                <w:rFonts w:ascii="Times New Roman" w:eastAsia="Times New Roman"/>
                <w:spacing w:val="-53"/>
                <w:w w:val="100"/>
                <w:sz w:val="21"/>
                <w:shd w:fill="D9D9D9" w:color="auto" w:val="clear"/>
              </w:rPr>
              <w:t> </w:t>
            </w:r>
            <w:r>
              <w:rPr>
                <w:spacing w:val="-4"/>
                <w:sz w:val="21"/>
                <w:shd w:fill="D9D9D9" w:color="auto" w:val="clear"/>
              </w:rPr>
              <w:t>自本附加合同生效</w:t>
            </w:r>
            <w:r>
              <w:rPr>
                <w:sz w:val="21"/>
                <w:shd w:fill="D9D9D9" w:color="auto" w:val="clear"/>
              </w:rPr>
              <w:t>（</w:t>
            </w:r>
            <w:r>
              <w:rPr>
                <w:spacing w:val="-3"/>
                <w:sz w:val="21"/>
                <w:shd w:fill="D9D9D9" w:color="auto" w:val="clear"/>
              </w:rPr>
              <w:t>或最后复效</w:t>
            </w:r>
            <w:r>
              <w:rPr>
                <w:spacing w:val="-5"/>
                <w:sz w:val="21"/>
                <w:shd w:fill="D9D9D9" w:color="auto" w:val="clear"/>
              </w:rPr>
              <w:t>）</w:t>
            </w:r>
            <w:r>
              <w:rPr>
                <w:spacing w:val="-10"/>
                <w:sz w:val="21"/>
                <w:shd w:fill="D9D9D9" w:color="auto" w:val="clear"/>
              </w:rPr>
              <w:t>之日起 </w:t>
            </w:r>
            <w:r>
              <w:rPr>
                <w:sz w:val="21"/>
                <w:shd w:fill="D9D9D9" w:color="auto" w:val="clear"/>
              </w:rPr>
              <w:t>180</w:t>
            </w:r>
            <w:r>
              <w:rPr>
                <w:spacing w:val="-8"/>
                <w:sz w:val="21"/>
                <w:shd w:fill="D9D9D9" w:color="auto" w:val="clear"/>
              </w:rPr>
              <w:t> 天内，被保险人发生下列情形之一</w:t>
            </w:r>
          </w:p>
          <w:p>
            <w:pPr>
              <w:pStyle w:val="TableParagraph"/>
              <w:spacing w:before="36"/>
              <w:ind w:left="313"/>
              <w:rPr>
                <w:sz w:val="21"/>
              </w:rPr>
            </w:pPr>
            <w:r>
              <w:rPr>
                <w:rFonts w:ascii="Times New Roman" w:hAnsi="Times New Roman" w:eastAsia="Times New Roman"/>
                <w:spacing w:val="-53"/>
                <w:w w:val="100"/>
                <w:sz w:val="21"/>
                <w:shd w:fill="D9D9D9" w:color="auto" w:val="clear"/>
              </w:rPr>
              <w:t> </w:t>
            </w:r>
            <w:r>
              <w:rPr>
                <w:spacing w:val="-9"/>
                <w:w w:val="100"/>
                <w:sz w:val="21"/>
                <w:shd w:fill="D9D9D9" w:color="auto" w:val="clear"/>
              </w:rPr>
              <w:t>的，本附加合同效力终止，我们将无息退还本附加合同已交的保险费</w:t>
            </w:r>
            <w:r>
              <w:rPr>
                <w:spacing w:val="-137"/>
                <w:w w:val="100"/>
                <w:sz w:val="21"/>
                <w:shd w:fill="D9D9D9" w:color="auto" w:val="clear"/>
              </w:rPr>
              <w:t>：</w:t>
            </w:r>
            <w:r>
              <w:rPr>
                <w:w w:val="100"/>
                <w:sz w:val="21"/>
                <w:shd w:fill="D9D9D9" w:color="auto" w:val="clear"/>
              </w:rPr>
              <w:t>（</w:t>
            </w:r>
            <w:r>
              <w:rPr>
                <w:spacing w:val="-3"/>
                <w:w w:val="100"/>
                <w:sz w:val="21"/>
                <w:shd w:fill="D9D9D9" w:color="auto" w:val="clear"/>
              </w:rPr>
              <w:t>一</w:t>
            </w:r>
            <w:r>
              <w:rPr>
                <w:spacing w:val="-31"/>
                <w:w w:val="100"/>
                <w:sz w:val="21"/>
                <w:shd w:fill="D9D9D9" w:color="auto" w:val="clear"/>
              </w:rPr>
              <w:t>）</w:t>
            </w:r>
            <w:r>
              <w:rPr>
                <w:w w:val="100"/>
                <w:sz w:val="21"/>
                <w:shd w:fill="D9D9D9" w:color="auto" w:val="clear"/>
              </w:rPr>
              <w:t>“轻</w:t>
            </w:r>
          </w:p>
          <w:p>
            <w:pPr>
              <w:pStyle w:val="TableParagraph"/>
              <w:spacing w:before="36"/>
              <w:ind w:left="313"/>
              <w:rPr>
                <w:sz w:val="21"/>
              </w:rPr>
            </w:pPr>
            <w:r>
              <w:rPr>
                <w:rFonts w:ascii="Times New Roman" w:hAnsi="Times New Roman" w:eastAsia="Times New Roman"/>
                <w:spacing w:val="-53"/>
                <w:w w:val="100"/>
                <w:sz w:val="21"/>
                <w:shd w:fill="D9D9D9" w:color="auto" w:val="clear"/>
              </w:rPr>
              <w:t> </w:t>
            </w:r>
            <w:r>
              <w:rPr>
                <w:spacing w:val="-3"/>
                <w:sz w:val="21"/>
                <w:shd w:fill="D9D9D9" w:color="auto" w:val="clear"/>
              </w:rPr>
              <w:t>症重疾”或“重大疾病”（</w:t>
            </w:r>
            <w:r>
              <w:rPr>
                <w:sz w:val="21"/>
                <w:shd w:fill="D9D9D9" w:color="auto" w:val="clear"/>
              </w:rPr>
              <w:t>二</w:t>
            </w:r>
            <w:r>
              <w:rPr>
                <w:spacing w:val="-3"/>
                <w:sz w:val="21"/>
                <w:shd w:fill="D9D9D9" w:color="auto" w:val="clear"/>
              </w:rPr>
              <w:t>）</w:t>
            </w:r>
            <w:r>
              <w:rPr>
                <w:spacing w:val="-4"/>
                <w:sz w:val="21"/>
                <w:shd w:fill="D9D9D9" w:color="auto" w:val="clear"/>
              </w:rPr>
              <w:t>因导致“轻症重疾”或“重大疾病”的相关疾病</w:t>
            </w:r>
          </w:p>
          <w:p>
            <w:pPr>
              <w:pStyle w:val="TableParagraph"/>
              <w:spacing w:line="273" w:lineRule="auto" w:before="36"/>
              <w:ind w:left="313" w:right="102"/>
              <w:rPr>
                <w:sz w:val="21"/>
              </w:rPr>
            </w:pPr>
            <w:r>
              <w:rPr>
                <w:rFonts w:ascii="Times New Roman" w:eastAsia="Times New Roman"/>
                <w:spacing w:val="-53"/>
                <w:w w:val="100"/>
                <w:sz w:val="21"/>
                <w:shd w:fill="D9D9D9" w:color="auto" w:val="clear"/>
              </w:rPr>
              <w:t> </w:t>
            </w:r>
            <w:r>
              <w:rPr>
                <w:spacing w:val="-10"/>
                <w:sz w:val="21"/>
                <w:shd w:fill="D9D9D9" w:color="auto" w:val="clear"/>
              </w:rPr>
              <w:t>就诊。这 </w:t>
            </w:r>
            <w:r>
              <w:rPr>
                <w:sz w:val="21"/>
                <w:shd w:fill="D9D9D9" w:color="auto" w:val="clear"/>
              </w:rPr>
              <w:t>180</w:t>
            </w:r>
            <w:r>
              <w:rPr>
                <w:spacing w:val="-7"/>
                <w:sz w:val="21"/>
                <w:shd w:fill="D9D9D9" w:color="auto" w:val="clear"/>
              </w:rPr>
              <w:t> 天的时间称为等待期</w:t>
            </w:r>
            <w:r>
              <w:rPr>
                <w:spacing w:val="-4"/>
                <w:sz w:val="21"/>
              </w:rPr>
              <w:t>；被保险人因</w:t>
            </w:r>
            <w:r>
              <w:rPr>
                <w:b/>
                <w:sz w:val="21"/>
              </w:rPr>
              <w:t>意外伤害</w:t>
            </w:r>
            <w:r>
              <w:rPr>
                <w:spacing w:val="-3"/>
                <w:sz w:val="21"/>
              </w:rPr>
              <w:t>发生上述两项情形之一的，无等待期。</w:t>
            </w:r>
          </w:p>
          <w:p>
            <w:pPr>
              <w:pStyle w:val="TableParagraph"/>
              <w:spacing w:line="312" w:lineRule="exact" w:before="3"/>
              <w:ind w:left="313" w:right="103"/>
              <w:rPr>
                <w:sz w:val="21"/>
              </w:rPr>
            </w:pPr>
            <w:r>
              <w:rPr>
                <w:sz w:val="21"/>
              </w:rPr>
              <w:t>被保险人因意外伤害或于等待期后发生保险事故，我们按照下列方式给付保险金:</w:t>
            </w:r>
          </w:p>
        </w:tc>
      </w:tr>
    </w:tbl>
    <w:p>
      <w:pPr>
        <w:spacing w:after="0" w:line="312" w:lineRule="exact"/>
        <w:rPr>
          <w:sz w:val="21"/>
        </w:rPr>
        <w:sectPr>
          <w:headerReference w:type="default" r:id="rId6"/>
          <w:pgSz w:w="11910" w:h="16840"/>
          <w:pgMar w:header="568" w:footer="0" w:top="800" w:bottom="280" w:left="760" w:right="7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634"/>
      </w:tblGrid>
      <w:tr>
        <w:trPr>
          <w:trHeight w:val="1288" w:hRule="atLeast"/>
        </w:trPr>
        <w:tc>
          <w:tcPr>
            <w:tcW w:w="1062" w:type="dxa"/>
          </w:tcPr>
          <w:p>
            <w:pPr>
              <w:pStyle w:val="TableParagraph"/>
              <w:spacing w:line="222" w:lineRule="exact"/>
              <w:ind w:left="200"/>
              <w:rPr>
                <w:i/>
                <w:sz w:val="22"/>
              </w:rPr>
            </w:pPr>
            <w:r>
              <w:rPr>
                <w:i/>
                <w:sz w:val="22"/>
              </w:rPr>
              <w:t>2.3.2</w:t>
            </w:r>
          </w:p>
        </w:tc>
        <w:tc>
          <w:tcPr>
            <w:tcW w:w="1723" w:type="dxa"/>
          </w:tcPr>
          <w:p>
            <w:pPr>
              <w:pStyle w:val="TableParagraph"/>
              <w:spacing w:line="222" w:lineRule="exact"/>
              <w:ind w:left="333"/>
              <w:rPr>
                <w:i/>
                <w:sz w:val="22"/>
              </w:rPr>
            </w:pPr>
            <w:r>
              <w:rPr>
                <w:i/>
                <w:w w:val="95"/>
                <w:sz w:val="22"/>
              </w:rPr>
              <w:t>轻症重疾保</w:t>
            </w:r>
            <w:r>
              <w:rPr>
                <w:i/>
                <w:sz w:val="22"/>
              </w:rPr>
              <w:t> </w:t>
            </w:r>
          </w:p>
          <w:p>
            <w:pPr>
              <w:pStyle w:val="TableParagraph"/>
              <w:spacing w:before="24"/>
              <w:ind w:left="333"/>
              <w:rPr>
                <w:i/>
                <w:sz w:val="22"/>
              </w:rPr>
            </w:pPr>
            <w:r>
              <w:rPr>
                <w:i/>
                <w:w w:val="95"/>
                <w:sz w:val="22"/>
              </w:rPr>
              <w:t>险金</w:t>
            </w:r>
          </w:p>
        </w:tc>
        <w:tc>
          <w:tcPr>
            <w:tcW w:w="7634" w:type="dxa"/>
          </w:tcPr>
          <w:p>
            <w:pPr>
              <w:pStyle w:val="TableParagraph"/>
              <w:spacing w:line="221" w:lineRule="exact"/>
              <w:rPr>
                <w:sz w:val="21"/>
              </w:rPr>
            </w:pPr>
            <w:r>
              <w:rPr>
                <w:sz w:val="21"/>
              </w:rPr>
              <w:t>若被保险人在确诊首次患本附加合同约定的重大疾病（无论一种或多种）前，经</w:t>
            </w:r>
          </w:p>
          <w:p>
            <w:pPr>
              <w:pStyle w:val="TableParagraph"/>
              <w:spacing w:line="273" w:lineRule="auto" w:before="37"/>
              <w:ind w:right="204"/>
              <w:jc w:val="both"/>
              <w:rPr>
                <w:sz w:val="21"/>
              </w:rPr>
            </w:pPr>
            <w:r>
              <w:rPr>
                <w:b/>
                <w:spacing w:val="-2"/>
                <w:sz w:val="21"/>
              </w:rPr>
              <w:t>我们认可的医院专科医生</w:t>
            </w:r>
            <w:r>
              <w:rPr>
                <w:spacing w:val="-4"/>
                <w:sz w:val="21"/>
              </w:rPr>
              <w:t>确诊首次患本附加合同约定的轻症重疾</w:t>
            </w:r>
            <w:r>
              <w:rPr>
                <w:spacing w:val="-3"/>
                <w:sz w:val="21"/>
              </w:rPr>
              <w:t>（无论一种或多</w:t>
            </w:r>
            <w:r>
              <w:rPr>
                <w:spacing w:val="1"/>
                <w:w w:val="100"/>
                <w:sz w:val="21"/>
              </w:rPr>
              <w:t>种</w:t>
            </w:r>
            <w:r>
              <w:rPr>
                <w:spacing w:val="-104"/>
                <w:w w:val="100"/>
                <w:sz w:val="21"/>
              </w:rPr>
              <w:t>）</w:t>
            </w:r>
            <w:r>
              <w:rPr>
                <w:w w:val="100"/>
                <w:sz w:val="21"/>
              </w:rPr>
              <w:t>，本“轻症重疾保险金”责任终止，我们按照确诊当时的轻症重疾保险金额</w:t>
            </w:r>
            <w:r>
              <w:rPr>
                <w:spacing w:val="-3"/>
                <w:sz w:val="21"/>
              </w:rPr>
              <w:t>给付轻症重疾保险金，本附加合同继续有效。</w:t>
            </w:r>
          </w:p>
        </w:tc>
      </w:tr>
      <w:tr>
        <w:trPr>
          <w:trHeight w:val="3391" w:hRule="atLeast"/>
        </w:trPr>
        <w:tc>
          <w:tcPr>
            <w:tcW w:w="1062" w:type="dxa"/>
          </w:tcPr>
          <w:p>
            <w:pPr>
              <w:pStyle w:val="TableParagraph"/>
              <w:spacing w:before="65"/>
              <w:ind w:left="200"/>
              <w:rPr>
                <w:i/>
                <w:sz w:val="22"/>
              </w:rPr>
            </w:pPr>
            <w:r>
              <w:rPr>
                <w:i/>
                <w:sz w:val="22"/>
              </w:rPr>
              <w:t>2.3.3</w:t>
            </w:r>
          </w:p>
        </w:tc>
        <w:tc>
          <w:tcPr>
            <w:tcW w:w="1723" w:type="dxa"/>
          </w:tcPr>
          <w:p>
            <w:pPr>
              <w:pStyle w:val="TableParagraph"/>
              <w:spacing w:line="259" w:lineRule="auto" w:before="65"/>
              <w:ind w:left="333" w:right="79"/>
              <w:rPr>
                <w:i/>
                <w:sz w:val="22"/>
              </w:rPr>
            </w:pPr>
            <w:r>
              <w:rPr>
                <w:i/>
                <w:w w:val="95"/>
                <w:sz w:val="22"/>
              </w:rPr>
              <w:t>重大疾病保险金</w:t>
            </w:r>
          </w:p>
        </w:tc>
        <w:tc>
          <w:tcPr>
            <w:tcW w:w="7634" w:type="dxa"/>
          </w:tcPr>
          <w:p>
            <w:pPr>
              <w:pStyle w:val="TableParagraph"/>
              <w:spacing w:before="103"/>
              <w:rPr>
                <w:sz w:val="21"/>
              </w:rPr>
            </w:pPr>
            <w:r>
              <w:rPr>
                <w:sz w:val="21"/>
              </w:rPr>
              <w:t>若被保险人经我们认可的医院专科医生确诊首次患本附加合同约定的重大疾病</w:t>
            </w:r>
          </w:p>
          <w:p>
            <w:pPr>
              <w:pStyle w:val="TableParagraph"/>
              <w:spacing w:line="278" w:lineRule="auto" w:before="46"/>
              <w:ind w:right="206"/>
              <w:jc w:val="both"/>
              <w:rPr>
                <w:sz w:val="21"/>
              </w:rPr>
            </w:pPr>
            <w:r>
              <w:rPr>
                <w:w w:val="100"/>
                <w:sz w:val="21"/>
              </w:rPr>
              <w:t>（</w:t>
            </w:r>
            <w:r>
              <w:rPr>
                <w:spacing w:val="-3"/>
                <w:w w:val="100"/>
                <w:sz w:val="21"/>
              </w:rPr>
              <w:t>无论一种或多种</w:t>
            </w:r>
            <w:r>
              <w:rPr>
                <w:spacing w:val="-108"/>
                <w:w w:val="100"/>
                <w:sz w:val="21"/>
              </w:rPr>
              <w:t>）</w:t>
            </w:r>
            <w:r>
              <w:rPr>
                <w:spacing w:val="-3"/>
                <w:w w:val="100"/>
                <w:sz w:val="21"/>
              </w:rPr>
              <w:t>，并经医院确诊之日起生存满</w:t>
            </w:r>
            <w:r>
              <w:rPr>
                <w:spacing w:val="-3"/>
                <w:sz w:val="21"/>
              </w:rPr>
              <w:t> </w:t>
            </w:r>
            <w:r>
              <w:rPr>
                <w:spacing w:val="-3"/>
                <w:w w:val="100"/>
                <w:sz w:val="21"/>
              </w:rPr>
              <w:t>2</w:t>
            </w:r>
            <w:r>
              <w:rPr>
                <w:w w:val="100"/>
                <w:sz w:val="21"/>
              </w:rPr>
              <w:t>8</w:t>
            </w:r>
            <w:r>
              <w:rPr>
                <w:spacing w:val="-55"/>
                <w:sz w:val="21"/>
              </w:rPr>
              <w:t> </w:t>
            </w:r>
            <w:r>
              <w:rPr>
                <w:spacing w:val="-3"/>
                <w:w w:val="100"/>
                <w:sz w:val="21"/>
              </w:rPr>
              <w:t>天，除本附加合同另有约定</w:t>
            </w:r>
            <w:r>
              <w:rPr>
                <w:spacing w:val="-5"/>
                <w:sz w:val="21"/>
              </w:rPr>
              <w:t>外，本附加合同效力终止，我们按照确诊当时本附加合同的基本保险金额给付重</w:t>
            </w:r>
            <w:r>
              <w:rPr>
                <w:spacing w:val="-4"/>
                <w:sz w:val="21"/>
              </w:rPr>
              <w:t>大疾病保险金。</w:t>
            </w:r>
          </w:p>
          <w:p>
            <w:pPr>
              <w:pStyle w:val="TableParagraph"/>
              <w:spacing w:line="273" w:lineRule="auto" w:before="1"/>
              <w:ind w:right="204"/>
              <w:jc w:val="both"/>
              <w:rPr>
                <w:sz w:val="21"/>
              </w:rPr>
            </w:pPr>
            <w:r>
              <w:rPr>
                <w:spacing w:val="-11"/>
                <w:w w:val="100"/>
                <w:sz w:val="21"/>
              </w:rPr>
              <w:t>若被保险人所患疾病为恶性肿瘤</w:t>
            </w:r>
            <w:r>
              <w:rPr>
                <w:w w:val="100"/>
                <w:sz w:val="21"/>
              </w:rPr>
              <w:t>（见</w:t>
            </w:r>
            <w:r>
              <w:rPr>
                <w:spacing w:val="-60"/>
                <w:sz w:val="21"/>
              </w:rPr>
              <w:t> </w:t>
            </w:r>
            <w:r>
              <w:rPr>
                <w:w w:val="100"/>
                <w:sz w:val="21"/>
              </w:rPr>
              <w:t>3.4</w:t>
            </w:r>
            <w:r>
              <w:rPr>
                <w:spacing w:val="-3"/>
                <w:w w:val="100"/>
                <w:sz w:val="21"/>
              </w:rPr>
              <w:t>.</w:t>
            </w:r>
            <w:r>
              <w:rPr>
                <w:w w:val="100"/>
                <w:sz w:val="21"/>
              </w:rPr>
              <w:t>1.</w:t>
            </w:r>
            <w:r>
              <w:rPr>
                <w:spacing w:val="-1"/>
                <w:w w:val="100"/>
                <w:sz w:val="21"/>
              </w:rPr>
              <w:t>1</w:t>
            </w:r>
            <w:r>
              <w:rPr>
                <w:spacing w:val="-108"/>
                <w:w w:val="100"/>
                <w:sz w:val="21"/>
              </w:rPr>
              <w:t>）</w:t>
            </w:r>
            <w:r>
              <w:rPr>
                <w:spacing w:val="-14"/>
                <w:w w:val="100"/>
                <w:sz w:val="21"/>
              </w:rPr>
              <w:t>，我们在根据本附加合同</w:t>
            </w:r>
            <w:r>
              <w:rPr>
                <w:spacing w:val="-14"/>
                <w:sz w:val="21"/>
              </w:rPr>
              <w:t> </w:t>
            </w:r>
            <w:r>
              <w:rPr>
                <w:i/>
                <w:spacing w:val="-3"/>
                <w:w w:val="96"/>
                <w:sz w:val="22"/>
              </w:rPr>
              <w:t>2</w:t>
            </w:r>
            <w:r>
              <w:rPr>
                <w:i/>
                <w:w w:val="96"/>
                <w:sz w:val="22"/>
              </w:rPr>
              <w:t>.3.</w:t>
            </w:r>
            <w:r>
              <w:rPr>
                <w:i/>
                <w:spacing w:val="-5"/>
                <w:w w:val="96"/>
                <w:sz w:val="22"/>
              </w:rPr>
              <w:t>3</w:t>
            </w:r>
            <w:r>
              <w:rPr>
                <w:w w:val="100"/>
                <w:sz w:val="21"/>
              </w:rPr>
              <w:t>“重</w:t>
            </w:r>
            <w:r>
              <w:rPr>
                <w:spacing w:val="-13"/>
                <w:sz w:val="21"/>
              </w:rPr>
              <w:t>大疾病保险金”责任给付重大疾病保险金后，本附加合同继续有效，但 </w:t>
            </w:r>
            <w:r>
              <w:rPr>
                <w:i/>
                <w:spacing w:val="-8"/>
                <w:sz w:val="22"/>
              </w:rPr>
              <w:t>2.3.2</w:t>
            </w:r>
            <w:r>
              <w:rPr>
                <w:spacing w:val="-4"/>
                <w:sz w:val="21"/>
              </w:rPr>
              <w:t>“轻</w:t>
            </w:r>
            <w:r>
              <w:rPr>
                <w:spacing w:val="-5"/>
                <w:sz w:val="21"/>
              </w:rPr>
              <w:t>症重疾保险金”责任、</w:t>
            </w:r>
            <w:r>
              <w:rPr>
                <w:i/>
                <w:spacing w:val="-3"/>
                <w:sz w:val="22"/>
              </w:rPr>
              <w:t>2.3.3</w:t>
            </w:r>
            <w:r>
              <w:rPr>
                <w:spacing w:val="-8"/>
                <w:sz w:val="21"/>
              </w:rPr>
              <w:t>“重大疾病保险金”责任和 </w:t>
            </w:r>
            <w:r>
              <w:rPr>
                <w:i/>
                <w:spacing w:val="-4"/>
                <w:sz w:val="22"/>
              </w:rPr>
              <w:t>2.3.5</w:t>
            </w:r>
            <w:r>
              <w:rPr>
                <w:spacing w:val="-5"/>
                <w:sz w:val="21"/>
              </w:rPr>
              <w:t>“身故、全残保险</w:t>
            </w:r>
            <w:r>
              <w:rPr>
                <w:spacing w:val="-4"/>
                <w:sz w:val="21"/>
              </w:rPr>
              <w:t>金”责任终止，且自给付重大疾病保险金开始至本附加合同效力终止，本附加合同的现金价值均为零。同时我们还将豁免自被保险人确诊患本次恶性肿瘤之日起</w:t>
            </w:r>
            <w:r>
              <w:rPr>
                <w:spacing w:val="-3"/>
                <w:sz w:val="21"/>
              </w:rPr>
              <w:t>本附加合同应交且未交的保险费。</w:t>
            </w:r>
          </w:p>
        </w:tc>
      </w:tr>
      <w:tr>
        <w:trPr>
          <w:trHeight w:val="1532" w:hRule="atLeast"/>
        </w:trPr>
        <w:tc>
          <w:tcPr>
            <w:tcW w:w="1062" w:type="dxa"/>
          </w:tcPr>
          <w:p>
            <w:pPr>
              <w:pStyle w:val="TableParagraph"/>
              <w:spacing w:before="67"/>
              <w:ind w:left="200"/>
              <w:rPr>
                <w:i/>
                <w:sz w:val="22"/>
              </w:rPr>
            </w:pPr>
            <w:r>
              <w:rPr>
                <w:i/>
                <w:sz w:val="22"/>
              </w:rPr>
              <w:t>2.3.4</w:t>
            </w:r>
          </w:p>
        </w:tc>
        <w:tc>
          <w:tcPr>
            <w:tcW w:w="1723" w:type="dxa"/>
          </w:tcPr>
          <w:p>
            <w:pPr>
              <w:pStyle w:val="TableParagraph"/>
              <w:spacing w:line="259" w:lineRule="auto" w:before="67"/>
              <w:ind w:left="333" w:right="79"/>
              <w:rPr>
                <w:i/>
                <w:sz w:val="22"/>
              </w:rPr>
            </w:pPr>
            <w:r>
              <w:rPr>
                <w:i/>
                <w:w w:val="95"/>
                <w:sz w:val="22"/>
              </w:rPr>
              <w:t>再次恶性肿瘤保险金</w:t>
            </w:r>
          </w:p>
        </w:tc>
        <w:tc>
          <w:tcPr>
            <w:tcW w:w="7634" w:type="dxa"/>
          </w:tcPr>
          <w:p>
            <w:pPr>
              <w:pStyle w:val="TableParagraph"/>
              <w:spacing w:line="278" w:lineRule="auto" w:before="105"/>
              <w:ind w:right="198"/>
              <w:jc w:val="both"/>
              <w:rPr>
                <w:sz w:val="21"/>
              </w:rPr>
            </w:pPr>
            <w:r>
              <w:rPr>
                <w:spacing w:val="-4"/>
                <w:sz w:val="21"/>
              </w:rPr>
              <w:t>对于已经因恶性肿瘤而获得重大疾病保险金给付的被保险人，自首次确诊患有恶</w:t>
            </w:r>
            <w:r>
              <w:rPr>
                <w:spacing w:val="-3"/>
                <w:sz w:val="21"/>
              </w:rPr>
              <w:t>性肿瘤之日起生存满两年后，如果经我们认可的医院专科医生再次确诊患新发、</w:t>
            </w:r>
            <w:r>
              <w:rPr>
                <w:spacing w:val="-5"/>
                <w:w w:val="100"/>
                <w:sz w:val="21"/>
              </w:rPr>
              <w:t>复发或转移的恶性肿瘤</w:t>
            </w:r>
            <w:r>
              <w:rPr>
                <w:spacing w:val="-3"/>
                <w:w w:val="100"/>
                <w:sz w:val="21"/>
              </w:rPr>
              <w:t>（</w:t>
            </w:r>
            <w:r>
              <w:rPr>
                <w:w w:val="100"/>
                <w:sz w:val="21"/>
              </w:rPr>
              <w:t>见</w:t>
            </w:r>
            <w:r>
              <w:rPr>
                <w:spacing w:val="-53"/>
                <w:sz w:val="21"/>
              </w:rPr>
              <w:t> </w:t>
            </w:r>
            <w:r>
              <w:rPr>
                <w:w w:val="100"/>
                <w:sz w:val="21"/>
              </w:rPr>
              <w:t>3.</w:t>
            </w:r>
            <w:r>
              <w:rPr>
                <w:spacing w:val="-3"/>
                <w:w w:val="100"/>
                <w:sz w:val="21"/>
              </w:rPr>
              <w:t>4</w:t>
            </w:r>
            <w:r>
              <w:rPr>
                <w:w w:val="100"/>
                <w:sz w:val="21"/>
              </w:rPr>
              <w:t>.1.</w:t>
            </w:r>
            <w:r>
              <w:rPr>
                <w:spacing w:val="-3"/>
                <w:w w:val="100"/>
                <w:sz w:val="21"/>
              </w:rPr>
              <w:t>1</w:t>
            </w:r>
            <w:r>
              <w:rPr>
                <w:spacing w:val="-106"/>
                <w:w w:val="100"/>
                <w:sz w:val="21"/>
              </w:rPr>
              <w:t>）</w:t>
            </w:r>
            <w:r>
              <w:rPr>
                <w:spacing w:val="-8"/>
                <w:w w:val="100"/>
                <w:sz w:val="21"/>
              </w:rPr>
              <w:t>，本附加合同效力终止，我们将按照确诊当</w:t>
            </w:r>
            <w:r>
              <w:rPr>
                <w:spacing w:val="-3"/>
                <w:sz w:val="21"/>
              </w:rPr>
              <w:t>时本附加合同的再次恶性肿瘤保险金额给付再次恶性肿瘤保险金。</w:t>
            </w:r>
          </w:p>
        </w:tc>
      </w:tr>
      <w:tr>
        <w:trPr>
          <w:trHeight w:val="2126" w:hRule="atLeast"/>
        </w:trPr>
        <w:tc>
          <w:tcPr>
            <w:tcW w:w="1062" w:type="dxa"/>
          </w:tcPr>
          <w:p>
            <w:pPr>
              <w:pStyle w:val="TableParagraph"/>
              <w:spacing w:before="126"/>
              <w:ind w:left="200"/>
              <w:rPr>
                <w:i/>
                <w:sz w:val="22"/>
              </w:rPr>
            </w:pPr>
            <w:r>
              <w:rPr>
                <w:i/>
                <w:sz w:val="22"/>
              </w:rPr>
              <w:t>2.3.5</w:t>
            </w:r>
          </w:p>
        </w:tc>
        <w:tc>
          <w:tcPr>
            <w:tcW w:w="1723" w:type="dxa"/>
          </w:tcPr>
          <w:p>
            <w:pPr>
              <w:pStyle w:val="TableParagraph"/>
              <w:spacing w:line="259" w:lineRule="auto" w:before="126"/>
              <w:ind w:left="333" w:right="129"/>
              <w:rPr>
                <w:i/>
                <w:sz w:val="22"/>
              </w:rPr>
            </w:pPr>
            <w:r>
              <w:rPr>
                <w:i/>
                <w:w w:val="95"/>
                <w:sz w:val="22"/>
              </w:rPr>
              <w:t>身故、全残保险金</w:t>
            </w:r>
          </w:p>
        </w:tc>
        <w:tc>
          <w:tcPr>
            <w:tcW w:w="7634" w:type="dxa"/>
          </w:tcPr>
          <w:p>
            <w:pPr>
              <w:pStyle w:val="TableParagraph"/>
              <w:spacing w:line="273" w:lineRule="auto" w:before="138"/>
              <w:ind w:right="161"/>
              <w:rPr>
                <w:sz w:val="21"/>
              </w:rPr>
            </w:pPr>
            <w:r>
              <w:rPr>
                <w:sz w:val="21"/>
              </w:rPr>
              <w:t>除本附加合同另有约定外，若被保险人身故或</w:t>
            </w:r>
            <w:r>
              <w:rPr>
                <w:b/>
                <w:sz w:val="21"/>
              </w:rPr>
              <w:t>全残</w:t>
            </w:r>
            <w:r>
              <w:rPr>
                <w:sz w:val="21"/>
              </w:rPr>
              <w:t>，我们将按以下两项中金额较大者给付身故、全残保险金，本附加合同效力终止：</w:t>
            </w:r>
          </w:p>
          <w:p>
            <w:pPr>
              <w:pStyle w:val="TableParagraph"/>
              <w:spacing w:before="8"/>
              <w:rPr>
                <w:sz w:val="21"/>
              </w:rPr>
            </w:pPr>
            <w:r>
              <w:rPr>
                <w:sz w:val="21"/>
              </w:rPr>
              <w:t>（1）本附加合同的累计已交保险费；</w:t>
            </w:r>
          </w:p>
          <w:p>
            <w:pPr>
              <w:pStyle w:val="TableParagraph"/>
              <w:spacing w:before="37"/>
              <w:rPr>
                <w:sz w:val="21"/>
              </w:rPr>
            </w:pPr>
            <w:r>
              <w:rPr>
                <w:sz w:val="21"/>
              </w:rPr>
              <w:t>（2）本附加合同当时的现金价值。</w:t>
            </w:r>
          </w:p>
          <w:p>
            <w:pPr>
              <w:pStyle w:val="TableParagraph"/>
              <w:spacing w:before="25"/>
              <w:rPr>
                <w:sz w:val="21"/>
              </w:rPr>
            </w:pPr>
            <w:r>
              <w:rPr>
                <w:rFonts w:ascii="Times New Roman" w:hAnsi="Times New Roman" w:eastAsia="Times New Roman"/>
                <w:spacing w:val="-53"/>
                <w:w w:val="100"/>
                <w:sz w:val="21"/>
                <w:shd w:fill="D9D9D9" w:color="auto" w:val="clear"/>
              </w:rPr>
              <w:t> </w:t>
            </w:r>
            <w:r>
              <w:rPr>
                <w:spacing w:val="-5"/>
                <w:sz w:val="21"/>
                <w:shd w:fill="D9D9D9" w:color="auto" w:val="clear"/>
              </w:rPr>
              <w:t>本附加合同的 </w:t>
            </w:r>
            <w:r>
              <w:rPr>
                <w:i/>
                <w:sz w:val="22"/>
                <w:shd w:fill="D9D9D9" w:color="auto" w:val="clear"/>
              </w:rPr>
              <w:t>2.3.3</w:t>
            </w:r>
            <w:r>
              <w:rPr>
                <w:spacing w:val="-5"/>
                <w:sz w:val="21"/>
                <w:shd w:fill="D9D9D9" w:color="auto" w:val="clear"/>
              </w:rPr>
              <w:t>“重大疾病保险金”和 </w:t>
            </w:r>
            <w:r>
              <w:rPr>
                <w:i/>
                <w:sz w:val="22"/>
                <w:shd w:fill="D9D9D9" w:color="auto" w:val="clear"/>
              </w:rPr>
              <w:t>2.3.5</w:t>
            </w:r>
            <w:r>
              <w:rPr>
                <w:spacing w:val="-3"/>
                <w:sz w:val="21"/>
                <w:shd w:fill="D9D9D9" w:color="auto" w:val="clear"/>
              </w:rPr>
              <w:t>“身故、全残保险金”本公司</w:t>
            </w:r>
          </w:p>
          <w:p>
            <w:pPr>
              <w:pStyle w:val="TableParagraph"/>
              <w:spacing w:before="36"/>
              <w:rPr>
                <w:sz w:val="21"/>
              </w:rPr>
            </w:pPr>
            <w:r>
              <w:rPr>
                <w:rFonts w:ascii="Times New Roman" w:eastAsia="Times New Roman"/>
                <w:spacing w:val="-53"/>
                <w:w w:val="100"/>
                <w:sz w:val="21"/>
                <w:shd w:fill="D9D9D9" w:color="auto" w:val="clear"/>
              </w:rPr>
              <w:t> </w:t>
            </w:r>
            <w:r>
              <w:rPr>
                <w:spacing w:val="-3"/>
                <w:sz w:val="21"/>
                <w:shd w:fill="D9D9D9" w:color="auto" w:val="clear"/>
              </w:rPr>
              <w:t>仅给付一项，并以一次为限。</w:t>
            </w:r>
          </w:p>
        </w:tc>
      </w:tr>
      <w:tr>
        <w:trPr>
          <w:trHeight w:val="1513" w:hRule="atLeast"/>
        </w:trPr>
        <w:tc>
          <w:tcPr>
            <w:tcW w:w="1062" w:type="dxa"/>
          </w:tcPr>
          <w:p>
            <w:pPr>
              <w:pStyle w:val="TableParagraph"/>
              <w:spacing w:before="88"/>
              <w:ind w:left="200"/>
              <w:rPr>
                <w:i/>
                <w:sz w:val="22"/>
              </w:rPr>
            </w:pPr>
            <w:r>
              <w:rPr>
                <w:i/>
                <w:sz w:val="22"/>
              </w:rPr>
              <w:t>2.3.6</w:t>
            </w:r>
          </w:p>
        </w:tc>
        <w:tc>
          <w:tcPr>
            <w:tcW w:w="1723" w:type="dxa"/>
          </w:tcPr>
          <w:p>
            <w:pPr>
              <w:pStyle w:val="TableParagraph"/>
              <w:spacing w:line="259" w:lineRule="auto" w:before="88"/>
              <w:ind w:left="333" w:right="79"/>
              <w:rPr>
                <w:i/>
                <w:sz w:val="22"/>
              </w:rPr>
            </w:pPr>
            <w:r>
              <w:rPr>
                <w:i/>
                <w:w w:val="95"/>
                <w:sz w:val="22"/>
              </w:rPr>
              <w:t>关于保险责任的说明</w:t>
            </w:r>
          </w:p>
        </w:tc>
        <w:tc>
          <w:tcPr>
            <w:tcW w:w="7634" w:type="dxa"/>
          </w:tcPr>
          <w:p>
            <w:pPr>
              <w:pStyle w:val="TableParagraph"/>
              <w:spacing w:line="273" w:lineRule="auto" w:before="99"/>
              <w:ind w:right="162"/>
              <w:rPr>
                <w:sz w:val="21"/>
              </w:rPr>
            </w:pPr>
            <w:r>
              <w:rPr>
                <w:sz w:val="21"/>
              </w:rPr>
              <w:t>“累计已交保险费”，指已经过保单年度数（交费期满后为交费年数）乘以年交保险费。</w:t>
            </w:r>
          </w:p>
          <w:p>
            <w:pPr>
              <w:pStyle w:val="TableParagraph"/>
              <w:spacing w:line="273" w:lineRule="auto" w:before="7"/>
              <w:ind w:right="167"/>
              <w:rPr>
                <w:sz w:val="21"/>
              </w:rPr>
            </w:pPr>
            <w:r>
              <w:rPr>
                <w:sz w:val="21"/>
              </w:rPr>
              <w:t>“年交保险费”指按本附加合同约定承担给付保险金责任时基本保险金额及原投保年龄确定的年交保险费。</w:t>
            </w:r>
          </w:p>
        </w:tc>
      </w:tr>
      <w:tr>
        <w:trPr>
          <w:trHeight w:val="4470" w:hRule="atLeast"/>
        </w:trPr>
        <w:tc>
          <w:tcPr>
            <w:tcW w:w="1062" w:type="dxa"/>
          </w:tcPr>
          <w:p>
            <w:pPr>
              <w:pStyle w:val="TableParagraph"/>
              <w:spacing w:before="139"/>
              <w:ind w:left="200"/>
              <w:rPr>
                <w:b/>
                <w:sz w:val="21"/>
              </w:rPr>
            </w:pPr>
            <w:r>
              <w:rPr>
                <w:b/>
                <w:sz w:val="21"/>
              </w:rPr>
              <w:t>2.4</w:t>
            </w:r>
          </w:p>
        </w:tc>
        <w:tc>
          <w:tcPr>
            <w:tcW w:w="1723" w:type="dxa"/>
          </w:tcPr>
          <w:p>
            <w:pPr>
              <w:pStyle w:val="TableParagraph"/>
              <w:spacing w:before="139"/>
              <w:ind w:left="333"/>
              <w:rPr>
                <w:b/>
                <w:sz w:val="21"/>
              </w:rPr>
            </w:pPr>
            <w:r>
              <w:rPr>
                <w:b/>
                <w:sz w:val="21"/>
              </w:rPr>
              <w:t>责任免除</w:t>
            </w:r>
          </w:p>
        </w:tc>
        <w:tc>
          <w:tcPr>
            <w:tcW w:w="7634" w:type="dxa"/>
          </w:tcPr>
          <w:p>
            <w:pPr>
              <w:pStyle w:val="TableParagraph"/>
              <w:spacing w:before="139"/>
              <w:rPr>
                <w:sz w:val="21"/>
              </w:rPr>
            </w:pPr>
            <w:r>
              <w:rPr>
                <w:rFonts w:ascii="Times New Roman" w:eastAsia="Times New Roman"/>
                <w:spacing w:val="-53"/>
                <w:w w:val="100"/>
                <w:sz w:val="21"/>
                <w:shd w:fill="D9D9D9" w:color="auto" w:val="clear"/>
              </w:rPr>
              <w:t> </w:t>
            </w:r>
            <w:r>
              <w:rPr>
                <w:spacing w:val="-5"/>
                <w:sz w:val="21"/>
                <w:shd w:fill="D9D9D9" w:color="auto" w:val="clear"/>
              </w:rPr>
              <w:t>因下列情形之一，导致被保险人身故或全残的，本公司不承担给付身故、全残保</w:t>
            </w:r>
          </w:p>
          <w:p>
            <w:pPr>
              <w:pStyle w:val="TableParagraph"/>
              <w:spacing w:before="37"/>
              <w:rPr>
                <w:sz w:val="21"/>
              </w:rPr>
            </w:pPr>
            <w:r>
              <w:rPr>
                <w:rFonts w:ascii="Times New Roman" w:eastAsia="Times New Roman"/>
                <w:spacing w:val="-53"/>
                <w:w w:val="100"/>
                <w:sz w:val="21"/>
                <w:shd w:fill="D9D9D9" w:color="auto" w:val="clear"/>
              </w:rPr>
              <w:t> </w:t>
            </w:r>
            <w:r>
              <w:rPr>
                <w:spacing w:val="-2"/>
                <w:sz w:val="21"/>
                <w:shd w:fill="D9D9D9" w:color="auto" w:val="clear"/>
              </w:rPr>
              <w:t>险金的责任：</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3"/>
                <w:sz w:val="21"/>
                <w:shd w:fill="D9D9D9" w:color="auto" w:val="clear"/>
              </w:rPr>
              <w:t>投保人对被保险人的故意杀害、故意伤害；</w:t>
            </w:r>
            <w:r>
              <w:rPr>
                <w:spacing w:val="-2"/>
                <w:sz w:val="21"/>
                <w:shd w:fill="D9D9D9" w:color="auto" w:val="clear"/>
              </w:rPr>
              <w:t> </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（2）</w:t>
            </w:r>
            <w:r>
              <w:rPr>
                <w:spacing w:val="-3"/>
                <w:sz w:val="21"/>
                <w:shd w:fill="D9D9D9" w:color="auto" w:val="clear"/>
              </w:rPr>
              <w:t>被保险人故意犯罪或抗拒依法采取的刑事强制措施；</w:t>
            </w:r>
            <w:r>
              <w:rPr>
                <w:spacing w:val="-5"/>
                <w:sz w:val="21"/>
                <w:shd w:fill="D9D9D9" w:color="auto" w:val="clear"/>
              </w:rPr>
              <w:t> </w:t>
            </w:r>
          </w:p>
          <w:p>
            <w:pPr>
              <w:pStyle w:val="TableParagraph"/>
              <w:spacing w:before="37"/>
              <w:rPr>
                <w:sz w:val="21"/>
              </w:rPr>
            </w:pPr>
            <w:r>
              <w:rPr>
                <w:rFonts w:ascii="Times New Roman" w:eastAsia="Times New Roman"/>
                <w:spacing w:val="-53"/>
                <w:w w:val="100"/>
                <w:sz w:val="21"/>
                <w:shd w:fill="D9D9D9" w:color="auto" w:val="clear"/>
              </w:rPr>
              <w:t> </w:t>
            </w:r>
            <w:r>
              <w:rPr>
                <w:sz w:val="21"/>
                <w:shd w:fill="D9D9D9" w:color="auto" w:val="clear"/>
              </w:rPr>
              <w:t>（3）</w:t>
            </w:r>
            <w:r>
              <w:rPr>
                <w:spacing w:val="-3"/>
                <w:sz w:val="21"/>
                <w:shd w:fill="D9D9D9" w:color="auto" w:val="clear"/>
              </w:rPr>
              <w:t>被保险人自本附加合同成立或者合同效力恢复之日起 </w:t>
            </w:r>
            <w:r>
              <w:rPr>
                <w:sz w:val="21"/>
                <w:shd w:fill="D9D9D9" w:color="auto" w:val="clear"/>
              </w:rPr>
              <w:t>2</w:t>
            </w:r>
            <w:r>
              <w:rPr>
                <w:spacing w:val="-2"/>
                <w:sz w:val="21"/>
                <w:shd w:fill="D9D9D9" w:color="auto" w:val="clear"/>
              </w:rPr>
              <w:t> 年内自杀，但被保</w:t>
            </w:r>
          </w:p>
          <w:p>
            <w:pPr>
              <w:pStyle w:val="TableParagraph"/>
              <w:spacing w:before="37"/>
              <w:rPr>
                <w:sz w:val="21"/>
              </w:rPr>
            </w:pPr>
            <w:r>
              <w:rPr>
                <w:rFonts w:ascii="Times New Roman" w:eastAsia="Times New Roman"/>
                <w:spacing w:val="-53"/>
                <w:w w:val="100"/>
                <w:sz w:val="21"/>
                <w:shd w:fill="D9D9D9" w:color="auto" w:val="clear"/>
              </w:rPr>
              <w:t> </w:t>
            </w:r>
            <w:r>
              <w:rPr>
                <w:spacing w:val="-3"/>
                <w:sz w:val="21"/>
                <w:shd w:fill="D9D9D9" w:color="auto" w:val="clear"/>
              </w:rPr>
              <w:t>险人自杀时为无民事行为能力人的除外；</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（4）</w:t>
            </w:r>
            <w:r>
              <w:rPr>
                <w:spacing w:val="-3"/>
                <w:sz w:val="21"/>
                <w:shd w:fill="D9D9D9" w:color="auto" w:val="clear"/>
              </w:rPr>
              <w:t>被保险人主动吸食或注射</w:t>
            </w:r>
            <w:r>
              <w:rPr>
                <w:b/>
                <w:sz w:val="21"/>
                <w:shd w:fill="D9D9D9" w:color="auto" w:val="clear"/>
              </w:rPr>
              <w:t>毒品</w:t>
            </w:r>
            <w:r>
              <w:rPr>
                <w:sz w:val="21"/>
                <w:shd w:fill="D9D9D9" w:color="auto" w:val="clear"/>
              </w:rPr>
              <w:t>；</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（5）被保险人</w:t>
            </w:r>
            <w:r>
              <w:rPr>
                <w:b/>
                <w:sz w:val="21"/>
                <w:shd w:fill="D9D9D9" w:color="auto" w:val="clear"/>
              </w:rPr>
              <w:t>酒后驾驶</w:t>
            </w:r>
            <w:r>
              <w:rPr>
                <w:spacing w:val="-3"/>
                <w:sz w:val="21"/>
                <w:shd w:fill="D9D9D9" w:color="auto" w:val="clear"/>
              </w:rPr>
              <w:t>，</w:t>
            </w:r>
            <w:r>
              <w:rPr>
                <w:b/>
                <w:sz w:val="21"/>
                <w:shd w:fill="D9D9D9" w:color="auto" w:val="clear"/>
              </w:rPr>
              <w:t>无合法有效驾驶证驾驶</w:t>
            </w:r>
            <w:r>
              <w:rPr>
                <w:sz w:val="21"/>
                <w:shd w:fill="D9D9D9" w:color="auto" w:val="clear"/>
              </w:rPr>
              <w:t>，或者驾驶</w:t>
            </w:r>
            <w:r>
              <w:rPr>
                <w:b/>
                <w:sz w:val="21"/>
                <w:shd w:fill="D9D9D9" w:color="auto" w:val="clear"/>
              </w:rPr>
              <w:t>无有效行驶证</w:t>
            </w:r>
            <w:r>
              <w:rPr>
                <w:spacing w:val="-3"/>
                <w:sz w:val="21"/>
                <w:shd w:fill="D9D9D9" w:color="auto" w:val="clear"/>
              </w:rPr>
              <w:t>的机</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动车；</w:t>
            </w:r>
          </w:p>
          <w:p>
            <w:pPr>
              <w:pStyle w:val="TableParagraph"/>
              <w:spacing w:before="36"/>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战争、军事冲突、暴乱或武装叛乱；</w:t>
            </w:r>
          </w:p>
          <w:p>
            <w:pPr>
              <w:pStyle w:val="TableParagraph"/>
              <w:spacing w:before="36"/>
              <w:rPr>
                <w:sz w:val="21"/>
              </w:rPr>
            </w:pPr>
            <w:r>
              <w:rPr>
                <w:rFonts w:ascii="Times New Roman" w:eastAsia="Times New Roman"/>
                <w:spacing w:val="-53"/>
                <w:w w:val="100"/>
                <w:sz w:val="21"/>
                <w:shd w:fill="D9D9D9" w:color="auto" w:val="clear"/>
              </w:rPr>
              <w:t> </w:t>
            </w:r>
            <w:r>
              <w:rPr>
                <w:spacing w:val="-1"/>
                <w:sz w:val="21"/>
                <w:shd w:fill="D9D9D9" w:color="auto" w:val="clear"/>
              </w:rPr>
              <w:t>（7）</w:t>
            </w:r>
            <w:r>
              <w:rPr>
                <w:spacing w:val="-3"/>
                <w:sz w:val="21"/>
                <w:shd w:fill="D9D9D9" w:color="auto" w:val="clear"/>
              </w:rPr>
              <w:t>核爆炸、核辐射或核污染。</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发生上述第（1）项情形导致被保险人身故或全残的，本附加合同终止，我们向</w:t>
            </w:r>
          </w:p>
          <w:p>
            <w:pPr>
              <w:pStyle w:val="TableParagraph"/>
              <w:spacing w:before="36"/>
              <w:rPr>
                <w:sz w:val="21"/>
              </w:rPr>
            </w:pPr>
            <w:r>
              <w:rPr>
                <w:rFonts w:ascii="Times New Roman" w:eastAsia="Times New Roman"/>
                <w:spacing w:val="-53"/>
                <w:w w:val="100"/>
                <w:sz w:val="21"/>
                <w:shd w:fill="D9D9D9" w:color="auto" w:val="clear"/>
              </w:rPr>
              <w:t> </w:t>
            </w:r>
            <w:r>
              <w:rPr>
                <w:spacing w:val="-3"/>
                <w:sz w:val="21"/>
                <w:shd w:fill="D9D9D9" w:color="auto" w:val="clear"/>
              </w:rPr>
              <w:t>身故或全残保险金受益人退还本附加合同当时的现金价值。</w:t>
            </w:r>
          </w:p>
          <w:p>
            <w:pPr>
              <w:pStyle w:val="TableParagraph"/>
              <w:spacing w:line="255" w:lineRule="exact" w:before="36"/>
              <w:rPr>
                <w:sz w:val="21"/>
              </w:rPr>
            </w:pPr>
            <w:r>
              <w:rPr>
                <w:rFonts w:ascii="Times New Roman" w:eastAsia="Times New Roman"/>
                <w:spacing w:val="-53"/>
                <w:w w:val="100"/>
                <w:sz w:val="21"/>
                <w:shd w:fill="D9D9D9" w:color="auto" w:val="clear"/>
              </w:rPr>
              <w:t> </w:t>
            </w:r>
            <w:r>
              <w:rPr>
                <w:spacing w:val="-5"/>
                <w:sz w:val="21"/>
                <w:shd w:fill="D9D9D9" w:color="auto" w:val="clear"/>
              </w:rPr>
              <w:t>发生上述其他情形导致被保险人身故或全残的，本附加合同终止，我们向投保人</w:t>
            </w:r>
          </w:p>
        </w:tc>
      </w:tr>
    </w:tbl>
    <w:p>
      <w:pPr>
        <w:spacing w:after="0" w:line="255" w:lineRule="exact"/>
        <w:rPr>
          <w:sz w:val="21"/>
        </w:rPr>
        <w:sectPr>
          <w:pgSz w:w="11910" w:h="16840"/>
          <w:pgMar w:header="568" w:footer="0" w:top="800" w:bottom="280" w:left="680" w:right="600"/>
        </w:sectPr>
      </w:pPr>
    </w:p>
    <w:p>
      <w:pPr>
        <w:pStyle w:val="BodyText"/>
        <w:spacing w:before="11"/>
        <w:rPr>
          <w:rFonts w:ascii="Times New Roman"/>
          <w:sz w:val="23"/>
        </w:rPr>
      </w:pPr>
    </w:p>
    <w:p>
      <w:pPr>
        <w:pStyle w:val="BodyText"/>
        <w:spacing w:before="43"/>
        <w:ind w:left="2893"/>
      </w:pPr>
      <w:r>
        <w:rPr>
          <w:rFonts w:ascii="Times New Roman" w:eastAsia="Times New Roman"/>
          <w:spacing w:val="-53"/>
          <w:w w:val="100"/>
          <w:shd w:fill="D9D9D9" w:color="auto" w:val="clear"/>
        </w:rPr>
        <w:t> </w:t>
      </w:r>
      <w:r>
        <w:rPr>
          <w:spacing w:val="-3"/>
          <w:shd w:fill="D9D9D9" w:color="auto" w:val="clear"/>
        </w:rPr>
        <w:t>退还本附加合同当时的现金价值。</w:t>
      </w:r>
    </w:p>
    <w:p>
      <w:pPr>
        <w:pStyle w:val="BodyText"/>
        <w:spacing w:before="3"/>
        <w:rPr>
          <w:sz w:val="25"/>
        </w:rPr>
      </w:pPr>
    </w:p>
    <w:p>
      <w:pPr>
        <w:pStyle w:val="BodyText"/>
        <w:spacing w:before="43"/>
        <w:ind w:left="2893"/>
      </w:pPr>
      <w:r>
        <w:rPr>
          <w:rFonts w:ascii="Times New Roman" w:eastAsia="Times New Roman"/>
          <w:spacing w:val="-53"/>
          <w:w w:val="100"/>
          <w:shd w:fill="D9D9D9" w:color="auto" w:val="clear"/>
        </w:rPr>
        <w:t> </w:t>
      </w:r>
      <w:r>
        <w:rPr>
          <w:spacing w:val="-5"/>
          <w:shd w:fill="D9D9D9" w:color="auto" w:val="clear"/>
        </w:rPr>
        <w:t>因下列情形之一，导致被保险人发生轻症重疾、重大疾病或再次恶性肿瘤的，本</w:t>
      </w:r>
    </w:p>
    <w:p>
      <w:pPr>
        <w:pStyle w:val="BodyText"/>
        <w:spacing w:before="46"/>
        <w:ind w:left="2893"/>
      </w:pPr>
      <w:r>
        <w:rPr>
          <w:rFonts w:ascii="Times New Roman" w:eastAsia="Times New Roman"/>
          <w:spacing w:val="-53"/>
          <w:w w:val="100"/>
          <w:shd w:fill="D9D9D9" w:color="auto" w:val="clear"/>
        </w:rPr>
        <w:t> </w:t>
      </w:r>
      <w:r>
        <w:rPr>
          <w:spacing w:val="-3"/>
          <w:shd w:fill="D9D9D9" w:color="auto" w:val="clear"/>
        </w:rPr>
        <w:t>公司不承担给付保险金的责任：</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（1）</w:t>
      </w:r>
      <w:r>
        <w:rPr>
          <w:spacing w:val="-3"/>
          <w:shd w:fill="D9D9D9" w:color="auto" w:val="clear"/>
        </w:rPr>
        <w:t>投保人对被保险人的故意杀害、故意伤害；</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（2）</w:t>
      </w:r>
      <w:r>
        <w:rPr>
          <w:spacing w:val="-3"/>
          <w:shd w:fill="D9D9D9" w:color="auto" w:val="clear"/>
        </w:rPr>
        <w:t>被保险人故意自伤、故意犯罪或抗拒依法采取的刑事强制措施；</w:t>
      </w:r>
    </w:p>
    <w:p>
      <w:pPr>
        <w:pStyle w:val="BodyText"/>
        <w:spacing w:line="273" w:lineRule="exact"/>
        <w:ind w:left="2893"/>
      </w:pPr>
      <w:r>
        <w:rPr>
          <w:rFonts w:ascii="Times New Roman" w:eastAsia="Times New Roman"/>
          <w:spacing w:val="-53"/>
          <w:w w:val="100"/>
          <w:shd w:fill="D9D9D9" w:color="auto" w:val="clear"/>
        </w:rPr>
        <w:t> </w:t>
      </w:r>
      <w:r>
        <w:rPr>
          <w:spacing w:val="-1"/>
          <w:shd w:fill="D9D9D9" w:color="auto" w:val="clear"/>
        </w:rPr>
        <w:t>（3）</w:t>
      </w:r>
      <w:r>
        <w:rPr>
          <w:spacing w:val="-3"/>
          <w:shd w:fill="D9D9D9" w:color="auto" w:val="clear"/>
        </w:rPr>
        <w:t>被保险人主动吸食或注射毒品；</w:t>
      </w:r>
    </w:p>
    <w:p>
      <w:pPr>
        <w:pStyle w:val="BodyText"/>
        <w:spacing w:line="272" w:lineRule="exact"/>
        <w:ind w:left="2893"/>
      </w:pPr>
      <w:r>
        <w:rPr>
          <w:rFonts w:ascii="Times New Roman" w:eastAsia="Times New Roman"/>
          <w:spacing w:val="-53"/>
          <w:w w:val="100"/>
          <w:shd w:fill="D9D9D9" w:color="auto" w:val="clear"/>
        </w:rPr>
        <w:t> </w:t>
      </w:r>
      <w:r>
        <w:rPr>
          <w:shd w:fill="D9D9D9" w:color="auto" w:val="clear"/>
        </w:rPr>
        <w:t>（4）被保险人酒后驾驶，无合法有效驾驶证驾驶，或驾驶无有效行驶证的机动</w:t>
      </w:r>
    </w:p>
    <w:p>
      <w:pPr>
        <w:pStyle w:val="BodyText"/>
        <w:spacing w:line="274" w:lineRule="exact"/>
        <w:ind w:left="2893"/>
      </w:pPr>
      <w:r>
        <w:rPr>
          <w:rFonts w:ascii="Times New Roman" w:eastAsia="Times New Roman"/>
          <w:spacing w:val="-53"/>
          <w:w w:val="100"/>
          <w:shd w:fill="D9D9D9" w:color="auto" w:val="clear"/>
        </w:rPr>
        <w:t> </w:t>
      </w:r>
      <w:r>
        <w:rPr>
          <w:shd w:fill="D9D9D9" w:color="auto" w:val="clear"/>
        </w:rPr>
        <w:t>车；</w:t>
      </w:r>
    </w:p>
    <w:p>
      <w:pPr>
        <w:spacing w:before="41"/>
        <w:ind w:left="2893" w:right="0" w:firstLine="0"/>
        <w:jc w:val="left"/>
        <w:rPr>
          <w:sz w:val="21"/>
        </w:rPr>
      </w:pPr>
      <w:r>
        <w:rPr>
          <w:rFonts w:ascii="Times New Roman" w:eastAsia="Times New Roman"/>
          <w:spacing w:val="-53"/>
          <w:w w:val="100"/>
          <w:sz w:val="21"/>
          <w:shd w:fill="D9D9D9" w:color="auto" w:val="clear"/>
        </w:rPr>
        <w:t> </w:t>
      </w:r>
      <w:r>
        <w:rPr>
          <w:w w:val="100"/>
          <w:sz w:val="21"/>
          <w:shd w:fill="D9D9D9" w:color="auto" w:val="clear"/>
        </w:rPr>
        <w:t>（5</w:t>
      </w:r>
      <w:r>
        <w:rPr>
          <w:spacing w:val="-3"/>
          <w:w w:val="100"/>
          <w:sz w:val="21"/>
          <w:shd w:fill="D9D9D9" w:color="auto" w:val="clear"/>
        </w:rPr>
        <w:t>）被保险人</w:t>
      </w:r>
      <w:r>
        <w:rPr>
          <w:b/>
          <w:spacing w:val="-1"/>
          <w:w w:val="100"/>
          <w:sz w:val="21"/>
          <w:shd w:fill="D9D9D9" w:color="auto" w:val="clear"/>
        </w:rPr>
        <w:t>患艾滋病或感染艾滋病病毒</w:t>
      </w:r>
      <w:r>
        <w:rPr>
          <w:spacing w:val="-3"/>
          <w:w w:val="100"/>
          <w:sz w:val="21"/>
          <w:shd w:fill="D9D9D9" w:color="auto" w:val="clear"/>
        </w:rPr>
        <w:t>期间</w:t>
      </w:r>
      <w:r>
        <w:rPr>
          <w:w w:val="100"/>
          <w:sz w:val="21"/>
          <w:shd w:fill="D9D9D9" w:color="auto" w:val="clear"/>
        </w:rPr>
        <w:t>（</w:t>
      </w:r>
      <w:r>
        <w:rPr>
          <w:spacing w:val="-3"/>
          <w:w w:val="100"/>
          <w:sz w:val="21"/>
          <w:shd w:fill="D9D9D9" w:color="auto" w:val="clear"/>
        </w:rPr>
        <w:t>本附加合同另有约定的除外</w:t>
      </w:r>
      <w:r>
        <w:rPr>
          <w:spacing w:val="-108"/>
          <w:w w:val="100"/>
          <w:sz w:val="21"/>
          <w:shd w:fill="D9D9D9" w:color="auto" w:val="clear"/>
        </w:rPr>
        <w:t>）</w:t>
      </w:r>
      <w:r>
        <w:rPr>
          <w:w w:val="100"/>
          <w:sz w:val="21"/>
          <w:shd w:fill="D9D9D9" w:color="auto" w:val="clear"/>
        </w:rPr>
        <w:t>；</w:t>
      </w:r>
    </w:p>
    <w:p>
      <w:pPr>
        <w:pStyle w:val="Heading3"/>
        <w:spacing w:before="46"/>
        <w:ind w:left="2893" w:firstLine="0"/>
      </w:pPr>
      <w:r>
        <w:rPr>
          <w:rFonts w:ascii="Times New Roman" w:eastAsia="Times New Roman"/>
          <w:b w:val="0"/>
          <w:spacing w:val="-53"/>
          <w:w w:val="100"/>
          <w:shd w:fill="D9D9D9" w:color="auto" w:val="clear"/>
        </w:rPr>
        <w:t> </w:t>
      </w:r>
      <w:r>
        <w:rPr>
          <w:b w:val="0"/>
          <w:spacing w:val="-1"/>
          <w:shd w:fill="D9D9D9" w:color="auto" w:val="clear"/>
        </w:rPr>
        <w:t>（6）</w:t>
      </w:r>
      <w:r>
        <w:rPr>
          <w:spacing w:val="-3"/>
          <w:shd w:fill="D9D9D9" w:color="auto" w:val="clear"/>
        </w:rPr>
        <w:t>遗传性疾病，先天性畸形、变形或染色体异常；</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（7）</w:t>
      </w:r>
      <w:r>
        <w:rPr>
          <w:spacing w:val="-3"/>
          <w:shd w:fill="D9D9D9" w:color="auto" w:val="clear"/>
        </w:rPr>
        <w:t>战争、军事冲突、暴乱或武装叛乱；</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（8）</w:t>
      </w:r>
      <w:r>
        <w:rPr>
          <w:spacing w:val="-3"/>
          <w:shd w:fill="D9D9D9" w:color="auto" w:val="clear"/>
        </w:rPr>
        <w:t>核爆炸、核辐射或核污染。</w:t>
      </w:r>
    </w:p>
    <w:p>
      <w:pPr>
        <w:pStyle w:val="BodyText"/>
        <w:rPr>
          <w:sz w:val="20"/>
        </w:rPr>
      </w:pPr>
    </w:p>
    <w:p>
      <w:pPr>
        <w:pStyle w:val="BodyText"/>
        <w:spacing w:before="12"/>
        <w:rPr>
          <w:sz w:val="25"/>
        </w:rPr>
      </w:pPr>
    </w:p>
    <w:p>
      <w:pPr>
        <w:tabs>
          <w:tab w:pos="1421" w:val="left" w:leader="none"/>
        </w:tabs>
        <w:spacing w:before="14"/>
        <w:ind w:left="226" w:right="0" w:firstLine="0"/>
        <w:jc w:val="left"/>
        <w:rPr>
          <w:b/>
          <w:sz w:val="28"/>
        </w:rPr>
      </w:pPr>
      <w:r>
        <w:rPr>
          <w:b/>
          <w:sz w:val="28"/>
        </w:rPr>
        <w:t>3</w:t>
        <w:tab/>
        <w:t>重大疾病</w:t>
      </w:r>
    </w:p>
    <w:p>
      <w:pPr>
        <w:pStyle w:val="BodyText"/>
        <w:spacing w:before="1"/>
        <w:rPr>
          <w:b/>
          <w:sz w:val="10"/>
        </w:rPr>
      </w:pPr>
      <w:r>
        <w:rPr/>
        <w:pict>
          <v:group style="position:absolute;margin-left:43.919998pt;margin-top:8.556933pt;width:511.2pt;height:1.45pt;mso-position-horizontal-relative:page;mso-position-vertical-relative:paragraph;z-index:1072;mso-wrap-distance-left:0;mso-wrap-distance-right:0" coordorigin="878,171" coordsize="10224,29">
            <v:line style="position:absolute" from="878,176" to="2072,176" stroked="true" strokeweight=".48001pt" strokecolor="#000000">
              <v:stroke dashstyle="solid"/>
            </v:line>
            <v:line style="position:absolute" from="878,195" to="2072,195" stroked="true" strokeweight=".48001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6,176" stroked="true" strokeweight=".48001pt" strokecolor="#000000">
              <v:stroke dashstyle="solid"/>
            </v:line>
            <v:line style="position:absolute" from="2100,195" to="3546,195" stroked="true" strokeweight=".48001pt" strokecolor="#000000">
              <v:stroke dashstyle="solid"/>
            </v:line>
            <v:rect style="position:absolute;left:3545;top:171;width:29;height:10" filled="true" fillcolor="#000000" stroked="false">
              <v:fill type="solid"/>
            </v:rect>
            <v:rect style="position:absolute;left:3545;top:190;width:29;height:10" filled="true" fillcolor="#000000" stroked="false">
              <v:fill type="solid"/>
            </v:rect>
            <v:line style="position:absolute" from="3575,176" to="11102,176" stroked="true" strokeweight=".48001pt" strokecolor="#000000">
              <v:stroke dashstyle="solid"/>
            </v:line>
            <v:line style="position:absolute" from="3575,195" to="11102,195" stroked="true" strokeweight=".48001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760" w:right="640"/>
        </w:sectPr>
      </w:pPr>
    </w:p>
    <w:p>
      <w:pPr>
        <w:pStyle w:val="Heading3"/>
        <w:tabs>
          <w:tab w:pos="1421" w:val="left" w:leader="none"/>
        </w:tabs>
        <w:spacing w:line="273" w:lineRule="auto" w:before="0"/>
        <w:ind w:left="1422"/>
      </w:pPr>
      <w:r>
        <w:rPr/>
        <w:t>3.1</w:t>
        <w:tab/>
      </w:r>
      <w:r>
        <w:rPr>
          <w:spacing w:val="40"/>
        </w:rPr>
        <w:t>轻症重疾的</w:t>
      </w:r>
      <w:r>
        <w:rPr>
          <w:spacing w:val="-56"/>
        </w:rPr>
        <w:t> </w:t>
      </w:r>
      <w:r>
        <w:rPr/>
        <w:t>范围</w:t>
      </w:r>
    </w:p>
    <w:p>
      <w:pPr>
        <w:pStyle w:val="BodyText"/>
        <w:spacing w:line="280" w:lineRule="auto" w:before="13"/>
        <w:ind w:left="123" w:right="265"/>
        <w:jc w:val="both"/>
      </w:pPr>
      <w:r>
        <w:rPr/>
        <w:br w:type="column"/>
      </w:r>
      <w:r>
        <w:rPr/>
        <w:t>本附加合同所指的轻症重疾在本附加合同中有确定的含义，我们将在本附加合同轻症重疾定义中详细列明，您投保本附加合同即表明认可并遵从本附加合同中对轻症重疾的定义。</w:t>
      </w:r>
    </w:p>
    <w:p>
      <w:pPr>
        <w:spacing w:after="0" w:line="280" w:lineRule="auto"/>
        <w:jc w:val="both"/>
        <w:sectPr>
          <w:type w:val="continuous"/>
          <w:pgSz w:w="11910" w:h="16840"/>
          <w:pgMar w:top="1160" w:bottom="280" w:left="760" w:right="640"/>
          <w:cols w:num="2" w:equalWidth="0">
            <w:col w:w="2731" w:space="40"/>
            <w:col w:w="7739"/>
          </w:cols>
        </w:sectPr>
      </w:pPr>
    </w:p>
    <w:p>
      <w:pPr>
        <w:pStyle w:val="BodyText"/>
        <w:spacing w:before="7"/>
        <w:rPr>
          <w:sz w:val="29"/>
        </w:rPr>
      </w:pPr>
    </w:p>
    <w:tbl>
      <w:tblPr>
        <w:tblW w:w="0" w:type="auto"/>
        <w:jc w:val="left"/>
        <w:tblInd w:w="2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601"/>
      </w:tblGrid>
      <w:tr>
        <w:trPr>
          <w:trHeight w:val="254" w:hRule="atLeast"/>
        </w:trPr>
        <w:tc>
          <w:tcPr>
            <w:tcW w:w="351" w:type="dxa"/>
          </w:tcPr>
          <w:p>
            <w:pPr>
              <w:pStyle w:val="TableParagraph"/>
              <w:spacing w:line="180" w:lineRule="exact"/>
              <w:ind w:left="0" w:right="60"/>
              <w:jc w:val="right"/>
              <w:rPr>
                <w:sz w:val="18"/>
              </w:rPr>
            </w:pPr>
            <w:r>
              <w:rPr>
                <w:sz w:val="18"/>
              </w:rPr>
              <w:t>1</w:t>
            </w:r>
          </w:p>
        </w:tc>
        <w:tc>
          <w:tcPr>
            <w:tcW w:w="2601" w:type="dxa"/>
          </w:tcPr>
          <w:p>
            <w:pPr>
              <w:pStyle w:val="TableParagraph"/>
              <w:spacing w:line="180" w:lineRule="exact"/>
              <w:ind w:left="60"/>
              <w:rPr>
                <w:sz w:val="18"/>
              </w:rPr>
            </w:pPr>
            <w:r>
              <w:rPr>
                <w:sz w:val="18"/>
              </w:rPr>
              <w:t>非危及生命的恶性病变</w:t>
            </w:r>
          </w:p>
        </w:tc>
      </w:tr>
      <w:tr>
        <w:trPr>
          <w:trHeight w:val="327" w:hRule="atLeast"/>
        </w:trPr>
        <w:tc>
          <w:tcPr>
            <w:tcW w:w="351" w:type="dxa"/>
          </w:tcPr>
          <w:p>
            <w:pPr>
              <w:pStyle w:val="TableParagraph"/>
              <w:spacing w:before="19"/>
              <w:ind w:left="0" w:right="60"/>
              <w:jc w:val="right"/>
              <w:rPr>
                <w:sz w:val="18"/>
              </w:rPr>
            </w:pPr>
            <w:r>
              <w:rPr>
                <w:sz w:val="18"/>
              </w:rPr>
              <w:t>2</w:t>
            </w:r>
          </w:p>
        </w:tc>
        <w:tc>
          <w:tcPr>
            <w:tcW w:w="2601" w:type="dxa"/>
          </w:tcPr>
          <w:p>
            <w:pPr>
              <w:pStyle w:val="TableParagraph"/>
              <w:spacing w:before="19"/>
              <w:ind w:left="60"/>
              <w:rPr>
                <w:sz w:val="18"/>
              </w:rPr>
            </w:pPr>
            <w:r>
              <w:rPr>
                <w:sz w:val="18"/>
              </w:rPr>
              <w:t>脑垂体瘤、脑囊肿、脑动脉瘤</w:t>
            </w:r>
          </w:p>
        </w:tc>
      </w:tr>
      <w:tr>
        <w:trPr>
          <w:trHeight w:val="326" w:hRule="atLeast"/>
        </w:trPr>
        <w:tc>
          <w:tcPr>
            <w:tcW w:w="351" w:type="dxa"/>
          </w:tcPr>
          <w:p>
            <w:pPr>
              <w:pStyle w:val="TableParagraph"/>
              <w:ind w:left="0"/>
              <w:rPr>
                <w:rFonts w:ascii="Times New Roman"/>
                <w:sz w:val="20"/>
              </w:rPr>
            </w:pPr>
          </w:p>
        </w:tc>
        <w:tc>
          <w:tcPr>
            <w:tcW w:w="2601" w:type="dxa"/>
          </w:tcPr>
          <w:p>
            <w:pPr>
              <w:pStyle w:val="TableParagraph"/>
              <w:spacing w:before="17"/>
              <w:ind w:left="60"/>
              <w:rPr>
                <w:sz w:val="18"/>
              </w:rPr>
            </w:pPr>
            <w:r>
              <w:rPr>
                <w:sz w:val="18"/>
              </w:rPr>
              <w:t>及脑血管瘤</w:t>
            </w:r>
          </w:p>
        </w:tc>
      </w:tr>
      <w:tr>
        <w:trPr>
          <w:trHeight w:val="326" w:hRule="atLeast"/>
        </w:trPr>
        <w:tc>
          <w:tcPr>
            <w:tcW w:w="351" w:type="dxa"/>
          </w:tcPr>
          <w:p>
            <w:pPr>
              <w:pStyle w:val="TableParagraph"/>
              <w:spacing w:before="17"/>
              <w:ind w:left="0" w:right="60"/>
              <w:jc w:val="right"/>
              <w:rPr>
                <w:sz w:val="18"/>
              </w:rPr>
            </w:pPr>
            <w:r>
              <w:rPr>
                <w:sz w:val="18"/>
              </w:rPr>
              <w:t>3</w:t>
            </w:r>
          </w:p>
        </w:tc>
        <w:tc>
          <w:tcPr>
            <w:tcW w:w="2601" w:type="dxa"/>
          </w:tcPr>
          <w:p>
            <w:pPr>
              <w:pStyle w:val="TableParagraph"/>
              <w:spacing w:before="17"/>
              <w:ind w:left="60"/>
              <w:rPr>
                <w:sz w:val="18"/>
              </w:rPr>
            </w:pPr>
            <w:r>
              <w:rPr>
                <w:sz w:val="18"/>
              </w:rPr>
              <w:t>主动脉介入手术</w:t>
            </w:r>
          </w:p>
        </w:tc>
      </w:tr>
      <w:tr>
        <w:trPr>
          <w:trHeight w:val="327" w:hRule="atLeast"/>
        </w:trPr>
        <w:tc>
          <w:tcPr>
            <w:tcW w:w="351" w:type="dxa"/>
          </w:tcPr>
          <w:p>
            <w:pPr>
              <w:pStyle w:val="TableParagraph"/>
              <w:spacing w:before="17"/>
              <w:ind w:left="0" w:right="60"/>
              <w:jc w:val="right"/>
              <w:rPr>
                <w:sz w:val="18"/>
              </w:rPr>
            </w:pPr>
            <w:r>
              <w:rPr>
                <w:sz w:val="18"/>
              </w:rPr>
              <w:t>4</w:t>
            </w:r>
          </w:p>
        </w:tc>
        <w:tc>
          <w:tcPr>
            <w:tcW w:w="2601" w:type="dxa"/>
          </w:tcPr>
          <w:p>
            <w:pPr>
              <w:pStyle w:val="TableParagraph"/>
              <w:spacing w:before="17"/>
              <w:ind w:left="60"/>
              <w:rPr>
                <w:sz w:val="18"/>
              </w:rPr>
            </w:pPr>
            <w:r>
              <w:rPr>
                <w:sz w:val="18"/>
              </w:rPr>
              <w:t>轻度原发性肺动脉高压</w:t>
            </w:r>
          </w:p>
        </w:tc>
      </w:tr>
      <w:tr>
        <w:trPr>
          <w:trHeight w:val="327" w:hRule="atLeast"/>
        </w:trPr>
        <w:tc>
          <w:tcPr>
            <w:tcW w:w="351" w:type="dxa"/>
          </w:tcPr>
          <w:p>
            <w:pPr>
              <w:pStyle w:val="TableParagraph"/>
              <w:spacing w:before="19"/>
              <w:ind w:left="0" w:right="60"/>
              <w:jc w:val="right"/>
              <w:rPr>
                <w:sz w:val="18"/>
              </w:rPr>
            </w:pPr>
            <w:r>
              <w:rPr>
                <w:sz w:val="18"/>
              </w:rPr>
              <w:t>5</w:t>
            </w:r>
          </w:p>
        </w:tc>
        <w:tc>
          <w:tcPr>
            <w:tcW w:w="2601" w:type="dxa"/>
          </w:tcPr>
          <w:p>
            <w:pPr>
              <w:pStyle w:val="TableParagraph"/>
              <w:spacing w:before="19"/>
              <w:ind w:left="60"/>
              <w:rPr>
                <w:sz w:val="18"/>
              </w:rPr>
            </w:pPr>
            <w:r>
              <w:rPr>
                <w:sz w:val="18"/>
              </w:rPr>
              <w:t>冠状动脉介入手术</w:t>
            </w:r>
          </w:p>
        </w:tc>
      </w:tr>
      <w:tr>
        <w:trPr>
          <w:trHeight w:val="326" w:hRule="atLeast"/>
        </w:trPr>
        <w:tc>
          <w:tcPr>
            <w:tcW w:w="351" w:type="dxa"/>
          </w:tcPr>
          <w:p>
            <w:pPr>
              <w:pStyle w:val="TableParagraph"/>
              <w:spacing w:before="17"/>
              <w:ind w:left="0" w:right="60"/>
              <w:jc w:val="right"/>
              <w:rPr>
                <w:sz w:val="18"/>
              </w:rPr>
            </w:pPr>
            <w:r>
              <w:rPr>
                <w:sz w:val="18"/>
              </w:rPr>
              <w:t>6</w:t>
            </w:r>
          </w:p>
        </w:tc>
        <w:tc>
          <w:tcPr>
            <w:tcW w:w="2601" w:type="dxa"/>
          </w:tcPr>
          <w:p>
            <w:pPr>
              <w:pStyle w:val="TableParagraph"/>
              <w:spacing w:before="17"/>
              <w:ind w:left="60"/>
              <w:rPr>
                <w:sz w:val="18"/>
              </w:rPr>
            </w:pPr>
            <w:r>
              <w:rPr>
                <w:sz w:val="18"/>
              </w:rPr>
              <w:t>单肢缺失</w:t>
            </w:r>
          </w:p>
        </w:tc>
      </w:tr>
      <w:tr>
        <w:trPr>
          <w:trHeight w:val="326" w:hRule="atLeast"/>
        </w:trPr>
        <w:tc>
          <w:tcPr>
            <w:tcW w:w="351" w:type="dxa"/>
          </w:tcPr>
          <w:p>
            <w:pPr>
              <w:pStyle w:val="TableParagraph"/>
              <w:spacing w:before="17"/>
              <w:ind w:left="0" w:right="60"/>
              <w:jc w:val="right"/>
              <w:rPr>
                <w:sz w:val="18"/>
              </w:rPr>
            </w:pPr>
            <w:r>
              <w:rPr>
                <w:sz w:val="18"/>
              </w:rPr>
              <w:t>7</w:t>
            </w:r>
          </w:p>
        </w:tc>
        <w:tc>
          <w:tcPr>
            <w:tcW w:w="2601" w:type="dxa"/>
          </w:tcPr>
          <w:p>
            <w:pPr>
              <w:pStyle w:val="TableParagraph"/>
              <w:spacing w:before="17"/>
              <w:ind w:left="60"/>
              <w:rPr>
                <w:sz w:val="18"/>
              </w:rPr>
            </w:pPr>
            <w:r>
              <w:rPr>
                <w:sz w:val="18"/>
              </w:rPr>
              <w:t>心脏瓣膜介入手术</w:t>
            </w:r>
          </w:p>
        </w:tc>
      </w:tr>
      <w:tr>
        <w:trPr>
          <w:trHeight w:val="326" w:hRule="atLeast"/>
        </w:trPr>
        <w:tc>
          <w:tcPr>
            <w:tcW w:w="351" w:type="dxa"/>
          </w:tcPr>
          <w:p>
            <w:pPr>
              <w:pStyle w:val="TableParagraph"/>
              <w:spacing w:before="17"/>
              <w:ind w:left="0" w:right="60"/>
              <w:jc w:val="right"/>
              <w:rPr>
                <w:sz w:val="18"/>
              </w:rPr>
            </w:pPr>
            <w:r>
              <w:rPr>
                <w:sz w:val="18"/>
              </w:rPr>
              <w:t>8</w:t>
            </w:r>
          </w:p>
        </w:tc>
        <w:tc>
          <w:tcPr>
            <w:tcW w:w="2601" w:type="dxa"/>
          </w:tcPr>
          <w:p>
            <w:pPr>
              <w:pStyle w:val="TableParagraph"/>
              <w:spacing w:before="17"/>
              <w:ind w:left="60"/>
              <w:rPr>
                <w:sz w:val="18"/>
              </w:rPr>
            </w:pPr>
            <w:r>
              <w:rPr>
                <w:sz w:val="18"/>
              </w:rPr>
              <w:t>脑外伤开颅手术</w:t>
            </w:r>
          </w:p>
        </w:tc>
      </w:tr>
      <w:tr>
        <w:trPr>
          <w:trHeight w:val="253" w:hRule="atLeast"/>
        </w:trPr>
        <w:tc>
          <w:tcPr>
            <w:tcW w:w="351" w:type="dxa"/>
          </w:tcPr>
          <w:p>
            <w:pPr>
              <w:pStyle w:val="TableParagraph"/>
              <w:spacing w:line="216" w:lineRule="exact" w:before="17"/>
              <w:ind w:left="0" w:right="60"/>
              <w:jc w:val="right"/>
              <w:rPr>
                <w:sz w:val="18"/>
              </w:rPr>
            </w:pPr>
            <w:r>
              <w:rPr>
                <w:sz w:val="18"/>
              </w:rPr>
              <w:t>9</w:t>
            </w:r>
          </w:p>
        </w:tc>
        <w:tc>
          <w:tcPr>
            <w:tcW w:w="2601" w:type="dxa"/>
          </w:tcPr>
          <w:p>
            <w:pPr>
              <w:pStyle w:val="TableParagraph"/>
              <w:spacing w:line="216" w:lineRule="exact" w:before="17"/>
              <w:ind w:left="60"/>
              <w:rPr>
                <w:sz w:val="18"/>
              </w:rPr>
            </w:pPr>
            <w:r>
              <w:rPr>
                <w:sz w:val="18"/>
              </w:rPr>
              <w:t>较小面积 III 度烧伤</w:t>
            </w:r>
          </w:p>
        </w:tc>
      </w:tr>
    </w:tbl>
    <w:p>
      <w:pPr>
        <w:pStyle w:val="BodyText"/>
        <w:rPr>
          <w:sz w:val="20"/>
        </w:rPr>
      </w:pPr>
    </w:p>
    <w:p>
      <w:pPr>
        <w:pStyle w:val="BodyText"/>
        <w:spacing w:before="3"/>
        <w:rPr>
          <w:sz w:val="14"/>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
        <w:gridCol w:w="1724"/>
        <w:gridCol w:w="7581"/>
      </w:tblGrid>
      <w:tr>
        <w:trPr>
          <w:trHeight w:val="273" w:hRule="atLeast"/>
        </w:trPr>
        <w:tc>
          <w:tcPr>
            <w:tcW w:w="912" w:type="dxa"/>
          </w:tcPr>
          <w:p>
            <w:pPr>
              <w:pStyle w:val="TableParagraph"/>
              <w:spacing w:line="211" w:lineRule="exact"/>
              <w:ind w:left="50"/>
              <w:rPr>
                <w:b/>
                <w:sz w:val="21"/>
              </w:rPr>
            </w:pPr>
            <w:r>
              <w:rPr>
                <w:b/>
                <w:sz w:val="21"/>
              </w:rPr>
              <w:t>3.2</w:t>
            </w:r>
          </w:p>
        </w:tc>
        <w:tc>
          <w:tcPr>
            <w:tcW w:w="1724" w:type="dxa"/>
          </w:tcPr>
          <w:p>
            <w:pPr>
              <w:pStyle w:val="TableParagraph"/>
              <w:spacing w:line="211" w:lineRule="exact"/>
              <w:ind w:left="333"/>
              <w:rPr>
                <w:b/>
                <w:sz w:val="21"/>
              </w:rPr>
            </w:pPr>
            <w:r>
              <w:rPr>
                <w:b/>
                <w:sz w:val="21"/>
              </w:rPr>
              <w:t>轻症重疾的 </w:t>
            </w:r>
          </w:p>
        </w:tc>
        <w:tc>
          <w:tcPr>
            <w:tcW w:w="7581" w:type="dxa"/>
          </w:tcPr>
          <w:p>
            <w:pPr>
              <w:pStyle w:val="TableParagraph"/>
              <w:spacing w:line="235" w:lineRule="exact"/>
              <w:ind w:left="81"/>
              <w:rPr>
                <w:sz w:val="21"/>
              </w:rPr>
            </w:pPr>
            <w:r>
              <w:rPr>
                <w:sz w:val="21"/>
              </w:rPr>
              <w:t>以上各种轻症重疾须我们认可的医院专科医生明确诊断，符合以下定义：</w:t>
            </w:r>
          </w:p>
        </w:tc>
      </w:tr>
      <w:tr>
        <w:trPr>
          <w:trHeight w:val="385" w:hRule="atLeast"/>
        </w:trPr>
        <w:tc>
          <w:tcPr>
            <w:tcW w:w="912" w:type="dxa"/>
          </w:tcPr>
          <w:p>
            <w:pPr>
              <w:pStyle w:val="TableParagraph"/>
              <w:ind w:left="0"/>
              <w:rPr>
                <w:rFonts w:ascii="Times New Roman"/>
                <w:sz w:val="20"/>
              </w:rPr>
            </w:pPr>
          </w:p>
        </w:tc>
        <w:tc>
          <w:tcPr>
            <w:tcW w:w="1724" w:type="dxa"/>
          </w:tcPr>
          <w:p>
            <w:pPr>
              <w:pStyle w:val="TableParagraph"/>
              <w:spacing w:line="249" w:lineRule="exact"/>
              <w:ind w:left="333"/>
              <w:rPr>
                <w:b/>
                <w:sz w:val="21"/>
              </w:rPr>
            </w:pPr>
            <w:r>
              <w:rPr>
                <w:b/>
                <w:sz w:val="21"/>
              </w:rPr>
              <w:t>定义</w:t>
            </w:r>
          </w:p>
        </w:tc>
        <w:tc>
          <w:tcPr>
            <w:tcW w:w="7581" w:type="dxa"/>
          </w:tcPr>
          <w:p>
            <w:pPr>
              <w:pStyle w:val="TableParagraph"/>
              <w:ind w:left="0"/>
              <w:rPr>
                <w:rFonts w:ascii="Times New Roman"/>
                <w:sz w:val="20"/>
              </w:rPr>
            </w:pPr>
          </w:p>
        </w:tc>
      </w:tr>
      <w:tr>
        <w:trPr>
          <w:trHeight w:val="719" w:hRule="atLeast"/>
        </w:trPr>
        <w:tc>
          <w:tcPr>
            <w:tcW w:w="912" w:type="dxa"/>
          </w:tcPr>
          <w:p>
            <w:pPr>
              <w:pStyle w:val="TableParagraph"/>
              <w:spacing w:before="70"/>
              <w:ind w:left="50"/>
              <w:rPr>
                <w:i/>
                <w:sz w:val="22"/>
              </w:rPr>
            </w:pPr>
            <w:r>
              <w:rPr>
                <w:i/>
                <w:sz w:val="22"/>
              </w:rPr>
              <w:t>3.2.1</w:t>
            </w:r>
          </w:p>
        </w:tc>
        <w:tc>
          <w:tcPr>
            <w:tcW w:w="1724" w:type="dxa"/>
          </w:tcPr>
          <w:p>
            <w:pPr>
              <w:pStyle w:val="TableParagraph"/>
              <w:spacing w:line="259" w:lineRule="auto" w:before="70"/>
              <w:ind w:left="333" w:right="80"/>
              <w:rPr>
                <w:i/>
                <w:sz w:val="22"/>
              </w:rPr>
            </w:pPr>
            <w:r>
              <w:rPr>
                <w:i/>
                <w:w w:val="95"/>
                <w:sz w:val="22"/>
              </w:rPr>
              <w:t>非危及生命的恶性病变</w:t>
            </w:r>
          </w:p>
        </w:tc>
        <w:tc>
          <w:tcPr>
            <w:tcW w:w="7581" w:type="dxa"/>
          </w:tcPr>
          <w:p>
            <w:pPr>
              <w:pStyle w:val="TableParagraph"/>
              <w:spacing w:before="81"/>
              <w:ind w:left="81"/>
              <w:rPr>
                <w:sz w:val="21"/>
              </w:rPr>
            </w:pPr>
            <w:r>
              <w:rPr>
                <w:sz w:val="21"/>
              </w:rPr>
              <w:t>指经组织病理学检查被明确诊断为下列恶性病变，并且接受了相应的治疗。</w:t>
            </w:r>
          </w:p>
          <w:p>
            <w:pPr>
              <w:pStyle w:val="TableParagraph"/>
              <w:spacing w:before="36"/>
              <w:ind w:left="81"/>
              <w:rPr>
                <w:sz w:val="21"/>
              </w:rPr>
            </w:pPr>
            <w:r>
              <w:rPr>
                <w:sz w:val="21"/>
              </w:rPr>
              <w:t>（1）原位癌；</w:t>
            </w:r>
          </w:p>
        </w:tc>
      </w:tr>
      <w:tr>
        <w:trPr>
          <w:trHeight w:val="311"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1" w:lineRule="exact"/>
              <w:ind w:left="81"/>
              <w:rPr>
                <w:sz w:val="21"/>
              </w:rPr>
            </w:pPr>
            <w:r>
              <w:rPr>
                <w:sz w:val="21"/>
              </w:rPr>
              <w:t>（2）相当于Binet 分期方案A期程度的慢性淋巴细胞白血病；</w:t>
            </w:r>
          </w:p>
        </w:tc>
      </w:tr>
      <w:tr>
        <w:trPr>
          <w:trHeight w:val="312"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2" w:lineRule="exact"/>
              <w:ind w:left="81"/>
              <w:rPr>
                <w:sz w:val="21"/>
              </w:rPr>
            </w:pPr>
            <w:r>
              <w:rPr>
                <w:sz w:val="21"/>
              </w:rPr>
              <w:t>（3）相当于 Ann Arbor 分期方案 I 期程度的何杰金氏病；</w:t>
            </w:r>
          </w:p>
        </w:tc>
      </w:tr>
      <w:tr>
        <w:trPr>
          <w:trHeight w:val="312"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1" w:lineRule="exact"/>
              <w:ind w:left="8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466"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1" w:lineRule="exact"/>
              <w:ind w:left="81"/>
              <w:rPr>
                <w:sz w:val="21"/>
              </w:rPr>
            </w:pPr>
            <w:r>
              <w:rPr>
                <w:sz w:val="21"/>
              </w:rPr>
              <w:t>（5）TNM分期为T1N0M0期或更轻分期的前列腺癌。</w:t>
            </w:r>
          </w:p>
        </w:tc>
      </w:tr>
      <w:tr>
        <w:trPr>
          <w:trHeight w:val="1363" w:hRule="atLeast"/>
        </w:trPr>
        <w:tc>
          <w:tcPr>
            <w:tcW w:w="912" w:type="dxa"/>
          </w:tcPr>
          <w:p>
            <w:pPr>
              <w:pStyle w:val="TableParagraph"/>
              <w:spacing w:before="139"/>
              <w:ind w:left="50"/>
              <w:rPr>
                <w:i/>
                <w:sz w:val="22"/>
              </w:rPr>
            </w:pPr>
            <w:r>
              <w:rPr>
                <w:i/>
                <w:sz w:val="22"/>
              </w:rPr>
              <w:t>3.2.2</w:t>
            </w:r>
          </w:p>
        </w:tc>
        <w:tc>
          <w:tcPr>
            <w:tcW w:w="1724" w:type="dxa"/>
          </w:tcPr>
          <w:p>
            <w:pPr>
              <w:pStyle w:val="TableParagraph"/>
              <w:spacing w:line="310" w:lineRule="atLeast" w:before="117"/>
              <w:ind w:left="333" w:right="80"/>
              <w:jc w:val="both"/>
              <w:rPr>
                <w:i/>
                <w:sz w:val="22"/>
              </w:rPr>
            </w:pPr>
            <w:r>
              <w:rPr>
                <w:i/>
                <w:spacing w:val="-3"/>
                <w:w w:val="95"/>
                <w:sz w:val="22"/>
              </w:rPr>
              <w:t>脑垂体瘤、脑</w:t>
            </w:r>
            <w:r>
              <w:rPr>
                <w:i/>
                <w:spacing w:val="-4"/>
                <w:w w:val="95"/>
                <w:sz w:val="22"/>
              </w:rPr>
              <w:t>囊肿、脑动脉</w:t>
            </w:r>
            <w:r>
              <w:rPr>
                <w:i/>
                <w:spacing w:val="-9"/>
                <w:sz w:val="22"/>
              </w:rPr>
              <w:t>瘤 及 脑血管瘤</w:t>
            </w:r>
          </w:p>
        </w:tc>
        <w:tc>
          <w:tcPr>
            <w:tcW w:w="7581" w:type="dxa"/>
          </w:tcPr>
          <w:p>
            <w:pPr>
              <w:pStyle w:val="TableParagraph"/>
              <w:spacing w:line="273" w:lineRule="auto" w:before="151"/>
              <w:ind w:left="81" w:right="49"/>
              <w:rPr>
                <w:sz w:val="21"/>
              </w:rPr>
            </w:pPr>
            <w:r>
              <w:rPr>
                <w:spacing w:val="-7"/>
                <w:w w:val="100"/>
                <w:sz w:val="21"/>
              </w:rPr>
              <w:t>指经头颅断层扫描</w:t>
            </w:r>
            <w:r>
              <w:rPr>
                <w:spacing w:val="-2"/>
                <w:w w:val="100"/>
                <w:sz w:val="21"/>
              </w:rPr>
              <w:t>（</w:t>
            </w:r>
            <w:r>
              <w:rPr>
                <w:w w:val="100"/>
                <w:sz w:val="21"/>
              </w:rPr>
              <w:t>CT</w:t>
            </w:r>
            <w:r>
              <w:rPr>
                <w:spacing w:val="-108"/>
                <w:w w:val="100"/>
                <w:sz w:val="21"/>
              </w:rPr>
              <w:t>）</w:t>
            </w:r>
            <w:r>
              <w:rPr>
                <w:spacing w:val="-13"/>
                <w:w w:val="100"/>
                <w:sz w:val="21"/>
              </w:rPr>
              <w:t>、核磁共振</w:t>
            </w:r>
            <w:r>
              <w:rPr>
                <w:spacing w:val="-3"/>
                <w:w w:val="100"/>
                <w:sz w:val="21"/>
              </w:rPr>
              <w:t>（</w:t>
            </w:r>
            <w:r>
              <w:rPr>
                <w:w w:val="100"/>
                <w:sz w:val="21"/>
              </w:rPr>
              <w:t>MR</w:t>
            </w:r>
            <w:r>
              <w:rPr>
                <w:spacing w:val="-3"/>
                <w:w w:val="100"/>
                <w:sz w:val="21"/>
              </w:rPr>
              <w:t>I</w:t>
            </w:r>
            <w:r>
              <w:rPr>
                <w:spacing w:val="-29"/>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ind w:left="81"/>
              <w:rPr>
                <w:sz w:val="21"/>
              </w:rPr>
            </w:pPr>
            <w:r>
              <w:rPr>
                <w:sz w:val="21"/>
              </w:rPr>
              <w:t>（1）脑垂体瘤；</w:t>
            </w:r>
          </w:p>
          <w:p>
            <w:pPr>
              <w:pStyle w:val="TableParagraph"/>
              <w:spacing w:line="257" w:lineRule="exact" w:before="36"/>
              <w:ind w:left="81"/>
              <w:rPr>
                <w:sz w:val="21"/>
              </w:rPr>
            </w:pPr>
            <w:r>
              <w:rPr>
                <w:sz w:val="21"/>
              </w:rPr>
              <w:t>（2）脑囊肿；</w:t>
            </w:r>
          </w:p>
        </w:tc>
      </w:tr>
    </w:tbl>
    <w:p>
      <w:pPr>
        <w:spacing w:after="0" w:line="257" w:lineRule="exact"/>
        <w:rPr>
          <w:sz w:val="21"/>
        </w:rPr>
        <w:sectPr>
          <w:type w:val="continuous"/>
          <w:pgSz w:w="11910" w:h="16840"/>
          <w:pgMar w:top="1160" w:bottom="280" w:left="760" w:right="640"/>
        </w:sectPr>
      </w:pPr>
    </w:p>
    <w:p>
      <w:pPr>
        <w:pStyle w:val="BodyText"/>
        <w:spacing w:before="7"/>
      </w:pPr>
    </w:p>
    <w:p>
      <w:pPr>
        <w:pStyle w:val="BodyText"/>
        <w:spacing w:before="37"/>
        <w:ind w:left="2773"/>
      </w:pPr>
      <w:r>
        <w:rPr/>
        <w:t>（3）脑动脉瘤、脑血管瘤。</w:t>
      </w:r>
    </w:p>
    <w:p>
      <w:pPr>
        <w:pStyle w:val="BodyText"/>
        <w:spacing w:before="12"/>
        <w:rPr>
          <w:sz w:val="23"/>
        </w:rPr>
      </w:pPr>
    </w:p>
    <w:p>
      <w:pPr>
        <w:spacing w:after="0"/>
        <w:rPr>
          <w:sz w:val="23"/>
        </w:rPr>
        <w:sectPr>
          <w:pgSz w:w="11910" w:h="16840"/>
          <w:pgMar w:header="568" w:footer="0" w:top="800" w:bottom="280" w:left="880" w:right="800"/>
        </w:sectPr>
      </w:pPr>
    </w:p>
    <w:p>
      <w:pPr>
        <w:pStyle w:val="ListParagraph"/>
        <w:numPr>
          <w:ilvl w:val="2"/>
          <w:numId w:val="1"/>
        </w:numPr>
        <w:tabs>
          <w:tab w:pos="1301" w:val="left" w:leader="none"/>
          <w:tab w:pos="1302" w:val="left" w:leader="none"/>
        </w:tabs>
        <w:spacing w:line="259" w:lineRule="auto" w:before="34" w:after="0"/>
        <w:ind w:left="1302" w:right="0" w:hanging="1196"/>
        <w:jc w:val="left"/>
        <w:rPr>
          <w:i/>
          <w:sz w:val="22"/>
        </w:rPr>
      </w:pPr>
      <w:r>
        <w:rPr>
          <w:i/>
          <w:spacing w:val="40"/>
          <w:w w:val="95"/>
          <w:sz w:val="22"/>
        </w:rPr>
        <w:t>主动脉介入手术</w:t>
      </w:r>
    </w:p>
    <w:p>
      <w:pPr>
        <w:pStyle w:val="BodyText"/>
        <w:spacing w:line="273" w:lineRule="auto" w:before="46"/>
        <w:ind w:left="106" w:right="105"/>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160" w:bottom="280" w:left="880" w:right="800"/>
          <w:cols w:num="2" w:equalWidth="0">
            <w:col w:w="2611" w:space="57"/>
            <w:col w:w="7562"/>
          </w:cols>
        </w:sectPr>
      </w:pPr>
    </w:p>
    <w:p>
      <w:pPr>
        <w:pStyle w:val="BodyText"/>
        <w:spacing w:before="5"/>
      </w:pPr>
    </w:p>
    <w:p>
      <w:pPr>
        <w:spacing w:after="0"/>
        <w:sectPr>
          <w:type w:val="continuous"/>
          <w:pgSz w:w="11910" w:h="16840"/>
          <w:pgMar w:top="116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轻度原发性</w:t>
      </w:r>
      <w:r>
        <w:rPr>
          <w:spacing w:val="13"/>
          <w:w w:val="95"/>
        </w:rPr>
        <w:t>肺动脉高压</w:t>
      </w:r>
    </w:p>
    <w:p>
      <w:pPr>
        <w:pStyle w:val="BodyText"/>
        <w:spacing w:line="271" w:lineRule="auto" w:before="71"/>
        <w:ind w:left="106" w:right="105"/>
        <w:jc w:val="both"/>
      </w:pPr>
      <w:r>
        <w:rPr/>
        <w:br w:type="column"/>
      </w: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级，且静息状态下肺动脉平均压超过 </w:t>
      </w:r>
      <w:r>
        <w:rPr>
          <w:rFonts w:ascii="Times New Roman" w:eastAsia="Times New Roman"/>
        </w:rPr>
        <w:t>25mmHg</w:t>
      </w:r>
      <w:r>
        <w:rPr/>
        <w:t>。</w:t>
      </w:r>
    </w:p>
    <w:p>
      <w:pPr>
        <w:spacing w:after="0" w:line="271" w:lineRule="auto"/>
        <w:jc w:val="both"/>
        <w:sectPr>
          <w:type w:val="continuous"/>
          <w:pgSz w:w="11910" w:h="16840"/>
          <w:pgMar w:top="1160" w:bottom="280" w:left="880" w:right="800"/>
          <w:cols w:num="2" w:equalWidth="0">
            <w:col w:w="2611" w:space="57"/>
            <w:col w:w="7562"/>
          </w:cols>
        </w:sectPr>
      </w:pPr>
    </w:p>
    <w:p>
      <w:pPr>
        <w:pStyle w:val="BodyText"/>
        <w:spacing w:before="12"/>
        <w:rPr>
          <w:sz w:val="18"/>
        </w:rPr>
      </w:pPr>
    </w:p>
    <w:p>
      <w:pPr>
        <w:spacing w:after="0"/>
        <w:rPr>
          <w:sz w:val="18"/>
        </w:rPr>
        <w:sectPr>
          <w:type w:val="continuous"/>
          <w:pgSz w:w="11910" w:h="16840"/>
          <w:pgMar w:top="1160" w:bottom="280" w:left="880" w:right="800"/>
        </w:sectPr>
      </w:pPr>
    </w:p>
    <w:p>
      <w:pPr>
        <w:pStyle w:val="Heading2"/>
        <w:numPr>
          <w:ilvl w:val="2"/>
          <w:numId w:val="1"/>
        </w:numPr>
        <w:tabs>
          <w:tab w:pos="1301" w:val="left" w:leader="none"/>
          <w:tab w:pos="1302" w:val="left" w:leader="none"/>
        </w:tabs>
        <w:spacing w:line="259" w:lineRule="auto" w:before="34" w:after="0"/>
        <w:ind w:left="1302" w:right="0" w:hanging="1196"/>
        <w:jc w:val="left"/>
      </w:pPr>
      <w:r>
        <w:rPr>
          <w:spacing w:val="40"/>
          <w:w w:val="95"/>
        </w:rPr>
        <w:t>冠状动脉介入手术</w:t>
      </w:r>
    </w:p>
    <w:p>
      <w:pPr>
        <w:pStyle w:val="BodyText"/>
        <w:spacing w:line="280" w:lineRule="auto" w:before="70"/>
        <w:ind w:left="106" w:right="106"/>
      </w:pPr>
      <w:r>
        <w:rPr/>
        <w:br w:type="column"/>
      </w:r>
      <w:r>
        <w:rPr/>
        <w:t>为了治疗明显的冠状动脉狭窄性疾病，首次实际实施了冠状动脉球囊扩张成形术、冠状动脉支架植入术或激光冠状动脉成形术。</w:t>
      </w:r>
    </w:p>
    <w:p>
      <w:pPr>
        <w:spacing w:after="0" w:line="280" w:lineRule="auto"/>
        <w:sectPr>
          <w:type w:val="continuous"/>
          <w:pgSz w:w="11910" w:h="16840"/>
          <w:pgMar w:top="1160" w:bottom="280" w:left="880" w:right="800"/>
          <w:cols w:num="2" w:equalWidth="0">
            <w:col w:w="2611" w:space="57"/>
            <w:col w:w="7562"/>
          </w:cols>
        </w:sectPr>
      </w:pPr>
    </w:p>
    <w:p>
      <w:pPr>
        <w:pStyle w:val="BodyText"/>
        <w:rPr>
          <w:sz w:val="20"/>
        </w:rPr>
      </w:pPr>
    </w:p>
    <w:p>
      <w:pPr>
        <w:pStyle w:val="BodyText"/>
        <w:spacing w:before="3"/>
        <w:rPr>
          <w:sz w:val="24"/>
        </w:rPr>
      </w:pPr>
    </w:p>
    <w:p>
      <w:pPr>
        <w:pStyle w:val="ListParagraph"/>
        <w:numPr>
          <w:ilvl w:val="2"/>
          <w:numId w:val="1"/>
        </w:numPr>
        <w:tabs>
          <w:tab w:pos="1301" w:val="left" w:leader="none"/>
          <w:tab w:pos="1302" w:val="left" w:leader="none"/>
          <w:tab w:pos="2773" w:val="left" w:leader="none"/>
        </w:tabs>
        <w:spacing w:line="278" w:lineRule="auto" w:before="39" w:after="0"/>
        <w:ind w:left="2773" w:right="105" w:hanging="2667"/>
        <w:jc w:val="left"/>
        <w:rPr>
          <w:sz w:val="22"/>
        </w:rPr>
      </w:pPr>
      <w:r>
        <w:rPr>
          <w:i/>
          <w:position w:val="2"/>
          <w:sz w:val="22"/>
        </w:rPr>
        <w:t>单肢</w:t>
      </w:r>
      <w:r>
        <w:rPr>
          <w:i/>
          <w:spacing w:val="-3"/>
          <w:position w:val="2"/>
          <w:sz w:val="22"/>
        </w:rPr>
        <w:t>缺</w:t>
      </w:r>
      <w:r>
        <w:rPr>
          <w:i/>
          <w:position w:val="2"/>
          <w:sz w:val="22"/>
        </w:rPr>
        <w:t>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一个</w:t>
      </w:r>
      <w:r>
        <w:rPr>
          <w:spacing w:val="-3"/>
          <w:sz w:val="21"/>
        </w:rPr>
        <w:t>肢</w:t>
      </w:r>
      <w:r>
        <w:rPr>
          <w:sz w:val="21"/>
        </w:rPr>
        <w:t>体</w:t>
      </w:r>
      <w:r>
        <w:rPr>
          <w:spacing w:val="-3"/>
          <w:sz w:val="21"/>
        </w:rPr>
        <w:t>自</w:t>
      </w:r>
      <w:r>
        <w:rPr>
          <w:sz w:val="21"/>
        </w:rPr>
        <w:t>腕</w:t>
      </w:r>
      <w:r>
        <w:rPr>
          <w:spacing w:val="-3"/>
          <w:sz w:val="21"/>
        </w:rPr>
        <w:t>关</w:t>
      </w:r>
      <w:r>
        <w:rPr>
          <w:sz w:val="21"/>
        </w:rPr>
        <w:t>节</w:t>
      </w:r>
      <w:r>
        <w:rPr>
          <w:spacing w:val="-3"/>
          <w:sz w:val="21"/>
        </w:rPr>
        <w:t>或</w:t>
      </w:r>
      <w:r>
        <w:rPr>
          <w:sz w:val="21"/>
        </w:rPr>
        <w:t>踝</w:t>
      </w:r>
      <w:r>
        <w:rPr>
          <w:spacing w:val="-3"/>
          <w:sz w:val="21"/>
        </w:rPr>
        <w:t>关</w:t>
      </w:r>
      <w:r>
        <w:rPr>
          <w:sz w:val="21"/>
        </w:rPr>
        <w:t>节近</w:t>
      </w:r>
      <w:r>
        <w:rPr>
          <w:spacing w:val="-8"/>
          <w:sz w:val="21"/>
        </w:rPr>
        <w:t>端</w:t>
      </w:r>
      <w:r>
        <w:rPr>
          <w:spacing w:val="-3"/>
          <w:sz w:val="21"/>
        </w:rPr>
        <w:t>（</w:t>
      </w:r>
      <w:r>
        <w:rPr>
          <w:sz w:val="21"/>
        </w:rPr>
        <w:t>靠</w:t>
      </w:r>
      <w:r>
        <w:rPr>
          <w:spacing w:val="-3"/>
          <w:sz w:val="21"/>
        </w:rPr>
        <w:t>近</w:t>
      </w:r>
      <w:r>
        <w:rPr>
          <w:sz w:val="21"/>
        </w:rPr>
        <w:t>躯</w:t>
      </w:r>
      <w:r>
        <w:rPr>
          <w:spacing w:val="-3"/>
          <w:sz w:val="21"/>
        </w:rPr>
        <w:t>干</w:t>
      </w:r>
      <w:r>
        <w:rPr>
          <w:sz w:val="21"/>
        </w:rPr>
        <w:t>端</w:t>
      </w:r>
      <w:r>
        <w:rPr>
          <w:spacing w:val="-8"/>
          <w:sz w:val="21"/>
        </w:rPr>
        <w:t>）</w:t>
      </w:r>
      <w:r>
        <w:rPr>
          <w:spacing w:val="-3"/>
          <w:sz w:val="21"/>
        </w:rPr>
        <w:t>以</w:t>
      </w:r>
      <w:r>
        <w:rPr>
          <w:sz w:val="21"/>
        </w:rPr>
        <w:t>上完 全性</w:t>
      </w:r>
      <w:r>
        <w:rPr>
          <w:spacing w:val="-3"/>
          <w:sz w:val="21"/>
        </w:rPr>
        <w:t>断</w:t>
      </w:r>
      <w:r>
        <w:rPr>
          <w:sz w:val="21"/>
        </w:rPr>
        <w:t>离。</w:t>
      </w:r>
    </w:p>
    <w:p>
      <w:pPr>
        <w:pStyle w:val="BodyText"/>
        <w:rPr>
          <w:sz w:val="20"/>
        </w:rPr>
      </w:pPr>
    </w:p>
    <w:p>
      <w:pPr>
        <w:spacing w:after="0"/>
        <w:rPr>
          <w:sz w:val="20"/>
        </w:rPr>
        <w:sectPr>
          <w:type w:val="continuous"/>
          <w:pgSz w:w="11910" w:h="16840"/>
          <w:pgMar w:top="116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心脏瓣膜介入手术</w:t>
      </w:r>
    </w:p>
    <w:p>
      <w:pPr>
        <w:pStyle w:val="BodyText"/>
        <w:spacing w:line="278" w:lineRule="auto" w:before="70"/>
        <w:ind w:left="106" w:right="105"/>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160" w:bottom="280" w:left="880" w:right="800"/>
          <w:cols w:num="2" w:equalWidth="0">
            <w:col w:w="2611" w:space="57"/>
            <w:col w:w="7562"/>
          </w:cols>
        </w:sectPr>
      </w:pPr>
    </w:p>
    <w:p>
      <w:pPr>
        <w:pStyle w:val="BodyText"/>
        <w:spacing w:before="12"/>
        <w:rPr>
          <w:sz w:val="19"/>
        </w:rPr>
      </w:pPr>
    </w:p>
    <w:p>
      <w:pPr>
        <w:spacing w:after="0"/>
        <w:rPr>
          <w:sz w:val="19"/>
        </w:rPr>
        <w:sectPr>
          <w:type w:val="continuous"/>
          <w:pgSz w:w="11910" w:h="16840"/>
          <w:pgMar w:top="116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脑外伤开颅手术</w:t>
      </w:r>
    </w:p>
    <w:p>
      <w:pPr>
        <w:pStyle w:val="BodyText"/>
        <w:spacing w:line="278" w:lineRule="auto" w:before="71"/>
        <w:ind w:left="106" w:right="107"/>
      </w:pPr>
      <w:r>
        <w:rPr/>
        <w:br w:type="column"/>
      </w:r>
      <w:r>
        <w:rPr>
          <w:spacing w:val="-5"/>
        </w:rPr>
        <w:t>因头部遭受机械性外力，引起脑重要部位损伤，并实际接受了全麻下颅骨切开颅</w:t>
      </w:r>
      <w:r>
        <w:rPr>
          <w:spacing w:val="-4"/>
        </w:rPr>
        <w:t>内血肿清除术</w:t>
      </w:r>
      <w:r>
        <w:rPr>
          <w:spacing w:val="-3"/>
        </w:rPr>
        <w:t>（颅骨钻孔术除外</w:t>
      </w:r>
      <w:r>
        <w:rPr>
          <w:spacing w:val="-106"/>
        </w:rPr>
        <w:t>）</w:t>
      </w:r>
      <w:r>
        <w:rPr/>
        <w:t>。</w:t>
      </w:r>
    </w:p>
    <w:p>
      <w:pPr>
        <w:spacing w:after="0" w:line="278" w:lineRule="auto"/>
        <w:sectPr>
          <w:type w:val="continuous"/>
          <w:pgSz w:w="11910" w:h="16840"/>
          <w:pgMar w:top="1160" w:bottom="280" w:left="880" w:right="800"/>
          <w:cols w:num="2" w:equalWidth="0">
            <w:col w:w="2611" w:space="57"/>
            <w:col w:w="7562"/>
          </w:cols>
        </w:sectPr>
      </w:pPr>
    </w:p>
    <w:p>
      <w:pPr>
        <w:pStyle w:val="BodyText"/>
        <w:rPr>
          <w:sz w:val="20"/>
        </w:rPr>
      </w:pPr>
    </w:p>
    <w:p>
      <w:pPr>
        <w:spacing w:after="0"/>
        <w:rPr>
          <w:sz w:val="20"/>
        </w:rPr>
        <w:sectPr>
          <w:type w:val="continuous"/>
          <w:pgSz w:w="11910" w:h="16840"/>
          <w:pgMar w:top="116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13"/>
        </w:rPr>
        <w:t>较小面积 </w:t>
      </w:r>
      <w:r>
        <w:rPr/>
        <w:t>III</w:t>
      </w:r>
      <w:r>
        <w:rPr>
          <w:w w:val="95"/>
        </w:rPr>
        <w:t>度烧伤</w:t>
      </w:r>
    </w:p>
    <w:p>
      <w:pPr>
        <w:pStyle w:val="BodyText"/>
        <w:spacing w:line="264" w:lineRule="auto" w:before="70"/>
        <w:ind w:left="106" w:right="105"/>
      </w:pPr>
      <w:r>
        <w:rPr/>
        <w:br w:type="column"/>
      </w:r>
      <w:r>
        <w:rPr>
          <w:spacing w:val="-6"/>
        </w:rPr>
        <w:t>指烧伤程度为Ⅲ度，且Ⅲ度烧伤面积达到全身体表面积的 </w:t>
      </w:r>
      <w:r>
        <w:rPr>
          <w:rFonts w:ascii="Times New Roman" w:hAnsi="Times New Roman" w:eastAsia="Times New Roman"/>
          <w:spacing w:val="-4"/>
        </w:rPr>
        <w:t>10%</w:t>
      </w:r>
      <w:r>
        <w:rPr>
          <w:spacing w:val="-4"/>
        </w:rPr>
        <w:t>（</w:t>
      </w:r>
      <w:r>
        <w:rPr>
          <w:spacing w:val="-3"/>
        </w:rPr>
        <w:t>百分之十</w:t>
      </w:r>
      <w:r>
        <w:rPr>
          <w:spacing w:val="-13"/>
        </w:rPr>
        <w:t>）</w:t>
      </w:r>
      <w:r>
        <w:rPr/>
        <w:t>但少</w:t>
      </w:r>
      <w:r>
        <w:rPr>
          <w:spacing w:val="-12"/>
        </w:rPr>
        <w:t>于 </w:t>
      </w:r>
      <w:r>
        <w:rPr>
          <w:rFonts w:ascii="Times New Roman" w:hAnsi="Times New Roman" w:eastAsia="Times New Roman"/>
        </w:rPr>
        <w:t>20%</w:t>
      </w:r>
      <w:r>
        <w:rPr/>
        <w:t>（</w:t>
      </w:r>
      <w:r>
        <w:rPr>
          <w:spacing w:val="-3"/>
        </w:rPr>
        <w:t>百分之二十</w:t>
      </w:r>
      <w:r>
        <w:rPr>
          <w:spacing w:val="-108"/>
        </w:rPr>
        <w:t>）</w:t>
      </w:r>
      <w:r>
        <w:rPr>
          <w:spacing w:val="-3"/>
        </w:rPr>
        <w:t>。体表面积根据《中国新九分法》计算。</w:t>
      </w:r>
    </w:p>
    <w:p>
      <w:pPr>
        <w:spacing w:after="0" w:line="264" w:lineRule="auto"/>
        <w:sectPr>
          <w:type w:val="continuous"/>
          <w:pgSz w:w="11910" w:h="16840"/>
          <w:pgMar w:top="1160" w:bottom="280" w:left="880" w:right="800"/>
          <w:cols w:num="2" w:equalWidth="0">
            <w:col w:w="2560" w:space="107"/>
            <w:col w:w="7563"/>
          </w:cols>
        </w:sectPr>
      </w:pPr>
    </w:p>
    <w:p>
      <w:pPr>
        <w:pStyle w:val="BodyText"/>
        <w:spacing w:before="4"/>
        <w:rPr>
          <w:sz w:val="20"/>
        </w:rPr>
      </w:pPr>
    </w:p>
    <w:p>
      <w:pPr>
        <w:spacing w:after="0"/>
        <w:rPr>
          <w:sz w:val="20"/>
        </w:rPr>
        <w:sectPr>
          <w:type w:val="continuous"/>
          <w:pgSz w:w="11910" w:h="16840"/>
          <w:pgMar w:top="1160" w:bottom="280" w:left="880" w:right="800"/>
        </w:sectPr>
      </w:pPr>
    </w:p>
    <w:p>
      <w:pPr>
        <w:pStyle w:val="Heading3"/>
        <w:numPr>
          <w:ilvl w:val="1"/>
          <w:numId w:val="1"/>
        </w:numPr>
        <w:tabs>
          <w:tab w:pos="1301" w:val="left" w:leader="none"/>
          <w:tab w:pos="1302" w:val="left" w:leader="none"/>
        </w:tabs>
        <w:spacing w:line="273" w:lineRule="auto" w:before="37" w:after="0"/>
        <w:ind w:left="1302" w:right="0" w:hanging="1196"/>
        <w:jc w:val="left"/>
      </w:pPr>
      <w:r>
        <w:rPr>
          <w:spacing w:val="40"/>
        </w:rPr>
        <w:t>重大疾病的范围</w:t>
      </w:r>
    </w:p>
    <w:p>
      <w:pPr>
        <w:pStyle w:val="BodyText"/>
        <w:spacing w:line="278" w:lineRule="auto" w:before="61"/>
        <w:ind w:left="106" w:right="105"/>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line="280" w:lineRule="auto" w:before="11"/>
        <w:ind w:left="106" w:right="105"/>
        <w:jc w:val="both"/>
      </w:pPr>
      <w:r>
        <w:rPr/>
        <w:t>在本附加合同有效期内，被保险人年满 18 周岁前，我们保障的重大疾病如下所示：</w:t>
      </w:r>
    </w:p>
    <w:p>
      <w:pPr>
        <w:spacing w:after="0" w:line="280" w:lineRule="auto"/>
        <w:jc w:val="both"/>
        <w:sectPr>
          <w:type w:val="continuous"/>
          <w:pgSz w:w="11910" w:h="16840"/>
          <w:pgMar w:top="1160" w:bottom="280" w:left="880" w:right="800"/>
          <w:cols w:num="2" w:equalWidth="0">
            <w:col w:w="2611" w:space="57"/>
            <w:col w:w="7562"/>
          </w:cols>
        </w:sectPr>
      </w:pPr>
    </w:p>
    <w:p>
      <w:pPr>
        <w:pStyle w:val="BodyText"/>
        <w:spacing w:before="9"/>
        <w:rPr>
          <w:sz w:val="5"/>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2061"/>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2061"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9"/>
              <w:ind w:left="0"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90" w:type="dxa"/>
          </w:tcPr>
          <w:p>
            <w:pPr>
              <w:pStyle w:val="TableParagraph"/>
              <w:spacing w:before="19"/>
              <w:ind w:left="29" w:right="40"/>
              <w:jc w:val="center"/>
              <w:rPr>
                <w:sz w:val="18"/>
              </w:rPr>
            </w:pPr>
            <w:r>
              <w:rPr>
                <w:sz w:val="18"/>
              </w:rPr>
              <w:t>16</w:t>
            </w:r>
          </w:p>
        </w:tc>
        <w:tc>
          <w:tcPr>
            <w:tcW w:w="2061" w:type="dxa"/>
          </w:tcPr>
          <w:p>
            <w:pPr>
              <w:pStyle w:val="TableParagraph"/>
              <w:spacing w:before="19"/>
              <w:ind w:left="59"/>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90" w:type="dxa"/>
          </w:tcPr>
          <w:p>
            <w:pPr>
              <w:pStyle w:val="TableParagraph"/>
              <w:spacing w:before="17"/>
              <w:ind w:left="29" w:right="40"/>
              <w:jc w:val="center"/>
              <w:rPr>
                <w:sz w:val="18"/>
              </w:rPr>
            </w:pPr>
            <w:r>
              <w:rPr>
                <w:sz w:val="18"/>
              </w:rPr>
              <w:t>17</w:t>
            </w:r>
          </w:p>
        </w:tc>
        <w:tc>
          <w:tcPr>
            <w:tcW w:w="2061" w:type="dxa"/>
          </w:tcPr>
          <w:p>
            <w:pPr>
              <w:pStyle w:val="TableParagraph"/>
              <w:spacing w:before="17"/>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2061" w:type="dxa"/>
          </w:tcPr>
          <w:p>
            <w:pPr>
              <w:pStyle w:val="TableParagraph"/>
              <w:spacing w:before="17"/>
              <w:ind w:left="59"/>
              <w:rPr>
                <w:sz w:val="18"/>
              </w:rPr>
            </w:pPr>
            <w:r>
              <w:rPr>
                <w:sz w:val="18"/>
              </w:rPr>
              <w:t>严重脑损伤</w:t>
            </w:r>
          </w:p>
        </w:tc>
      </w:tr>
      <w:tr>
        <w:trPr>
          <w:trHeight w:val="327"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2061"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20"/>
              </w:rPr>
            </w:pPr>
          </w:p>
        </w:tc>
        <w:tc>
          <w:tcPr>
            <w:tcW w:w="2986" w:type="dxa"/>
          </w:tcPr>
          <w:p>
            <w:pPr>
              <w:pStyle w:val="TableParagraph"/>
              <w:spacing w:before="19"/>
              <w:ind w:left="58"/>
              <w:rPr>
                <w:sz w:val="18"/>
              </w:rPr>
            </w:pPr>
            <w:r>
              <w:rPr>
                <w:sz w:val="18"/>
              </w:rPr>
              <w:t>（或称冠状动脉旁路移植术）</w:t>
            </w:r>
          </w:p>
        </w:tc>
        <w:tc>
          <w:tcPr>
            <w:tcW w:w="290" w:type="dxa"/>
          </w:tcPr>
          <w:p>
            <w:pPr>
              <w:pStyle w:val="TableParagraph"/>
              <w:spacing w:before="19"/>
              <w:ind w:left="29" w:right="40"/>
              <w:jc w:val="center"/>
              <w:rPr>
                <w:sz w:val="18"/>
              </w:rPr>
            </w:pPr>
            <w:r>
              <w:rPr>
                <w:sz w:val="18"/>
              </w:rPr>
              <w:t>20</w:t>
            </w:r>
          </w:p>
        </w:tc>
        <w:tc>
          <w:tcPr>
            <w:tcW w:w="2061" w:type="dxa"/>
          </w:tcPr>
          <w:p>
            <w:pPr>
              <w:pStyle w:val="TableParagraph"/>
              <w:spacing w:before="19"/>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90" w:type="dxa"/>
          </w:tcPr>
          <w:p>
            <w:pPr>
              <w:pStyle w:val="TableParagraph"/>
              <w:spacing w:before="17"/>
              <w:ind w:left="29" w:right="40"/>
              <w:jc w:val="center"/>
              <w:rPr>
                <w:sz w:val="18"/>
              </w:rPr>
            </w:pPr>
            <w:r>
              <w:rPr>
                <w:sz w:val="18"/>
              </w:rPr>
              <w:t>21</w:t>
            </w:r>
          </w:p>
        </w:tc>
        <w:tc>
          <w:tcPr>
            <w:tcW w:w="2061" w:type="dxa"/>
          </w:tcPr>
          <w:p>
            <w:pPr>
              <w:pStyle w:val="TableParagraph"/>
              <w:spacing w:before="17"/>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2061"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90" w:type="dxa"/>
          </w:tcPr>
          <w:p>
            <w:pPr>
              <w:pStyle w:val="TableParagraph"/>
              <w:spacing w:before="17"/>
              <w:ind w:left="29" w:right="40"/>
              <w:jc w:val="center"/>
              <w:rPr>
                <w:sz w:val="18"/>
              </w:rPr>
            </w:pPr>
            <w:r>
              <w:rPr>
                <w:sz w:val="18"/>
              </w:rPr>
              <w:t>23</w:t>
            </w:r>
          </w:p>
        </w:tc>
        <w:tc>
          <w:tcPr>
            <w:tcW w:w="2061" w:type="dxa"/>
          </w:tcPr>
          <w:p>
            <w:pPr>
              <w:pStyle w:val="TableParagraph"/>
              <w:spacing w:before="17"/>
              <w:ind w:left="59"/>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90" w:type="dxa"/>
          </w:tcPr>
          <w:p>
            <w:pPr>
              <w:pStyle w:val="TableParagraph"/>
              <w:spacing w:before="19"/>
              <w:ind w:left="29" w:right="40"/>
              <w:jc w:val="center"/>
              <w:rPr>
                <w:sz w:val="18"/>
              </w:rPr>
            </w:pPr>
            <w:r>
              <w:rPr>
                <w:sz w:val="18"/>
              </w:rPr>
              <w:t>24</w:t>
            </w:r>
          </w:p>
        </w:tc>
        <w:tc>
          <w:tcPr>
            <w:tcW w:w="2061"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90" w:type="dxa"/>
          </w:tcPr>
          <w:p>
            <w:pPr>
              <w:pStyle w:val="TableParagraph"/>
              <w:spacing w:before="17"/>
              <w:ind w:left="29" w:right="40"/>
              <w:jc w:val="center"/>
              <w:rPr>
                <w:sz w:val="18"/>
              </w:rPr>
            </w:pPr>
            <w:r>
              <w:rPr>
                <w:sz w:val="18"/>
              </w:rPr>
              <w:t>25</w:t>
            </w:r>
          </w:p>
        </w:tc>
        <w:tc>
          <w:tcPr>
            <w:tcW w:w="2061" w:type="dxa"/>
          </w:tcPr>
          <w:p>
            <w:pPr>
              <w:pStyle w:val="TableParagraph"/>
              <w:spacing w:before="17"/>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2061" w:type="dxa"/>
          </w:tcPr>
          <w:p>
            <w:pPr>
              <w:pStyle w:val="TableParagraph"/>
              <w:spacing w:before="17"/>
              <w:ind w:left="59"/>
              <w:rPr>
                <w:sz w:val="18"/>
              </w:rPr>
            </w:pPr>
            <w:r>
              <w:rPr>
                <w:sz w:val="18"/>
              </w:rPr>
              <w:t>胰岛素依赖型糖尿病</w:t>
            </w:r>
          </w:p>
        </w:tc>
      </w:tr>
      <w:tr>
        <w:trPr>
          <w:trHeight w:val="253" w:hRule="atLeast"/>
        </w:trPr>
        <w:tc>
          <w:tcPr>
            <w:tcW w:w="441" w:type="dxa"/>
          </w:tcPr>
          <w:p>
            <w:pPr>
              <w:pStyle w:val="TableParagraph"/>
              <w:spacing w:line="216" w:lineRule="exact" w:before="17"/>
              <w:ind w:left="0" w:right="56"/>
              <w:jc w:val="right"/>
              <w:rPr>
                <w:sz w:val="18"/>
              </w:rPr>
            </w:pPr>
            <w:r>
              <w:rPr>
                <w:sz w:val="18"/>
              </w:rPr>
              <w:t>11</w:t>
            </w:r>
          </w:p>
        </w:tc>
        <w:tc>
          <w:tcPr>
            <w:tcW w:w="2986" w:type="dxa"/>
          </w:tcPr>
          <w:p>
            <w:pPr>
              <w:pStyle w:val="TableParagraph"/>
              <w:spacing w:line="216" w:lineRule="exact" w:before="17"/>
              <w:ind w:left="58"/>
              <w:rPr>
                <w:sz w:val="18"/>
              </w:rPr>
            </w:pPr>
            <w:r>
              <w:rPr>
                <w:sz w:val="18"/>
              </w:rPr>
              <w:t>脑炎后遗症或脑膜炎后遗症</w:t>
            </w:r>
          </w:p>
        </w:tc>
        <w:tc>
          <w:tcPr>
            <w:tcW w:w="290" w:type="dxa"/>
          </w:tcPr>
          <w:p>
            <w:pPr>
              <w:pStyle w:val="TableParagraph"/>
              <w:spacing w:line="216" w:lineRule="exact" w:before="17"/>
              <w:ind w:left="29" w:right="40"/>
              <w:jc w:val="center"/>
              <w:rPr>
                <w:sz w:val="18"/>
              </w:rPr>
            </w:pPr>
            <w:r>
              <w:rPr>
                <w:sz w:val="18"/>
              </w:rPr>
              <w:t>27</w:t>
            </w:r>
          </w:p>
        </w:tc>
        <w:tc>
          <w:tcPr>
            <w:tcW w:w="2061" w:type="dxa"/>
          </w:tcPr>
          <w:p>
            <w:pPr>
              <w:pStyle w:val="TableParagraph"/>
              <w:spacing w:line="216" w:lineRule="exact" w:before="17"/>
              <w:ind w:left="59"/>
              <w:rPr>
                <w:sz w:val="18"/>
              </w:rPr>
            </w:pPr>
            <w:r>
              <w:rPr>
                <w:sz w:val="18"/>
              </w:rPr>
              <w:t>脊髓灰质炎</w:t>
            </w:r>
          </w:p>
        </w:tc>
      </w:tr>
    </w:tbl>
    <w:p>
      <w:pPr>
        <w:spacing w:after="0" w:line="216" w:lineRule="exact"/>
        <w:rPr>
          <w:sz w:val="18"/>
        </w:rPr>
        <w:sectPr>
          <w:type w:val="continuous"/>
          <w:pgSz w:w="11910" w:h="16840"/>
          <w:pgMar w:top="1160" w:bottom="280" w:left="880" w:right="800"/>
        </w:sectPr>
      </w:pPr>
    </w:p>
    <w:p>
      <w:pPr>
        <w:pStyle w:val="BodyText"/>
        <w:rPr>
          <w:sz w:val="20"/>
        </w:rPr>
      </w:pPr>
    </w:p>
    <w:p>
      <w:pPr>
        <w:pStyle w:val="BodyText"/>
        <w:spacing w:before="5" w:after="1"/>
        <w:rPr>
          <w:sz w:val="11"/>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1906"/>
        <w:gridCol w:w="1370"/>
        <w:gridCol w:w="2241"/>
      </w:tblGrid>
      <w:tr>
        <w:trPr>
          <w:trHeight w:val="253" w:hRule="atLeast"/>
        </w:trPr>
        <w:tc>
          <w:tcPr>
            <w:tcW w:w="441" w:type="dxa"/>
          </w:tcPr>
          <w:p>
            <w:pPr>
              <w:pStyle w:val="TableParagraph"/>
              <w:spacing w:line="180" w:lineRule="exact"/>
              <w:ind w:left="0" w:right="56"/>
              <w:jc w:val="right"/>
              <w:rPr>
                <w:sz w:val="18"/>
              </w:rPr>
            </w:pPr>
            <w:r>
              <w:rPr>
                <w:sz w:val="18"/>
              </w:rPr>
              <w:t>12</w:t>
            </w:r>
          </w:p>
        </w:tc>
        <w:tc>
          <w:tcPr>
            <w:tcW w:w="1906" w:type="dxa"/>
          </w:tcPr>
          <w:p>
            <w:pPr>
              <w:pStyle w:val="TableParagraph"/>
              <w:spacing w:line="180" w:lineRule="exact"/>
              <w:ind w:left="58"/>
              <w:rPr>
                <w:sz w:val="18"/>
              </w:rPr>
            </w:pPr>
            <w:r>
              <w:rPr>
                <w:sz w:val="18"/>
              </w:rPr>
              <w:t>深度昏迷</w:t>
            </w:r>
          </w:p>
        </w:tc>
        <w:tc>
          <w:tcPr>
            <w:tcW w:w="1370" w:type="dxa"/>
          </w:tcPr>
          <w:p>
            <w:pPr>
              <w:pStyle w:val="TableParagraph"/>
              <w:spacing w:line="180" w:lineRule="exact"/>
              <w:ind w:left="0" w:right="58"/>
              <w:jc w:val="right"/>
              <w:rPr>
                <w:sz w:val="18"/>
              </w:rPr>
            </w:pPr>
            <w:r>
              <w:rPr>
                <w:sz w:val="18"/>
              </w:rPr>
              <w:t>28</w:t>
            </w:r>
          </w:p>
        </w:tc>
        <w:tc>
          <w:tcPr>
            <w:tcW w:w="2241" w:type="dxa"/>
          </w:tcPr>
          <w:p>
            <w:pPr>
              <w:pStyle w:val="TableParagraph"/>
              <w:spacing w:line="180" w:lineRule="exact"/>
              <w:ind w:left="59"/>
              <w:rPr>
                <w:sz w:val="18"/>
              </w:rPr>
            </w:pPr>
            <w:r>
              <w:rPr>
                <w:sz w:val="18"/>
              </w:rPr>
              <w:t>严重川崎病</w:t>
            </w:r>
          </w:p>
        </w:tc>
      </w:tr>
      <w:tr>
        <w:trPr>
          <w:trHeight w:val="326" w:hRule="atLeast"/>
        </w:trPr>
        <w:tc>
          <w:tcPr>
            <w:tcW w:w="441" w:type="dxa"/>
          </w:tcPr>
          <w:p>
            <w:pPr>
              <w:pStyle w:val="TableParagraph"/>
              <w:spacing w:before="17"/>
              <w:ind w:left="0" w:right="56"/>
              <w:jc w:val="right"/>
              <w:rPr>
                <w:sz w:val="18"/>
              </w:rPr>
            </w:pPr>
            <w:r>
              <w:rPr>
                <w:sz w:val="18"/>
              </w:rPr>
              <w:t>13</w:t>
            </w:r>
          </w:p>
        </w:tc>
        <w:tc>
          <w:tcPr>
            <w:tcW w:w="1906" w:type="dxa"/>
          </w:tcPr>
          <w:p>
            <w:pPr>
              <w:pStyle w:val="TableParagraph"/>
              <w:spacing w:before="17"/>
              <w:ind w:left="58"/>
              <w:rPr>
                <w:sz w:val="18"/>
              </w:rPr>
            </w:pPr>
            <w:r>
              <w:rPr>
                <w:sz w:val="18"/>
              </w:rPr>
              <w:t>双耳失聪</w:t>
            </w:r>
          </w:p>
        </w:tc>
        <w:tc>
          <w:tcPr>
            <w:tcW w:w="1370" w:type="dxa"/>
          </w:tcPr>
          <w:p>
            <w:pPr>
              <w:pStyle w:val="TableParagraph"/>
              <w:spacing w:before="17"/>
              <w:ind w:left="0" w:right="58"/>
              <w:jc w:val="right"/>
              <w:rPr>
                <w:sz w:val="18"/>
              </w:rPr>
            </w:pPr>
            <w:r>
              <w:rPr>
                <w:sz w:val="18"/>
              </w:rPr>
              <w:t>29</w:t>
            </w:r>
          </w:p>
        </w:tc>
        <w:tc>
          <w:tcPr>
            <w:tcW w:w="2241" w:type="dxa"/>
          </w:tcPr>
          <w:p>
            <w:pPr>
              <w:pStyle w:val="TableParagraph"/>
              <w:spacing w:before="17"/>
              <w:ind w:left="59"/>
              <w:rPr>
                <w:sz w:val="18"/>
              </w:rPr>
            </w:pPr>
            <w:r>
              <w:rPr>
                <w:sz w:val="18"/>
              </w:rPr>
              <w:t>严重幼年型类风湿关节炎</w:t>
            </w:r>
          </w:p>
        </w:tc>
      </w:tr>
      <w:tr>
        <w:trPr>
          <w:trHeight w:val="253" w:hRule="atLeast"/>
        </w:trPr>
        <w:tc>
          <w:tcPr>
            <w:tcW w:w="441" w:type="dxa"/>
          </w:tcPr>
          <w:p>
            <w:pPr>
              <w:pStyle w:val="TableParagraph"/>
              <w:spacing w:line="216" w:lineRule="exact" w:before="18"/>
              <w:ind w:left="0" w:right="56"/>
              <w:jc w:val="right"/>
              <w:rPr>
                <w:sz w:val="18"/>
              </w:rPr>
            </w:pPr>
            <w:r>
              <w:rPr>
                <w:sz w:val="18"/>
              </w:rPr>
              <w:t>14</w:t>
            </w:r>
          </w:p>
        </w:tc>
        <w:tc>
          <w:tcPr>
            <w:tcW w:w="1906" w:type="dxa"/>
          </w:tcPr>
          <w:p>
            <w:pPr>
              <w:pStyle w:val="TableParagraph"/>
              <w:spacing w:line="216" w:lineRule="exact" w:before="18"/>
              <w:ind w:left="58"/>
              <w:rPr>
                <w:sz w:val="18"/>
              </w:rPr>
            </w:pPr>
            <w:r>
              <w:rPr>
                <w:sz w:val="18"/>
              </w:rPr>
              <w:t>双目失明</w:t>
            </w:r>
          </w:p>
        </w:tc>
        <w:tc>
          <w:tcPr>
            <w:tcW w:w="1370" w:type="dxa"/>
          </w:tcPr>
          <w:p>
            <w:pPr>
              <w:pStyle w:val="TableParagraph"/>
              <w:spacing w:line="216" w:lineRule="exact" w:before="18"/>
              <w:ind w:left="0" w:right="58"/>
              <w:jc w:val="right"/>
              <w:rPr>
                <w:sz w:val="18"/>
              </w:rPr>
            </w:pPr>
            <w:r>
              <w:rPr>
                <w:sz w:val="18"/>
              </w:rPr>
              <w:t>30</w:t>
            </w:r>
          </w:p>
        </w:tc>
        <w:tc>
          <w:tcPr>
            <w:tcW w:w="2241" w:type="dxa"/>
          </w:tcPr>
          <w:p>
            <w:pPr>
              <w:pStyle w:val="TableParagraph"/>
              <w:spacing w:line="216" w:lineRule="exact" w:before="18"/>
              <w:ind w:left="59"/>
              <w:rPr>
                <w:sz w:val="18"/>
              </w:rPr>
            </w:pPr>
            <w:r>
              <w:rPr>
                <w:sz w:val="18"/>
              </w:rPr>
              <w:t>严重的原发性心肌病</w:t>
            </w:r>
          </w:p>
        </w:tc>
      </w:tr>
    </w:tbl>
    <w:p>
      <w:pPr>
        <w:pStyle w:val="BodyText"/>
        <w:spacing w:line="280" w:lineRule="auto" w:before="80"/>
        <w:ind w:left="2773" w:right="205"/>
      </w:pPr>
      <w:r>
        <w:rPr/>
        <w:t>在本附加合同有效期内，被保险人年满 18 周岁后，我们保障的重大疾病如下所示：</w:t>
      </w:r>
    </w:p>
    <w:p>
      <w:pPr>
        <w:pStyle w:val="BodyText"/>
        <w:spacing w:before="10"/>
        <w:rPr>
          <w:sz w:val="5"/>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3141"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90" w:type="dxa"/>
          </w:tcPr>
          <w:p>
            <w:pPr>
              <w:pStyle w:val="TableParagraph"/>
              <w:spacing w:before="17"/>
              <w:ind w:left="29" w:right="40"/>
              <w:jc w:val="center"/>
              <w:rPr>
                <w:sz w:val="18"/>
              </w:rPr>
            </w:pPr>
            <w:r>
              <w:rPr>
                <w:sz w:val="18"/>
              </w:rPr>
              <w:t>16</w:t>
            </w:r>
          </w:p>
        </w:tc>
        <w:tc>
          <w:tcPr>
            <w:tcW w:w="3141" w:type="dxa"/>
          </w:tcPr>
          <w:p>
            <w:pPr>
              <w:pStyle w:val="TableParagraph"/>
              <w:spacing w:before="17"/>
              <w:ind w:left="59"/>
              <w:rPr>
                <w:sz w:val="18"/>
              </w:rPr>
            </w:pPr>
            <w:r>
              <w:rPr>
                <w:sz w:val="18"/>
              </w:rPr>
              <w:t>心脏瓣膜手术</w:t>
            </w:r>
          </w:p>
        </w:tc>
      </w:tr>
      <w:tr>
        <w:trPr>
          <w:trHeight w:val="327" w:hRule="atLeast"/>
        </w:trPr>
        <w:tc>
          <w:tcPr>
            <w:tcW w:w="441" w:type="dxa"/>
          </w:tcPr>
          <w:p>
            <w:pPr>
              <w:pStyle w:val="TableParagraph"/>
              <w:spacing w:before="19"/>
              <w:ind w:left="0"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90" w:type="dxa"/>
          </w:tcPr>
          <w:p>
            <w:pPr>
              <w:pStyle w:val="TableParagraph"/>
              <w:spacing w:before="19"/>
              <w:ind w:left="29" w:right="40"/>
              <w:jc w:val="center"/>
              <w:rPr>
                <w:sz w:val="18"/>
              </w:rPr>
            </w:pPr>
            <w:r>
              <w:rPr>
                <w:sz w:val="18"/>
              </w:rPr>
              <w:t>17</w:t>
            </w:r>
          </w:p>
        </w:tc>
        <w:tc>
          <w:tcPr>
            <w:tcW w:w="3141" w:type="dxa"/>
          </w:tcPr>
          <w:p>
            <w:pPr>
              <w:pStyle w:val="TableParagraph"/>
              <w:spacing w:before="19"/>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3141" w:type="dxa"/>
          </w:tcPr>
          <w:p>
            <w:pPr>
              <w:pStyle w:val="TableParagraph"/>
              <w:spacing w:before="17"/>
              <w:ind w:left="59"/>
              <w:rPr>
                <w:sz w:val="18"/>
              </w:rPr>
            </w:pPr>
            <w:r>
              <w:rPr>
                <w:sz w:val="18"/>
              </w:rPr>
              <w:t>严重脑损伤</w:t>
            </w:r>
          </w:p>
        </w:tc>
      </w:tr>
      <w:tr>
        <w:trPr>
          <w:trHeight w:val="326"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3141"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29" w:right="40"/>
              <w:jc w:val="center"/>
              <w:rPr>
                <w:sz w:val="18"/>
              </w:rPr>
            </w:pPr>
            <w:r>
              <w:rPr>
                <w:sz w:val="18"/>
              </w:rPr>
              <w:t>20</w:t>
            </w:r>
          </w:p>
        </w:tc>
        <w:tc>
          <w:tcPr>
            <w:tcW w:w="3141" w:type="dxa"/>
          </w:tcPr>
          <w:p>
            <w:pPr>
              <w:pStyle w:val="TableParagraph"/>
              <w:spacing w:before="17"/>
              <w:ind w:left="59"/>
              <w:rPr>
                <w:sz w:val="18"/>
              </w:rPr>
            </w:pPr>
            <w:r>
              <w:rPr>
                <w:sz w:val="18"/>
              </w:rPr>
              <w:t>严重Ⅲ度烧伤</w:t>
            </w:r>
          </w:p>
        </w:tc>
      </w:tr>
      <w:tr>
        <w:trPr>
          <w:trHeight w:val="327" w:hRule="atLeast"/>
        </w:trPr>
        <w:tc>
          <w:tcPr>
            <w:tcW w:w="441" w:type="dxa"/>
          </w:tcPr>
          <w:p>
            <w:pPr>
              <w:pStyle w:val="TableParagraph"/>
              <w:spacing w:before="19"/>
              <w:ind w:left="0"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90" w:type="dxa"/>
          </w:tcPr>
          <w:p>
            <w:pPr>
              <w:pStyle w:val="TableParagraph"/>
              <w:spacing w:before="19"/>
              <w:ind w:left="29" w:right="40"/>
              <w:jc w:val="center"/>
              <w:rPr>
                <w:sz w:val="18"/>
              </w:rPr>
            </w:pPr>
            <w:r>
              <w:rPr>
                <w:sz w:val="18"/>
              </w:rPr>
              <w:t>21</w:t>
            </w:r>
          </w:p>
        </w:tc>
        <w:tc>
          <w:tcPr>
            <w:tcW w:w="3141" w:type="dxa"/>
          </w:tcPr>
          <w:p>
            <w:pPr>
              <w:pStyle w:val="TableParagraph"/>
              <w:spacing w:before="19"/>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3141"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8"/>
              <w:ind w:left="0" w:right="60"/>
              <w:jc w:val="right"/>
              <w:rPr>
                <w:sz w:val="18"/>
              </w:rPr>
            </w:pPr>
            <w:r>
              <w:rPr>
                <w:sz w:val="18"/>
              </w:rPr>
              <w:t>7</w:t>
            </w:r>
          </w:p>
        </w:tc>
        <w:tc>
          <w:tcPr>
            <w:tcW w:w="2986" w:type="dxa"/>
          </w:tcPr>
          <w:p>
            <w:pPr>
              <w:pStyle w:val="TableParagraph"/>
              <w:spacing w:before="18"/>
              <w:ind w:left="58"/>
              <w:rPr>
                <w:sz w:val="18"/>
              </w:rPr>
            </w:pPr>
            <w:r>
              <w:rPr>
                <w:sz w:val="18"/>
              </w:rPr>
              <w:t>多个肢体缺失</w:t>
            </w:r>
          </w:p>
        </w:tc>
        <w:tc>
          <w:tcPr>
            <w:tcW w:w="290" w:type="dxa"/>
          </w:tcPr>
          <w:p>
            <w:pPr>
              <w:pStyle w:val="TableParagraph"/>
              <w:spacing w:before="18"/>
              <w:ind w:left="29" w:right="40"/>
              <w:jc w:val="center"/>
              <w:rPr>
                <w:sz w:val="18"/>
              </w:rPr>
            </w:pPr>
            <w:r>
              <w:rPr>
                <w:sz w:val="18"/>
              </w:rPr>
              <w:t>23</w:t>
            </w:r>
          </w:p>
        </w:tc>
        <w:tc>
          <w:tcPr>
            <w:tcW w:w="3141" w:type="dxa"/>
          </w:tcPr>
          <w:p>
            <w:pPr>
              <w:pStyle w:val="TableParagraph"/>
              <w:spacing w:before="18"/>
              <w:ind w:left="59"/>
              <w:rPr>
                <w:sz w:val="18"/>
              </w:rPr>
            </w:pPr>
            <w:r>
              <w:rPr>
                <w:sz w:val="18"/>
              </w:rPr>
              <w:t>语言能力丧失</w:t>
            </w:r>
          </w:p>
        </w:tc>
      </w:tr>
      <w:tr>
        <w:trPr>
          <w:trHeight w:val="327"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29" w:right="40"/>
              <w:jc w:val="center"/>
              <w:rPr>
                <w:sz w:val="18"/>
              </w:rPr>
            </w:pPr>
            <w:r>
              <w:rPr>
                <w:sz w:val="18"/>
              </w:rPr>
              <w:t>24</w:t>
            </w:r>
          </w:p>
        </w:tc>
        <w:tc>
          <w:tcPr>
            <w:tcW w:w="31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9"/>
              <w:ind w:left="0"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90" w:type="dxa"/>
          </w:tcPr>
          <w:p>
            <w:pPr>
              <w:pStyle w:val="TableParagraph"/>
              <w:spacing w:before="19"/>
              <w:ind w:left="29" w:right="40"/>
              <w:jc w:val="center"/>
              <w:rPr>
                <w:sz w:val="18"/>
              </w:rPr>
            </w:pPr>
            <w:r>
              <w:rPr>
                <w:sz w:val="18"/>
              </w:rPr>
              <w:t>25</w:t>
            </w:r>
          </w:p>
        </w:tc>
        <w:tc>
          <w:tcPr>
            <w:tcW w:w="3141" w:type="dxa"/>
          </w:tcPr>
          <w:p>
            <w:pPr>
              <w:pStyle w:val="TableParagraph"/>
              <w:spacing w:before="19"/>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3141" w:type="dxa"/>
          </w:tcPr>
          <w:p>
            <w:pPr>
              <w:pStyle w:val="TableParagraph"/>
              <w:spacing w:before="17"/>
              <w:ind w:left="59"/>
              <w:rPr>
                <w:sz w:val="18"/>
              </w:rPr>
            </w:pPr>
            <w:r>
              <w:rPr>
                <w:sz w:val="18"/>
              </w:rPr>
              <w:t>多发性硬化</w:t>
            </w:r>
          </w:p>
        </w:tc>
      </w:tr>
      <w:tr>
        <w:trPr>
          <w:trHeight w:val="326"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90" w:type="dxa"/>
          </w:tcPr>
          <w:p>
            <w:pPr>
              <w:pStyle w:val="TableParagraph"/>
              <w:spacing w:before="17"/>
              <w:ind w:left="29" w:right="40"/>
              <w:jc w:val="center"/>
              <w:rPr>
                <w:sz w:val="18"/>
              </w:rPr>
            </w:pPr>
            <w:r>
              <w:rPr>
                <w:sz w:val="18"/>
              </w:rPr>
              <w:t>27</w:t>
            </w:r>
          </w:p>
        </w:tc>
        <w:tc>
          <w:tcPr>
            <w:tcW w:w="3141" w:type="dxa"/>
          </w:tcPr>
          <w:p>
            <w:pPr>
              <w:pStyle w:val="TableParagraph"/>
              <w:spacing w:before="17"/>
              <w:ind w:left="59"/>
              <w:rPr>
                <w:sz w:val="18"/>
              </w:rPr>
            </w:pPr>
            <w:r>
              <w:rPr>
                <w:sz w:val="18"/>
              </w:rPr>
              <w:t>经输血导致的人类免疫缺陷病毒感染</w:t>
            </w:r>
          </w:p>
        </w:tc>
      </w:tr>
      <w:tr>
        <w:trPr>
          <w:trHeight w:val="327" w:hRule="atLeast"/>
        </w:trPr>
        <w:tc>
          <w:tcPr>
            <w:tcW w:w="441" w:type="dxa"/>
          </w:tcPr>
          <w:p>
            <w:pPr>
              <w:pStyle w:val="TableParagraph"/>
              <w:spacing w:before="17"/>
              <w:ind w:left="0"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90" w:type="dxa"/>
          </w:tcPr>
          <w:p>
            <w:pPr>
              <w:pStyle w:val="TableParagraph"/>
              <w:spacing w:before="17"/>
              <w:ind w:left="29" w:right="40"/>
              <w:jc w:val="center"/>
              <w:rPr>
                <w:sz w:val="18"/>
              </w:rPr>
            </w:pPr>
            <w:r>
              <w:rPr>
                <w:sz w:val="18"/>
              </w:rPr>
              <w:t>28</w:t>
            </w:r>
          </w:p>
        </w:tc>
        <w:tc>
          <w:tcPr>
            <w:tcW w:w="3141" w:type="dxa"/>
          </w:tcPr>
          <w:p>
            <w:pPr>
              <w:pStyle w:val="TableParagraph"/>
              <w:spacing w:before="17"/>
              <w:ind w:left="59"/>
              <w:rPr>
                <w:sz w:val="18"/>
              </w:rPr>
            </w:pPr>
            <w:r>
              <w:rPr>
                <w:sz w:val="18"/>
              </w:rPr>
              <w:t>终末期肺病</w:t>
            </w:r>
          </w:p>
        </w:tc>
      </w:tr>
      <w:tr>
        <w:trPr>
          <w:trHeight w:val="327" w:hRule="atLeast"/>
        </w:trPr>
        <w:tc>
          <w:tcPr>
            <w:tcW w:w="441" w:type="dxa"/>
          </w:tcPr>
          <w:p>
            <w:pPr>
              <w:pStyle w:val="TableParagraph"/>
              <w:spacing w:before="19"/>
              <w:ind w:left="0"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90" w:type="dxa"/>
          </w:tcPr>
          <w:p>
            <w:pPr>
              <w:pStyle w:val="TableParagraph"/>
              <w:spacing w:before="19"/>
              <w:ind w:left="29" w:right="40"/>
              <w:jc w:val="center"/>
              <w:rPr>
                <w:sz w:val="18"/>
              </w:rPr>
            </w:pPr>
            <w:r>
              <w:rPr>
                <w:sz w:val="18"/>
              </w:rPr>
              <w:t>29</w:t>
            </w:r>
          </w:p>
        </w:tc>
        <w:tc>
          <w:tcPr>
            <w:tcW w:w="3141" w:type="dxa"/>
          </w:tcPr>
          <w:p>
            <w:pPr>
              <w:pStyle w:val="TableParagraph"/>
              <w:spacing w:before="19"/>
              <w:ind w:left="59"/>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90" w:type="dxa"/>
          </w:tcPr>
          <w:p>
            <w:pPr>
              <w:pStyle w:val="TableParagraph"/>
              <w:spacing w:line="216" w:lineRule="exact" w:before="17"/>
              <w:ind w:left="29" w:right="40"/>
              <w:jc w:val="center"/>
              <w:rPr>
                <w:sz w:val="18"/>
              </w:rPr>
            </w:pPr>
            <w:r>
              <w:rPr>
                <w:sz w:val="18"/>
              </w:rPr>
              <w:t>30</w:t>
            </w:r>
          </w:p>
        </w:tc>
        <w:tc>
          <w:tcPr>
            <w:tcW w:w="3141" w:type="dxa"/>
          </w:tcPr>
          <w:p>
            <w:pPr>
              <w:pStyle w:val="TableParagraph"/>
              <w:spacing w:line="216" w:lineRule="exact" w:before="17"/>
              <w:ind w:left="59"/>
              <w:rPr>
                <w:sz w:val="18"/>
              </w:rPr>
            </w:pPr>
            <w:r>
              <w:rPr>
                <w:sz w:val="18"/>
              </w:rPr>
              <w:t>系统性红斑狼疮</w:t>
            </w:r>
          </w:p>
        </w:tc>
      </w:tr>
    </w:tbl>
    <w:p>
      <w:pPr>
        <w:pStyle w:val="BodyText"/>
        <w:spacing w:before="9"/>
        <w:rPr>
          <w:sz w:val="18"/>
        </w:rPr>
      </w:pPr>
    </w:p>
    <w:p>
      <w:pPr>
        <w:spacing w:after="0"/>
        <w:rPr>
          <w:sz w:val="18"/>
        </w:rPr>
        <w:sectPr>
          <w:pgSz w:w="11910" w:h="16840"/>
          <w:pgMar w:header="568" w:footer="0" w:top="800" w:bottom="280" w:left="880" w:right="700"/>
        </w:sectPr>
      </w:pPr>
    </w:p>
    <w:p>
      <w:pPr>
        <w:pStyle w:val="Heading3"/>
        <w:numPr>
          <w:ilvl w:val="1"/>
          <w:numId w:val="1"/>
        </w:numPr>
        <w:tabs>
          <w:tab w:pos="1301" w:val="left" w:leader="none"/>
          <w:tab w:pos="1302" w:val="left" w:leader="none"/>
        </w:tabs>
        <w:spacing w:line="273" w:lineRule="auto" w:before="37" w:after="0"/>
        <w:ind w:left="1302" w:right="0" w:hanging="1196"/>
        <w:jc w:val="left"/>
      </w:pPr>
      <w:r>
        <w:rPr>
          <w:spacing w:val="40"/>
        </w:rPr>
        <w:t>重大疾病的定义</w:t>
      </w:r>
    </w:p>
    <w:p>
      <w:pPr>
        <w:pStyle w:val="BodyText"/>
        <w:spacing w:before="9"/>
        <w:rPr>
          <w:b/>
          <w:sz w:val="14"/>
        </w:rPr>
      </w:pPr>
      <w:r>
        <w:rPr/>
        <w:br w:type="column"/>
      </w:r>
      <w:r>
        <w:rPr>
          <w:b/>
          <w:sz w:val="14"/>
        </w:rPr>
      </w:r>
    </w:p>
    <w:p>
      <w:pPr>
        <w:pStyle w:val="BodyText"/>
        <w:ind w:left="106"/>
      </w:pPr>
      <w:r>
        <w:rPr/>
        <w:t>以上各种重大疾病须我们认可的医院专科医生明确诊断，符合以下定义：</w:t>
      </w:r>
    </w:p>
    <w:p>
      <w:pPr>
        <w:spacing w:after="0"/>
        <w:sectPr>
          <w:type w:val="continuous"/>
          <w:pgSz w:w="11910" w:h="16840"/>
          <w:pgMar w:top="1160" w:bottom="280" w:left="880" w:right="700"/>
          <w:cols w:num="2" w:equalWidth="0">
            <w:col w:w="2611" w:space="57"/>
            <w:col w:w="7662"/>
          </w:cols>
        </w:sectPr>
      </w:pPr>
    </w:p>
    <w:p>
      <w:pPr>
        <w:pStyle w:val="BodyText"/>
        <w:spacing w:before="6"/>
        <w:rPr>
          <w:sz w:val="14"/>
        </w:rPr>
      </w:pPr>
    </w:p>
    <w:p>
      <w:pPr>
        <w:spacing w:after="0"/>
        <w:rPr>
          <w:sz w:val="14"/>
        </w:rPr>
        <w:sectPr>
          <w:type w:val="continuous"/>
          <w:pgSz w:w="11910" w:h="16840"/>
          <w:pgMar w:top="1160" w:bottom="280" w:left="880" w:right="700"/>
        </w:sectPr>
      </w:pPr>
    </w:p>
    <w:p>
      <w:pPr>
        <w:pStyle w:val="ListParagraph"/>
        <w:numPr>
          <w:ilvl w:val="2"/>
          <w:numId w:val="2"/>
        </w:numPr>
        <w:tabs>
          <w:tab w:pos="1301" w:val="left" w:leader="none"/>
          <w:tab w:pos="1302" w:val="left" w:leader="none"/>
        </w:tabs>
        <w:spacing w:line="261" w:lineRule="auto" w:before="35" w:after="0"/>
        <w:ind w:left="1302" w:right="0" w:hanging="1196"/>
        <w:jc w:val="left"/>
        <w:rPr>
          <w:b/>
          <w:i/>
          <w:sz w:val="22"/>
        </w:rPr>
      </w:pPr>
      <w:r>
        <w:rPr>
          <w:b/>
          <w:i/>
          <w:w w:val="95"/>
          <w:sz w:val="22"/>
        </w:rPr>
        <w:t>25</w:t>
      </w:r>
      <w:r>
        <w:rPr>
          <w:b/>
          <w:i/>
          <w:spacing w:val="-10"/>
          <w:w w:val="95"/>
          <w:sz w:val="22"/>
        </w:rPr>
        <w:t> 种重大疾病定义</w:t>
      </w:r>
    </w:p>
    <w:p>
      <w:pPr>
        <w:pStyle w:val="BodyText"/>
        <w:spacing w:line="273" w:lineRule="auto" w:before="46"/>
        <w:ind w:left="106" w:right="30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160" w:bottom="280" w:left="880" w:right="700"/>
          <w:cols w:num="2" w:equalWidth="0">
            <w:col w:w="2411" w:space="256"/>
            <w:col w:w="7663"/>
          </w:cols>
        </w:sectPr>
      </w:pPr>
    </w:p>
    <w:p>
      <w:pPr>
        <w:pStyle w:val="BodyText"/>
        <w:spacing w:before="5"/>
        <w:rPr>
          <w:sz w:val="14"/>
        </w:rPr>
      </w:pPr>
    </w:p>
    <w:p>
      <w:pPr>
        <w:pStyle w:val="ListParagraph"/>
        <w:numPr>
          <w:ilvl w:val="3"/>
          <w:numId w:val="2"/>
        </w:numPr>
        <w:tabs>
          <w:tab w:pos="1301" w:val="left" w:leader="none"/>
          <w:tab w:pos="1302" w:val="left" w:leader="none"/>
          <w:tab w:pos="2773" w:val="left" w:leader="none"/>
        </w:tabs>
        <w:spacing w:line="271" w:lineRule="auto" w:before="35" w:after="0"/>
        <w:ind w:left="2773" w:right="99" w:hanging="2667"/>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8"/>
          <w:sz w:val="21"/>
        </w:rPr>
        <w:t>，</w:t>
      </w:r>
      <w:r>
        <w:rPr>
          <w:sz w:val="21"/>
        </w:rPr>
        <w:t>浸</w:t>
      </w:r>
      <w:r>
        <w:rPr>
          <w:spacing w:val="-3"/>
          <w:sz w:val="21"/>
        </w:rPr>
        <w:t>润和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pacing w:val="-5"/>
          <w:sz w:val="21"/>
        </w:rPr>
        <w:t>，</w:t>
      </w:r>
      <w:r>
        <w:rPr>
          <w:spacing w:val="-3"/>
          <w:sz w:val="21"/>
        </w:rPr>
        <w:t>可以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2"/>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773"/>
      </w:pPr>
      <w:r>
        <w:rPr/>
        <w:t>下列疾病不在保障范围内：</w:t>
      </w:r>
    </w:p>
    <w:p>
      <w:pPr>
        <w:pStyle w:val="BodyText"/>
        <w:spacing w:before="36"/>
        <w:ind w:left="2773"/>
      </w:pPr>
      <w:r>
        <w:rPr/>
        <w:t>（1）原位癌；</w:t>
      </w:r>
    </w:p>
    <w:p>
      <w:pPr>
        <w:pStyle w:val="BodyText"/>
        <w:spacing w:before="36"/>
        <w:ind w:left="2773"/>
      </w:pPr>
      <w:r>
        <w:rPr/>
        <w:t>（2）相当于 Binet 分期方案 A 期程度的慢性淋巴细胞白血病；</w:t>
      </w:r>
    </w:p>
    <w:p>
      <w:pPr>
        <w:pStyle w:val="BodyText"/>
        <w:spacing w:before="36"/>
        <w:ind w:left="2773"/>
      </w:pPr>
      <w:r>
        <w:rPr/>
        <w:t>（3）相当于 Ann Arbor 分期方案 I 期程度的何杰金氏病；</w:t>
      </w:r>
    </w:p>
    <w:p>
      <w:pPr>
        <w:pStyle w:val="BodyText"/>
        <w:spacing w:before="36"/>
        <w:ind w:left="27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8"/>
        <w:ind w:left="2773"/>
      </w:pPr>
      <w:r>
        <w:rPr/>
        <w:t>（6）感染艾滋病病毒或患艾滋病期间所患恶性肿瘤。</w:t>
      </w:r>
    </w:p>
    <w:p>
      <w:pPr>
        <w:pStyle w:val="BodyText"/>
        <w:spacing w:before="2"/>
        <w:rPr>
          <w:sz w:val="12"/>
        </w:rPr>
      </w:pPr>
    </w:p>
    <w:p>
      <w:pPr>
        <w:spacing w:after="0"/>
        <w:rPr>
          <w:sz w:val="12"/>
        </w:rPr>
        <w:sectPr>
          <w:type w:val="continuous"/>
          <w:pgSz w:w="11910" w:h="16840"/>
          <w:pgMar w:top="1160" w:bottom="280" w:left="880" w:right="700"/>
        </w:sectPr>
      </w:pPr>
    </w:p>
    <w:p>
      <w:pPr>
        <w:pStyle w:val="Heading2"/>
        <w:numPr>
          <w:ilvl w:val="3"/>
          <w:numId w:val="2"/>
        </w:numPr>
        <w:tabs>
          <w:tab w:pos="1301" w:val="left" w:leader="none"/>
          <w:tab w:pos="1302" w:val="left" w:leader="none"/>
        </w:tabs>
        <w:spacing w:line="259" w:lineRule="auto" w:before="34" w:after="0"/>
        <w:ind w:left="1302" w:right="0" w:hanging="1196"/>
        <w:jc w:val="left"/>
      </w:pPr>
      <w:r>
        <w:rPr>
          <w:spacing w:val="-1"/>
          <w:w w:val="95"/>
        </w:rPr>
        <w:t>急性心肌梗</w:t>
      </w:r>
      <w:r>
        <w:rPr>
          <w:spacing w:val="-1"/>
        </w:rPr>
        <w:t>塞</w:t>
      </w:r>
    </w:p>
    <w:p>
      <w:pPr>
        <w:pStyle w:val="BodyText"/>
        <w:spacing w:line="273" w:lineRule="auto" w:before="46"/>
        <w:ind w:left="106" w:right="205"/>
      </w:pPr>
      <w:r>
        <w:rPr/>
        <w:br w:type="column"/>
      </w:r>
      <w:r>
        <w:rPr/>
        <w:t>指因冠状动脉阻塞导致的相应区域供血不足造成部分心肌坏死。须满足下列至少三项条件：</w:t>
      </w:r>
    </w:p>
    <w:p>
      <w:pPr>
        <w:pStyle w:val="BodyText"/>
        <w:spacing w:before="7"/>
        <w:ind w:left="106"/>
      </w:pPr>
      <w:r>
        <w:rPr/>
        <w:t>（1）典型临床表现，例如急性胸痛等；</w:t>
      </w:r>
    </w:p>
    <w:p>
      <w:pPr>
        <w:pStyle w:val="BodyText"/>
        <w:spacing w:before="36"/>
        <w:ind w:left="106"/>
      </w:pPr>
      <w:r>
        <w:rPr/>
        <w:t>（2）新近的心电图改变提示急性心肌梗塞；</w:t>
      </w:r>
    </w:p>
    <w:p>
      <w:pPr>
        <w:pStyle w:val="BodyText"/>
        <w:spacing w:line="273" w:lineRule="auto" w:before="36"/>
        <w:ind w:left="106" w:right="212"/>
      </w:pPr>
      <w:r>
        <w:rPr/>
        <w:t>（3）心肌酶或肌钙蛋白有诊断意义的升高，或呈符合急性心肌梗塞的动态性变化；</w:t>
      </w:r>
    </w:p>
    <w:p>
      <w:pPr>
        <w:pStyle w:val="BodyText"/>
        <w:spacing w:before="7"/>
        <w:ind w:left="106"/>
      </w:pPr>
      <w:r>
        <w:rPr/>
        <w:t>（4）发病 90 天后，经检查证实左心室功能降低，如左心室射血分数低于 50%。</w:t>
      </w:r>
    </w:p>
    <w:p>
      <w:pPr>
        <w:spacing w:after="0"/>
        <w:sectPr>
          <w:type w:val="continuous"/>
          <w:pgSz w:w="11910" w:h="16840"/>
          <w:pgMar w:top="1160" w:bottom="280" w:left="880" w:right="700"/>
          <w:cols w:num="2" w:equalWidth="0">
            <w:col w:w="2356" w:space="311"/>
            <w:col w:w="7663"/>
          </w:cols>
        </w:sectPr>
      </w:pPr>
    </w:p>
    <w:p>
      <w:pPr>
        <w:pStyle w:val="BodyText"/>
        <w:rPr>
          <w:rFonts w:ascii="Times New Roman"/>
          <w:sz w:val="20"/>
        </w:rPr>
      </w:pPr>
    </w:p>
    <w:p>
      <w:pPr>
        <w:pStyle w:val="BodyText"/>
        <w:spacing w:before="2"/>
        <w:rPr>
          <w:rFonts w:ascii="Times New Roman"/>
          <w:sz w:val="2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732"/>
      </w:tblGrid>
      <w:tr>
        <w:trPr>
          <w:trHeight w:val="2213" w:hRule="atLeast"/>
        </w:trPr>
        <w:tc>
          <w:tcPr>
            <w:tcW w:w="1219" w:type="dxa"/>
          </w:tcPr>
          <w:p>
            <w:pPr>
              <w:pStyle w:val="TableParagraph"/>
              <w:spacing w:line="222" w:lineRule="exact"/>
              <w:ind w:left="200"/>
              <w:rPr>
                <w:i/>
                <w:sz w:val="22"/>
              </w:rPr>
            </w:pPr>
            <w:r>
              <w:rPr>
                <w:i/>
                <w:sz w:val="22"/>
              </w:rPr>
              <w:t>3.4.1.3</w:t>
            </w:r>
          </w:p>
        </w:tc>
        <w:tc>
          <w:tcPr>
            <w:tcW w:w="1566" w:type="dxa"/>
          </w:tcPr>
          <w:p>
            <w:pPr>
              <w:pStyle w:val="TableParagraph"/>
              <w:spacing w:line="222" w:lineRule="exact"/>
              <w:ind w:left="176"/>
              <w:rPr>
                <w:i/>
                <w:sz w:val="22"/>
              </w:rPr>
            </w:pPr>
            <w:r>
              <w:rPr>
                <w:i/>
                <w:w w:val="95"/>
                <w:sz w:val="22"/>
              </w:rPr>
              <w:t>脑中风后遗</w:t>
            </w:r>
          </w:p>
          <w:p>
            <w:pPr>
              <w:pStyle w:val="TableParagraph"/>
              <w:spacing w:before="24"/>
              <w:ind w:left="176"/>
              <w:rPr>
                <w:i/>
                <w:sz w:val="22"/>
              </w:rPr>
            </w:pPr>
            <w:r>
              <w:rPr>
                <w:i/>
                <w:w w:val="95"/>
                <w:sz w:val="22"/>
              </w:rPr>
              <w:t>症</w:t>
            </w:r>
          </w:p>
        </w:tc>
        <w:tc>
          <w:tcPr>
            <w:tcW w:w="7732" w:type="dxa"/>
          </w:tcPr>
          <w:p>
            <w:pPr>
              <w:pStyle w:val="TableParagraph"/>
              <w:spacing w:line="221" w:lineRule="exact"/>
              <w:rPr>
                <w:sz w:val="21"/>
              </w:rPr>
            </w:pPr>
            <w:r>
              <w:rPr>
                <w:sz w:val="21"/>
              </w:rPr>
              <w:t>指因脑血管的突发病变引起脑血管出血、栓塞或梗塞，并导致神经系统永久性的</w:t>
            </w:r>
          </w:p>
          <w:p>
            <w:pPr>
              <w:pStyle w:val="TableParagraph"/>
              <w:spacing w:line="273" w:lineRule="auto" w:before="37"/>
              <w:ind w:right="304"/>
              <w:rPr>
                <w:sz w:val="21"/>
              </w:rPr>
            </w:pP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5"/>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219" w:type="dxa"/>
          </w:tcPr>
          <w:p>
            <w:pPr>
              <w:pStyle w:val="TableParagraph"/>
              <w:spacing w:before="76"/>
              <w:ind w:left="200"/>
              <w:rPr>
                <w:i/>
                <w:sz w:val="22"/>
              </w:rPr>
            </w:pPr>
            <w:r>
              <w:rPr>
                <w:i/>
                <w:sz w:val="22"/>
              </w:rPr>
              <w:t>3.4.1.4</w:t>
            </w:r>
          </w:p>
        </w:tc>
        <w:tc>
          <w:tcPr>
            <w:tcW w:w="1566" w:type="dxa"/>
          </w:tcPr>
          <w:p>
            <w:pPr>
              <w:pStyle w:val="TableParagraph"/>
              <w:spacing w:line="228" w:lineRule="auto" w:before="68"/>
              <w:ind w:left="176" w:right="79"/>
              <w:jc w:val="both"/>
              <w:rPr>
                <w:i/>
                <w:sz w:val="22"/>
              </w:rPr>
            </w:pPr>
            <w:r>
              <w:rPr>
                <w:i/>
                <w:w w:val="95"/>
                <w:sz w:val="22"/>
              </w:rPr>
              <w:t>重大器官移植术或造血干细胞移植</w:t>
            </w:r>
            <w:r>
              <w:rPr>
                <w:i/>
                <w:sz w:val="22"/>
              </w:rPr>
              <w:t>术</w:t>
            </w:r>
          </w:p>
        </w:tc>
        <w:tc>
          <w:tcPr>
            <w:tcW w:w="7732" w:type="dxa"/>
          </w:tcPr>
          <w:p>
            <w:pPr>
              <w:pStyle w:val="TableParagraph"/>
              <w:spacing w:line="273" w:lineRule="auto" w:before="87"/>
              <w:ind w:right="302"/>
              <w:jc w:val="both"/>
              <w:rPr>
                <w:sz w:val="21"/>
              </w:rPr>
            </w:pPr>
            <w:r>
              <w:rPr>
                <w:spacing w:val="-4"/>
                <w:sz w:val="21"/>
              </w:rPr>
              <w:t>重大器官移植术，指因相应器官功能衰竭，已经实施了肾脏、肝脏、心脏或肺脏</w:t>
            </w:r>
            <w:r>
              <w:rPr>
                <w:spacing w:val="-3"/>
                <w:sz w:val="21"/>
              </w:rPr>
              <w:t>的异体移植手术。</w:t>
            </w:r>
          </w:p>
          <w:p>
            <w:pPr>
              <w:pStyle w:val="TableParagraph"/>
              <w:spacing w:line="273" w:lineRule="auto" w:before="7"/>
              <w:ind w:right="304"/>
              <w:jc w:val="both"/>
              <w:rPr>
                <w:sz w:val="21"/>
              </w:rPr>
            </w:pPr>
            <w:r>
              <w:rPr>
                <w:spacing w:val="-5"/>
                <w:sz w:val="21"/>
              </w:rPr>
              <w:t>造血干细胞移植术，指因造血功能损害或造血系统恶性肿瘤，已经实施了造血干细胞</w:t>
            </w:r>
            <w:r>
              <w:rPr>
                <w:sz w:val="21"/>
              </w:rPr>
              <w:t>（</w:t>
            </w:r>
            <w:r>
              <w:rPr>
                <w:spacing w:val="-4"/>
                <w:sz w:val="21"/>
              </w:rPr>
              <w:t>包括骨髓造血干细胞、外周血造血干细胞和脐血造血干细胞</w:t>
            </w:r>
            <w:r>
              <w:rPr>
                <w:spacing w:val="-5"/>
                <w:sz w:val="21"/>
              </w:rPr>
              <w:t>）</w:t>
            </w:r>
            <w:r>
              <w:rPr>
                <w:spacing w:val="-3"/>
                <w:sz w:val="21"/>
              </w:rPr>
              <w:t>的异体移植手术。</w:t>
            </w:r>
          </w:p>
        </w:tc>
      </w:tr>
      <w:tr>
        <w:trPr>
          <w:trHeight w:val="1413" w:hRule="atLeast"/>
        </w:trPr>
        <w:tc>
          <w:tcPr>
            <w:tcW w:w="1219" w:type="dxa"/>
          </w:tcPr>
          <w:p>
            <w:pPr>
              <w:pStyle w:val="TableParagraph"/>
              <w:spacing w:before="65"/>
              <w:ind w:left="200"/>
              <w:rPr>
                <w:i/>
                <w:sz w:val="22"/>
              </w:rPr>
            </w:pPr>
            <w:r>
              <w:rPr>
                <w:i/>
                <w:sz w:val="22"/>
              </w:rPr>
              <w:t>3.4.1.5</w:t>
            </w:r>
          </w:p>
        </w:tc>
        <w:tc>
          <w:tcPr>
            <w:tcW w:w="1566" w:type="dxa"/>
          </w:tcPr>
          <w:p>
            <w:pPr>
              <w:pStyle w:val="TableParagraph"/>
              <w:spacing w:line="259" w:lineRule="auto" w:before="65"/>
              <w:ind w:left="176" w:right="79"/>
              <w:jc w:val="both"/>
              <w:rPr>
                <w:i/>
                <w:sz w:val="22"/>
              </w:rPr>
            </w:pPr>
            <w:r>
              <w:rPr>
                <w:i/>
                <w:w w:val="95"/>
                <w:sz w:val="22"/>
              </w:rPr>
              <w:t>冠状动脉搭桥术（或称冠状动脉旁路移植术）</w:t>
            </w:r>
          </w:p>
        </w:tc>
        <w:tc>
          <w:tcPr>
            <w:tcW w:w="7732" w:type="dxa"/>
          </w:tcPr>
          <w:p>
            <w:pPr>
              <w:pStyle w:val="TableParagraph"/>
              <w:spacing w:line="273" w:lineRule="auto" w:before="77"/>
              <w:ind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1" w:hRule="atLeast"/>
        </w:trPr>
        <w:tc>
          <w:tcPr>
            <w:tcW w:w="1219" w:type="dxa"/>
          </w:tcPr>
          <w:p>
            <w:pPr>
              <w:pStyle w:val="TableParagraph"/>
              <w:spacing w:before="70"/>
              <w:ind w:left="200"/>
              <w:rPr>
                <w:i/>
                <w:sz w:val="22"/>
              </w:rPr>
            </w:pPr>
            <w:r>
              <w:rPr>
                <w:i/>
                <w:sz w:val="22"/>
              </w:rPr>
              <w:t>3.4.1.6</w:t>
            </w:r>
          </w:p>
        </w:tc>
        <w:tc>
          <w:tcPr>
            <w:tcW w:w="1566" w:type="dxa"/>
          </w:tcPr>
          <w:p>
            <w:pPr>
              <w:pStyle w:val="TableParagraph"/>
              <w:spacing w:before="70"/>
              <w:ind w:left="176"/>
              <w:rPr>
                <w:i/>
                <w:sz w:val="22"/>
              </w:rPr>
            </w:pPr>
            <w:r>
              <w:rPr>
                <w:i/>
                <w:w w:val="95"/>
                <w:sz w:val="22"/>
              </w:rPr>
              <w:t>终末期肾病</w:t>
            </w:r>
          </w:p>
          <w:p>
            <w:pPr>
              <w:pStyle w:val="TableParagraph"/>
              <w:spacing w:line="259" w:lineRule="auto" w:before="24"/>
              <w:ind w:left="176" w:right="333"/>
              <w:jc w:val="both"/>
              <w:rPr>
                <w:i/>
                <w:sz w:val="22"/>
              </w:rPr>
            </w:pPr>
            <w:r>
              <w:rPr>
                <w:i/>
                <w:w w:val="95"/>
                <w:sz w:val="22"/>
              </w:rPr>
              <w:t>（或称慢性肾功能衰竭尿毒症期）</w:t>
            </w:r>
          </w:p>
        </w:tc>
        <w:tc>
          <w:tcPr>
            <w:tcW w:w="7732" w:type="dxa"/>
          </w:tcPr>
          <w:p>
            <w:pPr>
              <w:pStyle w:val="TableParagraph"/>
              <w:spacing w:line="237" w:lineRule="auto" w:before="63"/>
              <w:ind w:right="260"/>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219" w:type="dxa"/>
          </w:tcPr>
          <w:p>
            <w:pPr>
              <w:pStyle w:val="TableParagraph"/>
              <w:spacing w:before="92"/>
              <w:ind w:left="200"/>
              <w:rPr>
                <w:i/>
                <w:sz w:val="22"/>
              </w:rPr>
            </w:pPr>
            <w:r>
              <w:rPr>
                <w:i/>
                <w:sz w:val="22"/>
              </w:rPr>
              <w:t>3.4.1.7</w:t>
            </w:r>
          </w:p>
        </w:tc>
        <w:tc>
          <w:tcPr>
            <w:tcW w:w="1566" w:type="dxa"/>
          </w:tcPr>
          <w:p>
            <w:pPr>
              <w:pStyle w:val="TableParagraph"/>
              <w:spacing w:line="259" w:lineRule="auto" w:before="92"/>
              <w:ind w:left="176" w:right="79"/>
              <w:rPr>
                <w:i/>
                <w:sz w:val="22"/>
              </w:rPr>
            </w:pPr>
            <w:r>
              <w:rPr>
                <w:i/>
                <w:w w:val="95"/>
                <w:sz w:val="22"/>
              </w:rPr>
              <w:t>多个肢体缺</w:t>
            </w:r>
            <w:r>
              <w:rPr>
                <w:i/>
                <w:sz w:val="22"/>
              </w:rPr>
              <w:t>失</w:t>
            </w:r>
          </w:p>
        </w:tc>
        <w:tc>
          <w:tcPr>
            <w:tcW w:w="7732" w:type="dxa"/>
          </w:tcPr>
          <w:p>
            <w:pPr>
              <w:pStyle w:val="TableParagraph"/>
              <w:spacing w:line="273" w:lineRule="auto" w:before="103"/>
              <w:ind w:right="260"/>
              <w:rPr>
                <w:sz w:val="21"/>
              </w:rPr>
            </w:pPr>
            <w:r>
              <w:rPr>
                <w:sz w:val="21"/>
              </w:rPr>
              <w:t>指因疾病或意外伤害导致两个或两个以上肢体自腕关节或踝关节近端（靠近躯干端）以上完全性断离。</w:t>
            </w:r>
          </w:p>
        </w:tc>
      </w:tr>
      <w:tr>
        <w:trPr>
          <w:trHeight w:val="2099" w:hRule="atLeast"/>
        </w:trPr>
        <w:tc>
          <w:tcPr>
            <w:tcW w:w="1219" w:type="dxa"/>
          </w:tcPr>
          <w:p>
            <w:pPr>
              <w:pStyle w:val="TableParagraph"/>
              <w:spacing w:before="93"/>
              <w:ind w:left="200"/>
              <w:rPr>
                <w:i/>
                <w:sz w:val="22"/>
              </w:rPr>
            </w:pPr>
            <w:r>
              <w:rPr>
                <w:i/>
                <w:sz w:val="22"/>
              </w:rPr>
              <w:t>3.4.1.8</w:t>
            </w:r>
          </w:p>
        </w:tc>
        <w:tc>
          <w:tcPr>
            <w:tcW w:w="1566" w:type="dxa"/>
          </w:tcPr>
          <w:p>
            <w:pPr>
              <w:pStyle w:val="TableParagraph"/>
              <w:spacing w:line="259" w:lineRule="auto" w:before="93"/>
              <w:ind w:left="176" w:right="79"/>
              <w:rPr>
                <w:i/>
                <w:sz w:val="22"/>
              </w:rPr>
            </w:pPr>
            <w:r>
              <w:rPr>
                <w:i/>
                <w:w w:val="95"/>
                <w:sz w:val="22"/>
              </w:rPr>
              <w:t>急性或亚急性重症肝炎</w:t>
            </w:r>
          </w:p>
        </w:tc>
        <w:tc>
          <w:tcPr>
            <w:tcW w:w="7732" w:type="dxa"/>
          </w:tcPr>
          <w:p>
            <w:pPr>
              <w:pStyle w:val="TableParagraph"/>
              <w:spacing w:line="273" w:lineRule="auto" w:before="105"/>
              <w:ind w:right="284"/>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11" w:hRule="atLeast"/>
        </w:trPr>
        <w:tc>
          <w:tcPr>
            <w:tcW w:w="1219" w:type="dxa"/>
          </w:tcPr>
          <w:p>
            <w:pPr>
              <w:pStyle w:val="TableParagraph"/>
              <w:spacing w:before="94"/>
              <w:ind w:left="200"/>
              <w:rPr>
                <w:i/>
                <w:sz w:val="22"/>
              </w:rPr>
            </w:pPr>
            <w:r>
              <w:rPr>
                <w:i/>
                <w:sz w:val="22"/>
              </w:rPr>
              <w:t>3.4.1.9</w:t>
            </w:r>
          </w:p>
        </w:tc>
        <w:tc>
          <w:tcPr>
            <w:tcW w:w="1566" w:type="dxa"/>
          </w:tcPr>
          <w:p>
            <w:pPr>
              <w:pStyle w:val="TableParagraph"/>
              <w:spacing w:before="94"/>
              <w:ind w:left="176"/>
              <w:rPr>
                <w:i/>
                <w:sz w:val="22"/>
              </w:rPr>
            </w:pPr>
            <w:r>
              <w:rPr>
                <w:i/>
                <w:w w:val="95"/>
                <w:sz w:val="22"/>
              </w:rPr>
              <w:t>良性脑肿瘤</w:t>
            </w:r>
          </w:p>
        </w:tc>
        <w:tc>
          <w:tcPr>
            <w:tcW w:w="7732" w:type="dxa"/>
          </w:tcPr>
          <w:p>
            <w:pPr>
              <w:pStyle w:val="TableParagraph"/>
              <w:spacing w:line="273" w:lineRule="auto" w:before="105"/>
              <w:ind w:right="196"/>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1"/>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1939" w:hRule="atLeast"/>
        </w:trPr>
        <w:tc>
          <w:tcPr>
            <w:tcW w:w="1219" w:type="dxa"/>
          </w:tcPr>
          <w:p>
            <w:pPr>
              <w:pStyle w:val="TableParagraph"/>
              <w:spacing w:before="92"/>
              <w:ind w:left="200"/>
              <w:rPr>
                <w:i/>
                <w:sz w:val="22"/>
              </w:rPr>
            </w:pPr>
            <w:r>
              <w:rPr>
                <w:i/>
                <w:sz w:val="22"/>
              </w:rPr>
              <w:t>3.4.1.10</w:t>
            </w:r>
          </w:p>
        </w:tc>
        <w:tc>
          <w:tcPr>
            <w:tcW w:w="1566" w:type="dxa"/>
          </w:tcPr>
          <w:p>
            <w:pPr>
              <w:pStyle w:val="TableParagraph"/>
              <w:spacing w:line="259" w:lineRule="auto" w:before="92"/>
              <w:ind w:left="176" w:right="79"/>
              <w:jc w:val="both"/>
              <w:rPr>
                <w:i/>
                <w:sz w:val="22"/>
              </w:rPr>
            </w:pPr>
            <w:r>
              <w:rPr>
                <w:i/>
                <w:w w:val="95"/>
                <w:sz w:val="22"/>
              </w:rPr>
              <w:t>慢性肝功能衰竭失代偿</w:t>
            </w:r>
            <w:r>
              <w:rPr>
                <w:i/>
                <w:sz w:val="22"/>
              </w:rPr>
              <w:t>期</w:t>
            </w:r>
          </w:p>
        </w:tc>
        <w:tc>
          <w:tcPr>
            <w:tcW w:w="7732" w:type="dxa"/>
          </w:tcPr>
          <w:p>
            <w:pPr>
              <w:pStyle w:val="TableParagraph"/>
              <w:spacing w:before="10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310" w:lineRule="atLeast" w:before="2"/>
              <w:ind w:right="2498"/>
              <w:rPr>
                <w:sz w:val="21"/>
              </w:rPr>
            </w:pPr>
            <w:r>
              <w:rPr>
                <w:sz w:val="21"/>
              </w:rPr>
              <w:t>（4）充血性脾肿大伴脾功能亢进或食管胃底静脉曲张。因酗酒或药物滥用导致的肝功能衰竭不在保障范围内。</w:t>
            </w:r>
          </w:p>
        </w:tc>
      </w:tr>
    </w:tbl>
    <w:p>
      <w:pPr>
        <w:spacing w:after="0" w:line="310" w:lineRule="atLeast"/>
        <w:rPr>
          <w:sz w:val="21"/>
        </w:rPr>
        <w:sectPr>
          <w:pgSz w:w="11910" w:h="16840"/>
          <w:pgMar w:header="568" w:footer="0" w:top="800" w:bottom="280" w:left="680" w:right="5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728"/>
      </w:tblGrid>
      <w:tr>
        <w:trPr>
          <w:trHeight w:val="1940" w:hRule="atLeast"/>
        </w:trPr>
        <w:tc>
          <w:tcPr>
            <w:tcW w:w="1219" w:type="dxa"/>
          </w:tcPr>
          <w:p>
            <w:pPr>
              <w:pStyle w:val="TableParagraph"/>
              <w:spacing w:line="222" w:lineRule="exact"/>
              <w:ind w:left="161" w:right="138"/>
              <w:jc w:val="center"/>
              <w:rPr>
                <w:i/>
                <w:sz w:val="22"/>
              </w:rPr>
            </w:pPr>
            <w:r>
              <w:rPr>
                <w:i/>
                <w:sz w:val="22"/>
              </w:rPr>
              <w:t>3.4.1.11</w:t>
            </w:r>
          </w:p>
        </w:tc>
        <w:tc>
          <w:tcPr>
            <w:tcW w:w="1566" w:type="dxa"/>
          </w:tcPr>
          <w:p>
            <w:pPr>
              <w:pStyle w:val="TableParagraph"/>
              <w:spacing w:line="222" w:lineRule="exact"/>
              <w:ind w:left="176"/>
              <w:rPr>
                <w:i/>
                <w:sz w:val="22"/>
              </w:rPr>
            </w:pPr>
            <w:r>
              <w:rPr>
                <w:i/>
                <w:w w:val="95"/>
                <w:sz w:val="22"/>
              </w:rPr>
              <w:t>脑炎后遗症</w:t>
            </w:r>
            <w:r>
              <w:rPr>
                <w:i/>
                <w:sz w:val="22"/>
              </w:rPr>
              <w:t> </w:t>
            </w:r>
          </w:p>
          <w:p>
            <w:pPr>
              <w:pStyle w:val="TableParagraph"/>
              <w:spacing w:line="259" w:lineRule="auto" w:before="24"/>
              <w:ind w:left="176" w:right="79"/>
              <w:rPr>
                <w:i/>
                <w:sz w:val="22"/>
              </w:rPr>
            </w:pPr>
            <w:r>
              <w:rPr>
                <w:i/>
                <w:w w:val="95"/>
                <w:sz w:val="22"/>
              </w:rPr>
              <w:t>或脑膜炎后遗症</w:t>
            </w:r>
          </w:p>
        </w:tc>
        <w:tc>
          <w:tcPr>
            <w:tcW w:w="7728" w:type="dxa"/>
          </w:tcPr>
          <w:p>
            <w:pPr>
              <w:pStyle w:val="TableParagraph"/>
              <w:spacing w:line="221"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天后，仍遗留下列一种或一种以上障碍：</w:t>
            </w:r>
          </w:p>
          <w:p>
            <w:pPr>
              <w:pStyle w:val="TableParagraph"/>
              <w:spacing w:before="36"/>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1"/>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1219" w:type="dxa"/>
          </w:tcPr>
          <w:p>
            <w:pPr>
              <w:pStyle w:val="TableParagraph"/>
              <w:spacing w:before="94"/>
              <w:ind w:left="161" w:right="138"/>
              <w:jc w:val="center"/>
              <w:rPr>
                <w:i/>
                <w:sz w:val="22"/>
              </w:rPr>
            </w:pPr>
            <w:r>
              <w:rPr>
                <w:i/>
                <w:sz w:val="22"/>
              </w:rPr>
              <w:t>3.4.1.12</w:t>
            </w:r>
          </w:p>
        </w:tc>
        <w:tc>
          <w:tcPr>
            <w:tcW w:w="1566" w:type="dxa"/>
          </w:tcPr>
          <w:p>
            <w:pPr>
              <w:pStyle w:val="TableParagraph"/>
              <w:spacing w:before="94"/>
              <w:ind w:left="176"/>
              <w:rPr>
                <w:i/>
                <w:sz w:val="22"/>
              </w:rPr>
            </w:pPr>
            <w:r>
              <w:rPr>
                <w:i/>
                <w:w w:val="95"/>
                <w:sz w:val="22"/>
              </w:rPr>
              <w:t>深度昏迷</w:t>
            </w:r>
          </w:p>
        </w:tc>
        <w:tc>
          <w:tcPr>
            <w:tcW w:w="7728" w:type="dxa"/>
          </w:tcPr>
          <w:p>
            <w:pPr>
              <w:pStyle w:val="TableParagraph"/>
              <w:spacing w:line="273" w:lineRule="auto" w:before="105"/>
              <w:ind w:right="300"/>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7" w:hRule="atLeast"/>
        </w:trPr>
        <w:tc>
          <w:tcPr>
            <w:tcW w:w="1219" w:type="dxa"/>
          </w:tcPr>
          <w:p>
            <w:pPr>
              <w:pStyle w:val="TableParagraph"/>
              <w:spacing w:before="92"/>
              <w:ind w:left="161" w:right="138"/>
              <w:jc w:val="center"/>
              <w:rPr>
                <w:i/>
                <w:sz w:val="22"/>
              </w:rPr>
            </w:pPr>
            <w:r>
              <w:rPr>
                <w:i/>
                <w:sz w:val="22"/>
              </w:rPr>
              <w:t>3.4.1.13</w:t>
            </w:r>
          </w:p>
        </w:tc>
        <w:tc>
          <w:tcPr>
            <w:tcW w:w="1566" w:type="dxa"/>
          </w:tcPr>
          <w:p>
            <w:pPr>
              <w:pStyle w:val="TableParagraph"/>
              <w:spacing w:before="92"/>
              <w:ind w:left="176"/>
              <w:rPr>
                <w:i/>
                <w:sz w:val="22"/>
              </w:rPr>
            </w:pPr>
            <w:r>
              <w:rPr>
                <w:i/>
                <w:w w:val="95"/>
                <w:sz w:val="22"/>
              </w:rPr>
              <w:t>双耳失聪</w:t>
            </w:r>
          </w:p>
        </w:tc>
        <w:tc>
          <w:tcPr>
            <w:tcW w:w="7728" w:type="dxa"/>
          </w:tcPr>
          <w:p>
            <w:pPr>
              <w:pStyle w:val="TableParagraph"/>
              <w:spacing w:before="104"/>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right="3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8"/>
              <w:ind w:right="261"/>
              <w:rPr>
                <w:sz w:val="21"/>
              </w:rPr>
            </w:pPr>
            <w:r>
              <w:rPr>
                <w:sz w:val="21"/>
              </w:rPr>
              <w:t>被保险人申请理赔时年龄必须在三周岁以上，并且提供理赔当时的听力丧失诊断及检查证据。</w:t>
            </w:r>
          </w:p>
        </w:tc>
      </w:tr>
      <w:tr>
        <w:trPr>
          <w:trHeight w:val="2722" w:hRule="atLeast"/>
        </w:trPr>
        <w:tc>
          <w:tcPr>
            <w:tcW w:w="1219" w:type="dxa"/>
          </w:tcPr>
          <w:p>
            <w:pPr>
              <w:pStyle w:val="TableParagraph"/>
              <w:spacing w:before="94"/>
              <w:ind w:left="161" w:right="138"/>
              <w:jc w:val="center"/>
              <w:rPr>
                <w:i/>
                <w:sz w:val="22"/>
              </w:rPr>
            </w:pPr>
            <w:r>
              <w:rPr>
                <w:i/>
                <w:sz w:val="22"/>
              </w:rPr>
              <w:t>3.4.1.14</w:t>
            </w:r>
          </w:p>
        </w:tc>
        <w:tc>
          <w:tcPr>
            <w:tcW w:w="1566" w:type="dxa"/>
          </w:tcPr>
          <w:p>
            <w:pPr>
              <w:pStyle w:val="TableParagraph"/>
              <w:spacing w:before="94"/>
              <w:ind w:left="176"/>
              <w:rPr>
                <w:i/>
                <w:sz w:val="22"/>
              </w:rPr>
            </w:pPr>
            <w:r>
              <w:rPr>
                <w:i/>
                <w:w w:val="95"/>
                <w:sz w:val="22"/>
              </w:rPr>
              <w:t>双目失明</w:t>
            </w:r>
          </w:p>
        </w:tc>
        <w:tc>
          <w:tcPr>
            <w:tcW w:w="7728" w:type="dxa"/>
          </w:tcPr>
          <w:p>
            <w:pPr>
              <w:pStyle w:val="TableParagraph"/>
              <w:spacing w:line="273" w:lineRule="auto" w:before="105"/>
              <w:ind w:right="254"/>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73" w:lineRule="auto" w:before="37"/>
              <w:ind w:right="261"/>
              <w:rPr>
                <w:sz w:val="21"/>
              </w:rPr>
            </w:pPr>
            <w:r>
              <w:rPr>
                <w:sz w:val="21"/>
              </w:rPr>
              <w:t>被保险人申请理赔时年龄必须在三周岁以上，并且提供理赔当时的视力丧失诊断及检查证据。</w:t>
            </w:r>
          </w:p>
        </w:tc>
      </w:tr>
      <w:tr>
        <w:trPr>
          <w:trHeight w:val="1163" w:hRule="atLeast"/>
        </w:trPr>
        <w:tc>
          <w:tcPr>
            <w:tcW w:w="1219" w:type="dxa"/>
          </w:tcPr>
          <w:p>
            <w:pPr>
              <w:pStyle w:val="TableParagraph"/>
              <w:spacing w:before="93"/>
              <w:ind w:left="161" w:right="138"/>
              <w:jc w:val="center"/>
              <w:rPr>
                <w:i/>
                <w:sz w:val="22"/>
              </w:rPr>
            </w:pPr>
            <w:r>
              <w:rPr>
                <w:i/>
                <w:sz w:val="22"/>
              </w:rPr>
              <w:t>3.4.1.15</w:t>
            </w:r>
          </w:p>
        </w:tc>
        <w:tc>
          <w:tcPr>
            <w:tcW w:w="1566" w:type="dxa"/>
          </w:tcPr>
          <w:p>
            <w:pPr>
              <w:pStyle w:val="TableParagraph"/>
              <w:spacing w:before="93"/>
              <w:ind w:left="176"/>
              <w:rPr>
                <w:i/>
                <w:sz w:val="22"/>
              </w:rPr>
            </w:pPr>
            <w:r>
              <w:rPr>
                <w:i/>
                <w:w w:val="95"/>
                <w:sz w:val="22"/>
              </w:rPr>
              <w:t>瘫痪</w:t>
            </w:r>
          </w:p>
        </w:tc>
        <w:tc>
          <w:tcPr>
            <w:tcW w:w="7728" w:type="dxa"/>
          </w:tcPr>
          <w:p>
            <w:pPr>
              <w:pStyle w:val="TableParagraph"/>
              <w:spacing w:line="273" w:lineRule="auto" w:before="104"/>
              <w:ind w:right="298"/>
              <w:jc w:val="both"/>
              <w:rPr>
                <w:sz w:val="21"/>
              </w:rPr>
            </w:pPr>
            <w:r>
              <w:rPr>
                <w:spacing w:val="-4"/>
                <w:sz w:val="21"/>
              </w:rPr>
              <w:t>指因疾病或意外伤害导致两肢或两肢以上肢体机能永久完全丧失。肢体机能永久</w:t>
            </w:r>
            <w:r>
              <w:rPr>
                <w:spacing w:val="-9"/>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219" w:type="dxa"/>
          </w:tcPr>
          <w:p>
            <w:pPr>
              <w:pStyle w:val="TableParagraph"/>
              <w:spacing w:before="94"/>
              <w:ind w:left="161" w:right="138"/>
              <w:jc w:val="center"/>
              <w:rPr>
                <w:i/>
                <w:sz w:val="22"/>
              </w:rPr>
            </w:pPr>
            <w:r>
              <w:rPr>
                <w:i/>
                <w:sz w:val="22"/>
              </w:rPr>
              <w:t>3.4.1.16</w:t>
            </w:r>
          </w:p>
        </w:tc>
        <w:tc>
          <w:tcPr>
            <w:tcW w:w="1566" w:type="dxa"/>
          </w:tcPr>
          <w:p>
            <w:pPr>
              <w:pStyle w:val="TableParagraph"/>
              <w:spacing w:line="259" w:lineRule="auto" w:before="94"/>
              <w:ind w:left="176" w:right="79"/>
              <w:rPr>
                <w:i/>
                <w:sz w:val="22"/>
              </w:rPr>
            </w:pPr>
            <w:r>
              <w:rPr>
                <w:i/>
                <w:w w:val="95"/>
                <w:sz w:val="22"/>
              </w:rPr>
              <w:t>心脏瓣膜手</w:t>
            </w:r>
            <w:r>
              <w:rPr>
                <w:i/>
                <w:sz w:val="22"/>
              </w:rPr>
              <w:t>术</w:t>
            </w:r>
          </w:p>
        </w:tc>
        <w:tc>
          <w:tcPr>
            <w:tcW w:w="7728" w:type="dxa"/>
          </w:tcPr>
          <w:p>
            <w:pPr>
              <w:pStyle w:val="TableParagraph"/>
              <w:spacing w:before="105"/>
              <w:rPr>
                <w:sz w:val="21"/>
              </w:rPr>
            </w:pPr>
            <w:r>
              <w:rPr>
                <w:sz w:val="21"/>
              </w:rPr>
              <w:t>指为治疗心脏瓣膜疾病，实际实施了开胸进行的心脏瓣膜置换或修复的手术。</w:t>
            </w:r>
          </w:p>
        </w:tc>
      </w:tr>
      <w:tr>
        <w:trPr>
          <w:trHeight w:val="2098" w:hRule="atLeast"/>
        </w:trPr>
        <w:tc>
          <w:tcPr>
            <w:tcW w:w="1219" w:type="dxa"/>
          </w:tcPr>
          <w:p>
            <w:pPr>
              <w:pStyle w:val="TableParagraph"/>
              <w:spacing w:before="93"/>
              <w:ind w:left="161" w:right="138"/>
              <w:jc w:val="center"/>
              <w:rPr>
                <w:i/>
                <w:sz w:val="22"/>
              </w:rPr>
            </w:pPr>
            <w:r>
              <w:rPr>
                <w:i/>
                <w:sz w:val="22"/>
              </w:rPr>
              <w:t>3.4.1.17</w:t>
            </w:r>
          </w:p>
        </w:tc>
        <w:tc>
          <w:tcPr>
            <w:tcW w:w="1566" w:type="dxa"/>
          </w:tcPr>
          <w:p>
            <w:pPr>
              <w:pStyle w:val="TableParagraph"/>
              <w:spacing w:line="259" w:lineRule="auto" w:before="93"/>
              <w:ind w:left="176" w:right="333"/>
              <w:rPr>
                <w:i/>
                <w:sz w:val="22"/>
              </w:rPr>
            </w:pPr>
            <w:r>
              <w:rPr>
                <w:i/>
                <w:w w:val="95"/>
                <w:sz w:val="22"/>
              </w:rPr>
              <w:t>严重阿尔茨海默病</w:t>
            </w:r>
          </w:p>
        </w:tc>
        <w:tc>
          <w:tcPr>
            <w:tcW w:w="7728" w:type="dxa"/>
          </w:tcPr>
          <w:p>
            <w:pPr>
              <w:pStyle w:val="TableParagraph"/>
              <w:spacing w:line="273" w:lineRule="auto" w:before="104"/>
              <w:ind w:right="295"/>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w w:val="100"/>
                <w:sz w:val="21"/>
              </w:rPr>
              <w:t>由头颅断层扫描</w:t>
            </w:r>
            <w:r>
              <w:rPr>
                <w:spacing w:val="3"/>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MR</w:t>
            </w:r>
            <w:r>
              <w:rPr>
                <w:spacing w:val="-3"/>
                <w:w w:val="100"/>
                <w:sz w:val="21"/>
              </w:rPr>
              <w:t>I</w:t>
            </w:r>
            <w:r>
              <w:rPr>
                <w:w w:val="100"/>
                <w:sz w:val="21"/>
              </w:rPr>
              <w:t>)</w:t>
            </w:r>
            <w:r>
              <w:rPr>
                <w:sz w:val="21"/>
              </w:rPr>
              <w:t> </w:t>
            </w:r>
            <w:r>
              <w:rPr>
                <w:w w:val="100"/>
                <w:sz w:val="21"/>
              </w:rPr>
              <w:t>或正电子发射断层扫描</w:t>
            </w:r>
            <w:r>
              <w:rPr>
                <w:spacing w:val="5"/>
                <w:w w:val="100"/>
                <w:sz w:val="21"/>
              </w:rPr>
              <w:t>（</w:t>
            </w:r>
            <w:r>
              <w:rPr>
                <w:spacing w:val="-3"/>
                <w:w w:val="100"/>
                <w:sz w:val="21"/>
              </w:rPr>
              <w:t>P</w:t>
            </w:r>
            <w:r>
              <w:rPr>
                <w:w w:val="100"/>
                <w:sz w:val="21"/>
              </w:rPr>
              <w:t>E</w:t>
            </w:r>
            <w:r>
              <w:rPr>
                <w:spacing w:val="1"/>
                <w:w w:val="100"/>
                <w:sz w:val="21"/>
              </w:rPr>
              <w:t>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jc w:val="both"/>
              <w:rPr>
                <w:sz w:val="21"/>
              </w:rPr>
            </w:pPr>
            <w:r>
              <w:rPr>
                <w:sz w:val="21"/>
              </w:rPr>
              <w:t>神经官能症和精神疾病不在保障范围内。</w:t>
            </w:r>
          </w:p>
        </w:tc>
      </w:tr>
      <w:tr>
        <w:trPr>
          <w:trHeight w:val="1939" w:hRule="atLeast"/>
        </w:trPr>
        <w:tc>
          <w:tcPr>
            <w:tcW w:w="1219" w:type="dxa"/>
          </w:tcPr>
          <w:p>
            <w:pPr>
              <w:pStyle w:val="TableParagraph"/>
              <w:spacing w:before="92"/>
              <w:ind w:left="161" w:right="138"/>
              <w:jc w:val="center"/>
              <w:rPr>
                <w:i/>
                <w:sz w:val="22"/>
              </w:rPr>
            </w:pPr>
            <w:r>
              <w:rPr>
                <w:i/>
                <w:sz w:val="22"/>
              </w:rPr>
              <w:t>3.4.1.18</w:t>
            </w:r>
          </w:p>
        </w:tc>
        <w:tc>
          <w:tcPr>
            <w:tcW w:w="1566" w:type="dxa"/>
          </w:tcPr>
          <w:p>
            <w:pPr>
              <w:pStyle w:val="TableParagraph"/>
              <w:spacing w:before="92"/>
              <w:ind w:left="176"/>
              <w:rPr>
                <w:i/>
                <w:sz w:val="22"/>
              </w:rPr>
            </w:pPr>
            <w:r>
              <w:rPr>
                <w:i/>
                <w:w w:val="95"/>
                <w:sz w:val="22"/>
              </w:rPr>
              <w:t>严重脑损伤</w:t>
            </w:r>
          </w:p>
        </w:tc>
        <w:tc>
          <w:tcPr>
            <w:tcW w:w="7728" w:type="dxa"/>
          </w:tcPr>
          <w:p>
            <w:pPr>
              <w:pStyle w:val="TableParagraph"/>
              <w:spacing w:line="273" w:lineRule="auto" w:before="104"/>
              <w:ind w:right="197"/>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w:t>
            </w:r>
            <w:r>
              <w:rPr>
                <w:spacing w:val="-3"/>
                <w:w w:val="100"/>
                <w:sz w:val="21"/>
              </w:rPr>
              <w:t>CT</w:t>
            </w:r>
            <w:r>
              <w:rPr>
                <w:spacing w:val="-106"/>
                <w:w w:val="100"/>
                <w:sz w:val="21"/>
              </w:rPr>
              <w:t>）</w:t>
            </w:r>
            <w:r>
              <w:rPr>
                <w:spacing w:val="-16"/>
                <w:w w:val="100"/>
                <w:sz w:val="21"/>
              </w:rPr>
              <w:t>、核磁共振检查</w:t>
            </w:r>
            <w:r>
              <w:rPr>
                <w:w w:val="100"/>
                <w:sz w:val="21"/>
              </w:rPr>
              <w:t>（M</w:t>
            </w:r>
            <w:r>
              <w:rPr>
                <w:spacing w:val="-3"/>
                <w:w w:val="100"/>
                <w:sz w:val="21"/>
              </w:rPr>
              <w:t>R</w:t>
            </w:r>
            <w:r>
              <w:rPr>
                <w:w w:val="100"/>
                <w:sz w:val="21"/>
              </w:rPr>
              <w:t>I)</w:t>
            </w:r>
            <w:r>
              <w:rPr>
                <w:sz w:val="21"/>
              </w:rPr>
              <w:t> </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line="255" w:lineRule="exact" w:before="37"/>
              <w:rPr>
                <w:sz w:val="21"/>
              </w:rPr>
            </w:pPr>
            <w:r>
              <w:rPr>
                <w:sz w:val="21"/>
              </w:rPr>
              <w:t>（2）</w:t>
            </w:r>
            <w:r>
              <w:rPr>
                <w:b/>
                <w:sz w:val="21"/>
              </w:rPr>
              <w:t>语言能力或咀嚼吞咽能力完全丧失</w:t>
            </w:r>
            <w:r>
              <w:rPr>
                <w:sz w:val="21"/>
              </w:rPr>
              <w:t>；</w:t>
            </w:r>
          </w:p>
        </w:tc>
      </w:tr>
    </w:tbl>
    <w:p>
      <w:pPr>
        <w:spacing w:after="0" w:line="255" w:lineRule="exact"/>
        <w:rPr>
          <w:sz w:val="21"/>
        </w:rPr>
        <w:sectPr>
          <w:pgSz w:w="11910" w:h="16840"/>
          <w:pgMar w:header="568" w:footer="0" w:top="800" w:bottom="280" w:left="68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644"/>
      </w:tblGrid>
      <w:tr>
        <w:trPr>
          <w:trHeight w:val="682" w:hRule="atLeast"/>
        </w:trPr>
        <w:tc>
          <w:tcPr>
            <w:tcW w:w="1219" w:type="dxa"/>
          </w:tcPr>
          <w:p>
            <w:pPr>
              <w:pStyle w:val="TableParagraph"/>
              <w:ind w:left="0"/>
              <w:rPr>
                <w:rFonts w:ascii="Times New Roman"/>
                <w:sz w:val="20"/>
              </w:rPr>
            </w:pPr>
          </w:p>
        </w:tc>
        <w:tc>
          <w:tcPr>
            <w:tcW w:w="1566" w:type="dxa"/>
          </w:tcPr>
          <w:p>
            <w:pPr>
              <w:pStyle w:val="TableParagraph"/>
              <w:ind w:left="0"/>
              <w:rPr>
                <w:rFonts w:ascii="Times New Roman"/>
                <w:sz w:val="20"/>
              </w:rPr>
            </w:pPr>
          </w:p>
        </w:tc>
        <w:tc>
          <w:tcPr>
            <w:tcW w:w="7644" w:type="dxa"/>
          </w:tcPr>
          <w:p>
            <w:pPr>
              <w:pStyle w:val="TableParagraph"/>
              <w:spacing w:line="211" w:lineRule="exact"/>
              <w:rPr>
                <w:sz w:val="21"/>
              </w:rPr>
            </w:pPr>
            <w:r>
              <w:rPr>
                <w:sz w:val="21"/>
              </w:rPr>
              <w:t>（3）自主生活能力完全丧失，无法独立完成</w:t>
            </w:r>
            <w:r>
              <w:rPr>
                <w:b/>
                <w:sz w:val="21"/>
              </w:rPr>
              <w:t>六项基本日常生活活动</w:t>
            </w:r>
            <w:r>
              <w:rPr>
                <w:sz w:val="21"/>
              </w:rPr>
              <w:t>中的三项或</w:t>
            </w:r>
          </w:p>
          <w:p>
            <w:pPr>
              <w:pStyle w:val="TableParagraph"/>
              <w:spacing w:before="37"/>
              <w:rPr>
                <w:sz w:val="21"/>
              </w:rPr>
            </w:pPr>
            <w:r>
              <w:rPr>
                <w:sz w:val="21"/>
              </w:rPr>
              <w:t>三项以上。</w:t>
            </w:r>
          </w:p>
        </w:tc>
      </w:tr>
      <w:tr>
        <w:trPr>
          <w:trHeight w:val="2100" w:hRule="atLeast"/>
        </w:trPr>
        <w:tc>
          <w:tcPr>
            <w:tcW w:w="1219" w:type="dxa"/>
          </w:tcPr>
          <w:p>
            <w:pPr>
              <w:pStyle w:val="TableParagraph"/>
              <w:spacing w:before="94"/>
              <w:ind w:left="200"/>
              <w:rPr>
                <w:i/>
                <w:sz w:val="22"/>
              </w:rPr>
            </w:pPr>
            <w:r>
              <w:rPr>
                <w:i/>
                <w:sz w:val="22"/>
              </w:rPr>
              <w:t>3.4.1.19</w:t>
            </w:r>
          </w:p>
        </w:tc>
        <w:tc>
          <w:tcPr>
            <w:tcW w:w="1566" w:type="dxa"/>
          </w:tcPr>
          <w:p>
            <w:pPr>
              <w:pStyle w:val="TableParagraph"/>
              <w:spacing w:line="259" w:lineRule="auto" w:before="94"/>
              <w:ind w:left="176" w:right="79"/>
              <w:rPr>
                <w:i/>
                <w:sz w:val="22"/>
              </w:rPr>
            </w:pPr>
            <w:r>
              <w:rPr>
                <w:i/>
                <w:w w:val="95"/>
                <w:sz w:val="22"/>
              </w:rPr>
              <w:t>严重帕金森</w:t>
            </w:r>
            <w:r>
              <w:rPr>
                <w:i/>
                <w:sz w:val="22"/>
              </w:rPr>
              <w:t>病</w:t>
            </w:r>
          </w:p>
        </w:tc>
        <w:tc>
          <w:tcPr>
            <w:tcW w:w="7644" w:type="dxa"/>
          </w:tcPr>
          <w:p>
            <w:pPr>
              <w:pStyle w:val="TableParagraph"/>
              <w:spacing w:line="273" w:lineRule="auto" w:before="105"/>
              <w:ind w:right="17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03"/>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851" w:hRule="atLeast"/>
        </w:trPr>
        <w:tc>
          <w:tcPr>
            <w:tcW w:w="1219" w:type="dxa"/>
          </w:tcPr>
          <w:p>
            <w:pPr>
              <w:pStyle w:val="TableParagraph"/>
              <w:spacing w:before="94"/>
              <w:ind w:left="200"/>
              <w:rPr>
                <w:i/>
                <w:sz w:val="22"/>
              </w:rPr>
            </w:pPr>
            <w:r>
              <w:rPr>
                <w:i/>
                <w:sz w:val="22"/>
              </w:rPr>
              <w:t>3.4.1.20</w:t>
            </w:r>
          </w:p>
        </w:tc>
        <w:tc>
          <w:tcPr>
            <w:tcW w:w="1566" w:type="dxa"/>
          </w:tcPr>
          <w:p>
            <w:pPr>
              <w:pStyle w:val="TableParagraph"/>
              <w:spacing w:line="259" w:lineRule="auto" w:before="94"/>
              <w:ind w:left="176" w:right="333"/>
              <w:rPr>
                <w:i/>
                <w:sz w:val="22"/>
              </w:rPr>
            </w:pPr>
            <w:r>
              <w:rPr>
                <w:i/>
                <w:w w:val="95"/>
                <w:sz w:val="22"/>
              </w:rPr>
              <w:t>严重Ⅲ度烧</w:t>
            </w:r>
            <w:r>
              <w:rPr>
                <w:i/>
                <w:sz w:val="22"/>
              </w:rPr>
              <w:t>伤</w:t>
            </w:r>
          </w:p>
        </w:tc>
        <w:tc>
          <w:tcPr>
            <w:tcW w:w="7644" w:type="dxa"/>
          </w:tcPr>
          <w:p>
            <w:pPr>
              <w:pStyle w:val="TableParagraph"/>
              <w:spacing w:line="273" w:lineRule="auto" w:before="105"/>
              <w:ind w:right="172"/>
              <w:rPr>
                <w:sz w:val="21"/>
              </w:rPr>
            </w:pPr>
            <w:r>
              <w:rPr>
                <w:sz w:val="21"/>
              </w:rPr>
              <w:t>指烧伤程度为Ⅲ度，且Ⅲ度烧伤面积达到全身体表面积的 20％或 20％以上。体表面积根据 《中国新九分法》计算。</w:t>
            </w:r>
          </w:p>
        </w:tc>
      </w:tr>
      <w:tr>
        <w:trPr>
          <w:trHeight w:val="1162" w:hRule="atLeast"/>
        </w:trPr>
        <w:tc>
          <w:tcPr>
            <w:tcW w:w="1219" w:type="dxa"/>
          </w:tcPr>
          <w:p>
            <w:pPr>
              <w:pStyle w:val="TableParagraph"/>
              <w:spacing w:before="92"/>
              <w:ind w:left="200"/>
              <w:rPr>
                <w:i/>
                <w:sz w:val="22"/>
              </w:rPr>
            </w:pPr>
            <w:r>
              <w:rPr>
                <w:i/>
                <w:sz w:val="22"/>
              </w:rPr>
              <w:t>3.4.1.21</w:t>
            </w:r>
          </w:p>
        </w:tc>
        <w:tc>
          <w:tcPr>
            <w:tcW w:w="1566" w:type="dxa"/>
          </w:tcPr>
          <w:p>
            <w:pPr>
              <w:pStyle w:val="TableParagraph"/>
              <w:spacing w:line="259" w:lineRule="auto" w:before="92"/>
              <w:ind w:left="176" w:right="79"/>
              <w:rPr>
                <w:i/>
                <w:sz w:val="22"/>
              </w:rPr>
            </w:pPr>
            <w:r>
              <w:rPr>
                <w:i/>
                <w:w w:val="95"/>
                <w:sz w:val="22"/>
              </w:rPr>
              <w:t>严重原发性肺动脉高压</w:t>
            </w:r>
          </w:p>
        </w:tc>
        <w:tc>
          <w:tcPr>
            <w:tcW w:w="7644" w:type="dxa"/>
          </w:tcPr>
          <w:p>
            <w:pPr>
              <w:pStyle w:val="TableParagraph"/>
              <w:spacing w:line="273" w:lineRule="auto" w:before="103"/>
              <w:ind w:right="216"/>
              <w:jc w:val="both"/>
              <w:rPr>
                <w:sz w:val="21"/>
              </w:rPr>
            </w:pPr>
            <w:r>
              <w:rPr>
                <w:spacing w:val="-5"/>
                <w:sz w:val="21"/>
              </w:rPr>
              <w:t>指不明原因的肺动脉压力持续性增高，进行性发展而导致的慢性疾病，已经造成</w:t>
            </w:r>
            <w:r>
              <w:rPr>
                <w:b/>
                <w:spacing w:val="-5"/>
                <w:sz w:val="21"/>
              </w:rPr>
              <w:t>永久不可逆</w:t>
            </w:r>
            <w:r>
              <w:rPr>
                <w:spacing w:val="-1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19" w:type="dxa"/>
          </w:tcPr>
          <w:p>
            <w:pPr>
              <w:pStyle w:val="TableParagraph"/>
              <w:spacing w:before="94"/>
              <w:ind w:left="200"/>
              <w:rPr>
                <w:i/>
                <w:sz w:val="22"/>
              </w:rPr>
            </w:pPr>
            <w:r>
              <w:rPr>
                <w:i/>
                <w:sz w:val="22"/>
              </w:rPr>
              <w:t>3.4.1.22</w:t>
            </w:r>
          </w:p>
        </w:tc>
        <w:tc>
          <w:tcPr>
            <w:tcW w:w="1566" w:type="dxa"/>
          </w:tcPr>
          <w:p>
            <w:pPr>
              <w:pStyle w:val="TableParagraph"/>
              <w:spacing w:line="259" w:lineRule="auto" w:before="94"/>
              <w:ind w:left="176" w:right="79"/>
              <w:rPr>
                <w:i/>
                <w:sz w:val="22"/>
              </w:rPr>
            </w:pPr>
            <w:r>
              <w:rPr>
                <w:i/>
                <w:w w:val="95"/>
                <w:sz w:val="22"/>
              </w:rPr>
              <w:t>严重运动神经元病</w:t>
            </w:r>
          </w:p>
        </w:tc>
        <w:tc>
          <w:tcPr>
            <w:tcW w:w="7644" w:type="dxa"/>
          </w:tcPr>
          <w:p>
            <w:pPr>
              <w:pStyle w:val="TableParagraph"/>
              <w:spacing w:line="273" w:lineRule="auto" w:before="105"/>
              <w:ind w:right="1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6" w:hRule="atLeast"/>
        </w:trPr>
        <w:tc>
          <w:tcPr>
            <w:tcW w:w="1219" w:type="dxa"/>
          </w:tcPr>
          <w:p>
            <w:pPr>
              <w:pStyle w:val="TableParagraph"/>
              <w:spacing w:before="92"/>
              <w:ind w:left="200"/>
              <w:rPr>
                <w:i/>
                <w:sz w:val="22"/>
              </w:rPr>
            </w:pPr>
            <w:r>
              <w:rPr>
                <w:i/>
                <w:sz w:val="22"/>
              </w:rPr>
              <w:t>3.4.1.23</w:t>
            </w:r>
          </w:p>
        </w:tc>
        <w:tc>
          <w:tcPr>
            <w:tcW w:w="1566" w:type="dxa"/>
          </w:tcPr>
          <w:p>
            <w:pPr>
              <w:pStyle w:val="TableParagraph"/>
              <w:spacing w:line="259" w:lineRule="auto" w:before="92"/>
              <w:ind w:left="176" w:right="333"/>
              <w:rPr>
                <w:i/>
                <w:sz w:val="22"/>
              </w:rPr>
            </w:pPr>
            <w:r>
              <w:rPr>
                <w:i/>
                <w:w w:val="95"/>
                <w:sz w:val="22"/>
              </w:rPr>
              <w:t>语言能力丧</w:t>
            </w:r>
            <w:r>
              <w:rPr>
                <w:i/>
                <w:sz w:val="22"/>
              </w:rPr>
              <w:t>失</w:t>
            </w:r>
          </w:p>
        </w:tc>
        <w:tc>
          <w:tcPr>
            <w:tcW w:w="7644" w:type="dxa"/>
          </w:tcPr>
          <w:p>
            <w:pPr>
              <w:pStyle w:val="TableParagraph"/>
              <w:spacing w:line="273" w:lineRule="auto" w:before="104"/>
              <w:ind w:right="214"/>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177"/>
              <w:rPr>
                <w:sz w:val="21"/>
              </w:rPr>
            </w:pPr>
            <w:r>
              <w:rPr>
                <w:sz w:val="21"/>
              </w:rPr>
              <w:t>被保险人申请理赔时年龄必须在三周岁以上，并且提供理赔当时的语言能力丧失诊断及检查证据。</w:t>
            </w:r>
          </w:p>
        </w:tc>
      </w:tr>
      <w:tr>
        <w:trPr>
          <w:trHeight w:val="2412" w:hRule="atLeast"/>
        </w:trPr>
        <w:tc>
          <w:tcPr>
            <w:tcW w:w="1219" w:type="dxa"/>
          </w:tcPr>
          <w:p>
            <w:pPr>
              <w:pStyle w:val="TableParagraph"/>
              <w:spacing w:before="94"/>
              <w:ind w:left="200"/>
              <w:rPr>
                <w:i/>
                <w:sz w:val="22"/>
              </w:rPr>
            </w:pPr>
            <w:r>
              <w:rPr>
                <w:i/>
                <w:sz w:val="22"/>
              </w:rPr>
              <w:t>3.4.1.24</w:t>
            </w:r>
          </w:p>
        </w:tc>
        <w:tc>
          <w:tcPr>
            <w:tcW w:w="1566" w:type="dxa"/>
          </w:tcPr>
          <w:p>
            <w:pPr>
              <w:pStyle w:val="TableParagraph"/>
              <w:spacing w:line="261" w:lineRule="auto" w:before="94"/>
              <w:ind w:left="176" w:right="79"/>
              <w:rPr>
                <w:i/>
                <w:sz w:val="22"/>
              </w:rPr>
            </w:pPr>
            <w:r>
              <w:rPr>
                <w:i/>
                <w:w w:val="95"/>
                <w:sz w:val="22"/>
              </w:rPr>
              <w:t>重型再生障碍性贫血</w:t>
            </w:r>
          </w:p>
        </w:tc>
        <w:tc>
          <w:tcPr>
            <w:tcW w:w="7644" w:type="dxa"/>
          </w:tcPr>
          <w:p>
            <w:pPr>
              <w:pStyle w:val="TableParagraph"/>
              <w:spacing w:line="273" w:lineRule="auto" w:before="105"/>
              <w:ind w:right="20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19" w:type="dxa"/>
          </w:tcPr>
          <w:p>
            <w:pPr>
              <w:pStyle w:val="TableParagraph"/>
              <w:spacing w:before="94"/>
              <w:ind w:left="200"/>
              <w:rPr>
                <w:i/>
                <w:sz w:val="22"/>
              </w:rPr>
            </w:pPr>
            <w:r>
              <w:rPr>
                <w:i/>
                <w:sz w:val="22"/>
              </w:rPr>
              <w:t>3.4.1.25</w:t>
            </w:r>
          </w:p>
        </w:tc>
        <w:tc>
          <w:tcPr>
            <w:tcW w:w="1566" w:type="dxa"/>
          </w:tcPr>
          <w:p>
            <w:pPr>
              <w:pStyle w:val="TableParagraph"/>
              <w:spacing w:before="94"/>
              <w:ind w:left="176"/>
              <w:rPr>
                <w:i/>
                <w:sz w:val="22"/>
              </w:rPr>
            </w:pPr>
            <w:r>
              <w:rPr>
                <w:i/>
                <w:w w:val="95"/>
                <w:sz w:val="22"/>
              </w:rPr>
              <w:t>主动脉手术</w:t>
            </w:r>
          </w:p>
        </w:tc>
        <w:tc>
          <w:tcPr>
            <w:tcW w:w="7644" w:type="dxa"/>
          </w:tcPr>
          <w:p>
            <w:pPr>
              <w:pStyle w:val="TableParagraph"/>
              <w:spacing w:line="273" w:lineRule="auto" w:before="105"/>
              <w:ind w:right="214"/>
              <w:jc w:val="both"/>
              <w:rPr>
                <w:sz w:val="21"/>
              </w:rPr>
            </w:pPr>
            <w:r>
              <w:rPr>
                <w:spacing w:val="-5"/>
                <w:sz w:val="21"/>
              </w:rPr>
              <w:t>指为治疗主动脉疾病，实际实施了开胸或开腹进行的切除、置换、修补病损主动</w:t>
            </w:r>
            <w:r>
              <w:rPr>
                <w:spacing w:val="-6"/>
                <w:sz w:val="21"/>
              </w:rPr>
              <w:t>脉血管的手术。主动脉指胸主动脉和腹主动脉，不包括胸主动脉和腹主动脉的分</w:t>
            </w:r>
            <w:r>
              <w:rPr>
                <w:spacing w:val="-4"/>
                <w:sz w:val="21"/>
              </w:rPr>
              <w:t>支血管。</w:t>
            </w:r>
          </w:p>
          <w:p>
            <w:pPr>
              <w:pStyle w:val="TableParagraph"/>
              <w:spacing w:before="7"/>
              <w:jc w:val="both"/>
              <w:rPr>
                <w:sz w:val="21"/>
              </w:rPr>
            </w:pPr>
            <w:r>
              <w:rPr>
                <w:sz w:val="21"/>
              </w:rPr>
              <w:t>动脉内血管成形术不在保障范围内。</w:t>
            </w:r>
          </w:p>
        </w:tc>
      </w:tr>
      <w:tr>
        <w:trPr>
          <w:trHeight w:val="480" w:hRule="atLeast"/>
        </w:trPr>
        <w:tc>
          <w:tcPr>
            <w:tcW w:w="1219" w:type="dxa"/>
          </w:tcPr>
          <w:p>
            <w:pPr>
              <w:pStyle w:val="TableParagraph"/>
              <w:spacing w:before="64"/>
              <w:ind w:left="200"/>
              <w:rPr>
                <w:b/>
                <w:i/>
                <w:sz w:val="22"/>
              </w:rPr>
            </w:pPr>
            <w:r>
              <w:rPr>
                <w:b/>
                <w:i/>
                <w:sz w:val="22"/>
              </w:rPr>
              <w:t>3.4.2</w:t>
            </w:r>
          </w:p>
        </w:tc>
        <w:tc>
          <w:tcPr>
            <w:tcW w:w="1566" w:type="dxa"/>
            <w:vMerge w:val="restart"/>
          </w:tcPr>
          <w:p>
            <w:pPr>
              <w:pStyle w:val="TableParagraph"/>
              <w:spacing w:line="259" w:lineRule="auto" w:before="64"/>
              <w:ind w:left="176" w:right="30"/>
              <w:rPr>
                <w:b/>
                <w:i/>
                <w:sz w:val="22"/>
              </w:rPr>
            </w:pPr>
            <w:r>
              <w:rPr>
                <w:b/>
                <w:i/>
                <w:w w:val="95"/>
                <w:sz w:val="22"/>
              </w:rPr>
              <w:t>被保险人年</w:t>
            </w:r>
            <w:r>
              <w:rPr>
                <w:b/>
                <w:i/>
                <w:sz w:val="22"/>
              </w:rPr>
              <w:t>满 18 周岁后</w:t>
            </w:r>
          </w:p>
          <w:p>
            <w:pPr>
              <w:pStyle w:val="TableParagraph"/>
              <w:spacing w:line="259" w:lineRule="auto" w:before="6"/>
              <w:ind w:left="176"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44" w:type="dxa"/>
          </w:tcPr>
          <w:p>
            <w:pPr>
              <w:pStyle w:val="TableParagraph"/>
              <w:ind w:left="0"/>
              <w:rPr>
                <w:rFonts w:ascii="Times New Roman"/>
                <w:sz w:val="20"/>
              </w:rPr>
            </w:pPr>
          </w:p>
        </w:tc>
      </w:tr>
      <w:tr>
        <w:trPr>
          <w:trHeight w:val="967" w:hRule="atLeast"/>
        </w:trPr>
        <w:tc>
          <w:tcPr>
            <w:tcW w:w="1219" w:type="dxa"/>
          </w:tcPr>
          <w:p>
            <w:pPr>
              <w:pStyle w:val="TableParagraph"/>
              <w:ind w:left="0"/>
              <w:rPr>
                <w:rFonts w:ascii="Times New Roman"/>
                <w:sz w:val="20"/>
              </w:rPr>
            </w:pPr>
          </w:p>
        </w:tc>
        <w:tc>
          <w:tcPr>
            <w:tcW w:w="1566" w:type="dxa"/>
            <w:vMerge/>
            <w:tcBorders>
              <w:top w:val="nil"/>
            </w:tcBorders>
          </w:tcPr>
          <w:p>
            <w:pPr>
              <w:rPr>
                <w:sz w:val="2"/>
                <w:szCs w:val="2"/>
              </w:rPr>
            </w:pPr>
          </w:p>
        </w:tc>
        <w:tc>
          <w:tcPr>
            <w:tcW w:w="7644" w:type="dxa"/>
          </w:tcPr>
          <w:p>
            <w:pPr>
              <w:pStyle w:val="TableParagraph"/>
              <w:spacing w:before="64"/>
              <w:rPr>
                <w:sz w:val="21"/>
              </w:rPr>
            </w:pPr>
            <w:r>
              <w:rPr>
                <w:sz w:val="21"/>
              </w:rPr>
              <w:t>被保险人年满 18 周岁后，我们提供特别保障的 5 种重大疾病定义如下：</w:t>
            </w:r>
          </w:p>
        </w:tc>
      </w:tr>
      <w:tr>
        <w:trPr>
          <w:trHeight w:val="1315" w:hRule="atLeast"/>
        </w:trPr>
        <w:tc>
          <w:tcPr>
            <w:tcW w:w="1219" w:type="dxa"/>
          </w:tcPr>
          <w:p>
            <w:pPr>
              <w:pStyle w:val="TableParagraph"/>
              <w:spacing w:before="93"/>
              <w:ind w:left="200"/>
              <w:rPr>
                <w:i/>
                <w:sz w:val="22"/>
              </w:rPr>
            </w:pPr>
            <w:r>
              <w:rPr>
                <w:i/>
                <w:sz w:val="22"/>
              </w:rPr>
              <w:t>3.4.2.1</w:t>
            </w:r>
          </w:p>
        </w:tc>
        <w:tc>
          <w:tcPr>
            <w:tcW w:w="1566" w:type="dxa"/>
          </w:tcPr>
          <w:p>
            <w:pPr>
              <w:pStyle w:val="TableParagraph"/>
              <w:spacing w:before="93"/>
              <w:ind w:left="176"/>
              <w:rPr>
                <w:i/>
                <w:sz w:val="22"/>
              </w:rPr>
            </w:pPr>
            <w:r>
              <w:rPr>
                <w:i/>
                <w:w w:val="95"/>
                <w:sz w:val="22"/>
              </w:rPr>
              <w:t>多发性硬化</w:t>
            </w:r>
          </w:p>
        </w:tc>
        <w:tc>
          <w:tcPr>
            <w:tcW w:w="7644" w:type="dxa"/>
          </w:tcPr>
          <w:p>
            <w:pPr>
              <w:pStyle w:val="TableParagraph"/>
              <w:spacing w:line="312" w:lineRule="exact" w:before="100"/>
              <w:ind w:right="214"/>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5"/>
                <w:sz w:val="21"/>
              </w:rPr>
              <w:t>查结果诊断报告。本附加合同仅对多发性硬化造成神经系统功能的永久性损害予</w:t>
            </w:r>
            <w:r>
              <w:rPr>
                <w:spacing w:val="-6"/>
                <w:sz w:val="21"/>
              </w:rPr>
              <w:t>以理赔。所谓神经系统功能的永久性损害是指诊断为多发性硬化后有神经系统一</w:t>
            </w:r>
          </w:p>
        </w:tc>
      </w:tr>
    </w:tbl>
    <w:p>
      <w:pPr>
        <w:spacing w:after="0" w:line="312" w:lineRule="exact"/>
        <w:jc w:val="both"/>
        <w:rPr>
          <w:sz w:val="21"/>
        </w:rPr>
        <w:sectPr>
          <w:pgSz w:w="11910" w:h="16840"/>
          <w:pgMar w:header="568" w:footer="0" w:top="800" w:bottom="280" w:left="680" w:right="58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1619"/>
        <w:gridCol w:w="7627"/>
      </w:tblGrid>
      <w:tr>
        <w:trPr>
          <w:trHeight w:val="661" w:hRule="atLeast"/>
        </w:trPr>
        <w:tc>
          <w:tcPr>
            <w:tcW w:w="1166"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627" w:type="dxa"/>
          </w:tcPr>
          <w:p>
            <w:pPr>
              <w:pStyle w:val="TableParagraph"/>
              <w:spacing w:line="211" w:lineRule="exact"/>
              <w:rPr>
                <w:sz w:val="21"/>
              </w:rPr>
            </w:pPr>
            <w:r>
              <w:rPr>
                <w:sz w:val="21"/>
              </w:rPr>
              <w:t>次以上的发作，而出现累及视神经、脑干、脊髓永久性损害，出现有共济失调或</w:t>
            </w:r>
          </w:p>
          <w:p>
            <w:pPr>
              <w:pStyle w:val="TableParagraph"/>
              <w:spacing w:before="37"/>
              <w:rPr>
                <w:sz w:val="21"/>
              </w:rPr>
            </w:pPr>
            <w:r>
              <w:rPr>
                <w:sz w:val="21"/>
              </w:rPr>
              <w:t>感觉障碍并持续 </w:t>
            </w:r>
            <w:r>
              <w:rPr>
                <w:rFonts w:ascii="Arial" w:eastAsia="Arial"/>
                <w:sz w:val="21"/>
              </w:rPr>
              <w:t>180 </w:t>
            </w:r>
            <w:r>
              <w:rPr>
                <w:sz w:val="21"/>
              </w:rPr>
              <w:t>天以上。</w:t>
            </w:r>
          </w:p>
        </w:tc>
      </w:tr>
      <w:tr>
        <w:trPr>
          <w:trHeight w:val="3944" w:hRule="atLeast"/>
        </w:trPr>
        <w:tc>
          <w:tcPr>
            <w:tcW w:w="1166" w:type="dxa"/>
          </w:tcPr>
          <w:p>
            <w:pPr>
              <w:pStyle w:val="TableParagraph"/>
              <w:spacing w:before="57"/>
              <w:ind w:left="200"/>
              <w:rPr>
                <w:i/>
                <w:sz w:val="22"/>
              </w:rPr>
            </w:pPr>
            <w:r>
              <w:rPr>
                <w:i/>
                <w:sz w:val="22"/>
              </w:rPr>
              <w:t>3.4.2.2</w:t>
            </w:r>
          </w:p>
        </w:tc>
        <w:tc>
          <w:tcPr>
            <w:tcW w:w="1619" w:type="dxa"/>
          </w:tcPr>
          <w:p>
            <w:pPr>
              <w:pStyle w:val="TableParagraph"/>
              <w:spacing w:line="259" w:lineRule="auto" w:before="57"/>
              <w:ind w:left="229" w:right="333"/>
              <w:jc w:val="both"/>
              <w:rPr>
                <w:i/>
                <w:sz w:val="22"/>
              </w:rPr>
            </w:pPr>
            <w:r>
              <w:rPr>
                <w:i/>
                <w:w w:val="95"/>
                <w:sz w:val="22"/>
              </w:rPr>
              <w:t>经输血导致的人类免疫缺陷病毒感</w:t>
            </w:r>
            <w:r>
              <w:rPr>
                <w:i/>
                <w:sz w:val="22"/>
              </w:rPr>
              <w:t>染</w:t>
            </w:r>
          </w:p>
        </w:tc>
        <w:tc>
          <w:tcPr>
            <w:tcW w:w="7627" w:type="dxa"/>
          </w:tcPr>
          <w:p>
            <w:pPr>
              <w:pStyle w:val="TableParagraph"/>
              <w:spacing w:line="256" w:lineRule="auto" w:before="69"/>
              <w:ind w:right="197"/>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right="204"/>
              <w:rPr>
                <w:sz w:val="21"/>
              </w:rPr>
            </w:pPr>
            <w:r>
              <w:rPr>
                <w:sz w:val="21"/>
              </w:rPr>
              <w:t>（</w:t>
            </w:r>
            <w:r>
              <w:rPr>
                <w:rFonts w:ascii="Times New Roman" w:eastAsia="Times New Roman"/>
                <w:sz w:val="21"/>
              </w:rPr>
              <w:t>1</w:t>
            </w:r>
            <w:r>
              <w:rPr>
                <w:sz w:val="21"/>
              </w:rPr>
              <w:t>）造成感染的输血事件发生在本附加合同生效日之后或复效日之后，血清出现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right="209"/>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209"/>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right="197"/>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166" w:type="dxa"/>
          </w:tcPr>
          <w:p>
            <w:pPr>
              <w:pStyle w:val="TableParagraph"/>
              <w:spacing w:before="86"/>
              <w:ind w:left="200"/>
              <w:rPr>
                <w:i/>
                <w:sz w:val="22"/>
              </w:rPr>
            </w:pPr>
            <w:r>
              <w:rPr>
                <w:i/>
                <w:sz w:val="22"/>
              </w:rPr>
              <w:t>3.4.2.3</w:t>
            </w:r>
          </w:p>
        </w:tc>
        <w:tc>
          <w:tcPr>
            <w:tcW w:w="1619" w:type="dxa"/>
          </w:tcPr>
          <w:p>
            <w:pPr>
              <w:pStyle w:val="TableParagraph"/>
              <w:spacing w:before="86"/>
              <w:ind w:left="229"/>
              <w:rPr>
                <w:i/>
                <w:sz w:val="22"/>
              </w:rPr>
            </w:pPr>
            <w:r>
              <w:rPr>
                <w:i/>
                <w:w w:val="95"/>
                <w:sz w:val="22"/>
              </w:rPr>
              <w:t>终末期肺病</w:t>
            </w:r>
          </w:p>
        </w:tc>
        <w:tc>
          <w:tcPr>
            <w:tcW w:w="7627" w:type="dxa"/>
          </w:tcPr>
          <w:p>
            <w:pPr>
              <w:pStyle w:val="TableParagraph"/>
              <w:spacing w:line="273" w:lineRule="auto" w:before="98"/>
              <w:ind w:right="160"/>
              <w:rPr>
                <w:sz w:val="21"/>
              </w:rPr>
            </w:pPr>
            <w:r>
              <w:rPr>
                <w:sz w:val="21"/>
              </w:rPr>
              <w:t>被保险人患有终末期肺病而出现的慢性呼吸衰竭。该病必须由医院的呼吸科专科医生确诊并符合以下各项：</w:t>
            </w:r>
          </w:p>
          <w:p>
            <w:pPr>
              <w:pStyle w:val="TableParagraph"/>
              <w:spacing w:before="8"/>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66" w:type="dxa"/>
          </w:tcPr>
          <w:p>
            <w:pPr>
              <w:pStyle w:val="TableParagraph"/>
              <w:spacing w:before="84"/>
              <w:ind w:left="200"/>
              <w:rPr>
                <w:i/>
                <w:sz w:val="22"/>
              </w:rPr>
            </w:pPr>
            <w:r>
              <w:rPr>
                <w:i/>
                <w:sz w:val="22"/>
              </w:rPr>
              <w:t>3.4.2.4</w:t>
            </w:r>
          </w:p>
        </w:tc>
        <w:tc>
          <w:tcPr>
            <w:tcW w:w="1619" w:type="dxa"/>
          </w:tcPr>
          <w:p>
            <w:pPr>
              <w:pStyle w:val="TableParagraph"/>
              <w:spacing w:line="259" w:lineRule="auto" w:before="84"/>
              <w:ind w:left="229" w:right="333"/>
              <w:rPr>
                <w:i/>
                <w:sz w:val="22"/>
              </w:rPr>
            </w:pPr>
            <w:r>
              <w:rPr>
                <w:i/>
                <w:w w:val="95"/>
                <w:sz w:val="22"/>
              </w:rPr>
              <w:t>严重类风湿性关节炎</w:t>
            </w:r>
          </w:p>
        </w:tc>
        <w:tc>
          <w:tcPr>
            <w:tcW w:w="7627" w:type="dxa"/>
          </w:tcPr>
          <w:p>
            <w:pPr>
              <w:pStyle w:val="TableParagraph"/>
              <w:spacing w:line="273" w:lineRule="auto" w:before="96"/>
              <w:ind w:right="197"/>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80" w:hRule="atLeast"/>
        </w:trPr>
        <w:tc>
          <w:tcPr>
            <w:tcW w:w="1166" w:type="dxa"/>
          </w:tcPr>
          <w:p>
            <w:pPr>
              <w:pStyle w:val="TableParagraph"/>
              <w:spacing w:before="94"/>
              <w:ind w:left="200"/>
              <w:rPr>
                <w:i/>
                <w:sz w:val="22"/>
              </w:rPr>
            </w:pPr>
            <w:r>
              <w:rPr>
                <w:i/>
                <w:sz w:val="22"/>
              </w:rPr>
              <w:t>3.4.2.5</w:t>
            </w:r>
          </w:p>
        </w:tc>
        <w:tc>
          <w:tcPr>
            <w:tcW w:w="1619" w:type="dxa"/>
          </w:tcPr>
          <w:p>
            <w:pPr>
              <w:pStyle w:val="TableParagraph"/>
              <w:spacing w:line="259" w:lineRule="auto" w:before="94"/>
              <w:ind w:left="229" w:right="79"/>
              <w:rPr>
                <w:i/>
                <w:sz w:val="22"/>
              </w:rPr>
            </w:pPr>
            <w:r>
              <w:rPr>
                <w:i/>
                <w:w w:val="95"/>
                <w:sz w:val="22"/>
              </w:rPr>
              <w:t>系统性红斑狼疮</w:t>
            </w:r>
          </w:p>
        </w:tc>
        <w:tc>
          <w:tcPr>
            <w:tcW w:w="7627" w:type="dxa"/>
          </w:tcPr>
          <w:p>
            <w:pPr>
              <w:pStyle w:val="TableParagraph"/>
              <w:spacing w:line="266" w:lineRule="auto" w:before="105"/>
              <w:ind w:right="197"/>
              <w:jc w:val="both"/>
              <w:rPr>
                <w:sz w:val="21"/>
              </w:rPr>
            </w:pPr>
            <w:r>
              <w:rPr>
                <w:spacing w:val="-4"/>
                <w:sz w:val="21"/>
              </w:rPr>
              <w:t>系统性红斑狼疮是一种累及多脏器的自身免疫性的炎症性结缔组织病，多发于青</w:t>
            </w:r>
            <w:r>
              <w:rPr>
                <w:spacing w:val="-5"/>
                <w:sz w:val="21"/>
              </w:rPr>
              <w:t>年女性。该病必须由医院的风湿科专科医生确诊。本附加合同所指的系统性红斑狼疮仅限于累及肾脏的情况，即经肾脏活检确认的，符合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 </w:t>
            </w:r>
            <w:r>
              <w:rPr>
                <w:sz w:val="21"/>
              </w:rPr>
              <w:t>型至</w:t>
            </w:r>
            <w:r>
              <w:rPr>
                <w:rFonts w:ascii="Times New Roman" w:eastAsia="Times New Roman"/>
                <w:sz w:val="21"/>
              </w:rPr>
              <w:t>V</w:t>
            </w:r>
            <w:r>
              <w:rPr>
                <w:spacing w:val="-3"/>
                <w:sz w:val="21"/>
              </w:rPr>
              <w:t>型狼疮性肾炎的诊断标准，并伴有持续性蛋白尿</w:t>
            </w:r>
            <w:r>
              <w:rPr>
                <w:sz w:val="21"/>
              </w:rPr>
              <w:t>（尿蛋白</w:t>
            </w:r>
            <w:r>
              <w:rPr>
                <w:rFonts w:ascii="Times New Roman" w:eastAsia="Times New Roman"/>
                <w:sz w:val="21"/>
              </w:rPr>
              <w:t>++</w:t>
            </w:r>
            <w:r>
              <w:rPr>
                <w:sz w:val="21"/>
              </w:rPr>
              <w:t>以上）</w:t>
            </w:r>
            <w:r>
              <w:rPr>
                <w:spacing w:val="-2"/>
                <w:sz w:val="21"/>
              </w:rPr>
              <w:t>的系统</w:t>
            </w:r>
            <w:r>
              <w:rPr>
                <w:spacing w:val="-5"/>
                <w:sz w:val="21"/>
              </w:rPr>
              <w:t>性红斑狼疮。其他类型的红斑性狼疮，如盘状狼疮、仅累及血液及关节的狼疮不</w:t>
            </w:r>
            <w:r>
              <w:rPr>
                <w:spacing w:val="-4"/>
                <w:sz w:val="21"/>
              </w:rPr>
              <w:t>在保障范围内。</w:t>
            </w:r>
          </w:p>
          <w:p>
            <w:pPr>
              <w:pStyle w:val="TableParagraph"/>
              <w:spacing w:before="13"/>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jc w:val="both"/>
              <w:rPr>
                <w:sz w:val="21"/>
              </w:rPr>
            </w:pPr>
            <w:r>
              <w:rPr>
                <w:rFonts w:ascii="Times New Roman" w:eastAsia="Times New Roman"/>
                <w:sz w:val="21"/>
              </w:rPr>
              <w:t>I</w:t>
            </w:r>
            <w:r>
              <w:rPr>
                <w:sz w:val="21"/>
              </w:rPr>
              <w:t>型（微小病变型）</w:t>
            </w:r>
          </w:p>
          <w:p>
            <w:pPr>
              <w:pStyle w:val="TableParagraph"/>
              <w:spacing w:before="21"/>
              <w:jc w:val="both"/>
              <w:rPr>
                <w:sz w:val="21"/>
              </w:rPr>
            </w:pPr>
            <w:r>
              <w:rPr>
                <w:rFonts w:ascii="Times New Roman" w:eastAsia="Times New Roman"/>
                <w:sz w:val="21"/>
              </w:rPr>
              <w:t>II</w:t>
            </w:r>
            <w:r>
              <w:rPr>
                <w:sz w:val="21"/>
              </w:rPr>
              <w:t>型（系膜病变型）</w:t>
            </w:r>
          </w:p>
          <w:p>
            <w:pPr>
              <w:pStyle w:val="TableParagraph"/>
              <w:spacing w:before="21"/>
              <w:jc w:val="both"/>
              <w:rPr>
                <w:sz w:val="21"/>
              </w:rPr>
            </w:pPr>
            <w:r>
              <w:rPr>
                <w:rFonts w:ascii="Times New Roman" w:eastAsia="Times New Roman"/>
                <w:sz w:val="21"/>
              </w:rPr>
              <w:t>III</w:t>
            </w:r>
            <w:r>
              <w:rPr>
                <w:sz w:val="21"/>
              </w:rPr>
              <w:t>型（局灶及节段增生型）</w:t>
            </w:r>
          </w:p>
          <w:p>
            <w:pPr>
              <w:pStyle w:val="TableParagraph"/>
              <w:spacing w:before="21"/>
              <w:jc w:val="both"/>
              <w:rPr>
                <w:sz w:val="21"/>
              </w:rPr>
            </w:pPr>
            <w:r>
              <w:rPr>
                <w:rFonts w:ascii="Times New Roman" w:eastAsia="Times New Roman"/>
                <w:sz w:val="21"/>
              </w:rPr>
              <w:t>IV</w:t>
            </w:r>
            <w:r>
              <w:rPr>
                <w:sz w:val="21"/>
              </w:rPr>
              <w:t>型（弥漫增生型）</w:t>
            </w:r>
          </w:p>
          <w:p>
            <w:pPr>
              <w:pStyle w:val="TableParagraph"/>
              <w:spacing w:before="21"/>
              <w:jc w:val="both"/>
              <w:rPr>
                <w:sz w:val="21"/>
              </w:rPr>
            </w:pPr>
            <w:r>
              <w:rPr>
                <w:rFonts w:ascii="Times New Roman" w:eastAsia="Times New Roman"/>
                <w:sz w:val="21"/>
              </w:rPr>
              <w:t>V </w:t>
            </w:r>
            <w:r>
              <w:rPr>
                <w:sz w:val="21"/>
              </w:rPr>
              <w:t>型（膜型）</w:t>
            </w:r>
          </w:p>
        </w:tc>
      </w:tr>
      <w:tr>
        <w:trPr>
          <w:trHeight w:val="501" w:hRule="atLeast"/>
        </w:trPr>
        <w:tc>
          <w:tcPr>
            <w:tcW w:w="1166" w:type="dxa"/>
          </w:tcPr>
          <w:p>
            <w:pPr>
              <w:pStyle w:val="TableParagraph"/>
              <w:spacing w:before="86"/>
              <w:ind w:left="200"/>
              <w:rPr>
                <w:b/>
                <w:i/>
                <w:sz w:val="22"/>
              </w:rPr>
            </w:pPr>
            <w:r>
              <w:rPr>
                <w:b/>
                <w:i/>
                <w:sz w:val="22"/>
              </w:rPr>
              <w:t>3.4.3</w:t>
            </w:r>
          </w:p>
        </w:tc>
        <w:tc>
          <w:tcPr>
            <w:tcW w:w="1619" w:type="dxa"/>
            <w:vMerge w:val="restart"/>
          </w:tcPr>
          <w:p>
            <w:pPr>
              <w:pStyle w:val="TableParagraph"/>
              <w:spacing w:line="259" w:lineRule="auto" w:before="86"/>
              <w:ind w:left="229" w:right="30"/>
              <w:rPr>
                <w:b/>
                <w:i/>
                <w:sz w:val="22"/>
              </w:rPr>
            </w:pPr>
            <w:r>
              <w:rPr>
                <w:b/>
                <w:i/>
                <w:w w:val="95"/>
                <w:sz w:val="22"/>
              </w:rPr>
              <w:t>被保险人年</w:t>
            </w:r>
            <w:r>
              <w:rPr>
                <w:b/>
                <w:i/>
                <w:sz w:val="22"/>
              </w:rPr>
              <w:t>满 18 周岁前</w:t>
            </w:r>
          </w:p>
          <w:p>
            <w:pPr>
              <w:pStyle w:val="TableParagraph"/>
              <w:spacing w:line="259" w:lineRule="auto" w:before="6"/>
              <w:ind w:left="22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27" w:type="dxa"/>
          </w:tcPr>
          <w:p>
            <w:pPr>
              <w:pStyle w:val="TableParagraph"/>
              <w:ind w:left="0"/>
              <w:rPr>
                <w:rFonts w:ascii="Times New Roman"/>
                <w:sz w:val="20"/>
              </w:rPr>
            </w:pPr>
          </w:p>
        </w:tc>
      </w:tr>
      <w:tr>
        <w:trPr>
          <w:trHeight w:val="965" w:hRule="atLeast"/>
        </w:trPr>
        <w:tc>
          <w:tcPr>
            <w:tcW w:w="1166" w:type="dxa"/>
          </w:tcPr>
          <w:p>
            <w:pPr>
              <w:pStyle w:val="TableParagraph"/>
              <w:ind w:left="0"/>
              <w:rPr>
                <w:rFonts w:ascii="Times New Roman"/>
                <w:sz w:val="20"/>
              </w:rPr>
            </w:pPr>
          </w:p>
        </w:tc>
        <w:tc>
          <w:tcPr>
            <w:tcW w:w="1619" w:type="dxa"/>
            <w:vMerge/>
            <w:tcBorders>
              <w:top w:val="nil"/>
            </w:tcBorders>
          </w:tcPr>
          <w:p>
            <w:pPr>
              <w:rPr>
                <w:sz w:val="2"/>
                <w:szCs w:val="2"/>
              </w:rPr>
            </w:pPr>
          </w:p>
        </w:tc>
        <w:tc>
          <w:tcPr>
            <w:tcW w:w="7627" w:type="dxa"/>
          </w:tcPr>
          <w:p>
            <w:pPr>
              <w:pStyle w:val="TableParagraph"/>
              <w:spacing w:before="64"/>
              <w:rPr>
                <w:sz w:val="21"/>
              </w:rPr>
            </w:pPr>
            <w:r>
              <w:rPr>
                <w:sz w:val="21"/>
              </w:rPr>
              <w:t>被保险人年满 18 周岁前，我们提供特别保障的 5 种重大疾病定义如下：</w:t>
            </w:r>
          </w:p>
        </w:tc>
      </w:tr>
      <w:tr>
        <w:trPr>
          <w:trHeight w:val="706" w:hRule="atLeast"/>
        </w:trPr>
        <w:tc>
          <w:tcPr>
            <w:tcW w:w="1166" w:type="dxa"/>
          </w:tcPr>
          <w:p>
            <w:pPr>
              <w:pStyle w:val="TableParagraph"/>
              <w:spacing w:before="92"/>
              <w:ind w:left="200"/>
              <w:rPr>
                <w:i/>
                <w:sz w:val="22"/>
              </w:rPr>
            </w:pPr>
            <w:r>
              <w:rPr>
                <w:i/>
                <w:sz w:val="22"/>
              </w:rPr>
              <w:t>3.4.3.1</w:t>
            </w:r>
          </w:p>
        </w:tc>
        <w:tc>
          <w:tcPr>
            <w:tcW w:w="1619" w:type="dxa"/>
          </w:tcPr>
          <w:p>
            <w:pPr>
              <w:pStyle w:val="TableParagraph"/>
              <w:spacing w:line="310" w:lineRule="atLeast" w:before="69"/>
              <w:ind w:left="229" w:right="79"/>
              <w:rPr>
                <w:i/>
                <w:sz w:val="22"/>
              </w:rPr>
            </w:pPr>
            <w:r>
              <w:rPr>
                <w:i/>
                <w:w w:val="95"/>
                <w:sz w:val="22"/>
              </w:rPr>
              <w:t>胰岛素依赖型糖尿病</w:t>
            </w:r>
          </w:p>
        </w:tc>
        <w:tc>
          <w:tcPr>
            <w:tcW w:w="7627" w:type="dxa"/>
          </w:tcPr>
          <w:p>
            <w:pPr>
              <w:pStyle w:val="TableParagraph"/>
              <w:spacing w:line="310" w:lineRule="atLeast" w:before="83"/>
              <w:ind w:right="129"/>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w:t>
            </w:r>
            <w:r>
              <w:rPr>
                <w:rFonts w:ascii="Times New Roman" w:hAnsi="Times New Roman" w:eastAsia="Times New Roman"/>
                <w:sz w:val="21"/>
              </w:rPr>
              <w:t>180 </w:t>
            </w:r>
            <w:r>
              <w:rPr>
                <w:sz w:val="21"/>
              </w:rPr>
              <w:t>天以上。该病必</w:t>
            </w:r>
          </w:p>
        </w:tc>
      </w:tr>
    </w:tbl>
    <w:p>
      <w:pPr>
        <w:spacing w:after="0" w:line="310" w:lineRule="atLeast"/>
        <w:rPr>
          <w:sz w:val="21"/>
        </w:rPr>
        <w:sectPr>
          <w:pgSz w:w="11910" w:h="16840"/>
          <w:pgMar w:header="568" w:footer="0" w:top="800" w:bottom="280" w:left="68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619"/>
        <w:gridCol w:w="7533"/>
      </w:tblGrid>
      <w:tr>
        <w:trPr>
          <w:trHeight w:val="682" w:hRule="atLeast"/>
        </w:trPr>
        <w:tc>
          <w:tcPr>
            <w:tcW w:w="1074"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533" w:type="dxa"/>
          </w:tcPr>
          <w:p>
            <w:pPr>
              <w:pStyle w:val="TableParagraph"/>
              <w:spacing w:line="211" w:lineRule="exact"/>
              <w:rPr>
                <w:sz w:val="21"/>
              </w:rPr>
            </w:pPr>
            <w:r>
              <w:rPr>
                <w:sz w:val="21"/>
              </w:rPr>
              <w:t>须由医院的内分泌科专科医生确诊，可以用其他方法（非胰岛素注射）治疗的糖</w:t>
            </w:r>
          </w:p>
          <w:p>
            <w:pPr>
              <w:pStyle w:val="TableParagraph"/>
              <w:spacing w:before="37"/>
              <w:rPr>
                <w:sz w:val="21"/>
              </w:rPr>
            </w:pPr>
            <w:r>
              <w:rPr>
                <w:sz w:val="21"/>
              </w:rPr>
              <w:t>尿病不在本附加合同保障范围内。</w:t>
            </w:r>
          </w:p>
        </w:tc>
      </w:tr>
      <w:tr>
        <w:trPr>
          <w:trHeight w:val="2108" w:hRule="atLeast"/>
        </w:trPr>
        <w:tc>
          <w:tcPr>
            <w:tcW w:w="1074" w:type="dxa"/>
          </w:tcPr>
          <w:p>
            <w:pPr>
              <w:pStyle w:val="TableParagraph"/>
              <w:spacing w:before="94"/>
              <w:ind w:left="107"/>
              <w:rPr>
                <w:i/>
                <w:sz w:val="22"/>
              </w:rPr>
            </w:pPr>
            <w:r>
              <w:rPr>
                <w:i/>
                <w:sz w:val="22"/>
              </w:rPr>
              <w:t>3.4.3.2</w:t>
            </w:r>
          </w:p>
        </w:tc>
        <w:tc>
          <w:tcPr>
            <w:tcW w:w="1619" w:type="dxa"/>
          </w:tcPr>
          <w:p>
            <w:pPr>
              <w:pStyle w:val="TableParagraph"/>
              <w:spacing w:before="94"/>
              <w:ind w:left="229"/>
              <w:rPr>
                <w:i/>
                <w:sz w:val="22"/>
              </w:rPr>
            </w:pPr>
            <w:r>
              <w:rPr>
                <w:i/>
                <w:w w:val="95"/>
                <w:sz w:val="22"/>
              </w:rPr>
              <w:t>脊髓灰质炎</w:t>
            </w:r>
          </w:p>
        </w:tc>
        <w:tc>
          <w:tcPr>
            <w:tcW w:w="7533" w:type="dxa"/>
          </w:tcPr>
          <w:p>
            <w:pPr>
              <w:pStyle w:val="TableParagraph"/>
              <w:spacing w:line="273" w:lineRule="auto" w:before="105"/>
              <w:ind w:right="103"/>
              <w:jc w:val="both"/>
              <w:rPr>
                <w:sz w:val="21"/>
              </w:rPr>
            </w:pPr>
            <w:r>
              <w:rPr>
                <w:spacing w:val="-4"/>
                <w:sz w:val="21"/>
              </w:rPr>
              <w:t>脊髓灰质炎是由脊髓灰质炎病毒感染所致的瘫痪性疾病，临床表现为运动功能损害或呼吸无力。该病必须由医院的专科医生确诊并提供相关的脊髓灰质炎病毒感染的证据（例如：粪便检查、脑脊液检查或血清学抗体检查报告</w:t>
            </w:r>
            <w:r>
              <w:rPr>
                <w:spacing w:val="-104"/>
                <w:sz w:val="21"/>
              </w:rPr>
              <w:t>）</w:t>
            </w:r>
            <w:r>
              <w:rPr>
                <w:sz w:val="21"/>
              </w:rPr>
              <w:t>。本附加合同</w:t>
            </w:r>
            <w:r>
              <w:rPr>
                <w:spacing w:val="2"/>
                <w:sz w:val="21"/>
              </w:rPr>
              <w:t>仅对脊髓灰质炎造成的神经系统功能损害已导致被保险人永久性的肢体瘫痪的</w:t>
            </w:r>
            <w:r>
              <w:rPr>
                <w:spacing w:val="-5"/>
                <w:sz w:val="21"/>
              </w:rPr>
              <w:t>情况予以理赔。其他原因导致的瘫痪则不在本附加合同保障范围内。所谓永久性</w:t>
            </w:r>
            <w:r>
              <w:rPr>
                <w:spacing w:val="-3"/>
                <w:sz w:val="21"/>
              </w:rPr>
              <w:t>的肢体瘫痪是指诊断为脊髓灰质炎后肢体瘫痪需持续</w:t>
            </w:r>
            <w:r>
              <w:rPr>
                <w:rFonts w:ascii="Times New Roman" w:eastAsia="Times New Roman"/>
                <w:sz w:val="21"/>
              </w:rPr>
              <w:t>180</w:t>
            </w:r>
            <w:r>
              <w:rPr>
                <w:spacing w:val="-2"/>
                <w:sz w:val="21"/>
              </w:rPr>
              <w:t>天以上。</w:t>
            </w:r>
          </w:p>
        </w:tc>
      </w:tr>
      <w:tr>
        <w:trPr>
          <w:trHeight w:val="1787" w:hRule="atLeast"/>
        </w:trPr>
        <w:tc>
          <w:tcPr>
            <w:tcW w:w="1074" w:type="dxa"/>
          </w:tcPr>
          <w:p>
            <w:pPr>
              <w:pStyle w:val="TableParagraph"/>
              <w:spacing w:before="86"/>
              <w:ind w:left="107"/>
              <w:rPr>
                <w:i/>
                <w:sz w:val="22"/>
              </w:rPr>
            </w:pPr>
            <w:r>
              <w:rPr>
                <w:i/>
                <w:sz w:val="22"/>
              </w:rPr>
              <w:t>3.4.3.3</w:t>
            </w:r>
          </w:p>
        </w:tc>
        <w:tc>
          <w:tcPr>
            <w:tcW w:w="1619" w:type="dxa"/>
          </w:tcPr>
          <w:p>
            <w:pPr>
              <w:pStyle w:val="TableParagraph"/>
              <w:spacing w:before="86"/>
              <w:ind w:left="229"/>
              <w:rPr>
                <w:i/>
                <w:sz w:val="22"/>
              </w:rPr>
            </w:pPr>
            <w:r>
              <w:rPr>
                <w:i/>
                <w:w w:val="95"/>
                <w:sz w:val="22"/>
              </w:rPr>
              <w:t>严重川崎病</w:t>
            </w:r>
          </w:p>
        </w:tc>
        <w:tc>
          <w:tcPr>
            <w:tcW w:w="7533" w:type="dxa"/>
          </w:tcPr>
          <w:p>
            <w:pPr>
              <w:pStyle w:val="TableParagraph"/>
              <w:spacing w:line="266" w:lineRule="auto" w:before="97"/>
              <w:ind w:right="88"/>
              <w:jc w:val="both"/>
              <w:rPr>
                <w:sz w:val="21"/>
              </w:rPr>
            </w:pPr>
            <w:r>
              <w:rPr>
                <w:spacing w:val="-4"/>
                <w:sz w:val="21"/>
              </w:rPr>
              <w:t>严重川崎病是一种以皮肤粘膜出疹、淋巴结肿大和多发性动脉炎为特点的急性发</w:t>
            </w:r>
            <w:r>
              <w:rPr>
                <w:spacing w:val="15"/>
                <w:sz w:val="21"/>
              </w:rPr>
              <w:t>热性疾病。本附加合同仅对因川崎病合并的冠状动脉炎导致的冠状动脉瘤</w:t>
            </w:r>
            <w:r>
              <w:rPr>
                <w:rFonts w:ascii="Times New Roman" w:eastAsia="Times New Roman"/>
                <w:sz w:val="21"/>
              </w:rPr>
              <w:t>(Nakano </w:t>
            </w:r>
            <w:r>
              <w:rPr>
                <w:rFonts w:ascii="Times New Roman" w:eastAsia="Times New Roman"/>
                <w:spacing w:val="-4"/>
                <w:sz w:val="21"/>
              </w:rPr>
              <w:t>II</w:t>
            </w:r>
            <w:r>
              <w:rPr>
                <w:sz w:val="21"/>
              </w:rPr>
              <w:t>级</w:t>
            </w:r>
            <w:r>
              <w:rPr>
                <w:rFonts w:ascii="Times New Roman" w:eastAsia="Times New Roman"/>
                <w:sz w:val="21"/>
              </w:rPr>
              <w:t>)</w:t>
            </w:r>
            <w:r>
              <w:rPr>
                <w:spacing w:val="-6"/>
                <w:sz w:val="21"/>
              </w:rPr>
              <w:t>予以理赔。理赔时冠状动脉瘤必须存在</w:t>
            </w:r>
            <w:r>
              <w:rPr>
                <w:rFonts w:ascii="Times New Roman" w:eastAsia="Times New Roman"/>
                <w:sz w:val="21"/>
              </w:rPr>
              <w:t>180</w:t>
            </w:r>
            <w:r>
              <w:rPr>
                <w:spacing w:val="-7"/>
                <w:sz w:val="21"/>
              </w:rPr>
              <w:t>天以上，且必须提供冠状</w:t>
            </w:r>
            <w:r>
              <w:rPr>
                <w:spacing w:val="-3"/>
                <w:sz w:val="21"/>
              </w:rPr>
              <w:t>动脉瘤的超声心动图或血管造影的检查结果诊断报告。</w:t>
            </w:r>
          </w:p>
          <w:p>
            <w:pPr>
              <w:pStyle w:val="TableParagraph"/>
              <w:spacing w:before="13"/>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3" w:hRule="atLeast"/>
        </w:trPr>
        <w:tc>
          <w:tcPr>
            <w:tcW w:w="1074" w:type="dxa"/>
          </w:tcPr>
          <w:p>
            <w:pPr>
              <w:pStyle w:val="TableParagraph"/>
              <w:spacing w:before="85"/>
              <w:ind w:left="107"/>
              <w:rPr>
                <w:i/>
                <w:sz w:val="22"/>
              </w:rPr>
            </w:pPr>
            <w:r>
              <w:rPr>
                <w:i/>
                <w:sz w:val="22"/>
              </w:rPr>
              <w:t>3.4.3.4</w:t>
            </w:r>
          </w:p>
        </w:tc>
        <w:tc>
          <w:tcPr>
            <w:tcW w:w="1619" w:type="dxa"/>
          </w:tcPr>
          <w:p>
            <w:pPr>
              <w:pStyle w:val="TableParagraph"/>
              <w:spacing w:line="259" w:lineRule="auto" w:before="85"/>
              <w:ind w:left="229" w:right="79"/>
              <w:jc w:val="both"/>
              <w:rPr>
                <w:i/>
                <w:sz w:val="22"/>
              </w:rPr>
            </w:pPr>
            <w:r>
              <w:rPr>
                <w:i/>
                <w:w w:val="95"/>
                <w:sz w:val="22"/>
              </w:rPr>
              <w:t>严重幼年型类风湿关节</w:t>
            </w:r>
            <w:r>
              <w:rPr>
                <w:i/>
                <w:sz w:val="22"/>
              </w:rPr>
              <w:t>炎</w:t>
            </w:r>
          </w:p>
        </w:tc>
        <w:tc>
          <w:tcPr>
            <w:tcW w:w="7533" w:type="dxa"/>
          </w:tcPr>
          <w:p>
            <w:pPr>
              <w:pStyle w:val="TableParagraph"/>
              <w:spacing w:line="256" w:lineRule="auto" w:before="96"/>
              <w:ind w:right="104"/>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477" w:hRule="atLeast"/>
        </w:trPr>
        <w:tc>
          <w:tcPr>
            <w:tcW w:w="1074" w:type="dxa"/>
          </w:tcPr>
          <w:p>
            <w:pPr>
              <w:pStyle w:val="TableParagraph"/>
              <w:spacing w:before="86"/>
              <w:ind w:left="107"/>
              <w:rPr>
                <w:i/>
                <w:sz w:val="22"/>
              </w:rPr>
            </w:pPr>
            <w:r>
              <w:rPr>
                <w:i/>
                <w:sz w:val="22"/>
              </w:rPr>
              <w:t>3.4.3.5</w:t>
            </w:r>
          </w:p>
        </w:tc>
        <w:tc>
          <w:tcPr>
            <w:tcW w:w="1619" w:type="dxa"/>
          </w:tcPr>
          <w:p>
            <w:pPr>
              <w:pStyle w:val="TableParagraph"/>
              <w:spacing w:line="259" w:lineRule="auto" w:before="86"/>
              <w:ind w:left="229" w:right="79"/>
              <w:rPr>
                <w:i/>
                <w:sz w:val="22"/>
              </w:rPr>
            </w:pPr>
            <w:r>
              <w:rPr>
                <w:i/>
                <w:w w:val="95"/>
                <w:sz w:val="22"/>
              </w:rPr>
              <w:t>严重的原发性心肌病</w:t>
            </w:r>
          </w:p>
        </w:tc>
        <w:tc>
          <w:tcPr>
            <w:tcW w:w="7533" w:type="dxa"/>
          </w:tcPr>
          <w:p>
            <w:pPr>
              <w:pStyle w:val="TableParagraph"/>
              <w:spacing w:line="261" w:lineRule="auto" w:before="97"/>
              <w:ind w:right="95"/>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right="105"/>
              <w:jc w:val="both"/>
              <w:rPr>
                <w:sz w:val="21"/>
              </w:rPr>
            </w:pPr>
            <w:r>
              <w:rPr>
                <w:rFonts w:ascii="Times New Roman" w:eastAsia="Times New Roman"/>
                <w:spacing w:val="-5"/>
                <w:sz w:val="21"/>
              </w:rPr>
              <w:t>*</w:t>
            </w:r>
            <w:r>
              <w:rPr>
                <w:spacing w:val="-7"/>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685" w:hRule="atLeast"/>
        </w:trPr>
        <w:tc>
          <w:tcPr>
            <w:tcW w:w="1074" w:type="dxa"/>
            <w:tcBorders>
              <w:bottom w:val="double" w:sz="1" w:space="0" w:color="000000"/>
            </w:tcBorders>
          </w:tcPr>
          <w:p>
            <w:pPr>
              <w:pStyle w:val="TableParagraph"/>
              <w:spacing w:before="147"/>
              <w:ind w:left="107"/>
              <w:rPr>
                <w:b/>
                <w:sz w:val="28"/>
              </w:rPr>
            </w:pPr>
            <w:r>
              <w:rPr>
                <w:b/>
                <w:w w:val="99"/>
                <w:sz w:val="28"/>
              </w:rPr>
              <w:t>4</w:t>
            </w:r>
          </w:p>
        </w:tc>
        <w:tc>
          <w:tcPr>
            <w:tcW w:w="9152" w:type="dxa"/>
            <w:gridSpan w:val="2"/>
            <w:tcBorders>
              <w:bottom w:val="double" w:sz="1" w:space="0" w:color="000000"/>
            </w:tcBorders>
          </w:tcPr>
          <w:p>
            <w:pPr>
              <w:pStyle w:val="TableParagraph"/>
              <w:spacing w:before="147"/>
              <w:ind w:left="229"/>
              <w:rPr>
                <w:b/>
                <w:sz w:val="28"/>
              </w:rPr>
            </w:pPr>
            <w:r>
              <w:rPr>
                <w:b/>
                <w:sz w:val="28"/>
              </w:rPr>
              <w:t>保险金的申请</w:t>
            </w:r>
          </w:p>
        </w:tc>
      </w:tr>
      <w:tr>
        <w:trPr>
          <w:trHeight w:val="5355" w:hRule="atLeast"/>
        </w:trPr>
        <w:tc>
          <w:tcPr>
            <w:tcW w:w="1074" w:type="dxa"/>
            <w:tcBorders>
              <w:top w:val="double" w:sz="1" w:space="0" w:color="000000"/>
            </w:tcBorders>
          </w:tcPr>
          <w:p>
            <w:pPr>
              <w:pStyle w:val="TableParagraph"/>
              <w:spacing w:before="87"/>
              <w:ind w:left="107"/>
              <w:rPr>
                <w:b/>
                <w:sz w:val="21"/>
              </w:rPr>
            </w:pPr>
            <w:r>
              <w:rPr>
                <w:b/>
                <w:sz w:val="21"/>
              </w:rPr>
              <w:t>4.1</w:t>
            </w:r>
          </w:p>
        </w:tc>
        <w:tc>
          <w:tcPr>
            <w:tcW w:w="1619" w:type="dxa"/>
            <w:tcBorders>
              <w:top w:val="double" w:sz="1" w:space="0" w:color="000000"/>
            </w:tcBorders>
          </w:tcPr>
          <w:p>
            <w:pPr>
              <w:pStyle w:val="TableParagraph"/>
              <w:spacing w:before="87"/>
              <w:ind w:left="229"/>
              <w:rPr>
                <w:b/>
                <w:sz w:val="21"/>
              </w:rPr>
            </w:pPr>
            <w:r>
              <w:rPr>
                <w:b/>
                <w:sz w:val="21"/>
              </w:rPr>
              <w:t>受益人</w:t>
            </w:r>
          </w:p>
        </w:tc>
        <w:tc>
          <w:tcPr>
            <w:tcW w:w="7533" w:type="dxa"/>
            <w:tcBorders>
              <w:top w:val="double" w:sz="1" w:space="0" w:color="000000"/>
            </w:tcBorders>
          </w:tcPr>
          <w:p>
            <w:pPr>
              <w:pStyle w:val="TableParagraph"/>
              <w:spacing w:before="87"/>
              <w:rPr>
                <w:sz w:val="21"/>
              </w:rPr>
            </w:pPr>
            <w:r>
              <w:rPr>
                <w:sz w:val="21"/>
              </w:rPr>
              <w:t>您或者被保险人可以指定一人或多人为身故保险金受益人。</w:t>
            </w:r>
          </w:p>
          <w:p>
            <w:pPr>
              <w:pStyle w:val="TableParagraph"/>
              <w:spacing w:line="273" w:lineRule="auto" w:before="36"/>
              <w:ind w:right="-15"/>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7"/>
              <w:ind w:right="67"/>
              <w:rPr>
                <w:sz w:val="21"/>
              </w:rPr>
            </w:pPr>
            <w:r>
              <w:rPr>
                <w:sz w:val="21"/>
              </w:rPr>
              <w:t>被保险人为无民事行为能力人或限制民事行为能力人的，可以由其监护人指定受益人。</w:t>
            </w:r>
          </w:p>
          <w:p>
            <w:pPr>
              <w:pStyle w:val="TableParagraph"/>
              <w:spacing w:line="273" w:lineRule="auto" w:before="7"/>
              <w:ind w:right="66"/>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7"/>
              <w:rPr>
                <w:sz w:val="21"/>
              </w:rPr>
            </w:pPr>
            <w:r>
              <w:rPr>
                <w:sz w:val="21"/>
              </w:rPr>
              <w:t>您在指定和变更身故保险金受益人时，必须经过被保险人同意。</w:t>
            </w:r>
          </w:p>
          <w:p>
            <w:pPr>
              <w:pStyle w:val="TableParagraph"/>
              <w:spacing w:before="37"/>
              <w:rPr>
                <w:sz w:val="21"/>
              </w:rPr>
            </w:pPr>
            <w:r>
              <w:rPr>
                <w:sz w:val="21"/>
              </w:rPr>
              <w:t>被保险人身故后，有下列情形之一的，保险金作为被保险人的遗产，由我们依照</w:t>
            </w:r>
          </w:p>
          <w:p>
            <w:pPr>
              <w:pStyle w:val="TableParagraph"/>
              <w:spacing w:before="38"/>
              <w:rPr>
                <w:sz w:val="21"/>
              </w:rPr>
            </w:pPr>
            <w:r>
              <w:rPr>
                <w:sz w:val="21"/>
              </w:rPr>
              <w:t>《中华人民共和国继承法》的规定履行给付保险金的义务：</w:t>
            </w:r>
          </w:p>
          <w:p>
            <w:pPr>
              <w:pStyle w:val="TableParagraph"/>
              <w:spacing w:before="37"/>
              <w:rPr>
                <w:sz w:val="21"/>
              </w:rPr>
            </w:pPr>
            <w:r>
              <w:rPr>
                <w:sz w:val="21"/>
              </w:rPr>
              <w:t>（1）没有指定受益人，或者受益人指定不明无法确定的；</w:t>
            </w:r>
          </w:p>
          <w:p>
            <w:pPr>
              <w:pStyle w:val="TableParagraph"/>
              <w:spacing w:before="37"/>
              <w:rPr>
                <w:sz w:val="21"/>
              </w:rPr>
            </w:pPr>
            <w:r>
              <w:rPr>
                <w:sz w:val="21"/>
              </w:rPr>
              <w:t>（2）受益人先于被保险人身故，没有其他受益人的；</w:t>
            </w:r>
          </w:p>
          <w:p>
            <w:pPr>
              <w:pStyle w:val="TableParagraph"/>
              <w:spacing w:before="37"/>
              <w:rPr>
                <w:sz w:val="21"/>
              </w:rPr>
            </w:pPr>
            <w:r>
              <w:rPr>
                <w:sz w:val="21"/>
              </w:rPr>
              <w:t>（3）受益人依法丧失受益权或者放弃受益权，没有其他受益人的。</w:t>
            </w:r>
          </w:p>
          <w:p>
            <w:pPr>
              <w:pStyle w:val="TableParagraph"/>
              <w:spacing w:line="273" w:lineRule="auto" w:before="37"/>
              <w:ind w:right="85"/>
              <w:rPr>
                <w:sz w:val="21"/>
              </w:rPr>
            </w:pPr>
            <w:r>
              <w:rPr>
                <w:sz w:val="21"/>
              </w:rPr>
              <w:t>受益人与被保险人在同一事件中身故，且不能确定身故先后顺序的，推定受益人身故在先。</w:t>
            </w:r>
          </w:p>
          <w:p>
            <w:pPr>
              <w:pStyle w:val="TableParagraph"/>
              <w:spacing w:line="312" w:lineRule="exact" w:before="3"/>
              <w:ind w:right="66"/>
              <w:rPr>
                <w:sz w:val="21"/>
              </w:rPr>
            </w:pPr>
            <w:r>
              <w:rPr>
                <w:sz w:val="21"/>
              </w:rPr>
              <w:t>除另有约定外，全残保险金、轻症重疾保险金、重大疾病保险金和再次恶性肿瘤保险金的受益人均为被保险人本人。</w:t>
            </w:r>
          </w:p>
        </w:tc>
      </w:tr>
    </w:tbl>
    <w:p>
      <w:pPr>
        <w:spacing w:after="0" w:line="312" w:lineRule="exact"/>
        <w:rPr>
          <w:sz w:val="21"/>
        </w:rPr>
        <w:sectPr>
          <w:pgSz w:w="11910" w:h="16840"/>
          <w:pgMar w:header="568" w:footer="0" w:top="800" w:bottom="280" w:left="76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3"/>
      </w:tblGrid>
      <w:tr>
        <w:trPr>
          <w:trHeight w:val="687" w:hRule="atLeast"/>
        </w:trPr>
        <w:tc>
          <w:tcPr>
            <w:tcW w:w="106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733" w:type="dxa"/>
          </w:tcPr>
          <w:p>
            <w:pPr>
              <w:pStyle w:val="TableParagraph"/>
              <w:spacing w:line="211" w:lineRule="exact"/>
              <w:rPr>
                <w:sz w:val="21"/>
              </w:rPr>
            </w:pPr>
            <w:r>
              <w:rPr>
                <w:sz w:val="21"/>
              </w:rPr>
              <w:t>受益人故意造成被保险人身故、伤残、疾病的，或者故意杀害被保险人未遂的，</w:t>
            </w:r>
          </w:p>
          <w:p>
            <w:pPr>
              <w:pStyle w:val="TableParagraph"/>
              <w:spacing w:before="37"/>
              <w:rPr>
                <w:sz w:val="21"/>
              </w:rPr>
            </w:pPr>
            <w:r>
              <w:rPr>
                <w:sz w:val="21"/>
              </w:rPr>
              <w:t>该受益人丧失受益权。</w:t>
            </w:r>
          </w:p>
        </w:tc>
      </w:tr>
      <w:tr>
        <w:trPr>
          <w:trHeight w:val="535" w:hRule="atLeast"/>
        </w:trPr>
        <w:tc>
          <w:tcPr>
            <w:tcW w:w="1062" w:type="dxa"/>
          </w:tcPr>
          <w:p>
            <w:pPr>
              <w:pStyle w:val="TableParagraph"/>
              <w:spacing w:before="101"/>
              <w:ind w:left="200"/>
              <w:rPr>
                <w:b/>
                <w:sz w:val="21"/>
              </w:rPr>
            </w:pPr>
            <w:r>
              <w:rPr>
                <w:b/>
                <w:sz w:val="21"/>
              </w:rPr>
              <w:t>4.2</w:t>
            </w:r>
          </w:p>
        </w:tc>
        <w:tc>
          <w:tcPr>
            <w:tcW w:w="1723" w:type="dxa"/>
          </w:tcPr>
          <w:p>
            <w:pPr>
              <w:pStyle w:val="TableParagraph"/>
              <w:spacing w:before="101"/>
              <w:ind w:left="333"/>
              <w:rPr>
                <w:b/>
                <w:sz w:val="21"/>
              </w:rPr>
            </w:pPr>
            <w:r>
              <w:rPr>
                <w:b/>
                <w:sz w:val="21"/>
              </w:rPr>
              <w:t>保险金申请</w:t>
            </w:r>
          </w:p>
        </w:tc>
        <w:tc>
          <w:tcPr>
            <w:tcW w:w="7733" w:type="dxa"/>
          </w:tcPr>
          <w:p>
            <w:pPr>
              <w:pStyle w:val="TableParagraph"/>
              <w:spacing w:before="101"/>
              <w:rPr>
                <w:sz w:val="21"/>
              </w:rPr>
            </w:pPr>
            <w:r>
              <w:rPr>
                <w:sz w:val="21"/>
              </w:rPr>
              <w:t>在申请保险金时，请按照下列方式办理：</w:t>
            </w:r>
          </w:p>
        </w:tc>
      </w:tr>
      <w:tr>
        <w:trPr>
          <w:trHeight w:val="2106" w:hRule="atLeast"/>
        </w:trPr>
        <w:tc>
          <w:tcPr>
            <w:tcW w:w="1062" w:type="dxa"/>
          </w:tcPr>
          <w:p>
            <w:pPr>
              <w:pStyle w:val="TableParagraph"/>
              <w:spacing w:before="94"/>
              <w:ind w:left="200"/>
              <w:rPr>
                <w:i/>
                <w:sz w:val="22"/>
              </w:rPr>
            </w:pPr>
            <w:r>
              <w:rPr>
                <w:i/>
                <w:sz w:val="22"/>
              </w:rPr>
              <w:t>4.2.1</w:t>
            </w:r>
          </w:p>
        </w:tc>
        <w:tc>
          <w:tcPr>
            <w:tcW w:w="1723" w:type="dxa"/>
          </w:tcPr>
          <w:p>
            <w:pPr>
              <w:pStyle w:val="TableParagraph"/>
              <w:spacing w:line="266" w:lineRule="auto" w:before="118"/>
              <w:ind w:left="333" w:right="79"/>
              <w:jc w:val="both"/>
              <w:rPr>
                <w:i/>
                <w:sz w:val="22"/>
              </w:rPr>
            </w:pPr>
            <w:r>
              <w:rPr>
                <w:i/>
                <w:w w:val="95"/>
                <w:sz w:val="22"/>
              </w:rPr>
              <w:t>重大疾病，再次恶性肿瘤</w:t>
            </w:r>
            <w:r>
              <w:rPr>
                <w:i/>
                <w:sz w:val="22"/>
              </w:rPr>
              <w:t>或 轻症重疾</w:t>
            </w:r>
            <w:r>
              <w:rPr>
                <w:i/>
                <w:w w:val="95"/>
                <w:sz w:val="22"/>
              </w:rPr>
              <w:t>保险金申请</w:t>
            </w:r>
          </w:p>
        </w:tc>
        <w:tc>
          <w:tcPr>
            <w:tcW w:w="7733" w:type="dxa"/>
          </w:tcPr>
          <w:p>
            <w:pPr>
              <w:pStyle w:val="TableParagraph"/>
              <w:spacing w:before="105"/>
              <w:rPr>
                <w:sz w:val="21"/>
              </w:rPr>
            </w:pPr>
            <w:r>
              <w:rPr>
                <w:sz w:val="21"/>
              </w:rPr>
              <w:t>申请人须填写保险金给付申请书，并须提供下列证明和资料：</w:t>
            </w:r>
          </w:p>
          <w:p>
            <w:pPr>
              <w:pStyle w:val="TableParagraph"/>
              <w:spacing w:before="36"/>
              <w:rPr>
                <w:sz w:val="21"/>
              </w:rPr>
            </w:pPr>
            <w:r>
              <w:rPr>
                <w:sz w:val="21"/>
              </w:rPr>
              <w:t>（</w:t>
            </w:r>
            <w:r>
              <w:rPr>
                <w:rFonts w:ascii="Times New Roman" w:eastAsia="Times New Roman"/>
                <w:sz w:val="21"/>
              </w:rPr>
              <w:t>1</w:t>
            </w:r>
            <w:r>
              <w:rPr>
                <w:sz w:val="21"/>
              </w:rPr>
              <w:t>）保险合同；</w:t>
            </w:r>
          </w:p>
          <w:p>
            <w:pPr>
              <w:pStyle w:val="TableParagraph"/>
              <w:spacing w:before="20"/>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608" w:right="399" w:hanging="526"/>
              <w:rPr>
                <w:sz w:val="21"/>
              </w:rPr>
            </w:pPr>
            <w:r>
              <w:rPr>
                <w:sz w:val="21"/>
              </w:rPr>
              <w:t>（</w:t>
            </w:r>
            <w:r>
              <w:rPr>
                <w:rFonts w:ascii="Times New Roman" w:eastAsia="Times New Roman"/>
                <w:sz w:val="21"/>
              </w:rPr>
              <w:t>3</w:t>
            </w:r>
            <w:r>
              <w:rPr>
                <w:sz w:val="21"/>
              </w:rPr>
              <w:t>）我们认可的医院出具的附有病理显微镜检查、血液检验及其他科学方法检验报告的疾病诊断证明书；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52" w:hRule="atLeast"/>
        </w:trPr>
        <w:tc>
          <w:tcPr>
            <w:tcW w:w="1062" w:type="dxa"/>
          </w:tcPr>
          <w:p>
            <w:pPr>
              <w:pStyle w:val="TableParagraph"/>
              <w:spacing w:before="84"/>
              <w:ind w:left="200"/>
              <w:rPr>
                <w:i/>
                <w:sz w:val="22"/>
              </w:rPr>
            </w:pPr>
            <w:r>
              <w:rPr>
                <w:i/>
                <w:sz w:val="22"/>
              </w:rPr>
              <w:t>4.2.2</w:t>
            </w:r>
          </w:p>
        </w:tc>
        <w:tc>
          <w:tcPr>
            <w:tcW w:w="1723" w:type="dxa"/>
          </w:tcPr>
          <w:p>
            <w:pPr>
              <w:pStyle w:val="TableParagraph"/>
              <w:spacing w:line="268" w:lineRule="auto" w:before="108"/>
              <w:ind w:left="333" w:right="79"/>
              <w:rPr>
                <w:i/>
                <w:sz w:val="22"/>
              </w:rPr>
            </w:pPr>
            <w:r>
              <w:rPr>
                <w:i/>
                <w:w w:val="95"/>
                <w:sz w:val="22"/>
              </w:rPr>
              <w:t>身故保险金申请</w:t>
            </w:r>
          </w:p>
        </w:tc>
        <w:tc>
          <w:tcPr>
            <w:tcW w:w="7733" w:type="dxa"/>
          </w:tcPr>
          <w:p>
            <w:pPr>
              <w:pStyle w:val="TableParagraph"/>
              <w:spacing w:before="96"/>
              <w:rPr>
                <w:sz w:val="21"/>
              </w:rPr>
            </w:pPr>
            <w:r>
              <w:rPr>
                <w:sz w:val="21"/>
              </w:rPr>
              <w:t>申请人须填写保险金给付申请书，并须提供下列证明和资料：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（2）受益人或其他有权领取保险金的人法定有效身份证明；</w:t>
            </w:r>
          </w:p>
          <w:p>
            <w:pPr>
              <w:pStyle w:val="TableParagraph"/>
              <w:spacing w:line="273" w:lineRule="auto" w:before="37"/>
              <w:ind w:left="586" w:right="308" w:hanging="504"/>
              <w:rPr>
                <w:sz w:val="21"/>
              </w:rPr>
            </w:pPr>
            <w:r>
              <w:rPr>
                <w:sz w:val="21"/>
              </w:rPr>
              <w:t>（3）国务院卫生行政部门规定的医疗机构、公安部门或其他有权机构出具的被保险人死亡证明书或验尸证明；</w:t>
            </w:r>
          </w:p>
          <w:p>
            <w:pPr>
              <w:pStyle w:val="TableParagraph"/>
              <w:spacing w:before="7"/>
              <w:rPr>
                <w:sz w:val="21"/>
              </w:rPr>
            </w:pPr>
            <w:r>
              <w:rPr>
                <w:sz w:val="21"/>
              </w:rPr>
              <w:t>（4）如被保险人为宣告死亡，须提供法院出具的宣告死亡判决书；</w:t>
            </w:r>
          </w:p>
          <w:p>
            <w:pPr>
              <w:pStyle w:val="TableParagraph"/>
              <w:spacing w:before="37"/>
              <w:rPr>
                <w:sz w:val="21"/>
              </w:rPr>
            </w:pPr>
            <w:r>
              <w:rPr>
                <w:sz w:val="21"/>
              </w:rPr>
              <w:t>（5）被保险人户籍注销证明；</w:t>
            </w:r>
          </w:p>
          <w:p>
            <w:pPr>
              <w:pStyle w:val="TableParagraph"/>
              <w:spacing w:line="273" w:lineRule="auto" w:before="37"/>
              <w:ind w:right="711"/>
              <w:rPr>
                <w:sz w:val="21"/>
              </w:rPr>
            </w:pPr>
            <w:r>
              <w:rPr>
                <w:sz w:val="21"/>
              </w:rPr>
              <w:t>（6）所能提供的与确认保险事故的性质、原因等有关的其他证明和资料。保险金作为被保险人遗产时，必须提供可证明合法继承权的相关权利文件。</w:t>
            </w:r>
          </w:p>
        </w:tc>
      </w:tr>
      <w:tr>
        <w:trPr>
          <w:trHeight w:val="2477" w:hRule="atLeast"/>
        </w:trPr>
        <w:tc>
          <w:tcPr>
            <w:tcW w:w="1062" w:type="dxa"/>
          </w:tcPr>
          <w:p>
            <w:pPr>
              <w:pStyle w:val="TableParagraph"/>
              <w:spacing w:before="119"/>
              <w:ind w:left="200"/>
              <w:rPr>
                <w:i/>
                <w:sz w:val="22"/>
              </w:rPr>
            </w:pPr>
            <w:r>
              <w:rPr>
                <w:i/>
                <w:sz w:val="22"/>
              </w:rPr>
              <w:t>4.2.3</w:t>
            </w:r>
          </w:p>
        </w:tc>
        <w:tc>
          <w:tcPr>
            <w:tcW w:w="1723" w:type="dxa"/>
          </w:tcPr>
          <w:p>
            <w:pPr>
              <w:pStyle w:val="TableParagraph"/>
              <w:spacing w:line="268" w:lineRule="auto" w:before="143"/>
              <w:ind w:left="333" w:right="79"/>
              <w:rPr>
                <w:i/>
                <w:sz w:val="22"/>
              </w:rPr>
            </w:pPr>
            <w:r>
              <w:rPr>
                <w:i/>
                <w:w w:val="95"/>
                <w:sz w:val="22"/>
              </w:rPr>
              <w:t>全残保险金申请</w:t>
            </w:r>
          </w:p>
        </w:tc>
        <w:tc>
          <w:tcPr>
            <w:tcW w:w="7733" w:type="dxa"/>
          </w:tcPr>
          <w:p>
            <w:pPr>
              <w:pStyle w:val="TableParagraph"/>
              <w:spacing w:before="130"/>
              <w:rPr>
                <w:sz w:val="21"/>
              </w:rPr>
            </w:pPr>
            <w:r>
              <w:rPr>
                <w:sz w:val="21"/>
              </w:rPr>
              <w:t>申请人须填写保险金给付申请书，并须提供下列证明和资料：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（2）受益人或其他有权领取保险金的人法定有效身份证明；</w:t>
            </w:r>
          </w:p>
          <w:p>
            <w:pPr>
              <w:pStyle w:val="TableParagraph"/>
              <w:spacing w:line="273" w:lineRule="auto" w:before="36"/>
              <w:ind w:right="399"/>
              <w:rPr>
                <w:sz w:val="21"/>
              </w:rPr>
            </w:pPr>
            <w:r>
              <w:rPr>
                <w:sz w:val="21"/>
              </w:rPr>
              <w:t>（3）由二级以上（含二级）医院或者由双方认可的医疗机构（或鉴定机构）出具的被保险人伤残程度的资料或身体伤残程度鉴定书；</w:t>
            </w:r>
          </w:p>
          <w:p>
            <w:pPr>
              <w:pStyle w:val="TableParagraph"/>
              <w:spacing w:line="273" w:lineRule="auto" w:before="7"/>
              <w:ind w:right="315"/>
              <w:rPr>
                <w:sz w:val="21"/>
              </w:rPr>
            </w:pPr>
            <w:r>
              <w:rPr>
                <w:sz w:val="21"/>
              </w:rPr>
              <w:t>（4）所能够提供的与确认保险事故的性质、原因、伤害程度等有关的其他证明和资料。</w:t>
            </w:r>
          </w:p>
        </w:tc>
      </w:tr>
      <w:tr>
        <w:trPr>
          <w:trHeight w:val="1236" w:hRule="atLeast"/>
        </w:trPr>
        <w:tc>
          <w:tcPr>
            <w:tcW w:w="1062" w:type="dxa"/>
          </w:tcPr>
          <w:p>
            <w:pPr>
              <w:pStyle w:val="TableParagraph"/>
              <w:spacing w:before="133"/>
              <w:ind w:left="200"/>
              <w:rPr>
                <w:i/>
                <w:sz w:val="22"/>
              </w:rPr>
            </w:pPr>
            <w:r>
              <w:rPr>
                <w:i/>
                <w:sz w:val="22"/>
              </w:rPr>
              <w:t>4.2.4</w:t>
            </w:r>
          </w:p>
        </w:tc>
        <w:tc>
          <w:tcPr>
            <w:tcW w:w="1723" w:type="dxa"/>
          </w:tcPr>
          <w:p>
            <w:pPr>
              <w:pStyle w:val="TableParagraph"/>
              <w:spacing w:line="266" w:lineRule="auto" w:before="157"/>
              <w:ind w:left="333" w:right="79"/>
              <w:jc w:val="both"/>
              <w:rPr>
                <w:i/>
                <w:sz w:val="22"/>
              </w:rPr>
            </w:pPr>
            <w:r>
              <w:rPr>
                <w:i/>
                <w:w w:val="95"/>
                <w:sz w:val="22"/>
              </w:rPr>
              <w:t>委托他人代为申请保险</w:t>
            </w:r>
            <w:r>
              <w:rPr>
                <w:i/>
                <w:sz w:val="22"/>
              </w:rPr>
              <w:t>金</w:t>
            </w:r>
          </w:p>
        </w:tc>
        <w:tc>
          <w:tcPr>
            <w:tcW w:w="7733" w:type="dxa"/>
          </w:tcPr>
          <w:p>
            <w:pPr>
              <w:pStyle w:val="TableParagraph"/>
              <w:spacing w:line="273" w:lineRule="auto" w:before="145"/>
              <w:ind w:right="303"/>
              <w:jc w:val="both"/>
              <w:rPr>
                <w:sz w:val="21"/>
              </w:rPr>
            </w:pPr>
            <w:r>
              <w:rPr>
                <w:spacing w:val="-4"/>
                <w:sz w:val="21"/>
              </w:rPr>
              <w:t>若受益人或其他有权领取保险金的人委托他人代为申请保险金，被委托人还应提供受益人或其他有权领取保险金的人签字的授权委托书、被委托人的法定有效身</w:t>
            </w:r>
            <w:r>
              <w:rPr>
                <w:spacing w:val="-3"/>
                <w:sz w:val="21"/>
              </w:rPr>
              <w:t>份证明等相关证明文件。</w:t>
            </w:r>
          </w:p>
        </w:tc>
      </w:tr>
      <w:tr>
        <w:trPr>
          <w:trHeight w:val="841" w:hRule="atLeast"/>
        </w:trPr>
        <w:tc>
          <w:tcPr>
            <w:tcW w:w="1062" w:type="dxa"/>
          </w:tcPr>
          <w:p>
            <w:pPr>
              <w:pStyle w:val="TableParagraph"/>
              <w:spacing w:before="84"/>
              <w:ind w:left="200"/>
              <w:rPr>
                <w:i/>
                <w:sz w:val="22"/>
              </w:rPr>
            </w:pPr>
            <w:r>
              <w:rPr>
                <w:i/>
                <w:sz w:val="22"/>
              </w:rPr>
              <w:t>4.2.5</w:t>
            </w:r>
          </w:p>
        </w:tc>
        <w:tc>
          <w:tcPr>
            <w:tcW w:w="1723" w:type="dxa"/>
          </w:tcPr>
          <w:p>
            <w:pPr>
              <w:pStyle w:val="TableParagraph"/>
              <w:spacing w:before="84"/>
              <w:ind w:left="333"/>
              <w:rPr>
                <w:i/>
                <w:sz w:val="22"/>
              </w:rPr>
            </w:pPr>
            <w:r>
              <w:rPr>
                <w:i/>
                <w:w w:val="95"/>
                <w:sz w:val="22"/>
              </w:rPr>
              <w:t>补充通知</w:t>
            </w:r>
          </w:p>
        </w:tc>
        <w:tc>
          <w:tcPr>
            <w:tcW w:w="7733" w:type="dxa"/>
          </w:tcPr>
          <w:p>
            <w:pPr>
              <w:pStyle w:val="TableParagraph"/>
              <w:spacing w:line="273" w:lineRule="auto" w:before="96"/>
              <w:ind w:right="267"/>
              <w:rPr>
                <w:sz w:val="21"/>
              </w:rPr>
            </w:pPr>
            <w:r>
              <w:rPr>
                <w:sz w:val="21"/>
              </w:rPr>
              <w:t>以上证明和资料不完整的，我们将及时一次性通知申请人补充提供有关的证明和资料。</w:t>
            </w:r>
          </w:p>
        </w:tc>
      </w:tr>
      <w:tr>
        <w:trPr>
          <w:trHeight w:val="854" w:hRule="atLeast"/>
        </w:trPr>
        <w:tc>
          <w:tcPr>
            <w:tcW w:w="1062" w:type="dxa"/>
          </w:tcPr>
          <w:p>
            <w:pPr>
              <w:pStyle w:val="TableParagraph"/>
              <w:spacing w:before="92"/>
              <w:ind w:left="200"/>
              <w:rPr>
                <w:i/>
                <w:sz w:val="22"/>
              </w:rPr>
            </w:pPr>
            <w:r>
              <w:rPr>
                <w:i/>
                <w:sz w:val="22"/>
              </w:rPr>
              <w:t>4.2.6</w:t>
            </w:r>
          </w:p>
        </w:tc>
        <w:tc>
          <w:tcPr>
            <w:tcW w:w="1723" w:type="dxa"/>
          </w:tcPr>
          <w:p>
            <w:pPr>
              <w:pStyle w:val="TableParagraph"/>
              <w:spacing w:before="92"/>
              <w:ind w:left="333"/>
              <w:rPr>
                <w:i/>
                <w:sz w:val="22"/>
              </w:rPr>
            </w:pPr>
            <w:r>
              <w:rPr>
                <w:i/>
                <w:w w:val="95"/>
                <w:sz w:val="22"/>
              </w:rPr>
              <w:t>身体检查</w:t>
            </w:r>
          </w:p>
        </w:tc>
        <w:tc>
          <w:tcPr>
            <w:tcW w:w="7733" w:type="dxa"/>
          </w:tcPr>
          <w:p>
            <w:pPr>
              <w:pStyle w:val="TableParagraph"/>
              <w:spacing w:line="273" w:lineRule="auto" w:before="104"/>
              <w:ind w:right="285"/>
              <w:rPr>
                <w:sz w:val="21"/>
              </w:rPr>
            </w:pPr>
            <w:r>
              <w:rPr>
                <w:sz w:val="21"/>
              </w:rPr>
              <w:t>除上述相关证明外，我们如认为必要，在保险事故发生后可以对被保险人的身体状况进行检查或鉴定。</w:t>
            </w:r>
          </w:p>
        </w:tc>
      </w:tr>
      <w:tr>
        <w:trPr>
          <w:trHeight w:val="2558" w:hRule="atLeast"/>
        </w:trPr>
        <w:tc>
          <w:tcPr>
            <w:tcW w:w="1062" w:type="dxa"/>
          </w:tcPr>
          <w:p>
            <w:pPr>
              <w:pStyle w:val="TableParagraph"/>
              <w:spacing w:before="99"/>
              <w:ind w:left="200"/>
              <w:rPr>
                <w:b/>
                <w:sz w:val="21"/>
              </w:rPr>
            </w:pPr>
            <w:r>
              <w:rPr>
                <w:b/>
                <w:sz w:val="21"/>
              </w:rPr>
              <w:t>4.3</w:t>
            </w:r>
          </w:p>
        </w:tc>
        <w:tc>
          <w:tcPr>
            <w:tcW w:w="1723" w:type="dxa"/>
          </w:tcPr>
          <w:p>
            <w:pPr>
              <w:pStyle w:val="TableParagraph"/>
              <w:spacing w:before="99"/>
              <w:ind w:left="333"/>
              <w:rPr>
                <w:b/>
                <w:sz w:val="21"/>
              </w:rPr>
            </w:pPr>
            <w:r>
              <w:rPr>
                <w:b/>
                <w:sz w:val="21"/>
              </w:rPr>
              <w:t>保险金给付</w:t>
            </w:r>
          </w:p>
        </w:tc>
        <w:tc>
          <w:tcPr>
            <w:tcW w:w="7733" w:type="dxa"/>
          </w:tcPr>
          <w:p>
            <w:pPr>
              <w:pStyle w:val="TableParagraph"/>
              <w:spacing w:before="99"/>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rPr>
                <w:sz w:val="21"/>
              </w:rPr>
            </w:pPr>
            <w:r>
              <w:rPr>
                <w:sz w:val="21"/>
              </w:rPr>
              <w:t>情形复杂的，在 30 日内作出核定。对属于保险责任的，我们在与受益人达成给</w:t>
            </w:r>
          </w:p>
          <w:p>
            <w:pPr>
              <w:pStyle w:val="TableParagraph"/>
              <w:spacing w:before="36"/>
              <w:rPr>
                <w:sz w:val="21"/>
              </w:rPr>
            </w:pPr>
            <w:r>
              <w:rPr>
                <w:sz w:val="21"/>
              </w:rPr>
              <w:t>付保险金的协议后 10 日内，履行给付保险金义务。</w:t>
            </w:r>
          </w:p>
          <w:p>
            <w:pPr>
              <w:pStyle w:val="TableParagraph"/>
              <w:spacing w:before="36"/>
              <w:rPr>
                <w:sz w:val="21"/>
              </w:rPr>
            </w:pPr>
            <w:r>
              <w:rPr>
                <w:sz w:val="21"/>
              </w:rPr>
              <w:t>若我们在收齐相关证明和资料后 30 日内仍未作出核定，除支付保险金外，我们</w:t>
            </w:r>
          </w:p>
          <w:p>
            <w:pPr>
              <w:pStyle w:val="TableParagraph"/>
              <w:spacing w:line="273" w:lineRule="auto" w:before="36"/>
              <w:ind w:right="259"/>
              <w:rPr>
                <w:sz w:val="21"/>
              </w:rPr>
            </w:pPr>
            <w:r>
              <w:rPr>
                <w:sz w:val="21"/>
              </w:rPr>
              <w:t>将从第 31 日起按超过天数赔偿受益人因此受到的利息损失。利息依据中国人民银行公布的同期金融机构人民币活期存款基准利率按复利计算。</w:t>
            </w:r>
          </w:p>
          <w:p>
            <w:pPr>
              <w:pStyle w:val="TableParagraph"/>
              <w:spacing w:line="312" w:lineRule="exact" w:before="2"/>
              <w:ind w:right="303"/>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tc>
      </w:tr>
    </w:tbl>
    <w:p>
      <w:pPr>
        <w:spacing w:after="0" w:line="312" w:lineRule="exact"/>
        <w:rPr>
          <w:sz w:val="21"/>
        </w:rPr>
        <w:sectPr>
          <w:pgSz w:w="11910" w:h="16840"/>
          <w:pgMar w:header="568" w:footer="0" w:top="800" w:bottom="280" w:left="68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829"/>
        <w:gridCol w:w="7530"/>
      </w:tblGrid>
      <w:tr>
        <w:trPr>
          <w:trHeight w:val="1000" w:hRule="atLeast"/>
        </w:trPr>
        <w:tc>
          <w:tcPr>
            <w:tcW w:w="864" w:type="dxa"/>
          </w:tcPr>
          <w:p>
            <w:pPr>
              <w:pStyle w:val="TableParagraph"/>
              <w:ind w:left="0"/>
              <w:rPr>
                <w:rFonts w:ascii="Times New Roman"/>
                <w:sz w:val="20"/>
              </w:rPr>
            </w:pPr>
          </w:p>
        </w:tc>
        <w:tc>
          <w:tcPr>
            <w:tcW w:w="1829" w:type="dxa"/>
          </w:tcPr>
          <w:p>
            <w:pPr>
              <w:pStyle w:val="TableParagraph"/>
              <w:ind w:left="0"/>
              <w:rPr>
                <w:rFonts w:ascii="Times New Roman"/>
                <w:sz w:val="20"/>
              </w:rPr>
            </w:pPr>
          </w:p>
        </w:tc>
        <w:tc>
          <w:tcPr>
            <w:tcW w:w="7530" w:type="dxa"/>
          </w:tcPr>
          <w:p>
            <w:pPr>
              <w:pStyle w:val="TableParagraph"/>
              <w:spacing w:line="211" w:lineRule="exact"/>
              <w:rPr>
                <w:sz w:val="21"/>
              </w:rPr>
            </w:pPr>
            <w:r>
              <w:rPr>
                <w:sz w:val="21"/>
              </w:rPr>
              <w:t>我们在收到保险金给付申请书及有关证明和资料之日起 60 日内，对给付保险金</w:t>
            </w:r>
          </w:p>
          <w:p>
            <w:pPr>
              <w:pStyle w:val="TableParagraph"/>
              <w:spacing w:line="273" w:lineRule="auto" w:before="37"/>
              <w:ind w:right="82"/>
              <w:rPr>
                <w:sz w:val="21"/>
              </w:rPr>
            </w:pPr>
            <w:r>
              <w:rPr>
                <w:sz w:val="21"/>
              </w:rPr>
              <w:t>的数额不能确定的，根据已有证明和资料可以确定的数额先予支付；我们最终确定给付保险金的数额后，将支付相应的差额。</w:t>
            </w:r>
          </w:p>
        </w:tc>
      </w:tr>
      <w:tr>
        <w:trPr>
          <w:trHeight w:val="1960" w:hRule="atLeast"/>
        </w:trPr>
        <w:tc>
          <w:tcPr>
            <w:tcW w:w="864" w:type="dxa"/>
          </w:tcPr>
          <w:p>
            <w:pPr>
              <w:pStyle w:val="TableParagraph"/>
              <w:spacing w:before="100"/>
              <w:ind w:left="107"/>
              <w:rPr>
                <w:b/>
                <w:sz w:val="21"/>
              </w:rPr>
            </w:pPr>
            <w:r>
              <w:rPr>
                <w:b/>
                <w:sz w:val="21"/>
              </w:rPr>
              <w:t>4.4</w:t>
            </w:r>
          </w:p>
        </w:tc>
        <w:tc>
          <w:tcPr>
            <w:tcW w:w="1829" w:type="dxa"/>
          </w:tcPr>
          <w:p>
            <w:pPr>
              <w:pStyle w:val="TableParagraph"/>
              <w:spacing w:before="100"/>
              <w:ind w:left="439"/>
              <w:rPr>
                <w:b/>
                <w:sz w:val="21"/>
              </w:rPr>
            </w:pPr>
            <w:r>
              <w:rPr>
                <w:b/>
                <w:sz w:val="21"/>
              </w:rPr>
              <w:t>诉讼时效</w:t>
            </w:r>
          </w:p>
        </w:tc>
        <w:tc>
          <w:tcPr>
            <w:tcW w:w="7530" w:type="dxa"/>
          </w:tcPr>
          <w:p>
            <w:pPr>
              <w:pStyle w:val="TableParagraph"/>
              <w:spacing w:line="273" w:lineRule="auto" w:before="100"/>
              <w:ind w:right="100"/>
              <w:jc w:val="both"/>
              <w:rPr>
                <w:sz w:val="21"/>
              </w:rPr>
            </w:pPr>
            <w:r>
              <w:rPr>
                <w:spacing w:val="-4"/>
                <w:sz w:val="21"/>
              </w:rPr>
              <w:t>受益人及其他有权领取保险金的人向我们请求给付轻症重疾、重大疾病或再次恶</w:t>
            </w:r>
            <w:r>
              <w:rPr>
                <w:spacing w:val="-6"/>
                <w:sz w:val="21"/>
              </w:rPr>
              <w:t>性肿瘤保险金的诉讼时效期间为 </w:t>
            </w:r>
            <w:r>
              <w:rPr>
                <w:sz w:val="21"/>
              </w:rPr>
              <w:t>2</w:t>
            </w:r>
            <w:r>
              <w:rPr>
                <w:spacing w:val="-8"/>
                <w:sz w:val="21"/>
              </w:rPr>
              <w:t> 年，自其知道或者应当知道保险事故发生之日</w:t>
            </w:r>
            <w:r>
              <w:rPr>
                <w:spacing w:val="-6"/>
                <w:sz w:val="21"/>
              </w:rPr>
              <w:t>起计算。</w:t>
            </w:r>
          </w:p>
          <w:p>
            <w:pPr>
              <w:pStyle w:val="TableParagraph"/>
              <w:spacing w:line="273" w:lineRule="auto" w:before="7"/>
              <w:ind w:right="100"/>
              <w:jc w:val="both"/>
              <w:rPr>
                <w:sz w:val="21"/>
              </w:rPr>
            </w:pPr>
            <w:r>
              <w:rPr>
                <w:sz w:val="21"/>
              </w:rPr>
              <w:t>受益人及其他有权领取保险金的人向我们请求给付身故或全残保险金的诉讼时效期间为 5 年，自其知道或者应当知道保险事故发生之日起计算。</w:t>
            </w:r>
          </w:p>
        </w:tc>
      </w:tr>
      <w:tr>
        <w:trPr>
          <w:trHeight w:val="789" w:hRule="atLeast"/>
        </w:trPr>
        <w:tc>
          <w:tcPr>
            <w:tcW w:w="864" w:type="dxa"/>
            <w:tcBorders>
              <w:bottom w:val="double" w:sz="1" w:space="0" w:color="000000"/>
            </w:tcBorders>
          </w:tcPr>
          <w:p>
            <w:pPr>
              <w:pStyle w:val="TableParagraph"/>
              <w:spacing w:before="251"/>
              <w:ind w:left="107"/>
              <w:rPr>
                <w:b/>
                <w:sz w:val="28"/>
              </w:rPr>
            </w:pPr>
            <w:r>
              <w:rPr>
                <w:b/>
                <w:w w:val="99"/>
                <w:sz w:val="28"/>
              </w:rPr>
              <w:t>5</w:t>
            </w:r>
          </w:p>
        </w:tc>
        <w:tc>
          <w:tcPr>
            <w:tcW w:w="9359" w:type="dxa"/>
            <w:gridSpan w:val="2"/>
            <w:tcBorders>
              <w:bottom w:val="double" w:sz="1" w:space="0" w:color="000000"/>
            </w:tcBorders>
          </w:tcPr>
          <w:p>
            <w:pPr>
              <w:pStyle w:val="TableParagraph"/>
              <w:spacing w:before="251"/>
              <w:ind w:left="439"/>
              <w:rPr>
                <w:b/>
                <w:sz w:val="28"/>
              </w:rPr>
            </w:pPr>
            <w:r>
              <w:rPr>
                <w:b/>
                <w:sz w:val="28"/>
              </w:rPr>
              <w:t>保险费的交纳</w:t>
            </w:r>
          </w:p>
        </w:tc>
      </w:tr>
      <w:tr>
        <w:trPr>
          <w:trHeight w:val="1560" w:hRule="atLeast"/>
        </w:trPr>
        <w:tc>
          <w:tcPr>
            <w:tcW w:w="864"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5.1</w:t>
            </w:r>
          </w:p>
        </w:tc>
        <w:tc>
          <w:tcPr>
            <w:tcW w:w="182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39" w:right="79"/>
              <w:rPr>
                <w:b/>
                <w:sz w:val="21"/>
              </w:rPr>
            </w:pPr>
            <w:r>
              <w:rPr>
                <w:b/>
                <w:sz w:val="21"/>
              </w:rPr>
              <w:t>保险费的交纳</w:t>
            </w:r>
          </w:p>
        </w:tc>
        <w:tc>
          <w:tcPr>
            <w:tcW w:w="7530"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您应当按照本附加合同的约定向我们交纳保险费。</w:t>
            </w:r>
          </w:p>
          <w:p>
            <w:pPr>
              <w:pStyle w:val="TableParagraph"/>
              <w:spacing w:line="273" w:lineRule="auto" w:before="37"/>
              <w:ind w:right="63"/>
              <w:rPr>
                <w:sz w:val="21"/>
              </w:rPr>
            </w:pPr>
            <w:r>
              <w:rPr>
                <w:sz w:val="21"/>
              </w:rPr>
              <w:t>分期支付保险费的，在交纳首期保险费后，您应当按照约定，在每个保险费约定交纳日交纳其余各期的保险费。</w:t>
            </w:r>
          </w:p>
          <w:p>
            <w:pPr>
              <w:pStyle w:val="TableParagraph"/>
              <w:spacing w:before="7"/>
              <w:rPr>
                <w:sz w:val="21"/>
              </w:rPr>
            </w:pPr>
            <w:r>
              <w:rPr>
                <w:sz w:val="21"/>
              </w:rPr>
              <w:t>本附加合同的保险费必须随主合同保险费一同支付，不能单独交纳。</w:t>
            </w:r>
          </w:p>
        </w:tc>
      </w:tr>
      <w:tr>
        <w:trPr>
          <w:trHeight w:val="1786" w:hRule="atLeast"/>
        </w:trPr>
        <w:tc>
          <w:tcPr>
            <w:tcW w:w="864" w:type="dxa"/>
          </w:tcPr>
          <w:p>
            <w:pPr>
              <w:pStyle w:val="TableParagraph"/>
              <w:spacing w:before="99"/>
              <w:ind w:left="107"/>
              <w:rPr>
                <w:b/>
                <w:sz w:val="21"/>
              </w:rPr>
            </w:pPr>
            <w:r>
              <w:rPr>
                <w:b/>
                <w:sz w:val="21"/>
              </w:rPr>
              <w:t>5.2</w:t>
            </w:r>
          </w:p>
        </w:tc>
        <w:tc>
          <w:tcPr>
            <w:tcW w:w="1829" w:type="dxa"/>
          </w:tcPr>
          <w:p>
            <w:pPr>
              <w:pStyle w:val="TableParagraph"/>
              <w:spacing w:before="99"/>
              <w:ind w:left="439"/>
              <w:rPr>
                <w:b/>
                <w:sz w:val="21"/>
              </w:rPr>
            </w:pPr>
            <w:r>
              <w:rPr>
                <w:b/>
                <w:sz w:val="21"/>
              </w:rPr>
              <w:t>宽限期</w:t>
            </w:r>
          </w:p>
        </w:tc>
        <w:tc>
          <w:tcPr>
            <w:tcW w:w="7530" w:type="dxa"/>
          </w:tcPr>
          <w:p>
            <w:pPr>
              <w:pStyle w:val="TableParagraph"/>
              <w:spacing w:line="273" w:lineRule="auto" w:before="99"/>
              <w:ind w:right="102"/>
              <w:jc w:val="both"/>
              <w:rPr>
                <w:sz w:val="21"/>
              </w:rPr>
            </w:pPr>
            <w:r>
              <w:rPr>
                <w:spacing w:val="-4"/>
                <w:sz w:val="21"/>
              </w:rPr>
              <w:t>分期支付保险费的，在支付首期保险费后，如果您到期未交纳保险费，自保险费</w:t>
            </w:r>
            <w:r>
              <w:rPr>
                <w:spacing w:val="-2"/>
                <w:sz w:val="21"/>
              </w:rPr>
              <w:t>约定交纳日的次日零时起 </w:t>
            </w:r>
            <w:r>
              <w:rPr>
                <w:sz w:val="21"/>
              </w:rPr>
              <w:t>60</w:t>
            </w:r>
            <w:r>
              <w:rPr>
                <w:spacing w:val="-3"/>
                <w:sz w:val="21"/>
              </w:rPr>
              <w:t> 日为宽限期。宽限期内发生的保险事故，我们仍会承担保险责任，但在给付保险金时会扣除您欠交的保险费。</w:t>
            </w:r>
          </w:p>
          <w:p>
            <w:pPr>
              <w:pStyle w:val="TableParagraph"/>
              <w:spacing w:line="273" w:lineRule="auto" w:before="7"/>
              <w:ind w:right="100"/>
              <w:jc w:val="both"/>
              <w:rPr>
                <w:sz w:val="21"/>
              </w:rPr>
            </w:pPr>
            <w:r>
              <w:rPr>
                <w:spacing w:val="-4"/>
                <w:sz w:val="21"/>
              </w:rPr>
              <w:t>如果您宽限期结束之后仍未交纳保险费，则本附加合同自宽限期满的次日零时起</w:t>
            </w:r>
            <w:r>
              <w:rPr>
                <w:spacing w:val="-3"/>
                <w:sz w:val="21"/>
              </w:rPr>
              <w:t>效力中止，但另有约定的除外。</w:t>
            </w:r>
          </w:p>
        </w:tc>
      </w:tr>
      <w:tr>
        <w:trPr>
          <w:trHeight w:val="2273" w:hRule="atLeast"/>
        </w:trPr>
        <w:tc>
          <w:tcPr>
            <w:tcW w:w="864" w:type="dxa"/>
          </w:tcPr>
          <w:p>
            <w:pPr>
              <w:pStyle w:val="TableParagraph"/>
              <w:spacing w:before="100"/>
              <w:ind w:left="107"/>
              <w:rPr>
                <w:b/>
                <w:sz w:val="21"/>
              </w:rPr>
            </w:pPr>
            <w:r>
              <w:rPr>
                <w:b/>
                <w:sz w:val="21"/>
              </w:rPr>
              <w:t>5.3</w:t>
            </w:r>
          </w:p>
        </w:tc>
        <w:tc>
          <w:tcPr>
            <w:tcW w:w="1829" w:type="dxa"/>
          </w:tcPr>
          <w:p>
            <w:pPr>
              <w:pStyle w:val="TableParagraph"/>
              <w:spacing w:line="273" w:lineRule="auto" w:before="100"/>
              <w:ind w:left="439" w:right="79"/>
              <w:rPr>
                <w:b/>
                <w:sz w:val="21"/>
              </w:rPr>
            </w:pPr>
            <w:r>
              <w:rPr>
                <w:b/>
                <w:sz w:val="21"/>
              </w:rPr>
              <w:t>保险费率调整</w:t>
            </w:r>
          </w:p>
        </w:tc>
        <w:tc>
          <w:tcPr>
            <w:tcW w:w="7530" w:type="dxa"/>
          </w:tcPr>
          <w:p>
            <w:pPr>
              <w:pStyle w:val="TableParagraph"/>
              <w:spacing w:before="100"/>
              <w:rPr>
                <w:sz w:val="21"/>
              </w:rPr>
            </w:pPr>
            <w:r>
              <w:rPr>
                <w:sz w:val="21"/>
              </w:rPr>
              <w:t>我们保留提高或降低保险费率的权利。</w:t>
            </w:r>
          </w:p>
          <w:p>
            <w:pPr>
              <w:pStyle w:val="TableParagraph"/>
              <w:spacing w:line="273" w:lineRule="auto" w:before="36"/>
              <w:ind w:right="100"/>
              <w:jc w:val="both"/>
              <w:rPr>
                <w:sz w:val="21"/>
              </w:rPr>
            </w:pPr>
            <w:r>
              <w:rPr>
                <w:spacing w:val="-4"/>
                <w:sz w:val="21"/>
              </w:rPr>
              <w:t>我们将根据本附加合同计算费率所用的重大疾病、轻症重疾或再次恶性肿瘤发生</w:t>
            </w:r>
            <w:r>
              <w:rPr>
                <w:spacing w:val="-5"/>
                <w:sz w:val="21"/>
              </w:rPr>
              <w:t>率与实际情况的偏差程度，决定保险费率是否调整。本保险的费率调整针对所有</w:t>
            </w:r>
            <w:r>
              <w:rPr>
                <w:spacing w:val="-4"/>
                <w:sz w:val="21"/>
              </w:rPr>
              <w:t>被保险人或同一投保年龄的所有被保险人。</w:t>
            </w:r>
          </w:p>
          <w:p>
            <w:pPr>
              <w:pStyle w:val="TableParagraph"/>
              <w:spacing w:line="273" w:lineRule="auto" w:before="7"/>
              <w:ind w:right="100"/>
              <w:jc w:val="both"/>
              <w:rPr>
                <w:sz w:val="21"/>
              </w:rPr>
            </w:pPr>
            <w:r>
              <w:rPr>
                <w:spacing w:val="-4"/>
                <w:sz w:val="21"/>
              </w:rPr>
              <w:t>我们进行保险费率调整并向保险监管机关备案后，您须按调整后的保险费率交纳</w:t>
            </w:r>
            <w:r>
              <w:rPr>
                <w:spacing w:val="-3"/>
                <w:sz w:val="21"/>
              </w:rPr>
              <w:t>续期保险费。</w:t>
            </w:r>
          </w:p>
        </w:tc>
      </w:tr>
      <w:tr>
        <w:trPr>
          <w:trHeight w:val="789" w:hRule="atLeast"/>
        </w:trPr>
        <w:tc>
          <w:tcPr>
            <w:tcW w:w="864" w:type="dxa"/>
            <w:tcBorders>
              <w:bottom w:val="double" w:sz="1" w:space="0" w:color="000000"/>
            </w:tcBorders>
          </w:tcPr>
          <w:p>
            <w:pPr>
              <w:pStyle w:val="TableParagraph"/>
              <w:spacing w:before="251"/>
              <w:ind w:left="107"/>
              <w:rPr>
                <w:b/>
                <w:sz w:val="28"/>
              </w:rPr>
            </w:pPr>
            <w:r>
              <w:rPr>
                <w:b/>
                <w:w w:val="99"/>
                <w:sz w:val="28"/>
              </w:rPr>
              <w:t>6</w:t>
            </w:r>
          </w:p>
        </w:tc>
        <w:tc>
          <w:tcPr>
            <w:tcW w:w="9359" w:type="dxa"/>
            <w:gridSpan w:val="2"/>
            <w:tcBorders>
              <w:bottom w:val="double" w:sz="1" w:space="0" w:color="000000"/>
            </w:tcBorders>
          </w:tcPr>
          <w:p>
            <w:pPr>
              <w:pStyle w:val="TableParagraph"/>
              <w:spacing w:before="251"/>
              <w:ind w:left="439"/>
              <w:rPr>
                <w:b/>
                <w:sz w:val="28"/>
              </w:rPr>
            </w:pPr>
            <w:r>
              <w:rPr>
                <w:b/>
                <w:sz w:val="28"/>
              </w:rPr>
              <w:t>现金价值权益</w:t>
            </w:r>
          </w:p>
        </w:tc>
      </w:tr>
      <w:tr>
        <w:trPr>
          <w:trHeight w:val="2148" w:hRule="atLeast"/>
        </w:trPr>
        <w:tc>
          <w:tcPr>
            <w:tcW w:w="864"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6.1</w:t>
            </w:r>
          </w:p>
        </w:tc>
        <w:tc>
          <w:tcPr>
            <w:tcW w:w="1829" w:type="dxa"/>
            <w:tcBorders>
              <w:top w:val="double" w:sz="1" w:space="0" w:color="000000"/>
            </w:tcBorders>
          </w:tcPr>
          <w:p>
            <w:pPr>
              <w:pStyle w:val="TableParagraph"/>
              <w:spacing w:before="2"/>
              <w:ind w:left="0"/>
              <w:rPr>
                <w:rFonts w:ascii="Times New Roman"/>
                <w:sz w:val="16"/>
              </w:rPr>
            </w:pPr>
          </w:p>
          <w:p>
            <w:pPr>
              <w:pStyle w:val="TableParagraph"/>
              <w:ind w:left="439"/>
              <w:rPr>
                <w:b/>
                <w:sz w:val="21"/>
              </w:rPr>
            </w:pPr>
            <w:r>
              <w:rPr>
                <w:b/>
                <w:sz w:val="21"/>
              </w:rPr>
              <w:t>现金价值</w:t>
            </w:r>
          </w:p>
        </w:tc>
        <w:tc>
          <w:tcPr>
            <w:tcW w:w="7530" w:type="dxa"/>
            <w:tcBorders>
              <w:top w:val="double" w:sz="1" w:space="0" w:color="000000"/>
            </w:tcBorders>
          </w:tcPr>
          <w:p>
            <w:pPr>
              <w:pStyle w:val="TableParagraph"/>
              <w:spacing w:line="237" w:lineRule="auto" w:before="167"/>
              <w:ind w:right="100"/>
              <w:jc w:val="both"/>
              <w:rPr>
                <w:sz w:val="21"/>
              </w:rPr>
            </w:pPr>
            <w:r>
              <w:rPr>
                <w:spacing w:val="2"/>
                <w:sz w:val="21"/>
              </w:rPr>
              <w:t>本附加合同各保单年度末的现金价值会在保险单上载明。保单年度内的现金价</w:t>
            </w:r>
            <w:r>
              <w:rPr>
                <w:spacing w:val="-5"/>
                <w:sz w:val="21"/>
              </w:rPr>
              <w:t>值，您可以向我们咨询。在本附加合同有效期内，若基本保险金额发生变更，则</w:t>
            </w:r>
            <w:r>
              <w:rPr>
                <w:spacing w:val="-4"/>
                <w:sz w:val="21"/>
              </w:rPr>
              <w:t>现金价值将按变更后的基本保险金额重新计算。</w:t>
            </w:r>
          </w:p>
          <w:p>
            <w:pPr>
              <w:pStyle w:val="TableParagraph"/>
              <w:spacing w:line="273" w:lineRule="auto" w:before="17"/>
              <w:ind w:right="93"/>
              <w:rPr>
                <w:sz w:val="21"/>
              </w:rPr>
            </w:pPr>
            <w:r>
              <w:rPr>
                <w:spacing w:val="-2"/>
                <w:sz w:val="21"/>
              </w:rPr>
              <w:t>若我们已按本附加合同 </w:t>
            </w:r>
            <w:r>
              <w:rPr>
                <w:sz w:val="21"/>
              </w:rPr>
              <w:t>2.3</w:t>
            </w:r>
            <w:r>
              <w:rPr>
                <w:spacing w:val="-3"/>
                <w:sz w:val="21"/>
              </w:rPr>
              <w:t> 条第三款的约定向重大疾病保险金受益人给付重大</w:t>
            </w:r>
            <w:r>
              <w:rPr>
                <w:spacing w:val="-8"/>
                <w:w w:val="100"/>
                <w:sz w:val="21"/>
              </w:rPr>
              <w:t>疾病保险金，且该重大疾病为本附加合同约定的恶性肿瘤</w:t>
            </w:r>
            <w:r>
              <w:rPr>
                <w:w w:val="100"/>
                <w:sz w:val="21"/>
              </w:rPr>
              <w:t>（见</w:t>
            </w:r>
            <w:r>
              <w:rPr>
                <w:spacing w:val="-55"/>
                <w:sz w:val="21"/>
              </w:rPr>
              <w:t> </w:t>
            </w:r>
            <w:r>
              <w:rPr>
                <w:w w:val="100"/>
                <w:sz w:val="21"/>
              </w:rPr>
              <w:t>3.4</w:t>
            </w:r>
            <w:r>
              <w:rPr>
                <w:spacing w:val="-3"/>
                <w:w w:val="100"/>
                <w:sz w:val="21"/>
              </w:rPr>
              <w:t>.</w:t>
            </w:r>
            <w:r>
              <w:rPr>
                <w:w w:val="100"/>
                <w:sz w:val="21"/>
              </w:rPr>
              <w:t>1.1</w:t>
            </w:r>
            <w:r>
              <w:rPr>
                <w:spacing w:val="-106"/>
                <w:w w:val="100"/>
                <w:sz w:val="21"/>
              </w:rPr>
              <w:t>）</w:t>
            </w:r>
            <w:r>
              <w:rPr>
                <w:spacing w:val="-8"/>
                <w:w w:val="100"/>
                <w:sz w:val="21"/>
              </w:rPr>
              <w:t>，则自给</w:t>
            </w:r>
            <w:r>
              <w:rPr>
                <w:spacing w:val="-5"/>
                <w:sz w:val="21"/>
              </w:rPr>
              <w:t>付重大疾病保险金开始至本附加合同效力终止，本附加合同的现金价值均为零。</w:t>
            </w:r>
          </w:p>
        </w:tc>
      </w:tr>
      <w:tr>
        <w:trPr>
          <w:trHeight w:val="699" w:hRule="atLeast"/>
        </w:trPr>
        <w:tc>
          <w:tcPr>
            <w:tcW w:w="864" w:type="dxa"/>
            <w:tcBorders>
              <w:bottom w:val="double" w:sz="1" w:space="0" w:color="000000"/>
            </w:tcBorders>
          </w:tcPr>
          <w:p>
            <w:pPr>
              <w:pStyle w:val="TableParagraph"/>
              <w:spacing w:before="161"/>
              <w:ind w:left="107"/>
              <w:rPr>
                <w:b/>
                <w:sz w:val="28"/>
              </w:rPr>
            </w:pPr>
            <w:r>
              <w:rPr>
                <w:b/>
                <w:w w:val="99"/>
                <w:sz w:val="28"/>
              </w:rPr>
              <w:t>7</w:t>
            </w:r>
          </w:p>
        </w:tc>
        <w:tc>
          <w:tcPr>
            <w:tcW w:w="9359" w:type="dxa"/>
            <w:gridSpan w:val="2"/>
            <w:tcBorders>
              <w:bottom w:val="double" w:sz="1" w:space="0" w:color="000000"/>
            </w:tcBorders>
          </w:tcPr>
          <w:p>
            <w:pPr>
              <w:pStyle w:val="TableParagraph"/>
              <w:spacing w:before="161"/>
              <w:ind w:left="439"/>
              <w:rPr>
                <w:b/>
                <w:sz w:val="28"/>
              </w:rPr>
            </w:pPr>
            <w:r>
              <w:rPr>
                <w:b/>
                <w:w w:val="95"/>
                <w:sz w:val="28"/>
              </w:rPr>
              <w:t>合同效力的中止与恢复</w:t>
            </w:r>
          </w:p>
        </w:tc>
      </w:tr>
      <w:tr>
        <w:trPr>
          <w:trHeight w:val="932" w:hRule="atLeast"/>
        </w:trPr>
        <w:tc>
          <w:tcPr>
            <w:tcW w:w="864"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7.1</w:t>
            </w:r>
          </w:p>
        </w:tc>
        <w:tc>
          <w:tcPr>
            <w:tcW w:w="182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39" w:right="79"/>
              <w:rPr>
                <w:b/>
                <w:sz w:val="21"/>
              </w:rPr>
            </w:pPr>
            <w:r>
              <w:rPr>
                <w:b/>
                <w:sz w:val="21"/>
              </w:rPr>
              <w:t>合同效力中止</w:t>
            </w:r>
          </w:p>
        </w:tc>
        <w:tc>
          <w:tcPr>
            <w:tcW w:w="7530" w:type="dxa"/>
            <w:tcBorders>
              <w:top w:val="double" w:sz="1" w:space="0" w:color="000000"/>
            </w:tcBorders>
          </w:tcPr>
          <w:p>
            <w:pPr>
              <w:pStyle w:val="TableParagraph"/>
              <w:spacing w:line="256" w:lineRule="auto" w:before="162"/>
              <w:ind w:right="2611"/>
              <w:rPr>
                <w:sz w:val="21"/>
              </w:rPr>
            </w:pPr>
            <w:r>
              <w:rPr>
                <w:sz w:val="21"/>
              </w:rPr>
              <w:t>主合同效力中止的同时，本附加合同的效力也中止。在本附加合同效力中止期间，我们不承担保险责任。</w:t>
            </w:r>
          </w:p>
        </w:tc>
      </w:tr>
      <w:tr>
        <w:trPr>
          <w:trHeight w:val="396" w:hRule="atLeast"/>
        </w:trPr>
        <w:tc>
          <w:tcPr>
            <w:tcW w:w="864" w:type="dxa"/>
          </w:tcPr>
          <w:p>
            <w:pPr>
              <w:pStyle w:val="TableParagraph"/>
              <w:spacing w:line="271" w:lineRule="exact" w:before="105"/>
              <w:ind w:left="107"/>
              <w:rPr>
                <w:b/>
                <w:sz w:val="21"/>
              </w:rPr>
            </w:pPr>
            <w:r>
              <w:rPr>
                <w:b/>
                <w:sz w:val="21"/>
              </w:rPr>
              <w:t>7.2</w:t>
            </w:r>
          </w:p>
        </w:tc>
        <w:tc>
          <w:tcPr>
            <w:tcW w:w="1829" w:type="dxa"/>
          </w:tcPr>
          <w:p>
            <w:pPr>
              <w:pStyle w:val="TableParagraph"/>
              <w:spacing w:line="271" w:lineRule="exact" w:before="105"/>
              <w:ind w:left="439"/>
              <w:rPr>
                <w:b/>
                <w:sz w:val="21"/>
              </w:rPr>
            </w:pPr>
            <w:r>
              <w:rPr>
                <w:b/>
                <w:sz w:val="21"/>
              </w:rPr>
              <w:t>合同效力恢 </w:t>
            </w:r>
          </w:p>
        </w:tc>
        <w:tc>
          <w:tcPr>
            <w:tcW w:w="7530" w:type="dxa"/>
          </w:tcPr>
          <w:p>
            <w:pPr>
              <w:pStyle w:val="TableParagraph"/>
              <w:spacing w:line="271" w:lineRule="exact" w:before="105"/>
              <w:rPr>
                <w:sz w:val="21"/>
              </w:rPr>
            </w:pPr>
            <w:r>
              <w:rPr>
                <w:spacing w:val="-2"/>
                <w:sz w:val="21"/>
              </w:rPr>
              <w:t>本附加合同效力中止后 </w:t>
            </w:r>
            <w:r>
              <w:rPr>
                <w:rFonts w:ascii="Times New Roman" w:eastAsia="Times New Roman"/>
                <w:sz w:val="21"/>
              </w:rPr>
              <w:t>2</w:t>
            </w:r>
            <w:r>
              <w:rPr>
                <w:rFonts w:ascii="Times New Roman" w:eastAsia="Times New Roman"/>
                <w:spacing w:val="5"/>
                <w:sz w:val="21"/>
              </w:rPr>
              <w:t>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p>
        </w:tc>
      </w:tr>
    </w:tbl>
    <w:p>
      <w:pPr>
        <w:spacing w:after="0" w:line="271" w:lineRule="exact"/>
        <w:rPr>
          <w:sz w:val="21"/>
        </w:rPr>
        <w:sectPr>
          <w:pgSz w:w="11910" w:h="16840"/>
          <w:pgMar w:header="568" w:footer="0" w:top="800" w:bottom="280" w:left="76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829"/>
        <w:gridCol w:w="7531"/>
      </w:tblGrid>
      <w:tr>
        <w:trPr>
          <w:trHeight w:val="2422" w:hRule="atLeast"/>
        </w:trPr>
        <w:tc>
          <w:tcPr>
            <w:tcW w:w="875" w:type="dxa"/>
          </w:tcPr>
          <w:p>
            <w:pPr>
              <w:pStyle w:val="TableParagraph"/>
              <w:ind w:left="0"/>
              <w:rPr>
                <w:rFonts w:ascii="Times New Roman"/>
                <w:sz w:val="20"/>
              </w:rPr>
            </w:pPr>
          </w:p>
        </w:tc>
        <w:tc>
          <w:tcPr>
            <w:tcW w:w="1829" w:type="dxa"/>
          </w:tcPr>
          <w:p>
            <w:pPr>
              <w:pStyle w:val="TableParagraph"/>
              <w:spacing w:line="211" w:lineRule="exact"/>
              <w:ind w:left="439"/>
              <w:rPr>
                <w:b/>
                <w:sz w:val="21"/>
              </w:rPr>
            </w:pPr>
            <w:r>
              <w:rPr>
                <w:b/>
                <w:sz w:val="21"/>
              </w:rPr>
              <w:t>复（复效）</w:t>
            </w:r>
          </w:p>
        </w:tc>
        <w:tc>
          <w:tcPr>
            <w:tcW w:w="7531" w:type="dxa"/>
          </w:tcPr>
          <w:p>
            <w:pPr>
              <w:pStyle w:val="TableParagraph"/>
              <w:spacing w:line="211" w:lineRule="exact"/>
              <w:rPr>
                <w:sz w:val="21"/>
              </w:rPr>
            </w:pPr>
            <w:r>
              <w:rPr>
                <w:sz w:val="21"/>
              </w:rPr>
              <w:t>写复效申请书，我们会要求您提供被保险人的健康声明书、体检报告书及其他相</w:t>
            </w:r>
          </w:p>
          <w:p>
            <w:pPr>
              <w:pStyle w:val="TableParagraph"/>
              <w:spacing w:before="37"/>
              <w:rPr>
                <w:sz w:val="21"/>
              </w:rPr>
            </w:pPr>
            <w:r>
              <w:rPr>
                <w:sz w:val="21"/>
              </w:rPr>
              <w:t>关证明文件，我们会对材料进行审核，做出是否同意复效的决定。</w:t>
            </w:r>
          </w:p>
          <w:p>
            <w:pPr>
              <w:pStyle w:val="TableParagraph"/>
              <w:spacing w:line="273" w:lineRule="auto" w:before="37"/>
              <w:ind w:right="66"/>
              <w:rPr>
                <w:sz w:val="21"/>
              </w:rPr>
            </w:pPr>
            <w:r>
              <w:rPr>
                <w:sz w:val="21"/>
              </w:rPr>
              <w:t>经双方达成复效协议，自您补交保险费、利息（除另有约定外，按条款约定利率计算）和其他未还款项之日起，本附加合同效力恢复。</w:t>
            </w:r>
          </w:p>
          <w:p>
            <w:pPr>
              <w:pStyle w:val="TableParagraph"/>
              <w:spacing w:line="273" w:lineRule="auto" w:before="7"/>
              <w:ind w:right="91"/>
              <w:rPr>
                <w:sz w:val="21"/>
              </w:rPr>
            </w:pPr>
            <w:r>
              <w:rPr>
                <w:spacing w:val="-6"/>
                <w:sz w:val="21"/>
              </w:rPr>
              <w:t>自本附加合同效力中止之日起满 </w:t>
            </w:r>
            <w:r>
              <w:rPr>
                <w:sz w:val="21"/>
              </w:rPr>
              <w:t>2</w:t>
            </w:r>
            <w:r>
              <w:rPr>
                <w:spacing w:val="-7"/>
                <w:sz w:val="21"/>
              </w:rPr>
              <w:t> 年您和我们未达成协议的，本附加合同终止， </w:t>
            </w:r>
            <w:r>
              <w:rPr>
                <w:spacing w:val="-3"/>
                <w:sz w:val="21"/>
              </w:rPr>
              <w:t>您可以向我们申请退还本附加合同效力中止时的现金价值。</w:t>
            </w:r>
          </w:p>
          <w:p>
            <w:pPr>
              <w:pStyle w:val="TableParagraph"/>
              <w:spacing w:before="7"/>
              <w:rPr>
                <w:sz w:val="21"/>
              </w:rPr>
            </w:pPr>
            <w:r>
              <w:rPr>
                <w:sz w:val="21"/>
              </w:rPr>
              <w:t>主合同效力中止期间，本附加合同不得单独申请复效。</w:t>
            </w:r>
          </w:p>
        </w:tc>
      </w:tr>
      <w:tr>
        <w:trPr>
          <w:trHeight w:val="790" w:hRule="atLeast"/>
        </w:trPr>
        <w:tc>
          <w:tcPr>
            <w:tcW w:w="875" w:type="dxa"/>
            <w:tcBorders>
              <w:bottom w:val="double" w:sz="1" w:space="0" w:color="000000"/>
            </w:tcBorders>
          </w:tcPr>
          <w:p>
            <w:pPr>
              <w:pStyle w:val="TableParagraph"/>
              <w:spacing w:before="11"/>
              <w:ind w:left="0"/>
              <w:rPr>
                <w:rFonts w:ascii="Times New Roman"/>
                <w:sz w:val="21"/>
              </w:rPr>
            </w:pPr>
          </w:p>
          <w:p>
            <w:pPr>
              <w:pStyle w:val="TableParagraph"/>
              <w:ind w:left="118"/>
              <w:rPr>
                <w:b/>
                <w:sz w:val="28"/>
              </w:rPr>
            </w:pPr>
            <w:r>
              <w:rPr>
                <w:b/>
                <w:w w:val="99"/>
                <w:sz w:val="28"/>
              </w:rPr>
              <w:t>8</w:t>
            </w:r>
          </w:p>
        </w:tc>
        <w:tc>
          <w:tcPr>
            <w:tcW w:w="1829" w:type="dxa"/>
            <w:tcBorders>
              <w:bottom w:val="double" w:sz="1" w:space="0" w:color="000000"/>
            </w:tcBorders>
          </w:tcPr>
          <w:p>
            <w:pPr>
              <w:pStyle w:val="TableParagraph"/>
              <w:spacing w:before="11"/>
              <w:ind w:left="0"/>
              <w:rPr>
                <w:rFonts w:ascii="Times New Roman"/>
                <w:sz w:val="21"/>
              </w:rPr>
            </w:pPr>
          </w:p>
          <w:p>
            <w:pPr>
              <w:pStyle w:val="TableParagraph"/>
              <w:ind w:left="439"/>
              <w:rPr>
                <w:b/>
                <w:sz w:val="28"/>
              </w:rPr>
            </w:pPr>
            <w:r>
              <w:rPr>
                <w:b/>
                <w:sz w:val="28"/>
              </w:rPr>
              <w:t>合同解除</w:t>
            </w:r>
          </w:p>
        </w:tc>
        <w:tc>
          <w:tcPr>
            <w:tcW w:w="7531" w:type="dxa"/>
            <w:tcBorders>
              <w:bottom w:val="double" w:sz="1" w:space="0" w:color="000000"/>
            </w:tcBorders>
          </w:tcPr>
          <w:p>
            <w:pPr>
              <w:pStyle w:val="TableParagraph"/>
              <w:ind w:left="0"/>
              <w:rPr>
                <w:rFonts w:ascii="Times New Roman"/>
                <w:sz w:val="20"/>
              </w:rPr>
            </w:pPr>
          </w:p>
        </w:tc>
      </w:tr>
      <w:tr>
        <w:trPr>
          <w:trHeight w:val="3604" w:hRule="atLeast"/>
        </w:trPr>
        <w:tc>
          <w:tcPr>
            <w:tcW w:w="875" w:type="dxa"/>
            <w:tcBorders>
              <w:top w:val="double" w:sz="1" w:space="0" w:color="000000"/>
            </w:tcBorders>
          </w:tcPr>
          <w:p>
            <w:pPr>
              <w:pStyle w:val="TableParagraph"/>
              <w:spacing w:before="11"/>
              <w:ind w:left="0"/>
              <w:rPr>
                <w:rFonts w:ascii="Times New Roman"/>
                <w:sz w:val="15"/>
              </w:rPr>
            </w:pPr>
          </w:p>
          <w:p>
            <w:pPr>
              <w:pStyle w:val="TableParagraph"/>
              <w:ind w:left="118"/>
              <w:rPr>
                <w:b/>
                <w:sz w:val="21"/>
              </w:rPr>
            </w:pPr>
            <w:r>
              <w:rPr>
                <w:b/>
                <w:sz w:val="21"/>
              </w:rPr>
              <w:t>8.1</w:t>
            </w:r>
          </w:p>
        </w:tc>
        <w:tc>
          <w:tcPr>
            <w:tcW w:w="182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39" w:right="79"/>
              <w:jc w:val="both"/>
              <w:rPr>
                <w:b/>
                <w:sz w:val="21"/>
              </w:rPr>
            </w:pPr>
            <w:r>
              <w:rPr>
                <w:b/>
                <w:sz w:val="21"/>
              </w:rPr>
              <w:t>犹豫期后解除合同（退保）的手续及风险</w:t>
            </w:r>
          </w:p>
        </w:tc>
        <w:tc>
          <w:tcPr>
            <w:tcW w:w="7531"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02"/>
              <w:rPr>
                <w:sz w:val="21"/>
              </w:rPr>
            </w:pPr>
            <w:r>
              <w:rPr>
                <w:spacing w:val="2"/>
                <w:sz w:val="21"/>
              </w:rPr>
              <w:t>除您投保时与我们另有约定外，如您在犹豫期后申请解除本附加合同（简称退</w:t>
            </w:r>
            <w:r>
              <w:rPr>
                <w:w w:val="100"/>
                <w:sz w:val="21"/>
              </w:rPr>
              <w:t>保</w:t>
            </w:r>
            <w:r>
              <w:rPr>
                <w:spacing w:val="-106"/>
                <w:w w:val="100"/>
                <w:sz w:val="21"/>
              </w:rPr>
              <w:t>）</w:t>
            </w:r>
            <w:r>
              <w:rPr>
                <w:spacing w:val="-3"/>
                <w:w w:val="100"/>
                <w:sz w:val="21"/>
              </w:rPr>
              <w:t>，请填写解除合同申请书并向我们提供下列资料：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（2）您的法定有效身份证明。</w:t>
            </w:r>
          </w:p>
          <w:p>
            <w:pPr>
              <w:pStyle w:val="TableParagraph"/>
              <w:spacing w:line="273" w:lineRule="auto" w:before="37"/>
              <w:ind w:right="101"/>
              <w:jc w:val="both"/>
              <w:rPr>
                <w:sz w:val="21"/>
              </w:rPr>
            </w:pPr>
            <w:r>
              <w:rPr>
                <w:spacing w:val="-5"/>
                <w:sz w:val="21"/>
              </w:rPr>
              <w:t>自我们收到解除合同申请书时起，本附加合同终止。我们自收到解除合同申请书</w:t>
            </w:r>
            <w:r>
              <w:rPr>
                <w:sz w:val="21"/>
              </w:rPr>
              <w:t>之日起 30</w:t>
            </w:r>
            <w:r>
              <w:rPr>
                <w:spacing w:val="-3"/>
                <w:sz w:val="21"/>
              </w:rPr>
              <w:t> 日内，除您投保时与我们另有约定外，向您退还本附加合同当时的现金价值。</w:t>
            </w:r>
          </w:p>
          <w:p>
            <w:pPr>
              <w:pStyle w:val="TableParagraph"/>
              <w:spacing w:line="273" w:lineRule="auto" w:before="8"/>
              <w:ind w:right="64"/>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8"/>
              <w:jc w:val="both"/>
              <w:rPr>
                <w:sz w:val="21"/>
              </w:rPr>
            </w:pPr>
            <w:r>
              <w:rPr>
                <w:sz w:val="21"/>
              </w:rPr>
              <w:t>您犹豫期后解除合同会遭受一定损失。</w:t>
            </w:r>
          </w:p>
        </w:tc>
      </w:tr>
      <w:tr>
        <w:trPr>
          <w:trHeight w:val="789" w:hRule="atLeast"/>
        </w:trPr>
        <w:tc>
          <w:tcPr>
            <w:tcW w:w="875" w:type="dxa"/>
            <w:tcBorders>
              <w:bottom w:val="double" w:sz="1" w:space="0" w:color="000000"/>
            </w:tcBorders>
          </w:tcPr>
          <w:p>
            <w:pPr>
              <w:pStyle w:val="TableParagraph"/>
              <w:spacing w:before="251"/>
              <w:ind w:left="118"/>
              <w:rPr>
                <w:b/>
                <w:sz w:val="28"/>
              </w:rPr>
            </w:pPr>
            <w:r>
              <w:rPr>
                <w:b/>
                <w:w w:val="99"/>
                <w:sz w:val="28"/>
              </w:rPr>
              <w:t>9</w:t>
            </w:r>
          </w:p>
        </w:tc>
        <w:tc>
          <w:tcPr>
            <w:tcW w:w="1829" w:type="dxa"/>
            <w:tcBorders>
              <w:bottom w:val="double" w:sz="1" w:space="0" w:color="000000"/>
            </w:tcBorders>
          </w:tcPr>
          <w:p>
            <w:pPr>
              <w:pStyle w:val="TableParagraph"/>
              <w:spacing w:before="251"/>
              <w:ind w:left="439"/>
              <w:rPr>
                <w:b/>
                <w:sz w:val="28"/>
              </w:rPr>
            </w:pPr>
            <w:r>
              <w:rPr>
                <w:b/>
                <w:sz w:val="28"/>
              </w:rPr>
              <w:t>如实告知</w:t>
            </w:r>
          </w:p>
        </w:tc>
        <w:tc>
          <w:tcPr>
            <w:tcW w:w="7531" w:type="dxa"/>
            <w:tcBorders>
              <w:bottom w:val="double" w:sz="1" w:space="0" w:color="000000"/>
            </w:tcBorders>
          </w:tcPr>
          <w:p>
            <w:pPr>
              <w:pStyle w:val="TableParagraph"/>
              <w:ind w:left="0"/>
              <w:rPr>
                <w:rFonts w:ascii="Times New Roman"/>
                <w:sz w:val="20"/>
              </w:rPr>
            </w:pPr>
          </w:p>
        </w:tc>
      </w:tr>
      <w:tr>
        <w:trPr>
          <w:trHeight w:val="4682" w:hRule="atLeast"/>
        </w:trPr>
        <w:tc>
          <w:tcPr>
            <w:tcW w:w="875" w:type="dxa"/>
            <w:tcBorders>
              <w:top w:val="double" w:sz="1" w:space="0" w:color="000000"/>
            </w:tcBorders>
          </w:tcPr>
          <w:p>
            <w:pPr>
              <w:pStyle w:val="TableParagraph"/>
              <w:spacing w:before="2"/>
              <w:ind w:left="0"/>
              <w:rPr>
                <w:rFonts w:ascii="Times New Roman"/>
                <w:sz w:val="16"/>
              </w:rPr>
            </w:pPr>
          </w:p>
          <w:p>
            <w:pPr>
              <w:pStyle w:val="TableParagraph"/>
              <w:ind w:left="118"/>
              <w:rPr>
                <w:b/>
                <w:sz w:val="21"/>
              </w:rPr>
            </w:pPr>
            <w:r>
              <w:rPr>
                <w:b/>
                <w:sz w:val="21"/>
              </w:rPr>
              <w:t>9.1</w:t>
            </w:r>
          </w:p>
        </w:tc>
        <w:tc>
          <w:tcPr>
            <w:tcW w:w="182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39" w:right="79"/>
              <w:rPr>
                <w:b/>
                <w:sz w:val="21"/>
              </w:rPr>
            </w:pPr>
            <w:r>
              <w:rPr>
                <w:b/>
                <w:sz w:val="21"/>
              </w:rPr>
              <w:t>明确说明与如实告知</w:t>
            </w:r>
          </w:p>
        </w:tc>
        <w:tc>
          <w:tcPr>
            <w:tcW w:w="7531"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订立本附加合同时，我们会向您说明本附加合同的内容。</w:t>
            </w:r>
          </w:p>
          <w:p>
            <w:pPr>
              <w:pStyle w:val="TableParagraph"/>
              <w:spacing w:line="273" w:lineRule="auto" w:before="37"/>
              <w:ind w:right="101"/>
              <w:jc w:val="both"/>
              <w:rPr>
                <w:sz w:val="21"/>
              </w:rPr>
            </w:pPr>
            <w:r>
              <w:rPr>
                <w:spacing w:val="-5"/>
                <w:sz w:val="21"/>
              </w:rPr>
              <w:t>对保险条款中免除我们责任的条款，我们在订立合同时会在投保单、保险单或者其他保险凭证上作出足以引起您注意的提示，并对该条款的内容以书面或者口头</w:t>
            </w:r>
            <w:r>
              <w:rPr>
                <w:spacing w:val="-4"/>
                <w:sz w:val="21"/>
              </w:rPr>
              <w:t>形式向您作出明确说明，未作提示或者明确说明的，该条款不产生效力。</w:t>
            </w:r>
          </w:p>
          <w:p>
            <w:pPr>
              <w:pStyle w:val="TableParagraph"/>
              <w:spacing w:before="7"/>
              <w:rPr>
                <w:sz w:val="21"/>
              </w:rPr>
            </w:pPr>
            <w:r>
              <w:rPr>
                <w:sz w:val="21"/>
              </w:rPr>
              <w:t>我们就您和被保险人的有关情况提出询问，您应当如实告知。</w:t>
            </w:r>
          </w:p>
          <w:p>
            <w:pPr>
              <w:pStyle w:val="TableParagraph"/>
              <w:spacing w:line="273" w:lineRule="auto" w:before="37"/>
              <w:ind w:right="101"/>
              <w:jc w:val="both"/>
              <w:rPr>
                <w:sz w:val="21"/>
              </w:rPr>
            </w:pPr>
            <w:r>
              <w:rPr>
                <w:spacing w:val="-4"/>
                <w:sz w:val="21"/>
              </w:rPr>
              <w:t>如果您故意或者因重大过失未履行前款规定的如实告知义务，足以影响我们决定</w:t>
            </w:r>
            <w:r>
              <w:rPr>
                <w:spacing w:val="-3"/>
                <w:sz w:val="21"/>
              </w:rPr>
              <w:t>是否同意承保或者提高保险费率的，我们有权解除本附加合同。</w:t>
            </w:r>
          </w:p>
          <w:p>
            <w:pPr>
              <w:pStyle w:val="TableParagraph"/>
              <w:spacing w:line="273" w:lineRule="auto" w:before="8"/>
              <w:ind w:right="103"/>
              <w:jc w:val="both"/>
              <w:rPr>
                <w:sz w:val="21"/>
              </w:rPr>
            </w:pPr>
            <w:r>
              <w:rPr>
                <w:spacing w:val="-5"/>
                <w:sz w:val="21"/>
              </w:rPr>
              <w:t>如果您故意不履行如实告知义务，对于本附加合同解除前发生的保险事故，我们</w:t>
            </w:r>
            <w:r>
              <w:rPr>
                <w:spacing w:val="-4"/>
                <w:sz w:val="21"/>
              </w:rPr>
              <w:t>不承担给付保险金的责任，并不退还保险费。</w:t>
            </w:r>
          </w:p>
          <w:p>
            <w:pPr>
              <w:pStyle w:val="TableParagraph"/>
              <w:spacing w:line="273" w:lineRule="auto" w:before="8"/>
              <w:ind w:right="103"/>
              <w:jc w:val="both"/>
              <w:rPr>
                <w:sz w:val="21"/>
              </w:rPr>
            </w:pPr>
            <w:r>
              <w:rPr>
                <w:spacing w:val="-5"/>
                <w:sz w:val="21"/>
              </w:rPr>
              <w:t>如果您因重大过失未履行如实告知义务，对保险事故的发生有严重影响的，对于</w:t>
            </w:r>
            <w:r>
              <w:rPr>
                <w:spacing w:val="-6"/>
                <w:sz w:val="21"/>
              </w:rPr>
              <w:t>本附加合同解除前发生的保险事故，我们不承担给付保险金的责任，但应当退还</w:t>
            </w:r>
            <w:r>
              <w:rPr>
                <w:spacing w:val="-4"/>
                <w:sz w:val="21"/>
              </w:rPr>
              <w:t>保险费。</w:t>
            </w:r>
          </w:p>
          <w:p>
            <w:pPr>
              <w:pStyle w:val="TableParagraph"/>
              <w:spacing w:line="273" w:lineRule="auto" w:before="8"/>
              <w:ind w:right="101"/>
              <w:jc w:val="both"/>
              <w:rPr>
                <w:sz w:val="21"/>
              </w:rPr>
            </w:pPr>
            <w:r>
              <w:rPr>
                <w:spacing w:val="-5"/>
                <w:sz w:val="21"/>
              </w:rPr>
              <w:t>我们在合同订立时已经知道您未如实告知的情况的，我们不得解除合同；发生保</w:t>
            </w:r>
            <w:r>
              <w:rPr>
                <w:spacing w:val="-4"/>
                <w:sz w:val="21"/>
              </w:rPr>
              <w:t>险事故的，我们承担给付保险金的责任。</w:t>
            </w:r>
          </w:p>
        </w:tc>
      </w:tr>
      <w:tr>
        <w:trPr>
          <w:trHeight w:val="1338" w:hRule="atLeast"/>
        </w:trPr>
        <w:tc>
          <w:tcPr>
            <w:tcW w:w="875" w:type="dxa"/>
          </w:tcPr>
          <w:p>
            <w:pPr>
              <w:pStyle w:val="TableParagraph"/>
              <w:spacing w:before="100"/>
              <w:ind w:left="118"/>
              <w:rPr>
                <w:b/>
                <w:sz w:val="21"/>
              </w:rPr>
            </w:pPr>
            <w:r>
              <w:rPr>
                <w:b/>
                <w:sz w:val="21"/>
              </w:rPr>
              <w:t>9.2</w:t>
            </w:r>
          </w:p>
        </w:tc>
        <w:tc>
          <w:tcPr>
            <w:tcW w:w="1829" w:type="dxa"/>
          </w:tcPr>
          <w:p>
            <w:pPr>
              <w:pStyle w:val="TableParagraph"/>
              <w:spacing w:line="273" w:lineRule="auto" w:before="100"/>
              <w:ind w:left="439" w:right="79"/>
              <w:jc w:val="both"/>
              <w:rPr>
                <w:b/>
                <w:sz w:val="21"/>
              </w:rPr>
            </w:pPr>
            <w:r>
              <w:rPr>
                <w:b/>
                <w:sz w:val="21"/>
              </w:rPr>
              <w:t>本公司合同解除权的限制</w:t>
            </w:r>
          </w:p>
        </w:tc>
        <w:tc>
          <w:tcPr>
            <w:tcW w:w="7531" w:type="dxa"/>
          </w:tcPr>
          <w:p>
            <w:pPr>
              <w:pStyle w:val="TableParagraph"/>
              <w:spacing w:before="100"/>
              <w:rPr>
                <w:sz w:val="21"/>
              </w:rPr>
            </w:pPr>
            <w:r>
              <w:rPr>
                <w:sz w:val="21"/>
              </w:rPr>
              <w:t>前条规定的合同解除权，自我们知道有解除事由之日起，超过 30 日不行使而消</w:t>
            </w:r>
          </w:p>
          <w:p>
            <w:pPr>
              <w:pStyle w:val="TableParagraph"/>
              <w:spacing w:line="273" w:lineRule="auto" w:before="36"/>
              <w:ind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90" w:hRule="atLeast"/>
        </w:trPr>
        <w:tc>
          <w:tcPr>
            <w:tcW w:w="875" w:type="dxa"/>
            <w:tcBorders>
              <w:bottom w:val="double" w:sz="1" w:space="0" w:color="000000"/>
            </w:tcBorders>
          </w:tcPr>
          <w:p>
            <w:pPr>
              <w:pStyle w:val="TableParagraph"/>
              <w:spacing w:before="11"/>
              <w:ind w:left="0"/>
              <w:rPr>
                <w:rFonts w:ascii="Times New Roman"/>
                <w:sz w:val="21"/>
              </w:rPr>
            </w:pPr>
          </w:p>
          <w:p>
            <w:pPr>
              <w:pStyle w:val="TableParagraph"/>
              <w:ind w:left="118"/>
              <w:rPr>
                <w:b/>
                <w:sz w:val="28"/>
              </w:rPr>
            </w:pPr>
            <w:r>
              <w:rPr>
                <w:b/>
                <w:sz w:val="28"/>
              </w:rPr>
              <w:t>10</w:t>
            </w:r>
          </w:p>
        </w:tc>
        <w:tc>
          <w:tcPr>
            <w:tcW w:w="9360" w:type="dxa"/>
            <w:gridSpan w:val="2"/>
            <w:tcBorders>
              <w:bottom w:val="double" w:sz="1" w:space="0" w:color="000000"/>
            </w:tcBorders>
          </w:tcPr>
          <w:p>
            <w:pPr>
              <w:pStyle w:val="TableParagraph"/>
              <w:spacing w:before="11"/>
              <w:ind w:left="0"/>
              <w:rPr>
                <w:rFonts w:ascii="Times New Roman"/>
                <w:sz w:val="21"/>
              </w:rPr>
            </w:pPr>
          </w:p>
          <w:p>
            <w:pPr>
              <w:pStyle w:val="TableParagraph"/>
              <w:ind w:left="439"/>
              <w:rPr>
                <w:b/>
                <w:sz w:val="28"/>
              </w:rPr>
            </w:pPr>
            <w:r>
              <w:rPr>
                <w:b/>
                <w:w w:val="95"/>
                <w:sz w:val="28"/>
              </w:rPr>
              <w:t>其他需要关注的事项</w:t>
            </w:r>
          </w:p>
        </w:tc>
      </w:tr>
    </w:tbl>
    <w:p>
      <w:pPr>
        <w:spacing w:after="0"/>
        <w:rPr>
          <w:sz w:val="28"/>
        </w:rPr>
        <w:sectPr>
          <w:pgSz w:w="11910" w:h="16840"/>
          <w:pgMar w:header="568" w:footer="0" w:top="800" w:bottom="280" w:left="760" w:right="70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776"/>
        <w:gridCol w:w="7533"/>
      </w:tblGrid>
      <w:tr>
        <w:trPr>
          <w:trHeight w:val="3494" w:hRule="atLeast"/>
        </w:trPr>
        <w:tc>
          <w:tcPr>
            <w:tcW w:w="917" w:type="dxa"/>
          </w:tcPr>
          <w:p>
            <w:pPr>
              <w:pStyle w:val="TableParagraph"/>
              <w:spacing w:line="211" w:lineRule="exact"/>
              <w:ind w:left="107"/>
              <w:rPr>
                <w:b/>
                <w:sz w:val="21"/>
              </w:rPr>
            </w:pPr>
            <w:r>
              <w:rPr>
                <w:b/>
                <w:sz w:val="21"/>
              </w:rPr>
              <w:t>10.1</w:t>
            </w:r>
          </w:p>
        </w:tc>
        <w:tc>
          <w:tcPr>
            <w:tcW w:w="1776" w:type="dxa"/>
          </w:tcPr>
          <w:p>
            <w:pPr>
              <w:pStyle w:val="TableParagraph"/>
              <w:spacing w:line="211" w:lineRule="exact"/>
              <w:ind w:left="386"/>
              <w:rPr>
                <w:b/>
                <w:sz w:val="21"/>
              </w:rPr>
            </w:pPr>
            <w:r>
              <w:rPr>
                <w:b/>
                <w:sz w:val="21"/>
              </w:rPr>
              <w:t>年龄性别错 </w:t>
            </w:r>
          </w:p>
          <w:p>
            <w:pPr>
              <w:pStyle w:val="TableParagraph"/>
              <w:spacing w:before="37"/>
              <w:ind w:left="386"/>
              <w:rPr>
                <w:b/>
                <w:sz w:val="21"/>
              </w:rPr>
            </w:pPr>
            <w:r>
              <w:rPr>
                <w:b/>
                <w:sz w:val="21"/>
              </w:rPr>
              <w:t>误处理</w:t>
            </w:r>
          </w:p>
        </w:tc>
        <w:tc>
          <w:tcPr>
            <w:tcW w:w="7533" w:type="dxa"/>
          </w:tcPr>
          <w:p>
            <w:pPr>
              <w:pStyle w:val="TableParagraph"/>
              <w:spacing w:line="211" w:lineRule="exact"/>
              <w:ind w:left="84"/>
              <w:rPr>
                <w:sz w:val="21"/>
              </w:rPr>
            </w:pPr>
            <w:r>
              <w:rPr>
                <w:sz w:val="21"/>
              </w:rPr>
              <w:t>被保险人的年龄以周岁计算，您在申请投保时，应将与法定有效身份证件相符的</w:t>
            </w:r>
          </w:p>
          <w:p>
            <w:pPr>
              <w:pStyle w:val="TableParagraph"/>
              <w:spacing w:line="273" w:lineRule="auto" w:before="37"/>
              <w:ind w:right="85"/>
              <w:rPr>
                <w:sz w:val="21"/>
              </w:rPr>
            </w:pPr>
            <w:r>
              <w:rPr>
                <w:sz w:val="21"/>
              </w:rPr>
              <w:t>被保险人的出生日期、年龄及真实性别在投保单上填明，如果发生错误按照下列方式办理：</w:t>
            </w:r>
          </w:p>
          <w:p>
            <w:pPr>
              <w:pStyle w:val="TableParagraph"/>
              <w:spacing w:line="266" w:lineRule="auto" w:before="7"/>
              <w:ind w:left="586"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9.2</w:t>
            </w:r>
            <w:r>
              <w:rPr>
                <w:spacing w:val="-3"/>
                <w:sz w:val="21"/>
              </w:rPr>
              <w:t>“本公司合同解除权的限制”的规定。</w:t>
            </w:r>
          </w:p>
          <w:p>
            <w:pPr>
              <w:pStyle w:val="TableParagraph"/>
              <w:spacing w:line="273" w:lineRule="auto" w:before="11"/>
              <w:ind w:left="586" w:right="103"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6" w:right="115" w:hanging="504"/>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17" w:type="dxa"/>
          </w:tcPr>
          <w:p>
            <w:pPr>
              <w:pStyle w:val="TableParagraph"/>
              <w:spacing w:before="99"/>
              <w:ind w:left="107"/>
              <w:rPr>
                <w:b/>
                <w:sz w:val="21"/>
              </w:rPr>
            </w:pPr>
            <w:r>
              <w:rPr>
                <w:b/>
                <w:sz w:val="21"/>
              </w:rPr>
              <w:t>10.2</w:t>
            </w:r>
          </w:p>
        </w:tc>
        <w:tc>
          <w:tcPr>
            <w:tcW w:w="1776" w:type="dxa"/>
          </w:tcPr>
          <w:p>
            <w:pPr>
              <w:pStyle w:val="TableParagraph"/>
              <w:spacing w:line="273" w:lineRule="auto" w:before="99"/>
              <w:ind w:left="386" w:right="79"/>
              <w:rPr>
                <w:b/>
                <w:sz w:val="21"/>
              </w:rPr>
            </w:pPr>
            <w:r>
              <w:rPr>
                <w:b/>
                <w:sz w:val="21"/>
              </w:rPr>
              <w:t>合同效力终止</w:t>
            </w:r>
          </w:p>
        </w:tc>
        <w:tc>
          <w:tcPr>
            <w:tcW w:w="7533" w:type="dxa"/>
          </w:tcPr>
          <w:p>
            <w:pPr>
              <w:pStyle w:val="TableParagraph"/>
              <w:spacing w:before="99"/>
              <w:rPr>
                <w:sz w:val="21"/>
              </w:rPr>
            </w:pPr>
            <w:r>
              <w:rPr>
                <w:sz w:val="21"/>
              </w:rPr>
              <w:t>当发生下列情形之一时，本附加合同效力终止：</w:t>
            </w:r>
          </w:p>
          <w:p>
            <w:pPr>
              <w:pStyle w:val="TableParagraph"/>
              <w:spacing w:before="36"/>
              <w:rPr>
                <w:sz w:val="21"/>
              </w:rPr>
            </w:pPr>
            <w:r>
              <w:rPr>
                <w:sz w:val="21"/>
              </w:rPr>
              <w:t>（</w:t>
            </w:r>
            <w:r>
              <w:rPr>
                <w:rFonts w:ascii="Times New Roman" w:eastAsia="Times New Roman"/>
                <w:sz w:val="21"/>
              </w:rPr>
              <w:t>1</w:t>
            </w:r>
            <w:r>
              <w:rPr>
                <w:sz w:val="21"/>
              </w:rPr>
              <w:t>）主合同效力终止；</w:t>
            </w:r>
          </w:p>
          <w:p>
            <w:pPr>
              <w:pStyle w:val="TableParagraph"/>
              <w:spacing w:before="21"/>
              <w:rPr>
                <w:sz w:val="21"/>
              </w:rPr>
            </w:pPr>
            <w:r>
              <w:rPr>
                <w:sz w:val="21"/>
              </w:rPr>
              <w:t>（</w:t>
            </w:r>
            <w:r>
              <w:rPr>
                <w:rFonts w:ascii="Times New Roman" w:eastAsia="Times New Roman"/>
                <w:sz w:val="21"/>
              </w:rPr>
              <w:t>2</w:t>
            </w:r>
            <w:r>
              <w:rPr>
                <w:sz w:val="21"/>
              </w:rPr>
              <w:t>）主合同办理减额交清；</w:t>
            </w:r>
          </w:p>
          <w:p>
            <w:pPr>
              <w:pStyle w:val="TableParagraph"/>
              <w:spacing w:before="21"/>
              <w:rPr>
                <w:sz w:val="21"/>
              </w:rPr>
            </w:pPr>
            <w:r>
              <w:rPr>
                <w:sz w:val="21"/>
              </w:rPr>
              <w:t>（</w:t>
            </w:r>
            <w:r>
              <w:rPr>
                <w:rFonts w:ascii="Times New Roman" w:eastAsia="Times New Roman"/>
                <w:sz w:val="21"/>
              </w:rPr>
              <w:t>3</w:t>
            </w:r>
            <w:r>
              <w:rPr>
                <w:sz w:val="21"/>
              </w:rPr>
              <w:t>）您申请解除本附加合同；</w:t>
            </w:r>
          </w:p>
          <w:p>
            <w:pPr>
              <w:pStyle w:val="TableParagraph"/>
              <w:spacing w:before="21"/>
              <w:rPr>
                <w:sz w:val="21"/>
              </w:rPr>
            </w:pPr>
            <w:r>
              <w:rPr>
                <w:sz w:val="21"/>
              </w:rPr>
              <w:t>（</w:t>
            </w:r>
            <w:r>
              <w:rPr>
                <w:rFonts w:ascii="Times New Roman" w:eastAsia="Times New Roman"/>
                <w:sz w:val="21"/>
              </w:rPr>
              <w:t>4</w:t>
            </w:r>
            <w:r>
              <w:rPr>
                <w:sz w:val="21"/>
              </w:rPr>
              <w:t>）因本附加合同其他条款所列情况而效力终止。</w:t>
            </w:r>
          </w:p>
        </w:tc>
      </w:tr>
      <w:tr>
        <w:trPr>
          <w:trHeight w:val="2358" w:hRule="atLeast"/>
        </w:trPr>
        <w:tc>
          <w:tcPr>
            <w:tcW w:w="917" w:type="dxa"/>
          </w:tcPr>
          <w:p>
            <w:pPr>
              <w:pStyle w:val="TableParagraph"/>
              <w:spacing w:before="92"/>
              <w:ind w:left="107"/>
              <w:rPr>
                <w:b/>
                <w:sz w:val="21"/>
              </w:rPr>
            </w:pPr>
            <w:r>
              <w:rPr>
                <w:b/>
                <w:sz w:val="21"/>
              </w:rPr>
              <w:t>10.3</w:t>
            </w:r>
          </w:p>
        </w:tc>
        <w:tc>
          <w:tcPr>
            <w:tcW w:w="1776" w:type="dxa"/>
          </w:tcPr>
          <w:p>
            <w:pPr>
              <w:pStyle w:val="TableParagraph"/>
              <w:spacing w:line="273" w:lineRule="auto" w:before="92"/>
              <w:ind w:left="386" w:right="79"/>
              <w:rPr>
                <w:b/>
                <w:sz w:val="21"/>
              </w:rPr>
            </w:pPr>
            <w:r>
              <w:rPr>
                <w:b/>
                <w:sz w:val="21"/>
              </w:rPr>
              <w:t>适用主合同条款</w:t>
            </w:r>
          </w:p>
        </w:tc>
        <w:tc>
          <w:tcPr>
            <w:tcW w:w="7533" w:type="dxa"/>
          </w:tcPr>
          <w:p>
            <w:pPr>
              <w:pStyle w:val="TableParagraph"/>
              <w:spacing w:before="92"/>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）未还款项；</w:t>
            </w:r>
          </w:p>
          <w:p>
            <w:pPr>
              <w:pStyle w:val="TableParagraph"/>
              <w:spacing w:before="20"/>
              <w:rPr>
                <w:sz w:val="21"/>
              </w:rPr>
            </w:pPr>
            <w:r>
              <w:rPr>
                <w:sz w:val="21"/>
              </w:rPr>
              <w:t>（</w:t>
            </w:r>
            <w:r>
              <w:rPr>
                <w:rFonts w:ascii="Times New Roman" w:eastAsia="Times New Roman"/>
                <w:sz w:val="21"/>
              </w:rPr>
              <w:t>3</w:t>
            </w:r>
            <w:r>
              <w:rPr>
                <w:sz w:val="21"/>
              </w:rPr>
              <w:t>）合同内容变更；</w:t>
            </w:r>
          </w:p>
          <w:p>
            <w:pPr>
              <w:pStyle w:val="TableParagraph"/>
              <w:spacing w:before="20"/>
              <w:rPr>
                <w:sz w:val="21"/>
              </w:rPr>
            </w:pPr>
            <w:r>
              <w:rPr>
                <w:sz w:val="21"/>
              </w:rPr>
              <w:t>（</w:t>
            </w:r>
            <w:r>
              <w:rPr>
                <w:rFonts w:ascii="Times New Roman" w:eastAsia="Times New Roman"/>
                <w:sz w:val="21"/>
              </w:rPr>
              <w:t>4</w:t>
            </w:r>
            <w:r>
              <w:rPr>
                <w:sz w:val="21"/>
              </w:rPr>
              <w:t>）联系方式变更；</w:t>
            </w:r>
          </w:p>
          <w:p>
            <w:pPr>
              <w:pStyle w:val="TableParagraph"/>
              <w:spacing w:before="20"/>
              <w:rPr>
                <w:sz w:val="21"/>
              </w:rPr>
            </w:pPr>
            <w:r>
              <w:rPr>
                <w:sz w:val="21"/>
              </w:rPr>
              <w:t>（</w:t>
            </w:r>
            <w:r>
              <w:rPr>
                <w:rFonts w:ascii="Times New Roman" w:eastAsia="Times New Roman"/>
                <w:sz w:val="21"/>
              </w:rPr>
              <w:t>5</w:t>
            </w:r>
            <w:r>
              <w:rPr>
                <w:sz w:val="21"/>
              </w:rPr>
              <w:t>）争议处理。</w:t>
            </w:r>
          </w:p>
        </w:tc>
      </w:tr>
      <w:tr>
        <w:trPr>
          <w:trHeight w:val="866" w:hRule="atLeast"/>
        </w:trPr>
        <w:tc>
          <w:tcPr>
            <w:tcW w:w="917" w:type="dxa"/>
            <w:tcBorders>
              <w:bottom w:val="double" w:sz="1" w:space="0" w:color="000000"/>
            </w:tcBorders>
          </w:tcPr>
          <w:p>
            <w:pPr>
              <w:pStyle w:val="TableParagraph"/>
              <w:spacing w:before="7"/>
              <w:ind w:left="0"/>
              <w:rPr>
                <w:rFonts w:ascii="Times New Roman"/>
                <w:sz w:val="28"/>
              </w:rPr>
            </w:pPr>
          </w:p>
          <w:p>
            <w:pPr>
              <w:pStyle w:val="TableParagraph"/>
              <w:ind w:left="107"/>
              <w:rPr>
                <w:b/>
                <w:sz w:val="28"/>
              </w:rPr>
            </w:pPr>
            <w:r>
              <w:rPr>
                <w:b/>
                <w:sz w:val="28"/>
              </w:rPr>
              <w:t>11</w:t>
            </w:r>
          </w:p>
        </w:tc>
        <w:tc>
          <w:tcPr>
            <w:tcW w:w="1776" w:type="dxa"/>
            <w:tcBorders>
              <w:bottom w:val="double" w:sz="1" w:space="0" w:color="000000"/>
            </w:tcBorders>
          </w:tcPr>
          <w:p>
            <w:pPr>
              <w:pStyle w:val="TableParagraph"/>
              <w:spacing w:before="7"/>
              <w:ind w:left="0"/>
              <w:rPr>
                <w:rFonts w:ascii="Times New Roman"/>
                <w:sz w:val="28"/>
              </w:rPr>
            </w:pPr>
          </w:p>
          <w:p>
            <w:pPr>
              <w:pStyle w:val="TableParagraph"/>
              <w:ind w:left="386"/>
              <w:rPr>
                <w:b/>
                <w:sz w:val="28"/>
              </w:rPr>
            </w:pPr>
            <w:r>
              <w:rPr>
                <w:b/>
                <w:w w:val="95"/>
                <w:sz w:val="28"/>
              </w:rPr>
              <w:t>释义</w:t>
            </w:r>
          </w:p>
        </w:tc>
        <w:tc>
          <w:tcPr>
            <w:tcW w:w="7533" w:type="dxa"/>
            <w:tcBorders>
              <w:bottom w:val="double" w:sz="1" w:space="0" w:color="000000"/>
            </w:tcBorders>
          </w:tcPr>
          <w:p>
            <w:pPr>
              <w:pStyle w:val="TableParagraph"/>
              <w:ind w:left="0"/>
              <w:rPr>
                <w:rFonts w:ascii="Times New Roman"/>
                <w:sz w:val="20"/>
              </w:rPr>
            </w:pPr>
          </w:p>
        </w:tc>
      </w:tr>
      <w:tr>
        <w:trPr>
          <w:trHeight w:val="594" w:hRule="atLeast"/>
        </w:trPr>
        <w:tc>
          <w:tcPr>
            <w:tcW w:w="10226" w:type="dxa"/>
            <w:gridSpan w:val="3"/>
            <w:tcBorders>
              <w:top w:val="double" w:sz="1" w:space="0" w:color="000000"/>
            </w:tcBorders>
          </w:tcPr>
          <w:p>
            <w:pPr>
              <w:pStyle w:val="TableParagraph"/>
              <w:spacing w:before="11"/>
              <w:ind w:left="0"/>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716" w:hRule="atLeast"/>
        </w:trPr>
        <w:tc>
          <w:tcPr>
            <w:tcW w:w="917" w:type="dxa"/>
          </w:tcPr>
          <w:p>
            <w:pPr>
              <w:pStyle w:val="TableParagraph"/>
              <w:spacing w:before="72"/>
              <w:ind w:left="107"/>
              <w:rPr>
                <w:b/>
                <w:sz w:val="21"/>
              </w:rPr>
            </w:pPr>
            <w:r>
              <w:rPr>
                <w:b/>
                <w:sz w:val="21"/>
              </w:rPr>
              <w:t>11.1</w:t>
            </w:r>
          </w:p>
        </w:tc>
        <w:tc>
          <w:tcPr>
            <w:tcW w:w="1776" w:type="dxa"/>
          </w:tcPr>
          <w:p>
            <w:pPr>
              <w:pStyle w:val="TableParagraph"/>
              <w:spacing w:before="72"/>
              <w:ind w:left="386"/>
              <w:rPr>
                <w:b/>
                <w:sz w:val="21"/>
              </w:rPr>
            </w:pPr>
            <w:r>
              <w:rPr>
                <w:b/>
                <w:sz w:val="21"/>
              </w:rPr>
              <w:t>保单年度</w:t>
            </w:r>
          </w:p>
        </w:tc>
        <w:tc>
          <w:tcPr>
            <w:tcW w:w="7533" w:type="dxa"/>
          </w:tcPr>
          <w:p>
            <w:pPr>
              <w:pStyle w:val="TableParagraph"/>
              <w:spacing w:line="273" w:lineRule="auto" w:before="72"/>
              <w:ind w:right="304"/>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31" w:hRule="atLeast"/>
        </w:trPr>
        <w:tc>
          <w:tcPr>
            <w:tcW w:w="917" w:type="dxa"/>
          </w:tcPr>
          <w:p>
            <w:pPr>
              <w:pStyle w:val="TableParagraph"/>
              <w:spacing w:line="269" w:lineRule="exact"/>
              <w:ind w:left="107"/>
              <w:rPr>
                <w:b/>
                <w:sz w:val="21"/>
              </w:rPr>
            </w:pPr>
            <w:r>
              <w:rPr>
                <w:b/>
                <w:sz w:val="21"/>
              </w:rPr>
              <w:t>11.2</w:t>
            </w:r>
          </w:p>
        </w:tc>
        <w:tc>
          <w:tcPr>
            <w:tcW w:w="1776" w:type="dxa"/>
          </w:tcPr>
          <w:p>
            <w:pPr>
              <w:pStyle w:val="TableParagraph"/>
              <w:spacing w:line="273" w:lineRule="auto"/>
              <w:ind w:left="386" w:right="331"/>
              <w:rPr>
                <w:b/>
                <w:sz w:val="21"/>
              </w:rPr>
            </w:pPr>
            <w:r>
              <w:rPr>
                <w:b/>
                <w:sz w:val="21"/>
              </w:rPr>
              <w:t>保险费约定交纳日</w:t>
            </w:r>
          </w:p>
        </w:tc>
        <w:tc>
          <w:tcPr>
            <w:tcW w:w="7533" w:type="dxa"/>
          </w:tcPr>
          <w:p>
            <w:pPr>
              <w:pStyle w:val="TableParagraph"/>
              <w:spacing w:line="273" w:lineRule="auto"/>
              <w:ind w:right="93"/>
              <w:rPr>
                <w:sz w:val="21"/>
              </w:rPr>
            </w:pPr>
            <w:r>
              <w:rPr>
                <w:sz w:val="21"/>
              </w:rPr>
              <w:t>保险合同生效日在每月、每季、每半年或每年（根据交费方式确定）的对应日。如果当月无对应的同一日，则以该月最后一日为对应日。</w:t>
            </w:r>
          </w:p>
        </w:tc>
      </w:tr>
      <w:tr>
        <w:trPr>
          <w:trHeight w:val="519" w:hRule="atLeast"/>
        </w:trPr>
        <w:tc>
          <w:tcPr>
            <w:tcW w:w="917" w:type="dxa"/>
          </w:tcPr>
          <w:p>
            <w:pPr>
              <w:pStyle w:val="TableParagraph"/>
              <w:spacing w:before="109"/>
              <w:ind w:left="107"/>
              <w:rPr>
                <w:b/>
                <w:sz w:val="21"/>
              </w:rPr>
            </w:pPr>
            <w:r>
              <w:rPr>
                <w:b/>
                <w:sz w:val="21"/>
              </w:rPr>
              <w:t>11.3</w:t>
            </w:r>
          </w:p>
        </w:tc>
        <w:tc>
          <w:tcPr>
            <w:tcW w:w="1776" w:type="dxa"/>
          </w:tcPr>
          <w:p>
            <w:pPr>
              <w:pStyle w:val="TableParagraph"/>
              <w:spacing w:before="109"/>
              <w:ind w:left="386"/>
              <w:rPr>
                <w:b/>
                <w:sz w:val="21"/>
              </w:rPr>
            </w:pPr>
            <w:r>
              <w:rPr>
                <w:b/>
                <w:sz w:val="21"/>
              </w:rPr>
              <w:t>意外伤害</w:t>
            </w:r>
          </w:p>
        </w:tc>
        <w:tc>
          <w:tcPr>
            <w:tcW w:w="7533" w:type="dxa"/>
          </w:tcPr>
          <w:p>
            <w:pPr>
              <w:pStyle w:val="TableParagraph"/>
              <w:spacing w:before="87"/>
              <w:rPr>
                <w:sz w:val="21"/>
              </w:rPr>
            </w:pPr>
            <w:r>
              <w:rPr>
                <w:spacing w:val="-13"/>
                <w:sz w:val="21"/>
              </w:rPr>
              <w:t>指遭受外来的、突发的、非本意的、非疾病的客观事件直接致使身体受到的伤害。</w:t>
            </w:r>
          </w:p>
        </w:tc>
      </w:tr>
      <w:tr>
        <w:trPr>
          <w:trHeight w:val="1418" w:hRule="atLeast"/>
        </w:trPr>
        <w:tc>
          <w:tcPr>
            <w:tcW w:w="917" w:type="dxa"/>
          </w:tcPr>
          <w:p>
            <w:pPr>
              <w:pStyle w:val="TableParagraph"/>
              <w:spacing w:before="72"/>
              <w:ind w:left="107"/>
              <w:rPr>
                <w:b/>
                <w:sz w:val="21"/>
              </w:rPr>
            </w:pPr>
            <w:r>
              <w:rPr>
                <w:b/>
                <w:sz w:val="21"/>
              </w:rPr>
              <w:t>11.4</w:t>
            </w:r>
          </w:p>
        </w:tc>
        <w:tc>
          <w:tcPr>
            <w:tcW w:w="1776" w:type="dxa"/>
          </w:tcPr>
          <w:p>
            <w:pPr>
              <w:pStyle w:val="TableParagraph"/>
              <w:spacing w:line="273" w:lineRule="auto" w:before="72"/>
              <w:ind w:left="386" w:right="331"/>
              <w:rPr>
                <w:b/>
                <w:sz w:val="21"/>
              </w:rPr>
            </w:pPr>
            <w:r>
              <w:rPr>
                <w:b/>
                <w:sz w:val="21"/>
              </w:rPr>
              <w:t>我们认可的医院</w:t>
            </w:r>
          </w:p>
        </w:tc>
        <w:tc>
          <w:tcPr>
            <w:tcW w:w="7533" w:type="dxa"/>
          </w:tcPr>
          <w:p>
            <w:pPr>
              <w:pStyle w:val="TableParagraph"/>
              <w:spacing w:line="273" w:lineRule="auto" w:before="72"/>
              <w:ind w:right="103"/>
              <w:jc w:val="both"/>
              <w:rPr>
                <w:sz w:val="21"/>
              </w:rPr>
            </w:pPr>
            <w:r>
              <w:rPr>
                <w:spacing w:val="-4"/>
                <w:sz w:val="21"/>
              </w:rPr>
              <w:t>指经中华人民共和国卫生部门评审确定的二级或二级以上的公立医院，但不包括</w:t>
            </w:r>
            <w:r>
              <w:rPr>
                <w:spacing w:val="-5"/>
                <w:sz w:val="21"/>
              </w:rPr>
              <w:t>精神病院及专供康复、休养、戒毒、戒酒、护理、养老等非以直接诊治病人为目</w:t>
            </w:r>
            <w:r>
              <w:rPr>
                <w:spacing w:val="2"/>
                <w:sz w:val="21"/>
              </w:rPr>
              <w:t>的的医疗机构。该医院必须具有符合国家有关医院管理规则设置标准的医疗设</w:t>
            </w:r>
            <w:r>
              <w:rPr>
                <w:spacing w:val="-3"/>
                <w:sz w:val="21"/>
              </w:rPr>
              <w:t>备，且全天二十四小时有合格医师及护士驻医院提供医疗及护理服务。</w:t>
            </w:r>
          </w:p>
        </w:tc>
      </w:tr>
      <w:tr>
        <w:trPr>
          <w:trHeight w:val="1594" w:hRule="atLeast"/>
        </w:trPr>
        <w:tc>
          <w:tcPr>
            <w:tcW w:w="917" w:type="dxa"/>
          </w:tcPr>
          <w:p>
            <w:pPr>
              <w:pStyle w:val="TableParagraph"/>
              <w:spacing w:before="72"/>
              <w:ind w:left="107"/>
              <w:rPr>
                <w:b/>
                <w:sz w:val="21"/>
              </w:rPr>
            </w:pPr>
            <w:r>
              <w:rPr>
                <w:b/>
                <w:sz w:val="21"/>
              </w:rPr>
              <w:t>11.5</w:t>
            </w:r>
          </w:p>
        </w:tc>
        <w:tc>
          <w:tcPr>
            <w:tcW w:w="1776" w:type="dxa"/>
          </w:tcPr>
          <w:p>
            <w:pPr>
              <w:pStyle w:val="TableParagraph"/>
              <w:spacing w:before="72"/>
              <w:ind w:left="386"/>
              <w:rPr>
                <w:b/>
                <w:sz w:val="21"/>
              </w:rPr>
            </w:pPr>
            <w:r>
              <w:rPr>
                <w:b/>
                <w:sz w:val="21"/>
              </w:rPr>
              <w:t>专科医生</w:t>
            </w:r>
          </w:p>
        </w:tc>
        <w:tc>
          <w:tcPr>
            <w:tcW w:w="7533" w:type="dxa"/>
          </w:tcPr>
          <w:p>
            <w:pPr>
              <w:pStyle w:val="TableParagraph"/>
              <w:spacing w:line="310" w:lineRule="atLeast" w:before="36"/>
              <w:ind w:right="103"/>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1"/>
                <w:w w:val="100"/>
                <w:sz w:val="21"/>
              </w:rPr>
              <w:t>医师执业证书》，并按期到相</w:t>
            </w:r>
            <w:r>
              <w:rPr>
                <w:spacing w:val="-20"/>
                <w:w w:val="100"/>
                <w:sz w:val="21"/>
              </w:rPr>
              <w:t>关部门登记注册；</w:t>
            </w:r>
            <w:r>
              <w:rPr>
                <w:spacing w:val="-3"/>
                <w:w w:val="100"/>
                <w:sz w:val="21"/>
              </w:rPr>
              <w:t>（</w:t>
            </w:r>
            <w:r>
              <w:rPr>
                <w:w w:val="100"/>
                <w:sz w:val="21"/>
              </w:rPr>
              <w:t>3</w:t>
            </w:r>
            <w:r>
              <w:rPr>
                <w:spacing w:val="-8"/>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bl>
    <w:p>
      <w:pPr>
        <w:spacing w:after="0" w:line="310" w:lineRule="atLeast"/>
        <w:jc w:val="both"/>
        <w:rPr>
          <w:sz w:val="21"/>
        </w:rPr>
        <w:sectPr>
          <w:pgSz w:w="11910" w:h="16840"/>
          <w:pgMar w:header="568" w:footer="0" w:top="800" w:bottom="280" w:left="760" w:right="700"/>
        </w:sectPr>
      </w:pPr>
    </w:p>
    <w:p>
      <w:pPr>
        <w:pStyle w:val="BodyText"/>
        <w:rPr>
          <w:rFonts w:ascii="Times New Roman"/>
          <w:sz w:val="20"/>
        </w:rPr>
      </w:pPr>
    </w:p>
    <w:p>
      <w:pPr>
        <w:pStyle w:val="BodyText"/>
        <w:spacing w:after="1"/>
        <w:rPr>
          <w:rFonts w:ascii="Times New Roman"/>
          <w:sz w:val="2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2"/>
      </w:tblGrid>
      <w:tr>
        <w:trPr>
          <w:trHeight w:val="6699" w:hRule="atLeast"/>
        </w:trPr>
        <w:tc>
          <w:tcPr>
            <w:tcW w:w="1062" w:type="dxa"/>
          </w:tcPr>
          <w:p>
            <w:pPr>
              <w:pStyle w:val="TableParagraph"/>
              <w:spacing w:line="211" w:lineRule="exact"/>
              <w:ind w:left="200"/>
              <w:rPr>
                <w:b/>
                <w:sz w:val="21"/>
              </w:rPr>
            </w:pPr>
            <w:r>
              <w:rPr>
                <w:b/>
                <w:sz w:val="21"/>
              </w:rPr>
              <w:t>11.6</w:t>
            </w:r>
          </w:p>
        </w:tc>
        <w:tc>
          <w:tcPr>
            <w:tcW w:w="1723" w:type="dxa"/>
          </w:tcPr>
          <w:p>
            <w:pPr>
              <w:pStyle w:val="TableParagraph"/>
              <w:spacing w:before="13"/>
              <w:ind w:left="333"/>
              <w:rPr>
                <w:b/>
                <w:sz w:val="21"/>
              </w:rPr>
            </w:pPr>
            <w:r>
              <w:rPr>
                <w:b/>
                <w:sz w:val="21"/>
              </w:rPr>
              <w:t>全残</w:t>
            </w:r>
          </w:p>
        </w:tc>
        <w:tc>
          <w:tcPr>
            <w:tcW w:w="7732" w:type="dxa"/>
          </w:tcPr>
          <w:p>
            <w:pPr>
              <w:pStyle w:val="TableParagraph"/>
              <w:spacing w:line="211" w:lineRule="exact"/>
              <w:jc w:val="both"/>
              <w:rPr>
                <w:sz w:val="21"/>
              </w:rPr>
            </w:pPr>
            <w:r>
              <w:rPr>
                <w:sz w:val="21"/>
              </w:rPr>
              <w:t>全残,指被保险人在本附加合同有效期内发生下列任何一种情形:</w:t>
            </w:r>
          </w:p>
          <w:p>
            <w:pPr>
              <w:pStyle w:val="TableParagraph"/>
              <w:numPr>
                <w:ilvl w:val="0"/>
                <w:numId w:val="3"/>
              </w:numPr>
              <w:tabs>
                <w:tab w:pos="505" w:val="left" w:leader="none"/>
              </w:tabs>
              <w:spacing w:line="240" w:lineRule="auto" w:before="37" w:after="0"/>
              <w:ind w:left="82" w:right="0" w:firstLine="0"/>
              <w:jc w:val="both"/>
              <w:rPr>
                <w:sz w:val="21"/>
              </w:rPr>
            </w:pPr>
            <w:r>
              <w:rPr>
                <w:spacing w:val="-3"/>
                <w:sz w:val="21"/>
              </w:rPr>
              <w:t>双目永久完全失明(注①,⑤)；</w:t>
            </w:r>
          </w:p>
          <w:p>
            <w:pPr>
              <w:pStyle w:val="TableParagraph"/>
              <w:numPr>
                <w:ilvl w:val="0"/>
                <w:numId w:val="3"/>
              </w:numPr>
              <w:tabs>
                <w:tab w:pos="505" w:val="left" w:leader="none"/>
              </w:tabs>
              <w:spacing w:line="240" w:lineRule="auto" w:before="37" w:after="0"/>
              <w:ind w:left="82" w:right="0" w:firstLine="0"/>
              <w:jc w:val="both"/>
              <w:rPr>
                <w:sz w:val="21"/>
              </w:rPr>
            </w:pPr>
            <w:r>
              <w:rPr>
                <w:spacing w:val="-3"/>
                <w:sz w:val="21"/>
              </w:rPr>
              <w:t>两上肢腕关节以上或两下肢踝关节以上缺失；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一上肢腕关节以上及一下肢踝关节以上缺失；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一目永久完全失明(注⑤)及一上肢腕关节以上缺失；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一目永久完全失明(注⑤)及一下肢踝关节以上缺失；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四肢关节机能永久完全丧失(注②,⑤)；</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咀嚼,吞咽机能永久完全丧失(注③,⑤)；</w:t>
            </w:r>
          </w:p>
          <w:p>
            <w:pPr>
              <w:pStyle w:val="TableParagraph"/>
              <w:numPr>
                <w:ilvl w:val="0"/>
                <w:numId w:val="3"/>
              </w:numPr>
              <w:tabs>
                <w:tab w:pos="505" w:val="left" w:leader="none"/>
              </w:tabs>
              <w:spacing w:line="273" w:lineRule="auto" w:before="36" w:after="0"/>
              <w:ind w:left="82" w:right="304" w:firstLine="0"/>
              <w:jc w:val="left"/>
              <w:rPr>
                <w:sz w:val="21"/>
              </w:rPr>
            </w:pPr>
            <w:r>
              <w:rPr>
                <w:spacing w:val="-4"/>
                <w:sz w:val="21"/>
              </w:rPr>
              <w:t>中枢神经系统机能或胸,腹部脏器机能极度障碍,终身不能从事任何工作，为</w:t>
            </w:r>
            <w:r>
              <w:rPr>
                <w:spacing w:val="-3"/>
                <w:sz w:val="21"/>
              </w:rPr>
              <w:t>维持生命必要的日常生活活动,全需他人扶助(注④)。</w:t>
            </w:r>
          </w:p>
          <w:p>
            <w:pPr>
              <w:pStyle w:val="TableParagraph"/>
              <w:spacing w:before="7"/>
              <w:rPr>
                <w:sz w:val="21"/>
              </w:rPr>
            </w:pPr>
            <w:r>
              <w:rPr>
                <w:sz w:val="21"/>
              </w:rPr>
              <w:t>注:</w:t>
            </w:r>
          </w:p>
          <w:p>
            <w:pPr>
              <w:pStyle w:val="TableParagraph"/>
              <w:spacing w:line="273" w:lineRule="auto" w:before="36"/>
              <w:ind w:right="299"/>
              <w:jc w:val="both"/>
              <w:rPr>
                <w:sz w:val="21"/>
              </w:rPr>
            </w:pPr>
            <w:r>
              <w:rPr>
                <w:spacing w:val="2"/>
                <w:sz w:val="21"/>
              </w:rPr>
              <w:t>① 失明包括眼球缺失或摘除,或不能辨别明暗,或仅能辨别眼前手动者,最佳矫</w:t>
            </w:r>
            <w:r>
              <w:rPr>
                <w:spacing w:val="-1"/>
                <w:sz w:val="21"/>
              </w:rPr>
              <w:t>正视力低于国际标准视力表</w:t>
            </w:r>
            <w:r>
              <w:rPr>
                <w:sz w:val="21"/>
              </w:rPr>
              <w:t>0.02</w:t>
            </w:r>
            <w:r>
              <w:rPr>
                <w:spacing w:val="0"/>
                <w:sz w:val="21"/>
              </w:rPr>
              <w:t>,或视野半径小于</w:t>
            </w:r>
            <w:r>
              <w:rPr>
                <w:sz w:val="21"/>
              </w:rPr>
              <w:t>5</w:t>
            </w:r>
            <w:r>
              <w:rPr>
                <w:spacing w:val="-9"/>
                <w:sz w:val="21"/>
              </w:rPr>
              <w:t> 度,并由我们指定的有资格的</w:t>
            </w:r>
            <w:r>
              <w:rPr>
                <w:spacing w:val="-5"/>
                <w:sz w:val="21"/>
              </w:rPr>
              <w:t>眼科医生出具医疗诊断证明。</w:t>
            </w:r>
          </w:p>
          <w:p>
            <w:pPr>
              <w:pStyle w:val="TableParagraph"/>
              <w:spacing w:before="7"/>
              <w:rPr>
                <w:sz w:val="21"/>
              </w:rPr>
            </w:pPr>
            <w:r>
              <w:rPr>
                <w:sz w:val="21"/>
              </w:rPr>
              <w:t>② 关节机能的丧失是指关节永久完全僵硬,或麻痹,或关节不能随意识活动。</w:t>
            </w:r>
          </w:p>
          <w:p>
            <w:pPr>
              <w:pStyle w:val="TableParagraph"/>
              <w:spacing w:line="273" w:lineRule="auto" w:before="36"/>
              <w:ind w:right="308"/>
              <w:rPr>
                <w:sz w:val="21"/>
              </w:rPr>
            </w:pPr>
            <w:r>
              <w:rPr>
                <w:sz w:val="21"/>
              </w:rPr>
              <w:t>③ 咀嚼,吞咽机能的丧失是指由于牙齿以外的原因引起器质障碍或机能障碍,以致不能作咀嚼,吞咽运动,除流质食物外不能摄取或吞咽的状态。</w:t>
            </w:r>
          </w:p>
          <w:p>
            <w:pPr>
              <w:pStyle w:val="TableParagraph"/>
              <w:spacing w:line="273" w:lineRule="auto" w:before="7"/>
              <w:ind w:right="304"/>
              <w:rPr>
                <w:sz w:val="21"/>
              </w:rPr>
            </w:pPr>
            <w:r>
              <w:rPr>
                <w:sz w:val="21"/>
              </w:rPr>
              <w:t>④ 维持生命必要的日常生活活动全需他人扶助是指食物摄取,大小便始末,穿脱衣服,起居,步行,入浴等,都不能自己为之,需要他人帮助。</w:t>
            </w:r>
          </w:p>
          <w:p>
            <w:pPr>
              <w:pStyle w:val="TableParagraph"/>
              <w:spacing w:line="273" w:lineRule="auto" w:before="7"/>
              <w:ind w:right="261"/>
              <w:rPr>
                <w:sz w:val="21"/>
              </w:rPr>
            </w:pPr>
            <w:r>
              <w:rPr>
                <w:sz w:val="21"/>
              </w:rPr>
              <w:t>⑤ 所谓永久完全是指自意外伤害事故或疾病诊断之日起经过 180 天的治疗，机能仍然完全丧失，但眼球摘除等明显无法复原的情况，不在此限。</w:t>
            </w:r>
          </w:p>
        </w:tc>
      </w:tr>
      <w:tr>
        <w:trPr>
          <w:trHeight w:val="1218" w:hRule="atLeast"/>
        </w:trPr>
        <w:tc>
          <w:tcPr>
            <w:tcW w:w="1062" w:type="dxa"/>
          </w:tcPr>
          <w:p>
            <w:pPr>
              <w:pStyle w:val="TableParagraph"/>
              <w:spacing w:before="10"/>
              <w:ind w:left="0"/>
              <w:rPr>
                <w:rFonts w:ascii="Times New Roman"/>
                <w:sz w:val="15"/>
              </w:rPr>
            </w:pPr>
          </w:p>
          <w:p>
            <w:pPr>
              <w:pStyle w:val="TableParagraph"/>
              <w:spacing w:before="1"/>
              <w:ind w:left="200"/>
              <w:rPr>
                <w:b/>
                <w:sz w:val="21"/>
              </w:rPr>
            </w:pPr>
            <w:r>
              <w:rPr>
                <w:b/>
                <w:sz w:val="21"/>
              </w:rPr>
              <w:t>11.7</w:t>
            </w:r>
          </w:p>
        </w:tc>
        <w:tc>
          <w:tcPr>
            <w:tcW w:w="1723" w:type="dxa"/>
          </w:tcPr>
          <w:p>
            <w:pPr>
              <w:pStyle w:val="TableParagraph"/>
              <w:spacing w:before="10"/>
              <w:ind w:left="0"/>
              <w:rPr>
                <w:rFonts w:ascii="Times New Roman"/>
                <w:sz w:val="15"/>
              </w:rPr>
            </w:pPr>
          </w:p>
          <w:p>
            <w:pPr>
              <w:pStyle w:val="TableParagraph"/>
              <w:spacing w:before="1"/>
              <w:ind w:left="333"/>
              <w:rPr>
                <w:b/>
                <w:sz w:val="21"/>
              </w:rPr>
            </w:pPr>
            <w:r>
              <w:rPr>
                <w:b/>
                <w:sz w:val="21"/>
              </w:rPr>
              <w:t>毒品</w:t>
            </w:r>
          </w:p>
        </w:tc>
        <w:tc>
          <w:tcPr>
            <w:tcW w:w="7732" w:type="dxa"/>
          </w:tcPr>
          <w:p>
            <w:pPr>
              <w:pStyle w:val="TableParagraph"/>
              <w:spacing w:before="10"/>
              <w:ind w:left="0"/>
              <w:rPr>
                <w:rFonts w:ascii="Times New Roman"/>
                <w:sz w:val="15"/>
              </w:rPr>
            </w:pPr>
          </w:p>
          <w:p>
            <w:pPr>
              <w:pStyle w:val="TableParagraph"/>
              <w:spacing w:line="273" w:lineRule="auto" w:before="1"/>
              <w:ind w:right="197"/>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191" w:hRule="atLeast"/>
        </w:trPr>
        <w:tc>
          <w:tcPr>
            <w:tcW w:w="1062" w:type="dxa"/>
          </w:tcPr>
          <w:p>
            <w:pPr>
              <w:pStyle w:val="TableParagraph"/>
              <w:spacing w:before="72"/>
              <w:ind w:left="200"/>
              <w:rPr>
                <w:b/>
                <w:sz w:val="21"/>
              </w:rPr>
            </w:pPr>
            <w:r>
              <w:rPr>
                <w:b/>
                <w:sz w:val="21"/>
              </w:rPr>
              <w:t>11.8</w:t>
            </w:r>
          </w:p>
        </w:tc>
        <w:tc>
          <w:tcPr>
            <w:tcW w:w="1723" w:type="dxa"/>
          </w:tcPr>
          <w:p>
            <w:pPr>
              <w:pStyle w:val="TableParagraph"/>
              <w:spacing w:before="72"/>
              <w:ind w:left="333"/>
              <w:rPr>
                <w:b/>
                <w:sz w:val="21"/>
              </w:rPr>
            </w:pPr>
            <w:r>
              <w:rPr>
                <w:b/>
                <w:sz w:val="21"/>
              </w:rPr>
              <w:t>酒后驾驶</w:t>
            </w:r>
          </w:p>
        </w:tc>
        <w:tc>
          <w:tcPr>
            <w:tcW w:w="7732" w:type="dxa"/>
          </w:tcPr>
          <w:p>
            <w:pPr>
              <w:pStyle w:val="TableParagraph"/>
              <w:spacing w:line="273" w:lineRule="auto" w:before="72"/>
              <w:ind w:right="302"/>
              <w:jc w:val="both"/>
              <w:rPr>
                <w:sz w:val="21"/>
              </w:rPr>
            </w:pPr>
            <w:r>
              <w:rPr>
                <w:spacing w:val="-5"/>
                <w:sz w:val="21"/>
              </w:rPr>
              <w:t>指经检测或鉴定，发生事故时车辆驾驶人员每百毫升血液中的酒精含量达到或超过一定的标准，公安机关交通管理部门依据《道路交通安全法》的规定认定为饮</w:t>
            </w:r>
            <w:r>
              <w:rPr>
                <w:spacing w:val="-4"/>
                <w:sz w:val="21"/>
              </w:rPr>
              <w:t>酒后驾驶或醉酒后驾驶。</w:t>
            </w:r>
          </w:p>
        </w:tc>
      </w:tr>
      <w:tr>
        <w:trPr>
          <w:trHeight w:val="2166" w:hRule="atLeast"/>
        </w:trPr>
        <w:tc>
          <w:tcPr>
            <w:tcW w:w="1062" w:type="dxa"/>
          </w:tcPr>
          <w:p>
            <w:pPr>
              <w:pStyle w:val="TableParagraph"/>
              <w:spacing w:before="157"/>
              <w:ind w:left="200"/>
              <w:rPr>
                <w:b/>
                <w:sz w:val="21"/>
              </w:rPr>
            </w:pPr>
            <w:r>
              <w:rPr>
                <w:b/>
                <w:sz w:val="21"/>
              </w:rPr>
              <w:t>11.9</w:t>
            </w:r>
          </w:p>
        </w:tc>
        <w:tc>
          <w:tcPr>
            <w:tcW w:w="1723" w:type="dxa"/>
          </w:tcPr>
          <w:p>
            <w:pPr>
              <w:pStyle w:val="TableParagraph"/>
              <w:spacing w:line="273" w:lineRule="auto" w:before="157"/>
              <w:ind w:left="333" w:right="79"/>
              <w:rPr>
                <w:b/>
                <w:sz w:val="21"/>
              </w:rPr>
            </w:pPr>
            <w:r>
              <w:rPr>
                <w:b/>
                <w:sz w:val="21"/>
              </w:rPr>
              <w:t>无合法有效驾驶证驾驶</w:t>
            </w:r>
          </w:p>
        </w:tc>
        <w:tc>
          <w:tcPr>
            <w:tcW w:w="7732" w:type="dxa"/>
          </w:tcPr>
          <w:p>
            <w:pPr>
              <w:pStyle w:val="TableParagraph"/>
              <w:spacing w:before="157"/>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314"/>
              <w:rPr>
                <w:sz w:val="21"/>
              </w:rPr>
            </w:pPr>
            <w:r>
              <w:rPr>
                <w:sz w:val="21"/>
              </w:rPr>
              <w:t>（4）持学习驾驶证学习驾车时，无教练员随车指导，或不按指定时间、路线学习驾车。</w:t>
            </w:r>
          </w:p>
        </w:tc>
      </w:tr>
      <w:tr>
        <w:trPr>
          <w:trHeight w:val="1230" w:hRule="atLeast"/>
        </w:trPr>
        <w:tc>
          <w:tcPr>
            <w:tcW w:w="1062" w:type="dxa"/>
          </w:tcPr>
          <w:p>
            <w:pPr>
              <w:pStyle w:val="TableParagraph"/>
              <w:spacing w:before="110"/>
              <w:ind w:left="200"/>
              <w:rPr>
                <w:b/>
                <w:sz w:val="21"/>
              </w:rPr>
            </w:pPr>
            <w:r>
              <w:rPr>
                <w:b/>
                <w:sz w:val="21"/>
              </w:rPr>
              <w:t>11.10</w:t>
            </w:r>
          </w:p>
        </w:tc>
        <w:tc>
          <w:tcPr>
            <w:tcW w:w="1723" w:type="dxa"/>
          </w:tcPr>
          <w:p>
            <w:pPr>
              <w:pStyle w:val="TableParagraph"/>
              <w:spacing w:line="273" w:lineRule="auto" w:before="110"/>
              <w:ind w:left="333" w:right="79"/>
              <w:rPr>
                <w:b/>
                <w:sz w:val="21"/>
              </w:rPr>
            </w:pPr>
            <w:r>
              <w:rPr>
                <w:b/>
                <w:sz w:val="21"/>
              </w:rPr>
              <w:t>无有效行驶证</w:t>
            </w:r>
          </w:p>
        </w:tc>
        <w:tc>
          <w:tcPr>
            <w:tcW w:w="7732" w:type="dxa"/>
          </w:tcPr>
          <w:p>
            <w:pPr>
              <w:pStyle w:val="TableParagraph"/>
              <w:spacing w:before="110"/>
              <w:rPr>
                <w:sz w:val="21"/>
              </w:rPr>
            </w:pPr>
            <w:r>
              <w:rPr>
                <w:sz w:val="21"/>
              </w:rPr>
              <w:t>指下列情形之一：</w:t>
            </w:r>
          </w:p>
          <w:p>
            <w:pPr>
              <w:pStyle w:val="TableParagraph"/>
              <w:spacing w:before="37"/>
              <w:rPr>
                <w:sz w:val="21"/>
              </w:rPr>
            </w:pPr>
            <w:r>
              <w:rPr>
                <w:sz w:val="21"/>
              </w:rPr>
              <w:t>（1）机动车被依法注销登记的；</w:t>
            </w:r>
          </w:p>
          <w:p>
            <w:pPr>
              <w:pStyle w:val="TableParagraph"/>
              <w:spacing w:before="36"/>
              <w:rPr>
                <w:sz w:val="21"/>
              </w:rPr>
            </w:pPr>
            <w:r>
              <w:rPr>
                <w:sz w:val="21"/>
              </w:rPr>
              <w:t>（2）未依法按时进行或通过机动车安全技术检验。</w:t>
            </w:r>
          </w:p>
        </w:tc>
      </w:tr>
      <w:tr>
        <w:trPr>
          <w:trHeight w:val="1679" w:hRule="atLeast"/>
        </w:trPr>
        <w:tc>
          <w:tcPr>
            <w:tcW w:w="1062" w:type="dxa"/>
          </w:tcPr>
          <w:p>
            <w:pPr>
              <w:pStyle w:val="TableParagraph"/>
              <w:spacing w:before="157"/>
              <w:ind w:left="200"/>
              <w:rPr>
                <w:b/>
                <w:sz w:val="21"/>
              </w:rPr>
            </w:pPr>
            <w:r>
              <w:rPr>
                <w:b/>
                <w:sz w:val="21"/>
              </w:rPr>
              <w:t>11.11</w:t>
            </w:r>
          </w:p>
        </w:tc>
        <w:tc>
          <w:tcPr>
            <w:tcW w:w="1723" w:type="dxa"/>
          </w:tcPr>
          <w:p>
            <w:pPr>
              <w:pStyle w:val="TableParagraph"/>
              <w:spacing w:line="273" w:lineRule="auto" w:before="157"/>
              <w:ind w:left="333" w:right="79"/>
              <w:jc w:val="both"/>
              <w:rPr>
                <w:b/>
                <w:sz w:val="21"/>
              </w:rPr>
            </w:pPr>
            <w:r>
              <w:rPr>
                <w:b/>
                <w:sz w:val="21"/>
              </w:rPr>
              <w:t>患艾滋病或感染艾滋病病毒</w:t>
            </w:r>
          </w:p>
        </w:tc>
        <w:tc>
          <w:tcPr>
            <w:tcW w:w="7732" w:type="dxa"/>
          </w:tcPr>
          <w:p>
            <w:pPr>
              <w:pStyle w:val="TableParagraph"/>
              <w:spacing w:line="273" w:lineRule="auto" w:before="157"/>
              <w:ind w:right="302"/>
              <w:jc w:val="both"/>
              <w:rPr>
                <w:sz w:val="21"/>
              </w:rPr>
            </w:pPr>
            <w:r>
              <w:rPr>
                <w:spacing w:val="-2"/>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312" w:lineRule="exact" w:before="3"/>
              <w:ind w:right="302"/>
              <w:jc w:val="both"/>
              <w:rPr>
                <w:sz w:val="21"/>
              </w:rPr>
            </w:pPr>
            <w:r>
              <w:rPr>
                <w:spacing w:val="-4"/>
                <w:sz w:val="21"/>
              </w:rPr>
              <w:t>在人体血液或其他样本中检测到艾滋病病毒或其抗体呈阳性，没有出现临床症状</w:t>
            </w:r>
            <w:r>
              <w:rPr>
                <w:spacing w:val="-5"/>
                <w:sz w:val="21"/>
              </w:rPr>
              <w:t>或体征的，为感染艾滋病病毒；如果同时出现了明显临床症状或体征的，为患艾滋病。</w:t>
            </w:r>
          </w:p>
        </w:tc>
      </w:tr>
    </w:tbl>
    <w:p>
      <w:pPr>
        <w:spacing w:after="0" w:line="312" w:lineRule="exact"/>
        <w:jc w:val="both"/>
        <w:rPr>
          <w:sz w:val="21"/>
        </w:rPr>
        <w:sectPr>
          <w:pgSz w:w="11910" w:h="16840"/>
          <w:pgMar w:header="568" w:footer="0" w:top="800" w:bottom="280" w:left="680" w:right="500"/>
        </w:sectPr>
      </w:pPr>
    </w:p>
    <w:p>
      <w:pPr>
        <w:pStyle w:val="BodyText"/>
        <w:rPr>
          <w:rFonts w:ascii="Times New Roman"/>
          <w:sz w:val="20"/>
        </w:rPr>
      </w:pPr>
    </w:p>
    <w:p>
      <w:pPr>
        <w:pStyle w:val="BodyText"/>
        <w:spacing w:after="1"/>
        <w:rPr>
          <w:rFonts w:ascii="Times New Roman"/>
          <w:sz w:val="2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2"/>
      </w:tblGrid>
      <w:tr>
        <w:trPr>
          <w:trHeight w:val="737" w:hRule="atLeast"/>
        </w:trPr>
        <w:tc>
          <w:tcPr>
            <w:tcW w:w="1062" w:type="dxa"/>
          </w:tcPr>
          <w:p>
            <w:pPr>
              <w:pStyle w:val="TableParagraph"/>
              <w:spacing w:line="211" w:lineRule="exact"/>
              <w:ind w:left="200"/>
              <w:rPr>
                <w:b/>
                <w:sz w:val="21"/>
              </w:rPr>
            </w:pPr>
            <w:r>
              <w:rPr>
                <w:b/>
                <w:sz w:val="21"/>
              </w:rPr>
              <w:t>11.12</w:t>
            </w:r>
          </w:p>
        </w:tc>
        <w:tc>
          <w:tcPr>
            <w:tcW w:w="1723" w:type="dxa"/>
          </w:tcPr>
          <w:p>
            <w:pPr>
              <w:pStyle w:val="TableParagraph"/>
              <w:spacing w:before="13"/>
              <w:ind w:left="333"/>
              <w:rPr>
                <w:b/>
                <w:sz w:val="21"/>
              </w:rPr>
            </w:pPr>
            <w:r>
              <w:rPr>
                <w:b/>
                <w:sz w:val="21"/>
              </w:rPr>
              <w:t>遗传性疾病</w:t>
            </w:r>
          </w:p>
        </w:tc>
        <w:tc>
          <w:tcPr>
            <w:tcW w:w="7732" w:type="dxa"/>
          </w:tcPr>
          <w:p>
            <w:pPr>
              <w:pStyle w:val="TableParagraph"/>
              <w:spacing w:line="211" w:lineRule="exact"/>
              <w:rPr>
                <w:sz w:val="21"/>
              </w:rPr>
            </w:pPr>
            <w:r>
              <w:rPr>
                <w:spacing w:val="-8"/>
                <w:sz w:val="21"/>
              </w:rPr>
              <w:t>指生殖细胞或受精卵的遗传物质</w:t>
            </w:r>
            <w:r>
              <w:rPr>
                <w:sz w:val="21"/>
              </w:rPr>
              <w:t>（</w:t>
            </w:r>
            <w:r>
              <w:rPr>
                <w:spacing w:val="-3"/>
                <w:sz w:val="21"/>
              </w:rPr>
              <w:t>染色体和基因</w:t>
            </w:r>
            <w:r>
              <w:rPr>
                <w:spacing w:val="-60"/>
                <w:sz w:val="21"/>
              </w:rPr>
              <w:t>）</w:t>
            </w:r>
            <w:r>
              <w:rPr>
                <w:spacing w:val="-3"/>
                <w:sz w:val="21"/>
              </w:rPr>
              <w:t>发生突变或畸变所引起的疾病，</w:t>
            </w:r>
          </w:p>
          <w:p>
            <w:pPr>
              <w:pStyle w:val="TableParagraph"/>
              <w:spacing w:before="37"/>
              <w:rPr>
                <w:sz w:val="21"/>
              </w:rPr>
            </w:pPr>
            <w:r>
              <w:rPr>
                <w:sz w:val="21"/>
              </w:rPr>
              <w:t>通常具有由亲代传至后代的垂直传递的特征。</w:t>
            </w:r>
          </w:p>
        </w:tc>
      </w:tr>
      <w:tr>
        <w:trPr>
          <w:trHeight w:val="1184" w:hRule="atLeast"/>
        </w:trPr>
        <w:tc>
          <w:tcPr>
            <w:tcW w:w="1062" w:type="dxa"/>
          </w:tcPr>
          <w:p>
            <w:pPr>
              <w:pStyle w:val="TableParagraph"/>
              <w:spacing w:before="150"/>
              <w:ind w:left="200"/>
              <w:rPr>
                <w:b/>
                <w:sz w:val="21"/>
              </w:rPr>
            </w:pPr>
            <w:r>
              <w:rPr>
                <w:b/>
                <w:sz w:val="21"/>
              </w:rPr>
              <w:t>11.13</w:t>
            </w:r>
          </w:p>
        </w:tc>
        <w:tc>
          <w:tcPr>
            <w:tcW w:w="1723" w:type="dxa"/>
          </w:tcPr>
          <w:p>
            <w:pPr>
              <w:pStyle w:val="TableParagraph"/>
              <w:spacing w:line="273" w:lineRule="auto" w:before="150"/>
              <w:ind w:left="333" w:right="120"/>
              <w:rPr>
                <w:b/>
                <w:sz w:val="21"/>
              </w:rPr>
            </w:pPr>
            <w:r>
              <w:rPr>
                <w:b/>
                <w:sz w:val="21"/>
              </w:rPr>
              <w:t>先天性畸形、变形或染色 体异常</w:t>
            </w:r>
          </w:p>
        </w:tc>
        <w:tc>
          <w:tcPr>
            <w:tcW w:w="7732" w:type="dxa"/>
          </w:tcPr>
          <w:p>
            <w:pPr>
              <w:pStyle w:val="TableParagraph"/>
              <w:spacing w:line="264" w:lineRule="auto" w:before="150"/>
              <w:ind w:right="302"/>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62" w:type="dxa"/>
          </w:tcPr>
          <w:p>
            <w:pPr>
              <w:pStyle w:val="TableParagraph"/>
              <w:spacing w:before="72"/>
              <w:ind w:left="200"/>
              <w:rPr>
                <w:b/>
                <w:sz w:val="21"/>
              </w:rPr>
            </w:pPr>
            <w:r>
              <w:rPr>
                <w:b/>
                <w:sz w:val="21"/>
              </w:rPr>
              <w:t>11.14</w:t>
            </w:r>
          </w:p>
        </w:tc>
        <w:tc>
          <w:tcPr>
            <w:tcW w:w="1723" w:type="dxa"/>
          </w:tcPr>
          <w:p>
            <w:pPr>
              <w:pStyle w:val="TableParagraph"/>
              <w:spacing w:line="273" w:lineRule="auto" w:before="72"/>
              <w:ind w:left="333" w:right="79"/>
              <w:rPr>
                <w:b/>
                <w:sz w:val="21"/>
              </w:rPr>
            </w:pPr>
            <w:r>
              <w:rPr>
                <w:b/>
                <w:sz w:val="21"/>
              </w:rPr>
              <w:t>六项基本日常生活活动</w:t>
            </w:r>
          </w:p>
        </w:tc>
        <w:tc>
          <w:tcPr>
            <w:tcW w:w="7732" w:type="dxa"/>
          </w:tcPr>
          <w:p>
            <w:pPr>
              <w:pStyle w:val="TableParagraph"/>
              <w:spacing w:line="273" w:lineRule="auto" w:before="72"/>
              <w:ind w:right="292"/>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3"/>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7" w:hRule="atLeast"/>
        </w:trPr>
        <w:tc>
          <w:tcPr>
            <w:tcW w:w="1062" w:type="dxa"/>
          </w:tcPr>
          <w:p>
            <w:pPr>
              <w:pStyle w:val="TableParagraph"/>
              <w:spacing w:before="72"/>
              <w:ind w:left="200"/>
              <w:rPr>
                <w:b/>
                <w:sz w:val="21"/>
              </w:rPr>
            </w:pPr>
            <w:r>
              <w:rPr>
                <w:b/>
                <w:sz w:val="21"/>
              </w:rPr>
              <w:t>11.15</w:t>
            </w:r>
          </w:p>
        </w:tc>
        <w:tc>
          <w:tcPr>
            <w:tcW w:w="1723" w:type="dxa"/>
          </w:tcPr>
          <w:p>
            <w:pPr>
              <w:pStyle w:val="TableParagraph"/>
              <w:spacing w:line="273" w:lineRule="auto" w:before="72"/>
              <w:ind w:left="333" w:right="79"/>
              <w:rPr>
                <w:b/>
                <w:sz w:val="21"/>
              </w:rPr>
            </w:pPr>
            <w:r>
              <w:rPr>
                <w:b/>
                <w:sz w:val="21"/>
              </w:rPr>
              <w:t>肢体机能完全丧失</w:t>
            </w:r>
          </w:p>
        </w:tc>
        <w:tc>
          <w:tcPr>
            <w:tcW w:w="7732" w:type="dxa"/>
          </w:tcPr>
          <w:p>
            <w:pPr>
              <w:pStyle w:val="TableParagraph"/>
              <w:spacing w:line="273" w:lineRule="auto" w:before="72"/>
              <w:ind w:right="284"/>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1062" w:type="dxa"/>
          </w:tcPr>
          <w:p>
            <w:pPr>
              <w:pStyle w:val="TableParagraph"/>
              <w:spacing w:before="74"/>
              <w:ind w:left="200"/>
              <w:rPr>
                <w:b/>
                <w:sz w:val="21"/>
              </w:rPr>
            </w:pPr>
            <w:r>
              <w:rPr>
                <w:b/>
                <w:sz w:val="21"/>
              </w:rPr>
              <w:t>11.16</w:t>
            </w:r>
          </w:p>
        </w:tc>
        <w:tc>
          <w:tcPr>
            <w:tcW w:w="1723" w:type="dxa"/>
          </w:tcPr>
          <w:p>
            <w:pPr>
              <w:pStyle w:val="TableParagraph"/>
              <w:spacing w:line="273" w:lineRule="auto" w:before="74"/>
              <w:ind w:left="333" w:right="79"/>
              <w:jc w:val="both"/>
              <w:rPr>
                <w:b/>
                <w:sz w:val="21"/>
              </w:rPr>
            </w:pPr>
            <w:r>
              <w:rPr>
                <w:b/>
                <w:sz w:val="21"/>
              </w:rPr>
              <w:t>语言能力或咀嚼吞咽能力完全丧失</w:t>
            </w:r>
          </w:p>
        </w:tc>
        <w:tc>
          <w:tcPr>
            <w:tcW w:w="7732" w:type="dxa"/>
          </w:tcPr>
          <w:p>
            <w:pPr>
              <w:pStyle w:val="TableParagraph"/>
              <w:spacing w:line="273" w:lineRule="auto" w:before="74"/>
              <w:ind w:right="302"/>
              <w:rPr>
                <w:sz w:val="21"/>
              </w:rPr>
            </w:pPr>
            <w:r>
              <w:rPr>
                <w:spacing w:val="-5"/>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62" w:type="dxa"/>
          </w:tcPr>
          <w:p>
            <w:pPr>
              <w:pStyle w:val="TableParagraph"/>
              <w:spacing w:before="72"/>
              <w:ind w:left="200"/>
              <w:rPr>
                <w:b/>
                <w:sz w:val="21"/>
              </w:rPr>
            </w:pPr>
            <w:r>
              <w:rPr>
                <w:b/>
                <w:sz w:val="21"/>
              </w:rPr>
              <w:t>11.17</w:t>
            </w:r>
          </w:p>
        </w:tc>
        <w:tc>
          <w:tcPr>
            <w:tcW w:w="1723" w:type="dxa"/>
          </w:tcPr>
          <w:p>
            <w:pPr>
              <w:pStyle w:val="TableParagraph"/>
              <w:spacing w:before="72"/>
              <w:ind w:left="333"/>
              <w:rPr>
                <w:b/>
                <w:sz w:val="21"/>
              </w:rPr>
            </w:pPr>
            <w:r>
              <w:rPr>
                <w:b/>
                <w:sz w:val="21"/>
              </w:rPr>
              <w:t>永久不可逆</w:t>
            </w:r>
          </w:p>
        </w:tc>
        <w:tc>
          <w:tcPr>
            <w:tcW w:w="7732" w:type="dxa"/>
          </w:tcPr>
          <w:p>
            <w:pPr>
              <w:pStyle w:val="TableParagraph"/>
              <w:spacing w:line="310" w:lineRule="atLeast" w:before="36"/>
              <w:ind w:right="302"/>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8" w:footer="0" w:top="80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54376"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 w:hanging="423"/>
        <w:jc w:val="left"/>
      </w:pPr>
      <w:rPr>
        <w:rFonts w:hint="default" w:ascii="宋体" w:hAnsi="宋体" w:eastAsia="宋体" w:cs="宋体"/>
        <w:w w:val="100"/>
        <w:sz w:val="21"/>
        <w:szCs w:val="21"/>
      </w:rPr>
    </w:lvl>
    <w:lvl w:ilvl="1">
      <w:start w:val="0"/>
      <w:numFmt w:val="bullet"/>
      <w:lvlText w:val="•"/>
      <w:lvlJc w:val="left"/>
      <w:pPr>
        <w:ind w:left="845" w:hanging="423"/>
      </w:pPr>
      <w:rPr>
        <w:rFonts w:hint="default"/>
      </w:rPr>
    </w:lvl>
    <w:lvl w:ilvl="2">
      <w:start w:val="0"/>
      <w:numFmt w:val="bullet"/>
      <w:lvlText w:val="•"/>
      <w:lvlJc w:val="left"/>
      <w:pPr>
        <w:ind w:left="1610" w:hanging="423"/>
      </w:pPr>
      <w:rPr>
        <w:rFonts w:hint="default"/>
      </w:rPr>
    </w:lvl>
    <w:lvl w:ilvl="3">
      <w:start w:val="0"/>
      <w:numFmt w:val="bullet"/>
      <w:lvlText w:val="•"/>
      <w:lvlJc w:val="left"/>
      <w:pPr>
        <w:ind w:left="2375" w:hanging="423"/>
      </w:pPr>
      <w:rPr>
        <w:rFonts w:hint="default"/>
      </w:rPr>
    </w:lvl>
    <w:lvl w:ilvl="4">
      <w:start w:val="0"/>
      <w:numFmt w:val="bullet"/>
      <w:lvlText w:val="•"/>
      <w:lvlJc w:val="left"/>
      <w:pPr>
        <w:ind w:left="3140" w:hanging="423"/>
      </w:pPr>
      <w:rPr>
        <w:rFonts w:hint="default"/>
      </w:rPr>
    </w:lvl>
    <w:lvl w:ilvl="5">
      <w:start w:val="0"/>
      <w:numFmt w:val="bullet"/>
      <w:lvlText w:val="•"/>
      <w:lvlJc w:val="left"/>
      <w:pPr>
        <w:ind w:left="3906" w:hanging="423"/>
      </w:pPr>
      <w:rPr>
        <w:rFonts w:hint="default"/>
      </w:rPr>
    </w:lvl>
    <w:lvl w:ilvl="6">
      <w:start w:val="0"/>
      <w:numFmt w:val="bullet"/>
      <w:lvlText w:val="•"/>
      <w:lvlJc w:val="left"/>
      <w:pPr>
        <w:ind w:left="4671" w:hanging="423"/>
      </w:pPr>
      <w:rPr>
        <w:rFonts w:hint="default"/>
      </w:rPr>
    </w:lvl>
    <w:lvl w:ilvl="7">
      <w:start w:val="0"/>
      <w:numFmt w:val="bullet"/>
      <w:lvlText w:val="•"/>
      <w:lvlJc w:val="left"/>
      <w:pPr>
        <w:ind w:left="5436" w:hanging="423"/>
      </w:pPr>
      <w:rPr>
        <w:rFonts w:hint="default"/>
      </w:rPr>
    </w:lvl>
    <w:lvl w:ilvl="8">
      <w:start w:val="0"/>
      <w:numFmt w:val="bullet"/>
      <w:lvlText w:val="•"/>
      <w:lvlJc w:val="left"/>
      <w:pPr>
        <w:ind w:left="6201" w:hanging="423"/>
      </w:pPr>
      <w:rPr>
        <w:rFonts w:hint="default"/>
      </w:rPr>
    </w:lvl>
  </w:abstractNum>
  <w:abstractNum w:abstractNumId="1">
    <w:multiLevelType w:val="hybridMultilevel"/>
    <w:lvl w:ilvl="0">
      <w:start w:val="3"/>
      <w:numFmt w:val="decimal"/>
      <w:lvlText w:val="%1"/>
      <w:lvlJc w:val="left"/>
      <w:pPr>
        <w:ind w:left="1302" w:hanging="1196"/>
        <w:jc w:val="left"/>
      </w:pPr>
      <w:rPr>
        <w:rFonts w:hint="default"/>
      </w:rPr>
    </w:lvl>
    <w:lvl w:ilvl="1">
      <w:start w:val="4"/>
      <w:numFmt w:val="decimal"/>
      <w:lvlText w:val="%1.%2"/>
      <w:lvlJc w:val="left"/>
      <w:pPr>
        <w:ind w:left="1302" w:hanging="1196"/>
        <w:jc w:val="left"/>
      </w:pPr>
      <w:rPr>
        <w:rFonts w:hint="default"/>
      </w:rPr>
    </w:lvl>
    <w:lvl w:ilvl="2">
      <w:start w:val="1"/>
      <w:numFmt w:val="decimal"/>
      <w:lvlText w:val="%1.%2.%3"/>
      <w:lvlJc w:val="left"/>
      <w:pPr>
        <w:ind w:left="1302" w:hanging="1196"/>
        <w:jc w:val="left"/>
      </w:pPr>
      <w:rPr>
        <w:rFonts w:hint="default" w:ascii="宋体" w:hAnsi="宋体" w:eastAsia="宋体" w:cs="宋体"/>
        <w:b/>
        <w:bCs/>
        <w:i/>
        <w:w w:val="95"/>
        <w:sz w:val="22"/>
        <w:szCs w:val="22"/>
      </w:rPr>
    </w:lvl>
    <w:lvl w:ilvl="3">
      <w:start w:val="1"/>
      <w:numFmt w:val="decimal"/>
      <w:lvlText w:val="%1.%2.%3.%4"/>
      <w:lvlJc w:val="left"/>
      <w:pPr>
        <w:ind w:left="2773" w:hanging="1196"/>
        <w:jc w:val="left"/>
      </w:pPr>
      <w:rPr>
        <w:rFonts w:hint="default" w:ascii="宋体" w:hAnsi="宋体" w:eastAsia="宋体" w:cs="宋体"/>
        <w:i/>
        <w:spacing w:val="-3"/>
        <w:w w:val="96"/>
        <w:sz w:val="22"/>
        <w:szCs w:val="22"/>
      </w:rPr>
    </w:lvl>
    <w:lvl w:ilvl="4">
      <w:start w:val="0"/>
      <w:numFmt w:val="bullet"/>
      <w:lvlText w:val="•"/>
      <w:lvlJc w:val="left"/>
      <w:pPr>
        <w:ind w:left="3077" w:hanging="1196"/>
      </w:pPr>
      <w:rPr>
        <w:rFonts w:hint="default"/>
      </w:rPr>
    </w:lvl>
    <w:lvl w:ilvl="5">
      <w:start w:val="0"/>
      <w:numFmt w:val="bullet"/>
      <w:lvlText w:val="•"/>
      <w:lvlJc w:val="left"/>
      <w:pPr>
        <w:ind w:left="2966" w:hanging="1196"/>
      </w:pPr>
      <w:rPr>
        <w:rFonts w:hint="default"/>
      </w:rPr>
    </w:lvl>
    <w:lvl w:ilvl="6">
      <w:start w:val="0"/>
      <w:numFmt w:val="bullet"/>
      <w:lvlText w:val="•"/>
      <w:lvlJc w:val="left"/>
      <w:pPr>
        <w:ind w:left="2855" w:hanging="1196"/>
      </w:pPr>
      <w:rPr>
        <w:rFonts w:hint="default"/>
      </w:rPr>
    </w:lvl>
    <w:lvl w:ilvl="7">
      <w:start w:val="0"/>
      <w:numFmt w:val="bullet"/>
      <w:lvlText w:val="•"/>
      <w:lvlJc w:val="left"/>
      <w:pPr>
        <w:ind w:left="2744" w:hanging="1196"/>
      </w:pPr>
      <w:rPr>
        <w:rFonts w:hint="default"/>
      </w:rPr>
    </w:lvl>
    <w:lvl w:ilvl="8">
      <w:start w:val="0"/>
      <w:numFmt w:val="bullet"/>
      <w:lvlText w:val="•"/>
      <w:lvlJc w:val="left"/>
      <w:pPr>
        <w:ind w:left="2633" w:hanging="1196"/>
      </w:pPr>
      <w:rPr>
        <w:rFonts w:hint="default"/>
      </w:rPr>
    </w:lvl>
  </w:abstractNum>
  <w:abstractNum w:abstractNumId="0">
    <w:multiLevelType w:val="hybridMultilevel"/>
    <w:lvl w:ilvl="0">
      <w:start w:val="3"/>
      <w:numFmt w:val="decimal"/>
      <w:lvlText w:val="%1"/>
      <w:lvlJc w:val="left"/>
      <w:pPr>
        <w:ind w:left="1302" w:hanging="1196"/>
        <w:jc w:val="left"/>
      </w:pPr>
      <w:rPr>
        <w:rFonts w:hint="default"/>
      </w:rPr>
    </w:lvl>
    <w:lvl w:ilvl="1">
      <w:start w:val="2"/>
      <w:numFmt w:val="decimal"/>
      <w:lvlText w:val="%1.%2"/>
      <w:lvlJc w:val="left"/>
      <w:pPr>
        <w:ind w:left="1302" w:hanging="1196"/>
        <w:jc w:val="left"/>
      </w:pPr>
      <w:rPr>
        <w:rFonts w:hint="default"/>
      </w:rPr>
    </w:lvl>
    <w:lvl w:ilvl="2">
      <w:start w:val="3"/>
      <w:numFmt w:val="decimal"/>
      <w:lvlText w:val="%1.%2.%3"/>
      <w:lvlJc w:val="left"/>
      <w:pPr>
        <w:ind w:left="1302" w:hanging="1196"/>
        <w:jc w:val="left"/>
      </w:pPr>
      <w:rPr>
        <w:rFonts w:hint="default"/>
        <w:i/>
        <w:w w:val="95"/>
      </w:rPr>
    </w:lvl>
    <w:lvl w:ilvl="3">
      <w:start w:val="0"/>
      <w:numFmt w:val="bullet"/>
      <w:lvlText w:val="•"/>
      <w:lvlJc w:val="left"/>
      <w:pPr>
        <w:ind w:left="1693" w:hanging="1196"/>
      </w:pPr>
      <w:rPr>
        <w:rFonts w:hint="default"/>
      </w:rPr>
    </w:lvl>
    <w:lvl w:ilvl="4">
      <w:start w:val="0"/>
      <w:numFmt w:val="bullet"/>
      <w:lvlText w:val="•"/>
      <w:lvlJc w:val="left"/>
      <w:pPr>
        <w:ind w:left="1824" w:hanging="1196"/>
      </w:pPr>
      <w:rPr>
        <w:rFonts w:hint="default"/>
      </w:rPr>
    </w:lvl>
    <w:lvl w:ilvl="5">
      <w:start w:val="0"/>
      <w:numFmt w:val="bullet"/>
      <w:lvlText w:val="•"/>
      <w:lvlJc w:val="left"/>
      <w:pPr>
        <w:ind w:left="1955" w:hanging="1196"/>
      </w:pPr>
      <w:rPr>
        <w:rFonts w:hint="default"/>
      </w:rPr>
    </w:lvl>
    <w:lvl w:ilvl="6">
      <w:start w:val="0"/>
      <w:numFmt w:val="bullet"/>
      <w:lvlText w:val="•"/>
      <w:lvlJc w:val="left"/>
      <w:pPr>
        <w:ind w:left="2086" w:hanging="1196"/>
      </w:pPr>
      <w:rPr>
        <w:rFonts w:hint="default"/>
      </w:rPr>
    </w:lvl>
    <w:lvl w:ilvl="7">
      <w:start w:val="0"/>
      <w:numFmt w:val="bullet"/>
      <w:lvlText w:val="•"/>
      <w:lvlJc w:val="left"/>
      <w:pPr>
        <w:ind w:left="2217" w:hanging="1196"/>
      </w:pPr>
      <w:rPr>
        <w:rFonts w:hint="default"/>
      </w:rPr>
    </w:lvl>
    <w:lvl w:ilvl="8">
      <w:start w:val="0"/>
      <w:numFmt w:val="bullet"/>
      <w:lvlText w:val="•"/>
      <w:lvlJc w:val="left"/>
      <w:pPr>
        <w:ind w:left="2348" w:hanging="119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302" w:hanging="1196"/>
      <w:outlineLvl w:val="2"/>
    </w:pPr>
    <w:rPr>
      <w:rFonts w:ascii="宋体" w:hAnsi="宋体" w:eastAsia="宋体" w:cs="宋体"/>
      <w:i/>
      <w:sz w:val="22"/>
      <w:szCs w:val="22"/>
    </w:rPr>
  </w:style>
  <w:style w:styleId="Heading3" w:type="paragraph">
    <w:name w:val="Heading 3"/>
    <w:basedOn w:val="Normal"/>
    <w:uiPriority w:val="1"/>
    <w:qFormat/>
    <w:pPr>
      <w:spacing w:before="37"/>
      <w:ind w:left="1302" w:hanging="1196"/>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302" w:hanging="1196"/>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2018-10-19T23:01:38Z</dcterms:created>
  <dcterms:modified xsi:type="dcterms:W3CDTF">2018-10-19T23:01:38Z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