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6"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243633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[2016]</w:t>
      </w:r>
      <w:r>
        <w:rPr>
          <w:sz w:val="16"/>
        </w:rPr>
        <w:t>疾病保险 </w:t>
      </w:r>
      <w:r>
        <w:rPr>
          <w:rFonts w:ascii="Times New Roman" w:eastAsia="Times New Roman"/>
          <w:sz w:val="16"/>
        </w:rPr>
        <w:t>001 </w:t>
      </w:r>
      <w:r>
        <w:rPr>
          <w:sz w:val="16"/>
        </w:rPr>
        <w:t>号</w:t>
      </w:r>
    </w:p>
    <w:p>
      <w:pPr>
        <w:pStyle w:val="BodyText"/>
        <w:spacing w:before="0"/>
        <w:ind w:firstLine="0"/>
        <w:rPr>
          <w:sz w:val="20"/>
        </w:rPr>
      </w:pPr>
    </w:p>
    <w:p>
      <w:pPr>
        <w:spacing w:after="0"/>
        <w:rPr>
          <w:sz w:val="20"/>
        </w:rPr>
        <w:sectPr>
          <w:type w:val="continuous"/>
          <w:pgSz w:w="11910" w:h="16840"/>
          <w:pgMar w:top="440" w:bottom="280" w:left="700" w:right="400"/>
        </w:sectPr>
      </w:pPr>
    </w:p>
    <w:p>
      <w:pPr>
        <w:spacing w:line="259" w:lineRule="auto" w:before="99"/>
        <w:ind w:left="2382" w:right="235" w:hanging="1"/>
        <w:jc w:val="center"/>
        <w:rPr>
          <w:b/>
          <w:sz w:val="44"/>
        </w:rPr>
      </w:pPr>
      <w:r>
        <w:rPr>
          <w:b/>
          <w:sz w:val="44"/>
        </w:rPr>
        <w:t>华夏人寿保险股份有限公司 </w:t>
      </w:r>
      <w:r>
        <w:rPr>
          <w:b/>
          <w:w w:val="95"/>
          <w:sz w:val="44"/>
        </w:rPr>
        <w:t>关爱宝一号重大疾病保险条款</w:t>
      </w:r>
    </w:p>
    <w:p>
      <w:pPr>
        <w:spacing w:before="168"/>
        <w:ind w:left="2144" w:right="0" w:firstLine="0"/>
        <w:jc w:val="center"/>
        <w:rPr>
          <w:b/>
          <w:sz w:val="44"/>
        </w:rPr>
      </w:pPr>
      <w:r>
        <w:rPr>
          <w:b/>
          <w:w w:val="95"/>
          <w:sz w:val="44"/>
        </w:rPr>
        <w:t>阅读指引</w:t>
      </w:r>
    </w:p>
    <w:p>
      <w:pPr>
        <w:pStyle w:val="BodyText"/>
        <w:spacing w:before="239"/>
        <w:ind w:left="2204" w:firstLine="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0"/>
        <w:ind w:firstLine="0"/>
        <w:rPr>
          <w:sz w:val="16"/>
        </w:rPr>
      </w:pPr>
      <w:r>
        <w:rPr/>
        <w:br w:type="column"/>
      </w:r>
      <w:r>
        <w:rPr>
          <w:sz w:val="16"/>
        </w:rPr>
      </w:r>
    </w:p>
    <w:p>
      <w:pPr>
        <w:pStyle w:val="BodyText"/>
        <w:spacing w:before="0"/>
        <w:ind w:firstLine="0"/>
        <w:rPr>
          <w:sz w:val="16"/>
        </w:rPr>
      </w:pPr>
    </w:p>
    <w:p>
      <w:pPr>
        <w:pStyle w:val="BodyText"/>
        <w:spacing w:before="0"/>
        <w:ind w:firstLine="0"/>
        <w:rPr>
          <w:sz w:val="16"/>
        </w:rPr>
      </w:pPr>
    </w:p>
    <w:p>
      <w:pPr>
        <w:pStyle w:val="BodyText"/>
        <w:spacing w:before="0"/>
        <w:ind w:firstLine="0"/>
        <w:rPr>
          <w:sz w:val="16"/>
        </w:rPr>
      </w:pPr>
    </w:p>
    <w:p>
      <w:pPr>
        <w:pStyle w:val="BodyText"/>
        <w:spacing w:before="4"/>
        <w:ind w:firstLine="0"/>
        <w:rPr>
          <w:sz w:val="18"/>
        </w:rPr>
      </w:pPr>
    </w:p>
    <w:p>
      <w:pPr>
        <w:spacing w:before="0"/>
        <w:ind w:left="390"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40" w:bottom="280" w:left="700" w:right="400"/>
          <w:cols w:num="2" w:equalWidth="0">
            <w:col w:w="8362" w:space="40"/>
            <w:col w:w="2408"/>
          </w:cols>
        </w:sectPr>
      </w:pPr>
    </w:p>
    <w:p>
      <w:pPr>
        <w:pStyle w:val="BodyText"/>
        <w:spacing w:before="0"/>
        <w:ind w:firstLine="0"/>
        <w:rPr>
          <w:rFonts w:ascii="仿宋"/>
          <w:sz w:val="20"/>
        </w:rPr>
      </w:pPr>
    </w:p>
    <w:p>
      <w:pPr>
        <w:pStyle w:val="BodyText"/>
        <w:spacing w:before="3"/>
        <w:ind w:firstLine="0"/>
        <w:rPr>
          <w:rFonts w:ascii="仿宋"/>
          <w:sz w:val="18"/>
        </w:rPr>
      </w:pPr>
    </w:p>
    <w:p>
      <w:pPr>
        <w:tabs>
          <w:tab w:pos="1261" w:val="left" w:leader="none"/>
        </w:tabs>
        <w:spacing w:before="51"/>
        <w:ind w:left="247" w:right="0" w:firstLine="0"/>
        <w:jc w:val="left"/>
        <w:rPr>
          <w:b/>
          <w:sz w:val="21"/>
        </w:rPr>
      </w:pPr>
      <w:r>
        <w:rPr/>
        <w:drawing>
          <wp:anchor distT="0" distB="0" distL="0" distR="0" allowOverlap="1" layoutInCell="1" locked="0" behindDoc="1" simplePos="0" relativeHeight="268389839">
            <wp:simplePos x="0" y="0"/>
            <wp:positionH relativeFrom="page">
              <wp:posOffset>512063</wp:posOffset>
            </wp:positionH>
            <wp:positionV relativeFrom="paragraph">
              <wp:posOffset>-195863</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w w:val="135"/>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554" w:val="left" w:leader="none"/>
        </w:tabs>
        <w:spacing w:line="240" w:lineRule="auto" w:before="23" w:after="0"/>
        <w:ind w:left="1554" w:right="0" w:hanging="334"/>
        <w:jc w:val="left"/>
        <w:rPr>
          <w:sz w:val="21"/>
        </w:rPr>
      </w:pPr>
      <w:r>
        <w:rPr>
          <w:spacing w:val="-3"/>
          <w:w w:val="110"/>
          <w:sz w:val="21"/>
        </w:rPr>
        <w:t>您有保单质押借款的权利</w:t>
      </w:r>
      <w:r>
        <w:rPr>
          <w:spacing w:val="-1"/>
          <w:w w:val="175"/>
          <w:sz w:val="21"/>
        </w:rPr>
        <w:t>„„„„„„„„„„„„„„„„„„„„„„„„„„„5.2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您有解除合同的权利</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4" w:val="left" w:leader="none"/>
        </w:tabs>
        <w:spacing w:line="240" w:lineRule="auto" w:before="26" w:after="0"/>
        <w:ind w:left="1554" w:right="0" w:hanging="334"/>
        <w:jc w:val="left"/>
        <w:rPr>
          <w:sz w:val="21"/>
        </w:rPr>
      </w:pPr>
      <w:r>
        <w:rPr>
          <w:spacing w:val="-3"/>
          <w:sz w:val="21"/>
        </w:rPr>
        <w:t>在某些情况下，我们不承担保险责任       „„„„„„</w:t>
      </w:r>
      <w:r>
        <w:rPr>
          <w:sz w:val="21"/>
        </w:rPr>
        <w:t>1.4;2.2;3.2;6.1;8.2;10.7;10.8;10.9</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我们对一些重要术语进行了解释，并作了显著标识，请您注意</w:t>
      </w:r>
      <w:r>
        <w:rPr>
          <w:w w:val="145"/>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40" w:bottom="280" w:left="700" w:right="400"/>
        </w:sectPr>
      </w:pPr>
    </w:p>
    <w:p>
      <w:pPr>
        <w:spacing w:line="296" w:lineRule="exact" w:before="0"/>
        <w:ind w:left="1064" w:right="0" w:firstLine="0"/>
        <w:jc w:val="left"/>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p>
      <w:pPr>
        <w:pStyle w:val="ListParagraph"/>
        <w:numPr>
          <w:ilvl w:val="1"/>
          <w:numId w:val="2"/>
        </w:numPr>
        <w:tabs>
          <w:tab w:pos="1698" w:val="left" w:leader="none"/>
        </w:tabs>
        <w:spacing w:line="240" w:lineRule="auto" w:before="13" w:after="0"/>
        <w:ind w:left="1698" w:right="0" w:hanging="423"/>
        <w:jc w:val="left"/>
        <w:rPr>
          <w:sz w:val="21"/>
        </w:rPr>
      </w:pPr>
      <w:r>
        <w:rPr>
          <w:spacing w:val="-3"/>
          <w:sz w:val="21"/>
        </w:rPr>
        <w:t>合同构成</w:t>
      </w:r>
    </w:p>
    <w:p>
      <w:pPr>
        <w:pStyle w:val="ListParagraph"/>
        <w:numPr>
          <w:ilvl w:val="1"/>
          <w:numId w:val="2"/>
        </w:numPr>
        <w:tabs>
          <w:tab w:pos="1696" w:val="left" w:leader="none"/>
        </w:tabs>
        <w:spacing w:line="240" w:lineRule="auto" w:before="37" w:after="0"/>
        <w:ind w:left="1695" w:right="0" w:hanging="420"/>
        <w:jc w:val="left"/>
        <w:rPr>
          <w:sz w:val="21"/>
        </w:rPr>
      </w:pPr>
      <w:r>
        <w:rPr>
          <w:spacing w:val="-3"/>
          <w:sz w:val="21"/>
        </w:rPr>
        <w:t>合同成立与生效</w:t>
      </w:r>
    </w:p>
    <w:p>
      <w:pPr>
        <w:pStyle w:val="ListParagraph"/>
        <w:numPr>
          <w:ilvl w:val="1"/>
          <w:numId w:val="2"/>
        </w:numPr>
        <w:tabs>
          <w:tab w:pos="1696" w:val="left" w:leader="none"/>
        </w:tabs>
        <w:spacing w:line="240" w:lineRule="auto" w:before="37" w:after="0"/>
        <w:ind w:left="1695" w:right="0" w:hanging="420"/>
        <w:jc w:val="left"/>
        <w:rPr>
          <w:sz w:val="21"/>
        </w:rPr>
      </w:pPr>
      <w:r>
        <w:rPr>
          <w:spacing w:val="-2"/>
          <w:sz w:val="21"/>
        </w:rPr>
        <w:t>投保年龄</w:t>
      </w:r>
    </w:p>
    <w:p>
      <w:pPr>
        <w:pStyle w:val="ListParagraph"/>
        <w:numPr>
          <w:ilvl w:val="1"/>
          <w:numId w:val="2"/>
        </w:numPr>
        <w:tabs>
          <w:tab w:pos="1696" w:val="left" w:leader="none"/>
        </w:tabs>
        <w:spacing w:line="260" w:lineRule="exact" w:before="37" w:after="0"/>
        <w:ind w:left="1695" w:right="0" w:hanging="420"/>
        <w:jc w:val="left"/>
        <w:rPr>
          <w:sz w:val="21"/>
        </w:rPr>
      </w:pPr>
      <w:r>
        <w:rPr>
          <w:spacing w:val="-2"/>
          <w:sz w:val="21"/>
        </w:rPr>
        <w:t>犹豫期</w:t>
      </w:r>
    </w:p>
    <w:p>
      <w:pPr>
        <w:spacing w:line="351" w:lineRule="exact" w:before="0"/>
        <w:ind w:left="1064" w:right="0" w:firstLine="0"/>
        <w:jc w:val="left"/>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p>
      <w:pPr>
        <w:pStyle w:val="ListParagraph"/>
        <w:numPr>
          <w:ilvl w:val="1"/>
          <w:numId w:val="3"/>
        </w:numPr>
        <w:tabs>
          <w:tab w:pos="1698" w:val="left" w:leader="none"/>
        </w:tabs>
        <w:spacing w:line="240" w:lineRule="auto" w:before="13" w:after="0"/>
        <w:ind w:left="1698" w:right="0" w:hanging="423"/>
        <w:jc w:val="left"/>
        <w:rPr>
          <w:sz w:val="21"/>
        </w:rPr>
      </w:pPr>
      <w:r>
        <w:rPr>
          <w:spacing w:val="-3"/>
          <w:sz w:val="21"/>
        </w:rPr>
        <w:t>保险责任</w:t>
      </w:r>
    </w:p>
    <w:p>
      <w:pPr>
        <w:pStyle w:val="ListParagraph"/>
        <w:numPr>
          <w:ilvl w:val="1"/>
          <w:numId w:val="3"/>
        </w:numPr>
        <w:tabs>
          <w:tab w:pos="1698" w:val="left" w:leader="none"/>
        </w:tabs>
        <w:spacing w:line="240" w:lineRule="auto" w:before="37" w:after="0"/>
        <w:ind w:left="1698" w:right="0" w:hanging="423"/>
        <w:jc w:val="left"/>
        <w:rPr>
          <w:sz w:val="21"/>
        </w:rPr>
      </w:pPr>
      <w:r>
        <w:rPr>
          <w:spacing w:val="-3"/>
          <w:sz w:val="21"/>
        </w:rPr>
        <w:t>责任免除</w:t>
      </w:r>
    </w:p>
    <w:p>
      <w:pPr>
        <w:pStyle w:val="ListParagraph"/>
        <w:numPr>
          <w:ilvl w:val="1"/>
          <w:numId w:val="3"/>
        </w:numPr>
        <w:tabs>
          <w:tab w:pos="1698" w:val="left" w:leader="none"/>
        </w:tabs>
        <w:spacing w:line="240" w:lineRule="auto" w:before="37" w:after="0"/>
        <w:ind w:left="1698" w:right="0" w:hanging="423"/>
        <w:jc w:val="left"/>
        <w:rPr>
          <w:sz w:val="21"/>
        </w:rPr>
      </w:pPr>
      <w:r>
        <w:rPr>
          <w:spacing w:val="-3"/>
          <w:sz w:val="21"/>
        </w:rPr>
        <w:t>保险金额</w:t>
      </w:r>
    </w:p>
    <w:p>
      <w:pPr>
        <w:pStyle w:val="ListParagraph"/>
        <w:numPr>
          <w:ilvl w:val="1"/>
          <w:numId w:val="3"/>
        </w:numPr>
        <w:tabs>
          <w:tab w:pos="1698" w:val="left" w:leader="none"/>
        </w:tabs>
        <w:spacing w:line="260" w:lineRule="exact" w:before="37" w:after="0"/>
        <w:ind w:left="1698" w:right="0" w:hanging="423"/>
        <w:jc w:val="left"/>
        <w:rPr>
          <w:sz w:val="21"/>
        </w:rPr>
      </w:pPr>
      <w:r>
        <w:rPr>
          <w:spacing w:val="-3"/>
          <w:sz w:val="21"/>
        </w:rPr>
        <w:t>保险期间</w:t>
      </w:r>
    </w:p>
    <w:p>
      <w:pPr>
        <w:spacing w:line="351" w:lineRule="exact" w:before="0"/>
        <w:ind w:left="1064" w:right="0" w:firstLine="0"/>
        <w:jc w:val="left"/>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p>
      <w:pPr>
        <w:pStyle w:val="ListParagraph"/>
        <w:numPr>
          <w:ilvl w:val="1"/>
          <w:numId w:val="4"/>
        </w:numPr>
        <w:tabs>
          <w:tab w:pos="1698" w:val="left" w:leader="none"/>
        </w:tabs>
        <w:spacing w:line="240" w:lineRule="auto" w:before="14" w:after="0"/>
        <w:ind w:left="1698" w:right="0" w:hanging="423"/>
        <w:jc w:val="left"/>
        <w:rPr>
          <w:sz w:val="21"/>
        </w:rPr>
      </w:pPr>
      <w:r>
        <w:rPr>
          <w:spacing w:val="-2"/>
          <w:sz w:val="21"/>
        </w:rPr>
        <w:t>受益人</w:t>
      </w:r>
    </w:p>
    <w:p>
      <w:pPr>
        <w:pStyle w:val="ListParagraph"/>
        <w:numPr>
          <w:ilvl w:val="1"/>
          <w:numId w:val="4"/>
        </w:numPr>
        <w:tabs>
          <w:tab w:pos="1698" w:val="left" w:leader="none"/>
        </w:tabs>
        <w:spacing w:line="240" w:lineRule="auto" w:before="37" w:after="0"/>
        <w:ind w:left="1698" w:right="0" w:hanging="423"/>
        <w:jc w:val="left"/>
        <w:rPr>
          <w:sz w:val="21"/>
        </w:rPr>
      </w:pPr>
      <w:r>
        <w:rPr>
          <w:spacing w:val="-3"/>
          <w:sz w:val="21"/>
        </w:rPr>
        <w:t>保险事故通知</w:t>
      </w:r>
    </w:p>
    <w:p>
      <w:pPr>
        <w:pStyle w:val="ListParagraph"/>
        <w:numPr>
          <w:ilvl w:val="1"/>
          <w:numId w:val="4"/>
        </w:numPr>
        <w:tabs>
          <w:tab w:pos="1698" w:val="left" w:leader="none"/>
        </w:tabs>
        <w:spacing w:line="240" w:lineRule="auto" w:before="34" w:after="0"/>
        <w:ind w:left="1698" w:right="0" w:hanging="423"/>
        <w:jc w:val="left"/>
        <w:rPr>
          <w:sz w:val="21"/>
        </w:rPr>
      </w:pPr>
      <w:r>
        <w:rPr>
          <w:spacing w:val="-3"/>
          <w:sz w:val="21"/>
        </w:rPr>
        <w:t>保险金的申请</w:t>
      </w:r>
    </w:p>
    <w:p>
      <w:pPr>
        <w:pStyle w:val="ListParagraph"/>
        <w:numPr>
          <w:ilvl w:val="1"/>
          <w:numId w:val="4"/>
        </w:numPr>
        <w:tabs>
          <w:tab w:pos="1420" w:val="left" w:leader="none"/>
        </w:tabs>
        <w:spacing w:line="272" w:lineRule="exact" w:before="0" w:after="0"/>
        <w:ind w:left="1419" w:right="0" w:hanging="420"/>
        <w:jc w:val="left"/>
        <w:rPr>
          <w:sz w:val="21"/>
        </w:rPr>
      </w:pPr>
      <w:r>
        <w:rPr>
          <w:w w:val="100"/>
          <w:sz w:val="21"/>
        </w:rPr>
        <w:br w:type="column"/>
      </w:r>
      <w:r>
        <w:rPr>
          <w:spacing w:val="-3"/>
          <w:sz w:val="21"/>
        </w:rPr>
        <w:t>宣告死亡的处理</w:t>
      </w:r>
    </w:p>
    <w:p>
      <w:pPr>
        <w:pStyle w:val="ListParagraph"/>
        <w:numPr>
          <w:ilvl w:val="1"/>
          <w:numId w:val="4"/>
        </w:numPr>
        <w:tabs>
          <w:tab w:pos="1423" w:val="left" w:leader="none"/>
        </w:tabs>
        <w:spacing w:line="240" w:lineRule="auto" w:before="37" w:after="0"/>
        <w:ind w:left="1422" w:right="0" w:hanging="423"/>
        <w:jc w:val="left"/>
        <w:rPr>
          <w:sz w:val="21"/>
        </w:rPr>
      </w:pPr>
      <w:r>
        <w:rPr>
          <w:spacing w:val="-3"/>
          <w:sz w:val="21"/>
        </w:rPr>
        <w:t>保险金的给付</w:t>
      </w:r>
    </w:p>
    <w:p>
      <w:pPr>
        <w:pStyle w:val="ListParagraph"/>
        <w:numPr>
          <w:ilvl w:val="1"/>
          <w:numId w:val="4"/>
        </w:numPr>
        <w:tabs>
          <w:tab w:pos="1423" w:val="left" w:leader="none"/>
        </w:tabs>
        <w:spacing w:line="260" w:lineRule="exact" w:before="37" w:after="0"/>
        <w:ind w:left="1422" w:right="0" w:hanging="423"/>
        <w:jc w:val="left"/>
        <w:rPr>
          <w:sz w:val="21"/>
        </w:rPr>
      </w:pPr>
      <w:r>
        <w:rPr>
          <w:spacing w:val="-3"/>
          <w:sz w:val="21"/>
        </w:rPr>
        <w:t>诉讼时效</w:t>
      </w:r>
    </w:p>
    <w:p>
      <w:pPr>
        <w:spacing w:line="351" w:lineRule="exact" w:before="0"/>
        <w:ind w:left="788" w:right="0" w:firstLine="0"/>
        <w:jc w:val="left"/>
        <w:rPr>
          <w:rFonts w:ascii="Microsoft JhengHei" w:eastAsia="Microsoft JhengHei" w:hint="eastAsia"/>
          <w:b/>
          <w:sz w:val="21"/>
        </w:rPr>
      </w:pPr>
      <w:r>
        <w:rPr>
          <w:rFonts w:ascii="Microsoft JhengHei" w:eastAsia="Microsoft JhengHei" w:hint="eastAsia"/>
          <w:b/>
          <w:sz w:val="21"/>
        </w:rPr>
        <w:t>4.保险费的交纳</w:t>
      </w:r>
    </w:p>
    <w:p>
      <w:pPr>
        <w:pStyle w:val="ListParagraph"/>
        <w:numPr>
          <w:ilvl w:val="1"/>
          <w:numId w:val="5"/>
        </w:numPr>
        <w:tabs>
          <w:tab w:pos="1420" w:val="left" w:leader="none"/>
        </w:tabs>
        <w:spacing w:line="240" w:lineRule="auto" w:before="13" w:after="0"/>
        <w:ind w:left="1419" w:right="0" w:hanging="420"/>
        <w:jc w:val="left"/>
        <w:rPr>
          <w:sz w:val="21"/>
        </w:rPr>
      </w:pPr>
      <w:r>
        <w:rPr>
          <w:spacing w:val="-3"/>
          <w:sz w:val="21"/>
        </w:rPr>
        <w:t>保险费的交纳</w:t>
      </w:r>
    </w:p>
    <w:p>
      <w:pPr>
        <w:pStyle w:val="ListParagraph"/>
        <w:numPr>
          <w:ilvl w:val="1"/>
          <w:numId w:val="5"/>
        </w:numPr>
        <w:tabs>
          <w:tab w:pos="1420" w:val="left" w:leader="none"/>
        </w:tabs>
        <w:spacing w:line="260" w:lineRule="exact" w:before="37" w:after="0"/>
        <w:ind w:left="1419" w:right="0" w:hanging="420"/>
        <w:jc w:val="left"/>
        <w:rPr>
          <w:sz w:val="21"/>
        </w:rPr>
      </w:pPr>
      <w:r>
        <w:rPr>
          <w:spacing w:val="-2"/>
          <w:sz w:val="21"/>
        </w:rPr>
        <w:t>宽限期</w:t>
      </w:r>
    </w:p>
    <w:p>
      <w:pPr>
        <w:spacing w:line="351" w:lineRule="exact" w:before="0"/>
        <w:ind w:left="788" w:right="0" w:firstLine="0"/>
        <w:jc w:val="left"/>
        <w:rPr>
          <w:rFonts w:ascii="Microsoft JhengHei" w:eastAsia="Microsoft JhengHei" w:hint="eastAsia"/>
          <w:b/>
          <w:sz w:val="21"/>
        </w:rPr>
      </w:pPr>
      <w:r>
        <w:rPr>
          <w:rFonts w:ascii="Microsoft JhengHei" w:eastAsia="Microsoft JhengHei" w:hint="eastAsia"/>
          <w:b/>
          <w:sz w:val="21"/>
        </w:rPr>
        <w:t>5.现金价值权益</w:t>
      </w:r>
    </w:p>
    <w:p>
      <w:pPr>
        <w:pStyle w:val="ListParagraph"/>
        <w:numPr>
          <w:ilvl w:val="1"/>
          <w:numId w:val="6"/>
        </w:numPr>
        <w:tabs>
          <w:tab w:pos="1420" w:val="left" w:leader="none"/>
        </w:tabs>
        <w:spacing w:line="240" w:lineRule="auto" w:before="13" w:after="0"/>
        <w:ind w:left="1419" w:right="0" w:hanging="420"/>
        <w:jc w:val="left"/>
        <w:rPr>
          <w:sz w:val="21"/>
        </w:rPr>
      </w:pPr>
      <w:r>
        <w:rPr>
          <w:spacing w:val="-3"/>
          <w:sz w:val="21"/>
        </w:rPr>
        <w:t>本合同现金价值</w:t>
      </w:r>
    </w:p>
    <w:p>
      <w:pPr>
        <w:pStyle w:val="ListParagraph"/>
        <w:numPr>
          <w:ilvl w:val="1"/>
          <w:numId w:val="6"/>
        </w:numPr>
        <w:tabs>
          <w:tab w:pos="1423" w:val="left" w:leader="none"/>
        </w:tabs>
        <w:spacing w:line="240" w:lineRule="auto" w:before="37" w:after="0"/>
        <w:ind w:left="1422" w:right="0" w:hanging="423"/>
        <w:jc w:val="left"/>
        <w:rPr>
          <w:sz w:val="21"/>
        </w:rPr>
      </w:pPr>
      <w:r>
        <w:rPr>
          <w:spacing w:val="-3"/>
          <w:sz w:val="21"/>
        </w:rPr>
        <w:t>保单质押借款</w:t>
      </w:r>
    </w:p>
    <w:p>
      <w:pPr>
        <w:pStyle w:val="ListParagraph"/>
        <w:numPr>
          <w:ilvl w:val="1"/>
          <w:numId w:val="6"/>
        </w:numPr>
        <w:tabs>
          <w:tab w:pos="1423" w:val="left" w:leader="none"/>
        </w:tabs>
        <w:spacing w:line="260" w:lineRule="exact" w:before="37" w:after="0"/>
        <w:ind w:left="1422" w:right="0" w:hanging="423"/>
        <w:jc w:val="left"/>
        <w:rPr>
          <w:sz w:val="21"/>
        </w:rPr>
      </w:pPr>
      <w:r>
        <w:rPr>
          <w:spacing w:val="-3"/>
          <w:sz w:val="21"/>
        </w:rPr>
        <w:t>保险费自动垫交</w:t>
      </w:r>
    </w:p>
    <w:p>
      <w:pPr>
        <w:spacing w:line="351" w:lineRule="exact" w:before="0"/>
        <w:ind w:left="788" w:right="0" w:firstLine="0"/>
        <w:jc w:val="left"/>
        <w:rPr>
          <w:rFonts w:ascii="Microsoft JhengHei" w:eastAsia="Microsoft JhengHei" w:hint="eastAsia"/>
          <w:b/>
          <w:sz w:val="21"/>
        </w:rPr>
      </w:pPr>
      <w:r>
        <w:rPr>
          <w:rFonts w:ascii="Microsoft JhengHei" w:eastAsia="Microsoft JhengHei" w:hint="eastAsia"/>
          <w:b/>
          <w:sz w:val="21"/>
        </w:rPr>
        <w:t>6.合同中止和复效</w:t>
      </w:r>
    </w:p>
    <w:p>
      <w:pPr>
        <w:pStyle w:val="ListParagraph"/>
        <w:numPr>
          <w:ilvl w:val="1"/>
          <w:numId w:val="7"/>
        </w:numPr>
        <w:tabs>
          <w:tab w:pos="1423" w:val="left" w:leader="none"/>
        </w:tabs>
        <w:spacing w:line="240" w:lineRule="auto" w:before="14" w:after="0"/>
        <w:ind w:left="1422" w:right="0" w:hanging="423"/>
        <w:jc w:val="left"/>
        <w:rPr>
          <w:sz w:val="21"/>
        </w:rPr>
      </w:pPr>
      <w:r>
        <w:rPr>
          <w:spacing w:val="-3"/>
          <w:sz w:val="21"/>
        </w:rPr>
        <w:t>合同中止</w:t>
      </w:r>
    </w:p>
    <w:p>
      <w:pPr>
        <w:pStyle w:val="ListParagraph"/>
        <w:numPr>
          <w:ilvl w:val="1"/>
          <w:numId w:val="7"/>
        </w:numPr>
        <w:tabs>
          <w:tab w:pos="1423" w:val="left" w:leader="none"/>
        </w:tabs>
        <w:spacing w:line="260" w:lineRule="exact" w:before="37" w:after="0"/>
        <w:ind w:left="1422" w:right="0" w:hanging="423"/>
        <w:jc w:val="left"/>
        <w:rPr>
          <w:sz w:val="21"/>
        </w:rPr>
      </w:pPr>
      <w:r>
        <w:rPr>
          <w:spacing w:val="-3"/>
          <w:sz w:val="21"/>
        </w:rPr>
        <w:t>合同复效</w:t>
      </w:r>
    </w:p>
    <w:p>
      <w:pPr>
        <w:spacing w:line="351" w:lineRule="exact" w:before="0"/>
        <w:ind w:left="788" w:right="0" w:firstLine="0"/>
        <w:jc w:val="left"/>
        <w:rPr>
          <w:rFonts w:ascii="Microsoft JhengHei" w:eastAsia="Microsoft JhengHei" w:hint="eastAsia"/>
          <w:b/>
          <w:sz w:val="21"/>
        </w:rPr>
      </w:pPr>
      <w:r>
        <w:rPr>
          <w:rFonts w:ascii="Microsoft JhengHei" w:eastAsia="Microsoft JhengHei" w:hint="eastAsia"/>
          <w:b/>
          <w:sz w:val="21"/>
        </w:rPr>
        <w:t>7.合同解除和变更</w:t>
      </w:r>
    </w:p>
    <w:p>
      <w:pPr>
        <w:pStyle w:val="ListParagraph"/>
        <w:numPr>
          <w:ilvl w:val="1"/>
          <w:numId w:val="8"/>
        </w:numPr>
        <w:tabs>
          <w:tab w:pos="1439" w:val="left" w:leader="none"/>
        </w:tabs>
        <w:spacing w:line="272" w:lineRule="exact" w:before="0" w:after="0"/>
        <w:ind w:left="1438" w:right="0" w:hanging="422"/>
        <w:jc w:val="left"/>
        <w:rPr>
          <w:sz w:val="21"/>
        </w:rPr>
      </w:pPr>
      <w:r>
        <w:rPr>
          <w:spacing w:val="-3"/>
          <w:w w:val="100"/>
          <w:sz w:val="21"/>
        </w:rPr>
        <w:br w:type="column"/>
      </w:r>
      <w:r>
        <w:rPr>
          <w:spacing w:val="-3"/>
          <w:sz w:val="21"/>
        </w:rPr>
        <w:t>您解除合同的手续及风险</w:t>
      </w:r>
    </w:p>
    <w:p>
      <w:pPr>
        <w:pStyle w:val="ListParagraph"/>
        <w:numPr>
          <w:ilvl w:val="1"/>
          <w:numId w:val="8"/>
        </w:numPr>
        <w:tabs>
          <w:tab w:pos="1444" w:val="left" w:leader="none"/>
        </w:tabs>
        <w:spacing w:line="240" w:lineRule="auto" w:before="37" w:after="0"/>
        <w:ind w:left="1443" w:right="0" w:hanging="423"/>
        <w:jc w:val="left"/>
        <w:rPr>
          <w:sz w:val="21"/>
        </w:rPr>
      </w:pPr>
      <w:r>
        <w:rPr>
          <w:spacing w:val="-3"/>
          <w:sz w:val="21"/>
        </w:rPr>
        <w:t>合同变更</w:t>
      </w:r>
    </w:p>
    <w:p>
      <w:pPr>
        <w:pStyle w:val="ListParagraph"/>
        <w:numPr>
          <w:ilvl w:val="1"/>
          <w:numId w:val="8"/>
        </w:numPr>
        <w:tabs>
          <w:tab w:pos="1444" w:val="left" w:leader="none"/>
        </w:tabs>
        <w:spacing w:line="260" w:lineRule="exact" w:before="37" w:after="0"/>
        <w:ind w:left="1443" w:right="0" w:hanging="423"/>
        <w:jc w:val="left"/>
        <w:rPr>
          <w:sz w:val="21"/>
        </w:rPr>
      </w:pPr>
      <w:r>
        <w:rPr>
          <w:spacing w:val="-3"/>
          <w:sz w:val="21"/>
        </w:rPr>
        <w:t>联系方式变更</w:t>
      </w:r>
    </w:p>
    <w:p>
      <w:pPr>
        <w:spacing w:line="351" w:lineRule="exact" w:before="0"/>
        <w:ind w:left="809" w:right="0" w:firstLine="0"/>
        <w:jc w:val="left"/>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p>
      <w:pPr>
        <w:pStyle w:val="ListParagraph"/>
        <w:numPr>
          <w:ilvl w:val="1"/>
          <w:numId w:val="9"/>
        </w:numPr>
        <w:tabs>
          <w:tab w:pos="1444" w:val="left" w:leader="none"/>
        </w:tabs>
        <w:spacing w:line="240" w:lineRule="auto" w:before="13" w:after="0"/>
        <w:ind w:left="1443" w:right="0" w:hanging="423"/>
        <w:jc w:val="left"/>
        <w:rPr>
          <w:sz w:val="21"/>
        </w:rPr>
      </w:pPr>
      <w:r>
        <w:rPr>
          <w:spacing w:val="-3"/>
          <w:sz w:val="21"/>
        </w:rPr>
        <w:t>明确说明</w:t>
      </w:r>
    </w:p>
    <w:p>
      <w:pPr>
        <w:pStyle w:val="ListParagraph"/>
        <w:numPr>
          <w:ilvl w:val="1"/>
          <w:numId w:val="9"/>
        </w:numPr>
        <w:tabs>
          <w:tab w:pos="1444" w:val="left" w:leader="none"/>
        </w:tabs>
        <w:spacing w:line="240" w:lineRule="auto" w:before="37" w:after="0"/>
        <w:ind w:left="1443" w:right="0" w:hanging="423"/>
        <w:jc w:val="left"/>
        <w:rPr>
          <w:sz w:val="21"/>
        </w:rPr>
      </w:pPr>
      <w:r>
        <w:rPr>
          <w:spacing w:val="-3"/>
          <w:sz w:val="21"/>
        </w:rPr>
        <w:t>如实告知</w:t>
      </w:r>
    </w:p>
    <w:p>
      <w:pPr>
        <w:pStyle w:val="ListParagraph"/>
        <w:numPr>
          <w:ilvl w:val="1"/>
          <w:numId w:val="9"/>
        </w:numPr>
        <w:tabs>
          <w:tab w:pos="1444" w:val="left" w:leader="none"/>
        </w:tabs>
        <w:spacing w:line="260" w:lineRule="exact" w:before="37" w:after="0"/>
        <w:ind w:left="1443" w:right="0" w:hanging="423"/>
        <w:jc w:val="left"/>
        <w:rPr>
          <w:sz w:val="21"/>
        </w:rPr>
      </w:pPr>
      <w:r>
        <w:rPr>
          <w:spacing w:val="-3"/>
          <w:sz w:val="21"/>
        </w:rPr>
        <w:t>本公司合同解除权的限制</w:t>
      </w:r>
    </w:p>
    <w:p>
      <w:pPr>
        <w:spacing w:line="351" w:lineRule="exact" w:before="0"/>
        <w:ind w:left="809" w:right="0" w:firstLine="0"/>
        <w:jc w:val="left"/>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p>
      <w:pPr>
        <w:pStyle w:val="ListParagraph"/>
        <w:numPr>
          <w:ilvl w:val="1"/>
          <w:numId w:val="10"/>
        </w:numPr>
        <w:tabs>
          <w:tab w:pos="1444" w:val="left" w:leader="none"/>
        </w:tabs>
        <w:spacing w:line="240" w:lineRule="auto" w:before="13" w:after="0"/>
        <w:ind w:left="1443" w:right="0" w:hanging="423"/>
        <w:jc w:val="left"/>
        <w:rPr>
          <w:sz w:val="21"/>
        </w:rPr>
      </w:pPr>
      <w:r>
        <w:rPr>
          <w:spacing w:val="-3"/>
          <w:sz w:val="21"/>
        </w:rPr>
        <w:t>年龄错误</w:t>
      </w:r>
    </w:p>
    <w:p>
      <w:pPr>
        <w:pStyle w:val="ListParagraph"/>
        <w:numPr>
          <w:ilvl w:val="1"/>
          <w:numId w:val="10"/>
        </w:numPr>
        <w:tabs>
          <w:tab w:pos="1444" w:val="left" w:leader="none"/>
        </w:tabs>
        <w:spacing w:line="240" w:lineRule="auto" w:before="36" w:after="0"/>
        <w:ind w:left="1443" w:right="0" w:hanging="423"/>
        <w:jc w:val="left"/>
        <w:rPr>
          <w:sz w:val="21"/>
        </w:rPr>
      </w:pPr>
      <w:r>
        <w:rPr>
          <w:spacing w:val="-3"/>
          <w:sz w:val="21"/>
        </w:rPr>
        <w:t>未还款项</w:t>
      </w:r>
    </w:p>
    <w:p>
      <w:pPr>
        <w:pStyle w:val="ListParagraph"/>
        <w:numPr>
          <w:ilvl w:val="1"/>
          <w:numId w:val="10"/>
        </w:numPr>
        <w:tabs>
          <w:tab w:pos="1444" w:val="left" w:leader="none"/>
        </w:tabs>
        <w:spacing w:line="260" w:lineRule="exact" w:before="36" w:after="0"/>
        <w:ind w:left="1443" w:right="0" w:hanging="423"/>
        <w:jc w:val="left"/>
        <w:rPr>
          <w:sz w:val="21"/>
        </w:rPr>
      </w:pPr>
      <w:r>
        <w:rPr>
          <w:spacing w:val="-3"/>
          <w:sz w:val="21"/>
        </w:rPr>
        <w:t>争议处理</w:t>
      </w:r>
    </w:p>
    <w:p>
      <w:pPr>
        <w:spacing w:line="351" w:lineRule="exact" w:before="0"/>
        <w:ind w:left="809" w:right="0" w:firstLine="0"/>
        <w:jc w:val="left"/>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p>
      <w:pPr>
        <w:spacing w:after="0" w:line="351" w:lineRule="exact"/>
        <w:jc w:val="left"/>
        <w:rPr>
          <w:rFonts w:ascii="Microsoft JhengHei" w:eastAsia="Microsoft JhengHei" w:hint="eastAsia"/>
          <w:sz w:val="21"/>
        </w:rPr>
        <w:sectPr>
          <w:type w:val="continuous"/>
          <w:pgSz w:w="11910" w:h="16840"/>
          <w:pgMar w:top="440" w:bottom="280" w:left="700" w:right="400"/>
          <w:cols w:num="3" w:equalWidth="0">
            <w:col w:w="3177" w:space="40"/>
            <w:col w:w="2894" w:space="39"/>
            <w:col w:w="4660"/>
          </w:cols>
        </w:sectPr>
      </w:pPr>
    </w:p>
    <w:p>
      <w:pPr>
        <w:spacing w:line="524" w:lineRule="exact" w:before="0"/>
        <w:ind w:left="2582" w:right="0" w:firstLine="0"/>
        <w:jc w:val="left"/>
        <w:rPr>
          <w:b/>
          <w:sz w:val="44"/>
        </w:rPr>
      </w:pPr>
      <w:r>
        <w:rPr>
          <w:b/>
          <w:w w:val="95"/>
          <w:sz w:val="44"/>
        </w:rPr>
        <w:t>华夏人寿保险股份有限公司</w:t>
      </w:r>
    </w:p>
    <w:p>
      <w:pPr>
        <w:spacing w:before="48"/>
        <w:ind w:left="2362" w:right="0" w:firstLine="0"/>
        <w:jc w:val="left"/>
        <w:rPr>
          <w:b/>
          <w:sz w:val="44"/>
        </w:rPr>
      </w:pPr>
      <w:r>
        <w:rPr>
          <w:b/>
          <w:w w:val="95"/>
          <w:sz w:val="44"/>
        </w:rPr>
        <w:t>关爱宝一号重大疾病保险条款</w:t>
      </w:r>
    </w:p>
    <w:p>
      <w:pPr>
        <w:pStyle w:val="BodyText"/>
        <w:spacing w:before="6"/>
        <w:ind w:firstLine="0"/>
        <w:rPr>
          <w:b/>
          <w:sz w:val="51"/>
        </w:rPr>
      </w:pPr>
    </w:p>
    <w:p>
      <w:pPr>
        <w:pStyle w:val="BodyText"/>
        <w:spacing w:line="273" w:lineRule="auto" w:before="0"/>
        <w:ind w:left="300" w:right="392" w:firstLine="0"/>
      </w:pPr>
      <w:r>
        <w:rPr>
          <w:spacing w:val="-6"/>
          <w:w w:val="100"/>
        </w:rPr>
        <w:t>在本条款中，“您”指投保人，“我们”和“本公司”指华夏人寿保险股份有限公司，“本合同”指您与我</w:t>
      </w:r>
      <w:r>
        <w:rPr>
          <w:spacing w:val="-13"/>
        </w:rPr>
        <w:t>们之间订立的“华夏关爱宝一号重大疾病保险合同”。</w:t>
      </w:r>
    </w:p>
    <w:p>
      <w:pPr>
        <w:pStyle w:val="BodyText"/>
        <w:spacing w:before="0"/>
        <w:ind w:firstLine="0"/>
        <w:rPr>
          <w:sz w:val="20"/>
        </w:rPr>
      </w:pPr>
    </w:p>
    <w:p>
      <w:pPr>
        <w:pStyle w:val="BodyText"/>
        <w:spacing w:before="5"/>
        <w:ind w:firstLine="0"/>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258"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2"/>
              <w:ind w:left="0"/>
              <w:rPr>
                <w:sz w:val="14"/>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163" w:hRule="atLeast"/>
        </w:trPr>
        <w:tc>
          <w:tcPr>
            <w:tcW w:w="682" w:type="dxa"/>
          </w:tcPr>
          <w:p>
            <w:pPr>
              <w:pStyle w:val="TableParagraph"/>
              <w:spacing w:before="99"/>
              <w:ind w:left="107"/>
              <w:rPr>
                <w:b/>
                <w:sz w:val="21"/>
              </w:rPr>
            </w:pPr>
            <w:r>
              <w:rPr>
                <w:b/>
                <w:sz w:val="21"/>
              </w:rPr>
              <w:t>1.2</w:t>
            </w:r>
          </w:p>
        </w:tc>
        <w:tc>
          <w:tcPr>
            <w:tcW w:w="2021" w:type="dxa"/>
          </w:tcPr>
          <w:p>
            <w:pPr>
              <w:pStyle w:val="TableParagraph"/>
              <w:spacing w:before="99"/>
              <w:ind w:left="216"/>
              <w:rPr>
                <w:b/>
                <w:sz w:val="21"/>
              </w:rPr>
            </w:pPr>
            <w:r>
              <w:rPr>
                <w:b/>
                <w:sz w:val="21"/>
              </w:rPr>
              <w:t>合同成立与生效</w:t>
            </w:r>
          </w:p>
        </w:tc>
        <w:tc>
          <w:tcPr>
            <w:tcW w:w="7547" w:type="dxa"/>
          </w:tcPr>
          <w:p>
            <w:pPr>
              <w:pStyle w:val="TableParagraph"/>
              <w:spacing w:before="99"/>
              <w:ind w:left="122"/>
              <w:rPr>
                <w:sz w:val="21"/>
              </w:rPr>
            </w:pPr>
            <w:r>
              <w:rPr>
                <w:sz w:val="21"/>
              </w:rPr>
              <w:t>一、您提出保险申请、我们同意承保，本合同成立。</w:t>
            </w:r>
          </w:p>
          <w:p>
            <w:pPr>
              <w:pStyle w:val="TableParagraph"/>
              <w:spacing w:line="273" w:lineRule="auto" w:before="36"/>
              <w:ind w:left="542" w:right="54"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850" w:hRule="atLeast"/>
        </w:trPr>
        <w:tc>
          <w:tcPr>
            <w:tcW w:w="682" w:type="dxa"/>
          </w:tcPr>
          <w:p>
            <w:pPr>
              <w:pStyle w:val="TableParagraph"/>
              <w:spacing w:before="100"/>
              <w:ind w:left="107"/>
              <w:rPr>
                <w:b/>
                <w:sz w:val="21"/>
              </w:rPr>
            </w:pPr>
            <w:r>
              <w:rPr>
                <w:b/>
                <w:sz w:val="21"/>
              </w:rPr>
              <w:t>1.3</w:t>
            </w:r>
          </w:p>
        </w:tc>
        <w:tc>
          <w:tcPr>
            <w:tcW w:w="2021" w:type="dxa"/>
          </w:tcPr>
          <w:p>
            <w:pPr>
              <w:pStyle w:val="TableParagraph"/>
              <w:spacing w:before="100"/>
              <w:ind w:left="216"/>
              <w:rPr>
                <w:b/>
                <w:sz w:val="21"/>
              </w:rPr>
            </w:pPr>
            <w:r>
              <w:rPr>
                <w:b/>
                <w:sz w:val="21"/>
              </w:rPr>
              <w:t>投保年龄</w:t>
            </w:r>
          </w:p>
        </w:tc>
        <w:tc>
          <w:tcPr>
            <w:tcW w:w="7547" w:type="dxa"/>
          </w:tcPr>
          <w:p>
            <w:pPr>
              <w:pStyle w:val="TableParagraph"/>
              <w:spacing w:before="100"/>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z w:val="21"/>
              </w:rPr>
              <w:t>岁（</w:t>
            </w:r>
            <w:r>
              <w:rPr>
                <w:spacing w:val="-10"/>
                <w:sz w:val="21"/>
              </w:rPr>
              <w:t>出生且出院满 </w:t>
            </w:r>
            <w:r>
              <w:rPr>
                <w:sz w:val="21"/>
              </w:rPr>
              <w:t>28</w:t>
            </w:r>
            <w:r>
              <w:rPr>
                <w:spacing w:val="-27"/>
                <w:sz w:val="21"/>
              </w:rPr>
              <w:t> 日</w:t>
            </w:r>
            <w:r>
              <w:rPr>
                <w:spacing w:val="-3"/>
                <w:sz w:val="21"/>
              </w:rPr>
              <w:t>）</w:t>
            </w:r>
            <w:r>
              <w:rPr>
                <w:spacing w:val="-25"/>
                <w:sz w:val="21"/>
              </w:rPr>
              <w:t>至 </w:t>
            </w:r>
            <w:r>
              <w:rPr>
                <w:sz w:val="21"/>
              </w:rPr>
              <w:t>60</w:t>
            </w:r>
            <w:r>
              <w:rPr>
                <w:spacing w:val="-19"/>
                <w:sz w:val="21"/>
              </w:rPr>
              <w:t> 周岁</w:t>
            </w:r>
            <w:r>
              <w:rPr>
                <w:sz w:val="21"/>
              </w:rPr>
              <w:t>（</w:t>
            </w:r>
            <w:r>
              <w:rPr>
                <w:spacing w:val="-26"/>
                <w:sz w:val="21"/>
              </w:rPr>
              <w:t>含 </w:t>
            </w:r>
            <w:r>
              <w:rPr>
                <w:sz w:val="21"/>
              </w:rPr>
              <w:t>60</w:t>
            </w:r>
            <w:r>
              <w:rPr>
                <w:spacing w:val="-18"/>
                <w:sz w:val="21"/>
              </w:rPr>
              <w:t> 周岁</w:t>
            </w:r>
            <w:r>
              <w:rPr>
                <w:spacing w:val="-109"/>
                <w:sz w:val="21"/>
              </w:rPr>
              <w:t>）</w:t>
            </w:r>
            <w:r>
              <w:rPr>
                <w:sz w:val="21"/>
              </w:rPr>
              <w:t>。</w:t>
            </w:r>
          </w:p>
        </w:tc>
      </w:tr>
      <w:tr>
        <w:trPr>
          <w:trHeight w:val="2721" w:hRule="atLeast"/>
        </w:trPr>
        <w:tc>
          <w:tcPr>
            <w:tcW w:w="682" w:type="dxa"/>
          </w:tcPr>
          <w:p>
            <w:pPr>
              <w:pStyle w:val="TableParagraph"/>
              <w:spacing w:before="99"/>
              <w:ind w:left="107"/>
              <w:rPr>
                <w:b/>
                <w:sz w:val="21"/>
              </w:rPr>
            </w:pPr>
            <w:r>
              <w:rPr>
                <w:b/>
                <w:sz w:val="21"/>
              </w:rPr>
              <w:t>1.4</w:t>
            </w:r>
          </w:p>
        </w:tc>
        <w:tc>
          <w:tcPr>
            <w:tcW w:w="2021" w:type="dxa"/>
          </w:tcPr>
          <w:p>
            <w:pPr>
              <w:pStyle w:val="TableParagraph"/>
              <w:spacing w:before="99"/>
              <w:ind w:left="216"/>
              <w:rPr>
                <w:b/>
                <w:sz w:val="21"/>
              </w:rPr>
            </w:pPr>
            <w:r>
              <w:rPr>
                <w:b/>
                <w:sz w:val="21"/>
              </w:rPr>
              <w:t>犹豫期</w:t>
            </w:r>
          </w:p>
        </w:tc>
        <w:tc>
          <w:tcPr>
            <w:tcW w:w="7547" w:type="dxa"/>
          </w:tcPr>
          <w:p>
            <w:pPr>
              <w:pStyle w:val="TableParagraph"/>
              <w:spacing w:line="273" w:lineRule="auto" w:before="99"/>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4"/>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683" w:hRule="atLeast"/>
        </w:trPr>
        <w:tc>
          <w:tcPr>
            <w:tcW w:w="682" w:type="dxa"/>
            <w:tcBorders>
              <w:bottom w:val="single" w:sz="8" w:space="0" w:color="000000"/>
            </w:tcBorders>
          </w:tcPr>
          <w:p>
            <w:pPr>
              <w:pStyle w:val="TableParagraph"/>
              <w:spacing w:before="12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175"/>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652" w:hRule="atLeast"/>
        </w:trPr>
        <w:tc>
          <w:tcPr>
            <w:tcW w:w="682"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spacing w:before="3"/>
              <w:ind w:left="0"/>
              <w:rPr>
                <w:sz w:val="16"/>
              </w:rPr>
            </w:pPr>
          </w:p>
          <w:p>
            <w:pPr>
              <w:pStyle w:val="TableParagraph"/>
              <w:ind w:left="122"/>
              <w:rPr>
                <w:sz w:val="21"/>
              </w:rPr>
            </w:pPr>
            <w:r>
              <w:rPr>
                <w:sz w:val="21"/>
              </w:rPr>
              <w:t>在本合同有效期间内，我们按照以下约定承担保险责任：</w:t>
            </w:r>
          </w:p>
        </w:tc>
      </w:tr>
      <w:tr>
        <w:trPr>
          <w:trHeight w:val="1163" w:hRule="atLeast"/>
        </w:trPr>
        <w:tc>
          <w:tcPr>
            <w:tcW w:w="682" w:type="dxa"/>
          </w:tcPr>
          <w:p>
            <w:pPr>
              <w:pStyle w:val="TableParagraph"/>
              <w:ind w:left="0"/>
              <w:rPr>
                <w:rFonts w:ascii="Times New Roman"/>
                <w:sz w:val="20"/>
              </w:rPr>
            </w:pPr>
          </w:p>
        </w:tc>
        <w:tc>
          <w:tcPr>
            <w:tcW w:w="2021" w:type="dxa"/>
          </w:tcPr>
          <w:p>
            <w:pPr>
              <w:pStyle w:val="TableParagraph"/>
              <w:spacing w:before="13"/>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00"/>
              <w:ind w:left="122" w:right="103"/>
              <w:jc w:val="both"/>
              <w:rPr>
                <w:sz w:val="21"/>
              </w:rPr>
            </w:pPr>
            <w:r>
              <w:rPr>
                <w:spacing w:val="-2"/>
                <w:sz w:val="21"/>
              </w:rPr>
              <w:t>若被保险人因</w:t>
            </w:r>
            <w:r>
              <w:rPr>
                <w:b/>
                <w:sz w:val="21"/>
              </w:rPr>
              <w:t>意外伤害</w:t>
            </w:r>
            <w:r>
              <w:rPr>
                <w:spacing w:val="-4"/>
                <w:sz w:val="21"/>
              </w:rPr>
              <w:t>，或于本合同生效或最后一次复效之日起 </w:t>
            </w:r>
            <w:r>
              <w:rPr>
                <w:sz w:val="21"/>
              </w:rPr>
              <w:t>90</w:t>
            </w:r>
            <w:r>
              <w:rPr>
                <w:spacing w:val="-3"/>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851"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99"/>
              <w:ind w:left="122" w:right="106"/>
              <w:rPr>
                <w:b/>
                <w:sz w:val="21"/>
              </w:rPr>
            </w:pPr>
            <w:r>
              <w:rPr>
                <w:b/>
                <w:sz w:val="21"/>
              </w:rPr>
              <w:t>每种轻症疾病只给付一次轻症疾病保险金，给付后该种轻症保险金保险责任终止，本合同的轻症疾病保险金累计给付以三次为限。</w:t>
            </w:r>
          </w:p>
        </w:tc>
      </w:tr>
      <w:tr>
        <w:trPr>
          <w:trHeight w:val="1623"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00"/>
              <w:ind w:left="122"/>
              <w:rPr>
                <w:sz w:val="21"/>
              </w:rPr>
            </w:pPr>
            <w:r>
              <w:rPr>
                <w:b/>
                <w:sz w:val="21"/>
              </w:rPr>
              <w:t>轻症疾病</w:t>
            </w:r>
            <w:r>
              <w:rPr>
                <w:sz w:val="21"/>
              </w:rPr>
              <w:t>种类：</w:t>
            </w:r>
          </w:p>
          <w:p>
            <w:pPr>
              <w:pStyle w:val="TableParagraph"/>
              <w:numPr>
                <w:ilvl w:val="0"/>
                <w:numId w:val="11"/>
              </w:numPr>
              <w:tabs>
                <w:tab w:pos="1964" w:val="left" w:leader="none"/>
              </w:tabs>
              <w:spacing w:line="240" w:lineRule="auto" w:before="36" w:after="0"/>
              <w:ind w:left="1963" w:right="0" w:hanging="317"/>
              <w:jc w:val="left"/>
              <w:rPr>
                <w:sz w:val="21"/>
              </w:rPr>
            </w:pPr>
            <w:r>
              <w:rPr>
                <w:spacing w:val="-3"/>
                <w:sz w:val="21"/>
              </w:rPr>
              <w:t>非危及生命的（极早期的</w:t>
            </w:r>
            <w:r>
              <w:rPr>
                <w:sz w:val="21"/>
              </w:rPr>
              <w:t>）</w:t>
            </w:r>
            <w:r>
              <w:rPr>
                <w:spacing w:val="-3"/>
                <w:sz w:val="21"/>
              </w:rPr>
              <w:t>恶性病变</w:t>
            </w:r>
          </w:p>
          <w:p>
            <w:pPr>
              <w:pStyle w:val="TableParagraph"/>
              <w:numPr>
                <w:ilvl w:val="0"/>
                <w:numId w:val="11"/>
              </w:numPr>
              <w:tabs>
                <w:tab w:pos="1964" w:val="left" w:leader="none"/>
              </w:tabs>
              <w:spacing w:line="240" w:lineRule="auto" w:before="36" w:after="0"/>
              <w:ind w:left="1963" w:right="0" w:hanging="317"/>
              <w:jc w:val="left"/>
              <w:rPr>
                <w:sz w:val="21"/>
              </w:rPr>
            </w:pPr>
            <w:r>
              <w:rPr>
                <w:spacing w:val="-3"/>
                <w:sz w:val="21"/>
              </w:rPr>
              <w:t>冠状动脉介入手术</w:t>
            </w:r>
          </w:p>
          <w:p>
            <w:pPr>
              <w:pStyle w:val="TableParagraph"/>
              <w:numPr>
                <w:ilvl w:val="0"/>
                <w:numId w:val="11"/>
              </w:numPr>
              <w:tabs>
                <w:tab w:pos="1964" w:val="left" w:leader="none"/>
              </w:tabs>
              <w:spacing w:line="240" w:lineRule="auto" w:before="36" w:after="0"/>
              <w:ind w:left="1963" w:right="0" w:hanging="317"/>
              <w:jc w:val="left"/>
              <w:rPr>
                <w:sz w:val="21"/>
              </w:rPr>
            </w:pPr>
            <w:r>
              <w:rPr>
                <w:spacing w:val="-3"/>
                <w:sz w:val="21"/>
              </w:rPr>
              <w:t>轻微脑中风</w:t>
            </w:r>
          </w:p>
          <w:p>
            <w:pPr>
              <w:pStyle w:val="TableParagraph"/>
              <w:numPr>
                <w:ilvl w:val="0"/>
                <w:numId w:val="11"/>
              </w:numPr>
              <w:tabs>
                <w:tab w:pos="1964" w:val="left" w:leader="none"/>
              </w:tabs>
              <w:spacing w:line="255" w:lineRule="exact" w:before="36" w:after="0"/>
              <w:ind w:left="1963" w:right="0" w:hanging="317"/>
              <w:jc w:val="left"/>
              <w:rPr>
                <w:sz w:val="21"/>
              </w:rPr>
            </w:pPr>
            <w:r>
              <w:rPr>
                <w:spacing w:val="-3"/>
                <w:sz w:val="21"/>
              </w:rPr>
              <w:t>心脏瓣膜介入手术</w:t>
            </w:r>
          </w:p>
        </w:tc>
      </w:tr>
    </w:tbl>
    <w:p>
      <w:pPr>
        <w:spacing w:after="0" w:line="255" w:lineRule="exact"/>
        <w:jc w:val="left"/>
        <w:rPr>
          <w:sz w:val="21"/>
        </w:rPr>
        <w:sectPr>
          <w:footerReference w:type="default" r:id="rId7"/>
          <w:pgSz w:w="11910" w:h="16840"/>
          <w:pgMar w:footer="358"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8"/>
      </w:tblGrid>
      <w:tr>
        <w:trPr>
          <w:trHeight w:val="3496" w:hRule="atLeast"/>
        </w:trPr>
        <w:tc>
          <w:tcPr>
            <w:tcW w:w="2005" w:type="dxa"/>
          </w:tcPr>
          <w:p>
            <w:pPr>
              <w:pStyle w:val="TableParagraph"/>
              <w:ind w:left="0"/>
              <w:rPr>
                <w:rFonts w:ascii="Times New Roman"/>
                <w:sz w:val="20"/>
              </w:rPr>
            </w:pPr>
          </w:p>
        </w:tc>
        <w:tc>
          <w:tcPr>
            <w:tcW w:w="7748" w:type="dxa"/>
          </w:tcPr>
          <w:p>
            <w:pPr>
              <w:pStyle w:val="TableParagraph"/>
              <w:numPr>
                <w:ilvl w:val="0"/>
                <w:numId w:val="12"/>
              </w:numPr>
              <w:tabs>
                <w:tab w:pos="1964" w:val="left" w:leader="none"/>
              </w:tabs>
              <w:spacing w:line="211" w:lineRule="exact" w:before="0" w:after="0"/>
              <w:ind w:left="1963" w:right="0" w:hanging="317"/>
              <w:jc w:val="left"/>
              <w:rPr>
                <w:sz w:val="21"/>
              </w:rPr>
            </w:pPr>
            <w:r>
              <w:rPr>
                <w:spacing w:val="-3"/>
                <w:sz w:val="21"/>
              </w:rPr>
              <w:t>脑垂体瘤、脑囊肿、脑动脉瘤及脑血管瘤</w:t>
            </w:r>
          </w:p>
          <w:p>
            <w:pPr>
              <w:pStyle w:val="TableParagraph"/>
              <w:numPr>
                <w:ilvl w:val="0"/>
                <w:numId w:val="12"/>
              </w:numPr>
              <w:tabs>
                <w:tab w:pos="1964" w:val="left" w:leader="none"/>
              </w:tabs>
              <w:spacing w:line="240" w:lineRule="auto" w:before="37" w:after="0"/>
              <w:ind w:left="1963" w:right="0" w:hanging="317"/>
              <w:jc w:val="left"/>
              <w:rPr>
                <w:sz w:val="21"/>
              </w:rPr>
            </w:pPr>
            <w:r>
              <w:rPr>
                <w:spacing w:val="-3"/>
                <w:sz w:val="21"/>
              </w:rPr>
              <w:t>视力严重受损 – 三周岁始理赔</w:t>
            </w:r>
          </w:p>
          <w:p>
            <w:pPr>
              <w:pStyle w:val="TableParagraph"/>
              <w:numPr>
                <w:ilvl w:val="0"/>
                <w:numId w:val="12"/>
              </w:numPr>
              <w:tabs>
                <w:tab w:pos="1964" w:val="left" w:leader="none"/>
              </w:tabs>
              <w:spacing w:line="240" w:lineRule="auto" w:before="37" w:after="0"/>
              <w:ind w:left="1963" w:right="0" w:hanging="317"/>
              <w:jc w:val="left"/>
              <w:rPr>
                <w:sz w:val="21"/>
              </w:rPr>
            </w:pPr>
            <w:r>
              <w:rPr>
                <w:spacing w:val="-3"/>
                <w:sz w:val="21"/>
              </w:rPr>
              <w:t>主动脉内介入手术</w:t>
            </w:r>
          </w:p>
          <w:p>
            <w:pPr>
              <w:pStyle w:val="TableParagraph"/>
              <w:numPr>
                <w:ilvl w:val="0"/>
                <w:numId w:val="12"/>
              </w:numPr>
              <w:tabs>
                <w:tab w:pos="1964" w:val="left" w:leader="none"/>
              </w:tabs>
              <w:spacing w:line="240" w:lineRule="auto" w:before="36" w:after="0"/>
              <w:ind w:left="1963" w:right="0" w:hanging="317"/>
              <w:jc w:val="left"/>
              <w:rPr>
                <w:sz w:val="21"/>
              </w:rPr>
            </w:pPr>
            <w:r>
              <w:rPr>
                <w:spacing w:val="-3"/>
                <w:sz w:val="21"/>
              </w:rPr>
              <w:t>较小面积</w:t>
            </w:r>
            <w:r>
              <w:rPr>
                <w:spacing w:val="-1"/>
                <w:sz w:val="21"/>
              </w:rPr>
              <w:t>III</w:t>
            </w:r>
            <w:r>
              <w:rPr>
                <w:spacing w:val="-2"/>
                <w:sz w:val="21"/>
              </w:rPr>
              <w:t>度烧伤</w:t>
            </w:r>
            <w:r>
              <w:rPr>
                <w:spacing w:val="-1"/>
                <w:sz w:val="21"/>
              </w:rPr>
              <w:t>（10%）</w:t>
            </w:r>
          </w:p>
          <w:p>
            <w:pPr>
              <w:pStyle w:val="TableParagraph"/>
              <w:numPr>
                <w:ilvl w:val="0"/>
                <w:numId w:val="12"/>
              </w:numPr>
              <w:tabs>
                <w:tab w:pos="1964" w:val="left" w:leader="none"/>
              </w:tabs>
              <w:spacing w:line="240" w:lineRule="auto" w:before="36" w:after="0"/>
              <w:ind w:left="1963" w:right="0" w:hanging="317"/>
              <w:jc w:val="left"/>
              <w:rPr>
                <w:sz w:val="21"/>
              </w:rPr>
            </w:pPr>
            <w:r>
              <w:rPr>
                <w:spacing w:val="-3"/>
                <w:sz w:val="21"/>
              </w:rPr>
              <w:t>慢性肾功能损害 – 肾功能衰竭期</w:t>
            </w:r>
          </w:p>
          <w:p>
            <w:pPr>
              <w:pStyle w:val="TableParagraph"/>
              <w:numPr>
                <w:ilvl w:val="0"/>
                <w:numId w:val="12"/>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12"/>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12"/>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12"/>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12"/>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12"/>
              </w:numPr>
              <w:tabs>
                <w:tab w:pos="2084" w:val="left" w:leader="none"/>
              </w:tabs>
              <w:spacing w:line="240" w:lineRule="auto" w:before="36" w:after="0"/>
              <w:ind w:left="2083" w:right="0" w:hanging="437"/>
              <w:jc w:val="left"/>
              <w:rPr>
                <w:sz w:val="21"/>
              </w:rPr>
            </w:pPr>
            <w:r>
              <w:rPr>
                <w:spacing w:val="-3"/>
                <w:sz w:val="21"/>
              </w:rPr>
              <w:t>人工耳蜗植入术</w:t>
            </w:r>
          </w:p>
        </w:tc>
      </w:tr>
      <w:tr>
        <w:trPr>
          <w:trHeight w:val="2096" w:hRule="atLeast"/>
        </w:trPr>
        <w:tc>
          <w:tcPr>
            <w:tcW w:w="2005" w:type="dxa"/>
          </w:tcPr>
          <w:p>
            <w:pPr>
              <w:pStyle w:val="TableParagraph"/>
              <w:spacing w:before="133"/>
              <w:ind w:left="200"/>
              <w:rPr>
                <w:rFonts w:ascii="Microsoft JhengHei" w:eastAsia="Microsoft JhengHei" w:hint="eastAsia"/>
                <w:b/>
                <w:sz w:val="24"/>
              </w:rPr>
            </w:pPr>
            <w:r>
              <w:rPr>
                <w:rFonts w:ascii="Microsoft JhengHei" w:eastAsia="Microsoft JhengHei" w:hint="eastAsia"/>
                <w:b/>
                <w:sz w:val="24"/>
              </w:rPr>
              <w:t>重大疾病保险金</w:t>
            </w:r>
          </w:p>
        </w:tc>
        <w:tc>
          <w:tcPr>
            <w:tcW w:w="7748" w:type="dxa"/>
          </w:tcPr>
          <w:p>
            <w:pPr>
              <w:pStyle w:val="TableParagraph"/>
              <w:spacing w:line="273" w:lineRule="auto" w:before="100"/>
              <w:ind w:left="542" w:right="304" w:hanging="421"/>
              <w:jc w:val="both"/>
              <w:rPr>
                <w:sz w:val="21"/>
              </w:rPr>
            </w:pPr>
            <w:r>
              <w:rPr>
                <w:spacing w:val="-5"/>
                <w:sz w:val="21"/>
              </w:rPr>
              <w:t>一、若被保险人于本合同生效或最后一次复效之日起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z w:val="21"/>
              </w:rPr>
              <w:t>因意</w:t>
            </w:r>
            <w:r>
              <w:rPr>
                <w:spacing w:val="-3"/>
                <w:sz w:val="21"/>
              </w:rPr>
              <w:t>外伤害以外的原因导致</w:t>
            </w:r>
            <w:r>
              <w:rPr>
                <w:b/>
                <w:spacing w:val="-2"/>
                <w:sz w:val="21"/>
              </w:rPr>
              <w:t>初次患本合同所列的重大疾病</w:t>
            </w:r>
            <w:r>
              <w:rPr>
                <w:spacing w:val="-9"/>
                <w:sz w:val="21"/>
              </w:rPr>
              <w:t>的一种或多种，我们将</w:t>
            </w:r>
            <w:r>
              <w:rPr>
                <w:spacing w:val="-5"/>
                <w:sz w:val="21"/>
              </w:rPr>
              <w:t>按累计已交保险费给付重大疾病保险金，同时本合同终止。</w:t>
            </w:r>
          </w:p>
          <w:p>
            <w:pPr>
              <w:pStyle w:val="TableParagraph"/>
              <w:spacing w:line="273" w:lineRule="auto" w:before="7"/>
              <w:ind w:left="542" w:right="304" w:hanging="421"/>
              <w:jc w:val="both"/>
              <w:rPr>
                <w:sz w:val="21"/>
              </w:rPr>
            </w:pPr>
            <w:r>
              <w:rPr>
                <w:spacing w:val="-3"/>
                <w:sz w:val="21"/>
              </w:rPr>
              <w:t>二、若被保险人因意外伤害，或于本合同生效或最后一次复效之日起 </w:t>
            </w:r>
            <w:r>
              <w:rPr>
                <w:sz w:val="21"/>
              </w:rPr>
              <w:t>90</w:t>
            </w:r>
            <w:r>
              <w:rPr>
                <w:spacing w:val="-3"/>
                <w:sz w:val="21"/>
              </w:rPr>
              <w:t> 日后因</w:t>
            </w:r>
            <w:r>
              <w:rPr>
                <w:spacing w:val="-5"/>
                <w:sz w:val="21"/>
              </w:rPr>
              <w:t>意外伤害以外的原因，导致初次患本合同所列</w:t>
            </w:r>
            <w:r>
              <w:rPr>
                <w:b/>
                <w:spacing w:val="-2"/>
                <w:sz w:val="21"/>
              </w:rPr>
              <w:t>重大疾病</w:t>
            </w:r>
            <w:r>
              <w:rPr>
                <w:spacing w:val="-6"/>
                <w:sz w:val="21"/>
              </w:rPr>
              <w:t>的一种或多种，我们</w:t>
            </w:r>
            <w:r>
              <w:rPr>
                <w:spacing w:val="-3"/>
                <w:sz w:val="21"/>
              </w:rPr>
              <w:t>将按本合同的基本保险金额给付重大疾病保险金，同时本合同终止。</w:t>
            </w:r>
          </w:p>
        </w:tc>
      </w:tr>
      <w:tr>
        <w:trPr>
          <w:trHeight w:val="2719" w:hRule="atLeast"/>
        </w:trPr>
        <w:tc>
          <w:tcPr>
            <w:tcW w:w="2005"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身故保险金</w:t>
            </w:r>
          </w:p>
        </w:tc>
        <w:tc>
          <w:tcPr>
            <w:tcW w:w="7748" w:type="dxa"/>
          </w:tcPr>
          <w:p>
            <w:pPr>
              <w:pStyle w:val="TableParagraph"/>
              <w:spacing w:line="273" w:lineRule="auto" w:before="97"/>
              <w:ind w:left="542" w:right="199" w:hanging="421"/>
              <w:rPr>
                <w:sz w:val="21"/>
              </w:rPr>
            </w:pPr>
            <w:r>
              <w:rPr>
                <w:spacing w:val="-6"/>
                <w:sz w:val="21"/>
              </w:rPr>
              <w:t>一、若被保险人身故时未满 </w:t>
            </w:r>
            <w:r>
              <w:rPr>
                <w:sz w:val="21"/>
              </w:rPr>
              <w:t>18</w:t>
            </w:r>
            <w:r>
              <w:rPr>
                <w:spacing w:val="-10"/>
                <w:sz w:val="21"/>
              </w:rPr>
              <w:t> 周岁，我们将按累计已交保险费给付身故保险金， </w:t>
            </w:r>
            <w:r>
              <w:rPr>
                <w:spacing w:val="-5"/>
                <w:sz w:val="21"/>
              </w:rPr>
              <w:t>同时本合同终止。</w:t>
            </w:r>
          </w:p>
          <w:p>
            <w:pPr>
              <w:pStyle w:val="TableParagraph"/>
              <w:spacing w:before="7"/>
              <w:ind w:left="122"/>
              <w:rPr>
                <w:sz w:val="21"/>
              </w:rPr>
            </w:pPr>
            <w:r>
              <w:rPr>
                <w:sz w:val="21"/>
              </w:rPr>
              <w:t>二、若被保险人身故时已满 18 周岁，且于本合同生效或者最后一次复效之日起</w:t>
            </w:r>
          </w:p>
          <w:p>
            <w:pPr>
              <w:pStyle w:val="TableParagraph"/>
              <w:spacing w:line="273" w:lineRule="auto" w:before="36"/>
              <w:ind w:left="542" w:right="318"/>
              <w:rPr>
                <w:sz w:val="21"/>
              </w:rPr>
            </w:pPr>
            <w:r>
              <w:rPr>
                <w:sz w:val="21"/>
              </w:rPr>
              <w:t>90</w:t>
            </w:r>
            <w:r>
              <w:rPr>
                <w:spacing w:val="-16"/>
                <w:sz w:val="21"/>
              </w:rPr>
              <w:t> 日内</w:t>
            </w:r>
            <w:r>
              <w:rPr>
                <w:spacing w:val="-3"/>
                <w:sz w:val="21"/>
              </w:rPr>
              <w:t>（</w:t>
            </w:r>
            <w:r>
              <w:rPr>
                <w:spacing w:val="-15"/>
                <w:sz w:val="21"/>
              </w:rPr>
              <w:t>含第 </w:t>
            </w:r>
            <w:r>
              <w:rPr>
                <w:sz w:val="21"/>
              </w:rPr>
              <w:t>90</w:t>
            </w:r>
            <w:r>
              <w:rPr>
                <w:spacing w:val="-23"/>
                <w:sz w:val="21"/>
              </w:rPr>
              <w:t> 日</w:t>
            </w:r>
            <w:r>
              <w:rPr>
                <w:sz w:val="21"/>
              </w:rPr>
              <w:t>）</w:t>
            </w:r>
            <w:r>
              <w:rPr>
                <w:spacing w:val="-3"/>
                <w:sz w:val="21"/>
              </w:rPr>
              <w:t>因意外伤害以外的原因导致身故，我们将按累计已交保险费给付身故保险金，同时本合同终止。</w:t>
            </w:r>
          </w:p>
          <w:p>
            <w:pPr>
              <w:pStyle w:val="TableParagraph"/>
              <w:spacing w:before="7"/>
              <w:ind w:left="122"/>
              <w:rPr>
                <w:sz w:val="21"/>
              </w:rPr>
            </w:pPr>
            <w:r>
              <w:rPr>
                <w:sz w:val="21"/>
              </w:rPr>
              <w:t>三、若被保险人身故时已满 18 周岁，且因意外伤害或于本合同生效或最后一次</w:t>
            </w:r>
          </w:p>
          <w:p>
            <w:pPr>
              <w:pStyle w:val="TableParagraph"/>
              <w:spacing w:line="273" w:lineRule="auto" w:before="37"/>
              <w:ind w:left="542" w:right="374"/>
              <w:rPr>
                <w:sz w:val="21"/>
              </w:rPr>
            </w:pPr>
            <w:r>
              <w:rPr>
                <w:spacing w:val="-8"/>
                <w:sz w:val="21"/>
              </w:rPr>
              <w:t>复效之日起 </w:t>
            </w:r>
            <w:r>
              <w:rPr>
                <w:sz w:val="21"/>
              </w:rPr>
              <w:t>90</w:t>
            </w:r>
            <w:r>
              <w:rPr>
                <w:spacing w:val="-8"/>
                <w:sz w:val="21"/>
              </w:rPr>
              <w:t> 日后因意外伤害以外的原因导致身故，我们将按本合同载明</w:t>
            </w:r>
            <w:r>
              <w:rPr>
                <w:spacing w:val="-3"/>
                <w:sz w:val="21"/>
              </w:rPr>
              <w:t>基本保险金额给付身故保险金，同时本合同终止。</w:t>
            </w:r>
          </w:p>
        </w:tc>
      </w:tr>
      <w:tr>
        <w:trPr>
          <w:trHeight w:val="2707" w:hRule="atLeast"/>
        </w:trPr>
        <w:tc>
          <w:tcPr>
            <w:tcW w:w="2005" w:type="dxa"/>
          </w:tcPr>
          <w:p>
            <w:pPr>
              <w:pStyle w:val="TableParagraph"/>
              <w:spacing w:before="12"/>
              <w:ind w:left="200"/>
              <w:rPr>
                <w:rFonts w:ascii="Microsoft JhengHei" w:eastAsia="Microsoft JhengHei" w:hint="eastAsia"/>
                <w:b/>
                <w:sz w:val="24"/>
              </w:rPr>
            </w:pPr>
            <w:r>
              <w:rPr>
                <w:rFonts w:ascii="Microsoft JhengHei" w:eastAsia="Microsoft JhengHei" w:hint="eastAsia"/>
                <w:b/>
                <w:sz w:val="24"/>
              </w:rPr>
              <w:t>全残保险金</w:t>
            </w:r>
          </w:p>
        </w:tc>
        <w:tc>
          <w:tcPr>
            <w:tcW w:w="7748" w:type="dxa"/>
          </w:tcPr>
          <w:p>
            <w:pPr>
              <w:pStyle w:val="TableParagraph"/>
              <w:spacing w:line="273" w:lineRule="auto" w:before="99"/>
              <w:ind w:left="542" w:right="199" w:hanging="421"/>
              <w:rPr>
                <w:sz w:val="21"/>
              </w:rPr>
            </w:pPr>
            <w:r>
              <w:rPr>
                <w:spacing w:val="-2"/>
                <w:sz w:val="21"/>
              </w:rPr>
              <w:t>一、若被保险人</w:t>
            </w:r>
            <w:r>
              <w:rPr>
                <w:b/>
                <w:sz w:val="21"/>
              </w:rPr>
              <w:t>全残</w:t>
            </w:r>
            <w:r>
              <w:rPr>
                <w:spacing w:val="-11"/>
                <w:sz w:val="21"/>
              </w:rPr>
              <w:t>时未满 </w:t>
            </w:r>
            <w:r>
              <w:rPr>
                <w:sz w:val="21"/>
              </w:rPr>
              <w:t>18</w:t>
            </w:r>
            <w:r>
              <w:rPr>
                <w:spacing w:val="-10"/>
                <w:sz w:val="21"/>
              </w:rPr>
              <w:t> 周岁，我们将按累计已交保险费给付全残保险金， </w:t>
            </w:r>
            <w:r>
              <w:rPr>
                <w:spacing w:val="-5"/>
                <w:sz w:val="21"/>
              </w:rPr>
              <w:t>同时本合同终止。</w:t>
            </w:r>
          </w:p>
          <w:p>
            <w:pPr>
              <w:pStyle w:val="TableParagraph"/>
              <w:spacing w:before="7"/>
              <w:ind w:left="122"/>
              <w:rPr>
                <w:sz w:val="21"/>
              </w:rPr>
            </w:pPr>
            <w:r>
              <w:rPr>
                <w:sz w:val="21"/>
              </w:rPr>
              <w:t>二、若被保险人全残时已满 18 周岁，且于本合同生效或者最后一次复效之日起</w:t>
            </w:r>
          </w:p>
          <w:p>
            <w:pPr>
              <w:pStyle w:val="TableParagraph"/>
              <w:spacing w:line="273" w:lineRule="auto" w:before="37"/>
              <w:ind w:left="542" w:right="319"/>
              <w:rPr>
                <w:sz w:val="21"/>
              </w:rPr>
            </w:pPr>
            <w:r>
              <w:rPr>
                <w:sz w:val="21"/>
              </w:rPr>
              <w:t>90</w:t>
            </w:r>
            <w:r>
              <w:rPr>
                <w:spacing w:val="-16"/>
                <w:sz w:val="21"/>
              </w:rPr>
              <w:t> 日内</w:t>
            </w:r>
            <w:r>
              <w:rPr>
                <w:spacing w:val="-3"/>
                <w:sz w:val="21"/>
              </w:rPr>
              <w:t>（</w:t>
            </w:r>
            <w:r>
              <w:rPr>
                <w:spacing w:val="-15"/>
                <w:sz w:val="21"/>
              </w:rPr>
              <w:t>含第 </w:t>
            </w:r>
            <w:r>
              <w:rPr>
                <w:sz w:val="21"/>
              </w:rPr>
              <w:t>90</w:t>
            </w:r>
            <w:r>
              <w:rPr>
                <w:spacing w:val="-23"/>
                <w:sz w:val="21"/>
              </w:rPr>
              <w:t> 日</w:t>
            </w:r>
            <w:r>
              <w:rPr>
                <w:sz w:val="21"/>
              </w:rPr>
              <w:t>）</w:t>
            </w:r>
            <w:r>
              <w:rPr>
                <w:spacing w:val="-3"/>
                <w:sz w:val="21"/>
              </w:rPr>
              <w:t>因意外伤害以外的原因导致全残，我们将按累计已交保险费给付全残保险金，同时本合同终止。</w:t>
            </w:r>
          </w:p>
          <w:p>
            <w:pPr>
              <w:pStyle w:val="TableParagraph"/>
              <w:spacing w:before="7"/>
              <w:ind w:left="122"/>
              <w:rPr>
                <w:sz w:val="21"/>
              </w:rPr>
            </w:pPr>
            <w:r>
              <w:rPr>
                <w:sz w:val="21"/>
              </w:rPr>
              <w:t>三、若被保险人全残时已满 18 周岁，且因意外伤害或于本合同生效或最后一次</w:t>
            </w:r>
          </w:p>
          <w:p>
            <w:pPr>
              <w:pStyle w:val="TableParagraph"/>
              <w:spacing w:line="273" w:lineRule="auto" w:before="36"/>
              <w:ind w:left="542" w:right="374"/>
              <w:rPr>
                <w:sz w:val="21"/>
              </w:rPr>
            </w:pPr>
            <w:r>
              <w:rPr>
                <w:spacing w:val="-8"/>
                <w:sz w:val="21"/>
              </w:rPr>
              <w:t>复效之日起 </w:t>
            </w:r>
            <w:r>
              <w:rPr>
                <w:sz w:val="21"/>
              </w:rPr>
              <w:t>90</w:t>
            </w:r>
            <w:r>
              <w:rPr>
                <w:spacing w:val="-8"/>
                <w:sz w:val="21"/>
              </w:rPr>
              <w:t> 日后因意外伤害以外的原因导致全残，我们将按本合同载明</w:t>
            </w:r>
            <w:r>
              <w:rPr>
                <w:spacing w:val="-3"/>
                <w:sz w:val="21"/>
              </w:rPr>
              <w:t>基本保险金额给付全残保险金，同时本合同终止。</w:t>
            </w:r>
          </w:p>
        </w:tc>
      </w:tr>
      <w:tr>
        <w:trPr>
          <w:trHeight w:val="3168" w:hRule="atLeast"/>
        </w:trPr>
        <w:tc>
          <w:tcPr>
            <w:tcW w:w="2005" w:type="dxa"/>
          </w:tcPr>
          <w:p>
            <w:pPr>
              <w:pStyle w:val="TableParagraph"/>
              <w:spacing w:line="182" w:lineRule="auto" w:before="98"/>
              <w:ind w:left="200" w:right="120"/>
              <w:rPr>
                <w:rFonts w:ascii="Microsoft JhengHei" w:eastAsia="Microsoft JhengHei" w:hint="eastAsia"/>
                <w:b/>
                <w:sz w:val="24"/>
              </w:rPr>
            </w:pPr>
            <w:r>
              <w:rPr>
                <w:rFonts w:ascii="Microsoft JhengHei" w:eastAsia="Microsoft JhengHei" w:hint="eastAsia"/>
                <w:b/>
                <w:sz w:val="24"/>
              </w:rPr>
              <w:t>疾病终末期保险金</w:t>
            </w:r>
          </w:p>
        </w:tc>
        <w:tc>
          <w:tcPr>
            <w:tcW w:w="7748" w:type="dxa"/>
          </w:tcPr>
          <w:p>
            <w:pPr>
              <w:pStyle w:val="TableParagraph"/>
              <w:spacing w:line="273" w:lineRule="auto" w:before="85"/>
              <w:ind w:left="542" w:right="364" w:hanging="421"/>
              <w:rPr>
                <w:sz w:val="21"/>
              </w:rPr>
            </w:pPr>
            <w:r>
              <w:rPr>
                <w:spacing w:val="-3"/>
                <w:sz w:val="21"/>
              </w:rPr>
              <w:t>一、若被保险人初次被</w:t>
            </w:r>
            <w:r>
              <w:rPr>
                <w:b/>
                <w:sz w:val="21"/>
              </w:rPr>
              <w:t>专科医生</w:t>
            </w:r>
            <w:r>
              <w:rPr>
                <w:spacing w:val="-3"/>
                <w:sz w:val="21"/>
              </w:rPr>
              <w:t>确诊达到</w:t>
            </w:r>
            <w:r>
              <w:rPr>
                <w:b/>
                <w:spacing w:val="-1"/>
                <w:sz w:val="21"/>
              </w:rPr>
              <w:t>疾病终末期阶段</w:t>
            </w:r>
            <w:r>
              <w:rPr>
                <w:spacing w:val="-12"/>
                <w:sz w:val="21"/>
              </w:rPr>
              <w:t>时未满 </w:t>
            </w:r>
            <w:r>
              <w:rPr>
                <w:sz w:val="21"/>
              </w:rPr>
              <w:t>18</w:t>
            </w:r>
            <w:r>
              <w:rPr>
                <w:spacing w:val="-10"/>
                <w:sz w:val="21"/>
              </w:rPr>
              <w:t> 周岁，我们</w:t>
            </w:r>
            <w:r>
              <w:rPr>
                <w:spacing w:val="-5"/>
                <w:sz w:val="21"/>
              </w:rPr>
              <w:t>将按累计已交保险费给付疾病终末期保险金，同时本合同终止。</w:t>
            </w:r>
          </w:p>
          <w:p>
            <w:pPr>
              <w:pStyle w:val="TableParagraph"/>
              <w:spacing w:before="7"/>
              <w:ind w:left="122"/>
              <w:rPr>
                <w:sz w:val="21"/>
              </w:rPr>
            </w:pPr>
            <w:r>
              <w:rPr>
                <w:sz w:val="21"/>
              </w:rPr>
              <w:t>二、若被保险人初次被专科医生确诊达到疾病终末期阶段时已满 18 周岁，且于</w:t>
            </w:r>
          </w:p>
          <w:p>
            <w:pPr>
              <w:pStyle w:val="TableParagraph"/>
              <w:spacing w:line="273" w:lineRule="auto" w:before="37"/>
              <w:ind w:left="542" w:right="304"/>
              <w:jc w:val="both"/>
              <w:rPr>
                <w:sz w:val="21"/>
              </w:rPr>
            </w:pPr>
            <w:r>
              <w:rPr>
                <w:spacing w:val="-6"/>
                <w:sz w:val="21"/>
              </w:rPr>
              <w:t>本合同生效或者最后一次复效之日起 </w:t>
            </w:r>
            <w:r>
              <w:rPr>
                <w:sz w:val="21"/>
              </w:rPr>
              <w:t>90</w:t>
            </w:r>
            <w:r>
              <w:rPr>
                <w:spacing w:val="-23"/>
                <w:sz w:val="21"/>
              </w:rPr>
              <w:t> 日内</w:t>
            </w:r>
            <w:r>
              <w:rPr>
                <w:spacing w:val="-3"/>
                <w:sz w:val="21"/>
              </w:rPr>
              <w:t>（</w:t>
            </w:r>
            <w:r>
              <w:rPr>
                <w:spacing w:val="-16"/>
                <w:sz w:val="21"/>
              </w:rPr>
              <w:t>含第 </w:t>
            </w:r>
            <w:r>
              <w:rPr>
                <w:sz w:val="21"/>
              </w:rPr>
              <w:t>90</w:t>
            </w:r>
            <w:r>
              <w:rPr>
                <w:spacing w:val="-24"/>
                <w:sz w:val="21"/>
              </w:rPr>
              <w:t> 日</w:t>
            </w:r>
            <w:r>
              <w:rPr>
                <w:spacing w:val="-20"/>
                <w:sz w:val="21"/>
              </w:rPr>
              <w:t>）</w:t>
            </w:r>
            <w:r>
              <w:rPr>
                <w:spacing w:val="-3"/>
                <w:sz w:val="21"/>
              </w:rPr>
              <w:t>因意外伤害以外</w:t>
            </w:r>
            <w:r>
              <w:rPr>
                <w:spacing w:val="-6"/>
                <w:sz w:val="21"/>
              </w:rPr>
              <w:t>的原因导致达到疾病终末期，我们将按累计已交保险费给付疾病终末期保险</w:t>
            </w:r>
            <w:r>
              <w:rPr>
                <w:spacing w:val="-4"/>
                <w:sz w:val="21"/>
              </w:rPr>
              <w:t>金，同时本合同终止。</w:t>
            </w:r>
          </w:p>
          <w:p>
            <w:pPr>
              <w:pStyle w:val="TableParagraph"/>
              <w:spacing w:before="7"/>
              <w:ind w:left="122"/>
              <w:rPr>
                <w:sz w:val="21"/>
              </w:rPr>
            </w:pPr>
            <w:r>
              <w:rPr>
                <w:sz w:val="21"/>
              </w:rPr>
              <w:t>三、若被保险人初次被专科医生确诊达到疾病终末期阶段时已满 18 周岁，且因</w:t>
            </w:r>
          </w:p>
          <w:p>
            <w:pPr>
              <w:pStyle w:val="TableParagraph"/>
              <w:spacing w:line="310" w:lineRule="atLeast" w:before="1"/>
              <w:ind w:left="542" w:right="304"/>
              <w:jc w:val="both"/>
              <w:rPr>
                <w:sz w:val="21"/>
              </w:rPr>
            </w:pPr>
            <w:r>
              <w:rPr>
                <w:spacing w:val="-3"/>
                <w:sz w:val="21"/>
              </w:rPr>
              <w:t>意外伤害或于本合同生效或最后一次复效之日起 </w:t>
            </w:r>
            <w:r>
              <w:rPr>
                <w:sz w:val="21"/>
              </w:rPr>
              <w:t>90</w:t>
            </w:r>
            <w:r>
              <w:rPr>
                <w:spacing w:val="-3"/>
                <w:sz w:val="21"/>
              </w:rPr>
              <w:t> 日后因意外伤害以外的</w:t>
            </w:r>
            <w:r>
              <w:rPr>
                <w:spacing w:val="-6"/>
                <w:sz w:val="21"/>
              </w:rPr>
              <w:t>原因导致达到疾病终末期，我们将按本合同载明基本保险金额给付疾病终末</w:t>
            </w:r>
            <w:r>
              <w:rPr>
                <w:spacing w:val="-3"/>
                <w:sz w:val="21"/>
              </w:rPr>
              <w:t>期保险金，同时本合同终止。</w:t>
            </w:r>
          </w:p>
        </w:tc>
      </w:tr>
    </w:tbl>
    <w:p>
      <w:pPr>
        <w:spacing w:after="0" w:line="310" w:lineRule="atLeast"/>
        <w:jc w:val="both"/>
        <w:rPr>
          <w:sz w:val="21"/>
        </w:rPr>
        <w:sectPr>
          <w:pgSz w:w="11910" w:h="16840"/>
          <w:pgMar w:header="0" w:footer="358"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726"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11" w:lineRule="exact"/>
              <w:ind w:left="122"/>
              <w:rPr>
                <w:b/>
                <w:sz w:val="21"/>
              </w:rPr>
            </w:pPr>
            <w:r>
              <w:rPr>
                <w:b/>
                <w:sz w:val="21"/>
              </w:rPr>
              <w:t>重大疾病保险金、身故保险金、全残保险金与疾病终末期保险金，我们仅给付其</w:t>
            </w:r>
          </w:p>
          <w:p>
            <w:pPr>
              <w:pStyle w:val="TableParagraph"/>
              <w:spacing w:before="37"/>
              <w:ind w:left="122"/>
              <w:rPr>
                <w:b/>
                <w:sz w:val="21"/>
              </w:rPr>
            </w:pPr>
            <w:r>
              <w:rPr>
                <w:b/>
                <w:sz w:val="21"/>
              </w:rPr>
              <w:t>中一项。</w:t>
            </w:r>
          </w:p>
        </w:tc>
      </w:tr>
      <w:tr>
        <w:trPr>
          <w:trHeight w:val="1202" w:hRule="atLeast"/>
        </w:trPr>
        <w:tc>
          <w:tcPr>
            <w:tcW w:w="682" w:type="dxa"/>
          </w:tcPr>
          <w:p>
            <w:pPr>
              <w:pStyle w:val="TableParagraph"/>
              <w:ind w:left="0"/>
              <w:rPr>
                <w:rFonts w:ascii="Times New Roman"/>
                <w:sz w:val="20"/>
              </w:rPr>
            </w:pPr>
          </w:p>
        </w:tc>
        <w:tc>
          <w:tcPr>
            <w:tcW w:w="2021" w:type="dxa"/>
          </w:tcPr>
          <w:p>
            <w:pPr>
              <w:pStyle w:val="TableParagraph"/>
              <w:spacing w:line="182" w:lineRule="auto" w:before="152"/>
              <w:ind w:left="216" w:right="120"/>
              <w:rPr>
                <w:rFonts w:ascii="Microsoft JhengHei" w:eastAsia="Microsoft JhengHei" w:hint="eastAsia"/>
                <w:b/>
                <w:sz w:val="24"/>
              </w:rPr>
            </w:pPr>
            <w:r>
              <w:rPr>
                <w:rFonts w:ascii="Microsoft JhengHei" w:eastAsia="Microsoft JhengHei" w:hint="eastAsia"/>
                <w:b/>
                <w:sz w:val="24"/>
              </w:rPr>
              <w:t>轻症疾病豁免保险费</w:t>
            </w:r>
          </w:p>
        </w:tc>
        <w:tc>
          <w:tcPr>
            <w:tcW w:w="7547" w:type="dxa"/>
          </w:tcPr>
          <w:p>
            <w:pPr>
              <w:pStyle w:val="TableParagraph"/>
              <w:spacing w:line="273" w:lineRule="auto" w:before="139"/>
              <w:ind w:left="122" w:right="103"/>
              <w:jc w:val="both"/>
              <w:rPr>
                <w:sz w:val="21"/>
              </w:rPr>
            </w:pPr>
            <w:r>
              <w:rPr>
                <w:spacing w:val="-3"/>
                <w:sz w:val="21"/>
              </w:rPr>
              <w:t>若被保险人因意外伤害，或于本合同生效或最后一次复效之日起 </w:t>
            </w:r>
            <w:r>
              <w:rPr>
                <w:sz w:val="21"/>
              </w:rPr>
              <w:t>90</w:t>
            </w:r>
            <w:r>
              <w:rPr>
                <w:spacing w:val="-3"/>
                <w:sz w:val="21"/>
              </w:rPr>
              <w:t> 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529"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00"/>
              <w:ind w:left="122"/>
              <w:rPr>
                <w:b/>
                <w:sz w:val="21"/>
              </w:rPr>
            </w:pPr>
            <w:r>
              <w:rPr>
                <w:b/>
                <w:sz w:val="21"/>
              </w:rPr>
              <w:t>被豁免的保险费视为已交纳，同时本合同继续有效。</w:t>
            </w:r>
          </w:p>
        </w:tc>
      </w:tr>
      <w:tr>
        <w:trPr>
          <w:trHeight w:val="6502" w:hRule="atLeast"/>
        </w:trPr>
        <w:tc>
          <w:tcPr>
            <w:tcW w:w="682" w:type="dxa"/>
          </w:tcPr>
          <w:p>
            <w:pPr>
              <w:pStyle w:val="TableParagraph"/>
              <w:spacing w:before="111"/>
              <w:ind w:left="107"/>
              <w:rPr>
                <w:rFonts w:ascii="黑体"/>
                <w:b/>
                <w:sz w:val="21"/>
              </w:rPr>
            </w:pPr>
            <w:r>
              <w:rPr>
                <w:rFonts w:ascii="黑体"/>
                <w:b/>
                <w:sz w:val="21"/>
              </w:rPr>
              <w:t>2.2</w:t>
            </w:r>
          </w:p>
        </w:tc>
        <w:tc>
          <w:tcPr>
            <w:tcW w:w="2021" w:type="dxa"/>
          </w:tcPr>
          <w:p>
            <w:pPr>
              <w:pStyle w:val="TableParagraph"/>
              <w:spacing w:before="90"/>
              <w:ind w:left="216"/>
              <w:rPr>
                <w:rFonts w:ascii="黑体" w:eastAsia="黑体" w:hint="eastAsia"/>
                <w:b/>
                <w:sz w:val="21"/>
              </w:rPr>
            </w:pPr>
            <w:r>
              <w:rPr>
                <w:rFonts w:ascii="黑体" w:eastAsia="黑体" w:hint="eastAsia"/>
                <w:b/>
                <w:sz w:val="21"/>
              </w:rPr>
              <w:t>责任免除</w:t>
            </w:r>
          </w:p>
        </w:tc>
        <w:tc>
          <w:tcPr>
            <w:tcW w:w="7547" w:type="dxa"/>
          </w:tcPr>
          <w:p>
            <w:pPr>
              <w:pStyle w:val="TableParagraph"/>
              <w:spacing w:line="259" w:lineRule="auto" w:before="99"/>
              <w:ind w:left="542" w:right="103" w:hanging="421"/>
              <w:jc w:val="both"/>
              <w:rPr>
                <w:rFonts w:ascii="黑体" w:eastAsia="黑体" w:hint="eastAsia"/>
                <w:i/>
                <w:sz w:val="22"/>
              </w:rPr>
            </w:pPr>
            <w:r>
              <w:rPr>
                <w:rFonts w:ascii="黑体" w:eastAsia="黑体" w:hint="eastAsia"/>
                <w:i/>
                <w:spacing w:val="-6"/>
                <w:w w:val="95"/>
                <w:sz w:val="22"/>
              </w:rPr>
              <w:t>一、因下列情形之一在本合同有效期内导致被保险人身故、全残、进入疾病终末期阶段或患本合同所列的轻症疾病、重大疾病的，我们不承担给付各项保险</w:t>
            </w:r>
            <w:r>
              <w:rPr>
                <w:rFonts w:ascii="黑体" w:eastAsia="黑体" w:hint="eastAsia"/>
                <w:i/>
                <w:spacing w:val="-2"/>
                <w:w w:val="95"/>
                <w:sz w:val="22"/>
              </w:rPr>
              <w:t>金的责任：</w:t>
            </w:r>
          </w:p>
          <w:p>
            <w:pPr>
              <w:pStyle w:val="TableParagraph"/>
              <w:spacing w:before="5"/>
              <w:ind w:left="614"/>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4"/>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3"/>
              <w:ind w:left="614"/>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614"/>
              <w:rPr>
                <w:rFonts w:ascii="黑体" w:eastAsia="黑体" w:hint="eastAsia"/>
                <w:i/>
                <w:sz w:val="22"/>
              </w:rPr>
            </w:pPr>
            <w:r>
              <w:rPr>
                <w:rFonts w:ascii="黑体" w:eastAsia="黑体" w:hint="eastAsia"/>
                <w:i/>
                <w:w w:val="95"/>
                <w:sz w:val="22"/>
              </w:rPr>
              <w:t>(四) 被保险人故意自伤；</w:t>
            </w:r>
          </w:p>
          <w:p>
            <w:pPr>
              <w:pStyle w:val="TableParagraph"/>
              <w:spacing w:line="259" w:lineRule="auto" w:before="24"/>
              <w:ind w:left="1092" w:right="107"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6"/>
              <w:ind w:left="1092" w:right="103"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27</w:t>
            </w:r>
            <w:r>
              <w:rPr>
                <w:rFonts w:ascii="黑体" w:eastAsia="黑体" w:hint="eastAsia"/>
                <w:i/>
                <w:spacing w:val="-39"/>
                <w:w w:val="95"/>
                <w:sz w:val="22"/>
              </w:rPr>
              <w:t>、</w:t>
            </w:r>
            <w:r>
              <w:rPr>
                <w:rFonts w:ascii="黑体" w:eastAsia="黑体" w:hint="eastAsia"/>
                <w:i/>
                <w:w w:val="95"/>
                <w:sz w:val="22"/>
              </w:rPr>
              <w:t>42</w:t>
            </w:r>
            <w:r>
              <w:rPr>
                <w:rFonts w:ascii="黑体" w:eastAsia="黑体" w:hint="eastAsia"/>
                <w:i/>
                <w:spacing w:val="-9"/>
                <w:w w:val="95"/>
                <w:sz w:val="22"/>
              </w:rPr>
              <w:t> 种重大疾</w:t>
            </w:r>
            <w:r>
              <w:rPr>
                <w:rFonts w:ascii="黑体" w:eastAsia="黑体" w:hint="eastAsia"/>
                <w:i/>
                <w:spacing w:val="-7"/>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4"/>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4"/>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4"/>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542" w:right="103"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8"/>
                <w:w w:val="95"/>
                <w:sz w:val="22"/>
              </w:rPr>
              <w:t> 年以上保</w:t>
            </w:r>
            <w:r>
              <w:rPr>
                <w:rFonts w:ascii="黑体" w:eastAsia="黑体" w:hint="eastAsia"/>
                <w:i/>
                <w:spacing w:val="-3"/>
                <w:w w:val="95"/>
                <w:sz w:val="22"/>
              </w:rPr>
              <w:t>费的，我们向保险金受益人退还本合同的</w:t>
            </w:r>
            <w:r>
              <w:rPr>
                <w:rFonts w:ascii="黑体" w:eastAsia="黑体" w:hint="eastAsia"/>
                <w:b/>
                <w:i/>
                <w:spacing w:val="-1"/>
                <w:w w:val="95"/>
                <w:sz w:val="22"/>
              </w:rPr>
              <w:t>现金价值</w:t>
            </w:r>
            <w:r>
              <w:rPr>
                <w:rFonts w:ascii="黑体" w:eastAsia="黑体" w:hint="eastAsia"/>
                <w:i/>
                <w:w w:val="95"/>
                <w:sz w:val="22"/>
              </w:rPr>
              <w:t>。</w:t>
            </w:r>
          </w:p>
          <w:p>
            <w:pPr>
              <w:pStyle w:val="TableParagraph"/>
              <w:spacing w:line="259" w:lineRule="auto" w:before="6"/>
              <w:ind w:left="542" w:right="103"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06" w:hRule="atLeast"/>
        </w:trPr>
        <w:tc>
          <w:tcPr>
            <w:tcW w:w="682" w:type="dxa"/>
          </w:tcPr>
          <w:p>
            <w:pPr>
              <w:pStyle w:val="TableParagraph"/>
              <w:spacing w:before="121"/>
              <w:ind w:left="107"/>
              <w:rPr>
                <w:b/>
                <w:sz w:val="21"/>
              </w:rPr>
            </w:pPr>
            <w:r>
              <w:rPr>
                <w:b/>
                <w:sz w:val="21"/>
              </w:rPr>
              <w:t>2.3</w:t>
            </w:r>
          </w:p>
        </w:tc>
        <w:tc>
          <w:tcPr>
            <w:tcW w:w="2021" w:type="dxa"/>
          </w:tcPr>
          <w:p>
            <w:pPr>
              <w:pStyle w:val="TableParagraph"/>
              <w:spacing w:before="121"/>
              <w:ind w:left="216"/>
              <w:rPr>
                <w:b/>
                <w:sz w:val="21"/>
              </w:rPr>
            </w:pPr>
            <w:r>
              <w:rPr>
                <w:b/>
                <w:sz w:val="21"/>
              </w:rPr>
              <w:t>保险金额</w:t>
            </w:r>
          </w:p>
        </w:tc>
        <w:tc>
          <w:tcPr>
            <w:tcW w:w="7547" w:type="dxa"/>
          </w:tcPr>
          <w:p>
            <w:pPr>
              <w:pStyle w:val="TableParagraph"/>
              <w:spacing w:line="273" w:lineRule="auto" w:before="121"/>
              <w:ind w:left="122" w:right="103"/>
              <w:jc w:val="both"/>
              <w:rPr>
                <w:sz w:val="21"/>
              </w:rPr>
            </w:pPr>
            <w:r>
              <w:rPr>
                <w:spacing w:val="-6"/>
                <w:sz w:val="21"/>
              </w:rPr>
              <w:t>本合同保险金额按本条款第 </w:t>
            </w:r>
            <w:r>
              <w:rPr>
                <w:sz w:val="21"/>
              </w:rPr>
              <w:t>2.1</w:t>
            </w:r>
            <w:r>
              <w:rPr>
                <w:spacing w:val="-11"/>
                <w:sz w:val="21"/>
              </w:rPr>
              <w:t> 条规定，根据基本保险金额进行计算确定。基本</w:t>
            </w:r>
            <w:r>
              <w:rPr>
                <w:spacing w:val="-8"/>
                <w:sz w:val="21"/>
              </w:rPr>
              <w:t>保险金额由您和本公司在投保时约定，但须符合本公司当时的投保规定，约定的基本保险金额将在保险单上载明，若基本保险金额发生变更，则以变更后金额为准。</w:t>
            </w:r>
          </w:p>
        </w:tc>
      </w:tr>
      <w:tr>
        <w:trPr>
          <w:trHeight w:val="600" w:hRule="atLeast"/>
        </w:trPr>
        <w:tc>
          <w:tcPr>
            <w:tcW w:w="682" w:type="dxa"/>
          </w:tcPr>
          <w:p>
            <w:pPr>
              <w:pStyle w:val="TableParagraph"/>
              <w:spacing w:before="110"/>
              <w:ind w:left="107"/>
              <w:rPr>
                <w:b/>
                <w:sz w:val="21"/>
              </w:rPr>
            </w:pPr>
            <w:r>
              <w:rPr>
                <w:b/>
                <w:sz w:val="21"/>
              </w:rPr>
              <w:t>2.4</w:t>
            </w:r>
          </w:p>
        </w:tc>
        <w:tc>
          <w:tcPr>
            <w:tcW w:w="2021" w:type="dxa"/>
          </w:tcPr>
          <w:p>
            <w:pPr>
              <w:pStyle w:val="TableParagraph"/>
              <w:spacing w:before="110"/>
              <w:ind w:left="216"/>
              <w:rPr>
                <w:b/>
                <w:sz w:val="21"/>
              </w:rPr>
            </w:pPr>
            <w:r>
              <w:rPr>
                <w:b/>
                <w:sz w:val="21"/>
              </w:rPr>
              <w:t>保险期间</w:t>
            </w:r>
          </w:p>
        </w:tc>
        <w:tc>
          <w:tcPr>
            <w:tcW w:w="7547" w:type="dxa"/>
          </w:tcPr>
          <w:p>
            <w:pPr>
              <w:pStyle w:val="TableParagraph"/>
              <w:spacing w:before="110"/>
              <w:ind w:left="122"/>
              <w:rPr>
                <w:sz w:val="21"/>
              </w:rPr>
            </w:pPr>
            <w:r>
              <w:rPr>
                <w:sz w:val="21"/>
              </w:rPr>
              <w:t>本合同的保险期间为终身，自本合同生效日零时起算。</w:t>
            </w:r>
          </w:p>
        </w:tc>
      </w:tr>
      <w:tr>
        <w:trPr>
          <w:trHeight w:val="738" w:hRule="atLeast"/>
        </w:trPr>
        <w:tc>
          <w:tcPr>
            <w:tcW w:w="682" w:type="dxa"/>
            <w:tcBorders>
              <w:bottom w:val="single" w:sz="8" w:space="0" w:color="000000"/>
            </w:tcBorders>
          </w:tcPr>
          <w:p>
            <w:pPr>
              <w:pStyle w:val="TableParagraph"/>
              <w:spacing w:before="178"/>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7"/>
              <w:ind w:left="0"/>
              <w:rPr>
                <w:sz w:val="17"/>
              </w:rPr>
            </w:pPr>
          </w:p>
          <w:p>
            <w:pPr>
              <w:pStyle w:val="TableParagraph"/>
              <w:ind w:left="216"/>
              <w:rPr>
                <w:b/>
                <w:sz w:val="24"/>
              </w:rPr>
            </w:pPr>
            <w:r>
              <w:rPr>
                <w:b/>
                <w:w w:val="95"/>
                <w:sz w:val="24"/>
              </w:rPr>
              <w:t>保险金的申请</w:t>
            </w:r>
          </w:p>
        </w:tc>
        <w:tc>
          <w:tcPr>
            <w:tcW w:w="7547" w:type="dxa"/>
            <w:tcBorders>
              <w:bottom w:val="single" w:sz="8" w:space="0" w:color="000000"/>
            </w:tcBorders>
          </w:tcPr>
          <w:p>
            <w:pPr>
              <w:pStyle w:val="TableParagraph"/>
              <w:ind w:left="0"/>
              <w:rPr>
                <w:rFonts w:ascii="Times New Roman"/>
                <w:sz w:val="20"/>
              </w:rPr>
            </w:pPr>
          </w:p>
        </w:tc>
      </w:tr>
      <w:tr>
        <w:trPr>
          <w:trHeight w:val="2655" w:hRule="atLeast"/>
        </w:trPr>
        <w:tc>
          <w:tcPr>
            <w:tcW w:w="682" w:type="dxa"/>
            <w:tcBorders>
              <w:top w:val="single" w:sz="8" w:space="0" w:color="000000"/>
            </w:tcBorders>
          </w:tcPr>
          <w:p>
            <w:pPr>
              <w:pStyle w:val="TableParagraph"/>
              <w:ind w:left="0"/>
              <w:rPr>
                <w:sz w:val="15"/>
              </w:rPr>
            </w:pPr>
          </w:p>
          <w:p>
            <w:pPr>
              <w:pStyle w:val="TableParagraph"/>
              <w:ind w:left="107"/>
              <w:rPr>
                <w:b/>
                <w:sz w:val="21"/>
              </w:rPr>
            </w:pPr>
            <w:r>
              <w:rPr>
                <w:b/>
                <w:sz w:val="21"/>
              </w:rPr>
              <w:t>3.1</w:t>
            </w:r>
          </w:p>
        </w:tc>
        <w:tc>
          <w:tcPr>
            <w:tcW w:w="2021" w:type="dxa"/>
            <w:tcBorders>
              <w:top w:val="single" w:sz="8" w:space="0" w:color="000000"/>
            </w:tcBorders>
          </w:tcPr>
          <w:p>
            <w:pPr>
              <w:pStyle w:val="TableParagraph"/>
              <w:ind w:left="0"/>
              <w:rPr>
                <w:sz w:val="15"/>
              </w:rPr>
            </w:pPr>
          </w:p>
          <w:p>
            <w:pPr>
              <w:pStyle w:val="TableParagraph"/>
              <w:ind w:left="216"/>
              <w:rPr>
                <w:b/>
                <w:sz w:val="21"/>
              </w:rPr>
            </w:pPr>
            <w:r>
              <w:rPr>
                <w:b/>
                <w:sz w:val="21"/>
              </w:rPr>
              <w:t>受益人</w:t>
            </w:r>
          </w:p>
        </w:tc>
        <w:tc>
          <w:tcPr>
            <w:tcW w:w="7547" w:type="dxa"/>
            <w:tcBorders>
              <w:top w:val="single" w:sz="8" w:space="0" w:color="000000"/>
            </w:tcBorders>
          </w:tcPr>
          <w:p>
            <w:pPr>
              <w:pStyle w:val="TableParagraph"/>
              <w:ind w:left="0"/>
              <w:rPr>
                <w:sz w:val="15"/>
              </w:rPr>
            </w:pPr>
          </w:p>
          <w:p>
            <w:pPr>
              <w:pStyle w:val="TableParagraph"/>
              <w:spacing w:line="273" w:lineRule="auto"/>
              <w:ind w:left="542" w:right="67"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42" w:right="103" w:hanging="421"/>
              <w:jc w:val="both"/>
              <w:rPr>
                <w:sz w:val="21"/>
              </w:rPr>
            </w:pPr>
            <w:r>
              <w:rPr>
                <w:spacing w:val="-5"/>
                <w:sz w:val="21"/>
              </w:rPr>
              <w:t>二、被保险人为无民事行为能力人或限制民事行为能力人的，可以由其监护人指</w:t>
            </w:r>
            <w:r>
              <w:rPr>
                <w:spacing w:val="-4"/>
                <w:sz w:val="21"/>
              </w:rPr>
              <w:t>定受益人。</w:t>
            </w:r>
          </w:p>
          <w:p>
            <w:pPr>
              <w:pStyle w:val="TableParagraph"/>
              <w:spacing w:line="273" w:lineRule="auto" w:before="7"/>
              <w:ind w:left="542" w:right="103" w:hanging="421"/>
              <w:jc w:val="both"/>
              <w:rPr>
                <w:sz w:val="21"/>
              </w:rPr>
            </w:pPr>
            <w:r>
              <w:rPr>
                <w:spacing w:val="-5"/>
                <w:sz w:val="21"/>
              </w:rPr>
              <w:t>三、您或被保险人可以变更身故保险金受益人并书面通知我们。我们收到变更受</w:t>
            </w:r>
            <w:r>
              <w:rPr>
                <w:spacing w:val="-4"/>
                <w:sz w:val="21"/>
              </w:rPr>
              <w:t>益人的书面通知后，在保险合同上批注或附贴批单。</w:t>
            </w:r>
          </w:p>
          <w:p>
            <w:pPr>
              <w:pStyle w:val="TableParagraph"/>
              <w:spacing w:line="255" w:lineRule="exact" w:before="7"/>
              <w:ind w:left="122"/>
              <w:rPr>
                <w:sz w:val="21"/>
              </w:rPr>
            </w:pPr>
            <w:r>
              <w:rPr>
                <w:sz w:val="21"/>
              </w:rPr>
              <w:t>四、您在指定和变更身故保险金受益人时，必须经被保险人同意。</w:t>
            </w:r>
          </w:p>
        </w:tc>
      </w:tr>
    </w:tbl>
    <w:p>
      <w:pPr>
        <w:spacing w:after="0" w:line="255" w:lineRule="exact"/>
        <w:rPr>
          <w:sz w:val="21"/>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0"/>
        <w:gridCol w:w="7748"/>
      </w:tblGrid>
      <w:tr>
        <w:trPr>
          <w:trHeight w:val="3491"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8" w:type="dxa"/>
          </w:tcPr>
          <w:p>
            <w:pPr>
              <w:pStyle w:val="TableParagraph"/>
              <w:spacing w:line="211" w:lineRule="exact"/>
              <w:ind w:left="124"/>
              <w:rPr>
                <w:sz w:val="21"/>
              </w:rPr>
            </w:pPr>
            <w:r>
              <w:rPr>
                <w:sz w:val="21"/>
              </w:rPr>
              <w:t>五、被保险人身故后，遇有下列情形之一的，保险金作为被保险人的遗产，由我</w:t>
            </w:r>
          </w:p>
          <w:p>
            <w:pPr>
              <w:pStyle w:val="TableParagraph"/>
              <w:spacing w:before="37"/>
              <w:ind w:left="544"/>
              <w:rPr>
                <w:sz w:val="21"/>
              </w:rPr>
            </w:pPr>
            <w:r>
              <w:rPr>
                <w:sz w:val="21"/>
              </w:rPr>
              <w:t>们依照《中华人民共和国继承法》的规定履行给付保险金的义务：</w:t>
            </w:r>
          </w:p>
          <w:p>
            <w:pPr>
              <w:pStyle w:val="TableParagraph"/>
              <w:spacing w:before="37"/>
              <w:ind w:left="544"/>
              <w:rPr>
                <w:sz w:val="21"/>
              </w:rPr>
            </w:pPr>
            <w:r>
              <w:rPr>
                <w:sz w:val="21"/>
              </w:rPr>
              <w:t>(一) 没有指定受益人，或者受益人指定不明无法确定的；</w:t>
            </w:r>
          </w:p>
          <w:p>
            <w:pPr>
              <w:pStyle w:val="TableParagraph"/>
              <w:spacing w:before="36"/>
              <w:ind w:left="544"/>
              <w:rPr>
                <w:sz w:val="21"/>
              </w:rPr>
            </w:pPr>
            <w:r>
              <w:rPr>
                <w:sz w:val="21"/>
              </w:rPr>
              <w:t>(二) 受益人先于被保险人身故，没有其他受益人的；</w:t>
            </w:r>
          </w:p>
          <w:p>
            <w:pPr>
              <w:pStyle w:val="TableParagraph"/>
              <w:spacing w:before="36"/>
              <w:ind w:left="544"/>
              <w:rPr>
                <w:sz w:val="21"/>
              </w:rPr>
            </w:pPr>
            <w:r>
              <w:rPr>
                <w:sz w:val="21"/>
              </w:rPr>
              <w:t>(三) 受益人依法丧失受益权或放弃受益权，没有其他受益人的。</w:t>
            </w:r>
          </w:p>
          <w:p>
            <w:pPr>
              <w:pStyle w:val="TableParagraph"/>
              <w:spacing w:line="273" w:lineRule="auto" w:before="36"/>
              <w:ind w:left="544" w:right="258"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44" w:right="197"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544" w:right="302" w:hanging="421"/>
              <w:rPr>
                <w:sz w:val="21"/>
              </w:rPr>
            </w:pPr>
            <w:r>
              <w:rPr>
                <w:spacing w:val="-7"/>
                <w:sz w:val="21"/>
              </w:rPr>
              <w:t>八、除另有约定外，轻症疾病保险金、重大疾病保险金、全残保险金、疾病终末</w:t>
            </w:r>
            <w:r>
              <w:rPr>
                <w:spacing w:val="-3"/>
                <w:sz w:val="21"/>
              </w:rPr>
              <w:t>期保险金、轻症疾病豁免保险费的受益人为被保险人本人。</w:t>
            </w:r>
          </w:p>
        </w:tc>
      </w:tr>
      <w:tr>
        <w:trPr>
          <w:trHeight w:val="1793" w:hRule="atLeast"/>
        </w:trPr>
        <w:tc>
          <w:tcPr>
            <w:tcW w:w="753" w:type="dxa"/>
          </w:tcPr>
          <w:p>
            <w:pPr>
              <w:pStyle w:val="TableParagraph"/>
              <w:spacing w:before="105"/>
              <w:ind w:left="180" w:right="214"/>
              <w:jc w:val="center"/>
              <w:rPr>
                <w:b/>
                <w:sz w:val="21"/>
              </w:rPr>
            </w:pPr>
            <w:r>
              <w:rPr>
                <w:b/>
                <w:sz w:val="21"/>
              </w:rPr>
              <w:t>3.2</w:t>
            </w:r>
          </w:p>
        </w:tc>
        <w:tc>
          <w:tcPr>
            <w:tcW w:w="2040" w:type="dxa"/>
          </w:tcPr>
          <w:p>
            <w:pPr>
              <w:pStyle w:val="TableParagraph"/>
              <w:spacing w:before="105"/>
              <w:ind w:left="237"/>
              <w:rPr>
                <w:b/>
                <w:sz w:val="21"/>
              </w:rPr>
            </w:pPr>
            <w:r>
              <w:rPr>
                <w:b/>
                <w:sz w:val="21"/>
              </w:rPr>
              <w:t>保险事故通知</w:t>
            </w:r>
          </w:p>
        </w:tc>
        <w:tc>
          <w:tcPr>
            <w:tcW w:w="7748" w:type="dxa"/>
          </w:tcPr>
          <w:p>
            <w:pPr>
              <w:pStyle w:val="TableParagraph"/>
              <w:spacing w:line="266" w:lineRule="auto" w:before="94"/>
              <w:ind w:left="124" w:right="200"/>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z w:val="22"/>
              </w:rPr>
              <w:t>若故意</w:t>
            </w: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时知道或应当及时知道保险事故发生或虽未及时通知但不影响我们确定保险事故</w:t>
            </w:r>
            <w:r>
              <w:rPr>
                <w:spacing w:val="-3"/>
                <w:sz w:val="21"/>
              </w:rPr>
              <w:t>的性质、原因、损失程度的除外。</w:t>
            </w:r>
          </w:p>
        </w:tc>
      </w:tr>
      <w:tr>
        <w:trPr>
          <w:trHeight w:val="1162" w:hRule="atLeast"/>
        </w:trPr>
        <w:tc>
          <w:tcPr>
            <w:tcW w:w="753" w:type="dxa"/>
          </w:tcPr>
          <w:p>
            <w:pPr>
              <w:pStyle w:val="TableParagraph"/>
              <w:spacing w:before="100"/>
              <w:ind w:left="180" w:right="214"/>
              <w:jc w:val="center"/>
              <w:rPr>
                <w:b/>
                <w:sz w:val="21"/>
              </w:rPr>
            </w:pPr>
            <w:r>
              <w:rPr>
                <w:b/>
                <w:sz w:val="21"/>
              </w:rPr>
              <w:t>3.3</w:t>
            </w:r>
          </w:p>
        </w:tc>
        <w:tc>
          <w:tcPr>
            <w:tcW w:w="2040" w:type="dxa"/>
          </w:tcPr>
          <w:p>
            <w:pPr>
              <w:pStyle w:val="TableParagraph"/>
              <w:spacing w:before="100"/>
              <w:ind w:left="237"/>
              <w:rPr>
                <w:b/>
                <w:sz w:val="21"/>
              </w:rPr>
            </w:pPr>
            <w:r>
              <w:rPr>
                <w:b/>
                <w:sz w:val="21"/>
              </w:rPr>
              <w:t>保险金的申请</w:t>
            </w:r>
          </w:p>
        </w:tc>
        <w:tc>
          <w:tcPr>
            <w:tcW w:w="7748" w:type="dxa"/>
          </w:tcPr>
          <w:p>
            <w:pPr>
              <w:pStyle w:val="TableParagraph"/>
              <w:spacing w:line="273" w:lineRule="auto" w:before="100"/>
              <w:ind w:left="544" w:right="302"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r>
        <w:trPr>
          <w:trHeight w:val="2411" w:hRule="atLeast"/>
        </w:trPr>
        <w:tc>
          <w:tcPr>
            <w:tcW w:w="753" w:type="dxa"/>
          </w:tcPr>
          <w:p>
            <w:pPr>
              <w:pStyle w:val="TableParagraph"/>
              <w:ind w:left="0"/>
              <w:rPr>
                <w:rFonts w:ascii="Times New Roman"/>
                <w:sz w:val="20"/>
              </w:rPr>
            </w:pPr>
          </w:p>
        </w:tc>
        <w:tc>
          <w:tcPr>
            <w:tcW w:w="2040" w:type="dxa"/>
          </w:tcPr>
          <w:p>
            <w:pPr>
              <w:pStyle w:val="TableParagraph"/>
              <w:spacing w:line="184" w:lineRule="auto" w:before="108"/>
              <w:ind w:left="237" w:right="118"/>
              <w:rPr>
                <w:rFonts w:ascii="Microsoft JhengHei" w:eastAsia="Microsoft JhengHei" w:hint="eastAsia"/>
                <w:b/>
                <w:sz w:val="24"/>
              </w:rPr>
            </w:pPr>
            <w:r>
              <w:rPr>
                <w:rFonts w:ascii="Microsoft JhengHei" w:eastAsia="Microsoft JhengHei" w:hint="eastAsia"/>
                <w:b/>
                <w:sz w:val="24"/>
              </w:rPr>
              <w:t>轻症疾病保险 金、重大疾病保险金、疾病终末期保险金、轻症疾病豁免保险费申请</w:t>
            </w:r>
          </w:p>
        </w:tc>
        <w:tc>
          <w:tcPr>
            <w:tcW w:w="7748" w:type="dxa"/>
          </w:tcPr>
          <w:p>
            <w:pPr>
              <w:pStyle w:val="TableParagraph"/>
              <w:spacing w:line="273" w:lineRule="auto" w:before="99"/>
              <w:ind w:right="302"/>
              <w:rPr>
                <w:sz w:val="21"/>
              </w:rPr>
            </w:pPr>
            <w:r>
              <w:rPr>
                <w:spacing w:val="-6"/>
                <w:sz w:val="21"/>
              </w:rPr>
              <w:t>申请轻症疾病保险金、重大疾病保险金、疾病终末期保险金、轻症疾病豁免保险</w:t>
            </w:r>
            <w:r>
              <w:rPr>
                <w:spacing w:val="-4"/>
                <w:sz w:val="21"/>
              </w:rPr>
              <w:t>费的，申请人须填写保险金给付申请书，并向我们提供下列资料：</w:t>
            </w:r>
          </w:p>
          <w:p>
            <w:pPr>
              <w:pStyle w:val="TableParagraph"/>
              <w:spacing w:before="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7"/>
              <w:ind w:left="556" w:right="310"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24"/>
              <w:rPr>
                <w:sz w:val="21"/>
              </w:rPr>
            </w:pPr>
            <w:r>
              <w:rPr>
                <w:sz w:val="21"/>
              </w:rPr>
              <w:t>(四) 所能提供的与确认保险事故的性质、原因、伤害程度等有关的其他资料。</w:t>
            </w:r>
          </w:p>
        </w:tc>
      </w:tr>
      <w:tr>
        <w:trPr>
          <w:trHeight w:val="2756" w:hRule="atLeast"/>
        </w:trPr>
        <w:tc>
          <w:tcPr>
            <w:tcW w:w="753" w:type="dxa"/>
          </w:tcPr>
          <w:p>
            <w:pPr>
              <w:pStyle w:val="TableParagraph"/>
              <w:ind w:left="0"/>
              <w:rPr>
                <w:rFonts w:ascii="Times New Roman"/>
                <w:sz w:val="20"/>
              </w:rPr>
            </w:pPr>
          </w:p>
        </w:tc>
        <w:tc>
          <w:tcPr>
            <w:tcW w:w="2040" w:type="dxa"/>
          </w:tcPr>
          <w:p>
            <w:pPr>
              <w:pStyle w:val="TableParagraph"/>
              <w:spacing w:before="133"/>
              <w:ind w:left="237"/>
              <w:rPr>
                <w:rFonts w:ascii="Microsoft JhengHei" w:eastAsia="Microsoft JhengHei" w:hint="eastAsia"/>
                <w:b/>
                <w:sz w:val="24"/>
              </w:rPr>
            </w:pPr>
            <w:r>
              <w:rPr>
                <w:rFonts w:ascii="Microsoft JhengHei" w:eastAsia="Microsoft JhengHei" w:hint="eastAsia"/>
                <w:b/>
                <w:sz w:val="24"/>
              </w:rPr>
              <w:t>身故保险金申请</w:t>
            </w:r>
          </w:p>
        </w:tc>
        <w:tc>
          <w:tcPr>
            <w:tcW w:w="7748" w:type="dxa"/>
          </w:tcPr>
          <w:p>
            <w:pPr>
              <w:pStyle w:val="TableParagraph"/>
              <w:spacing w:before="100"/>
              <w:rPr>
                <w:sz w:val="21"/>
              </w:rPr>
            </w:pPr>
            <w:r>
              <w:rPr>
                <w:sz w:val="21"/>
              </w:rPr>
              <w:t>申请身故保险金的，申请人须填写保险金给付申请书，并向我们提供下列资料：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90" w:right="302" w:hanging="467"/>
              <w:rPr>
                <w:sz w:val="21"/>
              </w:rPr>
            </w:pPr>
            <w:r>
              <w:rPr>
                <w:spacing w:val="-10"/>
                <w:sz w:val="21"/>
              </w:rPr>
              <w:t>(三) 国家卫生行政部门认定的医疗机构、公安部门或其他相关机构出具的被保险</w:t>
            </w:r>
            <w:r>
              <w:rPr>
                <w:spacing w:val="-5"/>
                <w:sz w:val="21"/>
              </w:rPr>
              <w:t>人死亡证明；</w:t>
            </w:r>
          </w:p>
          <w:p>
            <w:pPr>
              <w:pStyle w:val="TableParagraph"/>
              <w:spacing w:before="7"/>
              <w:ind w:left="124"/>
              <w:rPr>
                <w:sz w:val="21"/>
              </w:rPr>
            </w:pPr>
            <w:r>
              <w:rPr>
                <w:sz w:val="21"/>
              </w:rPr>
              <w:t>(四) 被保险人因意外伤害导致身故的，需提供相关意外伤害的证明和资料；</w:t>
            </w:r>
          </w:p>
          <w:p>
            <w:pPr>
              <w:pStyle w:val="TableParagraph"/>
              <w:spacing w:before="37"/>
              <w:ind w:left="124"/>
              <w:rPr>
                <w:sz w:val="21"/>
              </w:rPr>
            </w:pPr>
            <w:r>
              <w:rPr>
                <w:sz w:val="21"/>
              </w:rPr>
              <w:t>(五) 被保险人的户籍注销证明；</w:t>
            </w:r>
          </w:p>
          <w:p>
            <w:pPr>
              <w:pStyle w:val="TableParagraph"/>
              <w:spacing w:before="37"/>
              <w:ind w:left="124"/>
              <w:rPr>
                <w:sz w:val="21"/>
              </w:rPr>
            </w:pPr>
            <w:r>
              <w:rPr>
                <w:sz w:val="21"/>
              </w:rPr>
              <w:t>(六) 所能提供的与确认保险事故的性质、原因等有关的其他资料。</w:t>
            </w:r>
          </w:p>
        </w:tc>
      </w:tr>
      <w:tr>
        <w:trPr>
          <w:trHeight w:val="2015" w:hRule="atLeast"/>
        </w:trPr>
        <w:tc>
          <w:tcPr>
            <w:tcW w:w="753" w:type="dxa"/>
          </w:tcPr>
          <w:p>
            <w:pPr>
              <w:pStyle w:val="TableParagraph"/>
              <w:ind w:left="0"/>
              <w:rPr>
                <w:rFonts w:ascii="Times New Roman"/>
                <w:sz w:val="20"/>
              </w:rPr>
            </w:pPr>
          </w:p>
        </w:tc>
        <w:tc>
          <w:tcPr>
            <w:tcW w:w="2040" w:type="dxa"/>
          </w:tcPr>
          <w:p>
            <w:pPr>
              <w:pStyle w:val="TableParagraph"/>
              <w:spacing w:before="166"/>
              <w:ind w:left="237"/>
              <w:rPr>
                <w:rFonts w:ascii="Microsoft JhengHei" w:eastAsia="Microsoft JhengHei" w:hint="eastAsia"/>
                <w:b/>
                <w:sz w:val="24"/>
              </w:rPr>
            </w:pPr>
            <w:r>
              <w:rPr>
                <w:rFonts w:ascii="Microsoft JhengHei" w:eastAsia="Microsoft JhengHei" w:hint="eastAsia"/>
                <w:b/>
                <w:sz w:val="24"/>
              </w:rPr>
              <w:t>全残保险金申请</w:t>
            </w:r>
          </w:p>
        </w:tc>
        <w:tc>
          <w:tcPr>
            <w:tcW w:w="7748" w:type="dxa"/>
          </w:tcPr>
          <w:p>
            <w:pPr>
              <w:pStyle w:val="TableParagraph"/>
              <w:spacing w:before="133"/>
              <w:rPr>
                <w:sz w:val="21"/>
              </w:rPr>
            </w:pPr>
            <w:r>
              <w:rPr>
                <w:sz w:val="21"/>
              </w:rPr>
              <w:t>申请全残保险金的，申请人须填写保险金给付申请书，并向我们提供下列资料：</w:t>
            </w:r>
          </w:p>
          <w:p>
            <w:pPr>
              <w:pStyle w:val="TableParagraph"/>
              <w:spacing w:before="37"/>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before="36"/>
              <w:ind w:left="124"/>
              <w:rPr>
                <w:sz w:val="21"/>
              </w:rPr>
            </w:pPr>
            <w:r>
              <w:rPr>
                <w:sz w:val="21"/>
              </w:rPr>
              <w:t>(三) 国家有关机关认可或具有合法资质的伤残鉴定机构出具的全残鉴定证明；</w:t>
            </w:r>
          </w:p>
          <w:p>
            <w:pPr>
              <w:pStyle w:val="TableParagraph"/>
              <w:spacing w:before="36"/>
              <w:ind w:left="124"/>
              <w:rPr>
                <w:sz w:val="21"/>
              </w:rPr>
            </w:pPr>
            <w:r>
              <w:rPr>
                <w:sz w:val="21"/>
              </w:rPr>
              <w:t>(四) 被保险人因意外伤害导致全残的，需提供相关意外伤害的证明和资料；</w:t>
            </w:r>
          </w:p>
          <w:p>
            <w:pPr>
              <w:pStyle w:val="TableParagraph"/>
              <w:spacing w:before="36"/>
              <w:ind w:left="124"/>
              <w:rPr>
                <w:sz w:val="21"/>
              </w:rPr>
            </w:pPr>
            <w:r>
              <w:rPr>
                <w:sz w:val="21"/>
              </w:rPr>
              <w:t>(五) 所能提供的与确认保险事故的性质、原因等有关的其他资料。</w:t>
            </w:r>
          </w:p>
        </w:tc>
      </w:tr>
      <w:tr>
        <w:trPr>
          <w:trHeight w:val="569"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8" w:type="dxa"/>
          </w:tcPr>
          <w:p>
            <w:pPr>
              <w:pStyle w:val="TableParagraph"/>
              <w:spacing w:line="258" w:lineRule="exact"/>
              <w:ind w:left="124"/>
              <w:rPr>
                <w:sz w:val="21"/>
              </w:rPr>
            </w:pPr>
            <w:r>
              <w:rPr>
                <w:sz w:val="21"/>
              </w:rPr>
              <w:t>二、保险金作为被保险人遗产时，申请人还须提供可证明合法继承权的相关权利</w:t>
            </w:r>
          </w:p>
          <w:p>
            <w:pPr>
              <w:pStyle w:val="TableParagraph"/>
              <w:spacing w:line="255" w:lineRule="exact" w:before="37"/>
              <w:ind w:left="544"/>
              <w:rPr>
                <w:sz w:val="21"/>
              </w:rPr>
            </w:pPr>
            <w:r>
              <w:rPr>
                <w:sz w:val="21"/>
              </w:rPr>
              <w:t>文件。</w:t>
            </w:r>
          </w:p>
        </w:tc>
      </w:tr>
    </w:tbl>
    <w:p>
      <w:pPr>
        <w:spacing w:after="0" w:line="255" w:lineRule="exact"/>
        <w:rPr>
          <w:sz w:val="21"/>
        </w:rPr>
        <w:sectPr>
          <w:pgSz w:w="11910" w:h="16840"/>
          <w:pgMar w:header="0" w:footer="358"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8"/>
        <w:gridCol w:w="7650"/>
      </w:tblGrid>
      <w:tr>
        <w:trPr>
          <w:trHeight w:val="379" w:hRule="atLeast"/>
        </w:trPr>
        <w:tc>
          <w:tcPr>
            <w:tcW w:w="682" w:type="dxa"/>
          </w:tcPr>
          <w:p>
            <w:pPr>
              <w:pStyle w:val="TableParagraph"/>
              <w:ind w:left="0"/>
              <w:rPr>
                <w:rFonts w:ascii="Times New Roman"/>
                <w:sz w:val="20"/>
              </w:rPr>
            </w:pPr>
          </w:p>
        </w:tc>
        <w:tc>
          <w:tcPr>
            <w:tcW w:w="1918" w:type="dxa"/>
          </w:tcPr>
          <w:p>
            <w:pPr>
              <w:pStyle w:val="TableParagraph"/>
              <w:ind w:left="0"/>
              <w:rPr>
                <w:rFonts w:ascii="Times New Roman"/>
                <w:sz w:val="20"/>
              </w:rPr>
            </w:pPr>
          </w:p>
        </w:tc>
        <w:tc>
          <w:tcPr>
            <w:tcW w:w="7650" w:type="dxa"/>
          </w:tcPr>
          <w:p>
            <w:pPr>
              <w:pStyle w:val="TableParagraph"/>
              <w:spacing w:line="211" w:lineRule="exact"/>
              <w:ind w:left="225"/>
              <w:rPr>
                <w:sz w:val="21"/>
              </w:rPr>
            </w:pPr>
            <w:r>
              <w:rPr>
                <w:sz w:val="21"/>
              </w:rPr>
              <w:t>三、上述申请资料不完整的，我们将及时一次性通知申请人补充提供有关资料。</w:t>
            </w:r>
          </w:p>
        </w:tc>
      </w:tr>
      <w:tr>
        <w:trPr>
          <w:trHeight w:val="3027" w:hRule="atLeast"/>
        </w:trPr>
        <w:tc>
          <w:tcPr>
            <w:tcW w:w="682" w:type="dxa"/>
          </w:tcPr>
          <w:p>
            <w:pPr>
              <w:pStyle w:val="TableParagraph"/>
              <w:spacing w:before="104"/>
              <w:ind w:left="107"/>
              <w:rPr>
                <w:b/>
                <w:sz w:val="21"/>
              </w:rPr>
            </w:pPr>
            <w:r>
              <w:rPr>
                <w:b/>
                <w:sz w:val="21"/>
              </w:rPr>
              <w:t>3.4</w:t>
            </w:r>
          </w:p>
        </w:tc>
        <w:tc>
          <w:tcPr>
            <w:tcW w:w="1918" w:type="dxa"/>
          </w:tcPr>
          <w:p>
            <w:pPr>
              <w:pStyle w:val="TableParagraph"/>
              <w:spacing w:before="104"/>
              <w:ind w:left="216"/>
              <w:rPr>
                <w:b/>
                <w:sz w:val="21"/>
              </w:rPr>
            </w:pPr>
            <w:r>
              <w:rPr>
                <w:b/>
                <w:sz w:val="21"/>
              </w:rPr>
              <w:t>宣告死亡的处理</w:t>
            </w:r>
          </w:p>
        </w:tc>
        <w:tc>
          <w:tcPr>
            <w:tcW w:w="7650" w:type="dxa"/>
          </w:tcPr>
          <w:p>
            <w:pPr>
              <w:pStyle w:val="TableParagraph"/>
              <w:spacing w:line="273" w:lineRule="auto" w:before="104"/>
              <w:ind w:left="645" w:right="109" w:hanging="423"/>
              <w:rPr>
                <w:b/>
                <w:sz w:val="21"/>
              </w:rPr>
            </w:pPr>
            <w:r>
              <w:rPr>
                <w:b/>
                <w:spacing w:val="-7"/>
                <w:sz w:val="21"/>
              </w:rPr>
              <w:t>一、若被保险人在本合同有效期间内被人民法院宣告死亡，保险金申请人在申请身故保险金时还须提供人民法院出具的具有最终法律效力的宣告死亡证明文件。</w:t>
            </w:r>
          </w:p>
          <w:p>
            <w:pPr>
              <w:pStyle w:val="TableParagraph"/>
              <w:spacing w:line="273" w:lineRule="auto" w:before="7"/>
              <w:ind w:left="645" w:right="109" w:hanging="423"/>
              <w:rPr>
                <w:b/>
                <w:sz w:val="21"/>
              </w:rPr>
            </w:pPr>
            <w:r>
              <w:rPr>
                <w:b/>
                <w:spacing w:val="-7"/>
                <w:sz w:val="21"/>
              </w:rPr>
              <w:t>二、被保险人在本合同有效期间内被人民法院宣告死亡的，我们将以人民法院出具的具有最终法律效力的宣告死亡证明文件所确定的死亡日期为被保险人身故日。</w:t>
            </w:r>
          </w:p>
          <w:p>
            <w:pPr>
              <w:pStyle w:val="TableParagraph"/>
              <w:spacing w:line="273" w:lineRule="auto" w:before="7"/>
              <w:ind w:left="571" w:right="107" w:hanging="347"/>
              <w:rPr>
                <w:b/>
                <w:sz w:val="21"/>
              </w:rPr>
            </w:pPr>
            <w:r>
              <w:rPr>
                <w:b/>
                <w:spacing w:val="-8"/>
                <w:sz w:val="21"/>
              </w:rPr>
              <w:t>三、若被保险人在人民法院宣告死亡之后重新出现或确知其没有死亡，保险金申</w:t>
            </w:r>
            <w:r>
              <w:rPr>
                <w:b/>
                <w:spacing w:val="-10"/>
                <w:sz w:val="21"/>
              </w:rPr>
              <w:t>请人应于知道或应当知道被保险人生还消息之日起 </w:t>
            </w:r>
            <w:r>
              <w:rPr>
                <w:b/>
                <w:sz w:val="21"/>
              </w:rPr>
              <w:t>30</w:t>
            </w:r>
            <w:r>
              <w:rPr>
                <w:b/>
                <w:spacing w:val="-8"/>
                <w:sz w:val="21"/>
              </w:rPr>
              <w:t> 日内将已领取的身故保险金一次性返还给我们。</w:t>
            </w:r>
          </w:p>
        </w:tc>
      </w:tr>
      <w:tr>
        <w:trPr>
          <w:trHeight w:val="3335" w:hRule="atLeast"/>
        </w:trPr>
        <w:tc>
          <w:tcPr>
            <w:tcW w:w="682" w:type="dxa"/>
          </w:tcPr>
          <w:p>
            <w:pPr>
              <w:pStyle w:val="TableParagraph"/>
              <w:spacing w:before="88"/>
              <w:ind w:left="107"/>
              <w:rPr>
                <w:b/>
                <w:sz w:val="21"/>
              </w:rPr>
            </w:pPr>
            <w:r>
              <w:rPr>
                <w:b/>
                <w:sz w:val="21"/>
              </w:rPr>
              <w:t>3.5</w:t>
            </w:r>
          </w:p>
        </w:tc>
        <w:tc>
          <w:tcPr>
            <w:tcW w:w="1918" w:type="dxa"/>
          </w:tcPr>
          <w:p>
            <w:pPr>
              <w:pStyle w:val="TableParagraph"/>
              <w:spacing w:before="88"/>
              <w:ind w:left="216"/>
              <w:rPr>
                <w:b/>
                <w:sz w:val="21"/>
              </w:rPr>
            </w:pPr>
            <w:r>
              <w:rPr>
                <w:b/>
                <w:sz w:val="21"/>
              </w:rPr>
              <w:t>保险金的给付</w:t>
            </w:r>
          </w:p>
        </w:tc>
        <w:tc>
          <w:tcPr>
            <w:tcW w:w="7650" w:type="dxa"/>
          </w:tcPr>
          <w:p>
            <w:pPr>
              <w:pStyle w:val="TableParagraph"/>
              <w:spacing w:before="88"/>
              <w:ind w:left="225"/>
              <w:rPr>
                <w:sz w:val="21"/>
              </w:rPr>
            </w:pPr>
            <w:r>
              <w:rPr>
                <w:spacing w:val="-6"/>
                <w:sz w:val="21"/>
              </w:rPr>
              <w:t>一、我们在收到保险金给付申请书及本合同约定的资料后，将在</w:t>
            </w:r>
            <w:r>
              <w:rPr>
                <w:sz w:val="21"/>
              </w:rPr>
              <w:t>5</w:t>
            </w:r>
            <w:r>
              <w:rPr>
                <w:spacing w:val="-8"/>
                <w:sz w:val="21"/>
              </w:rPr>
              <w:t> 日内作出核定；</w:t>
            </w:r>
          </w:p>
          <w:p>
            <w:pPr>
              <w:pStyle w:val="TableParagraph"/>
              <w:spacing w:before="36"/>
              <w:ind w:left="645"/>
              <w:rPr>
                <w:sz w:val="21"/>
              </w:rPr>
            </w:pPr>
            <w:r>
              <w:rPr>
                <w:sz w:val="21"/>
              </w:rPr>
              <w:t>情形复杂的，在 30 日内作出核定。对属于保险责任的，我们在与受益人达</w:t>
            </w:r>
          </w:p>
          <w:p>
            <w:pPr>
              <w:pStyle w:val="TableParagraph"/>
              <w:spacing w:before="36"/>
              <w:ind w:left="645"/>
              <w:rPr>
                <w:sz w:val="21"/>
              </w:rPr>
            </w:pPr>
            <w:r>
              <w:rPr>
                <w:sz w:val="21"/>
              </w:rPr>
              <w:t>成给付保险金的协议后 10 日内，履行给付保险金义务。</w:t>
            </w:r>
          </w:p>
          <w:p>
            <w:pPr>
              <w:pStyle w:val="TableParagraph"/>
              <w:spacing w:line="273" w:lineRule="auto" w:before="37"/>
              <w:ind w:left="645" w:right="103"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645" w:right="103"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645" w:right="103"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r>
        <w:trPr>
          <w:trHeight w:val="875" w:hRule="atLeast"/>
        </w:trPr>
        <w:tc>
          <w:tcPr>
            <w:tcW w:w="682" w:type="dxa"/>
          </w:tcPr>
          <w:p>
            <w:pPr>
              <w:pStyle w:val="TableParagraph"/>
              <w:spacing w:before="99"/>
              <w:ind w:left="107"/>
              <w:rPr>
                <w:b/>
                <w:sz w:val="21"/>
              </w:rPr>
            </w:pPr>
            <w:r>
              <w:rPr>
                <w:b/>
                <w:sz w:val="21"/>
              </w:rPr>
              <w:t>3.6</w:t>
            </w:r>
          </w:p>
        </w:tc>
        <w:tc>
          <w:tcPr>
            <w:tcW w:w="1918" w:type="dxa"/>
          </w:tcPr>
          <w:p>
            <w:pPr>
              <w:pStyle w:val="TableParagraph"/>
              <w:spacing w:before="99"/>
              <w:ind w:left="216"/>
              <w:rPr>
                <w:b/>
                <w:sz w:val="21"/>
              </w:rPr>
            </w:pPr>
            <w:r>
              <w:rPr>
                <w:b/>
                <w:sz w:val="21"/>
              </w:rPr>
              <w:t>诉讼时效</w:t>
            </w:r>
          </w:p>
        </w:tc>
        <w:tc>
          <w:tcPr>
            <w:tcW w:w="7650" w:type="dxa"/>
          </w:tcPr>
          <w:p>
            <w:pPr>
              <w:pStyle w:val="TableParagraph"/>
              <w:spacing w:line="273" w:lineRule="auto" w:before="99"/>
              <w:ind w:left="225" w:right="107"/>
              <w:rPr>
                <w:sz w:val="21"/>
              </w:rPr>
            </w:pPr>
            <w:r>
              <w:rPr>
                <w:spacing w:val="-5"/>
                <w:sz w:val="21"/>
              </w:rPr>
              <w:t>申请人向我们请求给付保险金的诉讼时效期间为 </w:t>
            </w:r>
            <w:r>
              <w:rPr>
                <w:sz w:val="21"/>
              </w:rPr>
              <w:t>2</w:t>
            </w:r>
            <w:r>
              <w:rPr>
                <w:spacing w:val="-10"/>
                <w:sz w:val="21"/>
              </w:rPr>
              <w:t> 年，自其知道或应当知道保险</w:t>
            </w:r>
            <w:r>
              <w:rPr>
                <w:spacing w:val="-3"/>
                <w:sz w:val="21"/>
              </w:rPr>
              <w:t>事故发生之日起计算。</w:t>
            </w:r>
          </w:p>
        </w:tc>
      </w:tr>
      <w:tr>
        <w:trPr>
          <w:trHeight w:val="712"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1918" w:type="dxa"/>
            <w:tcBorders>
              <w:bottom w:val="single" w:sz="8" w:space="0" w:color="000000"/>
            </w:tcBorders>
          </w:tcPr>
          <w:p>
            <w:pPr>
              <w:pStyle w:val="TableParagraph"/>
              <w:spacing w:before="204"/>
              <w:ind w:left="216"/>
              <w:rPr>
                <w:b/>
                <w:sz w:val="24"/>
              </w:rPr>
            </w:pPr>
            <w:r>
              <w:rPr>
                <w:b/>
                <w:w w:val="95"/>
                <w:sz w:val="24"/>
              </w:rPr>
              <w:t>保险费的交纳</w:t>
            </w:r>
          </w:p>
        </w:tc>
        <w:tc>
          <w:tcPr>
            <w:tcW w:w="7650" w:type="dxa"/>
            <w:tcBorders>
              <w:bottom w:val="single" w:sz="8" w:space="0" w:color="000000"/>
            </w:tcBorders>
          </w:tcPr>
          <w:p>
            <w:pPr>
              <w:pStyle w:val="TableParagraph"/>
              <w:ind w:left="0"/>
              <w:rPr>
                <w:rFonts w:ascii="Times New Roman"/>
                <w:sz w:val="20"/>
              </w:rPr>
            </w:pPr>
          </w:p>
        </w:tc>
      </w:tr>
      <w:tr>
        <w:trPr>
          <w:trHeight w:val="1256" w:hRule="atLeast"/>
        </w:trPr>
        <w:tc>
          <w:tcPr>
            <w:tcW w:w="682"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4.1</w:t>
            </w:r>
          </w:p>
        </w:tc>
        <w:tc>
          <w:tcPr>
            <w:tcW w:w="1918" w:type="dxa"/>
            <w:tcBorders>
              <w:top w:val="single" w:sz="8" w:space="0" w:color="000000"/>
            </w:tcBorders>
          </w:tcPr>
          <w:p>
            <w:pPr>
              <w:pStyle w:val="TableParagraph"/>
              <w:spacing w:before="10"/>
              <w:ind w:left="0"/>
              <w:rPr>
                <w:sz w:val="14"/>
              </w:rPr>
            </w:pPr>
          </w:p>
          <w:p>
            <w:pPr>
              <w:pStyle w:val="TableParagraph"/>
              <w:ind w:left="216"/>
              <w:rPr>
                <w:b/>
                <w:sz w:val="21"/>
              </w:rPr>
            </w:pPr>
            <w:r>
              <w:rPr>
                <w:b/>
                <w:sz w:val="21"/>
              </w:rPr>
              <w:t>保险费的交纳</w:t>
            </w:r>
          </w:p>
        </w:tc>
        <w:tc>
          <w:tcPr>
            <w:tcW w:w="7650" w:type="dxa"/>
            <w:tcBorders>
              <w:top w:val="single" w:sz="8" w:space="0" w:color="000000"/>
            </w:tcBorders>
          </w:tcPr>
          <w:p>
            <w:pPr>
              <w:pStyle w:val="TableParagraph"/>
              <w:spacing w:before="10"/>
              <w:ind w:left="0"/>
              <w:rPr>
                <w:sz w:val="14"/>
              </w:rPr>
            </w:pPr>
          </w:p>
          <w:p>
            <w:pPr>
              <w:pStyle w:val="TableParagraph"/>
              <w:ind w:left="225"/>
              <w:rPr>
                <w:sz w:val="21"/>
              </w:rPr>
            </w:pPr>
            <w:r>
              <w:rPr>
                <w:sz w:val="21"/>
              </w:rPr>
              <w:t>一、本合同的交费方式和交费期间由您和我们约定并在保险单上载明。</w:t>
            </w:r>
          </w:p>
          <w:p>
            <w:pPr>
              <w:pStyle w:val="TableParagraph"/>
              <w:spacing w:line="273" w:lineRule="auto" w:before="37"/>
              <w:ind w:left="631" w:right="103" w:hanging="407"/>
              <w:rPr>
                <w:sz w:val="21"/>
              </w:rPr>
            </w:pPr>
            <w:r>
              <w:rPr>
                <w:spacing w:val="-6"/>
                <w:sz w:val="21"/>
              </w:rPr>
              <w:t>二、分期交付保险费的，在交纳首期保险费后，您应当在每个保险费约定支付日</w:t>
            </w:r>
            <w:r>
              <w:rPr>
                <w:spacing w:val="-4"/>
                <w:sz w:val="21"/>
              </w:rPr>
              <w:t>之前交纳当期保险费。</w:t>
            </w:r>
          </w:p>
        </w:tc>
      </w:tr>
      <w:tr>
        <w:trPr>
          <w:trHeight w:val="2124" w:hRule="atLeast"/>
        </w:trPr>
        <w:tc>
          <w:tcPr>
            <w:tcW w:w="682" w:type="dxa"/>
          </w:tcPr>
          <w:p>
            <w:pPr>
              <w:pStyle w:val="TableParagraph"/>
              <w:spacing w:before="100"/>
              <w:ind w:left="107"/>
              <w:rPr>
                <w:b/>
                <w:sz w:val="21"/>
              </w:rPr>
            </w:pPr>
            <w:r>
              <w:rPr>
                <w:b/>
                <w:sz w:val="21"/>
              </w:rPr>
              <w:t>4.2</w:t>
            </w:r>
          </w:p>
        </w:tc>
        <w:tc>
          <w:tcPr>
            <w:tcW w:w="1918" w:type="dxa"/>
          </w:tcPr>
          <w:p>
            <w:pPr>
              <w:pStyle w:val="TableParagraph"/>
              <w:spacing w:before="100"/>
              <w:ind w:left="216"/>
              <w:rPr>
                <w:b/>
                <w:sz w:val="21"/>
              </w:rPr>
            </w:pPr>
            <w:r>
              <w:rPr>
                <w:b/>
                <w:sz w:val="21"/>
              </w:rPr>
              <w:t>宽限期</w:t>
            </w:r>
          </w:p>
        </w:tc>
        <w:tc>
          <w:tcPr>
            <w:tcW w:w="7650" w:type="dxa"/>
          </w:tcPr>
          <w:p>
            <w:pPr>
              <w:pStyle w:val="TableParagraph"/>
              <w:spacing w:line="273" w:lineRule="auto" w:before="100"/>
              <w:ind w:left="679" w:right="103" w:hanging="421"/>
              <w:jc w:val="both"/>
              <w:rPr>
                <w:sz w:val="21"/>
              </w:rPr>
            </w:pPr>
            <w:r>
              <w:rPr>
                <w:spacing w:val="-8"/>
                <w:sz w:val="21"/>
              </w:rPr>
              <w:t>一、分期支付保险费的，您在支付首期保险费后，除本合同另有约定外，若您到</w:t>
            </w:r>
            <w:r>
              <w:rPr>
                <w:spacing w:val="-7"/>
                <w:sz w:val="21"/>
              </w:rPr>
              <w:t>期未支付保险费，自保险费约定支付日的次日零时起 </w:t>
            </w:r>
            <w:r>
              <w:rPr>
                <w:sz w:val="21"/>
              </w:rPr>
              <w:t>60</w:t>
            </w:r>
            <w:r>
              <w:rPr>
                <w:spacing w:val="-8"/>
                <w:sz w:val="21"/>
              </w:rPr>
              <w:t> 日为宽限期。宽限</w:t>
            </w:r>
            <w:r>
              <w:rPr>
                <w:spacing w:val="-11"/>
                <w:sz w:val="21"/>
              </w:rPr>
              <w:t>期内发生的保险事故，我们仍会承担保险责任，但在给付保险金时会扣减您</w:t>
            </w:r>
            <w:r>
              <w:rPr>
                <w:spacing w:val="-6"/>
                <w:sz w:val="21"/>
              </w:rPr>
              <w:t>欠交的保险费。</w:t>
            </w:r>
          </w:p>
          <w:p>
            <w:pPr>
              <w:pStyle w:val="TableParagraph"/>
              <w:spacing w:line="273" w:lineRule="auto" w:before="7"/>
              <w:ind w:left="679" w:right="103" w:hanging="421"/>
              <w:jc w:val="both"/>
              <w:rPr>
                <w:sz w:val="21"/>
              </w:rPr>
            </w:pPr>
            <w:r>
              <w:rPr>
                <w:spacing w:val="-7"/>
                <w:sz w:val="21"/>
              </w:rPr>
              <w:t>二、若您宽限期结束之后仍未支付保险费，则本合同自宽限期满的次日零时起中止。</w:t>
            </w:r>
          </w:p>
        </w:tc>
      </w:tr>
      <w:tr>
        <w:trPr>
          <w:trHeight w:val="710" w:hRule="atLeast"/>
        </w:trPr>
        <w:tc>
          <w:tcPr>
            <w:tcW w:w="682"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18" w:type="dxa"/>
            <w:tcBorders>
              <w:bottom w:val="single" w:sz="8" w:space="0" w:color="000000"/>
            </w:tcBorders>
          </w:tcPr>
          <w:p>
            <w:pPr>
              <w:pStyle w:val="TableParagraph"/>
              <w:spacing w:before="203"/>
              <w:ind w:left="216"/>
              <w:rPr>
                <w:b/>
                <w:sz w:val="24"/>
              </w:rPr>
            </w:pPr>
            <w:r>
              <w:rPr>
                <w:b/>
                <w:w w:val="95"/>
                <w:sz w:val="24"/>
              </w:rPr>
              <w:t>现金价值权益</w:t>
            </w:r>
          </w:p>
        </w:tc>
        <w:tc>
          <w:tcPr>
            <w:tcW w:w="7650" w:type="dxa"/>
            <w:tcBorders>
              <w:bottom w:val="single" w:sz="8" w:space="0" w:color="000000"/>
            </w:tcBorders>
          </w:tcPr>
          <w:p>
            <w:pPr>
              <w:pStyle w:val="TableParagraph"/>
              <w:ind w:left="0"/>
              <w:rPr>
                <w:rFonts w:ascii="Times New Roman"/>
                <w:sz w:val="20"/>
              </w:rPr>
            </w:pPr>
          </w:p>
        </w:tc>
      </w:tr>
      <w:tr>
        <w:trPr>
          <w:trHeight w:val="782"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5.1</w:t>
            </w:r>
          </w:p>
        </w:tc>
        <w:tc>
          <w:tcPr>
            <w:tcW w:w="1918"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本合同现金价值</w:t>
            </w:r>
          </w:p>
        </w:tc>
        <w:tc>
          <w:tcPr>
            <w:tcW w:w="7650" w:type="dxa"/>
            <w:tcBorders>
              <w:top w:val="single" w:sz="8" w:space="0" w:color="000000"/>
            </w:tcBorders>
          </w:tcPr>
          <w:p>
            <w:pPr>
              <w:pStyle w:val="TableParagraph"/>
              <w:spacing w:line="310" w:lineRule="atLeast" w:before="160"/>
              <w:ind w:left="225" w:right="59"/>
              <w:rPr>
                <w:sz w:val="21"/>
              </w:rPr>
            </w:pPr>
            <w:r>
              <w:rPr>
                <w:sz w:val="21"/>
              </w:rPr>
              <w:t>本合同保单年度末的现金价值会在保险合同中载明，保单年度之内的现金价值您可以向我们查询。</w:t>
            </w:r>
          </w:p>
        </w:tc>
      </w:tr>
    </w:tbl>
    <w:p>
      <w:pPr>
        <w:spacing w:after="0" w:line="310" w:lineRule="atLeas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3150" w:hRule="atLeast"/>
        </w:trPr>
        <w:tc>
          <w:tcPr>
            <w:tcW w:w="682" w:type="dxa"/>
          </w:tcPr>
          <w:p>
            <w:pPr>
              <w:pStyle w:val="TableParagraph"/>
              <w:spacing w:line="211" w:lineRule="exact"/>
              <w:ind w:left="107"/>
              <w:rPr>
                <w:b/>
                <w:sz w:val="21"/>
              </w:rPr>
            </w:pPr>
            <w:r>
              <w:rPr>
                <w:b/>
                <w:sz w:val="21"/>
              </w:rPr>
              <w:t>5.2</w:t>
            </w:r>
          </w:p>
        </w:tc>
        <w:tc>
          <w:tcPr>
            <w:tcW w:w="2025" w:type="dxa"/>
          </w:tcPr>
          <w:p>
            <w:pPr>
              <w:pStyle w:val="TableParagraph"/>
              <w:spacing w:line="211" w:lineRule="exact"/>
              <w:ind w:left="216"/>
              <w:rPr>
                <w:b/>
                <w:sz w:val="21"/>
              </w:rPr>
            </w:pPr>
            <w:r>
              <w:rPr>
                <w:b/>
                <w:sz w:val="21"/>
              </w:rPr>
              <w:t>保单质押借款</w:t>
            </w:r>
          </w:p>
        </w:tc>
        <w:tc>
          <w:tcPr>
            <w:tcW w:w="7544" w:type="dxa"/>
          </w:tcPr>
          <w:p>
            <w:pPr>
              <w:pStyle w:val="TableParagraph"/>
              <w:spacing w:line="211" w:lineRule="exact"/>
              <w:ind w:left="118"/>
              <w:rPr>
                <w:sz w:val="21"/>
              </w:rPr>
            </w:pPr>
            <w:r>
              <w:rPr>
                <w:sz w:val="21"/>
              </w:rPr>
              <w:t>一、在本合同有效期间内，若本合同具有现金价值且不存在包含保单质押借款、</w:t>
            </w:r>
          </w:p>
          <w:p>
            <w:pPr>
              <w:pStyle w:val="TableParagraph"/>
              <w:spacing w:line="273" w:lineRule="auto" w:before="37"/>
              <w:ind w:left="572" w:right="104"/>
              <w:jc w:val="both"/>
              <w:rPr>
                <w:sz w:val="21"/>
              </w:rPr>
            </w:pPr>
            <w:r>
              <w:rPr>
                <w:spacing w:val="-3"/>
                <w:sz w:val="21"/>
              </w:rPr>
              <w:t>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95%</w:t>
            </w:r>
            <w:r>
              <w:rPr>
                <w:spacing w:val="-6"/>
                <w:sz w:val="21"/>
              </w:rPr>
              <w:t>为最高限额，每次借款期限最长不超过 </w:t>
            </w:r>
            <w:r>
              <w:rPr>
                <w:sz w:val="21"/>
              </w:rPr>
              <w:t>180</w:t>
            </w:r>
            <w:r>
              <w:rPr>
                <w:spacing w:val="-16"/>
                <w:sz w:val="21"/>
              </w:rPr>
              <w:t> 日。</w:t>
            </w:r>
          </w:p>
          <w:p>
            <w:pPr>
              <w:pStyle w:val="TableParagraph"/>
              <w:spacing w:line="273" w:lineRule="auto" w:before="7"/>
              <w:ind w:left="572" w:right="37"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7"/>
              <w:ind w:left="572" w:right="104"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73" w:lineRule="auto" w:before="7"/>
              <w:ind w:left="572" w:right="104" w:hanging="455"/>
              <w:rPr>
                <w:sz w:val="21"/>
              </w:rPr>
            </w:pPr>
            <w:r>
              <w:rPr>
                <w:spacing w:val="-6"/>
                <w:sz w:val="21"/>
              </w:rPr>
              <w:t>四、您申请保单质押借款须填写申请书及其他相关文件，并凭保险合同原件、您</w:t>
            </w:r>
            <w:r>
              <w:rPr>
                <w:spacing w:val="-4"/>
                <w:sz w:val="21"/>
              </w:rPr>
              <w:t>的有效身份证件办理。</w:t>
            </w:r>
          </w:p>
        </w:tc>
      </w:tr>
      <w:tr>
        <w:trPr>
          <w:trHeight w:val="2705" w:hRule="atLeast"/>
        </w:trPr>
        <w:tc>
          <w:tcPr>
            <w:tcW w:w="682" w:type="dxa"/>
          </w:tcPr>
          <w:p>
            <w:pPr>
              <w:pStyle w:val="TableParagraph"/>
              <w:spacing w:before="67"/>
              <w:ind w:left="107"/>
              <w:rPr>
                <w:b/>
                <w:sz w:val="21"/>
              </w:rPr>
            </w:pPr>
            <w:r>
              <w:rPr>
                <w:b/>
                <w:sz w:val="21"/>
              </w:rPr>
              <w:t>5.3</w:t>
            </w:r>
          </w:p>
        </w:tc>
        <w:tc>
          <w:tcPr>
            <w:tcW w:w="2025" w:type="dxa"/>
          </w:tcPr>
          <w:p>
            <w:pPr>
              <w:pStyle w:val="TableParagraph"/>
              <w:spacing w:before="67"/>
              <w:ind w:left="216"/>
              <w:rPr>
                <w:b/>
                <w:sz w:val="21"/>
              </w:rPr>
            </w:pPr>
            <w:r>
              <w:rPr>
                <w:b/>
                <w:sz w:val="21"/>
              </w:rPr>
              <w:t>保险费自动垫交</w:t>
            </w:r>
          </w:p>
        </w:tc>
        <w:tc>
          <w:tcPr>
            <w:tcW w:w="7544" w:type="dxa"/>
          </w:tcPr>
          <w:p>
            <w:pPr>
              <w:pStyle w:val="TableParagraph"/>
              <w:spacing w:line="273" w:lineRule="auto" w:before="67"/>
              <w:ind w:left="538" w:right="104" w:hanging="421"/>
              <w:jc w:val="both"/>
              <w:rPr>
                <w:sz w:val="21"/>
              </w:rPr>
            </w:pPr>
            <w:r>
              <w:rPr>
                <w:spacing w:val="-5"/>
                <w:sz w:val="21"/>
              </w:rPr>
              <w:t>一、您在投保时选择保险费自动垫交方式的，若分期交付的保险费超过宽限期仍</w:t>
            </w:r>
            <w:r>
              <w:rPr>
                <w:spacing w:val="-8"/>
                <w:sz w:val="21"/>
              </w:rPr>
              <w:t>未交付，且此时保险合同现金价值扣除未还款项及其利息后的余额足以垫交</w:t>
            </w:r>
            <w:r>
              <w:rPr>
                <w:spacing w:val="-9"/>
                <w:sz w:val="21"/>
              </w:rPr>
              <w:t>当期保险费，我们将以本合同现金价值扣除未还款项及其利息后的余额自动</w:t>
            </w:r>
            <w:r>
              <w:rPr>
                <w:spacing w:val="-6"/>
                <w:sz w:val="21"/>
              </w:rPr>
              <w:t>垫交应交付的保险费，本合同继续有效。垫交的保险费视作您从本公司的保</w:t>
            </w:r>
            <w:r>
              <w:rPr>
                <w:spacing w:val="-8"/>
                <w:sz w:val="21"/>
              </w:rPr>
              <w:t>单质押借款。若保险合同现金价值扣除未还款项及其利息后的余额不足以垫</w:t>
            </w:r>
            <w:r>
              <w:rPr>
                <w:spacing w:val="-5"/>
                <w:sz w:val="21"/>
              </w:rPr>
              <w:t>交当期保险费，本合同自宽限期满的次日零时起中止。</w:t>
            </w:r>
          </w:p>
          <w:p>
            <w:pPr>
              <w:pStyle w:val="TableParagraph"/>
              <w:spacing w:line="273" w:lineRule="auto" w:before="7"/>
              <w:ind w:left="538" w:right="104" w:hanging="421"/>
              <w:jc w:val="both"/>
              <w:rPr>
                <w:sz w:val="21"/>
              </w:rPr>
            </w:pPr>
            <w:r>
              <w:rPr>
                <w:spacing w:val="-6"/>
                <w:sz w:val="21"/>
              </w:rPr>
              <w:t>二、在保险费自动垫交期间，若发生合同解除或保险金给付，我们将在您偿清垫</w:t>
            </w:r>
            <w:r>
              <w:rPr>
                <w:spacing w:val="-4"/>
                <w:sz w:val="21"/>
              </w:rPr>
              <w:t>交的保险费及利息后给付本合同现金价值或保险金。</w:t>
            </w:r>
          </w:p>
        </w:tc>
      </w:tr>
      <w:tr>
        <w:trPr>
          <w:trHeight w:val="700" w:hRule="atLeast"/>
        </w:trPr>
        <w:tc>
          <w:tcPr>
            <w:tcW w:w="682" w:type="dxa"/>
            <w:tcBorders>
              <w:bottom w:val="single" w:sz="8" w:space="0" w:color="000000"/>
            </w:tcBorders>
          </w:tcPr>
          <w:p>
            <w:pPr>
              <w:pStyle w:val="TableParagraph"/>
              <w:spacing w:before="141"/>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193"/>
              <w:ind w:left="216"/>
              <w:rPr>
                <w:b/>
                <w:sz w:val="24"/>
              </w:rPr>
            </w:pPr>
            <w:r>
              <w:rPr>
                <w:b/>
                <w:w w:val="95"/>
                <w:sz w:val="24"/>
              </w:rPr>
              <w:t>合同中止和复效</w:t>
            </w:r>
          </w:p>
        </w:tc>
        <w:tc>
          <w:tcPr>
            <w:tcW w:w="7544" w:type="dxa"/>
            <w:tcBorders>
              <w:bottom w:val="single" w:sz="8" w:space="0" w:color="000000"/>
            </w:tcBorders>
          </w:tcPr>
          <w:p>
            <w:pPr>
              <w:pStyle w:val="TableParagraph"/>
              <w:ind w:left="0"/>
              <w:rPr>
                <w:rFonts w:ascii="Times New Roman"/>
                <w:sz w:val="20"/>
              </w:rPr>
            </w:pPr>
          </w:p>
        </w:tc>
      </w:tr>
      <w:tr>
        <w:trPr>
          <w:trHeight w:val="633" w:hRule="atLeast"/>
        </w:trPr>
        <w:tc>
          <w:tcPr>
            <w:tcW w:w="682"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6.1</w:t>
            </w:r>
          </w:p>
        </w:tc>
        <w:tc>
          <w:tcPr>
            <w:tcW w:w="2025" w:type="dxa"/>
            <w:tcBorders>
              <w:top w:val="single" w:sz="8" w:space="0" w:color="000000"/>
            </w:tcBorders>
          </w:tcPr>
          <w:p>
            <w:pPr>
              <w:pStyle w:val="TableParagraph"/>
              <w:spacing w:before="10"/>
              <w:ind w:left="0"/>
              <w:rPr>
                <w:sz w:val="14"/>
              </w:rPr>
            </w:pPr>
          </w:p>
          <w:p>
            <w:pPr>
              <w:pStyle w:val="TableParagraph"/>
              <w:ind w:left="216"/>
              <w:rPr>
                <w:b/>
                <w:sz w:val="21"/>
              </w:rPr>
            </w:pPr>
            <w:r>
              <w:rPr>
                <w:b/>
                <w:sz w:val="21"/>
              </w:rPr>
              <w:t>合同中止</w:t>
            </w:r>
          </w:p>
        </w:tc>
        <w:tc>
          <w:tcPr>
            <w:tcW w:w="7544" w:type="dxa"/>
            <w:tcBorders>
              <w:top w:val="single" w:sz="8" w:space="0" w:color="000000"/>
            </w:tcBorders>
          </w:tcPr>
          <w:p>
            <w:pPr>
              <w:pStyle w:val="TableParagraph"/>
              <w:spacing w:before="182"/>
              <w:ind w:left="118"/>
              <w:rPr>
                <w:sz w:val="21"/>
              </w:rPr>
            </w:pPr>
            <w:r>
              <w:rPr>
                <w:rFonts w:ascii="黑体" w:eastAsia="黑体" w:hint="eastAsia"/>
                <w:b/>
                <w:i/>
                <w:w w:val="95"/>
                <w:sz w:val="22"/>
              </w:rPr>
              <w:t>在本合同中止期间，我们不承担保险责任</w:t>
            </w:r>
            <w:r>
              <w:rPr>
                <w:w w:val="95"/>
                <w:sz w:val="21"/>
              </w:rPr>
              <w:t>。</w:t>
            </w:r>
          </w:p>
        </w:tc>
      </w:tr>
      <w:tr>
        <w:trPr>
          <w:trHeight w:val="1811" w:hRule="atLeast"/>
        </w:trPr>
        <w:tc>
          <w:tcPr>
            <w:tcW w:w="682" w:type="dxa"/>
          </w:tcPr>
          <w:p>
            <w:pPr>
              <w:pStyle w:val="TableParagraph"/>
              <w:spacing w:before="100"/>
              <w:ind w:left="107"/>
              <w:rPr>
                <w:b/>
                <w:sz w:val="21"/>
              </w:rPr>
            </w:pPr>
            <w:r>
              <w:rPr>
                <w:b/>
                <w:sz w:val="21"/>
              </w:rPr>
              <w:t>6.2</w:t>
            </w:r>
          </w:p>
        </w:tc>
        <w:tc>
          <w:tcPr>
            <w:tcW w:w="2025" w:type="dxa"/>
          </w:tcPr>
          <w:p>
            <w:pPr>
              <w:pStyle w:val="TableParagraph"/>
              <w:spacing w:before="100"/>
              <w:ind w:left="216"/>
              <w:rPr>
                <w:b/>
                <w:sz w:val="21"/>
              </w:rPr>
            </w:pPr>
            <w:r>
              <w:rPr>
                <w:b/>
                <w:sz w:val="21"/>
              </w:rPr>
              <w:t>合同复效</w:t>
            </w:r>
          </w:p>
        </w:tc>
        <w:tc>
          <w:tcPr>
            <w:tcW w:w="7544" w:type="dxa"/>
          </w:tcPr>
          <w:p>
            <w:pPr>
              <w:pStyle w:val="TableParagraph"/>
              <w:spacing w:line="273" w:lineRule="auto" w:before="100"/>
              <w:ind w:left="524" w:right="104" w:hanging="407"/>
              <w:jc w:val="both"/>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r>
              <w:rPr>
                <w:spacing w:val="-5"/>
                <w:sz w:val="21"/>
              </w:rPr>
              <w:t>商并达成协议，自您补交复效时应交纳的全部保险费及其利息、借款本息和</w:t>
            </w:r>
            <w:r>
              <w:rPr>
                <w:spacing w:val="-4"/>
                <w:sz w:val="21"/>
              </w:rPr>
              <w:t>其他未还款项及其利息的次日零时起，本合同效力恢复。</w:t>
            </w:r>
          </w:p>
          <w:p>
            <w:pPr>
              <w:pStyle w:val="TableParagraph"/>
              <w:spacing w:line="273" w:lineRule="auto" w:before="8"/>
              <w:ind w:left="524" w:right="104" w:hanging="407"/>
              <w:jc w:val="both"/>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r>
        <w:trPr>
          <w:trHeight w:val="710" w:hRule="atLeast"/>
        </w:trPr>
        <w:tc>
          <w:tcPr>
            <w:tcW w:w="682"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2"/>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506"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2"/>
              <w:ind w:left="0"/>
              <w:rPr>
                <w:sz w:val="14"/>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2"/>
              <w:ind w:left="0"/>
              <w:rPr>
                <w:sz w:val="14"/>
              </w:rPr>
            </w:pPr>
          </w:p>
          <w:p>
            <w:pPr>
              <w:pStyle w:val="TableParagraph"/>
              <w:spacing w:line="273" w:lineRule="auto"/>
              <w:ind w:left="538" w:right="6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7"/>
              <w:ind w:left="466"/>
              <w:rPr>
                <w:sz w:val="21"/>
              </w:rPr>
            </w:pPr>
            <w:r>
              <w:rPr>
                <w:sz w:val="21"/>
              </w:rPr>
              <w:t>(二) 您的有效身份证件。</w:t>
            </w:r>
          </w:p>
          <w:p>
            <w:pPr>
              <w:pStyle w:val="TableParagraph"/>
              <w:spacing w:line="273" w:lineRule="auto" w:before="37"/>
              <w:ind w:left="538" w:right="10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8"/>
              <w:ind w:left="118"/>
              <w:rPr>
                <w:sz w:val="21"/>
              </w:rPr>
            </w:pPr>
            <w:r>
              <w:rPr>
                <w:sz w:val="21"/>
              </w:rPr>
              <w:t>三、您在犹豫期后解除合同会遭受一定损失。</w:t>
            </w:r>
          </w:p>
        </w:tc>
      </w:tr>
      <w:tr>
        <w:trPr>
          <w:trHeight w:val="1786" w:hRule="atLeast"/>
        </w:trPr>
        <w:tc>
          <w:tcPr>
            <w:tcW w:w="682" w:type="dxa"/>
          </w:tcPr>
          <w:p>
            <w:pPr>
              <w:pStyle w:val="TableParagraph"/>
              <w:spacing w:before="99"/>
              <w:ind w:left="107"/>
              <w:rPr>
                <w:b/>
                <w:sz w:val="21"/>
              </w:rPr>
            </w:pPr>
            <w:r>
              <w:rPr>
                <w:b/>
                <w:sz w:val="21"/>
              </w:rPr>
              <w:t>7.2</w:t>
            </w:r>
          </w:p>
        </w:tc>
        <w:tc>
          <w:tcPr>
            <w:tcW w:w="2025" w:type="dxa"/>
          </w:tcPr>
          <w:p>
            <w:pPr>
              <w:pStyle w:val="TableParagraph"/>
              <w:spacing w:before="99"/>
              <w:ind w:left="216"/>
              <w:rPr>
                <w:b/>
                <w:sz w:val="21"/>
              </w:rPr>
            </w:pPr>
            <w:r>
              <w:rPr>
                <w:b/>
                <w:sz w:val="21"/>
              </w:rPr>
              <w:t>合同变更</w:t>
            </w:r>
          </w:p>
        </w:tc>
        <w:tc>
          <w:tcPr>
            <w:tcW w:w="7544" w:type="dxa"/>
          </w:tcPr>
          <w:p>
            <w:pPr>
              <w:pStyle w:val="TableParagraph"/>
              <w:spacing w:line="273" w:lineRule="auto" w:before="99"/>
              <w:ind w:left="538" w:right="1" w:hanging="421"/>
              <w:rPr>
                <w:sz w:val="21"/>
              </w:rPr>
            </w:pPr>
            <w:r>
              <w:rPr>
                <w:spacing w:val="-13"/>
                <w:sz w:val="21"/>
              </w:rPr>
              <w:t>一、本合同生效后，如您需变更本合同的内容，应当向我们提出变更合同的申请， </w:t>
            </w:r>
            <w:r>
              <w:rPr>
                <w:spacing w:val="-9"/>
                <w:sz w:val="21"/>
              </w:rPr>
              <w:t>在您与我们达成一致后，可以对合同约定事项进行变更，变更可以用在保险</w:t>
            </w:r>
            <w:r>
              <w:rPr>
                <w:spacing w:val="-5"/>
                <w:sz w:val="21"/>
              </w:rPr>
              <w:t>合同上批注、附贴批单的方式进行。</w:t>
            </w:r>
          </w:p>
          <w:p>
            <w:pPr>
              <w:pStyle w:val="TableParagraph"/>
              <w:spacing w:line="273" w:lineRule="auto" w:before="7"/>
              <w:ind w:left="538" w:right="61" w:hanging="421"/>
              <w:rPr>
                <w:sz w:val="21"/>
              </w:rPr>
            </w:pPr>
            <w:r>
              <w:rPr>
                <w:sz w:val="21"/>
              </w:rPr>
              <w:t>二、若我们已给付一项或几项保险金后，则我们不接受本合同任何内容的变更申请，但联系方式的变更除外。</w:t>
            </w:r>
          </w:p>
        </w:tc>
      </w:tr>
      <w:tr>
        <w:trPr>
          <w:trHeight w:val="375" w:hRule="atLeast"/>
        </w:trPr>
        <w:tc>
          <w:tcPr>
            <w:tcW w:w="682" w:type="dxa"/>
          </w:tcPr>
          <w:p>
            <w:pPr>
              <w:pStyle w:val="TableParagraph"/>
              <w:spacing w:line="255" w:lineRule="exact" w:before="100"/>
              <w:ind w:left="107"/>
              <w:rPr>
                <w:b/>
                <w:sz w:val="21"/>
              </w:rPr>
            </w:pPr>
            <w:r>
              <w:rPr>
                <w:b/>
                <w:sz w:val="21"/>
              </w:rPr>
              <w:t>7.3</w:t>
            </w:r>
          </w:p>
        </w:tc>
        <w:tc>
          <w:tcPr>
            <w:tcW w:w="2025" w:type="dxa"/>
          </w:tcPr>
          <w:p>
            <w:pPr>
              <w:pStyle w:val="TableParagraph"/>
              <w:spacing w:line="255" w:lineRule="exact" w:before="100"/>
              <w:ind w:left="216"/>
              <w:rPr>
                <w:b/>
                <w:sz w:val="21"/>
              </w:rPr>
            </w:pPr>
            <w:r>
              <w:rPr>
                <w:b/>
                <w:sz w:val="21"/>
              </w:rPr>
              <w:t>联系方式变更</w:t>
            </w:r>
          </w:p>
        </w:tc>
        <w:tc>
          <w:tcPr>
            <w:tcW w:w="7544" w:type="dxa"/>
          </w:tcPr>
          <w:p>
            <w:pPr>
              <w:pStyle w:val="TableParagraph"/>
              <w:spacing w:line="255" w:lineRule="exact" w:before="100"/>
              <w:ind w:left="118"/>
              <w:rPr>
                <w:sz w:val="21"/>
              </w:rPr>
            </w:pPr>
            <w:r>
              <w:rPr>
                <w:sz w:val="21"/>
              </w:rPr>
              <w:t>为保障您的合法权益，您的住所、通讯地址或电话等联系方式变更时，请及时以</w:t>
            </w:r>
          </w:p>
        </w:tc>
      </w:tr>
    </w:tbl>
    <w:p>
      <w:pPr>
        <w:spacing w:after="0" w:line="255" w:lineRule="exac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2020"/>
        <w:gridCol w:w="7555"/>
      </w:tblGrid>
      <w:tr>
        <w:trPr>
          <w:trHeight w:val="910" w:hRule="atLeast"/>
        </w:trPr>
        <w:tc>
          <w:tcPr>
            <w:tcW w:w="675"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55" w:type="dxa"/>
          </w:tcPr>
          <w:p>
            <w:pPr>
              <w:pStyle w:val="TableParagraph"/>
              <w:spacing w:line="211" w:lineRule="exact"/>
              <w:ind w:left="130"/>
              <w:rPr>
                <w:sz w:val="21"/>
              </w:rPr>
            </w:pPr>
            <w:r>
              <w:rPr>
                <w:sz w:val="21"/>
              </w:rPr>
              <w:t>书面形式或双方认可的其他形式通知我们。若您未以书面形式或双方认可的其他</w:t>
            </w:r>
          </w:p>
          <w:p>
            <w:pPr>
              <w:pStyle w:val="TableParagraph"/>
              <w:spacing w:line="273" w:lineRule="auto" w:before="37"/>
              <w:ind w:left="130" w:right="104"/>
              <w:rPr>
                <w:sz w:val="21"/>
              </w:rPr>
            </w:pPr>
            <w:r>
              <w:rPr>
                <w:spacing w:val="-6"/>
                <w:sz w:val="21"/>
              </w:rPr>
              <w:t>形式通知我们，我们按本合同载明的最后住所或通讯地址发送的有关通知，均视</w:t>
            </w:r>
            <w:r>
              <w:rPr>
                <w:spacing w:val="-4"/>
                <w:sz w:val="21"/>
              </w:rPr>
              <w:t>为已送达给您。</w:t>
            </w:r>
          </w:p>
        </w:tc>
      </w:tr>
      <w:tr>
        <w:trPr>
          <w:trHeight w:val="545" w:hRule="atLeast"/>
        </w:trPr>
        <w:tc>
          <w:tcPr>
            <w:tcW w:w="675" w:type="dxa"/>
            <w:tcBorders>
              <w:bottom w:val="single" w:sz="4" w:space="0" w:color="000000"/>
            </w:tcBorders>
          </w:tcPr>
          <w:p>
            <w:pPr>
              <w:pStyle w:val="TableParagraph"/>
              <w:spacing w:before="38"/>
              <w:ind w:left="107"/>
              <w:rPr>
                <w:rFonts w:ascii="Arial" w:hAnsi="Arial"/>
                <w:b/>
                <w:sz w:val="40"/>
              </w:rPr>
            </w:pPr>
            <w:r>
              <w:rPr>
                <w:rFonts w:ascii="Arial" w:hAnsi="Arial"/>
                <w:b/>
                <w:w w:val="119"/>
                <w:sz w:val="40"/>
              </w:rPr>
              <w:t></w:t>
            </w:r>
          </w:p>
        </w:tc>
        <w:tc>
          <w:tcPr>
            <w:tcW w:w="9575" w:type="dxa"/>
            <w:gridSpan w:val="2"/>
            <w:tcBorders>
              <w:bottom w:val="single" w:sz="4" w:space="0" w:color="000000"/>
            </w:tcBorders>
          </w:tcPr>
          <w:p>
            <w:pPr>
              <w:pStyle w:val="TableParagraph"/>
              <w:spacing w:before="63"/>
              <w:ind w:left="223"/>
              <w:rPr>
                <w:b/>
                <w:sz w:val="24"/>
              </w:rPr>
            </w:pPr>
            <w:r>
              <w:rPr>
                <w:b/>
                <w:w w:val="95"/>
                <w:sz w:val="24"/>
              </w:rPr>
              <w:t>明确说明与如实告知</w:t>
            </w:r>
          </w:p>
        </w:tc>
      </w:tr>
      <w:tr>
        <w:trPr>
          <w:trHeight w:val="1620" w:hRule="atLeast"/>
        </w:trPr>
        <w:tc>
          <w:tcPr>
            <w:tcW w:w="675" w:type="dxa"/>
            <w:tcBorders>
              <w:top w:val="single" w:sz="4" w:space="0" w:color="000000"/>
            </w:tcBorders>
          </w:tcPr>
          <w:p>
            <w:pPr>
              <w:pStyle w:val="TableParagraph"/>
              <w:spacing w:before="7"/>
              <w:ind w:left="0"/>
              <w:rPr>
                <w:sz w:val="15"/>
              </w:rPr>
            </w:pPr>
          </w:p>
          <w:p>
            <w:pPr>
              <w:pStyle w:val="TableParagraph"/>
              <w:ind w:left="107"/>
              <w:rPr>
                <w:b/>
                <w:sz w:val="21"/>
              </w:rPr>
            </w:pPr>
            <w:r>
              <w:rPr>
                <w:b/>
                <w:sz w:val="21"/>
              </w:rPr>
              <w:t>8.1</w:t>
            </w:r>
          </w:p>
        </w:tc>
        <w:tc>
          <w:tcPr>
            <w:tcW w:w="2020" w:type="dxa"/>
            <w:tcBorders>
              <w:top w:val="single" w:sz="4" w:space="0" w:color="000000"/>
            </w:tcBorders>
          </w:tcPr>
          <w:p>
            <w:pPr>
              <w:pStyle w:val="TableParagraph"/>
              <w:spacing w:before="7"/>
              <w:ind w:left="0"/>
              <w:rPr>
                <w:sz w:val="15"/>
              </w:rPr>
            </w:pPr>
          </w:p>
          <w:p>
            <w:pPr>
              <w:pStyle w:val="TableParagraph"/>
              <w:ind w:left="223"/>
              <w:rPr>
                <w:b/>
                <w:sz w:val="21"/>
              </w:rPr>
            </w:pPr>
            <w:r>
              <w:rPr>
                <w:b/>
                <w:sz w:val="21"/>
              </w:rPr>
              <w:t>明确说明</w:t>
            </w:r>
          </w:p>
        </w:tc>
        <w:tc>
          <w:tcPr>
            <w:tcW w:w="7555" w:type="dxa"/>
            <w:tcBorders>
              <w:top w:val="single" w:sz="4" w:space="0" w:color="000000"/>
            </w:tcBorders>
          </w:tcPr>
          <w:p>
            <w:pPr>
              <w:pStyle w:val="TableParagraph"/>
              <w:spacing w:before="7"/>
              <w:ind w:left="0"/>
              <w:rPr>
                <w:sz w:val="15"/>
              </w:rPr>
            </w:pPr>
          </w:p>
          <w:p>
            <w:pPr>
              <w:pStyle w:val="TableParagraph"/>
              <w:ind w:left="130"/>
              <w:rPr>
                <w:sz w:val="21"/>
              </w:rPr>
            </w:pPr>
            <w:r>
              <w:rPr>
                <w:sz w:val="21"/>
              </w:rPr>
              <w:t>一、订立本合同时，我们应向您说明本合同的内容。</w:t>
            </w:r>
          </w:p>
          <w:p>
            <w:pPr>
              <w:pStyle w:val="TableParagraph"/>
              <w:spacing w:line="273" w:lineRule="auto" w:before="37"/>
              <w:ind w:left="550"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421" w:hRule="atLeast"/>
        </w:trPr>
        <w:tc>
          <w:tcPr>
            <w:tcW w:w="675" w:type="dxa"/>
          </w:tcPr>
          <w:p>
            <w:pPr>
              <w:pStyle w:val="TableParagraph"/>
              <w:spacing w:before="142"/>
              <w:ind w:left="107"/>
              <w:rPr>
                <w:b/>
                <w:sz w:val="21"/>
              </w:rPr>
            </w:pPr>
            <w:r>
              <w:rPr>
                <w:b/>
                <w:sz w:val="21"/>
              </w:rPr>
              <w:t>8.2</w:t>
            </w:r>
          </w:p>
        </w:tc>
        <w:tc>
          <w:tcPr>
            <w:tcW w:w="2020" w:type="dxa"/>
          </w:tcPr>
          <w:p>
            <w:pPr>
              <w:pStyle w:val="TableParagraph"/>
              <w:spacing w:before="142"/>
              <w:ind w:left="223"/>
              <w:rPr>
                <w:b/>
                <w:sz w:val="21"/>
              </w:rPr>
            </w:pPr>
            <w:r>
              <w:rPr>
                <w:b/>
                <w:sz w:val="21"/>
              </w:rPr>
              <w:t>如实告知</w:t>
            </w:r>
          </w:p>
        </w:tc>
        <w:tc>
          <w:tcPr>
            <w:tcW w:w="7555" w:type="dxa"/>
          </w:tcPr>
          <w:p>
            <w:pPr>
              <w:pStyle w:val="TableParagraph"/>
              <w:spacing w:before="142"/>
              <w:ind w:left="130"/>
              <w:rPr>
                <w:sz w:val="21"/>
              </w:rPr>
            </w:pPr>
            <w:r>
              <w:rPr>
                <w:sz w:val="21"/>
              </w:rPr>
              <w:t>一、我们就您和被保险人的有关情况提出询问的，您应当如实告知。</w:t>
            </w:r>
          </w:p>
          <w:p>
            <w:pPr>
              <w:pStyle w:val="TableParagraph"/>
              <w:spacing w:line="273" w:lineRule="auto" w:before="36"/>
              <w:ind w:left="550" w:right="103"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61" w:lineRule="auto"/>
              <w:ind w:left="550" w:right="106"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4" w:lineRule="auto" w:before="8"/>
              <w:ind w:left="550" w:right="105"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273" w:lineRule="auto" w:before="15"/>
              <w:ind w:left="550" w:right="103" w:hanging="421"/>
              <w:jc w:val="both"/>
              <w:rPr>
                <w:sz w:val="21"/>
              </w:rPr>
            </w:pPr>
            <w:r>
              <w:rPr>
                <w:spacing w:val="-5"/>
                <w:sz w:val="21"/>
              </w:rPr>
              <w:t>五、我们在合同订立时已经知道您未如实告知的情况的，我们不得解除合同；发</w:t>
            </w:r>
            <w:r>
              <w:rPr>
                <w:spacing w:val="-4"/>
                <w:sz w:val="21"/>
              </w:rPr>
              <w:t>生保险事故的，我们承担给付保险金的责任。</w:t>
            </w:r>
          </w:p>
        </w:tc>
      </w:tr>
      <w:tr>
        <w:trPr>
          <w:trHeight w:val="1275" w:hRule="atLeast"/>
        </w:trPr>
        <w:tc>
          <w:tcPr>
            <w:tcW w:w="675" w:type="dxa"/>
          </w:tcPr>
          <w:p>
            <w:pPr>
              <w:pStyle w:val="TableParagraph"/>
              <w:spacing w:before="132"/>
              <w:ind w:left="107"/>
              <w:rPr>
                <w:b/>
                <w:sz w:val="21"/>
              </w:rPr>
            </w:pPr>
            <w:r>
              <w:rPr>
                <w:b/>
                <w:sz w:val="21"/>
              </w:rPr>
              <w:t>8.3</w:t>
            </w:r>
          </w:p>
        </w:tc>
        <w:tc>
          <w:tcPr>
            <w:tcW w:w="2020" w:type="dxa"/>
          </w:tcPr>
          <w:p>
            <w:pPr>
              <w:pStyle w:val="TableParagraph"/>
              <w:spacing w:line="273" w:lineRule="auto" w:before="132"/>
              <w:ind w:left="223" w:right="105"/>
              <w:rPr>
                <w:b/>
                <w:sz w:val="21"/>
              </w:rPr>
            </w:pPr>
            <w:r>
              <w:rPr>
                <w:b/>
                <w:sz w:val="21"/>
              </w:rPr>
              <w:t>本公司合同解除权的限制</w:t>
            </w:r>
          </w:p>
        </w:tc>
        <w:tc>
          <w:tcPr>
            <w:tcW w:w="7555" w:type="dxa"/>
          </w:tcPr>
          <w:p>
            <w:pPr>
              <w:pStyle w:val="TableParagraph"/>
              <w:spacing w:before="132"/>
              <w:ind w:left="130"/>
              <w:rPr>
                <w:sz w:val="21"/>
              </w:rPr>
            </w:pPr>
            <w:r>
              <w:rPr>
                <w:sz w:val="21"/>
              </w:rPr>
              <w:t>前款约定的合同解除权，自我们知道有解除事由之日起，超过 30 日不行使而消</w:t>
            </w:r>
          </w:p>
          <w:p>
            <w:pPr>
              <w:pStyle w:val="TableParagraph"/>
              <w:spacing w:line="273" w:lineRule="auto" w:before="37"/>
              <w:ind w:left="130" w:right="103"/>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86" w:hRule="atLeast"/>
        </w:trPr>
        <w:tc>
          <w:tcPr>
            <w:tcW w:w="675" w:type="dxa"/>
          </w:tcPr>
          <w:p>
            <w:pPr>
              <w:pStyle w:val="TableParagraph"/>
              <w:spacing w:before="207"/>
              <w:ind w:left="107"/>
              <w:rPr>
                <w:rFonts w:ascii="Arial" w:hAnsi="Arial"/>
                <w:b/>
                <w:sz w:val="40"/>
              </w:rPr>
            </w:pPr>
            <w:r>
              <w:rPr>
                <w:rFonts w:ascii="Arial" w:hAnsi="Arial"/>
                <w:b/>
                <w:w w:val="119"/>
                <w:sz w:val="40"/>
              </w:rPr>
              <w:t></w:t>
            </w:r>
          </w:p>
        </w:tc>
        <w:tc>
          <w:tcPr>
            <w:tcW w:w="9575" w:type="dxa"/>
            <w:gridSpan w:val="2"/>
          </w:tcPr>
          <w:p>
            <w:pPr>
              <w:pStyle w:val="TableParagraph"/>
              <w:spacing w:before="189"/>
              <w:ind w:left="208"/>
              <w:rPr>
                <w:b/>
                <w:sz w:val="24"/>
              </w:rPr>
            </w:pPr>
            <w:r>
              <w:rPr>
                <w:b/>
                <w:w w:val="95"/>
                <w:sz w:val="24"/>
              </w:rPr>
              <w:t>其他需要关注的事项</w:t>
            </w:r>
          </w:p>
        </w:tc>
      </w:tr>
      <w:tr>
        <w:trPr>
          <w:trHeight w:val="3302" w:hRule="atLeast"/>
        </w:trPr>
        <w:tc>
          <w:tcPr>
            <w:tcW w:w="675" w:type="dxa"/>
          </w:tcPr>
          <w:p>
            <w:pPr>
              <w:pStyle w:val="TableParagraph"/>
              <w:spacing w:before="55"/>
              <w:ind w:left="107"/>
              <w:rPr>
                <w:b/>
                <w:sz w:val="21"/>
              </w:rPr>
            </w:pPr>
            <w:r>
              <w:rPr>
                <w:b/>
                <w:sz w:val="21"/>
              </w:rPr>
              <w:t>9.1</w:t>
            </w:r>
          </w:p>
        </w:tc>
        <w:tc>
          <w:tcPr>
            <w:tcW w:w="2020" w:type="dxa"/>
          </w:tcPr>
          <w:p>
            <w:pPr>
              <w:pStyle w:val="TableParagraph"/>
              <w:spacing w:before="55"/>
              <w:ind w:left="208"/>
              <w:rPr>
                <w:b/>
                <w:sz w:val="21"/>
              </w:rPr>
            </w:pPr>
            <w:r>
              <w:rPr>
                <w:b/>
                <w:sz w:val="21"/>
              </w:rPr>
              <w:t>年龄错误</w:t>
            </w:r>
          </w:p>
        </w:tc>
        <w:tc>
          <w:tcPr>
            <w:tcW w:w="7555" w:type="dxa"/>
          </w:tcPr>
          <w:p>
            <w:pPr>
              <w:pStyle w:val="TableParagraph"/>
              <w:spacing w:line="273" w:lineRule="auto" w:before="55"/>
              <w:ind w:left="106" w:right="137"/>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2" w:right="139"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2" w:right="139"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73" w:lineRule="auto" w:before="7"/>
              <w:ind w:left="562" w:right="139" w:hanging="457"/>
              <w:jc w:val="both"/>
              <w:rPr>
                <w:sz w:val="21"/>
              </w:rPr>
            </w:pPr>
            <w:r>
              <w:rPr>
                <w:spacing w:val="-10"/>
                <w:sz w:val="21"/>
              </w:rPr>
              <w:t>(三) 您申报的被保险人年龄不真实，致使您实交保险费多于应交保险费的，我们</w:t>
            </w:r>
            <w:r>
              <w:rPr>
                <w:spacing w:val="-5"/>
                <w:sz w:val="21"/>
              </w:rPr>
              <w:t>会将多收的保险费退还给您。</w:t>
            </w:r>
          </w:p>
        </w:tc>
      </w:tr>
      <w:tr>
        <w:trPr>
          <w:trHeight w:val="1476" w:hRule="atLeast"/>
        </w:trPr>
        <w:tc>
          <w:tcPr>
            <w:tcW w:w="675" w:type="dxa"/>
          </w:tcPr>
          <w:p>
            <w:pPr>
              <w:pStyle w:val="TableParagraph"/>
              <w:spacing w:before="101"/>
              <w:ind w:left="107"/>
              <w:rPr>
                <w:b/>
                <w:sz w:val="21"/>
              </w:rPr>
            </w:pPr>
            <w:r>
              <w:rPr>
                <w:b/>
                <w:sz w:val="21"/>
              </w:rPr>
              <w:t>9.2</w:t>
            </w:r>
          </w:p>
        </w:tc>
        <w:tc>
          <w:tcPr>
            <w:tcW w:w="2020" w:type="dxa"/>
          </w:tcPr>
          <w:p>
            <w:pPr>
              <w:pStyle w:val="TableParagraph"/>
              <w:spacing w:before="101"/>
              <w:ind w:left="208"/>
              <w:rPr>
                <w:b/>
                <w:sz w:val="21"/>
              </w:rPr>
            </w:pPr>
            <w:r>
              <w:rPr>
                <w:b/>
                <w:sz w:val="21"/>
              </w:rPr>
              <w:t>未还款项</w:t>
            </w:r>
          </w:p>
        </w:tc>
        <w:tc>
          <w:tcPr>
            <w:tcW w:w="7555" w:type="dxa"/>
          </w:tcPr>
          <w:p>
            <w:pPr>
              <w:pStyle w:val="TableParagraph"/>
              <w:spacing w:line="273" w:lineRule="auto" w:before="101"/>
              <w:ind w:left="106" w:right="137"/>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999" w:hRule="atLeast"/>
        </w:trPr>
        <w:tc>
          <w:tcPr>
            <w:tcW w:w="675" w:type="dxa"/>
          </w:tcPr>
          <w:p>
            <w:pPr>
              <w:pStyle w:val="TableParagraph"/>
              <w:spacing w:before="100"/>
              <w:ind w:left="107"/>
              <w:rPr>
                <w:b/>
                <w:sz w:val="21"/>
              </w:rPr>
            </w:pPr>
            <w:r>
              <w:rPr>
                <w:b/>
                <w:sz w:val="21"/>
              </w:rPr>
              <w:t>9.3</w:t>
            </w:r>
          </w:p>
        </w:tc>
        <w:tc>
          <w:tcPr>
            <w:tcW w:w="2020" w:type="dxa"/>
          </w:tcPr>
          <w:p>
            <w:pPr>
              <w:pStyle w:val="TableParagraph"/>
              <w:spacing w:before="100"/>
              <w:ind w:left="208"/>
              <w:rPr>
                <w:b/>
                <w:sz w:val="21"/>
              </w:rPr>
            </w:pPr>
            <w:r>
              <w:rPr>
                <w:b/>
                <w:sz w:val="21"/>
              </w:rPr>
              <w:t>争议处理</w:t>
            </w:r>
          </w:p>
        </w:tc>
        <w:tc>
          <w:tcPr>
            <w:tcW w:w="7555" w:type="dxa"/>
          </w:tcPr>
          <w:p>
            <w:pPr>
              <w:pStyle w:val="TableParagraph"/>
              <w:spacing w:line="273" w:lineRule="auto" w:before="100"/>
              <w:ind w:left="106" w:right="137"/>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255" w:lineRule="exact" w:before="7"/>
              <w:ind w:left="106"/>
              <w:rPr>
                <w:sz w:val="21"/>
              </w:rPr>
            </w:pPr>
            <w:r>
              <w:rPr>
                <w:spacing w:val="-10"/>
                <w:sz w:val="21"/>
              </w:rPr>
              <w:t>(一) 因履行本合同发生的争议，由当事人协商解决，协商不成的，提交双方共同</w:t>
            </w:r>
          </w:p>
        </w:tc>
      </w:tr>
    </w:tbl>
    <w:p>
      <w:pPr>
        <w:rPr>
          <w:sz w:val="2"/>
          <w:szCs w:val="2"/>
        </w:rPr>
      </w:pPr>
      <w:r>
        <w:rPr/>
        <w:pict>
          <v:group style="position:absolute;margin-left:41.400002pt;margin-top:479.829987pt;width:510.6pt;height:.5pt;mso-position-horizontal-relative:page;mso-position-vertical-relative:page;z-index:-45568" coordorigin="828,9597" coordsize="10212,10">
            <v:line style="position:absolute" from="828,9601" to="1604,9601" stroked="true" strokeweight=".48001pt" strokecolor="#000000">
              <v:stroke dashstyle="solid"/>
            </v:line>
            <v:rect style="position:absolute;left:1603;top:9596;width:10;height:10" filled="true" fillcolor="#000000" stroked="false">
              <v:fill type="solid"/>
            </v:rect>
            <v:line style="position:absolute" from="1613,9601" to="3521,9601" stroked="true" strokeweight=".48001pt" strokecolor="#000000">
              <v:stroke dashstyle="solid"/>
            </v:line>
            <v:rect style="position:absolute;left:3521;top:9596;width:10;height:10" filled="true" fillcolor="#000000" stroked="false">
              <v:fill type="solid"/>
            </v:rect>
            <v:line style="position:absolute" from="3531,9601" to="11039,9601" stroked="true" strokeweight=".48001pt" strokecolor="#000000">
              <v:stroke dashstyle="solid"/>
            </v:line>
            <w10:wrap type="none"/>
          </v:group>
        </w:pict>
      </w:r>
    </w:p>
    <w:p>
      <w:pPr>
        <w:spacing w:after="0"/>
        <w:rPr>
          <w:sz w:val="2"/>
          <w:szCs w:val="2"/>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005"/>
        <w:gridCol w:w="7531"/>
      </w:tblGrid>
      <w:tr>
        <w:trPr>
          <w:trHeight w:val="1024" w:hRule="atLeast"/>
        </w:trPr>
        <w:tc>
          <w:tcPr>
            <w:tcW w:w="714" w:type="dxa"/>
          </w:tcPr>
          <w:p>
            <w:pPr>
              <w:pStyle w:val="TableParagraph"/>
              <w:ind w:left="0"/>
              <w:rPr>
                <w:rFonts w:ascii="Times New Roman"/>
                <w:sz w:val="20"/>
              </w:rPr>
            </w:pPr>
          </w:p>
        </w:tc>
        <w:tc>
          <w:tcPr>
            <w:tcW w:w="2005" w:type="dxa"/>
          </w:tcPr>
          <w:p>
            <w:pPr>
              <w:pStyle w:val="TableParagraph"/>
              <w:ind w:left="0"/>
              <w:rPr>
                <w:rFonts w:ascii="Times New Roman"/>
                <w:sz w:val="20"/>
              </w:rPr>
            </w:pPr>
          </w:p>
        </w:tc>
        <w:tc>
          <w:tcPr>
            <w:tcW w:w="7531" w:type="dxa"/>
          </w:tcPr>
          <w:p>
            <w:pPr>
              <w:pStyle w:val="TableParagraph"/>
              <w:spacing w:line="211" w:lineRule="exact"/>
              <w:ind w:left="538"/>
              <w:rPr>
                <w:sz w:val="21"/>
              </w:rPr>
            </w:pPr>
            <w:r>
              <w:rPr>
                <w:sz w:val="21"/>
              </w:rPr>
              <w:t>选定的仲裁委员会，按其当时有效的仲裁规则仲裁解决。</w:t>
            </w:r>
          </w:p>
          <w:p>
            <w:pPr>
              <w:pStyle w:val="TableParagraph"/>
              <w:spacing w:line="273" w:lineRule="auto" w:before="37"/>
              <w:ind w:left="538" w:right="136" w:hanging="457"/>
              <w:rPr>
                <w:sz w:val="21"/>
              </w:rPr>
            </w:pPr>
            <w:r>
              <w:rPr>
                <w:spacing w:val="-11"/>
                <w:sz w:val="21"/>
              </w:rPr>
              <w:t>(二) 因履行本合同发生的争议，由当事人协商解决，协商不成的，依法向本合同</w:t>
            </w:r>
            <w:r>
              <w:rPr>
                <w:spacing w:val="-6"/>
                <w:sz w:val="21"/>
              </w:rPr>
              <w:t>签发地有管辖权的人民法院起诉。</w:t>
            </w:r>
          </w:p>
        </w:tc>
      </w:tr>
      <w:tr>
        <w:trPr>
          <w:trHeight w:val="711" w:hRule="atLeast"/>
        </w:trPr>
        <w:tc>
          <w:tcPr>
            <w:tcW w:w="714"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05" w:type="dxa"/>
            <w:tcBorders>
              <w:bottom w:val="single" w:sz="8" w:space="0" w:color="000000"/>
            </w:tcBorders>
          </w:tcPr>
          <w:p>
            <w:pPr>
              <w:pStyle w:val="TableParagraph"/>
              <w:spacing w:before="204"/>
              <w:ind w:left="184"/>
              <w:rPr>
                <w:b/>
                <w:sz w:val="24"/>
              </w:rPr>
            </w:pPr>
            <w:r>
              <w:rPr>
                <w:b/>
                <w:sz w:val="24"/>
              </w:rPr>
              <w:t>释义</w:t>
            </w:r>
          </w:p>
        </w:tc>
        <w:tc>
          <w:tcPr>
            <w:tcW w:w="7531" w:type="dxa"/>
            <w:tcBorders>
              <w:bottom w:val="single" w:sz="8" w:space="0" w:color="000000"/>
            </w:tcBorders>
          </w:tcPr>
          <w:p>
            <w:pPr>
              <w:pStyle w:val="TableParagraph"/>
              <w:ind w:left="0"/>
              <w:rPr>
                <w:rFonts w:ascii="Times New Roman"/>
                <w:sz w:val="20"/>
              </w:rPr>
            </w:pPr>
          </w:p>
        </w:tc>
      </w:tr>
      <w:tr>
        <w:trPr>
          <w:trHeight w:val="937" w:hRule="atLeast"/>
        </w:trPr>
        <w:tc>
          <w:tcPr>
            <w:tcW w:w="714"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10.1</w:t>
            </w:r>
          </w:p>
        </w:tc>
        <w:tc>
          <w:tcPr>
            <w:tcW w:w="2005" w:type="dxa"/>
            <w:tcBorders>
              <w:top w:val="single" w:sz="8" w:space="0" w:color="000000"/>
            </w:tcBorders>
          </w:tcPr>
          <w:p>
            <w:pPr>
              <w:pStyle w:val="TableParagraph"/>
              <w:spacing w:before="12"/>
              <w:ind w:left="0"/>
              <w:rPr>
                <w:sz w:val="14"/>
              </w:rPr>
            </w:pPr>
          </w:p>
          <w:p>
            <w:pPr>
              <w:pStyle w:val="TableParagraph"/>
              <w:ind w:left="184"/>
              <w:rPr>
                <w:b/>
                <w:sz w:val="21"/>
              </w:rPr>
            </w:pPr>
            <w:r>
              <w:rPr>
                <w:b/>
                <w:sz w:val="21"/>
              </w:rPr>
              <w:t>保单年度</w:t>
            </w:r>
          </w:p>
        </w:tc>
        <w:tc>
          <w:tcPr>
            <w:tcW w:w="7531" w:type="dxa"/>
            <w:tcBorders>
              <w:top w:val="single" w:sz="8" w:space="0" w:color="000000"/>
            </w:tcBorders>
          </w:tcPr>
          <w:p>
            <w:pPr>
              <w:pStyle w:val="TableParagraph"/>
              <w:spacing w:before="12"/>
              <w:ind w:left="0"/>
              <w:rPr>
                <w:sz w:val="14"/>
              </w:rPr>
            </w:pPr>
          </w:p>
          <w:p>
            <w:pPr>
              <w:pStyle w:val="TableParagraph"/>
              <w:spacing w:line="273" w:lineRule="auto"/>
              <w:ind w:left="106" w:right="276"/>
              <w:rPr>
                <w:sz w:val="21"/>
              </w:rPr>
            </w:pPr>
            <w:r>
              <w:rPr>
                <w:sz w:val="21"/>
              </w:rPr>
              <w:t>从本合同生效日或保单周年日零时起至下一年度的保单周年日零时止为一个保单年度。</w:t>
            </w:r>
          </w:p>
        </w:tc>
      </w:tr>
      <w:tr>
        <w:trPr>
          <w:trHeight w:val="842" w:hRule="atLeast"/>
        </w:trPr>
        <w:tc>
          <w:tcPr>
            <w:tcW w:w="714" w:type="dxa"/>
          </w:tcPr>
          <w:p>
            <w:pPr>
              <w:pStyle w:val="TableParagraph"/>
              <w:spacing w:before="91"/>
              <w:ind w:left="107"/>
              <w:rPr>
                <w:b/>
                <w:sz w:val="21"/>
              </w:rPr>
            </w:pPr>
            <w:r>
              <w:rPr>
                <w:b/>
                <w:sz w:val="21"/>
              </w:rPr>
              <w:t>10.2</w:t>
            </w:r>
          </w:p>
        </w:tc>
        <w:tc>
          <w:tcPr>
            <w:tcW w:w="2005" w:type="dxa"/>
          </w:tcPr>
          <w:p>
            <w:pPr>
              <w:pStyle w:val="TableParagraph"/>
              <w:spacing w:before="91"/>
              <w:ind w:left="184"/>
              <w:rPr>
                <w:b/>
                <w:sz w:val="21"/>
              </w:rPr>
            </w:pPr>
            <w:r>
              <w:rPr>
                <w:b/>
                <w:sz w:val="21"/>
              </w:rPr>
              <w:t>保单周年日</w:t>
            </w:r>
          </w:p>
        </w:tc>
        <w:tc>
          <w:tcPr>
            <w:tcW w:w="7531" w:type="dxa"/>
          </w:tcPr>
          <w:p>
            <w:pPr>
              <w:pStyle w:val="TableParagraph"/>
              <w:spacing w:line="273" w:lineRule="auto" w:before="91"/>
              <w:ind w:left="106" w:right="59"/>
              <w:rPr>
                <w:sz w:val="21"/>
              </w:rPr>
            </w:pPr>
            <w:r>
              <w:rPr>
                <w:sz w:val="21"/>
              </w:rPr>
              <w:t>指本合同生效日在合同生效后每年的对应日，不含本合同生效日当日。若当月没有对应的同一日，则以该月最后一日为对应日。</w:t>
            </w:r>
          </w:p>
        </w:tc>
      </w:tr>
      <w:tr>
        <w:trPr>
          <w:trHeight w:val="851" w:hRule="atLeast"/>
        </w:trPr>
        <w:tc>
          <w:tcPr>
            <w:tcW w:w="714" w:type="dxa"/>
          </w:tcPr>
          <w:p>
            <w:pPr>
              <w:pStyle w:val="TableParagraph"/>
              <w:spacing w:before="100"/>
              <w:ind w:left="107"/>
              <w:rPr>
                <w:b/>
                <w:sz w:val="21"/>
              </w:rPr>
            </w:pPr>
            <w:r>
              <w:rPr>
                <w:b/>
                <w:sz w:val="21"/>
              </w:rPr>
              <w:t>10.3</w:t>
            </w:r>
          </w:p>
        </w:tc>
        <w:tc>
          <w:tcPr>
            <w:tcW w:w="2005" w:type="dxa"/>
          </w:tcPr>
          <w:p>
            <w:pPr>
              <w:pStyle w:val="TableParagraph"/>
              <w:spacing w:before="100"/>
              <w:ind w:left="184"/>
              <w:rPr>
                <w:b/>
                <w:sz w:val="21"/>
              </w:rPr>
            </w:pPr>
            <w:r>
              <w:rPr>
                <w:b/>
                <w:sz w:val="21"/>
              </w:rPr>
              <w:t>保险费约定支付日</w:t>
            </w:r>
          </w:p>
        </w:tc>
        <w:tc>
          <w:tcPr>
            <w:tcW w:w="7531" w:type="dxa"/>
          </w:tcPr>
          <w:p>
            <w:pPr>
              <w:pStyle w:val="TableParagraph"/>
              <w:spacing w:line="273" w:lineRule="auto" w:before="100"/>
              <w:ind w:left="106" w:right="67"/>
              <w:rPr>
                <w:sz w:val="21"/>
              </w:rPr>
            </w:pPr>
            <w:r>
              <w:rPr>
                <w:sz w:val="21"/>
              </w:rPr>
              <w:t>指本合同生效日在每月、每季、每半年或每年（根据交费方式确定）的对应日。若当月无对应的同一日，则以该月最后一日为对应日。</w:t>
            </w:r>
          </w:p>
        </w:tc>
      </w:tr>
      <w:tr>
        <w:trPr>
          <w:trHeight w:val="851" w:hRule="atLeast"/>
        </w:trPr>
        <w:tc>
          <w:tcPr>
            <w:tcW w:w="714" w:type="dxa"/>
          </w:tcPr>
          <w:p>
            <w:pPr>
              <w:pStyle w:val="TableParagraph"/>
              <w:spacing w:before="99"/>
              <w:ind w:left="107"/>
              <w:rPr>
                <w:b/>
                <w:sz w:val="21"/>
              </w:rPr>
            </w:pPr>
            <w:r>
              <w:rPr>
                <w:b/>
                <w:sz w:val="21"/>
              </w:rPr>
              <w:t>10.4</w:t>
            </w:r>
          </w:p>
        </w:tc>
        <w:tc>
          <w:tcPr>
            <w:tcW w:w="2005" w:type="dxa"/>
          </w:tcPr>
          <w:p>
            <w:pPr>
              <w:pStyle w:val="TableParagraph"/>
              <w:spacing w:before="99"/>
              <w:ind w:left="184"/>
              <w:rPr>
                <w:b/>
                <w:sz w:val="21"/>
              </w:rPr>
            </w:pPr>
            <w:r>
              <w:rPr>
                <w:b/>
                <w:sz w:val="21"/>
              </w:rPr>
              <w:t>周岁</w:t>
            </w:r>
          </w:p>
        </w:tc>
        <w:tc>
          <w:tcPr>
            <w:tcW w:w="7531" w:type="dxa"/>
          </w:tcPr>
          <w:p>
            <w:pPr>
              <w:pStyle w:val="TableParagraph"/>
              <w:spacing w:line="273" w:lineRule="auto" w:before="99"/>
              <w:ind w:left="106" w:right="67"/>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14" w:type="dxa"/>
          </w:tcPr>
          <w:p>
            <w:pPr>
              <w:pStyle w:val="TableParagraph"/>
              <w:spacing w:before="100"/>
              <w:ind w:left="107"/>
              <w:rPr>
                <w:b/>
                <w:sz w:val="21"/>
              </w:rPr>
            </w:pPr>
            <w:r>
              <w:rPr>
                <w:b/>
                <w:sz w:val="21"/>
              </w:rPr>
              <w:t>10.5</w:t>
            </w:r>
          </w:p>
        </w:tc>
        <w:tc>
          <w:tcPr>
            <w:tcW w:w="2005" w:type="dxa"/>
          </w:tcPr>
          <w:p>
            <w:pPr>
              <w:pStyle w:val="TableParagraph"/>
              <w:spacing w:before="100"/>
              <w:ind w:left="184"/>
              <w:rPr>
                <w:b/>
                <w:sz w:val="21"/>
              </w:rPr>
            </w:pPr>
            <w:r>
              <w:rPr>
                <w:b/>
                <w:sz w:val="21"/>
              </w:rPr>
              <w:t>有效身份证件</w:t>
            </w:r>
          </w:p>
        </w:tc>
        <w:tc>
          <w:tcPr>
            <w:tcW w:w="7531" w:type="dxa"/>
          </w:tcPr>
          <w:p>
            <w:pPr>
              <w:pStyle w:val="TableParagraph"/>
              <w:spacing w:line="273" w:lineRule="auto" w:before="100"/>
              <w:ind w:left="106" w:right="104"/>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537" w:hRule="atLeast"/>
        </w:trPr>
        <w:tc>
          <w:tcPr>
            <w:tcW w:w="714" w:type="dxa"/>
          </w:tcPr>
          <w:p>
            <w:pPr>
              <w:pStyle w:val="TableParagraph"/>
              <w:spacing w:before="98"/>
              <w:ind w:left="107"/>
              <w:rPr>
                <w:b/>
                <w:sz w:val="21"/>
              </w:rPr>
            </w:pPr>
            <w:r>
              <w:rPr>
                <w:b/>
                <w:sz w:val="21"/>
              </w:rPr>
              <w:t>10.6</w:t>
            </w:r>
          </w:p>
        </w:tc>
        <w:tc>
          <w:tcPr>
            <w:tcW w:w="2005" w:type="dxa"/>
          </w:tcPr>
          <w:p>
            <w:pPr>
              <w:pStyle w:val="TableParagraph"/>
              <w:spacing w:before="98"/>
              <w:ind w:left="184"/>
              <w:rPr>
                <w:b/>
                <w:sz w:val="21"/>
              </w:rPr>
            </w:pPr>
            <w:r>
              <w:rPr>
                <w:b/>
                <w:sz w:val="21"/>
              </w:rPr>
              <w:t>意外伤害</w:t>
            </w:r>
          </w:p>
        </w:tc>
        <w:tc>
          <w:tcPr>
            <w:tcW w:w="7531" w:type="dxa"/>
          </w:tcPr>
          <w:p>
            <w:pPr>
              <w:pStyle w:val="TableParagraph"/>
              <w:spacing w:before="98"/>
              <w:ind w:left="106"/>
              <w:rPr>
                <w:sz w:val="21"/>
              </w:rPr>
            </w:pPr>
            <w:r>
              <w:rPr>
                <w:spacing w:val="-15"/>
                <w:sz w:val="21"/>
              </w:rPr>
              <w:t>指遭受外来的、突发的、非本意的、非疾病的客观事件直接致使身体受到的伤害。</w:t>
            </w:r>
          </w:p>
        </w:tc>
      </w:tr>
      <w:tr>
        <w:trPr>
          <w:trHeight w:val="2412" w:hRule="atLeast"/>
        </w:trPr>
        <w:tc>
          <w:tcPr>
            <w:tcW w:w="714" w:type="dxa"/>
          </w:tcPr>
          <w:p>
            <w:pPr>
              <w:pStyle w:val="TableParagraph"/>
              <w:spacing w:before="100"/>
              <w:ind w:left="107"/>
              <w:rPr>
                <w:b/>
                <w:sz w:val="21"/>
              </w:rPr>
            </w:pPr>
            <w:r>
              <w:rPr>
                <w:b/>
                <w:sz w:val="21"/>
              </w:rPr>
              <w:t>10.7</w:t>
            </w:r>
          </w:p>
        </w:tc>
        <w:tc>
          <w:tcPr>
            <w:tcW w:w="2005" w:type="dxa"/>
          </w:tcPr>
          <w:p>
            <w:pPr>
              <w:pStyle w:val="TableParagraph"/>
              <w:spacing w:line="273" w:lineRule="auto" w:before="100"/>
              <w:ind w:left="184" w:right="129"/>
              <w:jc w:val="both"/>
              <w:rPr>
                <w:b/>
                <w:sz w:val="21"/>
              </w:rPr>
            </w:pPr>
            <w:r>
              <w:rPr>
                <w:b/>
                <w:sz w:val="21"/>
              </w:rPr>
              <w:t>初次患本合同所列的轻症疾病、重大疾病</w:t>
            </w:r>
          </w:p>
        </w:tc>
        <w:tc>
          <w:tcPr>
            <w:tcW w:w="7531" w:type="dxa"/>
          </w:tcPr>
          <w:p>
            <w:pPr>
              <w:pStyle w:val="TableParagraph"/>
              <w:spacing w:before="100"/>
              <w:ind w:left="106"/>
              <w:rPr>
                <w:sz w:val="21"/>
              </w:rPr>
            </w:pPr>
            <w:r>
              <w:rPr>
                <w:sz w:val="21"/>
              </w:rPr>
              <w:t>指被保险人患同时符合以下条件的疾病：</w:t>
            </w:r>
          </w:p>
          <w:p>
            <w:pPr>
              <w:pStyle w:val="TableParagraph"/>
              <w:spacing w:before="36"/>
              <w:ind w:left="106"/>
              <w:rPr>
                <w:sz w:val="21"/>
              </w:rPr>
            </w:pPr>
            <w:r>
              <w:rPr>
                <w:sz w:val="21"/>
              </w:rPr>
              <w:t>（1）被保险人自出生后首次出现疾病之症状体征；</w:t>
            </w:r>
          </w:p>
          <w:p>
            <w:pPr>
              <w:pStyle w:val="TableParagraph"/>
              <w:spacing w:before="36"/>
              <w:ind w:left="106"/>
              <w:rPr>
                <w:sz w:val="21"/>
              </w:rPr>
            </w:pPr>
            <w:r>
              <w:rPr>
                <w:spacing w:val="-13"/>
                <w:sz w:val="21"/>
              </w:rPr>
              <w:t>（2）</w:t>
            </w:r>
            <w:r>
              <w:rPr>
                <w:spacing w:val="-3"/>
                <w:sz w:val="21"/>
              </w:rPr>
              <w:t>被保险人在本合同有效期间内首次出现疾病之症状体征并被确诊患该疾病；</w:t>
            </w:r>
          </w:p>
          <w:p>
            <w:pPr>
              <w:pStyle w:val="TableParagraph"/>
              <w:spacing w:before="36"/>
              <w:ind w:left="106"/>
              <w:rPr>
                <w:sz w:val="21"/>
              </w:rPr>
            </w:pPr>
            <w:r>
              <w:rPr>
                <w:sz w:val="21"/>
              </w:rPr>
              <w:t>（3）该疾病之症状体征符合本合同的定义；</w:t>
            </w:r>
          </w:p>
          <w:p>
            <w:pPr>
              <w:pStyle w:val="TableParagraph"/>
              <w:spacing w:before="36"/>
              <w:ind w:left="106"/>
              <w:rPr>
                <w:sz w:val="21"/>
              </w:rPr>
            </w:pPr>
            <w:r>
              <w:rPr>
                <w:sz w:val="21"/>
              </w:rPr>
              <w:t>（4）该疾病已在本合同中列明。</w:t>
            </w:r>
          </w:p>
          <w:p>
            <w:pPr>
              <w:pStyle w:val="TableParagraph"/>
              <w:spacing w:line="259" w:lineRule="auto" w:before="25"/>
              <w:ind w:left="106" w:right="255"/>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846" w:hRule="atLeast"/>
        </w:trPr>
        <w:tc>
          <w:tcPr>
            <w:tcW w:w="714" w:type="dxa"/>
          </w:tcPr>
          <w:p>
            <w:pPr>
              <w:pStyle w:val="TableParagraph"/>
              <w:spacing w:before="98"/>
              <w:ind w:left="107"/>
              <w:rPr>
                <w:b/>
                <w:sz w:val="21"/>
              </w:rPr>
            </w:pPr>
            <w:r>
              <w:rPr>
                <w:b/>
                <w:sz w:val="21"/>
              </w:rPr>
              <w:t>10.8</w:t>
            </w:r>
          </w:p>
        </w:tc>
        <w:tc>
          <w:tcPr>
            <w:tcW w:w="2005" w:type="dxa"/>
          </w:tcPr>
          <w:p>
            <w:pPr>
              <w:pStyle w:val="TableParagraph"/>
              <w:spacing w:before="98"/>
              <w:ind w:left="184"/>
              <w:rPr>
                <w:b/>
                <w:sz w:val="21"/>
              </w:rPr>
            </w:pPr>
            <w:r>
              <w:rPr>
                <w:b/>
                <w:sz w:val="21"/>
              </w:rPr>
              <w:t>轻症疾病</w:t>
            </w:r>
          </w:p>
        </w:tc>
        <w:tc>
          <w:tcPr>
            <w:tcW w:w="7531" w:type="dxa"/>
          </w:tcPr>
          <w:p>
            <w:pPr>
              <w:pStyle w:val="TableParagraph"/>
              <w:spacing w:line="273" w:lineRule="auto" w:before="98"/>
              <w:ind w:left="106" w:right="1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15</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tc>
      </w:tr>
      <w:tr>
        <w:trPr>
          <w:trHeight w:val="3660" w:hRule="atLeast"/>
        </w:trPr>
        <w:tc>
          <w:tcPr>
            <w:tcW w:w="714"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531" w:type="dxa"/>
          </w:tcPr>
          <w:p>
            <w:pPr>
              <w:pStyle w:val="TableParagraph"/>
              <w:spacing w:line="273" w:lineRule="auto" w:before="104"/>
              <w:ind w:left="106" w:right="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 分期方案A期程度的慢性淋巴细胞白血病；</w:t>
            </w:r>
          </w:p>
          <w:p>
            <w:pPr>
              <w:pStyle w:val="TableParagraph"/>
              <w:spacing w:before="37"/>
              <w:ind w:left="106"/>
              <w:jc w:val="both"/>
              <w:rPr>
                <w:sz w:val="21"/>
              </w:rPr>
            </w:pPr>
            <w:r>
              <w:rPr>
                <w:sz w:val="21"/>
              </w:rPr>
              <w:t>（3）相当于Ann Arbor 分期方案I期程度的何杰金氏病；</w:t>
            </w:r>
          </w:p>
          <w:p>
            <w:pPr>
              <w:pStyle w:val="TableParagraph"/>
              <w:spacing w:before="37"/>
              <w:ind w:left="106"/>
              <w:jc w:val="both"/>
              <w:rPr>
                <w:sz w:val="21"/>
              </w:rPr>
            </w:pPr>
            <w:r>
              <w:rPr>
                <w:sz w:val="21"/>
              </w:rPr>
              <w:t>（4）皮肤癌（不包括恶性黑色素瘤及已发生转移的皮肤癌）；</w:t>
            </w:r>
          </w:p>
          <w:p>
            <w:pPr>
              <w:pStyle w:val="TableParagraph"/>
              <w:spacing w:before="37"/>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273" w:lineRule="auto" w:before="36"/>
              <w:ind w:left="106" w:right="1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691" w:hRule="atLeast"/>
        </w:trPr>
        <w:tc>
          <w:tcPr>
            <w:tcW w:w="714" w:type="dxa"/>
          </w:tcPr>
          <w:p>
            <w:pPr>
              <w:pStyle w:val="TableParagraph"/>
              <w:ind w:left="0"/>
              <w:rPr>
                <w:rFonts w:ascii="Times New Roman"/>
                <w:sz w:val="20"/>
              </w:rPr>
            </w:pPr>
          </w:p>
        </w:tc>
        <w:tc>
          <w:tcPr>
            <w:tcW w:w="2005" w:type="dxa"/>
          </w:tcPr>
          <w:p>
            <w:pPr>
              <w:pStyle w:val="TableParagraph"/>
              <w:tabs>
                <w:tab w:pos="603" w:val="left" w:leader="none"/>
              </w:tabs>
              <w:spacing w:line="312" w:lineRule="exact" w:before="80"/>
              <w:ind w:left="604" w:right="103"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7531" w:type="dxa"/>
          </w:tcPr>
          <w:p>
            <w:pPr>
              <w:pStyle w:val="TableParagraph"/>
              <w:spacing w:line="310" w:lineRule="atLeast" w:before="68"/>
              <w:ind w:left="106" w:right="60"/>
              <w:rPr>
                <w:sz w:val="21"/>
              </w:rPr>
            </w:pPr>
            <w:r>
              <w:rPr>
                <w:sz w:val="21"/>
              </w:rPr>
              <w:t>指被保险人为了治疗明显的冠状动脉狭窄性疾病，首次实际实施了冠状动脉球囊扩张成形术、冠状动脉支架植入术、冠状动脉粥肿斑块切除术或激光冠状动脉成</w:t>
            </w:r>
          </w:p>
        </w:tc>
      </w:tr>
    </w:tbl>
    <w:p>
      <w:pPr>
        <w:spacing w:after="0" w:line="310" w:lineRule="atLeast"/>
        <w:rPr>
          <w:sz w:val="21"/>
        </w:rPr>
        <w:sectPr>
          <w:pgSz w:w="11910" w:h="16840"/>
          <w:pgMar w:header="0" w:footer="358" w:top="1160" w:bottom="540" w:left="720" w:right="7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7728"/>
      </w:tblGrid>
      <w:tr>
        <w:trPr>
          <w:trHeight w:val="372" w:hRule="atLeast"/>
        </w:trPr>
        <w:tc>
          <w:tcPr>
            <w:tcW w:w="2024" w:type="dxa"/>
          </w:tcPr>
          <w:p>
            <w:pPr>
              <w:pStyle w:val="TableParagraph"/>
              <w:ind w:left="0"/>
              <w:rPr>
                <w:rFonts w:ascii="Times New Roman"/>
                <w:sz w:val="20"/>
              </w:rPr>
            </w:pPr>
          </w:p>
        </w:tc>
        <w:tc>
          <w:tcPr>
            <w:tcW w:w="7728" w:type="dxa"/>
          </w:tcPr>
          <w:p>
            <w:pPr>
              <w:pStyle w:val="TableParagraph"/>
              <w:spacing w:line="211" w:lineRule="exact"/>
              <w:ind w:left="103"/>
              <w:rPr>
                <w:sz w:val="21"/>
              </w:rPr>
            </w:pPr>
            <w:r>
              <w:rPr>
                <w:sz w:val="21"/>
              </w:rPr>
              <w:t>形术。</w:t>
            </w:r>
          </w:p>
        </w:tc>
      </w:tr>
      <w:tr>
        <w:trPr>
          <w:trHeight w:val="1476" w:hRule="atLeast"/>
        </w:trPr>
        <w:tc>
          <w:tcPr>
            <w:tcW w:w="2024"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28" w:type="dxa"/>
          </w:tcPr>
          <w:p>
            <w:pPr>
              <w:pStyle w:val="TableParagraph"/>
              <w:spacing w:line="273" w:lineRule="auto" w:before="104"/>
              <w:ind w:left="103"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851" w:hRule="atLeast"/>
        </w:trPr>
        <w:tc>
          <w:tcPr>
            <w:tcW w:w="2024" w:type="dxa"/>
          </w:tcPr>
          <w:p>
            <w:pPr>
              <w:pStyle w:val="TableParagraph"/>
              <w:tabs>
                <w:tab w:pos="619" w:val="left" w:leader="none"/>
              </w:tabs>
              <w:spacing w:line="204" w:lineRule="auto" w:before="72"/>
              <w:ind w:left="619" w:right="107"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28" w:type="dxa"/>
          </w:tcPr>
          <w:p>
            <w:pPr>
              <w:pStyle w:val="TableParagraph"/>
              <w:spacing w:line="273" w:lineRule="auto" w:before="104"/>
              <w:ind w:left="103" w:right="304"/>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786" w:hRule="atLeast"/>
        </w:trPr>
        <w:tc>
          <w:tcPr>
            <w:tcW w:w="2024" w:type="dxa"/>
          </w:tcPr>
          <w:p>
            <w:pPr>
              <w:pStyle w:val="TableParagraph"/>
              <w:spacing w:line="204" w:lineRule="auto" w:before="71"/>
              <w:ind w:left="619" w:right="107"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28" w:type="dxa"/>
          </w:tcPr>
          <w:p>
            <w:pPr>
              <w:pStyle w:val="TableParagraph"/>
              <w:spacing w:line="273" w:lineRule="auto" w:before="102"/>
              <w:ind w:left="103" w:right="307"/>
              <w:rPr>
                <w:sz w:val="21"/>
              </w:rPr>
            </w:pPr>
            <w:r>
              <w:rPr>
                <w:sz w:val="21"/>
              </w:rPr>
              <w:t>指被保险人经头颅断层扫描（CT）、核磁共振（MRI）或其他影像学检查被确诊为下列病变，并实际接受了手术或放射治疗。</w:t>
            </w:r>
          </w:p>
          <w:p>
            <w:pPr>
              <w:pStyle w:val="TableParagraph"/>
              <w:spacing w:before="7"/>
              <w:ind w:left="103"/>
              <w:rPr>
                <w:sz w:val="21"/>
              </w:rPr>
            </w:pPr>
            <w:r>
              <w:rPr>
                <w:sz w:val="21"/>
              </w:rPr>
              <w:t>（1）脑垂体瘤；</w:t>
            </w:r>
          </w:p>
          <w:p>
            <w:pPr>
              <w:pStyle w:val="TableParagraph"/>
              <w:spacing w:before="36"/>
              <w:ind w:left="103"/>
              <w:rPr>
                <w:sz w:val="21"/>
              </w:rPr>
            </w:pPr>
            <w:r>
              <w:rPr>
                <w:sz w:val="21"/>
              </w:rPr>
              <w:t>（2）脑囊肿；</w:t>
            </w:r>
          </w:p>
          <w:p>
            <w:pPr>
              <w:pStyle w:val="TableParagraph"/>
              <w:spacing w:before="36"/>
              <w:ind w:left="103"/>
              <w:rPr>
                <w:sz w:val="21"/>
              </w:rPr>
            </w:pPr>
            <w:r>
              <w:rPr>
                <w:sz w:val="21"/>
              </w:rPr>
              <w:t>（3）脑动脉瘤、脑血管瘤。</w:t>
            </w:r>
          </w:p>
        </w:tc>
      </w:tr>
      <w:tr>
        <w:trPr>
          <w:trHeight w:val="2411" w:hRule="atLeast"/>
        </w:trPr>
        <w:tc>
          <w:tcPr>
            <w:tcW w:w="2024" w:type="dxa"/>
          </w:tcPr>
          <w:p>
            <w:pPr>
              <w:pStyle w:val="TableParagraph"/>
              <w:tabs>
                <w:tab w:pos="619" w:val="left" w:leader="none"/>
              </w:tabs>
              <w:spacing w:line="339" w:lineRule="exact" w:before="18"/>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19" w:right="107"/>
              <w:rPr>
                <w:rFonts w:ascii="Microsoft JhengHei" w:eastAsia="Microsoft JhengHei" w:hint="eastAsia"/>
                <w:b/>
                <w:sz w:val="21"/>
              </w:rPr>
            </w:pPr>
            <w:r>
              <w:rPr>
                <w:rFonts w:ascii="Microsoft JhengHei" w:eastAsia="Microsoft JhengHei" w:hint="eastAsia"/>
                <w:b/>
                <w:sz w:val="21"/>
              </w:rPr>
              <w:t>－三周岁始理赔</w:t>
            </w:r>
          </w:p>
        </w:tc>
        <w:tc>
          <w:tcPr>
            <w:tcW w:w="7728" w:type="dxa"/>
          </w:tcPr>
          <w:p>
            <w:pPr>
              <w:pStyle w:val="TableParagraph"/>
              <w:spacing w:line="273" w:lineRule="auto" w:before="104"/>
              <w:ind w:left="103" w:right="246"/>
              <w:rPr>
                <w:sz w:val="21"/>
              </w:rPr>
            </w:pPr>
            <w:r>
              <w:rPr>
                <w:sz w:val="21"/>
              </w:rPr>
              <w:t>指被保险人因疾病或意外伤害导致双目视力</w:t>
            </w:r>
            <w:r>
              <w:rPr>
                <w:b/>
                <w:sz w:val="21"/>
              </w:rPr>
              <w:t>永久不可逆</w:t>
            </w:r>
            <w:r>
              <w:rPr>
                <w:sz w:val="21"/>
              </w:rPr>
              <w:t>性丧失，虽然未达到重大疾病“双目失明”的给付标准，但满足下列条件之一：</w:t>
            </w:r>
          </w:p>
          <w:p>
            <w:pPr>
              <w:pStyle w:val="TableParagraph"/>
              <w:spacing w:line="273" w:lineRule="auto" w:before="7"/>
              <w:ind w:left="629" w:right="251" w:hanging="527"/>
              <w:rPr>
                <w:sz w:val="21"/>
              </w:rPr>
            </w:pPr>
            <w:r>
              <w:rPr>
                <w:sz w:val="21"/>
              </w:rPr>
              <w:t>（1）双眼中较好眼矫正视力低于0.1（采用国际标准视力表，如果使用其他视力表应进行换算）；</w:t>
            </w:r>
          </w:p>
          <w:p>
            <w:pPr>
              <w:pStyle w:val="TableParagraph"/>
              <w:spacing w:before="7"/>
              <w:ind w:left="103"/>
              <w:rPr>
                <w:sz w:val="21"/>
              </w:rPr>
            </w:pPr>
            <w:r>
              <w:rPr>
                <w:sz w:val="21"/>
              </w:rPr>
              <w:t>（2）双眼中较好眼视野半径小于20度。</w:t>
            </w:r>
          </w:p>
          <w:p>
            <w:pPr>
              <w:pStyle w:val="TableParagraph"/>
              <w:spacing w:line="259" w:lineRule="auto" w:before="25"/>
              <w:ind w:left="103" w:right="309"/>
              <w:rPr>
                <w:b/>
                <w:i/>
                <w:sz w:val="22"/>
              </w:rPr>
            </w:pPr>
            <w:r>
              <w:rPr>
                <w:b/>
                <w:i/>
                <w:spacing w:val="-6"/>
                <w:w w:val="95"/>
                <w:sz w:val="22"/>
              </w:rPr>
              <w:t>被保险人申请理赔时年龄必须在三周岁以上，并且提供理赔当时的视力丧失诊断及检查证据。</w:t>
            </w:r>
          </w:p>
        </w:tc>
      </w:tr>
      <w:tr>
        <w:trPr>
          <w:trHeight w:val="850" w:hRule="atLeast"/>
        </w:trPr>
        <w:tc>
          <w:tcPr>
            <w:tcW w:w="2024" w:type="dxa"/>
          </w:tcPr>
          <w:p>
            <w:pPr>
              <w:pStyle w:val="TableParagraph"/>
              <w:tabs>
                <w:tab w:pos="619" w:val="left" w:leader="none"/>
              </w:tabs>
              <w:spacing w:line="204" w:lineRule="auto" w:before="70"/>
              <w:ind w:left="619" w:right="107"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7728" w:type="dxa"/>
          </w:tcPr>
          <w:p>
            <w:pPr>
              <w:pStyle w:val="TableParagraph"/>
              <w:spacing w:line="273" w:lineRule="auto" w:before="102"/>
              <w:ind w:left="103" w:right="259"/>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852" w:hRule="atLeast"/>
        </w:trPr>
        <w:tc>
          <w:tcPr>
            <w:tcW w:w="2024" w:type="dxa"/>
          </w:tcPr>
          <w:p>
            <w:pPr>
              <w:pStyle w:val="TableParagraph"/>
              <w:tabs>
                <w:tab w:pos="619" w:val="left" w:leader="none"/>
              </w:tabs>
              <w:spacing w:line="204" w:lineRule="auto" w:before="72"/>
              <w:ind w:left="619" w:right="106"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728" w:type="dxa"/>
          </w:tcPr>
          <w:p>
            <w:pPr>
              <w:pStyle w:val="TableParagraph"/>
              <w:spacing w:line="273" w:lineRule="auto" w:before="103"/>
              <w:ind w:left="103" w:right="306"/>
              <w:rPr>
                <w:sz w:val="21"/>
              </w:rPr>
            </w:pPr>
            <w:r>
              <w:rPr>
                <w:sz w:val="21"/>
              </w:rPr>
              <w:t>指被保险人的烧伤程度为Ⅲ度，且Ⅲ度烧伤的面积大于全身体表面积的10%但小于20%。体表面积根据 《中国新九分法》计算。</w:t>
            </w:r>
          </w:p>
        </w:tc>
      </w:tr>
      <w:tr>
        <w:trPr>
          <w:trHeight w:val="1786" w:hRule="atLeast"/>
        </w:trPr>
        <w:tc>
          <w:tcPr>
            <w:tcW w:w="2024" w:type="dxa"/>
          </w:tcPr>
          <w:p>
            <w:pPr>
              <w:pStyle w:val="TableParagraph"/>
              <w:spacing w:line="204" w:lineRule="auto" w:before="72"/>
              <w:ind w:left="619"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728" w:type="dxa"/>
          </w:tcPr>
          <w:p>
            <w:pPr>
              <w:pStyle w:val="TableParagraph"/>
              <w:spacing w:line="273" w:lineRule="auto" w:before="103"/>
              <w:ind w:left="103" w:right="259"/>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 &lt; 25%</w:t>
            </w:r>
          </w:p>
          <w:p>
            <w:pPr>
              <w:pStyle w:val="TableParagraph"/>
              <w:spacing w:before="37"/>
              <w:ind w:left="103"/>
              <w:rPr>
                <w:sz w:val="21"/>
              </w:rPr>
            </w:pPr>
            <w:r>
              <w:rPr>
                <w:sz w:val="21"/>
              </w:rPr>
              <w:t>（2）Scr &gt; 5mg/dl或&gt;442umol/L</w:t>
            </w:r>
          </w:p>
          <w:p>
            <w:pPr>
              <w:pStyle w:val="TableParagraph"/>
              <w:spacing w:before="37"/>
              <w:ind w:left="103"/>
              <w:rPr>
                <w:sz w:val="21"/>
              </w:rPr>
            </w:pPr>
            <w:r>
              <w:rPr>
                <w:sz w:val="21"/>
              </w:rPr>
              <w:t>（3）持续180天</w:t>
            </w:r>
          </w:p>
        </w:tc>
      </w:tr>
      <w:tr>
        <w:trPr>
          <w:trHeight w:val="2411"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10.  重症头部外伤</w:t>
            </w:r>
          </w:p>
        </w:tc>
        <w:tc>
          <w:tcPr>
            <w:tcW w:w="7728" w:type="dxa"/>
          </w:tcPr>
          <w:p>
            <w:pPr>
              <w:pStyle w:val="TableParagraph"/>
              <w:spacing w:line="273" w:lineRule="auto" w:before="102"/>
              <w:ind w:left="103" w:right="291"/>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w:t>
            </w:r>
            <w:r>
              <w:rPr>
                <w:spacing w:val="-7"/>
                <w:sz w:val="21"/>
              </w:rPr>
              <w:t>伤导致神经系统功能障碍，虽然未达到重大疾病“严重脑损伤”的给付标准，但</w:t>
            </w:r>
            <w:r>
              <w:rPr>
                <w:spacing w:val="-5"/>
                <w:sz w:val="21"/>
              </w:rPr>
              <w:t>是符合以下条件之一：</w:t>
            </w:r>
          </w:p>
          <w:p>
            <w:pPr>
              <w:pStyle w:val="TableParagraph"/>
              <w:spacing w:before="7"/>
              <w:ind w:left="103"/>
              <w:rPr>
                <w:sz w:val="21"/>
              </w:rPr>
            </w:pPr>
            <w:r>
              <w:rPr>
                <w:sz w:val="21"/>
              </w:rPr>
              <w:t>（1）被保险人接受了全麻下颅骨切开颅内血肿清除术（颅骨钻孔术除外）；</w:t>
            </w:r>
          </w:p>
          <w:p>
            <w:pPr>
              <w:pStyle w:val="TableParagraph"/>
              <w:spacing w:line="273" w:lineRule="auto" w:before="37"/>
              <w:ind w:left="629" w:right="308" w:hanging="527"/>
              <w:rPr>
                <w:sz w:val="21"/>
              </w:rPr>
            </w:pPr>
            <w:r>
              <w:rPr>
                <w:sz w:val="21"/>
              </w:rPr>
              <w:t>（2）</w:t>
            </w:r>
            <w:r>
              <w:rPr>
                <w:spacing w:val="-11"/>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1"/>
                <w:sz w:val="21"/>
              </w:rPr>
              <w:t> 级以下的</w:t>
            </w:r>
            <w:r>
              <w:rPr>
                <w:spacing w:val="-2"/>
                <w:sz w:val="21"/>
              </w:rPr>
              <w:t>运动功能障碍。</w:t>
            </w:r>
          </w:p>
        </w:tc>
      </w:tr>
      <w:tr>
        <w:trPr>
          <w:trHeight w:val="850" w:hRule="atLeast"/>
        </w:trPr>
        <w:tc>
          <w:tcPr>
            <w:tcW w:w="202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7728" w:type="dxa"/>
          </w:tcPr>
          <w:p>
            <w:pPr>
              <w:pStyle w:val="TableParagraph"/>
              <w:spacing w:line="273" w:lineRule="auto" w:before="104"/>
              <w:ind w:left="103" w:right="249"/>
              <w:rPr>
                <w:sz w:val="21"/>
              </w:rPr>
            </w:pPr>
            <w:r>
              <w:rPr>
                <w:sz w:val="21"/>
              </w:rPr>
              <w:t>指因疾病或意外伤害导致一个肢体自腕关节或踝关节近端（靠近躯干端）以上完全性断离。</w:t>
            </w:r>
          </w:p>
        </w:tc>
      </w:tr>
      <w:tr>
        <w:trPr>
          <w:trHeight w:val="689"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12.  单侧肺脏切除</w:t>
            </w:r>
          </w:p>
        </w:tc>
        <w:tc>
          <w:tcPr>
            <w:tcW w:w="7728" w:type="dxa"/>
          </w:tcPr>
          <w:p>
            <w:pPr>
              <w:pStyle w:val="TableParagraph"/>
              <w:spacing w:line="310" w:lineRule="atLeast" w:before="67"/>
              <w:ind w:left="103" w:right="259"/>
              <w:rPr>
                <w:sz w:val="21"/>
              </w:rPr>
            </w:pPr>
            <w:r>
              <w:rPr>
                <w:sz w:val="21"/>
              </w:rPr>
              <w:t>因疾病或意外事故实际实施的一侧肺脏切除术，部分切除手术和肺脏捐献引起的手术不在保障范围内。</w:t>
            </w:r>
          </w:p>
        </w:tc>
      </w:tr>
    </w:tbl>
    <w:p>
      <w:pPr>
        <w:spacing w:after="0" w:line="310" w:lineRule="atLeast"/>
        <w:rPr>
          <w:sz w:val="21"/>
        </w:rPr>
        <w:sectPr>
          <w:pgSz w:w="11910" w:h="16840"/>
          <w:pgMar w:header="0" w:footer="358"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005"/>
        <w:gridCol w:w="7730"/>
      </w:tblGrid>
      <w:tr>
        <w:trPr>
          <w:trHeight w:val="690" w:hRule="atLeast"/>
        </w:trPr>
        <w:tc>
          <w:tcPr>
            <w:tcW w:w="806" w:type="dxa"/>
          </w:tcPr>
          <w:p>
            <w:pPr>
              <w:pStyle w:val="TableParagraph"/>
              <w:ind w:left="0"/>
              <w:rPr>
                <w:rFonts w:ascii="Times New Roman"/>
                <w:sz w:val="20"/>
              </w:rPr>
            </w:pPr>
          </w:p>
        </w:tc>
        <w:tc>
          <w:tcPr>
            <w:tcW w:w="2005" w:type="dxa"/>
          </w:tcPr>
          <w:p>
            <w:pPr>
              <w:pStyle w:val="TableParagraph"/>
              <w:spacing w:line="222" w:lineRule="exact"/>
              <w:ind w:left="184"/>
              <w:rPr>
                <w:rFonts w:ascii="Microsoft JhengHei" w:eastAsia="Microsoft JhengHei" w:hint="eastAsia"/>
                <w:b/>
                <w:sz w:val="21"/>
              </w:rPr>
            </w:pPr>
            <w:r>
              <w:rPr>
                <w:rFonts w:ascii="Microsoft JhengHei" w:eastAsia="Microsoft JhengHei" w:hint="eastAsia"/>
                <w:b/>
                <w:sz w:val="21"/>
              </w:rPr>
              <w:t>13.  肝脏手术</w:t>
            </w:r>
          </w:p>
        </w:tc>
        <w:tc>
          <w:tcPr>
            <w:tcW w:w="7730" w:type="dxa"/>
          </w:tcPr>
          <w:p>
            <w:pPr>
              <w:pStyle w:val="TableParagraph"/>
              <w:spacing w:line="218" w:lineRule="exact"/>
              <w:ind w:left="106"/>
              <w:rPr>
                <w:sz w:val="21"/>
              </w:rPr>
            </w:pPr>
            <w:r>
              <w:rPr>
                <w:sz w:val="21"/>
              </w:rPr>
              <w:t>指因疾病或意外事故实际实施的肝脏部分切除术，手术须有至少一个完整的肝叶</w:t>
            </w:r>
          </w:p>
          <w:p>
            <w:pPr>
              <w:pStyle w:val="TableParagraph"/>
              <w:spacing w:before="37"/>
              <w:ind w:left="106"/>
              <w:rPr>
                <w:sz w:val="21"/>
              </w:rPr>
            </w:pPr>
            <w:r>
              <w:rPr>
                <w:sz w:val="21"/>
              </w:rPr>
              <w:t>切除。</w:t>
            </w:r>
          </w:p>
        </w:tc>
      </w:tr>
      <w:tr>
        <w:trPr>
          <w:trHeight w:val="1153" w:hRule="atLeast"/>
        </w:trPr>
        <w:tc>
          <w:tcPr>
            <w:tcW w:w="806" w:type="dxa"/>
          </w:tcPr>
          <w:p>
            <w:pPr>
              <w:pStyle w:val="TableParagraph"/>
              <w:ind w:left="0"/>
              <w:rPr>
                <w:rFonts w:ascii="Times New Roman"/>
                <w:sz w:val="20"/>
              </w:rPr>
            </w:pPr>
          </w:p>
        </w:tc>
        <w:tc>
          <w:tcPr>
            <w:tcW w:w="2005" w:type="dxa"/>
          </w:tcPr>
          <w:p>
            <w:pPr>
              <w:pStyle w:val="TableParagraph"/>
              <w:spacing w:line="196" w:lineRule="auto" w:before="103"/>
              <w:ind w:left="604" w:right="85" w:hanging="420"/>
              <w:rPr>
                <w:rFonts w:ascii="Microsoft JhengHei" w:eastAsia="Microsoft JhengHei" w:hint="eastAsia"/>
                <w:b/>
                <w:sz w:val="21"/>
              </w:rPr>
            </w:pPr>
            <w:r>
              <w:rPr>
                <w:b/>
                <w:sz w:val="22"/>
              </w:rPr>
              <w:t>14. </w:t>
            </w:r>
            <w:r>
              <w:rPr>
                <w:rFonts w:ascii="Microsoft JhengHei" w:eastAsia="Microsoft JhengHei" w:hint="eastAsia"/>
                <w:b/>
                <w:sz w:val="21"/>
              </w:rPr>
              <w:t>早期运动神经性疾病</w:t>
            </w:r>
          </w:p>
        </w:tc>
        <w:tc>
          <w:tcPr>
            <w:tcW w:w="7730" w:type="dxa"/>
          </w:tcPr>
          <w:p>
            <w:pPr>
              <w:pStyle w:val="TableParagraph"/>
              <w:spacing w:line="273" w:lineRule="auto" w:before="112"/>
              <w:ind w:left="106" w:right="302"/>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500" w:hRule="atLeast"/>
        </w:trPr>
        <w:tc>
          <w:tcPr>
            <w:tcW w:w="806" w:type="dxa"/>
          </w:tcPr>
          <w:p>
            <w:pPr>
              <w:pStyle w:val="TableParagraph"/>
              <w:ind w:left="0"/>
              <w:rPr>
                <w:rFonts w:ascii="Times New Roman"/>
                <w:sz w:val="20"/>
              </w:rPr>
            </w:pPr>
          </w:p>
        </w:tc>
        <w:tc>
          <w:tcPr>
            <w:tcW w:w="2005" w:type="dxa"/>
          </w:tcPr>
          <w:p>
            <w:pPr>
              <w:pStyle w:val="TableParagraph"/>
              <w:spacing w:line="204" w:lineRule="auto" w:before="54"/>
              <w:ind w:left="604" w:right="103" w:hanging="420"/>
              <w:rPr>
                <w:rFonts w:ascii="Microsoft JhengHei" w:eastAsia="Microsoft JhengHei" w:hint="eastAsia"/>
                <w:b/>
                <w:sz w:val="21"/>
              </w:rPr>
            </w:pPr>
            <w:r>
              <w:rPr>
                <w:rFonts w:ascii="Microsoft JhengHei" w:eastAsia="Microsoft JhengHei" w:hint="eastAsia"/>
                <w:b/>
                <w:sz w:val="21"/>
              </w:rPr>
              <w:t>15. 人工耳蜗植入术</w:t>
            </w:r>
          </w:p>
        </w:tc>
        <w:tc>
          <w:tcPr>
            <w:tcW w:w="7730" w:type="dxa"/>
          </w:tcPr>
          <w:p>
            <w:pPr>
              <w:pStyle w:val="TableParagraph"/>
              <w:spacing w:line="273" w:lineRule="auto" w:before="86"/>
              <w:ind w:left="106" w:right="258"/>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8"/>
              <w:ind w:left="106"/>
              <w:rPr>
                <w:sz w:val="21"/>
              </w:rPr>
            </w:pPr>
            <w:r>
              <w:rPr>
                <w:sz w:val="21"/>
              </w:rPr>
              <w:t>（1）双耳持续12个月以上重度感音神经性耳聋；</w:t>
            </w:r>
          </w:p>
          <w:p>
            <w:pPr>
              <w:pStyle w:val="TableParagraph"/>
              <w:spacing w:before="37"/>
              <w:ind w:left="106"/>
              <w:rPr>
                <w:sz w:val="21"/>
              </w:rPr>
            </w:pPr>
            <w:r>
              <w:rPr>
                <w:sz w:val="21"/>
              </w:rPr>
              <w:t>（2）使用相应的听力辅助设备效果不佳。</w:t>
            </w:r>
          </w:p>
        </w:tc>
      </w:tr>
      <w:tr>
        <w:trPr>
          <w:trHeight w:val="1513" w:hRule="atLeast"/>
        </w:trPr>
        <w:tc>
          <w:tcPr>
            <w:tcW w:w="806" w:type="dxa"/>
          </w:tcPr>
          <w:p>
            <w:pPr>
              <w:pStyle w:val="TableParagraph"/>
              <w:spacing w:before="140"/>
              <w:ind w:left="200"/>
              <w:rPr>
                <w:b/>
                <w:sz w:val="21"/>
              </w:rPr>
            </w:pPr>
            <w:r>
              <w:rPr>
                <w:b/>
                <w:sz w:val="21"/>
              </w:rPr>
              <w:t>10.9</w:t>
            </w:r>
          </w:p>
        </w:tc>
        <w:tc>
          <w:tcPr>
            <w:tcW w:w="2005" w:type="dxa"/>
          </w:tcPr>
          <w:p>
            <w:pPr>
              <w:pStyle w:val="TableParagraph"/>
              <w:spacing w:before="140"/>
              <w:ind w:left="184"/>
              <w:rPr>
                <w:b/>
                <w:sz w:val="21"/>
              </w:rPr>
            </w:pPr>
            <w:r>
              <w:rPr>
                <w:b/>
                <w:sz w:val="21"/>
              </w:rPr>
              <w:t>重大疾病</w:t>
            </w:r>
          </w:p>
        </w:tc>
        <w:tc>
          <w:tcPr>
            <w:tcW w:w="7730" w:type="dxa"/>
          </w:tcPr>
          <w:p>
            <w:pPr>
              <w:pStyle w:val="TableParagraph"/>
              <w:spacing w:line="273" w:lineRule="auto" w:before="140"/>
              <w:ind w:left="106" w:right="302"/>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61</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8"/>
              <w:ind w:left="106"/>
              <w:rPr>
                <w:sz w:val="21"/>
              </w:rPr>
            </w:pPr>
            <w:r>
              <w:rPr>
                <w:sz w:val="21"/>
              </w:rPr>
              <w:t>第 1 至第 25 项为中国保险行业协会与中国医师协会共同制定的重大疾病保险的</w:t>
            </w:r>
          </w:p>
          <w:p>
            <w:pPr>
              <w:pStyle w:val="TableParagraph"/>
              <w:spacing w:before="34"/>
              <w:ind w:left="106"/>
              <w:rPr>
                <w:sz w:val="21"/>
              </w:rPr>
            </w:pPr>
            <w:r>
              <w:rPr>
                <w:sz w:val="21"/>
              </w:rPr>
              <w:t>疾病定义，第 26 至第 61 项为我们增加的疾病种类并自行制定的疾病定义。</w:t>
            </w:r>
          </w:p>
        </w:tc>
      </w:tr>
      <w:tr>
        <w:trPr>
          <w:trHeight w:val="3349"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46"/>
              <w:ind w:left="184"/>
              <w:rPr>
                <w:rFonts w:ascii="Microsoft JhengHei" w:eastAsia="Microsoft JhengHei" w:hint="eastAsia"/>
                <w:b/>
                <w:sz w:val="21"/>
              </w:rPr>
            </w:pPr>
            <w:r>
              <w:rPr>
                <w:b/>
                <w:sz w:val="21"/>
              </w:rPr>
              <w:t>1.</w:t>
              <w:tab/>
            </w:r>
            <w:r>
              <w:rPr>
                <w:rFonts w:ascii="Microsoft JhengHei" w:eastAsia="Microsoft JhengHei" w:hint="eastAsia"/>
                <w:b/>
                <w:spacing w:val="-1"/>
                <w:sz w:val="21"/>
              </w:rPr>
              <w:t>恶性肿瘤</w:t>
            </w:r>
          </w:p>
        </w:tc>
        <w:tc>
          <w:tcPr>
            <w:tcW w:w="7730" w:type="dxa"/>
          </w:tcPr>
          <w:p>
            <w:pPr>
              <w:pStyle w:val="TableParagraph"/>
              <w:spacing w:line="268" w:lineRule="auto" w:before="100"/>
              <w:ind w:left="106" w:right="197"/>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ind w:left="106"/>
              <w:rPr>
                <w:b/>
                <w:i/>
                <w:sz w:val="22"/>
              </w:rPr>
            </w:pPr>
            <w:r>
              <w:rPr>
                <w:b/>
                <w:i/>
                <w:w w:val="95"/>
                <w:sz w:val="22"/>
              </w:rPr>
              <w:t>（1）原位癌；</w:t>
            </w:r>
          </w:p>
          <w:p>
            <w:pPr>
              <w:pStyle w:val="TableParagraph"/>
              <w:spacing w:before="24"/>
              <w:ind w:left="106"/>
              <w:rPr>
                <w:b/>
                <w:i/>
                <w:sz w:val="22"/>
              </w:rPr>
            </w:pPr>
            <w:r>
              <w:rPr>
                <w:b/>
                <w:i/>
                <w:w w:val="95"/>
                <w:sz w:val="22"/>
              </w:rPr>
              <w:t>（2）相当于 Binet 分期方案 A 期程度的慢性淋巴细胞白血病；</w:t>
            </w:r>
          </w:p>
          <w:p>
            <w:pPr>
              <w:pStyle w:val="TableParagraph"/>
              <w:spacing w:before="23"/>
              <w:ind w:left="106"/>
              <w:rPr>
                <w:b/>
                <w:i/>
                <w:sz w:val="22"/>
              </w:rPr>
            </w:pPr>
            <w:r>
              <w:rPr>
                <w:b/>
                <w:i/>
                <w:w w:val="95"/>
                <w:sz w:val="22"/>
              </w:rPr>
              <w:t>（3）相当于 Ann Arbor 分期方案 I 期程度的何杰金氏病；</w:t>
            </w:r>
          </w:p>
          <w:p>
            <w:pPr>
              <w:pStyle w:val="TableParagraph"/>
              <w:spacing w:before="23"/>
              <w:ind w:left="106"/>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ind w:left="106"/>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ind w:left="106"/>
              <w:rPr>
                <w:b/>
                <w:i/>
                <w:sz w:val="22"/>
              </w:rPr>
            </w:pPr>
            <w:r>
              <w:rPr>
                <w:b/>
                <w:i/>
                <w:w w:val="95"/>
                <w:sz w:val="22"/>
              </w:rPr>
              <w:t>（6）感染艾滋病病毒或患艾滋病期间所患恶性肿瘤。</w:t>
            </w:r>
          </w:p>
        </w:tc>
      </w:tr>
      <w:tr>
        <w:trPr>
          <w:trHeight w:val="2410"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45"/>
              <w:ind w:left="184"/>
              <w:rPr>
                <w:rFonts w:ascii="Microsoft JhengHei" w:eastAsia="Microsoft JhengHei" w:hint="eastAsia"/>
                <w:b/>
                <w:sz w:val="21"/>
              </w:rPr>
            </w:pPr>
            <w:r>
              <w:rPr>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30" w:type="dxa"/>
          </w:tcPr>
          <w:p>
            <w:pPr>
              <w:pStyle w:val="TableParagraph"/>
              <w:spacing w:line="273" w:lineRule="auto" w:before="100"/>
              <w:ind w:left="106" w:right="258"/>
              <w:rPr>
                <w:sz w:val="21"/>
              </w:rPr>
            </w:pPr>
            <w:r>
              <w:rPr>
                <w:sz w:val="21"/>
              </w:rPr>
              <w:t>指因冠状动脉阻塞导致的相应区域供血不足造成部分心肌坏死。须满足下列至少三项条件：</w:t>
            </w:r>
          </w:p>
          <w:p>
            <w:pPr>
              <w:pStyle w:val="TableParagraph"/>
              <w:spacing w:before="7"/>
              <w:ind w:left="106"/>
              <w:rPr>
                <w:sz w:val="21"/>
              </w:rPr>
            </w:pPr>
            <w:r>
              <w:rPr>
                <w:sz w:val="21"/>
              </w:rPr>
              <w:t>（1）典型临床表现，例如急性胸痛等；</w:t>
            </w:r>
          </w:p>
          <w:p>
            <w:pPr>
              <w:pStyle w:val="TableParagraph"/>
              <w:spacing w:before="36"/>
              <w:ind w:left="106"/>
              <w:rPr>
                <w:sz w:val="21"/>
              </w:rPr>
            </w:pPr>
            <w:r>
              <w:rPr>
                <w:sz w:val="21"/>
              </w:rPr>
              <w:t>（2）新近的心电图改变提示急性心肌梗塞；</w:t>
            </w:r>
          </w:p>
          <w:p>
            <w:pPr>
              <w:pStyle w:val="TableParagraph"/>
              <w:spacing w:line="273" w:lineRule="auto" w:before="36"/>
              <w:ind w:left="632" w:right="309" w:hanging="527"/>
              <w:rPr>
                <w:sz w:val="21"/>
              </w:rPr>
            </w:pPr>
            <w:r>
              <w:rPr>
                <w:sz w:val="21"/>
              </w:rPr>
              <w:t>（3）心肌酶或肌钙蛋白有诊断意义的升高，或呈符合急性心肌梗塞的动态性变化；</w:t>
            </w:r>
          </w:p>
          <w:p>
            <w:pPr>
              <w:pStyle w:val="TableParagraph"/>
              <w:spacing w:before="7"/>
              <w:ind w:left="106"/>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44"/>
              <w:ind w:left="184"/>
              <w:rPr>
                <w:rFonts w:ascii="Microsoft JhengHei" w:eastAsia="Microsoft JhengHei" w:hint="eastAsia"/>
                <w:b/>
                <w:sz w:val="21"/>
              </w:rPr>
            </w:pPr>
            <w:r>
              <w:rPr>
                <w:b/>
                <w:sz w:val="21"/>
              </w:rPr>
              <w:t>3.</w:t>
              <w:tab/>
            </w:r>
            <w:r>
              <w:rPr>
                <w:rFonts w:ascii="Microsoft JhengHei" w:eastAsia="Microsoft JhengHei" w:hint="eastAsia"/>
                <w:b/>
                <w:spacing w:val="-1"/>
                <w:sz w:val="21"/>
              </w:rPr>
              <w:t>脑中风后遗症</w:t>
            </w:r>
          </w:p>
        </w:tc>
        <w:tc>
          <w:tcPr>
            <w:tcW w:w="7730" w:type="dxa"/>
          </w:tcPr>
          <w:p>
            <w:pPr>
              <w:pStyle w:val="TableParagraph"/>
              <w:spacing w:line="273" w:lineRule="auto" w:before="99"/>
              <w:ind w:left="106" w:right="303"/>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2"/>
                <w:sz w:val="21"/>
              </w:rPr>
              <w:t>一种以上障碍：</w:t>
            </w:r>
          </w:p>
          <w:p>
            <w:pPr>
              <w:pStyle w:val="TableParagraph"/>
              <w:spacing w:before="8"/>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273" w:lineRule="auto" w:before="37"/>
              <w:ind w:left="632" w:right="309" w:hanging="527"/>
              <w:rPr>
                <w:sz w:val="21"/>
              </w:rPr>
            </w:pPr>
            <w:r>
              <w:rPr>
                <w:sz w:val="21"/>
              </w:rPr>
              <w:t>（3）自主生活能力完全丧失，无法独立完成六项基本日常生活活动中的三项或三项以上。</w:t>
            </w:r>
          </w:p>
        </w:tc>
      </w:tr>
      <w:tr>
        <w:trPr>
          <w:trHeight w:val="999"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30" w:lineRule="auto" w:before="60"/>
              <w:ind w:left="604" w:right="134" w:hanging="420"/>
              <w:rPr>
                <w:rFonts w:ascii="Microsoft JhengHei" w:eastAsia="Microsoft JhengHei" w:hint="eastAsia"/>
                <w:b/>
                <w:sz w:val="21"/>
              </w:rPr>
            </w:pPr>
            <w:r>
              <w:rPr>
                <w:b/>
                <w:sz w:val="21"/>
              </w:rPr>
              <w:t>4.</w:t>
              <w:tab/>
            </w:r>
            <w:r>
              <w:rPr>
                <w:rFonts w:ascii="Microsoft JhengHei" w:eastAsia="Microsoft JhengHei" w:hint="eastAsia"/>
                <w:b/>
                <w:spacing w:val="-1"/>
                <w:sz w:val="21"/>
              </w:rPr>
              <w:t>重大器官移植 </w:t>
            </w:r>
            <w:r>
              <w:rPr>
                <w:rFonts w:ascii="Microsoft JhengHei" w:eastAsia="Microsoft JhengHei" w:hint="eastAsia"/>
                <w:b/>
                <w:spacing w:val="-2"/>
                <w:sz w:val="21"/>
              </w:rPr>
              <w:t>术或造血干细</w:t>
            </w:r>
          </w:p>
        </w:tc>
        <w:tc>
          <w:tcPr>
            <w:tcW w:w="7730" w:type="dxa"/>
          </w:tcPr>
          <w:p>
            <w:pPr>
              <w:pStyle w:val="TableParagraph"/>
              <w:spacing w:line="273" w:lineRule="auto" w:before="100"/>
              <w:ind w:left="106" w:right="303"/>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55" w:lineRule="exact" w:before="7"/>
              <w:ind w:left="106"/>
              <w:rPr>
                <w:sz w:val="21"/>
              </w:rPr>
            </w:pPr>
            <w:r>
              <w:rPr>
                <w:sz w:val="21"/>
              </w:rPr>
              <w:t>造血干细胞移植术，指因造血功能损害或造血系统恶性肿瘤，已经实施了造血干</w:t>
            </w:r>
          </w:p>
        </w:tc>
      </w:tr>
    </w:tbl>
    <w:p>
      <w:pPr>
        <w:spacing w:after="0" w:line="255" w:lineRule="exact"/>
        <w:rPr>
          <w:sz w:val="21"/>
        </w:rPr>
        <w:sectPr>
          <w:pgSz w:w="11910" w:h="16840"/>
          <w:pgMar w:header="0" w:footer="358" w:top="138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687" w:hRule="atLeast"/>
        </w:trPr>
        <w:tc>
          <w:tcPr>
            <w:tcW w:w="2006" w:type="dxa"/>
          </w:tcPr>
          <w:p>
            <w:pPr>
              <w:pStyle w:val="TableParagraph"/>
              <w:spacing w:line="240" w:lineRule="exact"/>
              <w:ind w:left="619"/>
              <w:rPr>
                <w:rFonts w:ascii="Microsoft JhengHei" w:eastAsia="Microsoft JhengHei" w:hint="eastAsia"/>
                <w:b/>
                <w:sz w:val="21"/>
              </w:rPr>
            </w:pPr>
            <w:r>
              <w:rPr>
                <w:rFonts w:ascii="Microsoft JhengHei" w:eastAsia="Microsoft JhengHei" w:hint="eastAsia"/>
                <w:b/>
                <w:sz w:val="21"/>
              </w:rPr>
              <w:t>胞移植术</w:t>
            </w:r>
          </w:p>
        </w:tc>
        <w:tc>
          <w:tcPr>
            <w:tcW w:w="7745" w:type="dxa"/>
          </w:tcPr>
          <w:p>
            <w:pPr>
              <w:pStyle w:val="TableParagraph"/>
              <w:spacing w:line="211" w:lineRule="exact"/>
              <w:rPr>
                <w:sz w:val="21"/>
              </w:rPr>
            </w:pPr>
            <w:r>
              <w:rPr>
                <w:sz w:val="21"/>
              </w:rPr>
              <w:t>细胞（包括骨髓造血干细胞、外周血造血干细胞和脐血造血干细胞）的异体移植</w:t>
            </w:r>
          </w:p>
          <w:p>
            <w:pPr>
              <w:pStyle w:val="TableParagraph"/>
              <w:spacing w:before="37"/>
              <w:rPr>
                <w:sz w:val="21"/>
              </w:rPr>
            </w:pPr>
            <w:r>
              <w:rPr>
                <w:sz w:val="21"/>
              </w:rPr>
              <w:t>手术。</w:t>
            </w:r>
          </w:p>
        </w:tc>
      </w:tr>
      <w:tr>
        <w:trPr>
          <w:trHeight w:val="1165" w:hRule="atLeast"/>
        </w:trPr>
        <w:tc>
          <w:tcPr>
            <w:tcW w:w="2006" w:type="dxa"/>
          </w:tcPr>
          <w:p>
            <w:pPr>
              <w:pStyle w:val="TableParagraph"/>
              <w:tabs>
                <w:tab w:pos="619" w:val="left" w:leader="none"/>
              </w:tabs>
              <w:spacing w:line="232" w:lineRule="auto" w:before="57"/>
              <w:ind w:left="619" w:right="119" w:hanging="420"/>
              <w:rPr>
                <w:rFonts w:ascii="Microsoft JhengHei" w:eastAsia="Microsoft JhengHei" w:hint="eastAsia"/>
                <w:b/>
                <w:sz w:val="21"/>
              </w:rPr>
            </w:pPr>
            <w:r>
              <w:rPr>
                <w:b/>
                <w:sz w:val="21"/>
              </w:rPr>
              <w:t>5.</w:t>
              <w:tab/>
            </w:r>
            <w:r>
              <w:rPr>
                <w:rFonts w:ascii="Microsoft JhengHei" w:eastAsia="Microsoft JhengHei" w:hint="eastAsia"/>
                <w:b/>
                <w:spacing w:val="-1"/>
                <w:sz w:val="21"/>
              </w:rPr>
              <w:t>冠状动脉搭桥 术</w:t>
            </w:r>
          </w:p>
        </w:tc>
        <w:tc>
          <w:tcPr>
            <w:tcW w:w="7745" w:type="dxa"/>
          </w:tcPr>
          <w:p>
            <w:pPr>
              <w:pStyle w:val="TableParagraph"/>
              <w:spacing w:line="261" w:lineRule="auto" w:before="101"/>
              <w:ind w:right="269"/>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825" w:hRule="atLeast"/>
        </w:trPr>
        <w:tc>
          <w:tcPr>
            <w:tcW w:w="2006" w:type="dxa"/>
          </w:tcPr>
          <w:p>
            <w:pPr>
              <w:pStyle w:val="TableParagraph"/>
              <w:tabs>
                <w:tab w:pos="619" w:val="left" w:leader="none"/>
              </w:tabs>
              <w:spacing w:before="45"/>
              <w:ind w:left="200"/>
              <w:rPr>
                <w:rFonts w:ascii="Microsoft JhengHei" w:eastAsia="Microsoft JhengHei" w:hint="eastAsia"/>
                <w:b/>
                <w:sz w:val="21"/>
              </w:rPr>
            </w:pPr>
            <w:r>
              <w:rPr>
                <w:b/>
                <w:sz w:val="21"/>
              </w:rPr>
              <w:t>6.</w:t>
              <w:tab/>
            </w:r>
            <w:r>
              <w:rPr>
                <w:rFonts w:ascii="Microsoft JhengHei" w:eastAsia="Microsoft JhengHei" w:hint="eastAsia"/>
                <w:b/>
                <w:spacing w:val="-1"/>
                <w:sz w:val="21"/>
              </w:rPr>
              <w:t>终末期肾病</w:t>
            </w:r>
          </w:p>
        </w:tc>
        <w:tc>
          <w:tcPr>
            <w:tcW w:w="7745" w:type="dxa"/>
          </w:tcPr>
          <w:p>
            <w:pPr>
              <w:pStyle w:val="TableParagraph"/>
              <w:spacing w:line="273" w:lineRule="auto" w:before="100"/>
              <w:ind w:right="372"/>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47" w:hRule="atLeast"/>
        </w:trPr>
        <w:tc>
          <w:tcPr>
            <w:tcW w:w="2006" w:type="dxa"/>
          </w:tcPr>
          <w:p>
            <w:pPr>
              <w:pStyle w:val="TableParagraph"/>
              <w:tabs>
                <w:tab w:pos="619" w:val="left" w:leader="none"/>
              </w:tabs>
              <w:spacing w:before="20"/>
              <w:ind w:left="200"/>
              <w:rPr>
                <w:rFonts w:ascii="Microsoft JhengHei" w:eastAsia="Microsoft JhengHei" w:hint="eastAsia"/>
                <w:b/>
                <w:sz w:val="21"/>
              </w:rPr>
            </w:pPr>
            <w:r>
              <w:rPr>
                <w:b/>
                <w:sz w:val="21"/>
              </w:rPr>
              <w:t>7.</w:t>
              <w:tab/>
            </w:r>
            <w:r>
              <w:rPr>
                <w:rFonts w:ascii="Microsoft JhengHei" w:eastAsia="Microsoft JhengHei" w:hint="eastAsia"/>
                <w:b/>
                <w:spacing w:val="-1"/>
                <w:sz w:val="21"/>
              </w:rPr>
              <w:t>多个肢体缺失</w:t>
            </w:r>
          </w:p>
        </w:tc>
        <w:tc>
          <w:tcPr>
            <w:tcW w:w="7745" w:type="dxa"/>
          </w:tcPr>
          <w:p>
            <w:pPr>
              <w:pStyle w:val="TableParagraph"/>
              <w:spacing w:line="273" w:lineRule="auto" w:before="75"/>
              <w:ind w:right="252"/>
              <w:rPr>
                <w:sz w:val="21"/>
              </w:rPr>
            </w:pPr>
            <w:r>
              <w:rPr>
                <w:sz w:val="21"/>
              </w:rPr>
              <w:t>指因疾病或意外伤害导致两个或两个以上肢体自腕关节或踝关节近端（靠近躯干端）以上完全性断离。</w:t>
            </w:r>
          </w:p>
        </w:tc>
      </w:tr>
      <w:tr>
        <w:trPr>
          <w:trHeight w:val="2111" w:hRule="atLeast"/>
        </w:trPr>
        <w:tc>
          <w:tcPr>
            <w:tcW w:w="2006" w:type="dxa"/>
          </w:tcPr>
          <w:p>
            <w:pPr>
              <w:pStyle w:val="TableParagraph"/>
              <w:tabs>
                <w:tab w:pos="619" w:val="left" w:leader="none"/>
              </w:tabs>
              <w:spacing w:line="232" w:lineRule="auto" w:before="77"/>
              <w:ind w:left="619" w:right="119" w:hanging="420"/>
              <w:rPr>
                <w:rFonts w:ascii="Microsoft JhengHei" w:eastAsia="Microsoft JhengHei" w:hint="eastAsia"/>
                <w:b/>
                <w:sz w:val="21"/>
              </w:rPr>
            </w:pPr>
            <w:r>
              <w:rPr>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5" w:type="dxa"/>
          </w:tcPr>
          <w:p>
            <w:pPr>
              <w:pStyle w:val="TableParagraph"/>
              <w:spacing w:line="273" w:lineRule="auto" w:before="121"/>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409" w:hRule="atLeast"/>
        </w:trPr>
        <w:tc>
          <w:tcPr>
            <w:tcW w:w="2006" w:type="dxa"/>
          </w:tcPr>
          <w:p>
            <w:pPr>
              <w:pStyle w:val="TableParagraph"/>
              <w:tabs>
                <w:tab w:pos="619" w:val="left" w:leader="none"/>
              </w:tabs>
              <w:spacing w:before="36"/>
              <w:ind w:left="200"/>
              <w:rPr>
                <w:rFonts w:ascii="Microsoft JhengHei" w:eastAsia="Microsoft JhengHei" w:hint="eastAsia"/>
                <w:b/>
                <w:sz w:val="21"/>
              </w:rPr>
            </w:pPr>
            <w:r>
              <w:rPr>
                <w:b/>
                <w:sz w:val="21"/>
              </w:rPr>
              <w:t>9.</w:t>
              <w:tab/>
            </w:r>
            <w:r>
              <w:rPr>
                <w:rFonts w:ascii="Microsoft JhengHei" w:eastAsia="Microsoft JhengHei" w:hint="eastAsia"/>
                <w:b/>
                <w:spacing w:val="-1"/>
                <w:sz w:val="21"/>
              </w:rPr>
              <w:t>良性脑肿瘤</w:t>
            </w:r>
          </w:p>
        </w:tc>
        <w:tc>
          <w:tcPr>
            <w:tcW w:w="7745" w:type="dxa"/>
          </w:tcPr>
          <w:p>
            <w:pPr>
              <w:pStyle w:val="TableParagraph"/>
              <w:spacing w:line="273" w:lineRule="auto" w:before="91"/>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2106" w:hRule="atLeast"/>
        </w:trPr>
        <w:tc>
          <w:tcPr>
            <w:tcW w:w="2006" w:type="dxa"/>
          </w:tcPr>
          <w:p>
            <w:pPr>
              <w:pStyle w:val="TableParagraph"/>
              <w:spacing w:line="230" w:lineRule="auto" w:before="66"/>
              <w:ind w:left="619" w:right="119" w:hanging="420"/>
              <w:rPr>
                <w:rFonts w:ascii="Microsoft JhengHei" w:eastAsia="Microsoft JhengHei" w:hint="eastAsia"/>
                <w:b/>
                <w:sz w:val="21"/>
              </w:rPr>
            </w:pPr>
            <w:r>
              <w:rPr>
                <w:b/>
                <w:sz w:val="21"/>
              </w:rPr>
              <w:t>10. </w:t>
            </w:r>
            <w:r>
              <w:rPr>
                <w:rFonts w:ascii="Microsoft JhengHei" w:eastAsia="Microsoft JhengHei" w:hint="eastAsia"/>
                <w:b/>
                <w:sz w:val="21"/>
              </w:rPr>
              <w:t>慢性肝功能衰竭失代偿期</w:t>
            </w:r>
          </w:p>
        </w:tc>
        <w:tc>
          <w:tcPr>
            <w:tcW w:w="7745" w:type="dxa"/>
          </w:tcPr>
          <w:p>
            <w:pPr>
              <w:pStyle w:val="TableParagraph"/>
              <w:spacing w:before="106"/>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8" w:hRule="atLeast"/>
        </w:trPr>
        <w:tc>
          <w:tcPr>
            <w:tcW w:w="2006" w:type="dxa"/>
          </w:tcPr>
          <w:p>
            <w:pPr>
              <w:pStyle w:val="TableParagraph"/>
              <w:spacing w:line="230" w:lineRule="auto" w:before="59"/>
              <w:ind w:left="619" w:right="119" w:hanging="420"/>
              <w:rPr>
                <w:rFonts w:ascii="Microsoft JhengHei" w:eastAsia="Microsoft JhengHei" w:hint="eastAsia"/>
                <w:b/>
                <w:sz w:val="21"/>
              </w:rPr>
            </w:pPr>
            <w:r>
              <w:rPr>
                <w:b/>
                <w:sz w:val="21"/>
              </w:rPr>
              <w:t>11. </w:t>
            </w:r>
            <w:r>
              <w:rPr>
                <w:rFonts w:ascii="Microsoft JhengHei" w:eastAsia="Microsoft JhengHei" w:hint="eastAsia"/>
                <w:b/>
                <w:sz w:val="21"/>
              </w:rPr>
              <w:t>脑炎后遗症或脑膜炎后遗症</w:t>
            </w:r>
          </w:p>
        </w:tc>
        <w:tc>
          <w:tcPr>
            <w:tcW w:w="7745" w:type="dxa"/>
          </w:tcPr>
          <w:p>
            <w:pPr>
              <w:pStyle w:val="TableParagraph"/>
              <w:spacing w:line="273" w:lineRule="auto" w:before="100"/>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9" w:hanging="527"/>
              <w:rPr>
                <w:sz w:val="21"/>
              </w:rPr>
            </w:pPr>
            <w:r>
              <w:rPr>
                <w:sz w:val="21"/>
              </w:rPr>
              <w:t>（3）自主生活能力完全丧失，无法独立完成六项基本日常生活活动中的三项或三项以上。</w:t>
            </w:r>
          </w:p>
        </w:tc>
      </w:tr>
      <w:tr>
        <w:trPr>
          <w:trHeight w:val="1312" w:hRule="atLeast"/>
        </w:trPr>
        <w:tc>
          <w:tcPr>
            <w:tcW w:w="2006" w:type="dxa"/>
          </w:tcPr>
          <w:p>
            <w:pPr>
              <w:pStyle w:val="TableParagraph"/>
              <w:spacing w:before="44"/>
              <w:ind w:left="200"/>
              <w:rPr>
                <w:rFonts w:ascii="Microsoft JhengHei" w:eastAsia="Microsoft JhengHei" w:hint="eastAsia"/>
                <w:b/>
                <w:sz w:val="21"/>
              </w:rPr>
            </w:pPr>
            <w:r>
              <w:rPr>
                <w:b/>
                <w:sz w:val="21"/>
              </w:rPr>
              <w:t>12. </w:t>
            </w:r>
            <w:r>
              <w:rPr>
                <w:rFonts w:ascii="Microsoft JhengHei" w:eastAsia="Microsoft JhengHei" w:hint="eastAsia"/>
                <w:b/>
                <w:sz w:val="21"/>
              </w:rPr>
              <w:t>深度昏迷</w:t>
            </w:r>
          </w:p>
        </w:tc>
        <w:tc>
          <w:tcPr>
            <w:tcW w:w="7745" w:type="dxa"/>
          </w:tcPr>
          <w:p>
            <w:pPr>
              <w:pStyle w:val="TableParagraph"/>
              <w:spacing w:line="273" w:lineRule="auto" w:before="99"/>
              <w:ind w:right="304"/>
              <w:rPr>
                <w:sz w:val="21"/>
              </w:rPr>
            </w:pPr>
            <w:r>
              <w:rPr>
                <w:spacing w:val="-3"/>
                <w:sz w:val="21"/>
              </w:rPr>
              <w:t>指因疾病或意外伤害导致意识丧失,对外界刺激和体内需求均无反应,昏迷程度 按照格拉斯哥昏迷分级</w:t>
            </w:r>
            <w:r>
              <w:rPr>
                <w:sz w:val="21"/>
              </w:rPr>
              <w:t>（Glasgow</w:t>
            </w:r>
            <w:r>
              <w:rPr>
                <w:spacing w:val="-8"/>
                <w:sz w:val="21"/>
              </w:rPr>
              <w:t> </w:t>
            </w:r>
            <w:r>
              <w:rPr>
                <w:sz w:val="21"/>
              </w:rPr>
              <w:t>coma</w:t>
            </w:r>
            <w:r>
              <w:rPr>
                <w:spacing w:val="-8"/>
                <w:sz w:val="21"/>
              </w:rPr>
              <w:t> </w:t>
            </w:r>
            <w:r>
              <w:rPr>
                <w:sz w:val="21"/>
              </w:rPr>
              <w:t>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64" w:lineRule="exact"/>
              <w:rPr>
                <w:b/>
                <w:i/>
                <w:sz w:val="22"/>
              </w:rPr>
            </w:pPr>
            <w:r>
              <w:rPr>
                <w:b/>
                <w:i/>
                <w:w w:val="95"/>
                <w:sz w:val="22"/>
              </w:rPr>
              <w:t>因酗酒或药物滥用导致的深度昏迷不在保障范围内。</w:t>
            </w:r>
          </w:p>
        </w:tc>
      </w:tr>
    </w:tbl>
    <w:p>
      <w:pPr>
        <w:spacing w:after="0" w:line="264" w:lineRule="exact"/>
        <w:rPr>
          <w:sz w:val="22"/>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8"/>
      </w:tblGrid>
      <w:tr>
        <w:trPr>
          <w:trHeight w:val="1624" w:hRule="atLeast"/>
        </w:trPr>
        <w:tc>
          <w:tcPr>
            <w:tcW w:w="2022" w:type="dxa"/>
          </w:tcPr>
          <w:p>
            <w:pPr>
              <w:pStyle w:val="TableParagraph"/>
              <w:spacing w:line="241" w:lineRule="exact"/>
              <w:ind w:left="200"/>
              <w:rPr>
                <w:rFonts w:ascii="Microsoft JhengHei" w:eastAsia="Microsoft JhengHei" w:hint="eastAsia"/>
                <w:b/>
                <w:sz w:val="21"/>
              </w:rPr>
            </w:pPr>
            <w:r>
              <w:rPr>
                <w:b/>
                <w:sz w:val="21"/>
              </w:rPr>
              <w:t>13. </w:t>
            </w:r>
            <w:r>
              <w:rPr>
                <w:rFonts w:ascii="Microsoft JhengHei" w:eastAsia="Microsoft JhengHei" w:hint="eastAsia"/>
                <w:b/>
                <w:sz w:val="21"/>
              </w:rPr>
              <w:t>双耳失聪－三</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sz w:val="21"/>
              </w:rPr>
              <w:t>周岁始理赔</w:t>
            </w:r>
          </w:p>
        </w:tc>
        <w:tc>
          <w:tcPr>
            <w:tcW w:w="7728" w:type="dxa"/>
          </w:tcPr>
          <w:p>
            <w:pPr>
              <w:pStyle w:val="TableParagraph"/>
              <w:spacing w:line="211" w:lineRule="exact"/>
              <w:ind w:left="105"/>
              <w:rPr>
                <w:sz w:val="21"/>
              </w:rPr>
            </w:pPr>
            <w:r>
              <w:rPr>
                <w:sz w:val="21"/>
              </w:rPr>
              <w:t>指因疾病或意外伤害导致双耳听力永久不可逆性丧失，在 500 赫兹、1000 赫兹和</w:t>
            </w:r>
          </w:p>
          <w:p>
            <w:pPr>
              <w:pStyle w:val="TableParagraph"/>
              <w:spacing w:line="273" w:lineRule="auto" w:before="37"/>
              <w:ind w:left="105" w:right="303"/>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left="105" w:right="307"/>
              <w:rPr>
                <w:b/>
                <w:i/>
                <w:sz w:val="22"/>
              </w:rPr>
            </w:pPr>
            <w:r>
              <w:rPr>
                <w:b/>
                <w:i/>
                <w:spacing w:val="-6"/>
                <w:w w:val="95"/>
                <w:sz w:val="22"/>
              </w:rPr>
              <w:t>被保险人申请理赔时年龄必须在三周岁以上，并且提供理赔当时的听力丧失诊断及检查证据。</w:t>
            </w:r>
          </w:p>
        </w:tc>
      </w:tr>
      <w:tr>
        <w:trPr>
          <w:trHeight w:val="2707" w:hRule="atLeast"/>
        </w:trPr>
        <w:tc>
          <w:tcPr>
            <w:tcW w:w="2022" w:type="dxa"/>
          </w:tcPr>
          <w:p>
            <w:pPr>
              <w:pStyle w:val="TableParagraph"/>
              <w:spacing w:line="232" w:lineRule="auto" w:before="56"/>
              <w:ind w:left="619" w:right="135" w:hanging="420"/>
              <w:rPr>
                <w:rFonts w:ascii="Microsoft JhengHei" w:eastAsia="Microsoft JhengHei" w:hint="eastAsia"/>
                <w:b/>
                <w:sz w:val="21"/>
              </w:rPr>
            </w:pPr>
            <w:r>
              <w:rPr>
                <w:b/>
                <w:sz w:val="21"/>
              </w:rPr>
              <w:t>14. </w:t>
            </w:r>
            <w:r>
              <w:rPr>
                <w:rFonts w:ascii="Microsoft JhengHei" w:eastAsia="Microsoft JhengHei" w:hint="eastAsia"/>
                <w:b/>
                <w:sz w:val="21"/>
              </w:rPr>
              <w:t>双目失明－三周岁始理赔</w:t>
            </w:r>
          </w:p>
        </w:tc>
        <w:tc>
          <w:tcPr>
            <w:tcW w:w="7728" w:type="dxa"/>
          </w:tcPr>
          <w:p>
            <w:pPr>
              <w:pStyle w:val="TableParagraph"/>
              <w:spacing w:line="273" w:lineRule="auto" w:before="100"/>
              <w:ind w:left="105" w:right="257"/>
              <w:rPr>
                <w:sz w:val="21"/>
              </w:rPr>
            </w:pPr>
            <w:r>
              <w:rPr>
                <w:sz w:val="21"/>
              </w:rPr>
              <w:t>指因疾病或意外伤害导致双眼视力永久不可逆性丧失，双眼中较好眼须满足下列至少一项条件：</w:t>
            </w:r>
          </w:p>
          <w:p>
            <w:pPr>
              <w:pStyle w:val="TableParagraph"/>
              <w:spacing w:before="8"/>
              <w:ind w:left="105"/>
              <w:rPr>
                <w:sz w:val="21"/>
              </w:rPr>
            </w:pPr>
            <w:r>
              <w:rPr>
                <w:sz w:val="21"/>
              </w:rPr>
              <w:t>（1）眼球缺失或摘除；</w:t>
            </w:r>
          </w:p>
          <w:p>
            <w:pPr>
              <w:pStyle w:val="TableParagraph"/>
              <w:spacing w:line="273" w:lineRule="auto" w:before="37"/>
              <w:ind w:left="631" w:right="301"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ind w:left="105"/>
              <w:rPr>
                <w:sz w:val="21"/>
              </w:rPr>
            </w:pPr>
            <w:r>
              <w:rPr>
                <w:sz w:val="21"/>
              </w:rPr>
              <w:t>（3）视野半径小于 5 度。</w:t>
            </w:r>
          </w:p>
          <w:p>
            <w:pPr>
              <w:pStyle w:val="TableParagraph"/>
              <w:spacing w:line="259" w:lineRule="auto" w:before="25"/>
              <w:ind w:left="105" w:right="307"/>
              <w:rPr>
                <w:b/>
                <w:i/>
                <w:sz w:val="22"/>
              </w:rPr>
            </w:pPr>
            <w:r>
              <w:rPr>
                <w:b/>
                <w:i/>
                <w:spacing w:val="-6"/>
                <w:w w:val="95"/>
                <w:sz w:val="22"/>
              </w:rPr>
              <w:t>被保险人申请理赔时年龄必须在三周岁以上，并且提供理赔当时的视力丧失诊断及检查证据。</w:t>
            </w:r>
          </w:p>
        </w:tc>
      </w:tr>
      <w:tr>
        <w:trPr>
          <w:trHeight w:val="1144" w:hRule="atLeast"/>
        </w:trPr>
        <w:tc>
          <w:tcPr>
            <w:tcW w:w="2022" w:type="dxa"/>
          </w:tcPr>
          <w:p>
            <w:pPr>
              <w:pStyle w:val="TableParagraph"/>
              <w:spacing w:before="28"/>
              <w:ind w:left="200"/>
              <w:rPr>
                <w:rFonts w:ascii="Microsoft JhengHei" w:eastAsia="Microsoft JhengHei" w:hint="eastAsia"/>
                <w:b/>
                <w:sz w:val="21"/>
              </w:rPr>
            </w:pPr>
            <w:r>
              <w:rPr>
                <w:b/>
                <w:sz w:val="21"/>
              </w:rPr>
              <w:t>15.</w:t>
            </w:r>
            <w:r>
              <w:rPr>
                <w:b/>
                <w:spacing w:val="-54"/>
                <w:sz w:val="21"/>
              </w:rPr>
              <w:t> </w:t>
            </w:r>
            <w:r>
              <w:rPr>
                <w:rFonts w:ascii="Microsoft JhengHei" w:eastAsia="Microsoft JhengHei" w:hint="eastAsia"/>
                <w:b/>
                <w:sz w:val="21"/>
              </w:rPr>
              <w:t>瘫 痪</w:t>
            </w:r>
          </w:p>
        </w:tc>
        <w:tc>
          <w:tcPr>
            <w:tcW w:w="7728" w:type="dxa"/>
          </w:tcPr>
          <w:p>
            <w:pPr>
              <w:pStyle w:val="TableParagraph"/>
              <w:spacing w:line="271" w:lineRule="auto" w:before="83"/>
              <w:ind w:left="105" w:right="302"/>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552" w:hRule="atLeast"/>
        </w:trPr>
        <w:tc>
          <w:tcPr>
            <w:tcW w:w="2022" w:type="dxa"/>
          </w:tcPr>
          <w:p>
            <w:pPr>
              <w:pStyle w:val="TableParagraph"/>
              <w:spacing w:before="46"/>
              <w:ind w:left="200"/>
              <w:rPr>
                <w:rFonts w:ascii="Microsoft JhengHei" w:eastAsia="Microsoft JhengHei" w:hint="eastAsia"/>
                <w:b/>
                <w:sz w:val="21"/>
              </w:rPr>
            </w:pPr>
            <w:r>
              <w:rPr>
                <w:b/>
                <w:sz w:val="21"/>
              </w:rPr>
              <w:t>16. </w:t>
            </w:r>
            <w:r>
              <w:rPr>
                <w:rFonts w:ascii="Microsoft JhengHei" w:eastAsia="Microsoft JhengHei" w:hint="eastAsia"/>
                <w:b/>
                <w:sz w:val="21"/>
              </w:rPr>
              <w:t>心脏瓣膜手术</w:t>
            </w:r>
          </w:p>
        </w:tc>
        <w:tc>
          <w:tcPr>
            <w:tcW w:w="7728" w:type="dxa"/>
          </w:tcPr>
          <w:p>
            <w:pPr>
              <w:pStyle w:val="TableParagraph"/>
              <w:spacing w:before="100"/>
              <w:ind w:left="105"/>
              <w:rPr>
                <w:sz w:val="21"/>
              </w:rPr>
            </w:pPr>
            <w:r>
              <w:rPr>
                <w:sz w:val="21"/>
              </w:rPr>
              <w:t>指为治疗心脏瓣膜疾病，实际实施了开胸进行的心脏瓣膜置换或修复的手术。</w:t>
            </w:r>
          </w:p>
        </w:tc>
      </w:tr>
      <w:tr>
        <w:trPr>
          <w:trHeight w:val="2071" w:hRule="atLeast"/>
        </w:trPr>
        <w:tc>
          <w:tcPr>
            <w:tcW w:w="2022" w:type="dxa"/>
          </w:tcPr>
          <w:p>
            <w:pPr>
              <w:pStyle w:val="TableParagraph"/>
              <w:spacing w:line="232" w:lineRule="auto" w:before="37"/>
              <w:ind w:left="619" w:right="135" w:hanging="420"/>
              <w:rPr>
                <w:rFonts w:ascii="Microsoft JhengHei" w:eastAsia="Microsoft JhengHei" w:hint="eastAsia"/>
                <w:b/>
                <w:sz w:val="21"/>
              </w:rPr>
            </w:pPr>
            <w:r>
              <w:rPr>
                <w:b/>
                <w:sz w:val="21"/>
              </w:rPr>
              <w:t>17. </w:t>
            </w:r>
            <w:r>
              <w:rPr>
                <w:rFonts w:ascii="Microsoft JhengHei" w:eastAsia="Microsoft JhengHei" w:hint="eastAsia"/>
                <w:b/>
                <w:sz w:val="21"/>
              </w:rPr>
              <w:t>严重阿尔茨海默病</w:t>
            </w:r>
          </w:p>
        </w:tc>
        <w:tc>
          <w:tcPr>
            <w:tcW w:w="7728" w:type="dxa"/>
          </w:tcPr>
          <w:p>
            <w:pPr>
              <w:pStyle w:val="TableParagraph"/>
              <w:spacing w:line="273" w:lineRule="auto" w:before="81"/>
              <w:ind w:left="105" w:right="301"/>
              <w:jc w:val="both"/>
              <w:rPr>
                <w:sz w:val="21"/>
              </w:rPr>
            </w:pPr>
            <w:r>
              <w:rPr>
                <w:spacing w:val="-6"/>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5"/>
              <w:jc w:val="both"/>
              <w:rPr>
                <w:b/>
                <w:i/>
                <w:sz w:val="22"/>
              </w:rPr>
            </w:pPr>
            <w:r>
              <w:rPr>
                <w:b/>
                <w:i/>
                <w:w w:val="95"/>
                <w:sz w:val="22"/>
              </w:rPr>
              <w:t>神经官能症和精神疾病不在保障范围内。</w:t>
            </w:r>
          </w:p>
        </w:tc>
      </w:tr>
      <w:tr>
        <w:trPr>
          <w:trHeight w:val="2698" w:hRule="atLeast"/>
        </w:trPr>
        <w:tc>
          <w:tcPr>
            <w:tcW w:w="2022" w:type="dxa"/>
          </w:tcPr>
          <w:p>
            <w:pPr>
              <w:pStyle w:val="TableParagraph"/>
              <w:spacing w:before="35"/>
              <w:ind w:left="200"/>
              <w:rPr>
                <w:rFonts w:ascii="Microsoft JhengHei" w:eastAsia="Microsoft JhengHei" w:hint="eastAsia"/>
                <w:b/>
                <w:sz w:val="21"/>
              </w:rPr>
            </w:pPr>
            <w:r>
              <w:rPr>
                <w:b/>
                <w:sz w:val="21"/>
              </w:rPr>
              <w:t>18. </w:t>
            </w:r>
            <w:r>
              <w:rPr>
                <w:rFonts w:ascii="Microsoft JhengHei" w:eastAsia="Microsoft JhengHei" w:hint="eastAsia"/>
                <w:b/>
                <w:sz w:val="21"/>
              </w:rPr>
              <w:t>严重脑损伤</w:t>
            </w:r>
          </w:p>
        </w:tc>
        <w:tc>
          <w:tcPr>
            <w:tcW w:w="7728" w:type="dxa"/>
          </w:tcPr>
          <w:p>
            <w:pPr>
              <w:pStyle w:val="TableParagraph"/>
              <w:spacing w:line="273" w:lineRule="auto" w:before="90"/>
              <w:ind w:left="105"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631" w:right="371" w:hanging="527"/>
              <w:rPr>
                <w:sz w:val="21"/>
              </w:rPr>
            </w:pPr>
            <w:r>
              <w:rPr>
                <w:sz w:val="21"/>
              </w:rPr>
              <w:t>（3）自主生活能力完全丧失，无法独立完成六项基本日常生活活动中的三项或三项以上。</w:t>
            </w:r>
          </w:p>
        </w:tc>
      </w:tr>
      <w:tr>
        <w:trPr>
          <w:trHeight w:val="2067" w:hRule="atLeast"/>
        </w:trPr>
        <w:tc>
          <w:tcPr>
            <w:tcW w:w="2022" w:type="dxa"/>
          </w:tcPr>
          <w:p>
            <w:pPr>
              <w:pStyle w:val="TableParagraph"/>
              <w:spacing w:before="30"/>
              <w:ind w:left="200"/>
              <w:rPr>
                <w:rFonts w:ascii="Microsoft JhengHei" w:eastAsia="Microsoft JhengHei" w:hint="eastAsia"/>
                <w:b/>
                <w:sz w:val="21"/>
              </w:rPr>
            </w:pPr>
            <w:r>
              <w:rPr>
                <w:b/>
                <w:sz w:val="21"/>
              </w:rPr>
              <w:t>19. </w:t>
            </w:r>
            <w:r>
              <w:rPr>
                <w:rFonts w:ascii="Microsoft JhengHei" w:eastAsia="Microsoft JhengHei" w:hint="eastAsia"/>
                <w:b/>
                <w:sz w:val="21"/>
              </w:rPr>
              <w:t>严重帕金森病</w:t>
            </w:r>
          </w:p>
        </w:tc>
        <w:tc>
          <w:tcPr>
            <w:tcW w:w="7728" w:type="dxa"/>
          </w:tcPr>
          <w:p>
            <w:pPr>
              <w:pStyle w:val="TableParagraph"/>
              <w:spacing w:line="273" w:lineRule="auto" w:before="85"/>
              <w:ind w:left="105" w:right="302"/>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7"/>
              <w:ind w:left="631" w:right="308"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668" w:hRule="atLeast"/>
        </w:trPr>
        <w:tc>
          <w:tcPr>
            <w:tcW w:w="2022" w:type="dxa"/>
          </w:tcPr>
          <w:p>
            <w:pPr>
              <w:pStyle w:val="TableParagraph"/>
              <w:spacing w:before="27"/>
              <w:ind w:left="200"/>
              <w:rPr>
                <w:rFonts w:ascii="Microsoft JhengHei" w:eastAsia="Microsoft JhengHei" w:hint="eastAsia"/>
                <w:b/>
                <w:sz w:val="21"/>
              </w:rPr>
            </w:pPr>
            <w:r>
              <w:rPr>
                <w:b/>
                <w:sz w:val="21"/>
              </w:rPr>
              <w:t>20. </w:t>
            </w:r>
            <w:r>
              <w:rPr>
                <w:rFonts w:ascii="Microsoft JhengHei" w:eastAsia="Microsoft JhengHei" w:hint="eastAsia"/>
                <w:b/>
                <w:sz w:val="21"/>
              </w:rPr>
              <w:t>严重III 度烧伤</w:t>
            </w:r>
          </w:p>
        </w:tc>
        <w:tc>
          <w:tcPr>
            <w:tcW w:w="7728" w:type="dxa"/>
          </w:tcPr>
          <w:p>
            <w:pPr>
              <w:pStyle w:val="TableParagraph"/>
              <w:spacing w:line="310" w:lineRule="atLeast" w:before="46"/>
              <w:ind w:left="105" w:right="371"/>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%以上。体表面积根据《中国新九分法》计算。</w:t>
            </w:r>
          </w:p>
        </w:tc>
      </w:tr>
    </w:tbl>
    <w:p>
      <w:pPr>
        <w:spacing w:after="0" w:line="310" w:lineRule="atLeas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977" w:hRule="atLeast"/>
        </w:trPr>
        <w:tc>
          <w:tcPr>
            <w:tcW w:w="2006" w:type="dxa"/>
          </w:tcPr>
          <w:p>
            <w:pPr>
              <w:pStyle w:val="TableParagraph"/>
              <w:spacing w:line="241" w:lineRule="exact"/>
              <w:ind w:left="200"/>
              <w:rPr>
                <w:rFonts w:ascii="Microsoft JhengHei" w:eastAsia="Microsoft JhengHei" w:hint="eastAsia"/>
                <w:b/>
                <w:sz w:val="21"/>
              </w:rPr>
            </w:pPr>
            <w:r>
              <w:rPr>
                <w:b/>
                <w:sz w:val="21"/>
              </w:rPr>
              <w:t>21. </w:t>
            </w:r>
            <w:r>
              <w:rPr>
                <w:rFonts w:ascii="Microsoft JhengHei" w:eastAsia="Microsoft JhengHei" w:hint="eastAsia"/>
                <w:b/>
                <w:sz w:val="21"/>
              </w:rPr>
              <w:t>严重原发性肺</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sz w:val="21"/>
              </w:rPr>
              <w:t>动脉高压</w:t>
            </w:r>
          </w:p>
        </w:tc>
        <w:tc>
          <w:tcPr>
            <w:tcW w:w="7746" w:type="dxa"/>
          </w:tcPr>
          <w:p>
            <w:pPr>
              <w:pStyle w:val="TableParagraph"/>
              <w:spacing w:line="211" w:lineRule="exact"/>
              <w:rPr>
                <w:sz w:val="21"/>
              </w:rPr>
            </w:pPr>
            <w:r>
              <w:rPr>
                <w:sz w:val="21"/>
              </w:rPr>
              <w:t>指不明原因的肺动脉压力持续性增高，进行性发展而导致的慢性疾病，已经造成</w:t>
            </w:r>
          </w:p>
          <w:p>
            <w:pPr>
              <w:pStyle w:val="TableParagraph"/>
              <w:spacing w:line="273" w:lineRule="auto" w:before="37"/>
              <w:ind w:right="306"/>
              <w:rPr>
                <w:sz w:val="21"/>
              </w:rPr>
            </w:pPr>
            <w:r>
              <w:rPr>
                <w:spacing w:val="-10"/>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49" w:hRule="atLeast"/>
        </w:trPr>
        <w:tc>
          <w:tcPr>
            <w:tcW w:w="2006" w:type="dxa"/>
          </w:tcPr>
          <w:p>
            <w:pPr>
              <w:pStyle w:val="TableParagraph"/>
              <w:spacing w:line="232" w:lineRule="auto" w:before="34"/>
              <w:ind w:left="619" w:right="119" w:hanging="420"/>
              <w:rPr>
                <w:rFonts w:ascii="Microsoft JhengHei" w:eastAsia="Microsoft JhengHei" w:hint="eastAsia"/>
                <w:b/>
                <w:sz w:val="21"/>
              </w:rPr>
            </w:pPr>
            <w:r>
              <w:rPr>
                <w:b/>
                <w:sz w:val="21"/>
              </w:rPr>
              <w:t>22. </w:t>
            </w:r>
            <w:r>
              <w:rPr>
                <w:rFonts w:ascii="Microsoft JhengHei" w:eastAsia="Microsoft JhengHei" w:hint="eastAsia"/>
                <w:b/>
                <w:sz w:val="21"/>
              </w:rPr>
              <w:t>严重运动神经元病</w:t>
            </w:r>
          </w:p>
        </w:tc>
        <w:tc>
          <w:tcPr>
            <w:tcW w:w="7746" w:type="dxa"/>
          </w:tcPr>
          <w:p>
            <w:pPr>
              <w:pStyle w:val="TableParagraph"/>
              <w:spacing w:line="273" w:lineRule="auto" w:before="78"/>
              <w:ind w:right="270"/>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800" w:hRule="atLeast"/>
        </w:trPr>
        <w:tc>
          <w:tcPr>
            <w:tcW w:w="2006" w:type="dxa"/>
          </w:tcPr>
          <w:p>
            <w:pPr>
              <w:pStyle w:val="TableParagraph"/>
              <w:spacing w:line="359" w:lineRule="exact" w:before="54"/>
              <w:ind w:left="200"/>
              <w:rPr>
                <w:rFonts w:ascii="Microsoft JhengHei" w:eastAsia="Microsoft JhengHei" w:hint="eastAsia"/>
                <w:b/>
                <w:sz w:val="21"/>
              </w:rPr>
            </w:pPr>
            <w:r>
              <w:rPr>
                <w:b/>
                <w:sz w:val="21"/>
              </w:rPr>
              <w:t>23. </w:t>
            </w:r>
            <w:r>
              <w:rPr>
                <w:rFonts w:ascii="Microsoft JhengHei" w:eastAsia="Microsoft JhengHei" w:hint="eastAsia"/>
                <w:b/>
                <w:sz w:val="21"/>
              </w:rPr>
              <w:t>语言能力丧失</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746" w:type="dxa"/>
          </w:tcPr>
          <w:p>
            <w:pPr>
              <w:pStyle w:val="TableParagraph"/>
              <w:spacing w:line="273" w:lineRule="auto" w:before="109"/>
              <w:ind w:right="303"/>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rPr>
                <w:b/>
                <w:i/>
                <w:sz w:val="22"/>
              </w:rPr>
            </w:pPr>
            <w:r>
              <w:rPr>
                <w:b/>
                <w:i/>
                <w:w w:val="95"/>
                <w:sz w:val="22"/>
              </w:rPr>
              <w:t>精神心理因素所致的语言能力丧失不在保障范围内。</w:t>
            </w:r>
          </w:p>
          <w:p>
            <w:pPr>
              <w:pStyle w:val="TableParagraph"/>
              <w:spacing w:line="259" w:lineRule="auto" w:before="24"/>
              <w:ind w:right="309"/>
              <w:rPr>
                <w:b/>
                <w:i/>
                <w:sz w:val="22"/>
              </w:rPr>
            </w:pPr>
            <w:r>
              <w:rPr>
                <w:b/>
                <w:i/>
                <w:spacing w:val="-6"/>
                <w:w w:val="95"/>
                <w:sz w:val="22"/>
              </w:rPr>
              <w:t>被保险人申请理赔时年龄必须在三周岁以上，并且提供理赔当时的语言能力丧失诊断及检查证据。</w:t>
            </w:r>
          </w:p>
        </w:tc>
      </w:tr>
      <w:tr>
        <w:trPr>
          <w:trHeight w:val="2428" w:hRule="atLeast"/>
        </w:trPr>
        <w:tc>
          <w:tcPr>
            <w:tcW w:w="2006" w:type="dxa"/>
          </w:tcPr>
          <w:p>
            <w:pPr>
              <w:pStyle w:val="TableParagraph"/>
              <w:spacing w:line="230" w:lineRule="auto" w:before="63"/>
              <w:ind w:left="619" w:right="119" w:hanging="420"/>
              <w:rPr>
                <w:rFonts w:ascii="Microsoft JhengHei" w:eastAsia="Microsoft JhengHei" w:hint="eastAsia"/>
                <w:b/>
                <w:sz w:val="21"/>
              </w:rPr>
            </w:pPr>
            <w:r>
              <w:rPr>
                <w:b/>
                <w:sz w:val="21"/>
              </w:rPr>
              <w:t>24. </w:t>
            </w:r>
            <w:r>
              <w:rPr>
                <w:rFonts w:ascii="Microsoft JhengHei" w:eastAsia="Microsoft JhengHei" w:hint="eastAsia"/>
                <w:b/>
                <w:sz w:val="21"/>
              </w:rPr>
              <w:t>重型再生障碍性贫血</w:t>
            </w:r>
          </w:p>
        </w:tc>
        <w:tc>
          <w:tcPr>
            <w:tcW w:w="7746" w:type="dxa"/>
          </w:tcPr>
          <w:p>
            <w:pPr>
              <w:pStyle w:val="TableParagraph"/>
              <w:spacing w:line="273" w:lineRule="auto" w:before="103"/>
              <w:ind w:right="267"/>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4"/>
              <w:rPr>
                <w:sz w:val="21"/>
              </w:rPr>
            </w:pPr>
            <w:r>
              <w:rPr>
                <w:sz w:val="21"/>
              </w:rPr>
              <w:t>（2）外周血象必须具备以下三项条件：</w:t>
            </w:r>
          </w:p>
          <w:p>
            <w:pPr>
              <w:pStyle w:val="TableParagraph"/>
              <w:spacing w:before="36"/>
              <w:ind w:left="541"/>
              <w:rPr>
                <w:sz w:val="21"/>
              </w:rPr>
            </w:pPr>
            <w:r>
              <w:rPr>
                <w:sz w:val="21"/>
              </w:rPr>
              <w:t>①中性粒细胞绝对值≤0.5×10</w:t>
            </w:r>
            <w:r>
              <w:rPr>
                <w:position w:val="11"/>
                <w:sz w:val="11"/>
              </w:rPr>
              <w:t>9</w:t>
            </w:r>
            <w:r>
              <w:rPr>
                <w:sz w:val="21"/>
              </w:rPr>
              <w:t>/L；</w:t>
            </w:r>
          </w:p>
          <w:p>
            <w:pPr>
              <w:pStyle w:val="TableParagraph"/>
              <w:spacing w:before="36"/>
              <w:ind w:left="541"/>
              <w:rPr>
                <w:sz w:val="21"/>
              </w:rPr>
            </w:pPr>
            <w:r>
              <w:rPr>
                <w:sz w:val="21"/>
              </w:rPr>
              <w:t>②网织红细胞＜1%；</w:t>
            </w:r>
          </w:p>
          <w:p>
            <w:pPr>
              <w:pStyle w:val="TableParagraph"/>
              <w:spacing w:before="36"/>
              <w:ind w:left="541"/>
              <w:rPr>
                <w:sz w:val="21"/>
              </w:rPr>
            </w:pPr>
            <w:r>
              <w:rPr>
                <w:sz w:val="21"/>
              </w:rPr>
              <w:t>③血小板绝对值≤20×10</w:t>
            </w:r>
            <w:r>
              <w:rPr>
                <w:position w:val="11"/>
                <w:sz w:val="11"/>
              </w:rPr>
              <w:t>9</w:t>
            </w:r>
            <w:r>
              <w:rPr>
                <w:sz w:val="21"/>
              </w:rPr>
              <w:t>/L。</w:t>
            </w:r>
          </w:p>
        </w:tc>
      </w:tr>
      <w:tr>
        <w:trPr>
          <w:trHeight w:val="1470" w:hRule="atLeast"/>
        </w:trPr>
        <w:tc>
          <w:tcPr>
            <w:tcW w:w="2006" w:type="dxa"/>
          </w:tcPr>
          <w:p>
            <w:pPr>
              <w:pStyle w:val="TableParagraph"/>
              <w:spacing w:before="61"/>
              <w:ind w:left="200"/>
              <w:rPr>
                <w:rFonts w:ascii="Microsoft JhengHei" w:eastAsia="Microsoft JhengHei" w:hint="eastAsia"/>
                <w:b/>
                <w:sz w:val="21"/>
              </w:rPr>
            </w:pPr>
            <w:r>
              <w:rPr>
                <w:b/>
                <w:sz w:val="21"/>
              </w:rPr>
              <w:t>25. </w:t>
            </w:r>
            <w:r>
              <w:rPr>
                <w:rFonts w:ascii="Microsoft JhengHei" w:eastAsia="Microsoft JhengHei" w:hint="eastAsia"/>
                <w:b/>
                <w:sz w:val="21"/>
              </w:rPr>
              <w:t>主动脉手术</w:t>
            </w:r>
          </w:p>
        </w:tc>
        <w:tc>
          <w:tcPr>
            <w:tcW w:w="7746" w:type="dxa"/>
          </w:tcPr>
          <w:p>
            <w:pPr>
              <w:pStyle w:val="TableParagraph"/>
              <w:spacing w:line="273" w:lineRule="auto" w:before="116"/>
              <w:ind w:right="304"/>
              <w:jc w:val="both"/>
              <w:rPr>
                <w:sz w:val="21"/>
              </w:rPr>
            </w:pPr>
            <w:r>
              <w:rPr>
                <w:spacing w:val="-6"/>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84" w:lineRule="exact"/>
              <w:jc w:val="both"/>
              <w:rPr>
                <w:b/>
                <w:i/>
                <w:sz w:val="22"/>
              </w:rPr>
            </w:pPr>
            <w:r>
              <w:rPr>
                <w:b/>
                <w:i/>
                <w:w w:val="95"/>
                <w:sz w:val="22"/>
              </w:rPr>
              <w:t>动脉内血管成形术不在保障范围内。</w:t>
            </w:r>
          </w:p>
        </w:tc>
      </w:tr>
      <w:tr>
        <w:trPr>
          <w:trHeight w:val="1173" w:hRule="atLeast"/>
        </w:trPr>
        <w:tc>
          <w:tcPr>
            <w:tcW w:w="2006" w:type="dxa"/>
          </w:tcPr>
          <w:p>
            <w:pPr>
              <w:pStyle w:val="TableParagraph"/>
              <w:spacing w:before="23"/>
              <w:ind w:left="200"/>
              <w:rPr>
                <w:rFonts w:ascii="Microsoft JhengHei" w:eastAsia="Microsoft JhengHei" w:hint="eastAsia"/>
                <w:b/>
                <w:sz w:val="21"/>
              </w:rPr>
            </w:pPr>
            <w:r>
              <w:rPr>
                <w:b/>
                <w:sz w:val="21"/>
              </w:rPr>
              <w:t>26. </w:t>
            </w:r>
            <w:r>
              <w:rPr>
                <w:rFonts w:ascii="Microsoft JhengHei" w:eastAsia="Microsoft JhengHei" w:hint="eastAsia"/>
                <w:b/>
                <w:sz w:val="21"/>
              </w:rPr>
              <w:t>多发性硬化症</w:t>
            </w:r>
          </w:p>
        </w:tc>
        <w:tc>
          <w:tcPr>
            <w:tcW w:w="7746" w:type="dxa"/>
          </w:tcPr>
          <w:p>
            <w:pPr>
              <w:pStyle w:val="TableParagraph"/>
              <w:spacing w:line="273" w:lineRule="auto" w:before="78"/>
              <w:ind w:right="304"/>
              <w:jc w:val="both"/>
              <w:rPr>
                <w:sz w:val="21"/>
              </w:rPr>
            </w:pPr>
            <w:r>
              <w:rPr>
                <w:spacing w:val="-5"/>
                <w:sz w:val="21"/>
              </w:rPr>
              <w:t>指因中枢神经系统脱髓鞘所致的不可逆的神经系统功能障碍，已经造成自主生活</w:t>
            </w:r>
            <w:r>
              <w:rPr>
                <w:spacing w:val="-8"/>
                <w:sz w:val="21"/>
              </w:rPr>
              <w:t>能力完全丧失，无法独立完成六项基本日常生活活动中的三项或三项以上，且持</w:t>
            </w:r>
            <w:r>
              <w:rPr>
                <w:spacing w:val="-15"/>
                <w:sz w:val="21"/>
              </w:rPr>
              <w:t>续至少 </w:t>
            </w:r>
            <w:r>
              <w:rPr>
                <w:sz w:val="21"/>
              </w:rPr>
              <w:t>180</w:t>
            </w:r>
            <w:r>
              <w:rPr>
                <w:spacing w:val="-18"/>
                <w:sz w:val="21"/>
              </w:rPr>
              <w:t> 天。</w:t>
            </w:r>
          </w:p>
        </w:tc>
      </w:tr>
      <w:tr>
        <w:trPr>
          <w:trHeight w:val="4314" w:hRule="atLeast"/>
        </w:trPr>
        <w:tc>
          <w:tcPr>
            <w:tcW w:w="2006" w:type="dxa"/>
          </w:tcPr>
          <w:p>
            <w:pPr>
              <w:pStyle w:val="TableParagraph"/>
              <w:spacing w:line="232" w:lineRule="auto" w:before="88"/>
              <w:ind w:left="619" w:right="119" w:hanging="420"/>
              <w:jc w:val="both"/>
              <w:rPr>
                <w:rFonts w:ascii="Microsoft JhengHei" w:eastAsia="Microsoft JhengHei" w:hint="eastAsia"/>
                <w:b/>
                <w:sz w:val="21"/>
              </w:rPr>
            </w:pPr>
            <w:r>
              <w:rPr>
                <w:b/>
                <w:sz w:val="21"/>
              </w:rPr>
              <w:t>27. </w:t>
            </w:r>
            <w:r>
              <w:rPr>
                <w:rFonts w:ascii="Microsoft JhengHei" w:eastAsia="Microsoft JhengHei" w:hint="eastAsia"/>
                <w:b/>
                <w:sz w:val="21"/>
              </w:rPr>
              <w:t>经输血导致的人类免疫缺陷病毒感染</w:t>
            </w:r>
          </w:p>
        </w:tc>
        <w:tc>
          <w:tcPr>
            <w:tcW w:w="7746" w:type="dxa"/>
          </w:tcPr>
          <w:p>
            <w:pPr>
              <w:pStyle w:val="TableParagraph"/>
              <w:spacing w:before="132"/>
              <w:rPr>
                <w:sz w:val="21"/>
              </w:rPr>
            </w:pPr>
            <w:r>
              <w:rPr>
                <w:sz w:val="21"/>
              </w:rPr>
              <w:t>是指被保险人感染上人类免疫缺陷病毒并且符合下列所有条件：</w:t>
            </w:r>
          </w:p>
          <w:p>
            <w:pPr>
              <w:pStyle w:val="TableParagraph"/>
              <w:spacing w:line="273" w:lineRule="auto" w:before="37"/>
              <w:ind w:left="647" w:right="310" w:hanging="527"/>
              <w:rPr>
                <w:sz w:val="21"/>
              </w:rPr>
            </w:pPr>
            <w:r>
              <w:rPr>
                <w:sz w:val="21"/>
              </w:rPr>
              <w:t>（1）在保障起始日或复效日之后，被保险人因治疗必需而接受输血，并且因输血而感染人类免疫缺陷病毒；</w:t>
            </w:r>
          </w:p>
          <w:p>
            <w:pPr>
              <w:pStyle w:val="TableParagraph"/>
              <w:spacing w:line="273" w:lineRule="auto" w:before="7"/>
              <w:ind w:left="647"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7"/>
              <w:rPr>
                <w:sz w:val="21"/>
              </w:rPr>
            </w:pPr>
            <w:r>
              <w:rPr>
                <w:sz w:val="21"/>
              </w:rPr>
              <w:t>（4）受感染的被保险人不是血友病患者。</w:t>
            </w:r>
          </w:p>
          <w:p>
            <w:pPr>
              <w:pStyle w:val="TableParagraph"/>
              <w:spacing w:line="273" w:lineRule="auto" w:before="37"/>
              <w:ind w:right="259"/>
              <w:rPr>
                <w:sz w:val="21"/>
              </w:rPr>
            </w:pPr>
            <w:r>
              <w:rPr>
                <w:sz w:val="21"/>
              </w:rPr>
              <w:t>在任何治愈艾滋病或阻止人类免疫缺陷病毒作用的疗法被发现以后，或能防止艾滋病发生的医疗方法被研究出来以后，本保障将不再予以赔付。</w:t>
            </w:r>
          </w:p>
          <w:p>
            <w:pPr>
              <w:pStyle w:val="TableParagraph"/>
              <w:spacing w:line="259" w:lineRule="auto"/>
              <w:ind w:right="254"/>
              <w:rPr>
                <w:b/>
                <w:i/>
                <w:sz w:val="22"/>
              </w:rPr>
            </w:pPr>
            <w:r>
              <w:rPr>
                <w:b/>
                <w:i/>
                <w:w w:val="95"/>
                <w:sz w:val="22"/>
              </w:rPr>
              <w:t>任何因其他传播方式（包括：性传播或静脉注射毒品）导致的人类免疫缺陷病毒感染不在本合同保障范围内。</w:t>
            </w:r>
          </w:p>
          <w:p>
            <w:pPr>
              <w:pStyle w:val="TableParagraph"/>
              <w:spacing w:line="273" w:lineRule="auto" w:before="22"/>
              <w:ind w:right="314"/>
              <w:rPr>
                <w:sz w:val="21"/>
              </w:rPr>
            </w:pPr>
            <w:r>
              <w:rPr>
                <w:sz w:val="21"/>
              </w:rPr>
              <w:t>我们拥有获得使用被保险人的血液样本的权利和能够对这些样本进行独立检验的权利。</w:t>
            </w:r>
          </w:p>
        </w:tc>
      </w:tr>
      <w:tr>
        <w:trPr>
          <w:trHeight w:val="998" w:hRule="atLeast"/>
        </w:trPr>
        <w:tc>
          <w:tcPr>
            <w:tcW w:w="2006" w:type="dxa"/>
          </w:tcPr>
          <w:p>
            <w:pPr>
              <w:pStyle w:val="TableParagraph"/>
              <w:spacing w:before="44"/>
              <w:ind w:left="200"/>
              <w:rPr>
                <w:rFonts w:ascii="Microsoft JhengHei" w:eastAsia="Microsoft JhengHei" w:hint="eastAsia"/>
                <w:b/>
                <w:sz w:val="21"/>
              </w:rPr>
            </w:pPr>
            <w:r>
              <w:rPr>
                <w:b/>
                <w:sz w:val="21"/>
              </w:rPr>
              <w:t>28. </w:t>
            </w:r>
            <w:r>
              <w:rPr>
                <w:rFonts w:ascii="Microsoft JhengHei" w:eastAsia="Microsoft JhengHei" w:hint="eastAsia"/>
                <w:b/>
                <w:sz w:val="21"/>
              </w:rPr>
              <w:t>植物人状态</w:t>
            </w:r>
          </w:p>
        </w:tc>
        <w:tc>
          <w:tcPr>
            <w:tcW w:w="7746" w:type="dxa"/>
          </w:tcPr>
          <w:p>
            <w:pPr>
              <w:pStyle w:val="TableParagraph"/>
              <w:spacing w:line="273" w:lineRule="auto" w:before="99"/>
              <w:ind w:right="306"/>
              <w:rPr>
                <w:sz w:val="21"/>
              </w:rPr>
            </w:pPr>
            <w:r>
              <w:rPr>
                <w:sz w:val="21"/>
              </w:rPr>
              <w:t>指脑皮质广泛性坏死而导致对自身及周边的认知能力完全丧失,但脑干功能依然</w:t>
            </w:r>
            <w:r>
              <w:rPr>
                <w:w w:val="100"/>
                <w:sz w:val="21"/>
              </w:rPr>
              <w:t>存在。必须由神经专科医生明确诊断,并有头颅断层扫描</w:t>
            </w:r>
            <w:r>
              <w:rPr>
                <w:spacing w:val="3"/>
                <w:w w:val="100"/>
                <w:sz w:val="21"/>
              </w:rPr>
              <w:t>（</w:t>
            </w:r>
            <w:r>
              <w:rPr>
                <w:w w:val="100"/>
                <w:sz w:val="21"/>
              </w:rPr>
              <w:t>C</w:t>
            </w:r>
            <w:r>
              <w:rPr>
                <w:spacing w:val="5"/>
                <w:w w:val="100"/>
                <w:sz w:val="21"/>
              </w:rPr>
              <w:t>T</w:t>
            </w:r>
            <w:r>
              <w:rPr>
                <w:spacing w:val="-101"/>
                <w:w w:val="100"/>
                <w:sz w:val="21"/>
              </w:rPr>
              <w:t>）</w:t>
            </w:r>
            <w:r>
              <w:rPr>
                <w:w w:val="100"/>
                <w:sz w:val="21"/>
              </w:rPr>
              <w:t>，核磁共振检查</w:t>
            </w:r>
          </w:p>
          <w:p>
            <w:pPr>
              <w:pStyle w:val="TableParagraph"/>
              <w:spacing w:line="255" w:lineRule="exact" w:before="7"/>
              <w:rPr>
                <w:sz w:val="21"/>
              </w:rPr>
            </w:pPr>
            <w:r>
              <w:rPr>
                <w:sz w:val="21"/>
              </w:rPr>
              <w:t>（MRI）或正电子发射断层扫描（PET）等影像学检查证实。上述情况必须有至少</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0"/>
      </w:tblGrid>
      <w:tr>
        <w:trPr>
          <w:trHeight w:val="688" w:hRule="atLeast"/>
        </w:trPr>
        <w:tc>
          <w:tcPr>
            <w:tcW w:w="2006" w:type="dxa"/>
          </w:tcPr>
          <w:p>
            <w:pPr>
              <w:pStyle w:val="TableParagraph"/>
              <w:ind w:left="0"/>
              <w:rPr>
                <w:rFonts w:ascii="Times New Roman"/>
                <w:sz w:val="20"/>
              </w:rPr>
            </w:pPr>
          </w:p>
        </w:tc>
        <w:tc>
          <w:tcPr>
            <w:tcW w:w="7640" w:type="dxa"/>
          </w:tcPr>
          <w:p>
            <w:pPr>
              <w:pStyle w:val="TableParagraph"/>
              <w:spacing w:line="211" w:lineRule="exact"/>
              <w:rPr>
                <w:sz w:val="21"/>
              </w:rPr>
            </w:pPr>
            <w:r>
              <w:rPr>
                <w:sz w:val="21"/>
              </w:rPr>
              <w:t>一个月的病历记录加以证实。</w:t>
            </w:r>
          </w:p>
          <w:p>
            <w:pPr>
              <w:pStyle w:val="TableParagraph"/>
              <w:spacing w:before="25"/>
              <w:rPr>
                <w:b/>
                <w:i/>
                <w:sz w:val="22"/>
              </w:rPr>
            </w:pPr>
            <w:r>
              <w:rPr>
                <w:b/>
                <w:i/>
                <w:w w:val="95"/>
                <w:sz w:val="22"/>
              </w:rPr>
              <w:t>由于酗酒或滥用药物所致的植物人状态不在保障范围内。</w:t>
            </w:r>
          </w:p>
        </w:tc>
      </w:tr>
      <w:tr>
        <w:trPr>
          <w:trHeight w:val="5531" w:hRule="atLeast"/>
        </w:trPr>
        <w:tc>
          <w:tcPr>
            <w:tcW w:w="2006" w:type="dxa"/>
          </w:tcPr>
          <w:p>
            <w:pPr>
              <w:pStyle w:val="TableParagraph"/>
              <w:spacing w:line="232" w:lineRule="auto" w:before="56"/>
              <w:ind w:left="619" w:right="119" w:hanging="420"/>
              <w:rPr>
                <w:rFonts w:ascii="Microsoft JhengHei" w:eastAsia="Microsoft JhengHei" w:hint="eastAsia"/>
                <w:b/>
                <w:sz w:val="21"/>
              </w:rPr>
            </w:pPr>
            <w:r>
              <w:rPr>
                <w:b/>
                <w:sz w:val="21"/>
              </w:rPr>
              <w:t>29. </w:t>
            </w:r>
            <w:r>
              <w:rPr>
                <w:rFonts w:ascii="Microsoft JhengHei" w:eastAsia="Microsoft JhengHei" w:hint="eastAsia"/>
                <w:b/>
                <w:sz w:val="21"/>
              </w:rPr>
              <w:t>系统性红斑狼疮</w:t>
            </w:r>
          </w:p>
        </w:tc>
        <w:tc>
          <w:tcPr>
            <w:tcW w:w="7640" w:type="dxa"/>
          </w:tcPr>
          <w:p>
            <w:pPr>
              <w:pStyle w:val="TableParagraph"/>
              <w:spacing w:line="273" w:lineRule="auto" w:before="100"/>
              <w:ind w:right="197"/>
              <w:rPr>
                <w:sz w:val="21"/>
              </w:rPr>
            </w:pPr>
            <w:r>
              <w:rPr>
                <w:spacing w:val="-6"/>
                <w:sz w:val="21"/>
              </w:rPr>
              <w:t>是一种自身免疫性结缔组织病，于体内有大量致病性自身抗体和免疫复合物，造</w:t>
            </w:r>
            <w:r>
              <w:rPr>
                <w:spacing w:val="-4"/>
                <w:sz w:val="21"/>
              </w:rPr>
              <w:t>成组织损伤。理赔须经专科医生确认并同时具备下列情况：</w:t>
            </w:r>
          </w:p>
          <w:p>
            <w:pPr>
              <w:pStyle w:val="TableParagraph"/>
              <w:spacing w:before="7"/>
              <w:rPr>
                <w:sz w:val="21"/>
              </w:rPr>
            </w:pPr>
            <w:r>
              <w:rPr>
                <w:sz w:val="21"/>
              </w:rPr>
              <w:t>（1）临床表现至少具备如下条件的四个：</w:t>
            </w:r>
          </w:p>
          <w:p>
            <w:pPr>
              <w:pStyle w:val="TableParagraph"/>
              <w:spacing w:before="36"/>
              <w:ind w:left="611"/>
              <w:rPr>
                <w:sz w:val="21"/>
              </w:rPr>
            </w:pPr>
            <w:r>
              <w:rPr>
                <w:sz w:val="21"/>
              </w:rPr>
              <w:t>1, 蝶形红斑或盘形红斑；</w:t>
            </w:r>
          </w:p>
          <w:p>
            <w:pPr>
              <w:pStyle w:val="TableParagraph"/>
              <w:spacing w:before="36"/>
              <w:ind w:left="611"/>
              <w:rPr>
                <w:sz w:val="21"/>
              </w:rPr>
            </w:pPr>
            <w:r>
              <w:rPr>
                <w:sz w:val="21"/>
              </w:rPr>
              <w:t>2, 光敏感；</w:t>
            </w:r>
          </w:p>
          <w:p>
            <w:pPr>
              <w:pStyle w:val="TableParagraph"/>
              <w:spacing w:before="36"/>
              <w:ind w:left="611"/>
              <w:rPr>
                <w:sz w:val="21"/>
              </w:rPr>
            </w:pPr>
            <w:r>
              <w:rPr>
                <w:sz w:val="21"/>
              </w:rPr>
              <w:t>3, 口腔溃疡；</w:t>
            </w:r>
          </w:p>
          <w:p>
            <w:pPr>
              <w:pStyle w:val="TableParagraph"/>
              <w:spacing w:before="36"/>
              <w:ind w:left="611"/>
              <w:rPr>
                <w:sz w:val="21"/>
              </w:rPr>
            </w:pPr>
            <w:r>
              <w:rPr>
                <w:sz w:val="21"/>
              </w:rPr>
              <w:t>4, 非畸形关节炎或关节痛；</w:t>
            </w:r>
          </w:p>
          <w:p>
            <w:pPr>
              <w:pStyle w:val="TableParagraph"/>
              <w:spacing w:before="36"/>
              <w:ind w:left="611"/>
              <w:rPr>
                <w:sz w:val="21"/>
              </w:rPr>
            </w:pPr>
            <w:r>
              <w:rPr>
                <w:sz w:val="21"/>
              </w:rPr>
              <w:t>5, 浆膜炎、胸膜炎或心包炎；</w:t>
            </w:r>
          </w:p>
          <w:p>
            <w:pPr>
              <w:pStyle w:val="TableParagraph"/>
              <w:spacing w:before="36"/>
              <w:ind w:left="611"/>
              <w:rPr>
                <w:sz w:val="21"/>
              </w:rPr>
            </w:pPr>
            <w:r>
              <w:rPr>
                <w:w w:val="100"/>
                <w:sz w:val="21"/>
              </w:rPr>
              <w:t>6,</w:t>
            </w:r>
            <w:r>
              <w:rPr>
                <w:sz w:val="21"/>
              </w:rPr>
              <w:t> </w:t>
            </w:r>
            <w:r>
              <w:rPr>
                <w:spacing w:val="-3"/>
                <w:w w:val="100"/>
                <w:sz w:val="21"/>
              </w:rPr>
              <w:t>神经系统损伤（抽搐或精神症状</w:t>
            </w:r>
            <w:r>
              <w:rPr>
                <w:spacing w:val="-108"/>
                <w:w w:val="100"/>
                <w:sz w:val="21"/>
              </w:rPr>
              <w:t>）</w:t>
            </w:r>
            <w:r>
              <w:rPr>
                <w:w w:val="100"/>
                <w:sz w:val="21"/>
              </w:rPr>
              <w:t>；</w:t>
            </w:r>
          </w:p>
          <w:p>
            <w:pPr>
              <w:pStyle w:val="TableParagraph"/>
              <w:spacing w:before="36"/>
              <w:ind w:left="611"/>
              <w:rPr>
                <w:sz w:val="21"/>
              </w:rPr>
            </w:pPr>
            <w:r>
              <w:rPr>
                <w:sz w:val="21"/>
              </w:rPr>
              <w:t>7, 血象异常（WBC&lt;4000/μl</w:t>
            </w:r>
            <w:r>
              <w:rPr>
                <w:spacing w:val="-10"/>
                <w:sz w:val="21"/>
              </w:rPr>
              <w:t> 或血小板&lt;</w:t>
            </w:r>
            <w:r>
              <w:rPr>
                <w:sz w:val="21"/>
              </w:rPr>
              <w:t>100000/μl</w:t>
            </w:r>
            <w:r>
              <w:rPr>
                <w:spacing w:val="-10"/>
                <w:sz w:val="21"/>
              </w:rPr>
              <w:t> 或溶血性贫血</w:t>
            </w:r>
            <w:r>
              <w:rPr>
                <w:spacing w:val="-108"/>
                <w:sz w:val="21"/>
              </w:rPr>
              <w:t>）</w:t>
            </w:r>
            <w:r>
              <w:rPr>
                <w:sz w:val="21"/>
              </w:rPr>
              <w:t>。</w:t>
            </w:r>
          </w:p>
          <w:p>
            <w:pPr>
              <w:pStyle w:val="TableParagraph"/>
              <w:spacing w:before="36"/>
              <w:rPr>
                <w:sz w:val="21"/>
              </w:rPr>
            </w:pPr>
            <w:r>
              <w:rPr>
                <w:sz w:val="21"/>
              </w:rPr>
              <w:t>（2）检测结果至少具备如下条件的两个：</w:t>
            </w:r>
          </w:p>
          <w:p>
            <w:pPr>
              <w:pStyle w:val="TableParagraph"/>
              <w:spacing w:before="36"/>
              <w:ind w:left="611"/>
              <w:rPr>
                <w:sz w:val="21"/>
              </w:rPr>
            </w:pPr>
            <w:r>
              <w:rPr>
                <w:sz w:val="21"/>
              </w:rPr>
              <w:t>8, 狼疮细胞或抗双链 DNA 抗体阳性；</w:t>
            </w:r>
          </w:p>
          <w:p>
            <w:pPr>
              <w:pStyle w:val="TableParagraph"/>
              <w:spacing w:before="37"/>
              <w:ind w:left="611"/>
              <w:rPr>
                <w:sz w:val="21"/>
              </w:rPr>
            </w:pPr>
            <w:r>
              <w:rPr>
                <w:sz w:val="21"/>
              </w:rPr>
              <w:t>9, 抗 Sm 抗体阳性；</w:t>
            </w:r>
          </w:p>
          <w:p>
            <w:pPr>
              <w:pStyle w:val="TableParagraph"/>
              <w:spacing w:before="37"/>
              <w:ind w:left="611"/>
              <w:rPr>
                <w:sz w:val="21"/>
              </w:rPr>
            </w:pPr>
            <w:r>
              <w:rPr>
                <w:sz w:val="21"/>
              </w:rPr>
              <w:t>10, 抗核抗体阳性；</w:t>
            </w:r>
          </w:p>
          <w:p>
            <w:pPr>
              <w:pStyle w:val="TableParagraph"/>
              <w:spacing w:before="37"/>
              <w:ind w:left="611"/>
              <w:rPr>
                <w:sz w:val="21"/>
              </w:rPr>
            </w:pPr>
            <w:r>
              <w:rPr>
                <w:sz w:val="21"/>
              </w:rPr>
              <w:t>11, 狼疮带试验阳性；</w:t>
            </w:r>
          </w:p>
          <w:p>
            <w:pPr>
              <w:pStyle w:val="TableParagraph"/>
              <w:spacing w:before="37"/>
              <w:ind w:left="611"/>
              <w:rPr>
                <w:sz w:val="21"/>
              </w:rPr>
            </w:pPr>
            <w:r>
              <w:rPr>
                <w:sz w:val="21"/>
              </w:rPr>
              <w:t>12, C3 补体低于正常；</w:t>
            </w:r>
          </w:p>
          <w:p>
            <w:pPr>
              <w:pStyle w:val="TableParagraph"/>
              <w:spacing w:before="37"/>
              <w:ind w:left="611"/>
              <w:rPr>
                <w:sz w:val="21"/>
              </w:rPr>
            </w:pPr>
            <w:r>
              <w:rPr>
                <w:sz w:val="21"/>
              </w:rPr>
              <w:t>13, 狼疮肾炎致使肾功能减弱，血肌酐的清除率低于每分钟 30ml。</w:t>
            </w:r>
          </w:p>
        </w:tc>
      </w:tr>
      <w:tr>
        <w:trPr>
          <w:trHeight w:val="2411" w:hRule="atLeast"/>
        </w:trPr>
        <w:tc>
          <w:tcPr>
            <w:tcW w:w="2006" w:type="dxa"/>
          </w:tcPr>
          <w:p>
            <w:pPr>
              <w:pStyle w:val="TableParagraph"/>
              <w:spacing w:line="232" w:lineRule="auto" w:before="56"/>
              <w:ind w:left="619" w:right="119" w:hanging="420"/>
              <w:jc w:val="both"/>
              <w:rPr>
                <w:rFonts w:ascii="Microsoft JhengHei" w:eastAsia="Microsoft JhengHei" w:hint="eastAsia"/>
                <w:b/>
                <w:sz w:val="21"/>
              </w:rPr>
            </w:pPr>
            <w:r>
              <w:rPr>
                <w:b/>
                <w:sz w:val="21"/>
              </w:rPr>
              <w:t>30. </w:t>
            </w:r>
            <w:r>
              <w:rPr>
                <w:rFonts w:ascii="Microsoft JhengHei" w:eastAsia="Microsoft JhengHei" w:hint="eastAsia"/>
                <w:b/>
                <w:sz w:val="21"/>
              </w:rPr>
              <w:t>胰岛素依赖型糖尿病（Ｉ型糖尿病）</w:t>
            </w:r>
          </w:p>
        </w:tc>
        <w:tc>
          <w:tcPr>
            <w:tcW w:w="7640" w:type="dxa"/>
          </w:tcPr>
          <w:p>
            <w:pPr>
              <w:pStyle w:val="TableParagraph"/>
              <w:spacing w:before="100"/>
              <w:rPr>
                <w:sz w:val="21"/>
              </w:rPr>
            </w:pPr>
            <w:r>
              <w:rPr>
                <w:sz w:val="21"/>
              </w:rPr>
              <w:t>经内分泌专科医生明确诊断为Ｉ型糖尿病，且须同时满足下列条件：</w:t>
            </w:r>
          </w:p>
          <w:p>
            <w:pPr>
              <w:pStyle w:val="TableParagraph"/>
              <w:spacing w:before="36"/>
              <w:rPr>
                <w:sz w:val="21"/>
              </w:rPr>
            </w:pPr>
            <w:r>
              <w:rPr>
                <w:sz w:val="21"/>
              </w:rPr>
              <w:t>（1）必须持续性地依赖外源性胰岛素维持生命至少 180 天以上。</w:t>
            </w:r>
          </w:p>
          <w:p>
            <w:pPr>
              <w:pStyle w:val="TableParagraph"/>
              <w:spacing w:before="36"/>
              <w:rPr>
                <w:sz w:val="21"/>
              </w:rPr>
            </w:pPr>
            <w:r>
              <w:rPr>
                <w:sz w:val="21"/>
              </w:rPr>
              <w:t>（2）血胰岛素测定、血 C 肽测定或尿 C 肽测定结果异常。</w:t>
            </w:r>
          </w:p>
          <w:p>
            <w:pPr>
              <w:pStyle w:val="TableParagraph"/>
              <w:spacing w:before="36"/>
              <w:rPr>
                <w:sz w:val="21"/>
              </w:rPr>
            </w:pPr>
            <w:r>
              <w:rPr>
                <w:sz w:val="21"/>
              </w:rPr>
              <w:t>（3）出现下述三种并发症之一或一种以上：</w:t>
            </w:r>
          </w:p>
          <w:p>
            <w:pPr>
              <w:pStyle w:val="TableParagraph"/>
              <w:spacing w:before="36"/>
              <w:ind w:left="611"/>
              <w:rPr>
                <w:sz w:val="21"/>
              </w:rPr>
            </w:pPr>
            <w:r>
              <w:rPr>
                <w:sz w:val="21"/>
              </w:rPr>
              <w:t>1, 并发增殖性视网膜病变；</w:t>
            </w:r>
          </w:p>
          <w:p>
            <w:pPr>
              <w:pStyle w:val="TableParagraph"/>
              <w:spacing w:before="36"/>
              <w:ind w:left="611"/>
              <w:rPr>
                <w:sz w:val="21"/>
              </w:rPr>
            </w:pPr>
            <w:r>
              <w:rPr>
                <w:sz w:val="21"/>
              </w:rPr>
              <w:t>2, 并发心脏病变，并须植入心脏起搏器进行治疗；</w:t>
            </w:r>
          </w:p>
          <w:p>
            <w:pPr>
              <w:pStyle w:val="TableParagraph"/>
              <w:spacing w:before="37"/>
              <w:ind w:left="611"/>
              <w:rPr>
                <w:sz w:val="21"/>
              </w:rPr>
            </w:pPr>
            <w:r>
              <w:rPr>
                <w:sz w:val="21"/>
              </w:rPr>
              <w:t>3, 至少一个脚趾发生坏疽并已达到手术切除指征。</w:t>
            </w:r>
          </w:p>
        </w:tc>
      </w:tr>
      <w:tr>
        <w:trPr>
          <w:trHeight w:val="2722" w:hRule="atLeast"/>
        </w:trPr>
        <w:tc>
          <w:tcPr>
            <w:tcW w:w="2006" w:type="dxa"/>
          </w:tcPr>
          <w:p>
            <w:pPr>
              <w:pStyle w:val="TableParagraph"/>
              <w:spacing w:before="44"/>
              <w:ind w:left="200"/>
              <w:rPr>
                <w:rFonts w:ascii="Microsoft JhengHei" w:eastAsia="Microsoft JhengHei" w:hint="eastAsia"/>
                <w:b/>
                <w:sz w:val="21"/>
              </w:rPr>
            </w:pPr>
            <w:r>
              <w:rPr>
                <w:b/>
                <w:w w:val="105"/>
                <w:sz w:val="21"/>
              </w:rPr>
              <w:t>31. </w:t>
            </w:r>
            <w:r>
              <w:rPr>
                <w:rFonts w:ascii="Microsoft JhengHei" w:eastAsia="Microsoft JhengHei" w:hint="eastAsia"/>
                <w:b/>
                <w:w w:val="105"/>
                <w:sz w:val="21"/>
              </w:rPr>
              <w:t>原发性心ft病</w:t>
            </w:r>
          </w:p>
        </w:tc>
        <w:tc>
          <w:tcPr>
            <w:tcW w:w="7640" w:type="dxa"/>
          </w:tcPr>
          <w:p>
            <w:pPr>
              <w:pStyle w:val="TableParagraph"/>
              <w:spacing w:line="273" w:lineRule="auto" w:before="99"/>
              <w:ind w:right="198"/>
              <w:jc w:val="both"/>
              <w:rPr>
                <w:sz w:val="21"/>
              </w:rPr>
            </w:pPr>
            <w:r>
              <w:rPr>
                <w:spacing w:val="-6"/>
                <w:sz w:val="21"/>
              </w:rPr>
              <w:t>指不明原因引起的一类心肌病变，包括原发性扩张型心肌病、原发性肥厚型心肌</w:t>
            </w:r>
            <w:r>
              <w:rPr>
                <w:spacing w:val="-7"/>
                <w:sz w:val="21"/>
              </w:rPr>
              <w:t>病及原发性限制型心肌病三种，病变必须已造成事实上心室功能障碍而出现明显</w:t>
            </w:r>
            <w:r>
              <w:rPr>
                <w:w w:val="100"/>
                <w:sz w:val="21"/>
              </w:rPr>
              <w:t>的心功能衰竭</w:t>
            </w:r>
            <w:r>
              <w:rPr>
                <w:spacing w:val="1"/>
                <w:w w:val="100"/>
                <w:sz w:val="21"/>
              </w:rPr>
              <w:t>（</w:t>
            </w:r>
            <w:r>
              <w:rPr>
                <w:w w:val="100"/>
                <w:sz w:val="21"/>
              </w:rPr>
              <w:t>美国纽约心脏协会心功能分类标准心功能达四级</w:t>
            </w:r>
            <w:r>
              <w:rPr>
                <w:spacing w:val="-106"/>
                <w:w w:val="100"/>
                <w:sz w:val="21"/>
              </w:rPr>
              <w:t>）</w:t>
            </w:r>
            <w:r>
              <w:rPr>
                <w:w w:val="100"/>
                <w:sz w:val="21"/>
              </w:rPr>
              <w:t>，且有相关住</w:t>
            </w:r>
            <w:r>
              <w:rPr>
                <w:spacing w:val="-3"/>
                <w:sz w:val="21"/>
              </w:rPr>
              <w:t>院医疗记录显示四级心功能衰竭状态持续至少一百八十天。</w:t>
            </w:r>
          </w:p>
          <w:p>
            <w:pPr>
              <w:pStyle w:val="TableParagraph"/>
              <w:spacing w:line="273" w:lineRule="auto" w:before="7"/>
              <w:ind w:right="197"/>
              <w:jc w:val="both"/>
              <w:rPr>
                <w:sz w:val="21"/>
              </w:rPr>
            </w:pPr>
            <w:r>
              <w:rPr>
                <w:spacing w:val="-6"/>
                <w:sz w:val="21"/>
              </w:rPr>
              <w:t>本病须经专科医生明确诊断。继发于全身性疾病或其它器官系统疾病造成的心肌</w:t>
            </w:r>
            <w:r>
              <w:rPr>
                <w:spacing w:val="-4"/>
                <w:sz w:val="21"/>
              </w:rPr>
              <w:t>病变除外。</w:t>
            </w:r>
          </w:p>
          <w:p>
            <w:pPr>
              <w:pStyle w:val="TableParagraph"/>
              <w:spacing w:line="273" w:lineRule="auto" w:before="7"/>
              <w:ind w:right="208"/>
              <w:jc w:val="both"/>
              <w:rPr>
                <w:sz w:val="21"/>
              </w:rPr>
            </w:pPr>
            <w:r>
              <w:rPr>
                <w:sz w:val="21"/>
              </w:rPr>
              <w:t>美国纽约心脏协会分类标准心功能四级是指有医院的医疗记录显示病人不能进行任何活动，休息时仍有心悸、呼吸困难等心力衰竭表现。</w:t>
            </w:r>
          </w:p>
        </w:tc>
      </w:tr>
      <w:tr>
        <w:trPr>
          <w:trHeight w:val="2872" w:hRule="atLeast"/>
        </w:trPr>
        <w:tc>
          <w:tcPr>
            <w:tcW w:w="2006" w:type="dxa"/>
          </w:tcPr>
          <w:p>
            <w:pPr>
              <w:pStyle w:val="TableParagraph"/>
              <w:spacing w:before="46"/>
              <w:ind w:left="200"/>
              <w:rPr>
                <w:rFonts w:ascii="Microsoft JhengHei" w:eastAsia="Microsoft JhengHei" w:hint="eastAsia"/>
                <w:b/>
                <w:sz w:val="21"/>
              </w:rPr>
            </w:pPr>
            <w:r>
              <w:rPr>
                <w:b/>
                <w:w w:val="105"/>
                <w:sz w:val="21"/>
              </w:rPr>
              <w:t>32. </w:t>
            </w:r>
            <w:r>
              <w:rPr>
                <w:rFonts w:ascii="Microsoft JhengHei" w:eastAsia="Microsoft JhengHei" w:hint="eastAsia"/>
                <w:b/>
                <w:w w:val="105"/>
                <w:sz w:val="21"/>
              </w:rPr>
              <w:t>重症ft无力</w:t>
            </w:r>
          </w:p>
        </w:tc>
        <w:tc>
          <w:tcPr>
            <w:tcW w:w="7640" w:type="dxa"/>
          </w:tcPr>
          <w:p>
            <w:pPr>
              <w:pStyle w:val="TableParagraph"/>
              <w:spacing w:line="273" w:lineRule="auto" w:before="100"/>
              <w:ind w:right="197"/>
              <w:jc w:val="both"/>
              <w:rPr>
                <w:sz w:val="21"/>
              </w:rPr>
            </w:pPr>
            <w:r>
              <w:rPr>
                <w:spacing w:val="-5"/>
                <w:sz w:val="21"/>
              </w:rPr>
              <w:t>是指一种神经与肌肉接头部位传递障碍的自身免疫性疾病，临床特征是局部或全</w:t>
            </w:r>
            <w:r>
              <w:rPr>
                <w:spacing w:val="-7"/>
                <w:sz w:val="21"/>
              </w:rPr>
              <w:t>身横纹肌于活动时易于疲劳无力，颅神经眼外肌最易累及，也可涉及呼吸肌、下</w:t>
            </w:r>
            <w:r>
              <w:rPr>
                <w:spacing w:val="-5"/>
                <w:sz w:val="21"/>
              </w:rPr>
              <w:t>肢近端肌群乃至全身肌肉，须经神经专科医生确诊。</w:t>
            </w:r>
          </w:p>
          <w:p>
            <w:pPr>
              <w:pStyle w:val="TableParagraph"/>
              <w:spacing w:before="7"/>
              <w:rPr>
                <w:sz w:val="21"/>
              </w:rPr>
            </w:pPr>
            <w:r>
              <w:rPr>
                <w:sz w:val="21"/>
              </w:rPr>
              <w:t>其诊断必须同时具有下列情况：</w:t>
            </w:r>
          </w:p>
          <w:p>
            <w:pPr>
              <w:pStyle w:val="TableParagraph"/>
              <w:spacing w:before="37"/>
              <w:rPr>
                <w:sz w:val="21"/>
              </w:rPr>
            </w:pPr>
            <w:r>
              <w:rPr>
                <w:sz w:val="21"/>
              </w:rPr>
              <w:t>（1）经药物、胸腺手术治疗一年以上无法控制病情，丧失正常工作能力；</w:t>
            </w:r>
          </w:p>
          <w:p>
            <w:pPr>
              <w:pStyle w:val="TableParagraph"/>
              <w:spacing w:line="273" w:lineRule="auto" w:before="37"/>
              <w:ind w:left="647" w:right="204" w:hanging="527"/>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312" w:lineRule="exact" w:before="3"/>
              <w:ind w:left="647" w:right="203" w:hanging="527"/>
              <w:rPr>
                <w:sz w:val="21"/>
              </w:rPr>
            </w:pPr>
            <w:r>
              <w:rPr>
                <w:sz w:val="21"/>
              </w:rPr>
              <w:t>（3）症状缓解、复发及恶化交替出现，临床接受新斯的明等抗胆碱酯酶药物治疗的病史。</w:t>
            </w:r>
          </w:p>
        </w:tc>
      </w:tr>
    </w:tbl>
    <w:p>
      <w:pPr>
        <w:spacing w:after="0" w:line="312" w:lineRule="exac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3"/>
      </w:tblGrid>
      <w:tr>
        <w:trPr>
          <w:trHeight w:val="771" w:hRule="atLeast"/>
        </w:trPr>
        <w:tc>
          <w:tcPr>
            <w:tcW w:w="2006" w:type="dxa"/>
          </w:tcPr>
          <w:p>
            <w:pPr>
              <w:pStyle w:val="TableParagraph"/>
              <w:spacing w:line="234" w:lineRule="exact"/>
              <w:ind w:left="200"/>
              <w:rPr>
                <w:rFonts w:ascii="Microsoft JhengHei" w:eastAsia="Microsoft JhengHei" w:hint="eastAsia"/>
                <w:b/>
                <w:sz w:val="21"/>
              </w:rPr>
            </w:pPr>
            <w:r>
              <w:rPr>
                <w:b/>
                <w:sz w:val="21"/>
              </w:rPr>
              <w:t>33. </w:t>
            </w:r>
            <w:r>
              <w:rPr>
                <w:rFonts w:ascii="Microsoft JhengHei" w:eastAsia="Microsoft JhengHei" w:hint="eastAsia"/>
                <w:b/>
                <w:sz w:val="21"/>
              </w:rPr>
              <w:t>急性坏死性胰</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sz w:val="21"/>
              </w:rPr>
              <w:t>腺炎</w:t>
            </w:r>
          </w:p>
        </w:tc>
        <w:tc>
          <w:tcPr>
            <w:tcW w:w="7743" w:type="dxa"/>
          </w:tcPr>
          <w:p>
            <w:pPr>
              <w:pStyle w:val="TableParagraph"/>
              <w:spacing w:line="205" w:lineRule="exact"/>
              <w:rPr>
                <w:sz w:val="21"/>
              </w:rPr>
            </w:pPr>
            <w:r>
              <w:rPr>
                <w:sz w:val="21"/>
              </w:rPr>
              <w:t>由专科医生确诊为急性坏死性胰腺炎，并需进行手术治疗，以进行组织清除、病</w:t>
            </w:r>
          </w:p>
          <w:p>
            <w:pPr>
              <w:pStyle w:val="TableParagraph"/>
              <w:spacing w:before="26"/>
              <w:rPr>
                <w:b/>
                <w:i/>
                <w:sz w:val="22"/>
              </w:rPr>
            </w:pPr>
            <w:r>
              <w:rPr>
                <w:w w:val="95"/>
                <w:sz w:val="21"/>
              </w:rPr>
              <w:t>灶切除或胰腺部分切除。</w:t>
            </w:r>
            <w:r>
              <w:rPr>
                <w:b/>
                <w:i/>
                <w:w w:val="95"/>
                <w:sz w:val="22"/>
              </w:rPr>
              <w:t>但因酒精中毒所致的急性坏死性胰腺炎除外。</w:t>
            </w:r>
          </w:p>
        </w:tc>
      </w:tr>
      <w:tr>
        <w:trPr>
          <w:trHeight w:val="1797" w:hRule="atLeast"/>
        </w:trPr>
        <w:tc>
          <w:tcPr>
            <w:tcW w:w="2006" w:type="dxa"/>
          </w:tcPr>
          <w:p>
            <w:pPr>
              <w:pStyle w:val="TableParagraph"/>
              <w:spacing w:before="50"/>
              <w:ind w:left="200"/>
              <w:rPr>
                <w:rFonts w:ascii="Microsoft JhengHei" w:eastAsia="Microsoft JhengHei" w:hint="eastAsia"/>
                <w:b/>
                <w:sz w:val="21"/>
              </w:rPr>
            </w:pPr>
            <w:r>
              <w:rPr>
                <w:b/>
                <w:sz w:val="21"/>
              </w:rPr>
              <w:t>34. </w:t>
            </w:r>
            <w:r>
              <w:rPr>
                <w:rFonts w:ascii="Microsoft JhengHei" w:eastAsia="Microsoft JhengHei" w:hint="eastAsia"/>
                <w:b/>
                <w:sz w:val="21"/>
              </w:rPr>
              <w:t>坏死性筋膜炎</w:t>
            </w:r>
          </w:p>
        </w:tc>
        <w:tc>
          <w:tcPr>
            <w:tcW w:w="7743" w:type="dxa"/>
          </w:tcPr>
          <w:p>
            <w:pPr>
              <w:pStyle w:val="TableParagraph"/>
              <w:spacing w:before="104"/>
              <w:rPr>
                <w:sz w:val="21"/>
              </w:rPr>
            </w:pPr>
            <w:r>
              <w:rPr>
                <w:sz w:val="21"/>
              </w:rPr>
              <w:t>坏死性筋膜炎的诊断须同时符合下列要求：</w:t>
            </w:r>
          </w:p>
          <w:p>
            <w:pPr>
              <w:pStyle w:val="TableParagraph"/>
              <w:spacing w:before="36"/>
              <w:rPr>
                <w:sz w:val="21"/>
              </w:rPr>
            </w:pPr>
            <w:r>
              <w:rPr>
                <w:sz w:val="21"/>
              </w:rPr>
              <w:t>（1）符合坏死性筋膜炎的一般临床表现；</w:t>
            </w:r>
          </w:p>
          <w:p>
            <w:pPr>
              <w:pStyle w:val="TableParagraph"/>
              <w:spacing w:before="36"/>
              <w:rPr>
                <w:sz w:val="21"/>
              </w:rPr>
            </w:pPr>
            <w:r>
              <w:rPr>
                <w:sz w:val="21"/>
              </w:rPr>
              <w:t>（2）细菌培养检出致病菌；</w:t>
            </w:r>
          </w:p>
          <w:p>
            <w:pPr>
              <w:pStyle w:val="TableParagraph"/>
              <w:spacing w:line="273" w:lineRule="auto" w:before="36"/>
              <w:ind w:right="141"/>
              <w:rPr>
                <w:sz w:val="21"/>
              </w:rPr>
            </w:pPr>
            <w:r>
              <w:rPr>
                <w:sz w:val="21"/>
              </w:rPr>
              <w:t>（3）出现广泛性肌肉及软组织坏死，并导致身体受影响部位永久完全失去功能。所谓永久完全失去功能是指受影响部位的功能丧失超过六个月者。</w:t>
            </w:r>
          </w:p>
        </w:tc>
      </w:tr>
      <w:tr>
        <w:trPr>
          <w:trHeight w:val="2099" w:hRule="atLeast"/>
        </w:trPr>
        <w:tc>
          <w:tcPr>
            <w:tcW w:w="2006" w:type="dxa"/>
          </w:tcPr>
          <w:p>
            <w:pPr>
              <w:pStyle w:val="TableParagraph"/>
              <w:spacing w:before="38"/>
              <w:ind w:left="200"/>
              <w:rPr>
                <w:rFonts w:ascii="Microsoft JhengHei" w:eastAsia="Microsoft JhengHei" w:hint="eastAsia"/>
                <w:b/>
                <w:sz w:val="21"/>
              </w:rPr>
            </w:pPr>
            <w:r>
              <w:rPr>
                <w:b/>
                <w:sz w:val="21"/>
              </w:rPr>
              <w:t>35. </w:t>
            </w:r>
            <w:r>
              <w:rPr>
                <w:rFonts w:ascii="Microsoft JhengHei" w:eastAsia="Microsoft JhengHei" w:hint="eastAsia"/>
                <w:b/>
                <w:sz w:val="21"/>
              </w:rPr>
              <w:t>终末期肺病</w:t>
            </w:r>
          </w:p>
        </w:tc>
        <w:tc>
          <w:tcPr>
            <w:tcW w:w="7743" w:type="dxa"/>
          </w:tcPr>
          <w:p>
            <w:pPr>
              <w:pStyle w:val="TableParagraph"/>
              <w:spacing w:line="273" w:lineRule="auto" w:before="93"/>
              <w:ind w:right="256"/>
              <w:rPr>
                <w:sz w:val="21"/>
              </w:rPr>
            </w:pPr>
            <w:r>
              <w:rPr>
                <w:sz w:val="21"/>
              </w:rPr>
              <w:t>由呼吸专科医生确诊被保险人患有终末期肺病而出现慢性呼吸功能衰竭，其诊断标准包括以下各项：</w:t>
            </w:r>
          </w:p>
          <w:p>
            <w:pPr>
              <w:pStyle w:val="TableParagraph"/>
              <w:spacing w:before="7"/>
              <w:rPr>
                <w:sz w:val="21"/>
              </w:rPr>
            </w:pPr>
            <w:r>
              <w:rPr>
                <w:sz w:val="21"/>
              </w:rPr>
              <w:t>（1）肺功能测试其 FEVl 持续低于 0.75 升；</w:t>
            </w:r>
          </w:p>
          <w:p>
            <w:pPr>
              <w:pStyle w:val="TableParagraph"/>
              <w:spacing w:before="36"/>
              <w:rPr>
                <w:sz w:val="21"/>
              </w:rPr>
            </w:pPr>
            <w:r>
              <w:rPr>
                <w:sz w:val="21"/>
              </w:rPr>
              <w:t>（2）病人缺氧必须广泛而持续地进行输氧治疗；</w:t>
            </w:r>
          </w:p>
          <w:p>
            <w:pPr>
              <w:pStyle w:val="TableParagraph"/>
              <w:spacing w:before="36"/>
              <w:rPr>
                <w:sz w:val="21"/>
              </w:rPr>
            </w:pPr>
            <w:r>
              <w:rPr>
                <w:sz w:val="21"/>
              </w:rPr>
              <w:t>（3）动脉血气分析氧分压低于 55mmHg。</w:t>
            </w:r>
          </w:p>
          <w:p>
            <w:pPr>
              <w:pStyle w:val="TableParagraph"/>
              <w:spacing w:before="37"/>
              <w:rPr>
                <w:sz w:val="21"/>
              </w:rPr>
            </w:pPr>
            <w:r>
              <w:rPr>
                <w:sz w:val="21"/>
              </w:rPr>
              <w:t>理赔时必须提供以上各项中相应的医院证明文件或检查报告。</w:t>
            </w:r>
          </w:p>
        </w:tc>
      </w:tr>
      <w:tr>
        <w:trPr>
          <w:trHeight w:val="3035" w:hRule="atLeast"/>
        </w:trPr>
        <w:tc>
          <w:tcPr>
            <w:tcW w:w="2006" w:type="dxa"/>
          </w:tcPr>
          <w:p>
            <w:pPr>
              <w:pStyle w:val="TableParagraph"/>
              <w:spacing w:line="230" w:lineRule="auto" w:before="54"/>
              <w:ind w:left="619" w:right="119" w:hanging="420"/>
              <w:rPr>
                <w:rFonts w:ascii="Microsoft JhengHei" w:eastAsia="Microsoft JhengHei" w:hint="eastAsia"/>
                <w:b/>
                <w:sz w:val="21"/>
              </w:rPr>
            </w:pPr>
            <w:r>
              <w:rPr>
                <w:b/>
                <w:sz w:val="21"/>
              </w:rPr>
              <w:t>36. </w:t>
            </w:r>
            <w:r>
              <w:rPr>
                <w:rFonts w:ascii="Microsoft JhengHei" w:eastAsia="Microsoft JhengHei" w:hint="eastAsia"/>
                <w:b/>
                <w:sz w:val="21"/>
              </w:rPr>
              <w:t>严重类风湿性关节炎</w:t>
            </w:r>
          </w:p>
        </w:tc>
        <w:tc>
          <w:tcPr>
            <w:tcW w:w="7743" w:type="dxa"/>
          </w:tcPr>
          <w:p>
            <w:pPr>
              <w:pStyle w:val="TableParagraph"/>
              <w:spacing w:before="94"/>
              <w:rPr>
                <w:sz w:val="21"/>
              </w:rPr>
            </w:pPr>
            <w:r>
              <w:rPr>
                <w:sz w:val="21"/>
              </w:rPr>
              <w:t>是指类风湿性关节炎患者符合以下三项标准的：</w:t>
            </w:r>
          </w:p>
          <w:p>
            <w:pPr>
              <w:pStyle w:val="TableParagraph"/>
              <w:spacing w:line="273" w:lineRule="auto" w:before="37"/>
              <w:ind w:left="647" w:right="247" w:hanging="527"/>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8"/>
              <w:ind w:left="647" w:right="246" w:hanging="527"/>
              <w:rPr>
                <w:sz w:val="21"/>
              </w:rPr>
            </w:pPr>
            <w:r>
              <w:rPr>
                <w:sz w:val="21"/>
              </w:rPr>
              <w:t>（2）手和腕的后前位 X 线拍片检查可见类风湿性关节炎的典型变化，包括骨质侵蚀或钙流失，位于受累关节及其邻近部位尤其明显；</w:t>
            </w:r>
          </w:p>
          <w:p>
            <w:pPr>
              <w:pStyle w:val="TableParagraph"/>
              <w:spacing w:before="8"/>
              <w:rPr>
                <w:sz w:val="21"/>
              </w:rPr>
            </w:pPr>
            <w:r>
              <w:rPr>
                <w:sz w:val="21"/>
              </w:rPr>
              <w:t>（3）关节的畸形改变至少持续 6 个月。</w:t>
            </w:r>
          </w:p>
          <w:p>
            <w:pPr>
              <w:pStyle w:val="TableParagraph"/>
              <w:spacing w:line="273" w:lineRule="auto" w:before="37"/>
              <w:ind w:right="256"/>
              <w:rPr>
                <w:sz w:val="21"/>
              </w:rPr>
            </w:pPr>
            <w:r>
              <w:rPr>
                <w:sz w:val="21"/>
              </w:rPr>
              <w:t>类风湿性关节炎系指以关节滑膜炎为特征的慢性全身性自身免疫性疾病，诊断必须符合国际认可的该疾病的诊断标准。</w:t>
            </w:r>
          </w:p>
          <w:p>
            <w:pPr>
              <w:pStyle w:val="TableParagraph"/>
              <w:spacing w:before="7"/>
              <w:rPr>
                <w:sz w:val="21"/>
              </w:rPr>
            </w:pPr>
            <w:r>
              <w:rPr>
                <w:sz w:val="21"/>
              </w:rPr>
              <w:t>只有被保险人已接受膝关节或髋关节置换手术，我们才承担赔偿责任。</w:t>
            </w:r>
          </w:p>
        </w:tc>
      </w:tr>
      <w:tr>
        <w:trPr>
          <w:trHeight w:val="2099" w:hRule="atLeast"/>
        </w:trPr>
        <w:tc>
          <w:tcPr>
            <w:tcW w:w="2006" w:type="dxa"/>
          </w:tcPr>
          <w:p>
            <w:pPr>
              <w:pStyle w:val="TableParagraph"/>
              <w:spacing w:line="232" w:lineRule="auto" w:before="49"/>
              <w:ind w:left="619" w:right="119" w:hanging="420"/>
              <w:jc w:val="both"/>
              <w:rPr>
                <w:rFonts w:ascii="Microsoft JhengHei" w:eastAsia="Microsoft JhengHei" w:hint="eastAsia"/>
                <w:b/>
                <w:sz w:val="21"/>
              </w:rPr>
            </w:pPr>
            <w:r>
              <w:rPr>
                <w:b/>
                <w:sz w:val="21"/>
              </w:rPr>
              <w:t>37. </w:t>
            </w:r>
            <w:r>
              <w:rPr>
                <w:rFonts w:ascii="Microsoft JhengHei" w:eastAsia="Microsoft JhengHei" w:hint="eastAsia"/>
                <w:b/>
                <w:sz w:val="21"/>
              </w:rPr>
              <w:t>非阿尔茨海默病所致严重痴呆</w:t>
            </w:r>
          </w:p>
        </w:tc>
        <w:tc>
          <w:tcPr>
            <w:tcW w:w="7743" w:type="dxa"/>
          </w:tcPr>
          <w:p>
            <w:pPr>
              <w:pStyle w:val="TableParagraph"/>
              <w:spacing w:line="273" w:lineRule="auto" w:before="93"/>
              <w:ind w:right="300"/>
              <w:rPr>
                <w:sz w:val="21"/>
              </w:rPr>
            </w:pPr>
            <w:r>
              <w:rPr>
                <w:spacing w:val="-3"/>
                <w:sz w:val="21"/>
              </w:rPr>
              <w:t>指因阿尔茨海默病以外的脑的器质性疾病造成脑功能衰竭导致永久不可逆性的 </w:t>
            </w:r>
            <w:r>
              <w:rPr>
                <w:spacing w:val="-7"/>
                <w:sz w:val="21"/>
              </w:rPr>
              <w:t>严重痴呆，临床表现为明显的认知能力障碍、行为异常和社交能力减退。被保险</w:t>
            </w:r>
            <w:r>
              <w:rPr>
                <w:spacing w:val="-8"/>
                <w:sz w:val="21"/>
              </w:rPr>
              <w:t>人自主生活能力完全丧失，无法独立完成六项基本日常生活活动中的三项或三项</w:t>
            </w:r>
            <w:r>
              <w:rPr>
                <w:spacing w:val="-9"/>
                <w:sz w:val="21"/>
              </w:rPr>
              <w:t>以上，日常生活必须持续受到他人监护。导致痴呆的疾病必须明确诊断，并且由</w:t>
            </w:r>
            <w:r>
              <w:rPr>
                <w:spacing w:val="-5"/>
                <w:sz w:val="21"/>
              </w:rPr>
              <w:t>完整的临床、实验室和影像学检查结果证实。</w:t>
            </w:r>
          </w:p>
          <w:p>
            <w:pPr>
              <w:pStyle w:val="TableParagraph"/>
              <w:spacing w:line="284" w:lineRule="exact"/>
              <w:rPr>
                <w:b/>
                <w:i/>
                <w:sz w:val="22"/>
              </w:rPr>
            </w:pPr>
            <w:r>
              <w:rPr>
                <w:b/>
                <w:i/>
                <w:w w:val="95"/>
                <w:sz w:val="22"/>
              </w:rPr>
              <w:t>神经官能症和精神疾病不在保障范围内。</w:t>
            </w:r>
          </w:p>
        </w:tc>
      </w:tr>
      <w:tr>
        <w:trPr>
          <w:trHeight w:val="2412" w:hRule="atLeast"/>
        </w:trPr>
        <w:tc>
          <w:tcPr>
            <w:tcW w:w="2006" w:type="dxa"/>
          </w:tcPr>
          <w:p>
            <w:pPr>
              <w:pStyle w:val="TableParagraph"/>
              <w:spacing w:before="38"/>
              <w:ind w:left="200"/>
              <w:rPr>
                <w:rFonts w:ascii="Microsoft JhengHei" w:eastAsia="Microsoft JhengHei" w:hint="eastAsia"/>
                <w:b/>
                <w:sz w:val="21"/>
              </w:rPr>
            </w:pPr>
            <w:r>
              <w:rPr>
                <w:b/>
                <w:sz w:val="21"/>
              </w:rPr>
              <w:t>38. </w:t>
            </w:r>
            <w:r>
              <w:rPr>
                <w:rFonts w:ascii="Microsoft JhengHei" w:eastAsia="Microsoft JhengHei" w:hint="eastAsia"/>
                <w:b/>
                <w:sz w:val="21"/>
              </w:rPr>
              <w:t>系统性硬化</w:t>
            </w:r>
          </w:p>
        </w:tc>
        <w:tc>
          <w:tcPr>
            <w:tcW w:w="7743" w:type="dxa"/>
          </w:tcPr>
          <w:p>
            <w:pPr>
              <w:pStyle w:val="TableParagraph"/>
              <w:spacing w:line="273" w:lineRule="auto" w:before="93"/>
              <w:ind w:right="265"/>
              <w:jc w:val="both"/>
              <w:rPr>
                <w:sz w:val="21"/>
              </w:rPr>
            </w:pPr>
            <w:r>
              <w:rPr>
                <w:spacing w:val="-3"/>
                <w:sz w:val="21"/>
              </w:rPr>
              <w:t>系统性硬化病又称硬皮病，是以弥漫性皮肤、血管及内脏器官结缔组织纤维化、</w:t>
            </w:r>
            <w:r>
              <w:rPr>
                <w:spacing w:val="-6"/>
                <w:sz w:val="21"/>
              </w:rPr>
              <w:t>硬化及萎缩为特点的结缔组织病。必须由风湿免疫专科医生确诊。必须有活体组</w:t>
            </w:r>
            <w:r>
              <w:rPr>
                <w:spacing w:val="-4"/>
                <w:sz w:val="21"/>
              </w:rPr>
              <w:t>织检查和血清学的检查作为确诊依据。病变需累及心脏，肺脏或肾脏。</w:t>
            </w:r>
          </w:p>
          <w:p>
            <w:pPr>
              <w:pStyle w:val="TableParagraph"/>
              <w:spacing w:line="284" w:lineRule="exact"/>
              <w:jc w:val="both"/>
              <w:rPr>
                <w:b/>
                <w:i/>
                <w:sz w:val="22"/>
              </w:rPr>
            </w:pPr>
            <w:r>
              <w:rPr>
                <w:b/>
                <w:i/>
                <w:w w:val="95"/>
                <w:sz w:val="22"/>
              </w:rPr>
              <w:t>下列疾病不在保障范围内：</w:t>
            </w:r>
          </w:p>
          <w:p>
            <w:pPr>
              <w:pStyle w:val="TableParagraph"/>
              <w:numPr>
                <w:ilvl w:val="0"/>
                <w:numId w:val="13"/>
              </w:numPr>
              <w:tabs>
                <w:tab w:pos="545" w:val="left" w:leader="none"/>
              </w:tabs>
              <w:spacing w:line="240" w:lineRule="auto" w:before="24" w:after="0"/>
              <w:ind w:left="544" w:right="0" w:hanging="423"/>
              <w:jc w:val="both"/>
              <w:rPr>
                <w:b/>
                <w:i/>
                <w:sz w:val="22"/>
              </w:rPr>
            </w:pPr>
            <w:r>
              <w:rPr>
                <w:b/>
                <w:i/>
                <w:w w:val="95"/>
                <w:sz w:val="22"/>
              </w:rPr>
              <w:t>局限性硬皮病（</w:t>
            </w:r>
            <w:r>
              <w:rPr>
                <w:b/>
                <w:i/>
                <w:spacing w:val="-2"/>
                <w:w w:val="95"/>
                <w:sz w:val="22"/>
              </w:rPr>
              <w:t>包括带状硬皮病、硬斑病</w:t>
            </w:r>
            <w:r>
              <w:rPr>
                <w:b/>
                <w:i/>
                <w:spacing w:val="-108"/>
                <w:w w:val="95"/>
                <w:sz w:val="22"/>
              </w:rPr>
              <w:t>）</w:t>
            </w:r>
            <w:r>
              <w:rPr>
                <w:b/>
                <w:i/>
                <w:w w:val="95"/>
                <w:sz w:val="22"/>
              </w:rPr>
              <w:t>；</w:t>
            </w:r>
          </w:p>
          <w:p>
            <w:pPr>
              <w:pStyle w:val="TableParagraph"/>
              <w:numPr>
                <w:ilvl w:val="0"/>
                <w:numId w:val="13"/>
              </w:numPr>
              <w:tabs>
                <w:tab w:pos="545" w:val="left" w:leader="none"/>
              </w:tabs>
              <w:spacing w:line="240" w:lineRule="auto" w:before="23" w:after="0"/>
              <w:ind w:left="544" w:right="0" w:hanging="423"/>
              <w:jc w:val="both"/>
              <w:rPr>
                <w:b/>
                <w:i/>
                <w:sz w:val="22"/>
              </w:rPr>
            </w:pPr>
            <w:r>
              <w:rPr>
                <w:b/>
                <w:i/>
                <w:w w:val="95"/>
                <w:sz w:val="22"/>
              </w:rPr>
              <w:t>嗜酸细胞性筋膜炎；</w:t>
            </w:r>
          </w:p>
          <w:p>
            <w:pPr>
              <w:pStyle w:val="TableParagraph"/>
              <w:numPr>
                <w:ilvl w:val="0"/>
                <w:numId w:val="13"/>
              </w:numPr>
              <w:tabs>
                <w:tab w:pos="544" w:val="left" w:leader="none"/>
              </w:tabs>
              <w:spacing w:line="240" w:lineRule="auto" w:before="24" w:after="0"/>
              <w:ind w:left="543" w:right="0" w:hanging="422"/>
              <w:jc w:val="both"/>
              <w:rPr>
                <w:b/>
                <w:i/>
                <w:sz w:val="22"/>
              </w:rPr>
            </w:pPr>
            <w:r>
              <w:rPr>
                <w:b/>
                <w:i/>
                <w:w w:val="95"/>
                <w:sz w:val="22"/>
              </w:rPr>
              <w:t>CREST综合征。</w:t>
            </w:r>
          </w:p>
        </w:tc>
      </w:tr>
      <w:tr>
        <w:trPr>
          <w:trHeight w:val="1622" w:hRule="atLeast"/>
        </w:trPr>
        <w:tc>
          <w:tcPr>
            <w:tcW w:w="2006" w:type="dxa"/>
          </w:tcPr>
          <w:p>
            <w:pPr>
              <w:pStyle w:val="TableParagraph"/>
              <w:spacing w:before="38"/>
              <w:ind w:left="200"/>
              <w:rPr>
                <w:rFonts w:ascii="Microsoft JhengHei" w:eastAsia="Microsoft JhengHei" w:hint="eastAsia"/>
                <w:b/>
                <w:sz w:val="21"/>
              </w:rPr>
            </w:pPr>
            <w:r>
              <w:rPr>
                <w:b/>
                <w:sz w:val="21"/>
              </w:rPr>
              <w:t>39. </w:t>
            </w:r>
            <w:r>
              <w:rPr>
                <w:rFonts w:ascii="Microsoft JhengHei" w:eastAsia="Microsoft JhengHei" w:hint="eastAsia"/>
                <w:b/>
                <w:sz w:val="21"/>
              </w:rPr>
              <w:t>脊髓灰质炎</w:t>
            </w:r>
          </w:p>
        </w:tc>
        <w:tc>
          <w:tcPr>
            <w:tcW w:w="7743" w:type="dxa"/>
          </w:tcPr>
          <w:p>
            <w:pPr>
              <w:pStyle w:val="TableParagraph"/>
              <w:spacing w:line="310" w:lineRule="atLeast" w:before="58"/>
              <w:ind w:right="300"/>
              <w:jc w:val="both"/>
              <w:rPr>
                <w:sz w:val="21"/>
              </w:rPr>
            </w:pPr>
            <w:r>
              <w:rPr>
                <w:spacing w:val="-5"/>
                <w:sz w:val="21"/>
              </w:rPr>
              <w:t>脊髓灰质炎是由于脊髓灰质炎病毒感染所致的瘫痪性疾病，临床表现为运动功能</w:t>
            </w:r>
            <w:r>
              <w:rPr>
                <w:spacing w:val="-8"/>
                <w:sz w:val="21"/>
              </w:rPr>
              <w:t>损害或呼吸无力。脊髓灰质炎必须明确诊断。我们仅对脊髓灰质炎造成的神经系</w:t>
            </w:r>
            <w:r>
              <w:rPr>
                <w:sz w:val="21"/>
              </w:rPr>
              <w:t>统功能损害导致被保险人一肢或一肢以上肢体机能永久完全丧失的情况予以理</w:t>
            </w:r>
            <w:r>
              <w:rPr>
                <w:spacing w:val="-8"/>
                <w:sz w:val="21"/>
              </w:rPr>
              <w:t>赔。肢体机能永久完全丧失，指疾病确诊 </w:t>
            </w:r>
            <w:r>
              <w:rPr>
                <w:sz w:val="21"/>
              </w:rPr>
              <w:t>180</w:t>
            </w:r>
            <w:r>
              <w:rPr>
                <w:spacing w:val="-9"/>
                <w:sz w:val="21"/>
              </w:rPr>
              <w:t> 天后，每肢三大关节中的两大关节</w:t>
            </w:r>
            <w:r>
              <w:rPr>
                <w:spacing w:val="-5"/>
                <w:sz w:val="21"/>
              </w:rPr>
              <w:t>仍然完全僵硬，或不能随意识活动。</w:t>
            </w:r>
          </w:p>
        </w:tc>
      </w:tr>
    </w:tbl>
    <w:p>
      <w:pPr>
        <w:spacing w:after="0" w:line="310" w:lineRule="atLeast"/>
        <w:jc w:val="both"/>
        <w:rPr>
          <w:sz w:val="21"/>
        </w:rPr>
        <w:sectPr>
          <w:pgSz w:w="11910" w:h="16840"/>
          <w:pgMar w:header="0" w:footer="358" w:top="140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000" w:hRule="atLeast"/>
        </w:trPr>
        <w:tc>
          <w:tcPr>
            <w:tcW w:w="2006" w:type="dxa"/>
          </w:tcPr>
          <w:p>
            <w:pPr>
              <w:pStyle w:val="TableParagraph"/>
              <w:spacing w:line="247" w:lineRule="exact"/>
              <w:ind w:left="200"/>
              <w:rPr>
                <w:rFonts w:ascii="Microsoft JhengHei" w:eastAsia="Microsoft JhengHei" w:hint="eastAsia"/>
                <w:b/>
                <w:sz w:val="21"/>
              </w:rPr>
            </w:pPr>
            <w:r>
              <w:rPr>
                <w:b/>
                <w:sz w:val="21"/>
              </w:rPr>
              <w:t>40. </w:t>
            </w:r>
            <w:r>
              <w:rPr>
                <w:rFonts w:ascii="Microsoft JhengHei" w:eastAsia="Microsoft JhengHei" w:hint="eastAsia"/>
                <w:b/>
                <w:sz w:val="21"/>
              </w:rPr>
              <w:t>严重克隆病</w:t>
            </w:r>
          </w:p>
        </w:tc>
        <w:tc>
          <w:tcPr>
            <w:tcW w:w="7746" w:type="dxa"/>
          </w:tcPr>
          <w:p>
            <w:pPr>
              <w:pStyle w:val="TableParagraph"/>
              <w:spacing w:line="211" w:lineRule="exact"/>
              <w:rPr>
                <w:sz w:val="21"/>
              </w:rPr>
            </w:pPr>
            <w:r>
              <w:rPr>
                <w:sz w:val="21"/>
              </w:rPr>
              <w:t>克隆病是一种慢性肉芽肿性肠炎，具有特征性的克隆病病理组织学变化。诊断必</w:t>
            </w:r>
          </w:p>
          <w:p>
            <w:pPr>
              <w:pStyle w:val="TableParagraph"/>
              <w:spacing w:line="273" w:lineRule="auto" w:before="37"/>
              <w:ind w:right="303"/>
              <w:rPr>
                <w:sz w:val="21"/>
              </w:rPr>
            </w:pPr>
            <w:r>
              <w:rPr>
                <w:spacing w:val="-7"/>
                <w:sz w:val="21"/>
              </w:rPr>
              <w:t>须由病理检查结果证实。被保险人所患的克隆病必须已经造成瘘管形成并伴有肠</w:t>
            </w:r>
            <w:r>
              <w:rPr>
                <w:spacing w:val="-5"/>
                <w:sz w:val="21"/>
              </w:rPr>
              <w:t>梗阻或肠穿孔。</w:t>
            </w:r>
          </w:p>
        </w:tc>
      </w:tr>
      <w:tr>
        <w:trPr>
          <w:trHeight w:val="1475" w:hRule="atLeast"/>
        </w:trPr>
        <w:tc>
          <w:tcPr>
            <w:tcW w:w="2006" w:type="dxa"/>
          </w:tcPr>
          <w:p>
            <w:pPr>
              <w:pStyle w:val="TableParagraph"/>
              <w:spacing w:line="232" w:lineRule="auto" w:before="56"/>
              <w:ind w:left="619" w:right="119" w:hanging="420"/>
              <w:rPr>
                <w:rFonts w:ascii="Microsoft JhengHei" w:eastAsia="Microsoft JhengHei" w:hint="eastAsia"/>
                <w:b/>
                <w:sz w:val="21"/>
              </w:rPr>
            </w:pPr>
            <w:r>
              <w:rPr>
                <w:b/>
                <w:sz w:val="21"/>
              </w:rPr>
              <w:t>41. </w:t>
            </w:r>
            <w:r>
              <w:rPr>
                <w:rFonts w:ascii="Microsoft JhengHei" w:eastAsia="Microsoft JhengHei" w:hint="eastAsia"/>
                <w:b/>
                <w:sz w:val="21"/>
              </w:rPr>
              <w:t>严重溃疡性结肠炎</w:t>
            </w:r>
          </w:p>
        </w:tc>
        <w:tc>
          <w:tcPr>
            <w:tcW w:w="7746" w:type="dxa"/>
          </w:tcPr>
          <w:p>
            <w:pPr>
              <w:pStyle w:val="TableParagraph"/>
              <w:spacing w:line="273" w:lineRule="auto" w:before="100"/>
              <w:ind w:right="304"/>
              <w:jc w:val="both"/>
              <w:rPr>
                <w:sz w:val="21"/>
              </w:rPr>
            </w:pPr>
            <w:r>
              <w:rPr>
                <w:sz w:val="21"/>
              </w:rPr>
              <w:t>我们所保障的溃疡性结肠炎是指伴有致命性电解质紊乱的急性暴发性溃疡性结</w:t>
            </w:r>
            <w:r>
              <w:rPr>
                <w:spacing w:val="-6"/>
                <w:sz w:val="21"/>
              </w:rPr>
              <w:t>肠炎，病变累及全结肠，表现为严重的血便和系统性症状体征，治疗通常采取全</w:t>
            </w:r>
            <w:r>
              <w:rPr>
                <w:spacing w:val="-7"/>
                <w:sz w:val="21"/>
              </w:rPr>
              <w:t>结肠切除和回肠造瘘术。溃疡性结肠炎必须根据组织病理学特点诊断，并且被保</w:t>
            </w:r>
            <w:r>
              <w:rPr>
                <w:spacing w:val="-5"/>
                <w:sz w:val="21"/>
              </w:rPr>
              <w:t>险人已经接受了结肠切除和回肠造瘘术。</w:t>
            </w:r>
          </w:p>
        </w:tc>
      </w:tr>
      <w:tr>
        <w:trPr>
          <w:trHeight w:val="3659" w:hRule="atLeast"/>
        </w:trPr>
        <w:tc>
          <w:tcPr>
            <w:tcW w:w="2006" w:type="dxa"/>
          </w:tcPr>
          <w:p>
            <w:pPr>
              <w:pStyle w:val="TableParagraph"/>
              <w:spacing w:line="232" w:lineRule="auto" w:before="56"/>
              <w:ind w:left="619" w:right="119" w:hanging="420"/>
              <w:jc w:val="both"/>
              <w:rPr>
                <w:rFonts w:ascii="Microsoft JhengHei" w:eastAsia="Microsoft JhengHei" w:hint="eastAsia"/>
                <w:b/>
                <w:sz w:val="21"/>
              </w:rPr>
            </w:pPr>
            <w:r>
              <w:rPr>
                <w:b/>
                <w:sz w:val="21"/>
              </w:rPr>
              <w:t>42. </w:t>
            </w:r>
            <w:r>
              <w:rPr>
                <w:rFonts w:ascii="Microsoft JhengHei" w:eastAsia="Microsoft JhengHei" w:hint="eastAsia"/>
                <w:b/>
                <w:sz w:val="21"/>
              </w:rPr>
              <w:t>因职业关系导致的人类免疫缺陷病毒感染</w:t>
            </w:r>
          </w:p>
        </w:tc>
        <w:tc>
          <w:tcPr>
            <w:tcW w:w="7746" w:type="dxa"/>
          </w:tcPr>
          <w:p>
            <w:pPr>
              <w:pStyle w:val="TableParagraph"/>
              <w:spacing w:line="273" w:lineRule="auto" w:before="100"/>
              <w:ind w:right="303"/>
              <w:rPr>
                <w:sz w:val="21"/>
              </w:rPr>
            </w:pPr>
            <w:r>
              <w:rPr>
                <w:spacing w:val="-5"/>
                <w:sz w:val="21"/>
              </w:rPr>
              <w:t>指被保险人在其常规职业工作过程中遭遇外伤，或者职业需要处理血液或者其他</w:t>
            </w:r>
            <w:r>
              <w:rPr>
                <w:spacing w:val="-4"/>
                <w:w w:val="100"/>
                <w:sz w:val="21"/>
              </w:rPr>
              <w:t>体液时感染上人类免疫缺陷病毒</w:t>
            </w:r>
            <w:r>
              <w:rPr>
                <w:w w:val="100"/>
                <w:sz w:val="21"/>
              </w:rPr>
              <w:t>（H</w:t>
            </w:r>
            <w:r>
              <w:rPr>
                <w:spacing w:val="-3"/>
                <w:w w:val="100"/>
                <w:sz w:val="21"/>
              </w:rPr>
              <w:t>I</w:t>
            </w:r>
            <w:r>
              <w:rPr>
                <w:spacing w:val="-1"/>
                <w:w w:val="100"/>
                <w:sz w:val="21"/>
              </w:rPr>
              <w:t>V</w:t>
            </w:r>
            <w:r>
              <w:rPr>
                <w:spacing w:val="-106"/>
                <w:w w:val="100"/>
                <w:sz w:val="21"/>
              </w:rPr>
              <w:t>）。</w:t>
            </w:r>
          </w:p>
          <w:p>
            <w:pPr>
              <w:pStyle w:val="TableParagraph"/>
              <w:spacing w:before="7"/>
              <w:rPr>
                <w:sz w:val="21"/>
              </w:rPr>
            </w:pPr>
            <w:r>
              <w:rPr>
                <w:sz w:val="21"/>
              </w:rPr>
              <w:t>必须满足下列全部条件：</w:t>
            </w:r>
          </w:p>
          <w:p>
            <w:pPr>
              <w:pStyle w:val="TableParagraph"/>
              <w:spacing w:line="273" w:lineRule="auto" w:before="37"/>
              <w:ind w:left="647" w:right="308" w:hanging="527"/>
              <w:jc w:val="both"/>
              <w:rPr>
                <w:sz w:val="21"/>
              </w:rPr>
            </w:pPr>
            <w:r>
              <w:rPr>
                <w:sz w:val="21"/>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TableParagraph"/>
              <w:spacing w:before="8"/>
              <w:rPr>
                <w:sz w:val="21"/>
              </w:rPr>
            </w:pPr>
            <w:r>
              <w:rPr>
                <w:sz w:val="21"/>
              </w:rPr>
              <w:t>（2）血清转化必须出现在事故发生后的 6 个月内；</w:t>
            </w:r>
          </w:p>
          <w:p>
            <w:pPr>
              <w:pStyle w:val="TableParagraph"/>
              <w:spacing w:line="273" w:lineRule="auto" w:before="37"/>
              <w:ind w:left="647" w:right="250" w:hanging="527"/>
              <w:rPr>
                <w:sz w:val="21"/>
              </w:rPr>
            </w:pPr>
            <w:r>
              <w:rPr>
                <w:sz w:val="21"/>
              </w:rPr>
              <w:t>（3）必须提供被保险人在所报告事故发生后的 5 天内进行的检验报告，该报告必须显示被保险人血液 HIV 病毒阴性和/或 HIV 抗体阴性；</w:t>
            </w:r>
          </w:p>
          <w:p>
            <w:pPr>
              <w:pStyle w:val="TableParagraph"/>
              <w:spacing w:line="273" w:lineRule="auto" w:before="8"/>
              <w:ind w:left="647" w:right="306"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tc>
      </w:tr>
      <w:tr>
        <w:trPr>
          <w:trHeight w:val="1786" w:hRule="atLeast"/>
        </w:trPr>
        <w:tc>
          <w:tcPr>
            <w:tcW w:w="2006" w:type="dxa"/>
          </w:tcPr>
          <w:p>
            <w:pPr>
              <w:pStyle w:val="TableParagraph"/>
              <w:spacing w:before="44"/>
              <w:ind w:left="200"/>
              <w:rPr>
                <w:rFonts w:ascii="Microsoft JhengHei" w:eastAsia="Microsoft JhengHei" w:hint="eastAsia"/>
                <w:b/>
                <w:sz w:val="21"/>
              </w:rPr>
            </w:pPr>
            <w:r>
              <w:rPr>
                <w:b/>
                <w:sz w:val="21"/>
              </w:rPr>
              <w:t>43. </w:t>
            </w:r>
            <w:r>
              <w:rPr>
                <w:rFonts w:ascii="Microsoft JhengHei" w:eastAsia="Microsoft JhengHei" w:hint="eastAsia"/>
                <w:b/>
                <w:sz w:val="21"/>
              </w:rPr>
              <w:t>川崎病</w:t>
            </w:r>
          </w:p>
        </w:tc>
        <w:tc>
          <w:tcPr>
            <w:tcW w:w="7746" w:type="dxa"/>
          </w:tcPr>
          <w:p>
            <w:pPr>
              <w:pStyle w:val="TableParagraph"/>
              <w:spacing w:line="273" w:lineRule="auto" w:before="99"/>
              <w:ind w:right="198"/>
              <w:rPr>
                <w:sz w:val="21"/>
              </w:rPr>
            </w:pPr>
            <w:r>
              <w:rPr>
                <w:spacing w:val="-6"/>
                <w:sz w:val="21"/>
              </w:rPr>
              <w:t>指一种原因未明的血管炎综合征，临床表现为急性发热，皮肤粘膜病损和淋巴结</w:t>
            </w:r>
            <w:r>
              <w:rPr>
                <w:spacing w:val="-14"/>
                <w:sz w:val="21"/>
              </w:rPr>
              <w:t>肿大。本病必须经专科医生明确诊断，且必须由血管造影或超声心动图检查证实， </w:t>
            </w:r>
            <w:r>
              <w:rPr>
                <w:spacing w:val="-7"/>
                <w:sz w:val="21"/>
              </w:rPr>
              <w:t>满足下列至少一项条件：</w:t>
            </w:r>
          </w:p>
          <w:p>
            <w:pPr>
              <w:pStyle w:val="TableParagraph"/>
              <w:spacing w:before="7"/>
              <w:rPr>
                <w:sz w:val="21"/>
              </w:rPr>
            </w:pPr>
            <w:r>
              <w:rPr>
                <w:sz w:val="21"/>
              </w:rPr>
              <w:t>（1）伴有冠状动脉瘤，且冠状动脉瘤于最初急性发病后持续至少一百八十天；</w:t>
            </w:r>
          </w:p>
          <w:p>
            <w:pPr>
              <w:pStyle w:val="TableParagraph"/>
              <w:spacing w:before="37"/>
              <w:rPr>
                <w:sz w:val="21"/>
              </w:rPr>
            </w:pPr>
            <w:r>
              <w:rPr>
                <w:sz w:val="21"/>
              </w:rPr>
              <w:t>（2）伴有冠状动脉瘤，且实际接受了对冠状动脉瘤进行的手术治疗。</w:t>
            </w:r>
          </w:p>
        </w:tc>
      </w:tr>
      <w:tr>
        <w:trPr>
          <w:trHeight w:val="2723" w:hRule="atLeast"/>
        </w:trPr>
        <w:tc>
          <w:tcPr>
            <w:tcW w:w="2006" w:type="dxa"/>
          </w:tcPr>
          <w:p>
            <w:pPr>
              <w:pStyle w:val="TableParagraph"/>
              <w:spacing w:line="230" w:lineRule="auto" w:before="60"/>
              <w:ind w:left="619" w:right="119" w:hanging="420"/>
              <w:rPr>
                <w:rFonts w:ascii="Microsoft JhengHei" w:eastAsia="Microsoft JhengHei" w:hint="eastAsia"/>
                <w:b/>
                <w:sz w:val="21"/>
              </w:rPr>
            </w:pPr>
            <w:r>
              <w:rPr>
                <w:b/>
                <w:sz w:val="21"/>
              </w:rPr>
              <w:t>44. </w:t>
            </w:r>
            <w:r>
              <w:rPr>
                <w:rFonts w:ascii="Microsoft JhengHei" w:eastAsia="Microsoft JhengHei" w:hint="eastAsia"/>
                <w:b/>
                <w:sz w:val="21"/>
              </w:rPr>
              <w:t>慢性肾上腺皮质功能衰竭</w:t>
            </w:r>
          </w:p>
        </w:tc>
        <w:tc>
          <w:tcPr>
            <w:tcW w:w="7746" w:type="dxa"/>
          </w:tcPr>
          <w:p>
            <w:pPr>
              <w:pStyle w:val="TableParagraph"/>
              <w:spacing w:line="273" w:lineRule="auto" w:before="101"/>
              <w:ind w:right="304"/>
              <w:jc w:val="both"/>
              <w:rPr>
                <w:sz w:val="21"/>
              </w:rPr>
            </w:pPr>
            <w:r>
              <w:rPr>
                <w:spacing w:val="-6"/>
                <w:sz w:val="21"/>
              </w:rPr>
              <w:t>因为自身免疫功能紊乱，使肾上腺组织逐渐受损，而需要长期接受糖皮质激素及</w:t>
            </w:r>
            <w:r>
              <w:rPr>
                <w:spacing w:val="-7"/>
                <w:sz w:val="21"/>
              </w:rPr>
              <w:t>肾上腺皮质激素替代疗法。该病必须经内分泌专科医生确诊，并有以下报告作为证据：</w:t>
            </w:r>
          </w:p>
          <w:p>
            <w:pPr>
              <w:pStyle w:val="TableParagraph"/>
              <w:spacing w:before="8"/>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before="25"/>
              <w:jc w:val="both"/>
              <w:rPr>
                <w:b/>
                <w:i/>
                <w:sz w:val="22"/>
              </w:rPr>
            </w:pPr>
            <w:r>
              <w:rPr>
                <w:b/>
                <w:i/>
                <w:w w:val="95"/>
                <w:sz w:val="22"/>
              </w:rPr>
              <w:t>非由自身免疫功能紊乱引起的慢性肾上腺皮质功能衰竭不在保障范围内。</w:t>
            </w:r>
          </w:p>
        </w:tc>
      </w:tr>
      <w:tr>
        <w:trPr>
          <w:trHeight w:val="1162" w:hRule="atLeast"/>
        </w:trPr>
        <w:tc>
          <w:tcPr>
            <w:tcW w:w="2006" w:type="dxa"/>
          </w:tcPr>
          <w:p>
            <w:pPr>
              <w:pStyle w:val="TableParagraph"/>
              <w:spacing w:line="232" w:lineRule="auto" w:before="54"/>
              <w:ind w:left="619" w:right="119" w:hanging="420"/>
              <w:rPr>
                <w:rFonts w:ascii="Microsoft JhengHei" w:eastAsia="Microsoft JhengHei" w:hint="eastAsia"/>
                <w:b/>
                <w:sz w:val="21"/>
              </w:rPr>
            </w:pPr>
            <w:r>
              <w:rPr>
                <w:b/>
                <w:sz w:val="21"/>
              </w:rPr>
              <w:t>45. </w:t>
            </w:r>
            <w:r>
              <w:rPr>
                <w:rFonts w:ascii="Microsoft JhengHei" w:eastAsia="Microsoft JhengHei" w:hint="eastAsia"/>
                <w:b/>
                <w:sz w:val="21"/>
              </w:rPr>
              <w:t>埃博拉病毒感染</w:t>
            </w:r>
          </w:p>
        </w:tc>
        <w:tc>
          <w:tcPr>
            <w:tcW w:w="7746" w:type="dxa"/>
          </w:tcPr>
          <w:p>
            <w:pPr>
              <w:pStyle w:val="TableParagraph"/>
              <w:spacing w:line="273" w:lineRule="auto" w:before="98"/>
              <w:ind w:right="304"/>
              <w:jc w:val="both"/>
              <w:rPr>
                <w:sz w:val="21"/>
              </w:rPr>
            </w:pPr>
            <w:r>
              <w:rPr>
                <w:spacing w:val="-6"/>
                <w:sz w:val="21"/>
              </w:rPr>
              <w:t>受埃博拉病毒感染导致出血性发热。埃博拉病必须经传染病专科医生确诊，并且埃博拉病毒的存在必须经过实验室检查证实。该病必须从症状开始后三十天后持</w:t>
            </w:r>
            <w:r>
              <w:rPr>
                <w:spacing w:val="-4"/>
                <w:sz w:val="21"/>
              </w:rPr>
              <w:t>续出现并发症。</w:t>
            </w:r>
          </w:p>
        </w:tc>
      </w:tr>
      <w:tr>
        <w:trPr>
          <w:trHeight w:val="1164" w:hRule="atLeast"/>
        </w:trPr>
        <w:tc>
          <w:tcPr>
            <w:tcW w:w="2006" w:type="dxa"/>
          </w:tcPr>
          <w:p>
            <w:pPr>
              <w:pStyle w:val="TableParagraph"/>
              <w:spacing w:before="46"/>
              <w:ind w:left="200"/>
              <w:rPr>
                <w:rFonts w:ascii="Microsoft JhengHei" w:eastAsia="Microsoft JhengHei" w:hint="eastAsia"/>
                <w:b/>
                <w:sz w:val="21"/>
              </w:rPr>
            </w:pPr>
            <w:r>
              <w:rPr>
                <w:b/>
                <w:sz w:val="21"/>
              </w:rPr>
              <w:t>46. </w:t>
            </w:r>
            <w:r>
              <w:rPr>
                <w:rFonts w:ascii="Microsoft JhengHei" w:eastAsia="Microsoft JhengHei" w:hint="eastAsia"/>
                <w:b/>
                <w:sz w:val="21"/>
              </w:rPr>
              <w:t>象皮病</w:t>
            </w:r>
          </w:p>
        </w:tc>
        <w:tc>
          <w:tcPr>
            <w:tcW w:w="7746" w:type="dxa"/>
          </w:tcPr>
          <w:p>
            <w:pPr>
              <w:pStyle w:val="TableParagraph"/>
              <w:spacing w:line="273" w:lineRule="auto" w:before="101"/>
              <w:ind w:right="303"/>
              <w:jc w:val="both"/>
              <w:rPr>
                <w:sz w:val="21"/>
              </w:rPr>
            </w:pPr>
            <w:r>
              <w:rPr>
                <w:spacing w:val="-6"/>
                <w:sz w:val="21"/>
              </w:rPr>
              <w:t>指末期丝虫病，按国际淋巴学会分级为三度淋巴液肿，其临床表现为肢体非凹陷</w:t>
            </w:r>
            <w:r>
              <w:rPr>
                <w:spacing w:val="-7"/>
                <w:sz w:val="21"/>
              </w:rPr>
              <w:t>性水肿伴畸形增大、硬皮症和疣状增生。此病症须经专科医生根据临床表现和微</w:t>
            </w:r>
            <w:r>
              <w:rPr>
                <w:spacing w:val="-5"/>
                <w:sz w:val="21"/>
              </w:rPr>
              <w:t>丝蚴的化验结果确诊。</w:t>
            </w:r>
          </w:p>
        </w:tc>
      </w:tr>
      <w:tr>
        <w:trPr>
          <w:trHeight w:val="1311" w:hRule="atLeast"/>
        </w:trPr>
        <w:tc>
          <w:tcPr>
            <w:tcW w:w="2006" w:type="dxa"/>
          </w:tcPr>
          <w:p>
            <w:pPr>
              <w:pStyle w:val="TableParagraph"/>
              <w:spacing w:before="46"/>
              <w:ind w:left="200"/>
              <w:rPr>
                <w:rFonts w:ascii="Microsoft JhengHei" w:eastAsia="Microsoft JhengHei" w:hint="eastAsia"/>
                <w:b/>
                <w:sz w:val="21"/>
              </w:rPr>
            </w:pPr>
            <w:r>
              <w:rPr>
                <w:b/>
                <w:sz w:val="21"/>
              </w:rPr>
              <w:t>47. </w:t>
            </w:r>
            <w:r>
              <w:rPr>
                <w:rFonts w:ascii="Microsoft JhengHei" w:eastAsia="Microsoft JhengHei" w:hint="eastAsia"/>
                <w:b/>
                <w:sz w:val="21"/>
              </w:rPr>
              <w:t>肺源性心脏病</w:t>
            </w:r>
          </w:p>
        </w:tc>
        <w:tc>
          <w:tcPr>
            <w:tcW w:w="7746" w:type="dxa"/>
          </w:tcPr>
          <w:p>
            <w:pPr>
              <w:pStyle w:val="TableParagraph"/>
              <w:spacing w:before="100"/>
              <w:rPr>
                <w:sz w:val="21"/>
              </w:rPr>
            </w:pPr>
            <w:r>
              <w:rPr>
                <w:sz w:val="21"/>
              </w:rPr>
              <w:t>由呼吸专科医生或心内科专科医生确诊为肺源性心脏病。诊断必须基于右心导管</w:t>
            </w:r>
          </w:p>
          <w:p>
            <w:pPr>
              <w:pStyle w:val="TableParagraph"/>
              <w:spacing w:before="36"/>
              <w:rPr>
                <w:sz w:val="21"/>
              </w:rPr>
            </w:pPr>
            <w:r>
              <w:rPr>
                <w:sz w:val="21"/>
              </w:rPr>
              <w:t>（心血管造影）的检查结果，且必须同时满足如下诊断标准：</w:t>
            </w:r>
          </w:p>
          <w:p>
            <w:pPr>
              <w:pStyle w:val="TableParagraph"/>
              <w:spacing w:before="36"/>
              <w:rPr>
                <w:sz w:val="21"/>
              </w:rPr>
            </w:pPr>
            <w:r>
              <w:rPr>
                <w:sz w:val="21"/>
              </w:rPr>
              <w:t>（1）肺血管阻力高于 3 个伍德单位；</w:t>
            </w:r>
          </w:p>
          <w:p>
            <w:pPr>
              <w:pStyle w:val="TableParagraph"/>
              <w:spacing w:line="255" w:lineRule="exact" w:before="36"/>
              <w:rPr>
                <w:sz w:val="21"/>
              </w:rPr>
            </w:pPr>
            <w:r>
              <w:rPr>
                <w:sz w:val="21"/>
              </w:rPr>
              <w:t>（2）平均肺动脉血压不低于 40 毫米汞柱；</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1312" w:hRule="atLeast"/>
        </w:trPr>
        <w:tc>
          <w:tcPr>
            <w:tcW w:w="2006" w:type="dxa"/>
          </w:tcPr>
          <w:p>
            <w:pPr>
              <w:pStyle w:val="TableParagraph"/>
              <w:ind w:left="0"/>
              <w:rPr>
                <w:rFonts w:ascii="Times New Roman"/>
                <w:sz w:val="20"/>
              </w:rPr>
            </w:pPr>
          </w:p>
        </w:tc>
        <w:tc>
          <w:tcPr>
            <w:tcW w:w="7641" w:type="dxa"/>
          </w:tcPr>
          <w:p>
            <w:pPr>
              <w:pStyle w:val="TableParagraph"/>
              <w:spacing w:line="211" w:lineRule="exact"/>
              <w:rPr>
                <w:sz w:val="21"/>
              </w:rPr>
            </w:pPr>
            <w:r>
              <w:rPr>
                <w:sz w:val="21"/>
              </w:rPr>
              <w:t>（3）肺楔压不高于 15 毫米汞柱；</w:t>
            </w:r>
          </w:p>
          <w:p>
            <w:pPr>
              <w:pStyle w:val="TableParagraph"/>
              <w:spacing w:before="37"/>
              <w:rPr>
                <w:sz w:val="21"/>
              </w:rPr>
            </w:pPr>
            <w:r>
              <w:rPr>
                <w:sz w:val="21"/>
              </w:rPr>
              <w:t>（4）右心室过度肥大和扩张，出现右心衰竭和呼吸困难。</w:t>
            </w:r>
          </w:p>
          <w:p>
            <w:pPr>
              <w:pStyle w:val="TableParagraph"/>
              <w:spacing w:line="259" w:lineRule="auto" w:before="25"/>
              <w:ind w:right="206"/>
              <w:rPr>
                <w:b/>
                <w:i/>
                <w:sz w:val="22"/>
              </w:rPr>
            </w:pPr>
            <w:r>
              <w:rPr>
                <w:b/>
                <w:i/>
                <w:w w:val="95"/>
                <w:sz w:val="22"/>
              </w:rPr>
              <w:t>因左心病变或者先天性心脏病引起的右心衰竭或者肺动脉高压不在保障范围之内。</w:t>
            </w:r>
          </w:p>
        </w:tc>
      </w:tr>
      <w:tr>
        <w:trPr>
          <w:trHeight w:val="2412" w:hRule="atLeast"/>
        </w:trPr>
        <w:tc>
          <w:tcPr>
            <w:tcW w:w="2006" w:type="dxa"/>
          </w:tcPr>
          <w:p>
            <w:pPr>
              <w:pStyle w:val="TableParagraph"/>
              <w:spacing w:line="232" w:lineRule="auto" w:before="56"/>
              <w:ind w:left="619" w:right="119" w:hanging="420"/>
              <w:rPr>
                <w:rFonts w:ascii="Microsoft JhengHei" w:eastAsia="Microsoft JhengHei" w:hint="eastAsia"/>
                <w:b/>
                <w:sz w:val="21"/>
              </w:rPr>
            </w:pPr>
            <w:r>
              <w:rPr>
                <w:b/>
                <w:sz w:val="21"/>
              </w:rPr>
              <w:t>48. </w:t>
            </w:r>
            <w:r>
              <w:rPr>
                <w:rFonts w:ascii="Microsoft JhengHei" w:eastAsia="Microsoft JhengHei" w:hint="eastAsia"/>
                <w:b/>
                <w:sz w:val="21"/>
              </w:rPr>
              <w:t>原发性硬化性胆管炎</w:t>
            </w:r>
          </w:p>
        </w:tc>
        <w:tc>
          <w:tcPr>
            <w:tcW w:w="7641" w:type="dxa"/>
          </w:tcPr>
          <w:p>
            <w:pPr>
              <w:pStyle w:val="TableParagraph"/>
              <w:spacing w:line="273" w:lineRule="auto" w:before="100"/>
              <w:ind w:right="198"/>
              <w:jc w:val="both"/>
              <w:rPr>
                <w:sz w:val="21"/>
              </w:rPr>
            </w:pPr>
            <w:r>
              <w:rPr>
                <w:spacing w:val="-7"/>
                <w:sz w:val="21"/>
              </w:rPr>
              <w:t>指一种胆汁淤积综合征，其特征是肝内、肝外胆道因纤维化性炎症逐渐狭窄，并</w:t>
            </w:r>
            <w:r>
              <w:rPr>
                <w:spacing w:val="-8"/>
                <w:sz w:val="21"/>
              </w:rPr>
              <w:t>最终导致完全阻塞而发展为肝硬化。本病须经内镜逆行胰胆管造影等影像学检查</w:t>
            </w:r>
            <w:r>
              <w:rPr>
                <w:spacing w:val="-5"/>
                <w:sz w:val="21"/>
              </w:rPr>
              <w:t>证实，并须满足下列全部条件：</w:t>
            </w:r>
          </w:p>
          <w:p>
            <w:pPr>
              <w:pStyle w:val="TableParagraph"/>
              <w:spacing w:before="8"/>
              <w:jc w:val="both"/>
              <w:rPr>
                <w:sz w:val="21"/>
              </w:rPr>
            </w:pPr>
            <w:r>
              <w:rPr>
                <w:sz w:val="21"/>
              </w:rPr>
              <w:t>（1）总胆红素和直接胆红素同时升高，血清 ALP&gt;200U/L；</w:t>
            </w:r>
          </w:p>
          <w:p>
            <w:pPr>
              <w:pStyle w:val="TableParagraph"/>
              <w:spacing w:before="37"/>
              <w:jc w:val="both"/>
              <w:rPr>
                <w:sz w:val="21"/>
              </w:rPr>
            </w:pPr>
            <w:r>
              <w:rPr>
                <w:sz w:val="21"/>
              </w:rPr>
              <w:t>（2）持续性黄疸病史；</w:t>
            </w:r>
          </w:p>
          <w:p>
            <w:pPr>
              <w:pStyle w:val="TableParagraph"/>
              <w:spacing w:before="37"/>
              <w:jc w:val="both"/>
              <w:rPr>
                <w:sz w:val="21"/>
              </w:rPr>
            </w:pPr>
            <w:r>
              <w:rPr>
                <w:sz w:val="21"/>
              </w:rPr>
              <w:t>（3）出现胆汁性肝硬化或门脉高压。</w:t>
            </w:r>
          </w:p>
          <w:p>
            <w:pPr>
              <w:pStyle w:val="TableParagraph"/>
              <w:spacing w:before="25"/>
              <w:jc w:val="both"/>
              <w:rPr>
                <w:b/>
                <w:i/>
                <w:sz w:val="22"/>
              </w:rPr>
            </w:pPr>
            <w:r>
              <w:rPr>
                <w:b/>
                <w:i/>
                <w:w w:val="95"/>
                <w:sz w:val="22"/>
              </w:rPr>
              <w:t>因肿瘤或胆管损伤等继发性的硬化性胆管炎不在保障范围内。</w:t>
            </w:r>
          </w:p>
        </w:tc>
      </w:tr>
      <w:tr>
        <w:trPr>
          <w:trHeight w:val="2410" w:hRule="atLeast"/>
        </w:trPr>
        <w:tc>
          <w:tcPr>
            <w:tcW w:w="2006" w:type="dxa"/>
          </w:tcPr>
          <w:p>
            <w:pPr>
              <w:pStyle w:val="TableParagraph"/>
              <w:spacing w:before="45"/>
              <w:ind w:left="200"/>
              <w:rPr>
                <w:rFonts w:ascii="Microsoft JhengHei" w:eastAsia="Microsoft JhengHei" w:hint="eastAsia"/>
                <w:b/>
                <w:sz w:val="21"/>
              </w:rPr>
            </w:pPr>
            <w:r>
              <w:rPr>
                <w:b/>
                <w:sz w:val="21"/>
              </w:rPr>
              <w:t>49. </w:t>
            </w:r>
            <w:r>
              <w:rPr>
                <w:rFonts w:ascii="Microsoft JhengHei" w:eastAsia="Microsoft JhengHei" w:hint="eastAsia"/>
                <w:b/>
                <w:sz w:val="21"/>
              </w:rPr>
              <w:t>疯牛病</w:t>
            </w:r>
          </w:p>
        </w:tc>
        <w:tc>
          <w:tcPr>
            <w:tcW w:w="7641" w:type="dxa"/>
          </w:tcPr>
          <w:p>
            <w:pPr>
              <w:pStyle w:val="TableParagraph"/>
              <w:spacing w:before="100"/>
              <w:rPr>
                <w:sz w:val="21"/>
              </w:rPr>
            </w:pPr>
            <w:r>
              <w:rPr>
                <w:sz w:val="21"/>
              </w:rPr>
              <w:t>神经系统疾病及致命的成胶质状脑病，并有以下症状：</w:t>
            </w:r>
          </w:p>
          <w:p>
            <w:pPr>
              <w:pStyle w:val="TableParagraph"/>
              <w:spacing w:before="37"/>
              <w:rPr>
                <w:sz w:val="21"/>
              </w:rPr>
            </w:pPr>
            <w:r>
              <w:rPr>
                <w:sz w:val="21"/>
              </w:rPr>
              <w:t>（1）不能控制的肌肉痉挛及震颤；</w:t>
            </w:r>
          </w:p>
          <w:p>
            <w:pPr>
              <w:pStyle w:val="TableParagraph"/>
              <w:spacing w:before="37"/>
              <w:rPr>
                <w:sz w:val="21"/>
              </w:rPr>
            </w:pPr>
            <w:r>
              <w:rPr>
                <w:sz w:val="21"/>
              </w:rPr>
              <w:t>（2）逐渐痴呆；</w:t>
            </w:r>
          </w:p>
          <w:p>
            <w:pPr>
              <w:pStyle w:val="TableParagraph"/>
              <w:spacing w:before="36"/>
              <w:rPr>
                <w:sz w:val="21"/>
              </w:rPr>
            </w:pPr>
            <w:r>
              <w:rPr>
                <w:sz w:val="21"/>
              </w:rPr>
              <w:t>（3）小脑功能不良，共济失调；</w:t>
            </w:r>
          </w:p>
          <w:p>
            <w:pPr>
              <w:pStyle w:val="TableParagraph"/>
              <w:spacing w:before="36"/>
              <w:rPr>
                <w:sz w:val="21"/>
              </w:rPr>
            </w:pPr>
            <w:r>
              <w:rPr>
                <w:sz w:val="21"/>
              </w:rPr>
              <w:t>（4）手足徐动症；</w:t>
            </w:r>
          </w:p>
          <w:p>
            <w:pPr>
              <w:pStyle w:val="TableParagraph"/>
              <w:spacing w:line="273" w:lineRule="auto" w:before="36"/>
              <w:ind w:right="199"/>
              <w:rPr>
                <w:sz w:val="21"/>
              </w:rPr>
            </w:pPr>
            <w:r>
              <w:rPr>
                <w:spacing w:val="-6"/>
                <w:sz w:val="21"/>
              </w:rPr>
              <w:t>诊断必须经神经专科医生基于以下检查报告作出：脑电图、脑脊液报告、电脑断</w:t>
            </w:r>
            <w:r>
              <w:rPr>
                <w:spacing w:val="-1"/>
                <w:sz w:val="21"/>
              </w:rPr>
              <w:t>层扫描(CT</w:t>
            </w:r>
            <w:r>
              <w:rPr>
                <w:spacing w:val="-3"/>
                <w:sz w:val="21"/>
              </w:rPr>
              <w:t>)及核磁共振(</w:t>
            </w:r>
            <w:r>
              <w:rPr>
                <w:spacing w:val="-1"/>
                <w:sz w:val="21"/>
              </w:rPr>
              <w:t>MRI)。</w:t>
            </w:r>
          </w:p>
        </w:tc>
      </w:tr>
      <w:tr>
        <w:trPr>
          <w:trHeight w:val="850" w:hRule="atLeast"/>
        </w:trPr>
        <w:tc>
          <w:tcPr>
            <w:tcW w:w="2006" w:type="dxa"/>
          </w:tcPr>
          <w:p>
            <w:pPr>
              <w:pStyle w:val="TableParagraph"/>
              <w:spacing w:before="44"/>
              <w:ind w:left="200"/>
              <w:rPr>
                <w:rFonts w:ascii="Microsoft JhengHei" w:eastAsia="Microsoft JhengHei" w:hint="eastAsia"/>
                <w:b/>
                <w:sz w:val="21"/>
              </w:rPr>
            </w:pPr>
            <w:r>
              <w:rPr>
                <w:b/>
                <w:w w:val="105"/>
                <w:sz w:val="21"/>
              </w:rPr>
              <w:t>50. </w:t>
            </w:r>
            <w:r>
              <w:rPr>
                <w:rFonts w:ascii="Microsoft JhengHei" w:eastAsia="Microsoft JhengHei" w:hint="eastAsia"/>
                <w:b/>
                <w:w w:val="105"/>
                <w:sz w:val="21"/>
              </w:rPr>
              <w:t>严重心ft炎</w:t>
            </w:r>
          </w:p>
        </w:tc>
        <w:tc>
          <w:tcPr>
            <w:tcW w:w="7641" w:type="dxa"/>
          </w:tcPr>
          <w:p>
            <w:pPr>
              <w:pStyle w:val="TableParagraph"/>
              <w:spacing w:line="273" w:lineRule="auto" w:before="99"/>
              <w:ind w:right="155"/>
              <w:rPr>
                <w:sz w:val="21"/>
              </w:rPr>
            </w:pPr>
            <w:r>
              <w:rPr>
                <w:sz w:val="21"/>
              </w:rPr>
              <w:t>指心肌局限性或弥漫性的急性或慢性炎症病变，导致心脏功能障碍，达到美国纽约心脏病学会心功能状态分级四级，且持续至少 90 天。</w:t>
            </w:r>
          </w:p>
        </w:tc>
      </w:tr>
      <w:tr>
        <w:trPr>
          <w:trHeight w:val="1457" w:hRule="atLeast"/>
        </w:trPr>
        <w:tc>
          <w:tcPr>
            <w:tcW w:w="2006" w:type="dxa"/>
          </w:tcPr>
          <w:p>
            <w:pPr>
              <w:pStyle w:val="TableParagraph"/>
              <w:spacing w:before="46"/>
              <w:ind w:left="200"/>
              <w:rPr>
                <w:rFonts w:ascii="Microsoft JhengHei" w:eastAsia="Microsoft JhengHei" w:hint="eastAsia"/>
                <w:b/>
                <w:sz w:val="21"/>
              </w:rPr>
            </w:pPr>
            <w:r>
              <w:rPr>
                <w:b/>
                <w:sz w:val="21"/>
              </w:rPr>
              <w:t>51. </w:t>
            </w:r>
            <w:r>
              <w:rPr>
                <w:rFonts w:ascii="Microsoft JhengHei" w:eastAsia="Microsoft JhengHei" w:hint="eastAsia"/>
                <w:b/>
                <w:sz w:val="21"/>
              </w:rPr>
              <w:t>肾髓质囊性病</w:t>
            </w:r>
          </w:p>
        </w:tc>
        <w:tc>
          <w:tcPr>
            <w:tcW w:w="7641" w:type="dxa"/>
          </w:tcPr>
          <w:p>
            <w:pPr>
              <w:pStyle w:val="TableParagraph"/>
              <w:spacing w:before="100"/>
              <w:rPr>
                <w:sz w:val="21"/>
              </w:rPr>
            </w:pPr>
            <w:r>
              <w:rPr>
                <w:sz w:val="21"/>
              </w:rPr>
              <w:t>指经肾脏内科专科医生明确诊断为肾髓质囊性病，且须同时满足下列条件：</w:t>
            </w:r>
          </w:p>
          <w:p>
            <w:pPr>
              <w:pStyle w:val="TableParagraph"/>
              <w:numPr>
                <w:ilvl w:val="0"/>
                <w:numId w:val="14"/>
              </w:numPr>
              <w:tabs>
                <w:tab w:pos="753" w:val="left" w:leader="none"/>
              </w:tabs>
              <w:spacing w:line="240" w:lineRule="auto" w:before="36" w:after="0"/>
              <w:ind w:left="752" w:right="0" w:hanging="631"/>
              <w:jc w:val="left"/>
              <w:rPr>
                <w:sz w:val="21"/>
              </w:rPr>
            </w:pPr>
            <w:r>
              <w:rPr>
                <w:spacing w:val="-3"/>
                <w:sz w:val="21"/>
              </w:rPr>
              <w:t>肾髓质有囊肿、肾小管萎缩及间质纤维化等病理改变；</w:t>
            </w:r>
          </w:p>
          <w:p>
            <w:pPr>
              <w:pStyle w:val="TableParagraph"/>
              <w:numPr>
                <w:ilvl w:val="0"/>
                <w:numId w:val="14"/>
              </w:numPr>
              <w:tabs>
                <w:tab w:pos="753" w:val="left" w:leader="none"/>
              </w:tabs>
              <w:spacing w:line="240" w:lineRule="auto" w:before="36" w:after="0"/>
              <w:ind w:left="752" w:right="0" w:hanging="631"/>
              <w:jc w:val="left"/>
              <w:rPr>
                <w:sz w:val="21"/>
              </w:rPr>
            </w:pPr>
            <w:r>
              <w:rPr>
                <w:spacing w:val="-3"/>
                <w:sz w:val="21"/>
              </w:rPr>
              <w:t>贫血、多尿及肾功能衰竭等临床表现；</w:t>
            </w:r>
          </w:p>
          <w:p>
            <w:pPr>
              <w:pStyle w:val="TableParagraph"/>
              <w:numPr>
                <w:ilvl w:val="0"/>
                <w:numId w:val="14"/>
              </w:numPr>
              <w:tabs>
                <w:tab w:pos="753" w:val="left" w:leader="none"/>
              </w:tabs>
              <w:spacing w:line="240" w:lineRule="auto" w:before="37" w:after="0"/>
              <w:ind w:left="752" w:right="0" w:hanging="631"/>
              <w:jc w:val="left"/>
              <w:rPr>
                <w:sz w:val="21"/>
              </w:rPr>
            </w:pPr>
            <w:r>
              <w:rPr>
                <w:spacing w:val="-3"/>
                <w:sz w:val="21"/>
              </w:rPr>
              <w:t>诊断须由肾组织活检确定。</w:t>
            </w:r>
          </w:p>
        </w:tc>
      </w:tr>
      <w:tr>
        <w:trPr>
          <w:trHeight w:val="1498" w:hRule="atLeast"/>
        </w:trPr>
        <w:tc>
          <w:tcPr>
            <w:tcW w:w="2006" w:type="dxa"/>
          </w:tcPr>
          <w:p>
            <w:pPr>
              <w:pStyle w:val="TableParagraph"/>
              <w:spacing w:before="26"/>
              <w:ind w:left="200"/>
              <w:rPr>
                <w:rFonts w:ascii="Microsoft JhengHei" w:eastAsia="Microsoft JhengHei" w:hint="eastAsia"/>
                <w:b/>
                <w:sz w:val="21"/>
              </w:rPr>
            </w:pPr>
            <w:r>
              <w:rPr>
                <w:b/>
                <w:sz w:val="21"/>
              </w:rPr>
              <w:t>52. </w:t>
            </w:r>
            <w:r>
              <w:rPr>
                <w:rFonts w:ascii="Microsoft JhengHei" w:eastAsia="Microsoft JhengHei" w:hint="eastAsia"/>
                <w:b/>
                <w:sz w:val="21"/>
              </w:rPr>
              <w:t>严重冠心病</w:t>
            </w:r>
          </w:p>
        </w:tc>
        <w:tc>
          <w:tcPr>
            <w:tcW w:w="7641" w:type="dxa"/>
          </w:tcPr>
          <w:p>
            <w:pPr>
              <w:pStyle w:val="TableParagraph"/>
              <w:spacing w:line="273" w:lineRule="auto" w:before="81"/>
              <w:ind w:right="199"/>
              <w:jc w:val="both"/>
              <w:rPr>
                <w:sz w:val="21"/>
              </w:rPr>
            </w:pPr>
            <w:r>
              <w:rPr>
                <w:spacing w:val="-3"/>
                <w:sz w:val="21"/>
              </w:rPr>
              <w:t>指根据冠状动脉造影检查结果确诊的三支主要血管(左冠状动脉主干和右冠状动</w:t>
            </w:r>
            <w:r>
              <w:rPr>
                <w:spacing w:val="-7"/>
                <w:sz w:val="21"/>
              </w:rPr>
              <w:t>脉，或前降支、左旋支和右冠状动脉)严重狭窄性病变(至少一支血管管腔直径减</w:t>
            </w:r>
            <w:r>
              <w:rPr>
                <w:spacing w:val="-22"/>
                <w:sz w:val="21"/>
              </w:rPr>
              <w:t>少 </w:t>
            </w:r>
            <w:r>
              <w:rPr>
                <w:sz w:val="21"/>
              </w:rPr>
              <w:t>75</w:t>
            </w:r>
            <w:r>
              <w:rPr>
                <w:spacing w:val="-5"/>
                <w:sz w:val="21"/>
              </w:rPr>
              <w:t>%以上和其他两支血管管腔直径减少 </w:t>
            </w:r>
            <w:r>
              <w:rPr>
                <w:sz w:val="21"/>
              </w:rPr>
              <w:t>60</w:t>
            </w:r>
            <w:r>
              <w:rPr>
                <w:spacing w:val="-7"/>
                <w:sz w:val="21"/>
              </w:rPr>
              <w:t>%以上)。前降支、左旋支及右冠状动</w:t>
            </w:r>
            <w:r>
              <w:rPr>
                <w:spacing w:val="-5"/>
                <w:sz w:val="21"/>
              </w:rPr>
              <w:t>脉的分支血管的狭窄不作为本保障的衡量指标。</w:t>
            </w:r>
          </w:p>
        </w:tc>
      </w:tr>
      <w:tr>
        <w:trPr>
          <w:trHeight w:val="1854" w:hRule="atLeast"/>
        </w:trPr>
        <w:tc>
          <w:tcPr>
            <w:tcW w:w="2006" w:type="dxa"/>
          </w:tcPr>
          <w:p>
            <w:pPr>
              <w:pStyle w:val="TableParagraph"/>
              <w:spacing w:line="230" w:lineRule="auto" w:before="102"/>
              <w:ind w:left="619" w:right="119" w:hanging="420"/>
              <w:rPr>
                <w:rFonts w:ascii="Microsoft JhengHei" w:eastAsia="Microsoft JhengHei" w:hint="eastAsia"/>
                <w:b/>
                <w:sz w:val="21"/>
              </w:rPr>
            </w:pPr>
            <w:r>
              <w:rPr>
                <w:b/>
                <w:sz w:val="21"/>
              </w:rPr>
              <w:t>53. </w:t>
            </w:r>
            <w:r>
              <w:rPr>
                <w:rFonts w:ascii="Microsoft JhengHei" w:eastAsia="Microsoft JhengHei" w:hint="eastAsia"/>
                <w:b/>
                <w:sz w:val="21"/>
              </w:rPr>
              <w:t>严重ft营养不良症</w:t>
            </w:r>
          </w:p>
        </w:tc>
        <w:tc>
          <w:tcPr>
            <w:tcW w:w="7641" w:type="dxa"/>
          </w:tcPr>
          <w:p>
            <w:pPr>
              <w:pStyle w:val="TableParagraph"/>
              <w:spacing w:line="273" w:lineRule="auto" w:before="142"/>
              <w:ind w:right="198"/>
              <w:rPr>
                <w:sz w:val="21"/>
              </w:rPr>
            </w:pPr>
            <w:r>
              <w:rPr>
                <w:spacing w:val="-6"/>
                <w:sz w:val="21"/>
              </w:rPr>
              <w:t>指一组原发于肌肉的遗传性疾病，临床表现为与神经系统无关的肌肉无力和肌肉</w:t>
            </w:r>
            <w:r>
              <w:rPr>
                <w:spacing w:val="-4"/>
                <w:sz w:val="21"/>
              </w:rPr>
              <w:t>萎缩。且须满足下列全部条件：</w:t>
            </w:r>
          </w:p>
          <w:p>
            <w:pPr>
              <w:pStyle w:val="TableParagraph"/>
              <w:spacing w:before="7"/>
              <w:rPr>
                <w:sz w:val="21"/>
              </w:rPr>
            </w:pPr>
            <w:r>
              <w:rPr>
                <w:sz w:val="21"/>
              </w:rPr>
              <w:t>（1）肌肉组织活检结果满足肌营养不良症的肌肉细胞变性、坏死等阳性改变；</w:t>
            </w:r>
          </w:p>
          <w:p>
            <w:pPr>
              <w:pStyle w:val="TableParagraph"/>
              <w:spacing w:line="273" w:lineRule="auto" w:before="37"/>
              <w:ind w:left="647" w:right="268" w:hanging="527"/>
              <w:rPr>
                <w:sz w:val="21"/>
              </w:rPr>
            </w:pPr>
            <w:r>
              <w:rPr>
                <w:sz w:val="21"/>
              </w:rPr>
              <w:t>（2）自主生活能力完全丧失，无法独立完成六项基本日常生活活动中的三项或三项以上。</w:t>
            </w:r>
          </w:p>
        </w:tc>
      </w:tr>
      <w:tr>
        <w:trPr>
          <w:trHeight w:val="1025" w:hRule="atLeast"/>
        </w:trPr>
        <w:tc>
          <w:tcPr>
            <w:tcW w:w="2006" w:type="dxa"/>
          </w:tcPr>
          <w:p>
            <w:pPr>
              <w:pStyle w:val="TableParagraph"/>
              <w:spacing w:line="232" w:lineRule="auto" w:before="81"/>
              <w:ind w:left="619" w:right="119" w:hanging="420"/>
              <w:rPr>
                <w:rFonts w:ascii="Microsoft JhengHei" w:eastAsia="Microsoft JhengHei" w:hint="eastAsia"/>
                <w:b/>
                <w:sz w:val="21"/>
              </w:rPr>
            </w:pPr>
            <w:r>
              <w:rPr>
                <w:b/>
                <w:sz w:val="21"/>
              </w:rPr>
              <w:t>54. </w:t>
            </w:r>
            <w:r>
              <w:rPr>
                <w:rFonts w:ascii="Microsoft JhengHei" w:eastAsia="Microsoft JhengHei" w:hint="eastAsia"/>
                <w:b/>
                <w:sz w:val="21"/>
              </w:rPr>
              <w:t>慢性复发性胰腺炎</w:t>
            </w:r>
          </w:p>
        </w:tc>
        <w:tc>
          <w:tcPr>
            <w:tcW w:w="7641" w:type="dxa"/>
          </w:tcPr>
          <w:p>
            <w:pPr>
              <w:pStyle w:val="TableParagraph"/>
              <w:spacing w:line="312" w:lineRule="exact" w:before="120"/>
              <w:ind w:right="198"/>
              <w:rPr>
                <w:b/>
                <w:i/>
                <w:sz w:val="22"/>
              </w:rPr>
            </w:pPr>
            <w:r>
              <w:rPr>
                <w:spacing w:val="-5"/>
                <w:sz w:val="21"/>
              </w:rPr>
              <w:t>胰腺炎反复发作超过三次以上并导致胰腺功能紊乱和营养不良，需要接受酶替代</w:t>
            </w:r>
            <w:r>
              <w:rPr>
                <w:spacing w:val="-4"/>
                <w:sz w:val="21"/>
              </w:rPr>
              <w:t>治疗。诊断必须有消化科专科医生确认并且有内窥镜逆行胰胆管造影所证实。 </w:t>
            </w:r>
            <w:r>
              <w:rPr>
                <w:b/>
                <w:i/>
                <w:spacing w:val="-4"/>
                <w:w w:val="95"/>
                <w:sz w:val="22"/>
              </w:rPr>
              <w:t>因酒精所致的慢性复发性胰腺炎除外。</w:t>
            </w:r>
          </w:p>
        </w:tc>
      </w:tr>
    </w:tbl>
    <w:p>
      <w:pPr>
        <w:spacing w:after="0" w:line="312" w:lineRule="exact"/>
        <w:rPr>
          <w:sz w:val="22"/>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31"/>
      </w:tblGrid>
      <w:tr>
        <w:trPr>
          <w:trHeight w:val="1652" w:hRule="atLeast"/>
        </w:trPr>
        <w:tc>
          <w:tcPr>
            <w:tcW w:w="2022" w:type="dxa"/>
          </w:tcPr>
          <w:p>
            <w:pPr>
              <w:pStyle w:val="TableParagraph"/>
              <w:spacing w:line="241" w:lineRule="exact"/>
              <w:ind w:left="200"/>
              <w:rPr>
                <w:rFonts w:ascii="Microsoft JhengHei" w:eastAsia="Microsoft JhengHei" w:hint="eastAsia"/>
                <w:b/>
                <w:sz w:val="21"/>
              </w:rPr>
            </w:pPr>
            <w:r>
              <w:rPr>
                <w:b/>
                <w:sz w:val="21"/>
              </w:rPr>
              <w:t>55. </w:t>
            </w:r>
            <w:r>
              <w:rPr>
                <w:rFonts w:ascii="Microsoft JhengHei" w:eastAsia="Microsoft JhengHei" w:hint="eastAsia"/>
                <w:b/>
                <w:sz w:val="21"/>
              </w:rPr>
              <w:t>进行性核上性</w:t>
            </w:r>
          </w:p>
          <w:p>
            <w:pPr>
              <w:pStyle w:val="TableParagraph"/>
              <w:spacing w:line="359" w:lineRule="exact"/>
              <w:ind w:left="619"/>
              <w:rPr>
                <w:rFonts w:ascii="Microsoft JhengHei" w:eastAsia="Microsoft JhengHei" w:hint="eastAsia"/>
                <w:b/>
                <w:sz w:val="21"/>
              </w:rPr>
            </w:pPr>
            <w:r>
              <w:rPr>
                <w:rFonts w:ascii="Microsoft JhengHei" w:eastAsia="Microsoft JhengHei" w:hint="eastAsia"/>
                <w:b/>
                <w:sz w:val="21"/>
              </w:rPr>
              <w:t>麻痹</w:t>
            </w:r>
          </w:p>
        </w:tc>
        <w:tc>
          <w:tcPr>
            <w:tcW w:w="7731" w:type="dxa"/>
          </w:tcPr>
          <w:p>
            <w:pPr>
              <w:pStyle w:val="TableParagraph"/>
              <w:spacing w:line="211" w:lineRule="exact"/>
              <w:ind w:left="105"/>
              <w:rPr>
                <w:sz w:val="21"/>
              </w:rPr>
            </w:pPr>
            <w:r>
              <w:rPr>
                <w:sz w:val="21"/>
              </w:rPr>
              <w:t>进行性核上性麻痹（PSP）又称 Steele-Rchardson—Olszewski 综合征，是一种</w:t>
            </w:r>
          </w:p>
          <w:p>
            <w:pPr>
              <w:pStyle w:val="TableParagraph"/>
              <w:spacing w:line="273" w:lineRule="auto" w:before="37"/>
              <w:ind w:left="105" w:right="305"/>
              <w:jc w:val="both"/>
              <w:rPr>
                <w:sz w:val="21"/>
              </w:rPr>
            </w:pPr>
            <w:r>
              <w:rPr>
                <w:spacing w:val="-6"/>
                <w:sz w:val="21"/>
              </w:rPr>
              <w:t>少见的神经系统变性疾病，以假球麻痹、垂直性核上性眼肌麻痹、锥体外系肌僵</w:t>
            </w:r>
            <w:r>
              <w:rPr>
                <w:spacing w:val="-4"/>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880" w:hRule="atLeast"/>
        </w:trPr>
        <w:tc>
          <w:tcPr>
            <w:tcW w:w="2022" w:type="dxa"/>
          </w:tcPr>
          <w:p>
            <w:pPr>
              <w:pStyle w:val="TableParagraph"/>
              <w:spacing w:before="74"/>
              <w:ind w:left="200"/>
              <w:rPr>
                <w:rFonts w:ascii="Microsoft JhengHei" w:eastAsia="Microsoft JhengHei" w:hint="eastAsia"/>
                <w:b/>
                <w:sz w:val="21"/>
              </w:rPr>
            </w:pPr>
            <w:r>
              <w:rPr>
                <w:b/>
                <w:sz w:val="21"/>
              </w:rPr>
              <w:t>56. </w:t>
            </w:r>
            <w:r>
              <w:rPr>
                <w:rFonts w:ascii="Microsoft JhengHei" w:eastAsia="Microsoft JhengHei" w:hint="eastAsia"/>
                <w:b/>
                <w:sz w:val="21"/>
              </w:rPr>
              <w:t>胰腺移植</w:t>
            </w:r>
          </w:p>
        </w:tc>
        <w:tc>
          <w:tcPr>
            <w:tcW w:w="7731" w:type="dxa"/>
          </w:tcPr>
          <w:p>
            <w:pPr>
              <w:pStyle w:val="TableParagraph"/>
              <w:spacing w:before="129"/>
              <w:ind w:left="105"/>
              <w:rPr>
                <w:sz w:val="21"/>
              </w:rPr>
            </w:pPr>
            <w:r>
              <w:rPr>
                <w:sz w:val="21"/>
              </w:rPr>
              <w:t>指因胰腺功能衰竭，已经实施了在全身麻醉下进行的胰腺的异体器官移植手术。</w:t>
            </w:r>
          </w:p>
          <w:p>
            <w:pPr>
              <w:pStyle w:val="TableParagraph"/>
              <w:spacing w:before="25"/>
              <w:ind w:left="105"/>
              <w:rPr>
                <w:b/>
                <w:i/>
                <w:sz w:val="22"/>
              </w:rPr>
            </w:pPr>
            <w:r>
              <w:rPr>
                <w:b/>
                <w:i/>
                <w:w w:val="95"/>
                <w:sz w:val="22"/>
              </w:rPr>
              <w:t>单纯胰岛移植、部分胰腺组织或细胞的移植不再本保障范围内。</w:t>
            </w:r>
          </w:p>
        </w:tc>
      </w:tr>
      <w:tr>
        <w:trPr>
          <w:trHeight w:val="2408" w:hRule="atLeast"/>
        </w:trPr>
        <w:tc>
          <w:tcPr>
            <w:tcW w:w="2022" w:type="dxa"/>
          </w:tcPr>
          <w:p>
            <w:pPr>
              <w:pStyle w:val="TableParagraph"/>
              <w:spacing w:line="235" w:lineRule="auto" w:before="51"/>
              <w:ind w:left="619" w:right="104" w:hanging="420"/>
              <w:jc w:val="both"/>
              <w:rPr>
                <w:rFonts w:ascii="Microsoft JhengHei" w:eastAsia="Microsoft JhengHei" w:hint="eastAsia"/>
                <w:b/>
                <w:sz w:val="21"/>
              </w:rPr>
            </w:pPr>
            <w:r>
              <w:rPr>
                <w:b/>
                <w:sz w:val="21"/>
              </w:rPr>
              <w:t>57. </w:t>
            </w:r>
            <w:r>
              <w:rPr>
                <w:rFonts w:ascii="Microsoft JhengHei" w:eastAsia="Microsoft JhengHei" w:hint="eastAsia"/>
                <w:b/>
                <w:spacing w:val="-1"/>
                <w:sz w:val="21"/>
              </w:rPr>
              <w:t>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731" w:type="dxa"/>
          </w:tcPr>
          <w:p>
            <w:pPr>
              <w:pStyle w:val="TableParagraph"/>
              <w:spacing w:line="273" w:lineRule="auto" w:before="98"/>
              <w:ind w:left="105" w:right="199"/>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w:t>
            </w:r>
            <w:r>
              <w:rPr>
                <w:spacing w:val="-15"/>
                <w:sz w:val="21"/>
              </w:rPr>
              <w:t>等。肝脏活检是确诊的重要手段。瑞氏综合征需由三级医院的儿科专科医生确诊， </w:t>
            </w:r>
            <w:r>
              <w:rPr>
                <w:spacing w:val="-7"/>
                <w:sz w:val="21"/>
              </w:rPr>
              <w:t>并符合下列所有条件：</w:t>
            </w:r>
          </w:p>
          <w:p>
            <w:pPr>
              <w:pStyle w:val="TableParagraph"/>
              <w:spacing w:before="7"/>
              <w:ind w:left="105"/>
              <w:rPr>
                <w:sz w:val="21"/>
              </w:rPr>
            </w:pPr>
            <w:r>
              <w:rPr>
                <w:sz w:val="21"/>
              </w:rPr>
              <w:t>（1）有脑水肿和颅内压升高的脑脊液检查和影像学检查证据；</w:t>
            </w:r>
          </w:p>
          <w:p>
            <w:pPr>
              <w:pStyle w:val="TableParagraph"/>
              <w:spacing w:before="37"/>
              <w:ind w:left="105"/>
              <w:rPr>
                <w:sz w:val="21"/>
              </w:rPr>
            </w:pPr>
            <w:r>
              <w:rPr>
                <w:sz w:val="21"/>
              </w:rPr>
              <w:t>（2）血氨超过正常值的 3 倍；</w:t>
            </w:r>
          </w:p>
          <w:p>
            <w:pPr>
              <w:pStyle w:val="TableParagraph"/>
              <w:spacing w:before="37"/>
              <w:ind w:left="105"/>
              <w:rPr>
                <w:sz w:val="21"/>
              </w:rPr>
            </w:pPr>
            <w:r>
              <w:rPr>
                <w:sz w:val="21"/>
              </w:rPr>
              <w:t>（3）临床出现昏迷，病程至少达到疾病分期第 3 期。</w:t>
            </w:r>
          </w:p>
        </w:tc>
      </w:tr>
      <w:tr>
        <w:trPr>
          <w:trHeight w:val="2701" w:hRule="atLeast"/>
        </w:trPr>
        <w:tc>
          <w:tcPr>
            <w:tcW w:w="2022" w:type="dxa"/>
          </w:tcPr>
          <w:p>
            <w:pPr>
              <w:pStyle w:val="TableParagraph"/>
              <w:spacing w:line="230" w:lineRule="auto" w:before="58"/>
              <w:ind w:left="619" w:right="135" w:hanging="420"/>
              <w:rPr>
                <w:rFonts w:ascii="Microsoft JhengHei" w:eastAsia="Microsoft JhengHei" w:hint="eastAsia"/>
                <w:b/>
                <w:sz w:val="21"/>
              </w:rPr>
            </w:pPr>
            <w:r>
              <w:rPr>
                <w:b/>
                <w:sz w:val="21"/>
              </w:rPr>
              <w:t>58. </w:t>
            </w:r>
            <w:r>
              <w:rPr>
                <w:rFonts w:ascii="Microsoft JhengHei" w:eastAsia="Microsoft JhengHei" w:hint="eastAsia"/>
                <w:b/>
                <w:sz w:val="21"/>
              </w:rPr>
              <w:t>严重自身免疫性肝炎</w:t>
            </w:r>
          </w:p>
        </w:tc>
        <w:tc>
          <w:tcPr>
            <w:tcW w:w="7731" w:type="dxa"/>
          </w:tcPr>
          <w:p>
            <w:pPr>
              <w:pStyle w:val="TableParagraph"/>
              <w:spacing w:line="273" w:lineRule="auto" w:before="98"/>
              <w:ind w:left="105" w:right="304"/>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5"/>
              <w:rPr>
                <w:sz w:val="21"/>
              </w:rPr>
            </w:pPr>
            <w:r>
              <w:rPr>
                <w:sz w:val="21"/>
              </w:rPr>
              <w:t>（1）高γ球蛋白血症；</w:t>
            </w:r>
          </w:p>
          <w:p>
            <w:pPr>
              <w:pStyle w:val="TableParagraph"/>
              <w:spacing w:line="273" w:lineRule="auto" w:before="36"/>
              <w:ind w:left="631" w:right="306" w:hanging="527"/>
              <w:rPr>
                <w:sz w:val="21"/>
              </w:rPr>
            </w:pPr>
            <w:r>
              <w:rPr>
                <w:spacing w:val="-7"/>
                <w:sz w:val="21"/>
              </w:rPr>
              <w:t>（2）</w:t>
            </w:r>
            <w:r>
              <w:rPr>
                <w:spacing w:val="-5"/>
                <w:sz w:val="21"/>
              </w:rPr>
              <w:t>血液中存在高水平的自身免疫抗体，如 </w:t>
            </w:r>
            <w:r>
              <w:rPr>
                <w:spacing w:val="-6"/>
                <w:sz w:val="21"/>
              </w:rPr>
              <w:t>ANA（</w:t>
            </w:r>
            <w:r>
              <w:rPr>
                <w:spacing w:val="-3"/>
                <w:sz w:val="21"/>
              </w:rPr>
              <w:t>抗核抗体</w:t>
            </w:r>
            <w:r>
              <w:rPr>
                <w:spacing w:val="-108"/>
                <w:sz w:val="21"/>
              </w:rPr>
              <w:t>）</w:t>
            </w:r>
            <w:r>
              <w:rPr>
                <w:spacing w:val="-17"/>
                <w:sz w:val="21"/>
              </w:rPr>
              <w:t>、</w:t>
            </w:r>
            <w:r>
              <w:rPr>
                <w:spacing w:val="-6"/>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spacing w:before="7"/>
              <w:ind w:left="105"/>
              <w:jc w:val="both"/>
              <w:rPr>
                <w:sz w:val="21"/>
              </w:rPr>
            </w:pPr>
            <w:r>
              <w:rPr>
                <w:sz w:val="21"/>
              </w:rPr>
              <w:t>（3）肝脏活检证实免疫性肝炎；</w:t>
            </w:r>
          </w:p>
          <w:p>
            <w:pPr>
              <w:pStyle w:val="TableParagraph"/>
              <w:spacing w:before="37"/>
              <w:ind w:left="105"/>
              <w:jc w:val="both"/>
              <w:rPr>
                <w:sz w:val="21"/>
              </w:rPr>
            </w:pPr>
            <w:r>
              <w:rPr>
                <w:sz w:val="21"/>
              </w:rPr>
              <w:t>（4）临床已经出现腹水、食道静脉曲张和脾肿大等肝硬化表现。</w:t>
            </w:r>
          </w:p>
        </w:tc>
      </w:tr>
      <w:tr>
        <w:trPr>
          <w:trHeight w:val="3970" w:hRule="atLeast"/>
        </w:trPr>
        <w:tc>
          <w:tcPr>
            <w:tcW w:w="2022" w:type="dxa"/>
          </w:tcPr>
          <w:p>
            <w:pPr>
              <w:pStyle w:val="TableParagraph"/>
              <w:spacing w:line="232" w:lineRule="auto" w:before="36"/>
              <w:ind w:left="619" w:right="135" w:hanging="420"/>
              <w:jc w:val="both"/>
              <w:rPr>
                <w:rFonts w:ascii="Microsoft JhengHei" w:eastAsia="Microsoft JhengHei" w:hint="eastAsia"/>
                <w:b/>
                <w:sz w:val="21"/>
              </w:rPr>
            </w:pPr>
            <w:r>
              <w:rPr>
                <w:b/>
                <w:sz w:val="21"/>
              </w:rPr>
              <w:t>59.</w:t>
            </w:r>
            <w:r>
              <w:rPr>
                <w:b/>
                <w:spacing w:val="52"/>
                <w:sz w:val="21"/>
              </w:rPr>
              <w:t> </w:t>
            </w:r>
            <w:r>
              <w:rPr>
                <w:rFonts w:ascii="Microsoft JhengHei" w:eastAsia="Microsoft JhengHei" w:hint="eastAsia"/>
                <w:b/>
                <w:sz w:val="21"/>
              </w:rPr>
              <w:t>ft</w:t>
            </w:r>
            <w:r>
              <w:rPr>
                <w:rFonts w:ascii="Microsoft JhengHei" w:eastAsia="Microsoft JhengHei" w:hint="eastAsia"/>
                <w:b/>
                <w:spacing w:val="-2"/>
                <w:sz w:val="21"/>
              </w:rPr>
              <w:t>萎缩性</w:t>
            </w:r>
            <w:r>
              <w:rPr>
                <w:rFonts w:ascii="Microsoft JhengHei" w:eastAsia="Microsoft JhengHei" w:hint="eastAsia"/>
                <w:b/>
                <w:sz w:val="21"/>
              </w:rPr>
              <w:t>（脊髓）</w:t>
            </w:r>
            <w:r>
              <w:rPr>
                <w:rFonts w:ascii="Microsoft JhengHei" w:eastAsia="Microsoft JhengHei" w:hint="eastAsia"/>
                <w:b/>
                <w:spacing w:val="-2"/>
                <w:sz w:val="21"/>
              </w:rPr>
              <w:t>侧索硬化症</w:t>
            </w:r>
          </w:p>
        </w:tc>
        <w:tc>
          <w:tcPr>
            <w:tcW w:w="7731" w:type="dxa"/>
          </w:tcPr>
          <w:p>
            <w:pPr>
              <w:pStyle w:val="TableParagraph"/>
              <w:spacing w:line="273" w:lineRule="auto" w:before="80"/>
              <w:ind w:left="105" w:right="305"/>
              <w:jc w:val="both"/>
              <w:rPr>
                <w:sz w:val="21"/>
              </w:rPr>
            </w:pPr>
            <w:r>
              <w:rPr>
                <w:spacing w:val="-6"/>
                <w:sz w:val="21"/>
              </w:rPr>
              <w:t>是指持续的神经变性累及脊髓神经及脑干运动神经元，出现肌肉无力、挛缩、肌</w:t>
            </w:r>
            <w:r>
              <w:rPr>
                <w:spacing w:val="-7"/>
                <w:sz w:val="21"/>
              </w:rPr>
              <w:t>束颤动及萎缩症状和体征。须经神经专科医师做出明确诊断，且疾病进行性发展</w:t>
            </w:r>
            <w:r>
              <w:rPr>
                <w:spacing w:val="-5"/>
                <w:sz w:val="21"/>
              </w:rPr>
              <w:t>已导致不可逆转的永久性神经系统功能障碍。</w:t>
            </w:r>
          </w:p>
          <w:p>
            <w:pPr>
              <w:pStyle w:val="TableParagraph"/>
              <w:spacing w:before="7"/>
              <w:ind w:left="105"/>
              <w:jc w:val="both"/>
              <w:rPr>
                <w:sz w:val="21"/>
              </w:rPr>
            </w:pPr>
            <w:r>
              <w:rPr>
                <w:sz w:val="21"/>
              </w:rPr>
              <w:t>永久性神经系统功能障碍是指以下六项条件中的一项或一项以上：</w:t>
            </w:r>
          </w:p>
          <w:p>
            <w:pPr>
              <w:pStyle w:val="TableParagraph"/>
              <w:spacing w:before="36"/>
              <w:ind w:left="105"/>
              <w:jc w:val="both"/>
              <w:rPr>
                <w:sz w:val="21"/>
              </w:rPr>
            </w:pPr>
            <w:r>
              <w:rPr>
                <w:sz w:val="21"/>
              </w:rPr>
              <w:t>（1）一上肢或双上肢手腕以上部分的完全及永久瘫痪；</w:t>
            </w:r>
          </w:p>
          <w:p>
            <w:pPr>
              <w:pStyle w:val="TableParagraph"/>
              <w:spacing w:before="36"/>
              <w:ind w:left="105"/>
              <w:jc w:val="both"/>
              <w:rPr>
                <w:sz w:val="21"/>
              </w:rPr>
            </w:pPr>
            <w:r>
              <w:rPr>
                <w:sz w:val="21"/>
              </w:rPr>
              <w:t>（2）一下肢或双下肢足踝以上部分的完全及永久瘫痪；</w:t>
            </w:r>
          </w:p>
          <w:p>
            <w:pPr>
              <w:pStyle w:val="TableParagraph"/>
              <w:spacing w:before="36"/>
              <w:ind w:left="105"/>
              <w:jc w:val="both"/>
              <w:rPr>
                <w:sz w:val="21"/>
              </w:rPr>
            </w:pPr>
            <w:r>
              <w:rPr>
                <w:sz w:val="21"/>
              </w:rPr>
              <w:t>（3）四肢机能完全及永久丧失；</w:t>
            </w:r>
          </w:p>
          <w:p>
            <w:pPr>
              <w:pStyle w:val="TableParagraph"/>
              <w:spacing w:before="36"/>
              <w:ind w:left="105"/>
              <w:jc w:val="both"/>
              <w:rPr>
                <w:sz w:val="21"/>
              </w:rPr>
            </w:pPr>
            <w:r>
              <w:rPr>
                <w:sz w:val="21"/>
              </w:rPr>
              <w:t>（4）完全及永久丧失语言能力；</w:t>
            </w:r>
          </w:p>
          <w:p>
            <w:pPr>
              <w:pStyle w:val="TableParagraph"/>
              <w:spacing w:before="36"/>
              <w:ind w:left="105"/>
              <w:jc w:val="both"/>
              <w:rPr>
                <w:sz w:val="21"/>
              </w:rPr>
            </w:pPr>
            <w:r>
              <w:rPr>
                <w:w w:val="100"/>
                <w:sz w:val="21"/>
              </w:rPr>
              <w:t>（5</w:t>
            </w:r>
            <w:r>
              <w:rPr>
                <w:spacing w:val="-3"/>
                <w:w w:val="100"/>
                <w:sz w:val="21"/>
              </w:rPr>
              <w:t>）完全及永久丧失吞咽能力（吞咽困难</w:t>
            </w:r>
            <w:r>
              <w:rPr>
                <w:spacing w:val="-106"/>
                <w:w w:val="100"/>
                <w:sz w:val="21"/>
              </w:rPr>
              <w:t>）</w:t>
            </w:r>
            <w:r>
              <w:rPr>
                <w:spacing w:val="-3"/>
                <w:w w:val="100"/>
                <w:sz w:val="21"/>
              </w:rPr>
              <w:t>，必须永久使用喂饲管；</w:t>
            </w:r>
          </w:p>
          <w:p>
            <w:pPr>
              <w:pStyle w:val="TableParagraph"/>
              <w:spacing w:line="273" w:lineRule="auto" w:before="36"/>
              <w:ind w:left="631" w:right="371" w:hanging="527"/>
              <w:jc w:val="both"/>
              <w:rPr>
                <w:sz w:val="21"/>
              </w:rPr>
            </w:pPr>
            <w:r>
              <w:rPr>
                <w:sz w:val="21"/>
              </w:rPr>
              <w:t>（6）无法独立进行六项日常生活活动即穿衣、移动、行动、卫生、进食、洗澡中三项或三项以上，且上述日常生活活动经过三个月的持续治疗后仍无法完成。</w:t>
            </w:r>
          </w:p>
        </w:tc>
      </w:tr>
      <w:tr>
        <w:trPr>
          <w:trHeight w:val="2578" w:hRule="atLeast"/>
        </w:trPr>
        <w:tc>
          <w:tcPr>
            <w:tcW w:w="2022" w:type="dxa"/>
          </w:tcPr>
          <w:p>
            <w:pPr>
              <w:pStyle w:val="TableParagraph"/>
              <w:spacing w:line="358" w:lineRule="exact" w:before="64"/>
              <w:ind w:left="200"/>
              <w:rPr>
                <w:rFonts w:ascii="Microsoft JhengHei" w:eastAsia="Microsoft JhengHei" w:hint="eastAsia"/>
                <w:b/>
                <w:sz w:val="21"/>
              </w:rPr>
            </w:pPr>
            <w:r>
              <w:rPr>
                <w:b/>
                <w:sz w:val="21"/>
              </w:rPr>
              <w:t>60. </w:t>
            </w:r>
            <w:r>
              <w:rPr>
                <w:rFonts w:ascii="Microsoft JhengHei" w:eastAsia="Microsoft JhengHei" w:hint="eastAsia"/>
                <w:b/>
                <w:sz w:val="21"/>
              </w:rPr>
              <w:t>肝豆状核变性</w:t>
            </w:r>
          </w:p>
          <w:p>
            <w:pPr>
              <w:pStyle w:val="TableParagraph"/>
              <w:spacing w:line="358" w:lineRule="exact"/>
              <w:ind w:left="619"/>
              <w:rPr>
                <w:rFonts w:ascii="Microsoft JhengHei" w:eastAsia="Microsoft JhengHei" w:hint="eastAsia"/>
                <w:b/>
                <w:sz w:val="21"/>
              </w:rPr>
            </w:pPr>
            <w:r>
              <w:rPr>
                <w:rFonts w:ascii="Microsoft JhengHei" w:eastAsia="Microsoft JhengHei" w:hint="eastAsia"/>
                <w:b/>
                <w:w w:val="95"/>
                <w:sz w:val="21"/>
              </w:rPr>
              <w:t>(Wilson 病)</w:t>
            </w:r>
          </w:p>
        </w:tc>
        <w:tc>
          <w:tcPr>
            <w:tcW w:w="7731" w:type="dxa"/>
          </w:tcPr>
          <w:p>
            <w:pPr>
              <w:pStyle w:val="TableParagraph"/>
              <w:spacing w:line="273" w:lineRule="auto" w:before="118"/>
              <w:ind w:left="105" w:right="260"/>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numPr>
                <w:ilvl w:val="0"/>
                <w:numId w:val="15"/>
              </w:numPr>
              <w:tabs>
                <w:tab w:pos="730" w:val="left" w:leader="none"/>
              </w:tabs>
              <w:spacing w:line="273" w:lineRule="auto" w:before="7" w:after="0"/>
              <w:ind w:left="736" w:right="304" w:hanging="631"/>
              <w:jc w:val="left"/>
              <w:rPr>
                <w:sz w:val="21"/>
              </w:rPr>
            </w:pPr>
            <w:r>
              <w:rPr>
                <w:spacing w:val="-7"/>
                <w:sz w:val="21"/>
              </w:rPr>
              <w:t>临床表现包括：进行性加剧的肢体震颤，肌强直，吞咽及发音困难，精神异常；</w:t>
            </w:r>
          </w:p>
          <w:p>
            <w:pPr>
              <w:pStyle w:val="TableParagraph"/>
              <w:numPr>
                <w:ilvl w:val="0"/>
                <w:numId w:val="15"/>
              </w:numPr>
              <w:tabs>
                <w:tab w:pos="737" w:val="left" w:leader="none"/>
              </w:tabs>
              <w:spacing w:line="240" w:lineRule="auto" w:before="7" w:after="0"/>
              <w:ind w:left="736" w:right="0" w:hanging="631"/>
              <w:jc w:val="left"/>
              <w:rPr>
                <w:sz w:val="21"/>
              </w:rPr>
            </w:pPr>
            <w:r>
              <w:rPr>
                <w:spacing w:val="-3"/>
                <w:w w:val="100"/>
                <w:sz w:val="21"/>
              </w:rPr>
              <w:t>角膜色素环（</w:t>
            </w:r>
            <w:r>
              <w:rPr>
                <w:w w:val="100"/>
                <w:sz w:val="21"/>
              </w:rPr>
              <w:t>K-F</w:t>
            </w:r>
            <w:r>
              <w:rPr>
                <w:spacing w:val="-55"/>
                <w:sz w:val="21"/>
              </w:rPr>
              <w:t> </w:t>
            </w:r>
            <w:r>
              <w:rPr>
                <w:w w:val="100"/>
                <w:sz w:val="21"/>
              </w:rPr>
              <w:t>环</w:t>
            </w:r>
            <w:r>
              <w:rPr>
                <w:spacing w:val="-106"/>
                <w:w w:val="100"/>
                <w:sz w:val="21"/>
              </w:rPr>
              <w:t>）</w:t>
            </w:r>
            <w:r>
              <w:rPr>
                <w:w w:val="100"/>
                <w:sz w:val="21"/>
              </w:rPr>
              <w:t>；</w:t>
            </w:r>
          </w:p>
          <w:p>
            <w:pPr>
              <w:pStyle w:val="TableParagraph"/>
              <w:numPr>
                <w:ilvl w:val="0"/>
                <w:numId w:val="15"/>
              </w:numPr>
              <w:tabs>
                <w:tab w:pos="737" w:val="left" w:leader="none"/>
              </w:tabs>
              <w:spacing w:line="240" w:lineRule="auto" w:before="36" w:after="0"/>
              <w:ind w:left="736" w:right="0" w:hanging="631"/>
              <w:jc w:val="left"/>
              <w:rPr>
                <w:sz w:val="21"/>
              </w:rPr>
            </w:pPr>
            <w:r>
              <w:rPr>
                <w:spacing w:val="-3"/>
                <w:sz w:val="21"/>
              </w:rPr>
              <w:t>血清铜和血清铜蓝蛋白降低，尿铜增加；</w:t>
            </w:r>
          </w:p>
          <w:p>
            <w:pPr>
              <w:pStyle w:val="TableParagraph"/>
              <w:numPr>
                <w:ilvl w:val="0"/>
                <w:numId w:val="15"/>
              </w:numPr>
              <w:tabs>
                <w:tab w:pos="737" w:val="left" w:leader="none"/>
              </w:tabs>
              <w:spacing w:line="240" w:lineRule="auto" w:before="36" w:after="0"/>
              <w:ind w:left="736" w:right="0" w:hanging="631"/>
              <w:jc w:val="left"/>
              <w:rPr>
                <w:sz w:val="21"/>
              </w:rPr>
            </w:pPr>
            <w:r>
              <w:rPr>
                <w:spacing w:val="-3"/>
                <w:sz w:val="21"/>
              </w:rPr>
              <w:t>食管静脉曲张；</w:t>
            </w:r>
          </w:p>
          <w:p>
            <w:pPr>
              <w:pStyle w:val="TableParagraph"/>
              <w:numPr>
                <w:ilvl w:val="0"/>
                <w:numId w:val="15"/>
              </w:numPr>
              <w:tabs>
                <w:tab w:pos="737" w:val="left" w:leader="none"/>
              </w:tabs>
              <w:spacing w:line="255" w:lineRule="exact" w:before="36" w:after="0"/>
              <w:ind w:left="736" w:right="0" w:hanging="631"/>
              <w:jc w:val="left"/>
              <w:rPr>
                <w:sz w:val="21"/>
              </w:rPr>
            </w:pPr>
            <w:r>
              <w:rPr>
                <w:spacing w:val="-2"/>
                <w:sz w:val="21"/>
              </w:rPr>
              <w:t>腹水。</w:t>
            </w:r>
          </w:p>
        </w:tc>
      </w:tr>
    </w:tbl>
    <w:p>
      <w:pPr>
        <w:spacing w:after="0" w:line="255" w:lineRule="exact"/>
        <w:jc w:val="left"/>
        <w:rPr>
          <w:sz w:val="21"/>
        </w:rPr>
        <w:sectPr>
          <w:pgSz w:w="11910" w:h="16840"/>
          <w:pgMar w:header="0" w:footer="358"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1950" w:hRule="atLeast"/>
        </w:trPr>
        <w:tc>
          <w:tcPr>
            <w:tcW w:w="859" w:type="dxa"/>
          </w:tcPr>
          <w:p>
            <w:pPr>
              <w:pStyle w:val="TableParagraph"/>
              <w:ind w:left="0"/>
              <w:rPr>
                <w:rFonts w:ascii="Times New Roman"/>
                <w:sz w:val="20"/>
              </w:rPr>
            </w:pPr>
          </w:p>
        </w:tc>
        <w:tc>
          <w:tcPr>
            <w:tcW w:w="1951" w:type="dxa"/>
          </w:tcPr>
          <w:p>
            <w:pPr>
              <w:pStyle w:val="TableParagraph"/>
              <w:spacing w:line="247" w:lineRule="exact"/>
              <w:ind w:left="131"/>
              <w:rPr>
                <w:rFonts w:ascii="Microsoft JhengHei" w:eastAsia="Microsoft JhengHei" w:hint="eastAsia"/>
                <w:b/>
                <w:sz w:val="21"/>
              </w:rPr>
            </w:pPr>
            <w:r>
              <w:rPr>
                <w:b/>
                <w:sz w:val="21"/>
              </w:rPr>
              <w:t>61. </w:t>
            </w:r>
            <w:r>
              <w:rPr>
                <w:rFonts w:ascii="Microsoft JhengHei" w:eastAsia="Microsoft JhengHei" w:hint="eastAsia"/>
                <w:b/>
                <w:sz w:val="21"/>
              </w:rPr>
              <w:t>严重哮喘</w:t>
            </w:r>
          </w:p>
        </w:tc>
        <w:tc>
          <w:tcPr>
            <w:tcW w:w="7731" w:type="dxa"/>
          </w:tcPr>
          <w:p>
            <w:pPr>
              <w:pStyle w:val="TableParagraph"/>
              <w:spacing w:line="211" w:lineRule="exact"/>
              <w:ind w:left="107"/>
              <w:rPr>
                <w:sz w:val="21"/>
              </w:rPr>
            </w:pPr>
            <w:r>
              <w:rPr>
                <w:sz w:val="21"/>
              </w:rPr>
              <w:t>被保险人必须在过去两年内曾发生哮喘持续状态，并符合以下其中两项标准，本</w:t>
            </w:r>
          </w:p>
          <w:p>
            <w:pPr>
              <w:pStyle w:val="TableParagraph"/>
              <w:spacing w:before="37"/>
              <w:ind w:left="107"/>
              <w:rPr>
                <w:sz w:val="21"/>
              </w:rPr>
            </w:pPr>
            <w:r>
              <w:rPr>
                <w:sz w:val="21"/>
              </w:rPr>
              <w:t>公司才承担保险责任：</w:t>
            </w:r>
          </w:p>
          <w:p>
            <w:pPr>
              <w:pStyle w:val="TableParagraph"/>
              <w:numPr>
                <w:ilvl w:val="0"/>
                <w:numId w:val="16"/>
              </w:numPr>
              <w:tabs>
                <w:tab w:pos="739" w:val="left" w:leader="none"/>
              </w:tabs>
              <w:spacing w:line="240" w:lineRule="auto" w:before="37" w:after="0"/>
              <w:ind w:left="739" w:right="0" w:hanging="632"/>
              <w:jc w:val="left"/>
              <w:rPr>
                <w:sz w:val="21"/>
              </w:rPr>
            </w:pPr>
            <w:r>
              <w:rPr>
                <w:spacing w:val="-3"/>
                <w:sz w:val="21"/>
              </w:rPr>
              <w:t>运动耐受力永久并持续地减少并却轻微的运动能引起气促；</w:t>
            </w:r>
          </w:p>
          <w:p>
            <w:pPr>
              <w:pStyle w:val="TableParagraph"/>
              <w:numPr>
                <w:ilvl w:val="0"/>
                <w:numId w:val="16"/>
              </w:numPr>
              <w:tabs>
                <w:tab w:pos="739" w:val="left" w:leader="none"/>
              </w:tabs>
              <w:spacing w:line="240" w:lineRule="auto" w:before="36" w:after="0"/>
              <w:ind w:left="739" w:right="0" w:hanging="632"/>
              <w:jc w:val="left"/>
              <w:rPr>
                <w:sz w:val="21"/>
              </w:rPr>
            </w:pPr>
            <w:r>
              <w:rPr>
                <w:spacing w:val="-3"/>
                <w:sz w:val="21"/>
              </w:rPr>
              <w:t>长期胸腔过渡膨胀而导致胸腔畸形；</w:t>
            </w:r>
          </w:p>
          <w:p>
            <w:pPr>
              <w:pStyle w:val="TableParagraph"/>
              <w:numPr>
                <w:ilvl w:val="0"/>
                <w:numId w:val="16"/>
              </w:numPr>
              <w:tabs>
                <w:tab w:pos="739" w:val="left" w:leader="none"/>
              </w:tabs>
              <w:spacing w:line="240" w:lineRule="auto" w:before="36" w:after="0"/>
              <w:ind w:left="739" w:right="0" w:hanging="632"/>
              <w:jc w:val="left"/>
              <w:rPr>
                <w:sz w:val="21"/>
              </w:rPr>
            </w:pPr>
            <w:r>
              <w:rPr>
                <w:spacing w:val="-3"/>
                <w:sz w:val="21"/>
              </w:rPr>
              <w:t>在家及在静息状态下需要吸氧；</w:t>
            </w:r>
          </w:p>
          <w:p>
            <w:pPr>
              <w:pStyle w:val="TableParagraph"/>
              <w:numPr>
                <w:ilvl w:val="0"/>
                <w:numId w:val="16"/>
              </w:numPr>
              <w:tabs>
                <w:tab w:pos="739" w:val="left" w:leader="none"/>
              </w:tabs>
              <w:spacing w:line="240" w:lineRule="auto" w:before="36" w:after="0"/>
              <w:ind w:left="739" w:right="0" w:hanging="632"/>
              <w:jc w:val="left"/>
              <w:rPr>
                <w:sz w:val="21"/>
              </w:rPr>
            </w:pPr>
            <w:r>
              <w:rPr>
                <w:spacing w:val="-3"/>
                <w:sz w:val="21"/>
              </w:rPr>
              <w:t>持续的每天服用类固醇药物(至少持续六个月以上)。</w:t>
            </w:r>
          </w:p>
        </w:tc>
      </w:tr>
      <w:tr>
        <w:trPr>
          <w:trHeight w:val="4298" w:hRule="atLeast"/>
        </w:trPr>
        <w:tc>
          <w:tcPr>
            <w:tcW w:w="859" w:type="dxa"/>
          </w:tcPr>
          <w:p>
            <w:pPr>
              <w:pStyle w:val="TableParagraph"/>
              <w:ind w:left="0"/>
              <w:rPr>
                <w:rFonts w:ascii="Times New Roman"/>
                <w:sz w:val="20"/>
              </w:rPr>
            </w:pPr>
          </w:p>
        </w:tc>
        <w:tc>
          <w:tcPr>
            <w:tcW w:w="1951" w:type="dxa"/>
          </w:tcPr>
          <w:p>
            <w:pPr>
              <w:pStyle w:val="TableParagraph"/>
              <w:spacing w:before="115"/>
              <w:ind w:left="0" w:right="104"/>
              <w:jc w:val="right"/>
              <w:rPr>
                <w:b/>
                <w:sz w:val="21"/>
              </w:rPr>
            </w:pPr>
            <w:r>
              <w:rPr>
                <w:b/>
                <w:sz w:val="21"/>
              </w:rPr>
              <w:t>注：</w:t>
            </w:r>
          </w:p>
        </w:tc>
        <w:tc>
          <w:tcPr>
            <w:tcW w:w="7731" w:type="dxa"/>
          </w:tcPr>
          <w:p>
            <w:pPr>
              <w:pStyle w:val="TableParagraph"/>
              <w:spacing w:before="115"/>
              <w:ind w:left="107"/>
              <w:rPr>
                <w:sz w:val="21"/>
              </w:rPr>
            </w:pPr>
            <w:r>
              <w:rPr>
                <w:sz w:val="21"/>
              </w:rPr>
              <w:t>1、六项基本日常生活活动</w:t>
            </w:r>
          </w:p>
          <w:p>
            <w:pPr>
              <w:pStyle w:val="TableParagraph"/>
              <w:spacing w:line="273" w:lineRule="auto" w:before="37"/>
              <w:ind w:left="107" w:right="266"/>
              <w:jc w:val="both"/>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6"/>
              <w:ind w:left="107" w:right="303"/>
              <w:jc w:val="both"/>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7"/>
              <w:ind w:left="107"/>
              <w:rPr>
                <w:sz w:val="21"/>
              </w:rPr>
            </w:pPr>
            <w:r>
              <w:rPr>
                <w:sz w:val="21"/>
              </w:rPr>
              <w:t>3、语言能力或咀嚼吞咽能力完全丧失</w:t>
            </w:r>
          </w:p>
          <w:p>
            <w:pPr>
              <w:pStyle w:val="TableParagraph"/>
              <w:spacing w:line="273" w:lineRule="auto" w:before="37"/>
              <w:ind w:left="107" w:right="302"/>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3347" w:hRule="atLeast"/>
        </w:trPr>
        <w:tc>
          <w:tcPr>
            <w:tcW w:w="859" w:type="dxa"/>
          </w:tcPr>
          <w:p>
            <w:pPr>
              <w:pStyle w:val="TableParagraph"/>
              <w:spacing w:before="100"/>
              <w:ind w:left="200"/>
              <w:rPr>
                <w:b/>
                <w:sz w:val="21"/>
              </w:rPr>
            </w:pPr>
            <w:r>
              <w:rPr>
                <w:b/>
                <w:sz w:val="21"/>
              </w:rPr>
              <w:t>10.10</w:t>
            </w:r>
          </w:p>
        </w:tc>
        <w:tc>
          <w:tcPr>
            <w:tcW w:w="1951" w:type="dxa"/>
          </w:tcPr>
          <w:p>
            <w:pPr>
              <w:pStyle w:val="TableParagraph"/>
              <w:spacing w:before="100"/>
              <w:ind w:left="131"/>
              <w:rPr>
                <w:b/>
                <w:sz w:val="21"/>
              </w:rPr>
            </w:pPr>
            <w:r>
              <w:rPr>
                <w:b/>
                <w:sz w:val="21"/>
              </w:rPr>
              <w:t>全残</w:t>
            </w:r>
          </w:p>
        </w:tc>
        <w:tc>
          <w:tcPr>
            <w:tcW w:w="7731" w:type="dxa"/>
          </w:tcPr>
          <w:p>
            <w:pPr>
              <w:pStyle w:val="TableParagraph"/>
              <w:spacing w:before="100"/>
              <w:ind w:left="107"/>
              <w:rPr>
                <w:sz w:val="21"/>
              </w:rPr>
            </w:pPr>
            <w:r>
              <w:rPr>
                <w:sz w:val="21"/>
              </w:rPr>
              <w:t>本合同所定义的全残是指至少满足下列情形之一者：</w:t>
            </w:r>
          </w:p>
          <w:p>
            <w:pPr>
              <w:pStyle w:val="TableParagraph"/>
              <w:spacing w:before="36"/>
              <w:ind w:left="107"/>
              <w:rPr>
                <w:sz w:val="21"/>
              </w:rPr>
            </w:pPr>
            <w:r>
              <w:rPr>
                <w:w w:val="100"/>
                <w:sz w:val="21"/>
              </w:rPr>
              <w:t>（1</w:t>
            </w:r>
            <w:r>
              <w:rPr>
                <w:spacing w:val="-2"/>
                <w:w w:val="100"/>
                <w:sz w:val="21"/>
              </w:rPr>
              <w:t>）</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6"/>
              <w:ind w:left="107"/>
              <w:rPr>
                <w:sz w:val="21"/>
              </w:rPr>
            </w:pPr>
            <w:r>
              <w:rPr>
                <w:sz w:val="21"/>
              </w:rPr>
              <w:t>（2）两上肢腕关节以上或两下肢踝关节以上缺失；</w:t>
            </w:r>
          </w:p>
          <w:p>
            <w:pPr>
              <w:pStyle w:val="TableParagraph"/>
              <w:spacing w:before="36"/>
              <w:ind w:left="107"/>
              <w:rPr>
                <w:sz w:val="21"/>
              </w:rPr>
            </w:pPr>
            <w:r>
              <w:rPr>
                <w:sz w:val="21"/>
              </w:rPr>
              <w:t>（3）一上肢腕关节以上及一下肢踝关节以上缺失；</w:t>
            </w:r>
          </w:p>
          <w:p>
            <w:pPr>
              <w:pStyle w:val="TableParagraph"/>
              <w:spacing w:before="36"/>
              <w:ind w:left="107"/>
              <w:rPr>
                <w:sz w:val="21"/>
              </w:rPr>
            </w:pPr>
            <w:r>
              <w:rPr>
                <w:sz w:val="21"/>
              </w:rPr>
              <w:t>（4）一目永久完全失明及一上肢腕关节以上缺失；</w:t>
            </w:r>
          </w:p>
          <w:p>
            <w:pPr>
              <w:pStyle w:val="TableParagraph"/>
              <w:spacing w:before="36"/>
              <w:ind w:left="107"/>
              <w:rPr>
                <w:sz w:val="21"/>
              </w:rPr>
            </w:pPr>
            <w:r>
              <w:rPr>
                <w:sz w:val="21"/>
              </w:rPr>
              <w:t>（5）一目永久完全失明及一下肢踝关节以上缺失；</w:t>
            </w:r>
          </w:p>
          <w:p>
            <w:pPr>
              <w:pStyle w:val="TableParagraph"/>
              <w:spacing w:before="37"/>
              <w:ind w:left="107"/>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7"/>
              <w:ind w:left="107"/>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7"/>
              <w:ind w:left="633" w:right="197"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r>
        <w:trPr>
          <w:trHeight w:val="850"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1" w:type="dxa"/>
          </w:tcPr>
          <w:p>
            <w:pPr>
              <w:pStyle w:val="TableParagraph"/>
              <w:spacing w:line="273" w:lineRule="auto" w:before="99"/>
              <w:ind w:left="107" w:right="248"/>
              <w:rPr>
                <w:sz w:val="21"/>
              </w:rPr>
            </w:pPr>
            <w:r>
              <w:rPr>
                <w:sz w:val="21"/>
              </w:rPr>
              <w:t>全残的鉴定应在治疗结束之后由医疗机构（或鉴定机构）进行。若自被保险人遭受意外伤害之日起 180 日后治疗仍未结束，按第 180 日的身体情况进行鉴定。</w:t>
            </w:r>
          </w:p>
        </w:tc>
      </w:tr>
      <w:tr>
        <w:trPr>
          <w:trHeight w:val="3184" w:hRule="atLeast"/>
        </w:trPr>
        <w:tc>
          <w:tcPr>
            <w:tcW w:w="859" w:type="dxa"/>
          </w:tcPr>
          <w:p>
            <w:pPr>
              <w:pStyle w:val="TableParagraph"/>
              <w:ind w:left="0"/>
              <w:rPr>
                <w:rFonts w:ascii="Times New Roman"/>
                <w:sz w:val="20"/>
              </w:rPr>
            </w:pPr>
          </w:p>
        </w:tc>
        <w:tc>
          <w:tcPr>
            <w:tcW w:w="1951" w:type="dxa"/>
          </w:tcPr>
          <w:p>
            <w:pPr>
              <w:pStyle w:val="TableParagraph"/>
              <w:spacing w:before="100"/>
              <w:ind w:left="0" w:right="154"/>
              <w:jc w:val="right"/>
              <w:rPr>
                <w:b/>
                <w:sz w:val="21"/>
              </w:rPr>
            </w:pPr>
            <w:r>
              <w:rPr>
                <w:b/>
                <w:sz w:val="21"/>
              </w:rPr>
              <w:t>注：</w:t>
            </w:r>
          </w:p>
        </w:tc>
        <w:tc>
          <w:tcPr>
            <w:tcW w:w="7731" w:type="dxa"/>
          </w:tcPr>
          <w:p>
            <w:pPr>
              <w:pStyle w:val="TableParagraph"/>
              <w:spacing w:line="273" w:lineRule="auto" w:before="100"/>
              <w:ind w:left="421" w:right="370" w:hanging="209"/>
              <w:rPr>
                <w:sz w:val="21"/>
              </w:rPr>
            </w:pPr>
            <w:r>
              <w:rPr>
                <w:spacing w:val="-5"/>
                <w:sz w:val="21"/>
              </w:rPr>
              <w:t>①永久完全系指自上述“全残”情形发生之日起经过 </w:t>
            </w:r>
            <w:r>
              <w:rPr>
                <w:sz w:val="21"/>
              </w:rPr>
              <w:t>180</w:t>
            </w:r>
            <w:r>
              <w:rPr>
                <w:spacing w:val="-8"/>
                <w:sz w:val="21"/>
              </w:rPr>
              <w:t> 日的治疗机能仍完全</w:t>
            </w:r>
            <w:r>
              <w:rPr>
                <w:spacing w:val="-3"/>
                <w:sz w:val="21"/>
              </w:rPr>
              <w:t>丧失，但眼球摘除等明显无法复原的情况，不在此限。</w:t>
            </w:r>
          </w:p>
          <w:p>
            <w:pPr>
              <w:pStyle w:val="TableParagraph"/>
              <w:spacing w:line="273" w:lineRule="auto" w:before="7"/>
              <w:ind w:left="421" w:right="319" w:hanging="209"/>
              <w:jc w:val="both"/>
              <w:rPr>
                <w:sz w:val="21"/>
              </w:rPr>
            </w:pPr>
            <w:r>
              <w:rPr>
                <w:spacing w:val="-3"/>
                <w:sz w:val="21"/>
              </w:rPr>
              <w:t>②失明包括眼球缺失或摘除、或不能辨别明暗、或仅能辨别眼前手动者，最佳</w:t>
            </w:r>
            <w:r>
              <w:rPr>
                <w:spacing w:val="-6"/>
                <w:sz w:val="21"/>
              </w:rPr>
              <w:t>矫正视力低于国际标准视力表 </w:t>
            </w:r>
            <w:r>
              <w:rPr>
                <w:sz w:val="21"/>
              </w:rPr>
              <w:t>0.02</w:t>
            </w:r>
            <w:r>
              <w:rPr>
                <w:spacing w:val="-8"/>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12"/>
              <w:rPr>
                <w:sz w:val="21"/>
              </w:rPr>
            </w:pPr>
            <w:r>
              <w:rPr>
                <w:sz w:val="21"/>
              </w:rPr>
              <w:t>③关节机能的丧失系指关节永久完全僵硬、或麻痹、或关节不能随意识活动。</w:t>
            </w:r>
          </w:p>
          <w:p>
            <w:pPr>
              <w:pStyle w:val="TableParagraph"/>
              <w:spacing w:line="273" w:lineRule="auto" w:before="36"/>
              <w:ind w:left="421" w:right="370"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312" w:lineRule="exact" w:before="3"/>
              <w:ind w:left="421" w:right="197"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bl>
    <w:p>
      <w:pPr>
        <w:spacing w:after="0" w:line="312" w:lineRule="exac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1962" w:hRule="atLeast"/>
        </w:trPr>
        <w:tc>
          <w:tcPr>
            <w:tcW w:w="859" w:type="dxa"/>
          </w:tcPr>
          <w:p>
            <w:pPr>
              <w:pStyle w:val="TableParagraph"/>
              <w:spacing w:line="211" w:lineRule="exact"/>
              <w:ind w:left="0" w:right="130"/>
              <w:jc w:val="right"/>
              <w:rPr>
                <w:b/>
                <w:sz w:val="21"/>
              </w:rPr>
            </w:pPr>
            <w:r>
              <w:rPr>
                <w:b/>
                <w:sz w:val="21"/>
              </w:rPr>
              <w:t>10.11</w:t>
            </w:r>
          </w:p>
        </w:tc>
        <w:tc>
          <w:tcPr>
            <w:tcW w:w="1951" w:type="dxa"/>
          </w:tcPr>
          <w:p>
            <w:pPr>
              <w:pStyle w:val="TableParagraph"/>
              <w:spacing w:line="211" w:lineRule="exact"/>
              <w:ind w:left="131"/>
              <w:rPr>
                <w:b/>
                <w:sz w:val="21"/>
              </w:rPr>
            </w:pPr>
            <w:r>
              <w:rPr>
                <w:b/>
                <w:sz w:val="21"/>
              </w:rPr>
              <w:t>专科医生</w:t>
            </w:r>
          </w:p>
        </w:tc>
        <w:tc>
          <w:tcPr>
            <w:tcW w:w="7730" w:type="dxa"/>
          </w:tcPr>
          <w:p>
            <w:pPr>
              <w:pStyle w:val="TableParagraph"/>
              <w:spacing w:line="211" w:lineRule="exact"/>
              <w:ind w:left="107"/>
              <w:rPr>
                <w:sz w:val="21"/>
              </w:rPr>
            </w:pPr>
            <w:r>
              <w:rPr>
                <w:sz w:val="21"/>
              </w:rPr>
              <w:t>专科医生应当同时满足以下四项资格条件：</w:t>
            </w:r>
          </w:p>
          <w:p>
            <w:pPr>
              <w:pStyle w:val="TableParagraph"/>
              <w:spacing w:before="37"/>
              <w:ind w:left="107"/>
              <w:rPr>
                <w:sz w:val="21"/>
              </w:rPr>
            </w:pPr>
            <w:r>
              <w:rPr>
                <w:sz w:val="21"/>
              </w:rPr>
              <w:t>（1）具有有效的中华人民共和国《医师资格证书》；</w:t>
            </w:r>
          </w:p>
          <w:p>
            <w:pPr>
              <w:pStyle w:val="TableParagraph"/>
              <w:spacing w:before="37"/>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6"/>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544" w:hRule="atLeast"/>
        </w:trPr>
        <w:tc>
          <w:tcPr>
            <w:tcW w:w="859" w:type="dxa"/>
          </w:tcPr>
          <w:p>
            <w:pPr>
              <w:pStyle w:val="TableParagraph"/>
              <w:spacing w:before="127"/>
              <w:ind w:left="0" w:right="128"/>
              <w:jc w:val="right"/>
              <w:rPr>
                <w:b/>
                <w:sz w:val="21"/>
              </w:rPr>
            </w:pPr>
            <w:r>
              <w:rPr>
                <w:b/>
                <w:w w:val="95"/>
                <w:sz w:val="21"/>
              </w:rPr>
              <w:t>10.12</w:t>
            </w:r>
          </w:p>
        </w:tc>
        <w:tc>
          <w:tcPr>
            <w:tcW w:w="1951" w:type="dxa"/>
          </w:tcPr>
          <w:p>
            <w:pPr>
              <w:pStyle w:val="TableParagraph"/>
              <w:spacing w:before="127"/>
              <w:ind w:left="131"/>
              <w:rPr>
                <w:b/>
                <w:sz w:val="21"/>
              </w:rPr>
            </w:pPr>
            <w:r>
              <w:rPr>
                <w:b/>
                <w:sz w:val="21"/>
              </w:rPr>
              <w:t>疾病终末期阶段</w:t>
            </w:r>
          </w:p>
        </w:tc>
        <w:tc>
          <w:tcPr>
            <w:tcW w:w="7730" w:type="dxa"/>
          </w:tcPr>
          <w:p>
            <w:pPr>
              <w:pStyle w:val="TableParagraph"/>
              <w:spacing w:line="273" w:lineRule="auto" w:before="127"/>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7"/>
              <w:ind w:left="107"/>
              <w:rPr>
                <w:sz w:val="21"/>
              </w:rPr>
            </w:pPr>
            <w:r>
              <w:rPr>
                <w:sz w:val="21"/>
              </w:rPr>
              <w:t>1、依现有医疗技术无法缓解；</w:t>
            </w:r>
          </w:p>
          <w:p>
            <w:pPr>
              <w:pStyle w:val="TableParagraph"/>
              <w:spacing w:before="36"/>
              <w:ind w:left="107"/>
              <w:rPr>
                <w:sz w:val="21"/>
              </w:rPr>
            </w:pPr>
            <w:r>
              <w:rPr>
                <w:sz w:val="21"/>
              </w:rPr>
              <w:t>2、根据临床医学经验判断被保险人存活期低于六个月。</w:t>
            </w:r>
          </w:p>
        </w:tc>
      </w:tr>
      <w:tr>
        <w:trPr>
          <w:trHeight w:val="1205" w:hRule="atLeast"/>
        </w:trPr>
        <w:tc>
          <w:tcPr>
            <w:tcW w:w="859" w:type="dxa"/>
          </w:tcPr>
          <w:p>
            <w:pPr>
              <w:pStyle w:val="TableParagraph"/>
              <w:spacing w:before="142"/>
              <w:ind w:left="0" w:right="128"/>
              <w:jc w:val="right"/>
              <w:rPr>
                <w:b/>
                <w:sz w:val="21"/>
              </w:rPr>
            </w:pPr>
            <w:r>
              <w:rPr>
                <w:b/>
                <w:w w:val="95"/>
                <w:sz w:val="21"/>
              </w:rPr>
              <w:t>10.13</w:t>
            </w:r>
          </w:p>
        </w:tc>
        <w:tc>
          <w:tcPr>
            <w:tcW w:w="1951" w:type="dxa"/>
          </w:tcPr>
          <w:p>
            <w:pPr>
              <w:pStyle w:val="TableParagraph"/>
              <w:spacing w:before="142"/>
              <w:ind w:left="131"/>
              <w:rPr>
                <w:b/>
                <w:sz w:val="21"/>
              </w:rPr>
            </w:pPr>
            <w:r>
              <w:rPr>
                <w:b/>
                <w:sz w:val="21"/>
              </w:rPr>
              <w:t>毒品</w:t>
            </w:r>
          </w:p>
        </w:tc>
        <w:tc>
          <w:tcPr>
            <w:tcW w:w="7730" w:type="dxa"/>
          </w:tcPr>
          <w:p>
            <w:pPr>
              <w:pStyle w:val="TableParagraph"/>
              <w:spacing w:line="273" w:lineRule="auto" w:before="142"/>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2" w:hRule="atLeast"/>
        </w:trPr>
        <w:tc>
          <w:tcPr>
            <w:tcW w:w="859" w:type="dxa"/>
          </w:tcPr>
          <w:p>
            <w:pPr>
              <w:pStyle w:val="TableParagraph"/>
              <w:spacing w:before="99"/>
              <w:ind w:left="0" w:right="128"/>
              <w:jc w:val="right"/>
              <w:rPr>
                <w:b/>
                <w:sz w:val="21"/>
              </w:rPr>
            </w:pPr>
            <w:r>
              <w:rPr>
                <w:b/>
                <w:sz w:val="21"/>
              </w:rPr>
              <w:t>10.14</w:t>
            </w:r>
          </w:p>
        </w:tc>
        <w:tc>
          <w:tcPr>
            <w:tcW w:w="1951" w:type="dxa"/>
          </w:tcPr>
          <w:p>
            <w:pPr>
              <w:pStyle w:val="TableParagraph"/>
              <w:spacing w:before="99"/>
              <w:ind w:left="131"/>
              <w:rPr>
                <w:b/>
                <w:sz w:val="21"/>
              </w:rPr>
            </w:pPr>
            <w:r>
              <w:rPr>
                <w:b/>
                <w:sz w:val="21"/>
              </w:rPr>
              <w:t>酒后驾驶</w:t>
            </w:r>
          </w:p>
        </w:tc>
        <w:tc>
          <w:tcPr>
            <w:tcW w:w="7730" w:type="dxa"/>
          </w:tcPr>
          <w:p>
            <w:pPr>
              <w:pStyle w:val="TableParagraph"/>
              <w:spacing w:line="273" w:lineRule="auto" w:before="99"/>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9" w:hRule="atLeast"/>
        </w:trPr>
        <w:tc>
          <w:tcPr>
            <w:tcW w:w="859" w:type="dxa"/>
          </w:tcPr>
          <w:p>
            <w:pPr>
              <w:pStyle w:val="TableParagraph"/>
              <w:spacing w:before="100"/>
              <w:ind w:left="0" w:right="128"/>
              <w:jc w:val="right"/>
              <w:rPr>
                <w:b/>
                <w:sz w:val="21"/>
              </w:rPr>
            </w:pPr>
            <w:r>
              <w:rPr>
                <w:b/>
                <w:sz w:val="21"/>
              </w:rPr>
              <w:t>10.15</w:t>
            </w:r>
          </w:p>
        </w:tc>
        <w:tc>
          <w:tcPr>
            <w:tcW w:w="1951" w:type="dxa"/>
          </w:tcPr>
          <w:p>
            <w:pPr>
              <w:pStyle w:val="TableParagraph"/>
              <w:spacing w:line="273" w:lineRule="auto" w:before="100"/>
              <w:ind w:left="131" w:right="103"/>
              <w:rPr>
                <w:b/>
                <w:sz w:val="21"/>
              </w:rPr>
            </w:pPr>
            <w:r>
              <w:rPr>
                <w:b/>
                <w:sz w:val="21"/>
              </w:rPr>
              <w:t>无合法有效驾驶证驾驶</w:t>
            </w:r>
          </w:p>
        </w:tc>
        <w:tc>
          <w:tcPr>
            <w:tcW w:w="7730"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633" w:right="307" w:hanging="527"/>
              <w:rPr>
                <w:sz w:val="21"/>
              </w:rPr>
            </w:pPr>
            <w:r>
              <w:rPr>
                <w:sz w:val="21"/>
              </w:rPr>
              <w:t>（4）持学习驾驶证学习驾车时，无教练员随车指导，或不按指定时间、路线学习驾车。</w:t>
            </w:r>
          </w:p>
        </w:tc>
      </w:tr>
      <w:tr>
        <w:trPr>
          <w:trHeight w:val="1162" w:hRule="atLeast"/>
        </w:trPr>
        <w:tc>
          <w:tcPr>
            <w:tcW w:w="859" w:type="dxa"/>
          </w:tcPr>
          <w:p>
            <w:pPr>
              <w:pStyle w:val="TableParagraph"/>
              <w:spacing w:before="99"/>
              <w:ind w:left="0" w:right="128"/>
              <w:jc w:val="right"/>
              <w:rPr>
                <w:b/>
                <w:sz w:val="21"/>
              </w:rPr>
            </w:pPr>
            <w:r>
              <w:rPr>
                <w:b/>
                <w:sz w:val="21"/>
              </w:rPr>
              <w:t>10.16</w:t>
            </w:r>
          </w:p>
        </w:tc>
        <w:tc>
          <w:tcPr>
            <w:tcW w:w="1951" w:type="dxa"/>
          </w:tcPr>
          <w:p>
            <w:pPr>
              <w:pStyle w:val="TableParagraph"/>
              <w:spacing w:before="99"/>
              <w:ind w:left="131"/>
              <w:rPr>
                <w:b/>
                <w:sz w:val="21"/>
              </w:rPr>
            </w:pPr>
            <w:r>
              <w:rPr>
                <w:b/>
                <w:sz w:val="21"/>
              </w:rPr>
              <w:t>无有效行驶证</w:t>
            </w:r>
          </w:p>
        </w:tc>
        <w:tc>
          <w:tcPr>
            <w:tcW w:w="7730"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6"/>
              <w:ind w:left="107"/>
              <w:rPr>
                <w:sz w:val="21"/>
              </w:rPr>
            </w:pPr>
            <w:r>
              <w:rPr>
                <w:sz w:val="21"/>
              </w:rPr>
              <w:t>（2）未依法按时进行或通过机动车安全技术检验。</w:t>
            </w:r>
          </w:p>
        </w:tc>
      </w:tr>
      <w:tr>
        <w:trPr>
          <w:trHeight w:val="852" w:hRule="atLeast"/>
        </w:trPr>
        <w:tc>
          <w:tcPr>
            <w:tcW w:w="859" w:type="dxa"/>
          </w:tcPr>
          <w:p>
            <w:pPr>
              <w:pStyle w:val="TableParagraph"/>
              <w:spacing w:before="100"/>
              <w:ind w:left="0" w:right="128"/>
              <w:jc w:val="right"/>
              <w:rPr>
                <w:b/>
                <w:sz w:val="21"/>
              </w:rPr>
            </w:pPr>
            <w:r>
              <w:rPr>
                <w:b/>
                <w:sz w:val="21"/>
              </w:rPr>
              <w:t>10.17</w:t>
            </w:r>
          </w:p>
        </w:tc>
        <w:tc>
          <w:tcPr>
            <w:tcW w:w="1951" w:type="dxa"/>
          </w:tcPr>
          <w:p>
            <w:pPr>
              <w:pStyle w:val="TableParagraph"/>
              <w:spacing w:before="100"/>
              <w:ind w:left="131"/>
              <w:rPr>
                <w:b/>
                <w:sz w:val="21"/>
              </w:rPr>
            </w:pPr>
            <w:r>
              <w:rPr>
                <w:b/>
                <w:sz w:val="21"/>
              </w:rPr>
              <w:t>机动车</w:t>
            </w:r>
          </w:p>
        </w:tc>
        <w:tc>
          <w:tcPr>
            <w:tcW w:w="7730" w:type="dxa"/>
          </w:tcPr>
          <w:p>
            <w:pPr>
              <w:pStyle w:val="TableParagraph"/>
              <w:spacing w:line="273" w:lineRule="auto" w:before="100"/>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474" w:hRule="atLeast"/>
        </w:trPr>
        <w:tc>
          <w:tcPr>
            <w:tcW w:w="859" w:type="dxa"/>
          </w:tcPr>
          <w:p>
            <w:pPr>
              <w:pStyle w:val="TableParagraph"/>
              <w:spacing w:before="100"/>
              <w:ind w:left="0" w:right="128"/>
              <w:jc w:val="right"/>
              <w:rPr>
                <w:b/>
                <w:sz w:val="21"/>
              </w:rPr>
            </w:pPr>
            <w:r>
              <w:rPr>
                <w:b/>
                <w:sz w:val="21"/>
              </w:rPr>
              <w:t>10.18</w:t>
            </w:r>
          </w:p>
        </w:tc>
        <w:tc>
          <w:tcPr>
            <w:tcW w:w="1951" w:type="dxa"/>
          </w:tcPr>
          <w:p>
            <w:pPr>
              <w:pStyle w:val="TableParagraph"/>
              <w:spacing w:line="273" w:lineRule="auto" w:before="100"/>
              <w:ind w:left="131" w:right="103"/>
              <w:rPr>
                <w:b/>
                <w:sz w:val="21"/>
              </w:rPr>
            </w:pPr>
            <w:r>
              <w:rPr>
                <w:b/>
                <w:sz w:val="21"/>
              </w:rPr>
              <w:t>感染艾滋病病毒或患艾滋病</w:t>
            </w:r>
          </w:p>
        </w:tc>
        <w:tc>
          <w:tcPr>
            <w:tcW w:w="7730" w:type="dxa"/>
          </w:tcPr>
          <w:p>
            <w:pPr>
              <w:pStyle w:val="TableParagraph"/>
              <w:spacing w:line="273" w:lineRule="auto" w:before="100"/>
              <w:ind w:left="107" w:right="198"/>
              <w:rPr>
                <w:sz w:val="21"/>
              </w:rPr>
            </w:pPr>
            <w:r>
              <w:rPr>
                <w:spacing w:val="-4"/>
                <w:sz w:val="21"/>
              </w:rPr>
              <w:t>艾滋病病毒指人类免疫缺陷病毒，英文缩写为 </w:t>
            </w:r>
            <w:r>
              <w:rPr>
                <w:sz w:val="21"/>
              </w:rPr>
              <w:t>HIV</w:t>
            </w:r>
            <w:r>
              <w:rPr>
                <w:spacing w:val="-3"/>
                <w:sz w:val="21"/>
              </w:rPr>
              <w:t>。艾滋病指人类免疫缺陷病毒</w:t>
            </w:r>
            <w:r>
              <w:rPr>
                <w:spacing w:val="-8"/>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3"/>
                <w:sz w:val="21"/>
              </w:rPr>
              <w:t>如果同时出现了明显临床症状或体征的，为患艾滋病。</w:t>
            </w:r>
          </w:p>
        </w:tc>
      </w:tr>
      <w:tr>
        <w:trPr>
          <w:trHeight w:val="851" w:hRule="atLeast"/>
        </w:trPr>
        <w:tc>
          <w:tcPr>
            <w:tcW w:w="859" w:type="dxa"/>
          </w:tcPr>
          <w:p>
            <w:pPr>
              <w:pStyle w:val="TableParagraph"/>
              <w:spacing w:before="99"/>
              <w:ind w:left="0" w:right="128"/>
              <w:jc w:val="right"/>
              <w:rPr>
                <w:b/>
                <w:sz w:val="21"/>
              </w:rPr>
            </w:pPr>
            <w:r>
              <w:rPr>
                <w:b/>
                <w:sz w:val="21"/>
              </w:rPr>
              <w:t>10.19</w:t>
            </w:r>
          </w:p>
        </w:tc>
        <w:tc>
          <w:tcPr>
            <w:tcW w:w="1951" w:type="dxa"/>
          </w:tcPr>
          <w:p>
            <w:pPr>
              <w:pStyle w:val="TableParagraph"/>
              <w:spacing w:before="99"/>
              <w:ind w:left="131"/>
              <w:rPr>
                <w:b/>
                <w:sz w:val="21"/>
              </w:rPr>
            </w:pPr>
            <w:r>
              <w:rPr>
                <w:b/>
                <w:sz w:val="21"/>
              </w:rPr>
              <w:t>遗传性疾病</w:t>
            </w:r>
          </w:p>
        </w:tc>
        <w:tc>
          <w:tcPr>
            <w:tcW w:w="7730" w:type="dxa"/>
          </w:tcPr>
          <w:p>
            <w:pPr>
              <w:pStyle w:val="TableParagraph"/>
              <w:spacing w:line="273" w:lineRule="auto" w:before="99"/>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9" w:type="dxa"/>
          </w:tcPr>
          <w:p>
            <w:pPr>
              <w:pStyle w:val="TableParagraph"/>
              <w:spacing w:before="100"/>
              <w:ind w:left="0" w:right="130"/>
              <w:jc w:val="right"/>
              <w:rPr>
                <w:b/>
                <w:sz w:val="21"/>
              </w:rPr>
            </w:pPr>
            <w:r>
              <w:rPr>
                <w:b/>
                <w:sz w:val="21"/>
              </w:rPr>
              <w:t>10.20</w:t>
            </w:r>
          </w:p>
        </w:tc>
        <w:tc>
          <w:tcPr>
            <w:tcW w:w="1951" w:type="dxa"/>
          </w:tcPr>
          <w:p>
            <w:pPr>
              <w:pStyle w:val="TableParagraph"/>
              <w:spacing w:line="273" w:lineRule="auto" w:before="100"/>
              <w:ind w:left="131" w:right="103"/>
              <w:rPr>
                <w:b/>
                <w:sz w:val="21"/>
              </w:rPr>
            </w:pPr>
            <w:r>
              <w:rPr>
                <w:b/>
                <w:sz w:val="21"/>
              </w:rPr>
              <w:t>先天性畸形、变形或染色体异常</w:t>
            </w:r>
          </w:p>
        </w:tc>
        <w:tc>
          <w:tcPr>
            <w:tcW w:w="7730" w:type="dxa"/>
          </w:tcPr>
          <w:p>
            <w:pPr>
              <w:pStyle w:val="TableParagraph"/>
              <w:spacing w:line="273" w:lineRule="auto" w:before="100"/>
              <w:ind w:left="107" w:right="302"/>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（ICD-10）</w:t>
            </w:r>
            <w:r>
              <w:rPr>
                <w:spacing w:val="-10"/>
                <w:sz w:val="21"/>
              </w:rPr>
              <w:t>确</w:t>
            </w:r>
            <w:r>
              <w:rPr>
                <w:sz w:val="21"/>
              </w:rPr>
              <w:t>定。</w:t>
            </w:r>
          </w:p>
        </w:tc>
      </w:tr>
      <w:tr>
        <w:trPr>
          <w:trHeight w:val="686" w:hRule="atLeast"/>
        </w:trPr>
        <w:tc>
          <w:tcPr>
            <w:tcW w:w="859" w:type="dxa"/>
          </w:tcPr>
          <w:p>
            <w:pPr>
              <w:pStyle w:val="TableParagraph"/>
              <w:spacing w:before="99"/>
              <w:ind w:left="0" w:right="130"/>
              <w:jc w:val="right"/>
              <w:rPr>
                <w:b/>
                <w:sz w:val="21"/>
              </w:rPr>
            </w:pPr>
            <w:r>
              <w:rPr>
                <w:b/>
                <w:sz w:val="21"/>
              </w:rPr>
              <w:t>10.21</w:t>
            </w:r>
          </w:p>
        </w:tc>
        <w:tc>
          <w:tcPr>
            <w:tcW w:w="1951" w:type="dxa"/>
          </w:tcPr>
          <w:p>
            <w:pPr>
              <w:pStyle w:val="TableParagraph"/>
              <w:spacing w:before="99"/>
              <w:ind w:left="131"/>
              <w:rPr>
                <w:b/>
                <w:sz w:val="21"/>
              </w:rPr>
            </w:pPr>
            <w:r>
              <w:rPr>
                <w:b/>
                <w:sz w:val="21"/>
              </w:rPr>
              <w:t>现金价值</w:t>
            </w:r>
          </w:p>
        </w:tc>
        <w:tc>
          <w:tcPr>
            <w:tcW w:w="7730" w:type="dxa"/>
          </w:tcPr>
          <w:p>
            <w:pPr>
              <w:pStyle w:val="TableParagraph"/>
              <w:spacing w:line="310" w:lineRule="atLeast" w:before="64"/>
              <w:ind w:left="107" w:right="302"/>
              <w:rPr>
                <w:sz w:val="21"/>
              </w:rPr>
            </w:pPr>
            <w:r>
              <w:rPr>
                <w:spacing w:val="-6"/>
                <w:sz w:val="21"/>
              </w:rPr>
              <w:t>指保险合同所具有的价值，通常体现为解除合同时，根据精算原理计算的，由我</w:t>
            </w:r>
            <w:r>
              <w:rPr>
                <w:spacing w:val="-3"/>
                <w:sz w:val="21"/>
              </w:rPr>
              <w:t>们退还的那部分金额。</w:t>
            </w:r>
          </w:p>
        </w:tc>
      </w:tr>
    </w:tbl>
    <w:p>
      <w:pPr>
        <w:spacing w:after="0" w:line="310" w:lineRule="atLeast"/>
        <w:rPr>
          <w:sz w:val="21"/>
        </w:rPr>
        <w:sectPr>
          <w:pgSz w:w="11910" w:h="16840"/>
          <w:pgMar w:header="0" w:footer="358"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622"/>
        <w:gridCol w:w="7990"/>
      </w:tblGrid>
      <w:tr>
        <w:trPr>
          <w:trHeight w:val="1000" w:hRule="atLeast"/>
        </w:trPr>
        <w:tc>
          <w:tcPr>
            <w:tcW w:w="859" w:type="dxa"/>
          </w:tcPr>
          <w:p>
            <w:pPr>
              <w:pStyle w:val="TableParagraph"/>
              <w:spacing w:line="211" w:lineRule="exact"/>
              <w:ind w:left="0" w:right="130"/>
              <w:jc w:val="right"/>
              <w:rPr>
                <w:b/>
                <w:sz w:val="21"/>
              </w:rPr>
            </w:pPr>
            <w:r>
              <w:rPr>
                <w:b/>
                <w:sz w:val="21"/>
              </w:rPr>
              <w:t>10.22</w:t>
            </w:r>
          </w:p>
        </w:tc>
        <w:tc>
          <w:tcPr>
            <w:tcW w:w="1622" w:type="dxa"/>
          </w:tcPr>
          <w:p>
            <w:pPr>
              <w:pStyle w:val="TableParagraph"/>
              <w:spacing w:line="211" w:lineRule="exact"/>
              <w:ind w:left="131"/>
              <w:rPr>
                <w:b/>
                <w:sz w:val="21"/>
              </w:rPr>
            </w:pPr>
            <w:r>
              <w:rPr>
                <w:b/>
                <w:sz w:val="21"/>
              </w:rPr>
              <w:t>医疗机构</w:t>
            </w:r>
          </w:p>
        </w:tc>
        <w:tc>
          <w:tcPr>
            <w:tcW w:w="7990" w:type="dxa"/>
          </w:tcPr>
          <w:p>
            <w:pPr>
              <w:pStyle w:val="TableParagraph"/>
              <w:spacing w:line="211" w:lineRule="exact"/>
              <w:ind w:left="436"/>
              <w:rPr>
                <w:sz w:val="21"/>
              </w:rPr>
            </w:pPr>
            <w:r>
              <w:rPr>
                <w:sz w:val="21"/>
              </w:rPr>
              <w:t>指经中华人民共和国卫生部门正式评定的二级或以上之公立医院，但不包括上述</w:t>
            </w:r>
          </w:p>
          <w:p>
            <w:pPr>
              <w:pStyle w:val="TableParagraph"/>
              <w:spacing w:line="273" w:lineRule="auto" w:before="37"/>
              <w:ind w:left="436" w:right="196"/>
              <w:rPr>
                <w:sz w:val="21"/>
              </w:rPr>
            </w:pPr>
            <w:r>
              <w:rPr>
                <w:sz w:val="21"/>
              </w:rPr>
              <w:t>医院的分院、联合病房或联合病床，精神病院，专供康复、休养、戒毒、戒酒、护理、养老等非以直接诊治病人为目的的医疗机构。</w:t>
            </w:r>
          </w:p>
        </w:tc>
      </w:tr>
      <w:tr>
        <w:trPr>
          <w:trHeight w:val="1163" w:hRule="atLeast"/>
        </w:trPr>
        <w:tc>
          <w:tcPr>
            <w:tcW w:w="859" w:type="dxa"/>
          </w:tcPr>
          <w:p>
            <w:pPr>
              <w:pStyle w:val="TableParagraph"/>
              <w:spacing w:before="100"/>
              <w:ind w:left="0" w:right="128"/>
              <w:jc w:val="right"/>
              <w:rPr>
                <w:b/>
                <w:sz w:val="21"/>
              </w:rPr>
            </w:pPr>
            <w:r>
              <w:rPr>
                <w:b/>
                <w:sz w:val="21"/>
              </w:rPr>
              <w:t>10.23</w:t>
            </w:r>
          </w:p>
        </w:tc>
        <w:tc>
          <w:tcPr>
            <w:tcW w:w="1622" w:type="dxa"/>
          </w:tcPr>
          <w:p>
            <w:pPr>
              <w:pStyle w:val="TableParagraph"/>
              <w:spacing w:before="100"/>
              <w:ind w:left="131"/>
              <w:rPr>
                <w:b/>
                <w:sz w:val="21"/>
              </w:rPr>
            </w:pPr>
            <w:r>
              <w:rPr>
                <w:b/>
                <w:sz w:val="21"/>
              </w:rPr>
              <w:t>利息</w:t>
            </w:r>
          </w:p>
        </w:tc>
        <w:tc>
          <w:tcPr>
            <w:tcW w:w="7990" w:type="dxa"/>
          </w:tcPr>
          <w:p>
            <w:pPr>
              <w:pStyle w:val="TableParagraph"/>
              <w:spacing w:line="273" w:lineRule="auto" w:before="100"/>
              <w:ind w:left="436" w:right="232"/>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r>
        <w:trPr>
          <w:trHeight w:val="538" w:hRule="atLeast"/>
        </w:trPr>
        <w:tc>
          <w:tcPr>
            <w:tcW w:w="859" w:type="dxa"/>
          </w:tcPr>
          <w:p>
            <w:pPr>
              <w:pStyle w:val="TableParagraph"/>
              <w:ind w:left="0"/>
              <w:rPr>
                <w:rFonts w:ascii="Times New Roman"/>
                <w:sz w:val="20"/>
              </w:rPr>
            </w:pPr>
          </w:p>
        </w:tc>
        <w:tc>
          <w:tcPr>
            <w:tcW w:w="1622" w:type="dxa"/>
          </w:tcPr>
          <w:p>
            <w:pPr>
              <w:pStyle w:val="TableParagraph"/>
              <w:ind w:left="0"/>
              <w:rPr>
                <w:rFonts w:ascii="Times New Roman"/>
                <w:sz w:val="20"/>
              </w:rPr>
            </w:pPr>
          </w:p>
        </w:tc>
        <w:tc>
          <w:tcPr>
            <w:tcW w:w="7990" w:type="dxa"/>
          </w:tcPr>
          <w:p>
            <w:pPr>
              <w:pStyle w:val="TableParagraph"/>
              <w:spacing w:before="100"/>
              <w:ind w:left="436"/>
              <w:rPr>
                <w:sz w:val="21"/>
              </w:rPr>
            </w:pPr>
            <w:r>
              <w:rPr>
                <w:sz w:val="21"/>
              </w:rPr>
              <w:t>借款利率适用于本合同自动垫交的保险费和补交保险费的利息计算。</w:t>
            </w:r>
          </w:p>
        </w:tc>
      </w:tr>
      <w:tr>
        <w:trPr>
          <w:trHeight w:val="686" w:hRule="atLeast"/>
        </w:trPr>
        <w:tc>
          <w:tcPr>
            <w:tcW w:w="859" w:type="dxa"/>
          </w:tcPr>
          <w:p>
            <w:pPr>
              <w:pStyle w:val="TableParagraph"/>
              <w:spacing w:before="99"/>
              <w:ind w:left="0" w:right="128"/>
              <w:jc w:val="right"/>
              <w:rPr>
                <w:b/>
                <w:sz w:val="21"/>
              </w:rPr>
            </w:pPr>
            <w:r>
              <w:rPr>
                <w:b/>
                <w:sz w:val="21"/>
              </w:rPr>
              <w:t>10.24</w:t>
            </w:r>
          </w:p>
        </w:tc>
        <w:tc>
          <w:tcPr>
            <w:tcW w:w="1622" w:type="dxa"/>
          </w:tcPr>
          <w:p>
            <w:pPr>
              <w:pStyle w:val="TableParagraph"/>
              <w:spacing w:before="99"/>
              <w:ind w:left="131"/>
              <w:rPr>
                <w:b/>
                <w:sz w:val="21"/>
              </w:rPr>
            </w:pPr>
            <w:r>
              <w:rPr>
                <w:b/>
                <w:sz w:val="21"/>
              </w:rPr>
              <w:t>永久不可逆</w:t>
            </w:r>
          </w:p>
        </w:tc>
        <w:tc>
          <w:tcPr>
            <w:tcW w:w="7990" w:type="dxa"/>
          </w:tcPr>
          <w:p>
            <w:pPr>
              <w:pStyle w:val="TableParagraph"/>
              <w:spacing w:line="310" w:lineRule="atLeast" w:before="64"/>
              <w:ind w:left="436" w:right="235"/>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8" w:top="1160" w:bottom="54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4561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39" w:hanging="632"/>
      </w:pPr>
      <w:rPr>
        <w:rFonts w:hint="default"/>
      </w:rPr>
    </w:lvl>
    <w:lvl w:ilvl="2">
      <w:start w:val="0"/>
      <w:numFmt w:val="bullet"/>
      <w:lvlText w:val="•"/>
      <w:lvlJc w:val="left"/>
      <w:pPr>
        <w:ind w:left="2138" w:hanging="632"/>
      </w:pPr>
      <w:rPr>
        <w:rFonts w:hint="default"/>
      </w:rPr>
    </w:lvl>
    <w:lvl w:ilvl="3">
      <w:start w:val="0"/>
      <w:numFmt w:val="bullet"/>
      <w:lvlText w:val="•"/>
      <w:lvlJc w:val="left"/>
      <w:pPr>
        <w:ind w:left="2837" w:hanging="632"/>
      </w:pPr>
      <w:rPr>
        <w:rFonts w:hint="default"/>
      </w:rPr>
    </w:lvl>
    <w:lvl w:ilvl="4">
      <w:start w:val="0"/>
      <w:numFmt w:val="bullet"/>
      <w:lvlText w:val="•"/>
      <w:lvlJc w:val="left"/>
      <w:pPr>
        <w:ind w:left="3536" w:hanging="632"/>
      </w:pPr>
      <w:rPr>
        <w:rFonts w:hint="default"/>
      </w:rPr>
    </w:lvl>
    <w:lvl w:ilvl="5">
      <w:start w:val="0"/>
      <w:numFmt w:val="bullet"/>
      <w:lvlText w:val="•"/>
      <w:lvlJc w:val="left"/>
      <w:pPr>
        <w:ind w:left="4235" w:hanging="632"/>
      </w:pPr>
      <w:rPr>
        <w:rFonts w:hint="default"/>
      </w:rPr>
    </w:lvl>
    <w:lvl w:ilvl="6">
      <w:start w:val="0"/>
      <w:numFmt w:val="bullet"/>
      <w:lvlText w:val="•"/>
      <w:lvlJc w:val="left"/>
      <w:pPr>
        <w:ind w:left="4934" w:hanging="632"/>
      </w:pPr>
      <w:rPr>
        <w:rFonts w:hint="default"/>
      </w:rPr>
    </w:lvl>
    <w:lvl w:ilvl="7">
      <w:start w:val="0"/>
      <w:numFmt w:val="bullet"/>
      <w:lvlText w:val="•"/>
      <w:lvlJc w:val="left"/>
      <w:pPr>
        <w:ind w:left="5633" w:hanging="632"/>
      </w:pPr>
      <w:rPr>
        <w:rFonts w:hint="default"/>
      </w:rPr>
    </w:lvl>
    <w:lvl w:ilvl="8">
      <w:start w:val="0"/>
      <w:numFmt w:val="bullet"/>
      <w:lvlText w:val="•"/>
      <w:lvlJc w:val="left"/>
      <w:pPr>
        <w:ind w:left="6332" w:hanging="632"/>
      </w:pPr>
      <w:rPr>
        <w:rFonts w:hint="default"/>
      </w:rPr>
    </w:lvl>
  </w:abstractNum>
  <w:abstractNum w:abstractNumId="14">
    <w:multiLevelType w:val="hybridMultilevel"/>
    <w:lvl w:ilvl="0">
      <w:start w:val="1"/>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3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37" w:hanging="625"/>
      </w:pPr>
      <w:rPr>
        <w:rFonts w:hint="default"/>
      </w:rPr>
    </w:lvl>
    <w:lvl w:ilvl="4">
      <w:start w:val="0"/>
      <w:numFmt w:val="bullet"/>
      <w:lvlText w:val="•"/>
      <w:lvlJc w:val="left"/>
      <w:pPr>
        <w:ind w:left="3536" w:hanging="625"/>
      </w:pPr>
      <w:rPr>
        <w:rFonts w:hint="default"/>
      </w:rPr>
    </w:lvl>
    <w:lvl w:ilvl="5">
      <w:start w:val="0"/>
      <w:numFmt w:val="bullet"/>
      <w:lvlText w:val="•"/>
      <w:lvlJc w:val="left"/>
      <w:pPr>
        <w:ind w:left="4235" w:hanging="625"/>
      </w:pPr>
      <w:rPr>
        <w:rFonts w:hint="default"/>
      </w:rPr>
    </w:lvl>
    <w:lvl w:ilvl="6">
      <w:start w:val="0"/>
      <w:numFmt w:val="bullet"/>
      <w:lvlText w:val="•"/>
      <w:lvlJc w:val="left"/>
      <w:pPr>
        <w:ind w:left="4934" w:hanging="625"/>
      </w:pPr>
      <w:rPr>
        <w:rFonts w:hint="default"/>
      </w:rPr>
    </w:lvl>
    <w:lvl w:ilvl="7">
      <w:start w:val="0"/>
      <w:numFmt w:val="bullet"/>
      <w:lvlText w:val="•"/>
      <w:lvlJc w:val="left"/>
      <w:pPr>
        <w:ind w:left="5633" w:hanging="625"/>
      </w:pPr>
      <w:rPr>
        <w:rFonts w:hint="default"/>
      </w:rPr>
    </w:lvl>
    <w:lvl w:ilvl="8">
      <w:start w:val="0"/>
      <w:numFmt w:val="bullet"/>
      <w:lvlText w:val="•"/>
      <w:lvlJc w:val="left"/>
      <w:pPr>
        <w:ind w:left="6332" w:hanging="625"/>
      </w:pPr>
      <w:rPr>
        <w:rFonts w:hint="default"/>
      </w:rPr>
    </w:lvl>
  </w:abstractNum>
  <w:abstractNum w:abstractNumId="13">
    <w:multiLevelType w:val="hybridMultilevel"/>
    <w:lvl w:ilvl="0">
      <w:start w:val="1"/>
      <w:numFmt w:val="decimal"/>
      <w:lvlText w:val="（%1）"/>
      <w:lvlJc w:val="left"/>
      <w:pPr>
        <w:ind w:left="752"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36" w:hanging="632"/>
      </w:pPr>
      <w:rPr>
        <w:rFonts w:hint="default"/>
      </w:rPr>
    </w:lvl>
    <w:lvl w:ilvl="3">
      <w:start w:val="0"/>
      <w:numFmt w:val="bullet"/>
      <w:lvlText w:val="•"/>
      <w:lvlJc w:val="left"/>
      <w:pPr>
        <w:ind w:left="2824" w:hanging="632"/>
      </w:pPr>
      <w:rPr>
        <w:rFonts w:hint="default"/>
      </w:rPr>
    </w:lvl>
    <w:lvl w:ilvl="4">
      <w:start w:val="0"/>
      <w:numFmt w:val="bullet"/>
      <w:lvlText w:val="•"/>
      <w:lvlJc w:val="left"/>
      <w:pPr>
        <w:ind w:left="3512" w:hanging="632"/>
      </w:pPr>
      <w:rPr>
        <w:rFonts w:hint="default"/>
      </w:rPr>
    </w:lvl>
    <w:lvl w:ilvl="5">
      <w:start w:val="0"/>
      <w:numFmt w:val="bullet"/>
      <w:lvlText w:val="•"/>
      <w:lvlJc w:val="left"/>
      <w:pPr>
        <w:ind w:left="4200" w:hanging="632"/>
      </w:pPr>
      <w:rPr>
        <w:rFonts w:hint="default"/>
      </w:rPr>
    </w:lvl>
    <w:lvl w:ilvl="6">
      <w:start w:val="0"/>
      <w:numFmt w:val="bullet"/>
      <w:lvlText w:val="•"/>
      <w:lvlJc w:val="left"/>
      <w:pPr>
        <w:ind w:left="4888" w:hanging="632"/>
      </w:pPr>
      <w:rPr>
        <w:rFonts w:hint="default"/>
      </w:rPr>
    </w:lvl>
    <w:lvl w:ilvl="7">
      <w:start w:val="0"/>
      <w:numFmt w:val="bullet"/>
      <w:lvlText w:val="•"/>
      <w:lvlJc w:val="left"/>
      <w:pPr>
        <w:ind w:left="5576" w:hanging="632"/>
      </w:pPr>
      <w:rPr>
        <w:rFonts w:hint="default"/>
      </w:rPr>
    </w:lvl>
    <w:lvl w:ilvl="8">
      <w:start w:val="0"/>
      <w:numFmt w:val="bullet"/>
      <w:lvlText w:val="•"/>
      <w:lvlJc w:val="left"/>
      <w:pPr>
        <w:ind w:left="6264" w:hanging="632"/>
      </w:pPr>
      <w:rPr>
        <w:rFonts w:hint="default"/>
      </w:rPr>
    </w:lvl>
  </w:abstractNum>
  <w:abstractNum w:abstractNumId="12">
    <w:multiLevelType w:val="hybridMultilevel"/>
    <w:lvl w:ilvl="0">
      <w:start w:val="1"/>
      <w:numFmt w:val="decimal"/>
      <w:lvlText w:val="(%1)"/>
      <w:lvlJc w:val="left"/>
      <w:pPr>
        <w:ind w:left="544" w:hanging="423"/>
        <w:jc w:val="left"/>
      </w:pPr>
      <w:rPr>
        <w:rFonts w:hint="default" w:ascii="宋体" w:hAnsi="宋体" w:eastAsia="宋体" w:cs="宋体"/>
        <w:b/>
        <w:bCs/>
        <w:i/>
        <w:w w:val="95"/>
        <w:sz w:val="22"/>
        <w:szCs w:val="22"/>
      </w:rPr>
    </w:lvl>
    <w:lvl w:ilvl="1">
      <w:start w:val="0"/>
      <w:numFmt w:val="bullet"/>
      <w:lvlText w:val="•"/>
      <w:lvlJc w:val="left"/>
      <w:pPr>
        <w:ind w:left="1260" w:hanging="423"/>
      </w:pPr>
      <w:rPr>
        <w:rFonts w:hint="default"/>
      </w:rPr>
    </w:lvl>
    <w:lvl w:ilvl="2">
      <w:start w:val="0"/>
      <w:numFmt w:val="bullet"/>
      <w:lvlText w:val="•"/>
      <w:lvlJc w:val="left"/>
      <w:pPr>
        <w:ind w:left="1980" w:hanging="423"/>
      </w:pPr>
      <w:rPr>
        <w:rFonts w:hint="default"/>
      </w:rPr>
    </w:lvl>
    <w:lvl w:ilvl="3">
      <w:start w:val="0"/>
      <w:numFmt w:val="bullet"/>
      <w:lvlText w:val="•"/>
      <w:lvlJc w:val="left"/>
      <w:pPr>
        <w:ind w:left="2700" w:hanging="423"/>
      </w:pPr>
      <w:rPr>
        <w:rFonts w:hint="default"/>
      </w:rPr>
    </w:lvl>
    <w:lvl w:ilvl="4">
      <w:start w:val="0"/>
      <w:numFmt w:val="bullet"/>
      <w:lvlText w:val="•"/>
      <w:lvlJc w:val="left"/>
      <w:pPr>
        <w:ind w:left="3421" w:hanging="423"/>
      </w:pPr>
      <w:rPr>
        <w:rFonts w:hint="default"/>
      </w:rPr>
    </w:lvl>
    <w:lvl w:ilvl="5">
      <w:start w:val="0"/>
      <w:numFmt w:val="bullet"/>
      <w:lvlText w:val="•"/>
      <w:lvlJc w:val="left"/>
      <w:pPr>
        <w:ind w:left="4141" w:hanging="423"/>
      </w:pPr>
      <w:rPr>
        <w:rFonts w:hint="default"/>
      </w:rPr>
    </w:lvl>
    <w:lvl w:ilvl="6">
      <w:start w:val="0"/>
      <w:numFmt w:val="bullet"/>
      <w:lvlText w:val="•"/>
      <w:lvlJc w:val="left"/>
      <w:pPr>
        <w:ind w:left="4861" w:hanging="423"/>
      </w:pPr>
      <w:rPr>
        <w:rFonts w:hint="default"/>
      </w:rPr>
    </w:lvl>
    <w:lvl w:ilvl="7">
      <w:start w:val="0"/>
      <w:numFmt w:val="bullet"/>
      <w:lvlText w:val="•"/>
      <w:lvlJc w:val="left"/>
      <w:pPr>
        <w:ind w:left="5582" w:hanging="423"/>
      </w:pPr>
      <w:rPr>
        <w:rFonts w:hint="default"/>
      </w:rPr>
    </w:lvl>
    <w:lvl w:ilvl="8">
      <w:start w:val="0"/>
      <w:numFmt w:val="bullet"/>
      <w:lvlText w:val="•"/>
      <w:lvlJc w:val="left"/>
      <w:pPr>
        <w:ind w:left="6302" w:hanging="423"/>
      </w:pPr>
      <w:rPr>
        <w:rFonts w:hint="default"/>
      </w:rPr>
    </w:lvl>
  </w:abstractNum>
  <w:abstractNum w:abstractNumId="11">
    <w:multiLevelType w:val="hybridMultilevel"/>
    <w:lvl w:ilvl="0">
      <w:start w:val="5"/>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38" w:hanging="317"/>
      </w:pPr>
      <w:rPr>
        <w:rFonts w:hint="default"/>
      </w:rPr>
    </w:lvl>
    <w:lvl w:ilvl="2">
      <w:start w:val="0"/>
      <w:numFmt w:val="bullet"/>
      <w:lvlText w:val="•"/>
      <w:lvlJc w:val="left"/>
      <w:pPr>
        <w:ind w:left="3117" w:hanging="317"/>
      </w:pPr>
      <w:rPr>
        <w:rFonts w:hint="default"/>
      </w:rPr>
    </w:lvl>
    <w:lvl w:ilvl="3">
      <w:start w:val="0"/>
      <w:numFmt w:val="bullet"/>
      <w:lvlText w:val="•"/>
      <w:lvlJc w:val="left"/>
      <w:pPr>
        <w:ind w:left="3696" w:hanging="317"/>
      </w:pPr>
      <w:rPr>
        <w:rFonts w:hint="default"/>
      </w:rPr>
    </w:lvl>
    <w:lvl w:ilvl="4">
      <w:start w:val="0"/>
      <w:numFmt w:val="bullet"/>
      <w:lvlText w:val="•"/>
      <w:lvlJc w:val="left"/>
      <w:pPr>
        <w:ind w:left="4275" w:hanging="317"/>
      </w:pPr>
      <w:rPr>
        <w:rFonts w:hint="default"/>
      </w:rPr>
    </w:lvl>
    <w:lvl w:ilvl="5">
      <w:start w:val="0"/>
      <w:numFmt w:val="bullet"/>
      <w:lvlText w:val="•"/>
      <w:lvlJc w:val="left"/>
      <w:pPr>
        <w:ind w:left="4854" w:hanging="317"/>
      </w:pPr>
      <w:rPr>
        <w:rFonts w:hint="default"/>
      </w:rPr>
    </w:lvl>
    <w:lvl w:ilvl="6">
      <w:start w:val="0"/>
      <w:numFmt w:val="bullet"/>
      <w:lvlText w:val="•"/>
      <w:lvlJc w:val="left"/>
      <w:pPr>
        <w:ind w:left="5432" w:hanging="317"/>
      </w:pPr>
      <w:rPr>
        <w:rFonts w:hint="default"/>
      </w:rPr>
    </w:lvl>
    <w:lvl w:ilvl="7">
      <w:start w:val="0"/>
      <w:numFmt w:val="bullet"/>
      <w:lvlText w:val="•"/>
      <w:lvlJc w:val="left"/>
      <w:pPr>
        <w:ind w:left="6011" w:hanging="317"/>
      </w:pPr>
      <w:rPr>
        <w:rFonts w:hint="default"/>
      </w:rPr>
    </w:lvl>
    <w:lvl w:ilvl="8">
      <w:start w:val="0"/>
      <w:numFmt w:val="bullet"/>
      <w:lvlText w:val="•"/>
      <w:lvlJc w:val="left"/>
      <w:pPr>
        <w:ind w:left="6590" w:hanging="317"/>
      </w:pPr>
      <w:rPr>
        <w:rFonts w:hint="default"/>
      </w:rPr>
    </w:lvl>
  </w:abstractNum>
  <w:abstractNum w:abstractNumId="10">
    <w:multiLevelType w:val="hybridMultilevel"/>
    <w:lvl w:ilvl="0">
      <w:start w:val="1"/>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18" w:hanging="317"/>
      </w:pPr>
      <w:rPr>
        <w:rFonts w:hint="default"/>
      </w:rPr>
    </w:lvl>
    <w:lvl w:ilvl="2">
      <w:start w:val="0"/>
      <w:numFmt w:val="bullet"/>
      <w:lvlText w:val="•"/>
      <w:lvlJc w:val="left"/>
      <w:pPr>
        <w:ind w:left="3077" w:hanging="317"/>
      </w:pPr>
      <w:rPr>
        <w:rFonts w:hint="default"/>
      </w:rPr>
    </w:lvl>
    <w:lvl w:ilvl="3">
      <w:start w:val="0"/>
      <w:numFmt w:val="bullet"/>
      <w:lvlText w:val="•"/>
      <w:lvlJc w:val="left"/>
      <w:pPr>
        <w:ind w:left="3636" w:hanging="317"/>
      </w:pPr>
      <w:rPr>
        <w:rFonts w:hint="default"/>
      </w:rPr>
    </w:lvl>
    <w:lvl w:ilvl="4">
      <w:start w:val="0"/>
      <w:numFmt w:val="bullet"/>
      <w:lvlText w:val="•"/>
      <w:lvlJc w:val="left"/>
      <w:pPr>
        <w:ind w:left="419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312" w:hanging="317"/>
      </w:pPr>
      <w:rPr>
        <w:rFonts w:hint="default"/>
      </w:rPr>
    </w:lvl>
    <w:lvl w:ilvl="7">
      <w:start w:val="0"/>
      <w:numFmt w:val="bullet"/>
      <w:lvlText w:val="•"/>
      <w:lvlJc w:val="left"/>
      <w:pPr>
        <w:ind w:left="5870" w:hanging="317"/>
      </w:pPr>
      <w:rPr>
        <w:rFonts w:hint="default"/>
      </w:rPr>
    </w:lvl>
    <w:lvl w:ilvl="8">
      <w:start w:val="0"/>
      <w:numFmt w:val="bullet"/>
      <w:lvlText w:val="•"/>
      <w:lvlJc w:val="left"/>
      <w:pPr>
        <w:ind w:left="6429" w:hanging="317"/>
      </w:pPr>
      <w:rPr>
        <w:rFonts w:hint="default"/>
      </w:rPr>
    </w:lvl>
  </w:abstractNum>
  <w:abstractNum w:abstractNumId="9">
    <w:multiLevelType w:val="hybridMultilevel"/>
    <w:lvl w:ilvl="0">
      <w:start w:val="9"/>
      <w:numFmt w:val="decimal"/>
      <w:lvlText w:val="%1"/>
      <w:lvlJc w:val="left"/>
      <w:pPr>
        <w:ind w:left="1443" w:hanging="423"/>
        <w:jc w:val="left"/>
      </w:pPr>
      <w:rPr>
        <w:rFonts w:hint="default"/>
      </w:rPr>
    </w:lvl>
    <w:lvl w:ilvl="1">
      <w:start w:val="1"/>
      <w:numFmt w:val="decimal"/>
      <w:lvlText w:val="%1.%2"/>
      <w:lvlJc w:val="left"/>
      <w:pPr>
        <w:ind w:left="1443" w:hanging="423"/>
        <w:jc w:val="left"/>
      </w:pPr>
      <w:rPr>
        <w:rFonts w:hint="default" w:ascii="宋体" w:hAnsi="宋体" w:eastAsia="宋体" w:cs="宋体"/>
        <w:w w:val="100"/>
        <w:sz w:val="21"/>
        <w:szCs w:val="21"/>
      </w:rPr>
    </w:lvl>
    <w:lvl w:ilvl="2">
      <w:start w:val="0"/>
      <w:numFmt w:val="bullet"/>
      <w:lvlText w:val="•"/>
      <w:lvlJc w:val="left"/>
      <w:pPr>
        <w:ind w:left="2083" w:hanging="423"/>
      </w:pPr>
      <w:rPr>
        <w:rFonts w:hint="default"/>
      </w:rPr>
    </w:lvl>
    <w:lvl w:ilvl="3">
      <w:start w:val="0"/>
      <w:numFmt w:val="bullet"/>
      <w:lvlText w:val="•"/>
      <w:lvlJc w:val="left"/>
      <w:pPr>
        <w:ind w:left="2404" w:hanging="423"/>
      </w:pPr>
      <w:rPr>
        <w:rFonts w:hint="default"/>
      </w:rPr>
    </w:lvl>
    <w:lvl w:ilvl="4">
      <w:start w:val="0"/>
      <w:numFmt w:val="bullet"/>
      <w:lvlText w:val="•"/>
      <w:lvlJc w:val="left"/>
      <w:pPr>
        <w:ind w:left="2726" w:hanging="423"/>
      </w:pPr>
      <w:rPr>
        <w:rFonts w:hint="default"/>
      </w:rPr>
    </w:lvl>
    <w:lvl w:ilvl="5">
      <w:start w:val="0"/>
      <w:numFmt w:val="bullet"/>
      <w:lvlText w:val="•"/>
      <w:lvlJc w:val="left"/>
      <w:pPr>
        <w:ind w:left="3048" w:hanging="423"/>
      </w:pPr>
      <w:rPr>
        <w:rFonts w:hint="default"/>
      </w:rPr>
    </w:lvl>
    <w:lvl w:ilvl="6">
      <w:start w:val="0"/>
      <w:numFmt w:val="bullet"/>
      <w:lvlText w:val="•"/>
      <w:lvlJc w:val="left"/>
      <w:pPr>
        <w:ind w:left="3369" w:hanging="423"/>
      </w:pPr>
      <w:rPr>
        <w:rFonts w:hint="default"/>
      </w:rPr>
    </w:lvl>
    <w:lvl w:ilvl="7">
      <w:start w:val="0"/>
      <w:numFmt w:val="bullet"/>
      <w:lvlText w:val="•"/>
      <w:lvlJc w:val="left"/>
      <w:pPr>
        <w:ind w:left="3691" w:hanging="423"/>
      </w:pPr>
      <w:rPr>
        <w:rFonts w:hint="default"/>
      </w:rPr>
    </w:lvl>
    <w:lvl w:ilvl="8">
      <w:start w:val="0"/>
      <w:numFmt w:val="bullet"/>
      <w:lvlText w:val="•"/>
      <w:lvlJc w:val="left"/>
      <w:pPr>
        <w:ind w:left="4013" w:hanging="423"/>
      </w:pPr>
      <w:rPr>
        <w:rFonts w:hint="default"/>
      </w:rPr>
    </w:lvl>
  </w:abstractNum>
  <w:abstractNum w:abstractNumId="8">
    <w:multiLevelType w:val="hybridMultilevel"/>
    <w:lvl w:ilvl="0">
      <w:start w:val="8"/>
      <w:numFmt w:val="decimal"/>
      <w:lvlText w:val="%1"/>
      <w:lvlJc w:val="left"/>
      <w:pPr>
        <w:ind w:left="1443" w:hanging="423"/>
        <w:jc w:val="left"/>
      </w:pPr>
      <w:rPr>
        <w:rFonts w:hint="default"/>
      </w:rPr>
    </w:lvl>
    <w:lvl w:ilvl="1">
      <w:start w:val="1"/>
      <w:numFmt w:val="decimal"/>
      <w:lvlText w:val="%1.%2"/>
      <w:lvlJc w:val="left"/>
      <w:pPr>
        <w:ind w:left="1443" w:hanging="423"/>
        <w:jc w:val="left"/>
      </w:pPr>
      <w:rPr>
        <w:rFonts w:hint="default" w:ascii="宋体" w:hAnsi="宋体" w:eastAsia="宋体" w:cs="宋体"/>
        <w:w w:val="100"/>
        <w:sz w:val="21"/>
        <w:szCs w:val="21"/>
      </w:rPr>
    </w:lvl>
    <w:lvl w:ilvl="2">
      <w:start w:val="0"/>
      <w:numFmt w:val="bullet"/>
      <w:lvlText w:val="•"/>
      <w:lvlJc w:val="left"/>
      <w:pPr>
        <w:ind w:left="2083" w:hanging="423"/>
      </w:pPr>
      <w:rPr>
        <w:rFonts w:hint="default"/>
      </w:rPr>
    </w:lvl>
    <w:lvl w:ilvl="3">
      <w:start w:val="0"/>
      <w:numFmt w:val="bullet"/>
      <w:lvlText w:val="•"/>
      <w:lvlJc w:val="left"/>
      <w:pPr>
        <w:ind w:left="2404" w:hanging="423"/>
      </w:pPr>
      <w:rPr>
        <w:rFonts w:hint="default"/>
      </w:rPr>
    </w:lvl>
    <w:lvl w:ilvl="4">
      <w:start w:val="0"/>
      <w:numFmt w:val="bullet"/>
      <w:lvlText w:val="•"/>
      <w:lvlJc w:val="left"/>
      <w:pPr>
        <w:ind w:left="2726" w:hanging="423"/>
      </w:pPr>
      <w:rPr>
        <w:rFonts w:hint="default"/>
      </w:rPr>
    </w:lvl>
    <w:lvl w:ilvl="5">
      <w:start w:val="0"/>
      <w:numFmt w:val="bullet"/>
      <w:lvlText w:val="•"/>
      <w:lvlJc w:val="left"/>
      <w:pPr>
        <w:ind w:left="3048" w:hanging="423"/>
      </w:pPr>
      <w:rPr>
        <w:rFonts w:hint="default"/>
      </w:rPr>
    </w:lvl>
    <w:lvl w:ilvl="6">
      <w:start w:val="0"/>
      <w:numFmt w:val="bullet"/>
      <w:lvlText w:val="•"/>
      <w:lvlJc w:val="left"/>
      <w:pPr>
        <w:ind w:left="3369" w:hanging="423"/>
      </w:pPr>
      <w:rPr>
        <w:rFonts w:hint="default"/>
      </w:rPr>
    </w:lvl>
    <w:lvl w:ilvl="7">
      <w:start w:val="0"/>
      <w:numFmt w:val="bullet"/>
      <w:lvlText w:val="•"/>
      <w:lvlJc w:val="left"/>
      <w:pPr>
        <w:ind w:left="3691" w:hanging="423"/>
      </w:pPr>
      <w:rPr>
        <w:rFonts w:hint="default"/>
      </w:rPr>
    </w:lvl>
    <w:lvl w:ilvl="8">
      <w:start w:val="0"/>
      <w:numFmt w:val="bullet"/>
      <w:lvlText w:val="•"/>
      <w:lvlJc w:val="left"/>
      <w:pPr>
        <w:ind w:left="4013" w:hanging="423"/>
      </w:pPr>
      <w:rPr>
        <w:rFonts w:hint="default"/>
      </w:rPr>
    </w:lvl>
  </w:abstractNum>
  <w:abstractNum w:abstractNumId="7">
    <w:multiLevelType w:val="hybridMultilevel"/>
    <w:lvl w:ilvl="0">
      <w:start w:val="7"/>
      <w:numFmt w:val="decimal"/>
      <w:lvlText w:val="%1"/>
      <w:lvlJc w:val="left"/>
      <w:pPr>
        <w:ind w:left="1438" w:hanging="423"/>
        <w:jc w:val="left"/>
      </w:pPr>
      <w:rPr>
        <w:rFonts w:hint="default"/>
      </w:rPr>
    </w:lvl>
    <w:lvl w:ilvl="1">
      <w:start w:val="1"/>
      <w:numFmt w:val="decimal"/>
      <w:lvlText w:val="%1.%2"/>
      <w:lvlJc w:val="left"/>
      <w:pPr>
        <w:ind w:left="1438" w:hanging="423"/>
        <w:jc w:val="left"/>
      </w:pPr>
      <w:rPr>
        <w:rFonts w:hint="default" w:ascii="宋体" w:hAnsi="宋体" w:eastAsia="宋体" w:cs="宋体"/>
        <w:w w:val="100"/>
        <w:sz w:val="21"/>
        <w:szCs w:val="21"/>
      </w:rPr>
    </w:lvl>
    <w:lvl w:ilvl="2">
      <w:start w:val="0"/>
      <w:numFmt w:val="bullet"/>
      <w:lvlText w:val="•"/>
      <w:lvlJc w:val="left"/>
      <w:pPr>
        <w:ind w:left="2083" w:hanging="423"/>
      </w:pPr>
      <w:rPr>
        <w:rFonts w:hint="default"/>
      </w:rPr>
    </w:lvl>
    <w:lvl w:ilvl="3">
      <w:start w:val="0"/>
      <w:numFmt w:val="bullet"/>
      <w:lvlText w:val="•"/>
      <w:lvlJc w:val="left"/>
      <w:pPr>
        <w:ind w:left="2404" w:hanging="423"/>
      </w:pPr>
      <w:rPr>
        <w:rFonts w:hint="default"/>
      </w:rPr>
    </w:lvl>
    <w:lvl w:ilvl="4">
      <w:start w:val="0"/>
      <w:numFmt w:val="bullet"/>
      <w:lvlText w:val="•"/>
      <w:lvlJc w:val="left"/>
      <w:pPr>
        <w:ind w:left="2726" w:hanging="423"/>
      </w:pPr>
      <w:rPr>
        <w:rFonts w:hint="default"/>
      </w:rPr>
    </w:lvl>
    <w:lvl w:ilvl="5">
      <w:start w:val="0"/>
      <w:numFmt w:val="bullet"/>
      <w:lvlText w:val="•"/>
      <w:lvlJc w:val="left"/>
      <w:pPr>
        <w:ind w:left="3048" w:hanging="423"/>
      </w:pPr>
      <w:rPr>
        <w:rFonts w:hint="default"/>
      </w:rPr>
    </w:lvl>
    <w:lvl w:ilvl="6">
      <w:start w:val="0"/>
      <w:numFmt w:val="bullet"/>
      <w:lvlText w:val="•"/>
      <w:lvlJc w:val="left"/>
      <w:pPr>
        <w:ind w:left="3369" w:hanging="423"/>
      </w:pPr>
      <w:rPr>
        <w:rFonts w:hint="default"/>
      </w:rPr>
    </w:lvl>
    <w:lvl w:ilvl="7">
      <w:start w:val="0"/>
      <w:numFmt w:val="bullet"/>
      <w:lvlText w:val="•"/>
      <w:lvlJc w:val="left"/>
      <w:pPr>
        <w:ind w:left="3691" w:hanging="423"/>
      </w:pPr>
      <w:rPr>
        <w:rFonts w:hint="default"/>
      </w:rPr>
    </w:lvl>
    <w:lvl w:ilvl="8">
      <w:start w:val="0"/>
      <w:numFmt w:val="bullet"/>
      <w:lvlText w:val="•"/>
      <w:lvlJc w:val="left"/>
      <w:pPr>
        <w:ind w:left="4013" w:hanging="423"/>
      </w:pPr>
      <w:rPr>
        <w:rFonts w:hint="default"/>
      </w:rPr>
    </w:lvl>
  </w:abstractNum>
  <w:abstractNum w:abstractNumId="6">
    <w:multiLevelType w:val="hybridMultilevel"/>
    <w:lvl w:ilvl="0">
      <w:start w:val="6"/>
      <w:numFmt w:val="decimal"/>
      <w:lvlText w:val="%1"/>
      <w:lvlJc w:val="left"/>
      <w:pPr>
        <w:ind w:left="1422" w:hanging="423"/>
        <w:jc w:val="left"/>
      </w:pPr>
      <w:rPr>
        <w:rFonts w:hint="default"/>
      </w:rPr>
    </w:lvl>
    <w:lvl w:ilvl="1">
      <w:start w:val="1"/>
      <w:numFmt w:val="decimal"/>
      <w:lvlText w:val="%1.%2"/>
      <w:lvlJc w:val="left"/>
      <w:pPr>
        <w:ind w:left="1422" w:hanging="423"/>
        <w:jc w:val="left"/>
      </w:pPr>
      <w:rPr>
        <w:rFonts w:hint="default" w:ascii="宋体" w:hAnsi="宋体" w:eastAsia="宋体" w:cs="宋体"/>
        <w:w w:val="100"/>
        <w:sz w:val="21"/>
        <w:szCs w:val="21"/>
      </w:rPr>
    </w:lvl>
    <w:lvl w:ilvl="2">
      <w:start w:val="0"/>
      <w:numFmt w:val="bullet"/>
      <w:lvlText w:val="•"/>
      <w:lvlJc w:val="left"/>
      <w:pPr>
        <w:ind w:left="1714" w:hanging="423"/>
      </w:pPr>
      <w:rPr>
        <w:rFonts w:hint="default"/>
      </w:rPr>
    </w:lvl>
    <w:lvl w:ilvl="3">
      <w:start w:val="0"/>
      <w:numFmt w:val="bullet"/>
      <w:lvlText w:val="•"/>
      <w:lvlJc w:val="left"/>
      <w:pPr>
        <w:ind w:left="1862" w:hanging="423"/>
      </w:pPr>
      <w:rPr>
        <w:rFonts w:hint="default"/>
      </w:rPr>
    </w:lvl>
    <w:lvl w:ilvl="4">
      <w:start w:val="0"/>
      <w:numFmt w:val="bullet"/>
      <w:lvlText w:val="•"/>
      <w:lvlJc w:val="left"/>
      <w:pPr>
        <w:ind w:left="2009" w:hanging="423"/>
      </w:pPr>
      <w:rPr>
        <w:rFonts w:hint="default"/>
      </w:rPr>
    </w:lvl>
    <w:lvl w:ilvl="5">
      <w:start w:val="0"/>
      <w:numFmt w:val="bullet"/>
      <w:lvlText w:val="•"/>
      <w:lvlJc w:val="left"/>
      <w:pPr>
        <w:ind w:left="2156" w:hanging="423"/>
      </w:pPr>
      <w:rPr>
        <w:rFonts w:hint="default"/>
      </w:rPr>
    </w:lvl>
    <w:lvl w:ilvl="6">
      <w:start w:val="0"/>
      <w:numFmt w:val="bullet"/>
      <w:lvlText w:val="•"/>
      <w:lvlJc w:val="left"/>
      <w:pPr>
        <w:ind w:left="2304" w:hanging="423"/>
      </w:pPr>
      <w:rPr>
        <w:rFonts w:hint="default"/>
      </w:rPr>
    </w:lvl>
    <w:lvl w:ilvl="7">
      <w:start w:val="0"/>
      <w:numFmt w:val="bullet"/>
      <w:lvlText w:val="•"/>
      <w:lvlJc w:val="left"/>
      <w:pPr>
        <w:ind w:left="2451" w:hanging="423"/>
      </w:pPr>
      <w:rPr>
        <w:rFonts w:hint="default"/>
      </w:rPr>
    </w:lvl>
    <w:lvl w:ilvl="8">
      <w:start w:val="0"/>
      <w:numFmt w:val="bullet"/>
      <w:lvlText w:val="•"/>
      <w:lvlJc w:val="left"/>
      <w:pPr>
        <w:ind w:left="2598" w:hanging="423"/>
      </w:pPr>
      <w:rPr>
        <w:rFonts w:hint="default"/>
      </w:rPr>
    </w:lvl>
  </w:abstractNum>
  <w:abstractNum w:abstractNumId="5">
    <w:multiLevelType w:val="hybridMultilevel"/>
    <w:lvl w:ilvl="0">
      <w:start w:val="5"/>
      <w:numFmt w:val="decimal"/>
      <w:lvlText w:val="%1"/>
      <w:lvlJc w:val="left"/>
      <w:pPr>
        <w:ind w:left="1419" w:hanging="420"/>
        <w:jc w:val="left"/>
      </w:pPr>
      <w:rPr>
        <w:rFonts w:hint="default"/>
      </w:rPr>
    </w:lvl>
    <w:lvl w:ilvl="1">
      <w:start w:val="1"/>
      <w:numFmt w:val="decimal"/>
      <w:lvlText w:val="%1.%2"/>
      <w:lvlJc w:val="left"/>
      <w:pPr>
        <w:ind w:left="1419" w:hanging="420"/>
        <w:jc w:val="left"/>
      </w:pPr>
      <w:rPr>
        <w:rFonts w:hint="default" w:ascii="宋体" w:hAnsi="宋体" w:eastAsia="宋体" w:cs="宋体"/>
        <w:w w:val="100"/>
        <w:sz w:val="21"/>
        <w:szCs w:val="21"/>
      </w:rPr>
    </w:lvl>
    <w:lvl w:ilvl="2">
      <w:start w:val="0"/>
      <w:numFmt w:val="bullet"/>
      <w:lvlText w:val="•"/>
      <w:lvlJc w:val="left"/>
      <w:pPr>
        <w:ind w:left="1714" w:hanging="420"/>
      </w:pPr>
      <w:rPr>
        <w:rFonts w:hint="default"/>
      </w:rPr>
    </w:lvl>
    <w:lvl w:ilvl="3">
      <w:start w:val="0"/>
      <w:numFmt w:val="bullet"/>
      <w:lvlText w:val="•"/>
      <w:lvlJc w:val="left"/>
      <w:pPr>
        <w:ind w:left="1862" w:hanging="420"/>
      </w:pPr>
      <w:rPr>
        <w:rFonts w:hint="default"/>
      </w:rPr>
    </w:lvl>
    <w:lvl w:ilvl="4">
      <w:start w:val="0"/>
      <w:numFmt w:val="bullet"/>
      <w:lvlText w:val="•"/>
      <w:lvlJc w:val="left"/>
      <w:pPr>
        <w:ind w:left="2009" w:hanging="420"/>
      </w:pPr>
      <w:rPr>
        <w:rFonts w:hint="default"/>
      </w:rPr>
    </w:lvl>
    <w:lvl w:ilvl="5">
      <w:start w:val="0"/>
      <w:numFmt w:val="bullet"/>
      <w:lvlText w:val="•"/>
      <w:lvlJc w:val="left"/>
      <w:pPr>
        <w:ind w:left="2156" w:hanging="420"/>
      </w:pPr>
      <w:rPr>
        <w:rFonts w:hint="default"/>
      </w:rPr>
    </w:lvl>
    <w:lvl w:ilvl="6">
      <w:start w:val="0"/>
      <w:numFmt w:val="bullet"/>
      <w:lvlText w:val="•"/>
      <w:lvlJc w:val="left"/>
      <w:pPr>
        <w:ind w:left="2304" w:hanging="420"/>
      </w:pPr>
      <w:rPr>
        <w:rFonts w:hint="default"/>
      </w:rPr>
    </w:lvl>
    <w:lvl w:ilvl="7">
      <w:start w:val="0"/>
      <w:numFmt w:val="bullet"/>
      <w:lvlText w:val="•"/>
      <w:lvlJc w:val="left"/>
      <w:pPr>
        <w:ind w:left="2451" w:hanging="420"/>
      </w:pPr>
      <w:rPr>
        <w:rFonts w:hint="default"/>
      </w:rPr>
    </w:lvl>
    <w:lvl w:ilvl="8">
      <w:start w:val="0"/>
      <w:numFmt w:val="bullet"/>
      <w:lvlText w:val="•"/>
      <w:lvlJc w:val="left"/>
      <w:pPr>
        <w:ind w:left="2598" w:hanging="420"/>
      </w:pPr>
      <w:rPr>
        <w:rFonts w:hint="default"/>
      </w:rPr>
    </w:lvl>
  </w:abstractNum>
  <w:abstractNum w:abstractNumId="4">
    <w:multiLevelType w:val="hybridMultilevel"/>
    <w:lvl w:ilvl="0">
      <w:start w:val="4"/>
      <w:numFmt w:val="decimal"/>
      <w:lvlText w:val="%1"/>
      <w:lvlJc w:val="left"/>
      <w:pPr>
        <w:ind w:left="1419" w:hanging="420"/>
        <w:jc w:val="left"/>
      </w:pPr>
      <w:rPr>
        <w:rFonts w:hint="default"/>
      </w:rPr>
    </w:lvl>
    <w:lvl w:ilvl="1">
      <w:start w:val="1"/>
      <w:numFmt w:val="decimal"/>
      <w:lvlText w:val="%1.%2"/>
      <w:lvlJc w:val="left"/>
      <w:pPr>
        <w:ind w:left="1419" w:hanging="420"/>
        <w:jc w:val="left"/>
      </w:pPr>
      <w:rPr>
        <w:rFonts w:hint="default" w:ascii="宋体" w:hAnsi="宋体" w:eastAsia="宋体" w:cs="宋体"/>
        <w:w w:val="100"/>
        <w:sz w:val="21"/>
        <w:szCs w:val="21"/>
      </w:rPr>
    </w:lvl>
    <w:lvl w:ilvl="2">
      <w:start w:val="0"/>
      <w:numFmt w:val="bullet"/>
      <w:lvlText w:val="•"/>
      <w:lvlJc w:val="left"/>
      <w:pPr>
        <w:ind w:left="1714" w:hanging="420"/>
      </w:pPr>
      <w:rPr>
        <w:rFonts w:hint="default"/>
      </w:rPr>
    </w:lvl>
    <w:lvl w:ilvl="3">
      <w:start w:val="0"/>
      <w:numFmt w:val="bullet"/>
      <w:lvlText w:val="•"/>
      <w:lvlJc w:val="left"/>
      <w:pPr>
        <w:ind w:left="1862" w:hanging="420"/>
      </w:pPr>
      <w:rPr>
        <w:rFonts w:hint="default"/>
      </w:rPr>
    </w:lvl>
    <w:lvl w:ilvl="4">
      <w:start w:val="0"/>
      <w:numFmt w:val="bullet"/>
      <w:lvlText w:val="•"/>
      <w:lvlJc w:val="left"/>
      <w:pPr>
        <w:ind w:left="2009" w:hanging="420"/>
      </w:pPr>
      <w:rPr>
        <w:rFonts w:hint="default"/>
      </w:rPr>
    </w:lvl>
    <w:lvl w:ilvl="5">
      <w:start w:val="0"/>
      <w:numFmt w:val="bullet"/>
      <w:lvlText w:val="•"/>
      <w:lvlJc w:val="left"/>
      <w:pPr>
        <w:ind w:left="2156" w:hanging="420"/>
      </w:pPr>
      <w:rPr>
        <w:rFonts w:hint="default"/>
      </w:rPr>
    </w:lvl>
    <w:lvl w:ilvl="6">
      <w:start w:val="0"/>
      <w:numFmt w:val="bullet"/>
      <w:lvlText w:val="•"/>
      <w:lvlJc w:val="left"/>
      <w:pPr>
        <w:ind w:left="2304" w:hanging="420"/>
      </w:pPr>
      <w:rPr>
        <w:rFonts w:hint="default"/>
      </w:rPr>
    </w:lvl>
    <w:lvl w:ilvl="7">
      <w:start w:val="0"/>
      <w:numFmt w:val="bullet"/>
      <w:lvlText w:val="•"/>
      <w:lvlJc w:val="left"/>
      <w:pPr>
        <w:ind w:left="2451" w:hanging="420"/>
      </w:pPr>
      <w:rPr>
        <w:rFonts w:hint="default"/>
      </w:rPr>
    </w:lvl>
    <w:lvl w:ilvl="8">
      <w:start w:val="0"/>
      <w:numFmt w:val="bullet"/>
      <w:lvlText w:val="•"/>
      <w:lvlJc w:val="left"/>
      <w:pPr>
        <w:ind w:left="2598" w:hanging="420"/>
      </w:pPr>
      <w:rPr>
        <w:rFonts w:hint="default"/>
      </w:rPr>
    </w:lvl>
  </w:abstractNum>
  <w:abstractNum w:abstractNumId="3">
    <w:multiLevelType w:val="hybridMultilevel"/>
    <w:lvl w:ilvl="0">
      <w:start w:val="3"/>
      <w:numFmt w:val="decimal"/>
      <w:lvlText w:val="%1"/>
      <w:lvlJc w:val="left"/>
      <w:pPr>
        <w:ind w:left="1698" w:hanging="423"/>
        <w:jc w:val="left"/>
      </w:pPr>
      <w:rPr>
        <w:rFonts w:hint="default"/>
      </w:rPr>
    </w:lvl>
    <w:lvl w:ilvl="1">
      <w:start w:val="1"/>
      <w:numFmt w:val="decimal"/>
      <w:lvlText w:val="%1.%2"/>
      <w:lvlJc w:val="left"/>
      <w:pPr>
        <w:ind w:left="1698" w:hanging="423"/>
        <w:jc w:val="right"/>
      </w:pPr>
      <w:rPr>
        <w:rFonts w:hint="default" w:ascii="宋体" w:hAnsi="宋体" w:eastAsia="宋体" w:cs="宋体"/>
        <w:w w:val="100"/>
        <w:sz w:val="21"/>
        <w:szCs w:val="21"/>
      </w:rPr>
    </w:lvl>
    <w:lvl w:ilvl="2">
      <w:start w:val="0"/>
      <w:numFmt w:val="bullet"/>
      <w:lvlText w:val="•"/>
      <w:lvlJc w:val="left"/>
      <w:pPr>
        <w:ind w:left="1995" w:hanging="423"/>
      </w:pPr>
      <w:rPr>
        <w:rFonts w:hint="default"/>
      </w:rPr>
    </w:lvl>
    <w:lvl w:ilvl="3">
      <w:start w:val="0"/>
      <w:numFmt w:val="bullet"/>
      <w:lvlText w:val="•"/>
      <w:lvlJc w:val="left"/>
      <w:pPr>
        <w:ind w:left="2142" w:hanging="423"/>
      </w:pPr>
      <w:rPr>
        <w:rFonts w:hint="default"/>
      </w:rPr>
    </w:lvl>
    <w:lvl w:ilvl="4">
      <w:start w:val="0"/>
      <w:numFmt w:val="bullet"/>
      <w:lvlText w:val="•"/>
      <w:lvlJc w:val="left"/>
      <w:pPr>
        <w:ind w:left="2290" w:hanging="423"/>
      </w:pPr>
      <w:rPr>
        <w:rFonts w:hint="default"/>
      </w:rPr>
    </w:lvl>
    <w:lvl w:ilvl="5">
      <w:start w:val="0"/>
      <w:numFmt w:val="bullet"/>
      <w:lvlText w:val="•"/>
      <w:lvlJc w:val="left"/>
      <w:pPr>
        <w:ind w:left="2438" w:hanging="423"/>
      </w:pPr>
      <w:rPr>
        <w:rFonts w:hint="default"/>
      </w:rPr>
    </w:lvl>
    <w:lvl w:ilvl="6">
      <w:start w:val="0"/>
      <w:numFmt w:val="bullet"/>
      <w:lvlText w:val="•"/>
      <w:lvlJc w:val="left"/>
      <w:pPr>
        <w:ind w:left="2585" w:hanging="423"/>
      </w:pPr>
      <w:rPr>
        <w:rFonts w:hint="default"/>
      </w:rPr>
    </w:lvl>
    <w:lvl w:ilvl="7">
      <w:start w:val="0"/>
      <w:numFmt w:val="bullet"/>
      <w:lvlText w:val="•"/>
      <w:lvlJc w:val="left"/>
      <w:pPr>
        <w:ind w:left="2733" w:hanging="423"/>
      </w:pPr>
      <w:rPr>
        <w:rFonts w:hint="default"/>
      </w:rPr>
    </w:lvl>
    <w:lvl w:ilvl="8">
      <w:start w:val="0"/>
      <w:numFmt w:val="bullet"/>
      <w:lvlText w:val="•"/>
      <w:lvlJc w:val="left"/>
      <w:pPr>
        <w:ind w:left="2881" w:hanging="423"/>
      </w:pPr>
      <w:rPr>
        <w:rFonts w:hint="default"/>
      </w:rPr>
    </w:lvl>
  </w:abstractNum>
  <w:abstractNum w:abstractNumId="2">
    <w:multiLevelType w:val="hybridMultilevel"/>
    <w:lvl w:ilvl="0">
      <w:start w:val="2"/>
      <w:numFmt w:val="decimal"/>
      <w:lvlText w:val="%1"/>
      <w:lvlJc w:val="left"/>
      <w:pPr>
        <w:ind w:left="1698" w:hanging="423"/>
        <w:jc w:val="left"/>
      </w:pPr>
      <w:rPr>
        <w:rFonts w:hint="default"/>
      </w:rPr>
    </w:lvl>
    <w:lvl w:ilvl="1">
      <w:start w:val="1"/>
      <w:numFmt w:val="decimal"/>
      <w:lvlText w:val="%1.%2"/>
      <w:lvlJc w:val="left"/>
      <w:pPr>
        <w:ind w:left="1698" w:hanging="423"/>
        <w:jc w:val="left"/>
      </w:pPr>
      <w:rPr>
        <w:rFonts w:hint="default" w:ascii="宋体" w:hAnsi="宋体" w:eastAsia="宋体" w:cs="宋体"/>
        <w:w w:val="100"/>
        <w:sz w:val="21"/>
        <w:szCs w:val="21"/>
      </w:rPr>
    </w:lvl>
    <w:lvl w:ilvl="2">
      <w:start w:val="0"/>
      <w:numFmt w:val="bullet"/>
      <w:lvlText w:val="•"/>
      <w:lvlJc w:val="left"/>
      <w:pPr>
        <w:ind w:left="1995" w:hanging="423"/>
      </w:pPr>
      <w:rPr>
        <w:rFonts w:hint="default"/>
      </w:rPr>
    </w:lvl>
    <w:lvl w:ilvl="3">
      <w:start w:val="0"/>
      <w:numFmt w:val="bullet"/>
      <w:lvlText w:val="•"/>
      <w:lvlJc w:val="left"/>
      <w:pPr>
        <w:ind w:left="2142" w:hanging="423"/>
      </w:pPr>
      <w:rPr>
        <w:rFonts w:hint="default"/>
      </w:rPr>
    </w:lvl>
    <w:lvl w:ilvl="4">
      <w:start w:val="0"/>
      <w:numFmt w:val="bullet"/>
      <w:lvlText w:val="•"/>
      <w:lvlJc w:val="left"/>
      <w:pPr>
        <w:ind w:left="2290" w:hanging="423"/>
      </w:pPr>
      <w:rPr>
        <w:rFonts w:hint="default"/>
      </w:rPr>
    </w:lvl>
    <w:lvl w:ilvl="5">
      <w:start w:val="0"/>
      <w:numFmt w:val="bullet"/>
      <w:lvlText w:val="•"/>
      <w:lvlJc w:val="left"/>
      <w:pPr>
        <w:ind w:left="2438" w:hanging="423"/>
      </w:pPr>
      <w:rPr>
        <w:rFonts w:hint="default"/>
      </w:rPr>
    </w:lvl>
    <w:lvl w:ilvl="6">
      <w:start w:val="0"/>
      <w:numFmt w:val="bullet"/>
      <w:lvlText w:val="•"/>
      <w:lvlJc w:val="left"/>
      <w:pPr>
        <w:ind w:left="2585" w:hanging="423"/>
      </w:pPr>
      <w:rPr>
        <w:rFonts w:hint="default"/>
      </w:rPr>
    </w:lvl>
    <w:lvl w:ilvl="7">
      <w:start w:val="0"/>
      <w:numFmt w:val="bullet"/>
      <w:lvlText w:val="•"/>
      <w:lvlJc w:val="left"/>
      <w:pPr>
        <w:ind w:left="2733" w:hanging="423"/>
      </w:pPr>
      <w:rPr>
        <w:rFonts w:hint="default"/>
      </w:rPr>
    </w:lvl>
    <w:lvl w:ilvl="8">
      <w:start w:val="0"/>
      <w:numFmt w:val="bullet"/>
      <w:lvlText w:val="•"/>
      <w:lvlJc w:val="left"/>
      <w:pPr>
        <w:ind w:left="2881" w:hanging="423"/>
      </w:pPr>
      <w:rPr>
        <w:rFonts w:hint="default"/>
      </w:rPr>
    </w:lvl>
  </w:abstractNum>
  <w:abstractNum w:abstractNumId="1">
    <w:multiLevelType w:val="hybridMultilevel"/>
    <w:lvl w:ilvl="0">
      <w:start w:val="1"/>
      <w:numFmt w:val="decimal"/>
      <w:lvlText w:val="%1"/>
      <w:lvlJc w:val="left"/>
      <w:pPr>
        <w:ind w:left="1698" w:hanging="423"/>
        <w:jc w:val="left"/>
      </w:pPr>
      <w:rPr>
        <w:rFonts w:hint="default"/>
      </w:rPr>
    </w:lvl>
    <w:lvl w:ilvl="1">
      <w:start w:val="1"/>
      <w:numFmt w:val="decimal"/>
      <w:lvlText w:val="%1.%2"/>
      <w:lvlJc w:val="left"/>
      <w:pPr>
        <w:ind w:left="1698" w:hanging="423"/>
        <w:jc w:val="left"/>
      </w:pPr>
      <w:rPr>
        <w:rFonts w:hint="default" w:ascii="宋体" w:hAnsi="宋体" w:eastAsia="宋体" w:cs="宋体"/>
        <w:w w:val="100"/>
        <w:sz w:val="21"/>
        <w:szCs w:val="21"/>
      </w:rPr>
    </w:lvl>
    <w:lvl w:ilvl="2">
      <w:start w:val="0"/>
      <w:numFmt w:val="bullet"/>
      <w:lvlText w:val="•"/>
      <w:lvlJc w:val="left"/>
      <w:pPr>
        <w:ind w:left="1995" w:hanging="423"/>
      </w:pPr>
      <w:rPr>
        <w:rFonts w:hint="default"/>
      </w:rPr>
    </w:lvl>
    <w:lvl w:ilvl="3">
      <w:start w:val="0"/>
      <w:numFmt w:val="bullet"/>
      <w:lvlText w:val="•"/>
      <w:lvlJc w:val="left"/>
      <w:pPr>
        <w:ind w:left="2142" w:hanging="423"/>
      </w:pPr>
      <w:rPr>
        <w:rFonts w:hint="default"/>
      </w:rPr>
    </w:lvl>
    <w:lvl w:ilvl="4">
      <w:start w:val="0"/>
      <w:numFmt w:val="bullet"/>
      <w:lvlText w:val="•"/>
      <w:lvlJc w:val="left"/>
      <w:pPr>
        <w:ind w:left="2290" w:hanging="423"/>
      </w:pPr>
      <w:rPr>
        <w:rFonts w:hint="default"/>
      </w:rPr>
    </w:lvl>
    <w:lvl w:ilvl="5">
      <w:start w:val="0"/>
      <w:numFmt w:val="bullet"/>
      <w:lvlText w:val="•"/>
      <w:lvlJc w:val="left"/>
      <w:pPr>
        <w:ind w:left="2438" w:hanging="423"/>
      </w:pPr>
      <w:rPr>
        <w:rFonts w:hint="default"/>
      </w:rPr>
    </w:lvl>
    <w:lvl w:ilvl="6">
      <w:start w:val="0"/>
      <w:numFmt w:val="bullet"/>
      <w:lvlText w:val="•"/>
      <w:lvlJc w:val="left"/>
      <w:pPr>
        <w:ind w:left="2585" w:hanging="423"/>
      </w:pPr>
      <w:rPr>
        <w:rFonts w:hint="default"/>
      </w:rPr>
    </w:lvl>
    <w:lvl w:ilvl="7">
      <w:start w:val="0"/>
      <w:numFmt w:val="bullet"/>
      <w:lvlText w:val="•"/>
      <w:lvlJc w:val="left"/>
      <w:pPr>
        <w:ind w:left="2733" w:hanging="423"/>
      </w:pPr>
      <w:rPr>
        <w:rFonts w:hint="default"/>
      </w:rPr>
    </w:lvl>
    <w:lvl w:ilvl="8">
      <w:start w:val="0"/>
      <w:numFmt w:val="bullet"/>
      <w:lvlText w:val="•"/>
      <w:lvlJc w:val="left"/>
      <w:pPr>
        <w:ind w:left="2881" w:hanging="423"/>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hanging="423"/>
    </w:pPr>
    <w:rPr>
      <w:rFonts w:ascii="宋体" w:hAnsi="宋体" w:eastAsia="宋体" w:cs="宋体"/>
      <w:sz w:val="21"/>
      <w:szCs w:val="21"/>
    </w:rPr>
  </w:style>
  <w:style w:styleId="ListParagraph" w:type="paragraph">
    <w:name w:val="List Paragraph"/>
    <w:basedOn w:val="Normal"/>
    <w:uiPriority w:val="1"/>
    <w:qFormat/>
    <w:pPr>
      <w:spacing w:before="37"/>
      <w:ind w:left="1554" w:hanging="423"/>
    </w:pPr>
    <w:rPr>
      <w:rFonts w:ascii="宋体" w:hAnsi="宋体" w:eastAsia="宋体" w:cs="宋体"/>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2018-10-19T23:05:30Z</dcterms:created>
  <dcterms:modified xsi:type="dcterms:W3CDTF">2018-10-19T23:05:30Z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Microsoft® Word 2010</vt:lpwstr>
  </property>
  <property fmtid="{D5CDD505-2E9C-101B-9397-08002B2CF9AE}" pid="4" name="LastSaved">
    <vt:filetime>2018-10-19T00:00:00Z</vt:filetime>
  </property>
</Properties>
</file>