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1"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936" w:right="0" w:firstLine="0"/>
        <w:jc w:val="center"/>
        <w:rPr>
          <w:rFonts w:ascii="Microsoft JhengHei" w:eastAsia="Microsoft JhengHei" w:hint="eastAsia"/>
          <w:b/>
          <w:sz w:val="32"/>
        </w:rPr>
      </w:pPr>
      <w:r>
        <w:rPr/>
        <w:pict>
          <v:shape style="position:absolute;margin-left:46.664001pt;margin-top:45.092037pt;width:455.25pt;height:174.9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7"/>
                    <w:gridCol w:w="3238"/>
                    <w:gridCol w:w="2168"/>
                    <w:gridCol w:w="2470"/>
                  </w:tblGrid>
                  <w:tr>
                    <w:trPr>
                      <w:trHeight w:val="485" w:hRule="atLeast"/>
                    </w:trPr>
                    <w:tc>
                      <w:tcPr>
                        <w:tcW w:w="1227" w:type="dxa"/>
                      </w:tcPr>
                      <w:p>
                        <w:pPr>
                          <w:pStyle w:val="TableParagraph"/>
                          <w:spacing w:line="318" w:lineRule="exact"/>
                          <w:ind w:left="200"/>
                          <w:rPr>
                            <w:rFonts w:ascii="Microsoft JhengHei" w:eastAsia="Microsoft JhengHei" w:hint="eastAsia"/>
                            <w:b/>
                            <w:sz w:val="24"/>
                          </w:rPr>
                        </w:pPr>
                        <w:r>
                          <w:rPr>
                            <w:rFonts w:ascii="Microsoft JhengHei" w:eastAsia="Microsoft JhengHei" w:hint="eastAsia"/>
                            <w:b/>
                            <w:sz w:val="24"/>
                          </w:rPr>
                          <w:t>条款目录</w:t>
                        </w:r>
                      </w:p>
                    </w:tc>
                    <w:tc>
                      <w:tcPr>
                        <w:tcW w:w="3238" w:type="dxa"/>
                      </w:tcPr>
                      <w:p>
                        <w:pPr>
                          <w:pStyle w:val="TableParagraph"/>
                          <w:ind w:left="0"/>
                          <w:rPr>
                            <w:rFonts w:ascii="Times New Roman"/>
                            <w:sz w:val="20"/>
                          </w:rPr>
                        </w:pPr>
                      </w:p>
                    </w:tc>
                    <w:tc>
                      <w:tcPr>
                        <w:tcW w:w="2168" w:type="dxa"/>
                      </w:tcPr>
                      <w:p>
                        <w:pPr>
                          <w:pStyle w:val="TableParagraph"/>
                          <w:ind w:left="0"/>
                          <w:rPr>
                            <w:rFonts w:ascii="Times New Roman"/>
                            <w:sz w:val="20"/>
                          </w:rPr>
                        </w:pPr>
                      </w:p>
                    </w:tc>
                    <w:tc>
                      <w:tcPr>
                        <w:tcW w:w="2470" w:type="dxa"/>
                      </w:tcPr>
                      <w:p>
                        <w:pPr>
                          <w:pStyle w:val="TableParagraph"/>
                          <w:spacing w:line="85" w:lineRule="exact"/>
                          <w:ind w:left="0" w:right="32"/>
                          <w:jc w:val="right"/>
                          <w:rPr>
                            <w:sz w:val="18"/>
                          </w:rPr>
                        </w:pPr>
                        <w:r>
                          <w:rPr>
                            <w:sz w:val="18"/>
                          </w:rPr>
                          <w:t>请扫描以</w:t>
                        </w:r>
                      </w:p>
                    </w:tc>
                  </w:tr>
                  <w:tr>
                    <w:trPr>
                      <w:trHeight w:val="488" w:hRule="atLeast"/>
                    </w:trPr>
                    <w:tc>
                      <w:tcPr>
                        <w:tcW w:w="1227" w:type="dxa"/>
                      </w:tcPr>
                      <w:p>
                        <w:pPr>
                          <w:pStyle w:val="TableParagraph"/>
                          <w:spacing w:before="144"/>
                          <w:ind w:left="200"/>
                          <w:rPr>
                            <w:sz w:val="21"/>
                          </w:rPr>
                        </w:pPr>
                        <w:r>
                          <w:rPr>
                            <w:sz w:val="21"/>
                          </w:rPr>
                          <w:t>第一条</w:t>
                        </w:r>
                      </w:p>
                    </w:tc>
                    <w:tc>
                      <w:tcPr>
                        <w:tcW w:w="3238" w:type="dxa"/>
                      </w:tcPr>
                      <w:p>
                        <w:pPr>
                          <w:pStyle w:val="TableParagraph"/>
                          <w:spacing w:before="144"/>
                          <w:ind w:left="394"/>
                          <w:rPr>
                            <w:sz w:val="21"/>
                          </w:rPr>
                        </w:pPr>
                        <w:r>
                          <w:rPr>
                            <w:sz w:val="21"/>
                          </w:rPr>
                          <w:t>附加合同的构成</w:t>
                        </w:r>
                      </w:p>
                    </w:tc>
                    <w:tc>
                      <w:tcPr>
                        <w:tcW w:w="2168" w:type="dxa"/>
                      </w:tcPr>
                      <w:p>
                        <w:pPr>
                          <w:pStyle w:val="TableParagraph"/>
                          <w:spacing w:before="144"/>
                          <w:ind w:left="949"/>
                          <w:rPr>
                            <w:sz w:val="21"/>
                          </w:rPr>
                        </w:pPr>
                        <w:r>
                          <w:rPr>
                            <w:sz w:val="21"/>
                          </w:rPr>
                          <w:t>第九条</w:t>
                        </w:r>
                      </w:p>
                    </w:tc>
                    <w:tc>
                      <w:tcPr>
                        <w:tcW w:w="2470" w:type="dxa"/>
                      </w:tcPr>
                      <w:p>
                        <w:pPr>
                          <w:pStyle w:val="TableParagraph"/>
                          <w:spacing w:before="144"/>
                          <w:ind w:left="375"/>
                          <w:rPr>
                            <w:sz w:val="21"/>
                          </w:rPr>
                        </w:pPr>
                        <w:r>
                          <w:rPr>
                            <w:sz w:val="21"/>
                          </w:rPr>
                          <w:t>保险金申请</w:t>
                        </w:r>
                      </w:p>
                    </w:tc>
                  </w:tr>
                  <w:tr>
                    <w:trPr>
                      <w:trHeight w:val="365" w:hRule="atLeast"/>
                    </w:trPr>
                    <w:tc>
                      <w:tcPr>
                        <w:tcW w:w="1227" w:type="dxa"/>
                      </w:tcPr>
                      <w:p>
                        <w:pPr>
                          <w:pStyle w:val="TableParagraph"/>
                          <w:spacing w:before="21"/>
                          <w:ind w:left="200"/>
                          <w:rPr>
                            <w:sz w:val="21"/>
                          </w:rPr>
                        </w:pPr>
                        <w:r>
                          <w:rPr>
                            <w:sz w:val="21"/>
                          </w:rPr>
                          <w:t>第二条</w:t>
                        </w:r>
                      </w:p>
                    </w:tc>
                    <w:tc>
                      <w:tcPr>
                        <w:tcW w:w="3238" w:type="dxa"/>
                      </w:tcPr>
                      <w:p>
                        <w:pPr>
                          <w:pStyle w:val="TableParagraph"/>
                          <w:spacing w:before="21"/>
                          <w:ind w:left="394"/>
                          <w:rPr>
                            <w:sz w:val="21"/>
                          </w:rPr>
                        </w:pPr>
                        <w:r>
                          <w:rPr>
                            <w:sz w:val="21"/>
                          </w:rPr>
                          <w:t>保险责任</w:t>
                        </w:r>
                      </w:p>
                    </w:tc>
                    <w:tc>
                      <w:tcPr>
                        <w:tcW w:w="2168" w:type="dxa"/>
                      </w:tcPr>
                      <w:p>
                        <w:pPr>
                          <w:pStyle w:val="TableParagraph"/>
                          <w:spacing w:before="21"/>
                          <w:ind w:left="949"/>
                          <w:rPr>
                            <w:sz w:val="21"/>
                          </w:rPr>
                        </w:pPr>
                        <w:r>
                          <w:rPr>
                            <w:sz w:val="21"/>
                          </w:rPr>
                          <w:t>第十条</w:t>
                        </w:r>
                      </w:p>
                    </w:tc>
                    <w:tc>
                      <w:tcPr>
                        <w:tcW w:w="2470" w:type="dxa"/>
                      </w:tcPr>
                      <w:p>
                        <w:pPr>
                          <w:pStyle w:val="TableParagraph"/>
                          <w:spacing w:before="21"/>
                          <w:ind w:left="375"/>
                          <w:rPr>
                            <w:sz w:val="21"/>
                          </w:rPr>
                        </w:pPr>
                        <w:r>
                          <w:rPr>
                            <w:sz w:val="21"/>
                          </w:rPr>
                          <w:t>诉讼时效</w:t>
                        </w:r>
                      </w:p>
                    </w:tc>
                  </w:tr>
                  <w:tr>
                    <w:trPr>
                      <w:trHeight w:val="367" w:hRule="atLeast"/>
                    </w:trPr>
                    <w:tc>
                      <w:tcPr>
                        <w:tcW w:w="1227" w:type="dxa"/>
                      </w:tcPr>
                      <w:p>
                        <w:pPr>
                          <w:pStyle w:val="TableParagraph"/>
                          <w:spacing w:before="21"/>
                          <w:ind w:left="200"/>
                          <w:rPr>
                            <w:sz w:val="21"/>
                          </w:rPr>
                        </w:pPr>
                        <w:r>
                          <w:rPr>
                            <w:sz w:val="21"/>
                          </w:rPr>
                          <w:t>第三条</w:t>
                        </w:r>
                      </w:p>
                    </w:tc>
                    <w:tc>
                      <w:tcPr>
                        <w:tcW w:w="3238" w:type="dxa"/>
                      </w:tcPr>
                      <w:p>
                        <w:pPr>
                          <w:pStyle w:val="TableParagraph"/>
                          <w:spacing w:before="21"/>
                          <w:ind w:left="394"/>
                          <w:rPr>
                            <w:sz w:val="21"/>
                          </w:rPr>
                        </w:pPr>
                        <w:r>
                          <w:rPr>
                            <w:sz w:val="21"/>
                          </w:rPr>
                          <w:t>责任免除</w:t>
                        </w:r>
                      </w:p>
                    </w:tc>
                    <w:tc>
                      <w:tcPr>
                        <w:tcW w:w="2168" w:type="dxa"/>
                      </w:tcPr>
                      <w:p>
                        <w:pPr>
                          <w:pStyle w:val="TableParagraph"/>
                          <w:spacing w:before="21"/>
                          <w:ind w:left="949"/>
                          <w:rPr>
                            <w:sz w:val="21"/>
                          </w:rPr>
                        </w:pPr>
                        <w:r>
                          <w:rPr>
                            <w:sz w:val="21"/>
                          </w:rPr>
                          <w:t>第十一条</w:t>
                        </w:r>
                      </w:p>
                    </w:tc>
                    <w:tc>
                      <w:tcPr>
                        <w:tcW w:w="2470" w:type="dxa"/>
                      </w:tcPr>
                      <w:p>
                        <w:pPr>
                          <w:pStyle w:val="TableParagraph"/>
                          <w:spacing w:before="21"/>
                          <w:ind w:left="375"/>
                          <w:rPr>
                            <w:sz w:val="21"/>
                          </w:rPr>
                        </w:pPr>
                        <w:r>
                          <w:rPr>
                            <w:sz w:val="21"/>
                          </w:rPr>
                          <w:t>适用主合同条款</w:t>
                        </w:r>
                      </w:p>
                    </w:tc>
                  </w:tr>
                  <w:tr>
                    <w:trPr>
                      <w:trHeight w:val="367" w:hRule="atLeast"/>
                    </w:trPr>
                    <w:tc>
                      <w:tcPr>
                        <w:tcW w:w="1227" w:type="dxa"/>
                      </w:tcPr>
                      <w:p>
                        <w:pPr>
                          <w:pStyle w:val="TableParagraph"/>
                          <w:spacing w:before="23"/>
                          <w:ind w:left="200"/>
                          <w:rPr>
                            <w:sz w:val="21"/>
                          </w:rPr>
                        </w:pPr>
                        <w:r>
                          <w:rPr>
                            <w:sz w:val="21"/>
                          </w:rPr>
                          <w:t>第四条</w:t>
                        </w:r>
                      </w:p>
                    </w:tc>
                    <w:tc>
                      <w:tcPr>
                        <w:tcW w:w="3238" w:type="dxa"/>
                      </w:tcPr>
                      <w:p>
                        <w:pPr>
                          <w:pStyle w:val="TableParagraph"/>
                          <w:spacing w:before="23"/>
                          <w:ind w:left="394"/>
                          <w:rPr>
                            <w:sz w:val="21"/>
                          </w:rPr>
                        </w:pPr>
                        <w:r>
                          <w:rPr>
                            <w:sz w:val="21"/>
                          </w:rPr>
                          <w:t>保险合同成立与生效</w:t>
                        </w:r>
                      </w:p>
                    </w:tc>
                    <w:tc>
                      <w:tcPr>
                        <w:tcW w:w="2168" w:type="dxa"/>
                      </w:tcPr>
                      <w:p>
                        <w:pPr>
                          <w:pStyle w:val="TableParagraph"/>
                          <w:spacing w:before="23"/>
                          <w:ind w:left="949"/>
                          <w:rPr>
                            <w:sz w:val="21"/>
                          </w:rPr>
                        </w:pPr>
                        <w:r>
                          <w:rPr>
                            <w:sz w:val="21"/>
                          </w:rPr>
                          <w:t>第十二条</w:t>
                        </w:r>
                      </w:p>
                    </w:tc>
                    <w:tc>
                      <w:tcPr>
                        <w:tcW w:w="2470" w:type="dxa"/>
                      </w:tcPr>
                      <w:p>
                        <w:pPr>
                          <w:pStyle w:val="TableParagraph"/>
                          <w:spacing w:before="23"/>
                          <w:ind w:left="375"/>
                          <w:rPr>
                            <w:sz w:val="21"/>
                          </w:rPr>
                        </w:pPr>
                        <w:r>
                          <w:rPr>
                            <w:sz w:val="21"/>
                          </w:rPr>
                          <w:t>附加合同效力的终止</w:t>
                        </w:r>
                      </w:p>
                    </w:tc>
                  </w:tr>
                  <w:tr>
                    <w:trPr>
                      <w:trHeight w:val="364" w:hRule="atLeast"/>
                    </w:trPr>
                    <w:tc>
                      <w:tcPr>
                        <w:tcW w:w="1227" w:type="dxa"/>
                      </w:tcPr>
                      <w:p>
                        <w:pPr>
                          <w:pStyle w:val="TableParagraph"/>
                          <w:spacing w:before="21"/>
                          <w:ind w:left="200"/>
                          <w:rPr>
                            <w:sz w:val="21"/>
                          </w:rPr>
                        </w:pPr>
                        <w:r>
                          <w:rPr>
                            <w:sz w:val="21"/>
                          </w:rPr>
                          <w:t>第五条</w:t>
                        </w:r>
                      </w:p>
                    </w:tc>
                    <w:tc>
                      <w:tcPr>
                        <w:tcW w:w="3238" w:type="dxa"/>
                      </w:tcPr>
                      <w:p>
                        <w:pPr>
                          <w:pStyle w:val="TableParagraph"/>
                          <w:spacing w:before="21"/>
                          <w:ind w:left="394"/>
                          <w:rPr>
                            <w:sz w:val="21"/>
                          </w:rPr>
                        </w:pPr>
                        <w:r>
                          <w:rPr>
                            <w:sz w:val="21"/>
                          </w:rPr>
                          <w:t>保险期间</w:t>
                        </w:r>
                      </w:p>
                    </w:tc>
                    <w:tc>
                      <w:tcPr>
                        <w:tcW w:w="2168" w:type="dxa"/>
                      </w:tcPr>
                      <w:p>
                        <w:pPr>
                          <w:pStyle w:val="TableParagraph"/>
                          <w:spacing w:before="21"/>
                          <w:ind w:left="949"/>
                          <w:rPr>
                            <w:sz w:val="21"/>
                          </w:rPr>
                        </w:pPr>
                        <w:r>
                          <w:rPr>
                            <w:sz w:val="21"/>
                          </w:rPr>
                          <w:t>第十三条</w:t>
                        </w:r>
                      </w:p>
                    </w:tc>
                    <w:tc>
                      <w:tcPr>
                        <w:tcW w:w="2470" w:type="dxa"/>
                      </w:tcPr>
                      <w:p>
                        <w:pPr>
                          <w:pStyle w:val="TableParagraph"/>
                          <w:spacing w:before="21"/>
                          <w:ind w:left="375"/>
                          <w:rPr>
                            <w:sz w:val="21"/>
                          </w:rPr>
                        </w:pPr>
                        <w:r>
                          <w:rPr>
                            <w:sz w:val="21"/>
                          </w:rPr>
                          <w:t>重大疾病的释义</w:t>
                        </w:r>
                      </w:p>
                    </w:tc>
                  </w:tr>
                  <w:tr>
                    <w:trPr>
                      <w:trHeight w:val="365" w:hRule="atLeast"/>
                    </w:trPr>
                    <w:tc>
                      <w:tcPr>
                        <w:tcW w:w="1227" w:type="dxa"/>
                      </w:tcPr>
                      <w:p>
                        <w:pPr>
                          <w:pStyle w:val="TableParagraph"/>
                          <w:spacing w:before="21"/>
                          <w:ind w:left="200"/>
                          <w:rPr>
                            <w:sz w:val="21"/>
                          </w:rPr>
                        </w:pPr>
                        <w:r>
                          <w:rPr>
                            <w:sz w:val="21"/>
                          </w:rPr>
                          <w:t>第六条</w:t>
                        </w:r>
                      </w:p>
                    </w:tc>
                    <w:tc>
                      <w:tcPr>
                        <w:tcW w:w="3238" w:type="dxa"/>
                      </w:tcPr>
                      <w:p>
                        <w:pPr>
                          <w:pStyle w:val="TableParagraph"/>
                          <w:spacing w:before="21"/>
                          <w:ind w:left="394"/>
                          <w:rPr>
                            <w:sz w:val="21"/>
                          </w:rPr>
                        </w:pPr>
                        <w:r>
                          <w:rPr>
                            <w:sz w:val="21"/>
                          </w:rPr>
                          <w:t>基本保额</w:t>
                        </w:r>
                      </w:p>
                    </w:tc>
                    <w:tc>
                      <w:tcPr>
                        <w:tcW w:w="2168" w:type="dxa"/>
                      </w:tcPr>
                      <w:p>
                        <w:pPr>
                          <w:pStyle w:val="TableParagraph"/>
                          <w:spacing w:before="21"/>
                          <w:ind w:left="949"/>
                          <w:rPr>
                            <w:sz w:val="21"/>
                          </w:rPr>
                        </w:pPr>
                        <w:r>
                          <w:rPr>
                            <w:sz w:val="21"/>
                          </w:rPr>
                          <w:t>第十四条</w:t>
                        </w:r>
                      </w:p>
                    </w:tc>
                    <w:tc>
                      <w:tcPr>
                        <w:tcW w:w="2470" w:type="dxa"/>
                      </w:tcPr>
                      <w:p>
                        <w:pPr>
                          <w:pStyle w:val="TableParagraph"/>
                          <w:spacing w:before="21"/>
                          <w:ind w:left="375"/>
                          <w:rPr>
                            <w:sz w:val="21"/>
                          </w:rPr>
                        </w:pPr>
                        <w:r>
                          <w:rPr>
                            <w:sz w:val="21"/>
                          </w:rPr>
                          <w:t>特定癌症的释义</w:t>
                        </w:r>
                      </w:p>
                    </w:tc>
                  </w:tr>
                  <w:tr>
                    <w:trPr>
                      <w:trHeight w:val="367" w:hRule="atLeast"/>
                    </w:trPr>
                    <w:tc>
                      <w:tcPr>
                        <w:tcW w:w="1227" w:type="dxa"/>
                      </w:tcPr>
                      <w:p>
                        <w:pPr>
                          <w:pStyle w:val="TableParagraph"/>
                          <w:spacing w:before="21"/>
                          <w:ind w:left="200"/>
                          <w:rPr>
                            <w:sz w:val="21"/>
                          </w:rPr>
                        </w:pPr>
                        <w:r>
                          <w:rPr>
                            <w:sz w:val="21"/>
                          </w:rPr>
                          <w:t>第七条</w:t>
                        </w:r>
                      </w:p>
                    </w:tc>
                    <w:tc>
                      <w:tcPr>
                        <w:tcW w:w="3238" w:type="dxa"/>
                      </w:tcPr>
                      <w:p>
                        <w:pPr>
                          <w:pStyle w:val="TableParagraph"/>
                          <w:spacing w:before="21"/>
                          <w:ind w:left="394"/>
                          <w:rPr>
                            <w:sz w:val="21"/>
                          </w:rPr>
                        </w:pPr>
                        <w:r>
                          <w:rPr>
                            <w:sz w:val="21"/>
                          </w:rPr>
                          <w:t>保险费率的调整</w:t>
                        </w:r>
                      </w:p>
                    </w:tc>
                    <w:tc>
                      <w:tcPr>
                        <w:tcW w:w="2168" w:type="dxa"/>
                      </w:tcPr>
                      <w:p>
                        <w:pPr>
                          <w:pStyle w:val="TableParagraph"/>
                          <w:spacing w:before="21"/>
                          <w:ind w:left="949"/>
                          <w:rPr>
                            <w:sz w:val="21"/>
                          </w:rPr>
                        </w:pPr>
                        <w:r>
                          <w:rPr>
                            <w:sz w:val="21"/>
                          </w:rPr>
                          <w:t>第十五条</w:t>
                        </w:r>
                      </w:p>
                    </w:tc>
                    <w:tc>
                      <w:tcPr>
                        <w:tcW w:w="2470" w:type="dxa"/>
                      </w:tcPr>
                      <w:p>
                        <w:pPr>
                          <w:pStyle w:val="TableParagraph"/>
                          <w:spacing w:before="21"/>
                          <w:ind w:left="375"/>
                          <w:rPr>
                            <w:sz w:val="21"/>
                          </w:rPr>
                        </w:pPr>
                        <w:r>
                          <w:rPr>
                            <w:sz w:val="21"/>
                          </w:rPr>
                          <w:t>其他名词的释义</w:t>
                        </w:r>
                      </w:p>
                    </w:tc>
                  </w:tr>
                  <w:tr>
                    <w:trPr>
                      <w:trHeight w:val="326" w:hRule="atLeast"/>
                    </w:trPr>
                    <w:tc>
                      <w:tcPr>
                        <w:tcW w:w="1227" w:type="dxa"/>
                      </w:tcPr>
                      <w:p>
                        <w:pPr>
                          <w:pStyle w:val="TableParagraph"/>
                          <w:spacing w:before="23"/>
                          <w:ind w:left="200"/>
                          <w:rPr>
                            <w:sz w:val="21"/>
                          </w:rPr>
                        </w:pPr>
                        <w:r>
                          <w:rPr>
                            <w:sz w:val="21"/>
                          </w:rPr>
                          <w:t>第八条</w:t>
                        </w:r>
                      </w:p>
                    </w:tc>
                    <w:tc>
                      <w:tcPr>
                        <w:tcW w:w="3238" w:type="dxa"/>
                      </w:tcPr>
                      <w:p>
                        <w:pPr>
                          <w:pStyle w:val="TableParagraph"/>
                          <w:spacing w:before="23"/>
                          <w:ind w:left="394"/>
                          <w:rPr>
                            <w:sz w:val="21"/>
                          </w:rPr>
                        </w:pPr>
                        <w:r>
                          <w:rPr>
                            <w:sz w:val="21"/>
                          </w:rPr>
                          <w:t>受益人</w:t>
                        </w:r>
                      </w:p>
                    </w:tc>
                    <w:tc>
                      <w:tcPr>
                        <w:tcW w:w="2168" w:type="dxa"/>
                      </w:tcPr>
                      <w:p>
                        <w:pPr>
                          <w:pStyle w:val="TableParagraph"/>
                          <w:ind w:left="0"/>
                          <w:rPr>
                            <w:rFonts w:ascii="Times New Roman"/>
                            <w:sz w:val="20"/>
                          </w:rPr>
                        </w:pPr>
                      </w:p>
                    </w:tc>
                    <w:tc>
                      <w:tcPr>
                        <w:tcW w:w="2470" w:type="dxa"/>
                      </w:tcPr>
                      <w:p>
                        <w:pPr>
                          <w:pStyle w:val="TableParagraph"/>
                          <w:ind w:left="0"/>
                          <w:rPr>
                            <w:rFonts w:ascii="Times New Roman"/>
                            <w:sz w:val="20"/>
                          </w:rPr>
                        </w:pPr>
                      </w:p>
                    </w:tc>
                  </w:tr>
                </w:tbl>
                <w:p>
                  <w:pPr>
                    <w:pStyle w:val="BodyText"/>
                    <w:ind w:left="0"/>
                  </w:pPr>
                </w:p>
              </w:txbxContent>
            </v:textbox>
            <w10:wrap type="none"/>
          </v:shape>
        </w:pict>
      </w:r>
      <w:r>
        <w:rPr>
          <w:rFonts w:ascii="Microsoft JhengHei" w:eastAsia="Microsoft JhengHei" w:hint="eastAsia"/>
          <w:b/>
          <w:sz w:val="32"/>
        </w:rPr>
        <w:t>附加龙行康佑重大疾病保险</w:t>
      </w:r>
    </w:p>
    <w:p>
      <w:pPr>
        <w:spacing w:before="146"/>
        <w:ind w:left="648" w:right="0" w:firstLine="0"/>
        <w:jc w:val="left"/>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3</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4</w:t>
      </w:r>
      <w:r>
        <w:rPr>
          <w:spacing w:val="-53"/>
          <w:sz w:val="18"/>
        </w:rPr>
        <w:t> </w:t>
      </w:r>
      <w:r>
        <w:rPr>
          <w:w w:val="101"/>
          <w:sz w:val="18"/>
        </w:rPr>
        <w:t>号</w:t>
      </w:r>
    </w:p>
    <w:p>
      <w:pPr>
        <w:pStyle w:val="BodyText"/>
        <w:spacing w:before="5"/>
        <w:ind w:left="0"/>
        <w:rPr>
          <w:sz w:val="11"/>
        </w:rPr>
      </w:pPr>
      <w:r>
        <w:rPr/>
        <w:drawing>
          <wp:anchor distT="0" distB="0" distL="0" distR="0" allowOverlap="1" layoutInCell="1" locked="0" behindDoc="0" simplePos="0" relativeHeight="0">
            <wp:simplePos x="0" y="0"/>
            <wp:positionH relativeFrom="page">
              <wp:posOffset>6129020</wp:posOffset>
            </wp:positionH>
            <wp:positionV relativeFrom="paragraph">
              <wp:posOffset>119838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135"/>
        <w:ind w:left="1800" w:right="0" w:firstLine="0"/>
        <w:jc w:val="left"/>
        <w:rPr>
          <w:sz w:val="18"/>
        </w:rPr>
      </w:pPr>
      <w:r>
        <w:rPr>
          <w:sz w:val="18"/>
        </w:rPr>
        <w:t>查询验证条款</w:t>
      </w:r>
    </w:p>
    <w:p>
      <w:pPr>
        <w:spacing w:after="0"/>
        <w:jc w:val="left"/>
        <w:rPr>
          <w:sz w:val="18"/>
        </w:rPr>
        <w:sectPr>
          <w:footerReference w:type="default" r:id="rId5"/>
          <w:type w:val="continuous"/>
          <w:pgSz w:w="11910" w:h="16840"/>
          <w:pgMar w:footer="496" w:top="840" w:bottom="680" w:left="820" w:right="260"/>
          <w:cols w:num="2" w:equalWidth="0">
            <w:col w:w="7337" w:space="40"/>
            <w:col w:w="3453"/>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5"/>
        </w:rPr>
      </w:pPr>
    </w:p>
    <w:p>
      <w:pPr>
        <w:pStyle w:val="Heading1"/>
        <w:spacing w:before="36"/>
        <w:ind w:left="313"/>
        <w:rPr>
          <w:rFonts w:ascii="黑体" w:eastAsia="黑体" w:hint="eastAsia"/>
        </w:rPr>
      </w:pPr>
      <w:r>
        <w:rPr>
          <w:rFonts w:ascii="黑体" w:eastAsia="黑体" w:hint="eastAsia"/>
        </w:rPr>
        <w:t>第一条 附加合同的构成</w:t>
      </w:r>
    </w:p>
    <w:p>
      <w:pPr>
        <w:pStyle w:val="BodyText"/>
        <w:spacing w:before="8"/>
        <w:ind w:left="0"/>
        <w:rPr>
          <w:rFonts w:ascii="黑体"/>
          <w:b/>
          <w:sz w:val="22"/>
        </w:rPr>
      </w:pPr>
    </w:p>
    <w:p>
      <w:pPr>
        <w:pStyle w:val="BodyText"/>
        <w:spacing w:line="319" w:lineRule="auto"/>
        <w:ind w:left="313" w:right="865"/>
        <w:jc w:val="both"/>
      </w:pPr>
      <w:r>
        <w:rPr>
          <w:spacing w:val="-2"/>
        </w:rPr>
        <w:t>《附加龙行康佑重大疾病保险</w:t>
      </w:r>
      <w:r>
        <w:rPr>
          <w:spacing w:val="-116"/>
        </w:rPr>
        <w:t>》</w:t>
      </w:r>
      <w:r>
        <w:rPr/>
        <w:t>（</w:t>
      </w:r>
      <w:r>
        <w:rPr>
          <w:spacing w:val="-4"/>
        </w:rPr>
        <w:t>以下简称本附加合同</w:t>
      </w:r>
      <w:r>
        <w:rPr>
          <w:spacing w:val="-5"/>
        </w:rPr>
        <w:t>）</w:t>
      </w:r>
      <w:r>
        <w:rPr>
          <w:spacing w:val="-14"/>
        </w:rPr>
        <w:t>依《龙行康佑两全保险》</w:t>
      </w:r>
      <w:r>
        <w:rPr/>
        <w:t>（</w:t>
      </w:r>
      <w:r>
        <w:rPr>
          <w:spacing w:val="-3"/>
        </w:rPr>
        <w:t>以下简称主合同</w:t>
      </w:r>
      <w:r>
        <w:rPr>
          <w:spacing w:val="-5"/>
        </w:rPr>
        <w:t>）投保</w:t>
      </w:r>
      <w:r>
        <w:rPr>
          <w:spacing w:val="-6"/>
        </w:rPr>
        <w:t>人的申请，经本公司同意而订立。本附加合同须附加于主合同后始为有效。主合同的构成中与本附加合同</w:t>
      </w:r>
      <w:r>
        <w:rPr>
          <w:spacing w:val="-7"/>
        </w:rPr>
        <w:t>相关的部分均为本附加合同的构成部分。若主合同与本附加合同的条款内容互有冲突，则以本附加合同为准。</w:t>
      </w:r>
    </w:p>
    <w:p>
      <w:pPr>
        <w:pStyle w:val="BodyText"/>
        <w:spacing w:before="3"/>
        <w:ind w:left="0"/>
        <w:rPr>
          <w:sz w:val="20"/>
        </w:rPr>
      </w:pPr>
    </w:p>
    <w:p>
      <w:pPr>
        <w:pStyle w:val="BodyText"/>
        <w:ind w:left="313"/>
        <w:jc w:val="both"/>
      </w:pPr>
      <w:r>
        <w:rPr/>
        <w:t>本附加合同的代码为 </w:t>
      </w:r>
      <w:r>
        <w:rPr>
          <w:rFonts w:ascii="Times New Roman" w:eastAsia="Times New Roman"/>
        </w:rPr>
        <w:t>BDDF</w:t>
      </w:r>
      <w:r>
        <w:rPr/>
        <w:t>。</w:t>
      </w:r>
    </w:p>
    <w:p>
      <w:pPr>
        <w:pStyle w:val="BodyText"/>
        <w:spacing w:before="7"/>
        <w:ind w:left="0"/>
        <w:rPr>
          <w:sz w:val="19"/>
        </w:rPr>
      </w:pPr>
    </w:p>
    <w:p>
      <w:pPr>
        <w:pStyle w:val="Heading1"/>
        <w:ind w:left="313"/>
        <w:jc w:val="both"/>
        <w:rPr>
          <w:rFonts w:ascii="黑体" w:eastAsia="黑体" w:hint="eastAsia"/>
        </w:rPr>
      </w:pPr>
      <w:r>
        <w:rPr>
          <w:rFonts w:ascii="黑体" w:eastAsia="黑体" w:hint="eastAsia"/>
        </w:rPr>
        <w:t>第二条 保险责任</w:t>
      </w:r>
    </w:p>
    <w:p>
      <w:pPr>
        <w:pStyle w:val="BodyText"/>
        <w:spacing w:before="8"/>
        <w:ind w:left="0"/>
        <w:rPr>
          <w:rFonts w:ascii="黑体"/>
          <w:b/>
          <w:sz w:val="22"/>
        </w:rPr>
      </w:pPr>
    </w:p>
    <w:p>
      <w:pPr>
        <w:pStyle w:val="BodyText"/>
        <w:spacing w:before="1"/>
        <w:ind w:left="313"/>
        <w:jc w:val="both"/>
      </w:pPr>
      <w:r>
        <w:rPr/>
        <w:t>在本附加合同有效期限内，本公司承担下列保险责任：</w:t>
      </w:r>
    </w:p>
    <w:p>
      <w:pPr>
        <w:pStyle w:val="BodyText"/>
        <w:spacing w:before="7"/>
        <w:ind w:left="0"/>
        <w:rPr>
          <w:sz w:val="25"/>
        </w:rPr>
      </w:pPr>
    </w:p>
    <w:p>
      <w:pPr>
        <w:pStyle w:val="BodyText"/>
        <w:spacing w:before="1"/>
        <w:ind w:left="313"/>
        <w:jc w:val="both"/>
      </w:pPr>
      <w:r>
        <w:rPr>
          <w:rFonts w:ascii="Times New Roman" w:eastAsia="Times New Roman"/>
        </w:rPr>
        <w:t>1</w:t>
      </w:r>
      <w:r>
        <w:rPr/>
        <w:t>、 重大疾病保险金</w:t>
      </w:r>
    </w:p>
    <w:p>
      <w:pPr>
        <w:pStyle w:val="BodyText"/>
        <w:spacing w:before="10"/>
        <w:ind w:left="0"/>
        <w:rPr>
          <w:sz w:val="28"/>
        </w:rPr>
      </w:pPr>
    </w:p>
    <w:p>
      <w:pPr>
        <w:spacing w:before="0"/>
        <w:ind w:left="313" w:right="0" w:firstLine="0"/>
        <w:jc w:val="both"/>
        <w:rPr>
          <w:rFonts w:ascii="Microsoft JhengHei" w:eastAsia="Microsoft JhengHei" w:hint="eastAsia"/>
          <w:b/>
          <w:sz w:val="21"/>
        </w:rPr>
      </w:pPr>
      <w:r>
        <w:rPr>
          <w:sz w:val="21"/>
        </w:rPr>
        <w:t>在本附加合同首个</w:t>
      </w:r>
      <w:r>
        <w:rPr>
          <w:rFonts w:ascii="Microsoft JhengHei" w:eastAsia="Microsoft JhengHei" w:hint="eastAsia"/>
          <w:b/>
          <w:sz w:val="21"/>
        </w:rPr>
        <w:t>保单周年日（见释义）</w:t>
      </w:r>
      <w:r>
        <w:rPr>
          <w:sz w:val="21"/>
        </w:rPr>
        <w:t>当日 </w:t>
      </w:r>
      <w:r>
        <w:rPr>
          <w:rFonts w:ascii="Times New Roman" w:eastAsia="Times New Roman"/>
          <w:sz w:val="21"/>
        </w:rPr>
        <w:t>24 </w:t>
      </w:r>
      <w:r>
        <w:rPr>
          <w:sz w:val="21"/>
        </w:rPr>
        <w:t>时之前，被保险人因初次出现的症状或体征被</w:t>
      </w:r>
      <w:r>
        <w:rPr>
          <w:rFonts w:ascii="Microsoft JhengHei" w:eastAsia="Microsoft JhengHei" w:hint="eastAsia"/>
          <w:b/>
          <w:sz w:val="21"/>
        </w:rPr>
        <w:t>医疗机构</w:t>
      </w:r>
    </w:p>
    <w:p>
      <w:pPr>
        <w:pStyle w:val="BodyText"/>
        <w:spacing w:before="14"/>
        <w:ind w:left="0"/>
        <w:rPr>
          <w:rFonts w:ascii="Microsoft JhengHei"/>
          <w:b/>
          <w:sz w:val="14"/>
        </w:rPr>
      </w:pPr>
    </w:p>
    <w:p>
      <w:pPr>
        <w:pStyle w:val="BodyText"/>
        <w:spacing w:line="453" w:lineRule="auto"/>
        <w:ind w:left="313" w:right="757"/>
      </w:pPr>
      <w:r>
        <w:rPr>
          <w:rFonts w:ascii="Microsoft JhengHei" w:eastAsia="Microsoft JhengHei" w:hint="eastAsia"/>
          <w:b/>
          <w:w w:val="100"/>
        </w:rPr>
        <w:t>（见释义</w:t>
      </w:r>
      <w:r>
        <w:rPr>
          <w:rFonts w:ascii="Microsoft JhengHei" w:eastAsia="Microsoft JhengHei" w:hint="eastAsia"/>
          <w:b/>
          <w:spacing w:val="-5"/>
          <w:w w:val="100"/>
        </w:rPr>
        <w:t>）</w:t>
      </w:r>
      <w:r>
        <w:rPr>
          <w:spacing w:val="-5"/>
          <w:w w:val="100"/>
        </w:rPr>
        <w:t>的</w:t>
      </w:r>
      <w:r>
        <w:rPr>
          <w:rFonts w:ascii="Microsoft JhengHei" w:eastAsia="Microsoft JhengHei" w:hint="eastAsia"/>
          <w:b/>
          <w:spacing w:val="-3"/>
          <w:w w:val="100"/>
        </w:rPr>
        <w:t>专科医生</w:t>
      </w:r>
      <w:r>
        <w:rPr>
          <w:rFonts w:ascii="Microsoft JhengHei" w:eastAsia="Microsoft JhengHei" w:hint="eastAsia"/>
          <w:b/>
          <w:w w:val="100"/>
        </w:rPr>
        <w:t>（</w:t>
      </w:r>
      <w:r>
        <w:rPr>
          <w:rFonts w:ascii="Microsoft JhengHei" w:eastAsia="Microsoft JhengHei" w:hint="eastAsia"/>
          <w:b/>
          <w:spacing w:val="-2"/>
          <w:w w:val="100"/>
        </w:rPr>
        <w:t>见释义</w:t>
      </w:r>
      <w:r>
        <w:rPr>
          <w:rFonts w:ascii="Microsoft JhengHei" w:eastAsia="Microsoft JhengHei" w:hint="eastAsia"/>
          <w:b/>
          <w:spacing w:val="-5"/>
          <w:w w:val="100"/>
        </w:rPr>
        <w:t>）</w:t>
      </w:r>
      <w:r>
        <w:rPr>
          <w:spacing w:val="-5"/>
          <w:w w:val="100"/>
        </w:rPr>
        <w:t>确诊初次发生本附加合同第十三条约定的重大疾病</w:t>
      </w:r>
      <w:r>
        <w:rPr>
          <w:w w:val="100"/>
        </w:rPr>
        <w:t>（</w:t>
      </w:r>
      <w:r>
        <w:rPr>
          <w:spacing w:val="-3"/>
          <w:w w:val="100"/>
        </w:rPr>
        <w:t>无论一种或多种</w:t>
      </w:r>
      <w:r>
        <w:rPr>
          <w:spacing w:val="-106"/>
          <w:w w:val="100"/>
        </w:rPr>
        <w:t>）</w:t>
      </w:r>
      <w:r>
        <w:rPr>
          <w:w w:val="100"/>
        </w:rPr>
        <w:t>，</w:t>
      </w:r>
      <w:r>
        <w:rPr>
          <w:spacing w:val="-6"/>
        </w:rPr>
        <w:t>则本公司将无息返还本附加合同及《龙行康佑两全保险》的已缴保险费，本附加合同及《龙行康佑两全保</w:t>
      </w:r>
    </w:p>
    <w:p>
      <w:pPr>
        <w:pStyle w:val="BodyText"/>
        <w:spacing w:before="162"/>
        <w:ind w:left="313"/>
      </w:pPr>
      <w:r>
        <w:rPr/>
        <w:t>险》效力终止。</w:t>
      </w:r>
    </w:p>
    <w:p>
      <w:pPr>
        <w:pStyle w:val="BodyText"/>
        <w:ind w:left="0"/>
        <w:rPr>
          <w:sz w:val="28"/>
        </w:rPr>
      </w:pPr>
    </w:p>
    <w:p>
      <w:pPr>
        <w:pStyle w:val="BodyText"/>
        <w:spacing w:before="6"/>
        <w:ind w:left="0"/>
        <w:rPr>
          <w:sz w:val="22"/>
        </w:rPr>
      </w:pPr>
    </w:p>
    <w:p>
      <w:pPr>
        <w:pStyle w:val="BodyText"/>
        <w:spacing w:line="516" w:lineRule="auto"/>
        <w:ind w:left="313" w:right="948"/>
      </w:pPr>
      <w:r>
        <w:rPr>
          <w:spacing w:val="-3"/>
          <w:w w:val="100"/>
        </w:rPr>
        <w:t>在本附加合同首个保单周年日当日</w:t>
      </w:r>
      <w:r>
        <w:rPr>
          <w:spacing w:val="-52"/>
        </w:rPr>
        <w:t> </w:t>
      </w:r>
      <w:r>
        <w:rPr>
          <w:rFonts w:ascii="Times New Roman" w:eastAsia="Times New Roman"/>
          <w:w w:val="100"/>
        </w:rPr>
        <w:t>24</w:t>
      </w:r>
      <w:r>
        <w:rPr>
          <w:rFonts w:ascii="Times New Roman" w:eastAsia="Times New Roman"/>
        </w:rPr>
        <w:t> </w:t>
      </w:r>
      <w:r>
        <w:rPr>
          <w:spacing w:val="-2"/>
          <w:w w:val="100"/>
        </w:rPr>
        <w:t>时之后</w:t>
      </w:r>
      <w:r>
        <w:rPr>
          <w:spacing w:val="-5"/>
          <w:w w:val="100"/>
        </w:rPr>
        <w:t>（</w:t>
      </w:r>
      <w:r>
        <w:rPr>
          <w:w w:val="100"/>
        </w:rPr>
        <w:t>含</w:t>
      </w:r>
      <w:r>
        <w:rPr>
          <w:spacing w:val="-52"/>
        </w:rPr>
        <w:t> </w:t>
      </w:r>
      <w:r>
        <w:rPr>
          <w:rFonts w:ascii="Times New Roman" w:eastAsia="Times New Roman"/>
          <w:w w:val="100"/>
        </w:rPr>
        <w:t>24</w:t>
      </w:r>
      <w:r>
        <w:rPr>
          <w:rFonts w:ascii="Times New Roman" w:eastAsia="Times New Roman"/>
          <w:spacing w:val="-5"/>
        </w:rPr>
        <w:t> </w:t>
      </w:r>
      <w:r>
        <w:rPr>
          <w:w w:val="100"/>
        </w:rPr>
        <w:t>时</w:t>
      </w:r>
      <w:r>
        <w:rPr>
          <w:spacing w:val="-106"/>
          <w:w w:val="100"/>
        </w:rPr>
        <w:t>）</w:t>
      </w:r>
      <w:r>
        <w:rPr>
          <w:spacing w:val="-5"/>
          <w:w w:val="100"/>
        </w:rPr>
        <w:t>，被保险人因初次出现的症状或体征被医疗机构的专科医生确诊初次发生本附加合同第十三条约定的重大疾病（</w:t>
      </w:r>
      <w:r>
        <w:rPr>
          <w:spacing w:val="-2"/>
          <w:w w:val="100"/>
        </w:rPr>
        <w:t>无论一种或多种</w:t>
      </w:r>
      <w:r>
        <w:rPr>
          <w:spacing w:val="-106"/>
          <w:w w:val="100"/>
        </w:rPr>
        <w:t>）</w:t>
      </w:r>
      <w:r>
        <w:rPr>
          <w:spacing w:val="-4"/>
          <w:w w:val="100"/>
        </w:rPr>
        <w:t>，则本公司按本附加合</w:t>
      </w:r>
    </w:p>
    <w:p>
      <w:pPr>
        <w:spacing w:after="0" w:line="516" w:lineRule="auto"/>
        <w:sectPr>
          <w:type w:val="continuous"/>
          <w:pgSz w:w="11910" w:h="16840"/>
          <w:pgMar w:top="840" w:bottom="680" w:left="820" w:right="260"/>
        </w:sectPr>
      </w:pPr>
    </w:p>
    <w:p>
      <w:pPr>
        <w:pStyle w:val="BodyText"/>
        <w:spacing w:before="60"/>
      </w:pPr>
      <w:r>
        <w:rPr/>
        <w:t>同的基本保额给付重大疾病保险金，本附加合同及《龙行康佑两全保险》效力终止。</w:t>
      </w:r>
    </w:p>
    <w:p>
      <w:pPr>
        <w:pStyle w:val="BodyText"/>
        <w:ind w:left="0"/>
        <w:rPr>
          <w:sz w:val="28"/>
        </w:rPr>
      </w:pPr>
    </w:p>
    <w:p>
      <w:pPr>
        <w:pStyle w:val="BodyText"/>
        <w:spacing w:before="6"/>
        <w:ind w:left="0"/>
        <w:rPr>
          <w:sz w:val="22"/>
        </w:rPr>
      </w:pPr>
    </w:p>
    <w:p>
      <w:pPr>
        <w:pStyle w:val="BodyText"/>
        <w:spacing w:before="1"/>
      </w:pPr>
      <w:r>
        <w:rPr>
          <w:rFonts w:ascii="Times New Roman" w:eastAsia="Times New Roman"/>
        </w:rPr>
        <w:t>2</w:t>
      </w:r>
      <w:r>
        <w:rPr/>
        <w:t>、特定癌症保险金</w:t>
      </w:r>
    </w:p>
    <w:p>
      <w:pPr>
        <w:pStyle w:val="BodyText"/>
        <w:spacing w:before="6"/>
        <w:ind w:left="0"/>
        <w:rPr>
          <w:sz w:val="25"/>
        </w:rPr>
      </w:pPr>
    </w:p>
    <w:p>
      <w:pPr>
        <w:pStyle w:val="BodyText"/>
        <w:spacing w:line="525" w:lineRule="auto"/>
        <w:ind w:right="207"/>
      </w:pPr>
      <w:r>
        <w:rPr>
          <w:spacing w:val="-3"/>
          <w:w w:val="100"/>
        </w:rPr>
        <w:t>在本附加合同首个保单周年日当日</w:t>
      </w:r>
      <w:r>
        <w:rPr>
          <w:spacing w:val="-3"/>
        </w:rPr>
        <w:t> </w:t>
      </w:r>
      <w:r>
        <w:rPr>
          <w:rFonts w:ascii="Times New Roman" w:eastAsia="Times New Roman"/>
          <w:w w:val="100"/>
        </w:rPr>
        <w:t>24</w:t>
      </w:r>
      <w:r>
        <w:rPr>
          <w:rFonts w:ascii="Times New Roman" w:eastAsia="Times New Roman"/>
        </w:rPr>
        <w:t> </w:t>
      </w:r>
      <w:r>
        <w:rPr>
          <w:spacing w:val="-2"/>
          <w:w w:val="100"/>
        </w:rPr>
        <w:t>时之后</w:t>
      </w:r>
      <w:r>
        <w:rPr>
          <w:spacing w:val="-5"/>
          <w:w w:val="100"/>
        </w:rPr>
        <w:t>（</w:t>
      </w:r>
      <w:r>
        <w:rPr>
          <w:w w:val="100"/>
        </w:rPr>
        <w:t>含</w:t>
      </w:r>
      <w:r>
        <w:rPr>
          <w:spacing w:val="-52"/>
        </w:rPr>
        <w:t> </w:t>
      </w:r>
      <w:r>
        <w:rPr>
          <w:rFonts w:ascii="Times New Roman" w:eastAsia="Times New Roman"/>
          <w:w w:val="100"/>
        </w:rPr>
        <w:t>24</w:t>
      </w:r>
      <w:r>
        <w:rPr>
          <w:rFonts w:ascii="Times New Roman" w:eastAsia="Times New Roman"/>
        </w:rPr>
        <w:t> </w:t>
      </w:r>
      <w:r>
        <w:rPr>
          <w:w w:val="100"/>
        </w:rPr>
        <w:t>时</w:t>
      </w:r>
      <w:r>
        <w:rPr>
          <w:spacing w:val="-106"/>
          <w:w w:val="100"/>
        </w:rPr>
        <w:t>）</w:t>
      </w:r>
      <w:r>
        <w:rPr>
          <w:spacing w:val="-5"/>
          <w:w w:val="100"/>
        </w:rPr>
        <w:t>，被保险人因初次出现的症状或体征被医疗机构的专科医生确诊初次发生本附加合同第十四条约定的特定癌症（</w:t>
      </w:r>
      <w:r>
        <w:rPr>
          <w:spacing w:val="-2"/>
          <w:w w:val="100"/>
        </w:rPr>
        <w:t>无论一种或多种</w:t>
      </w:r>
      <w:r>
        <w:rPr>
          <w:spacing w:val="-106"/>
          <w:w w:val="100"/>
        </w:rPr>
        <w:t>）</w:t>
      </w:r>
      <w:r>
        <w:rPr>
          <w:spacing w:val="-4"/>
          <w:w w:val="100"/>
        </w:rPr>
        <w:t>，则本公司除按本条款</w:t>
      </w:r>
      <w:r>
        <w:rPr>
          <w:spacing w:val="-11"/>
        </w:rPr>
        <w:t>的第二条第 </w:t>
      </w:r>
      <w:r>
        <w:rPr>
          <w:rFonts w:ascii="Times New Roman" w:eastAsia="Times New Roman"/>
        </w:rPr>
        <w:t>1 </w:t>
      </w:r>
      <w:r>
        <w:rPr>
          <w:spacing w:val="-9"/>
        </w:rPr>
        <w:t>款给付重大疾病保险金之外，还将按本附加合同基本保额的 </w:t>
      </w:r>
      <w:r>
        <w:rPr>
          <w:rFonts w:ascii="Times New Roman" w:eastAsia="Times New Roman"/>
        </w:rPr>
        <w:t>50</w:t>
      </w:r>
      <w:r>
        <w:rPr>
          <w:spacing w:val="-7"/>
        </w:rPr>
        <w:t>％给付特定癌症保险金，本附</w:t>
      </w:r>
      <w:r>
        <w:rPr>
          <w:spacing w:val="-6"/>
        </w:rPr>
        <w:t>加合同及《龙行康佑两全保险》效力终止。</w:t>
      </w:r>
    </w:p>
    <w:p>
      <w:pPr>
        <w:pStyle w:val="BodyText"/>
        <w:spacing w:before="1"/>
        <w:ind w:left="0"/>
      </w:pPr>
    </w:p>
    <w:p>
      <w:pPr>
        <w:pStyle w:val="Heading1"/>
      </w:pPr>
      <w:r>
        <w:rPr/>
        <w:t>若本公司已给付《龙行康佑两全保险》的保险金，则不再给付本附加合同中的各项保险金，本附加合同及</w:t>
      </w:r>
    </w:p>
    <w:p>
      <w:pPr>
        <w:pStyle w:val="BodyText"/>
        <w:spacing w:before="14"/>
        <w:ind w:left="0"/>
        <w:rPr>
          <w:rFonts w:ascii="Microsoft JhengHei"/>
          <w:b/>
          <w:sz w:val="14"/>
        </w:rPr>
      </w:pPr>
    </w:p>
    <w:p>
      <w:pPr>
        <w:spacing w:before="0"/>
        <w:ind w:left="113" w:right="0" w:firstLine="0"/>
        <w:jc w:val="left"/>
        <w:rPr>
          <w:rFonts w:ascii="Microsoft JhengHei" w:eastAsia="Microsoft JhengHei" w:hint="eastAsia"/>
          <w:b/>
          <w:sz w:val="21"/>
        </w:rPr>
      </w:pPr>
      <w:r>
        <w:rPr>
          <w:rFonts w:ascii="Microsoft JhengHei" w:eastAsia="Microsoft JhengHei" w:hint="eastAsia"/>
          <w:b/>
          <w:sz w:val="21"/>
        </w:rPr>
        <w:t>《龙行康佑两全保险》效力终止。</w:t>
      </w:r>
    </w:p>
    <w:p>
      <w:pPr>
        <w:pStyle w:val="BodyText"/>
        <w:spacing w:before="8"/>
        <w:ind w:left="0"/>
        <w:rPr>
          <w:rFonts w:ascii="Microsoft JhengHei"/>
          <w:b/>
          <w:sz w:val="35"/>
        </w:rPr>
      </w:pPr>
    </w:p>
    <w:p>
      <w:pPr>
        <w:spacing w:before="0"/>
        <w:ind w:left="113" w:right="0" w:firstLine="0"/>
        <w:jc w:val="left"/>
        <w:rPr>
          <w:rFonts w:ascii="黑体" w:eastAsia="黑体" w:hint="eastAsia"/>
          <w:b/>
          <w:sz w:val="21"/>
        </w:rPr>
      </w:pPr>
      <w:r>
        <w:rPr>
          <w:rFonts w:ascii="黑体" w:eastAsia="黑体" w:hint="eastAsia"/>
          <w:b/>
          <w:sz w:val="21"/>
        </w:rPr>
        <w:t>第三条 责任免除</w:t>
      </w:r>
    </w:p>
    <w:p>
      <w:pPr>
        <w:pStyle w:val="BodyText"/>
        <w:spacing w:before="3"/>
        <w:ind w:left="0"/>
        <w:rPr>
          <w:rFonts w:ascii="黑体"/>
          <w:b/>
          <w:sz w:val="18"/>
        </w:rPr>
      </w:pPr>
    </w:p>
    <w:p>
      <w:pPr>
        <w:pStyle w:val="BodyText"/>
        <w:spacing w:line="274" w:lineRule="exact"/>
        <w:rPr>
          <w:rFonts w:ascii="黑体" w:eastAsia="黑体" w:hint="eastAsia"/>
        </w:rPr>
      </w:pPr>
      <w:r>
        <w:rPr>
          <w:rFonts w:ascii="黑体" w:eastAsia="黑体" w:hint="eastAsia"/>
          <w:spacing w:val="-3"/>
        </w:rPr>
        <w:t>因下列情形之一导致被保险人发</w:t>
      </w:r>
      <w:r>
        <w:rPr>
          <w:rFonts w:ascii="黑体" w:eastAsia="黑体" w:hint="eastAsia"/>
        </w:rPr>
        <w:t>Th</w:t>
      </w:r>
      <w:r>
        <w:rPr>
          <w:rFonts w:ascii="黑体" w:eastAsia="黑体" w:hint="eastAsia"/>
          <w:spacing w:val="-14"/>
        </w:rPr>
        <w:t>疾病、达到疾病状态或进行手术的，本公司不承担本附加合同保险责任：</w:t>
      </w:r>
    </w:p>
    <w:p>
      <w:pPr>
        <w:pStyle w:val="BodyText"/>
        <w:spacing w:line="282" w:lineRule="exact"/>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line="271" w:lineRule="exact"/>
        <w:rPr>
          <w:rFonts w:ascii="黑体" w:eastAsia="黑体" w:hint="eastAsia"/>
        </w:rPr>
      </w:pPr>
      <w:r>
        <w:rPr>
          <w:rFonts w:ascii="Times New Roman" w:eastAsia="Times New Roman"/>
        </w:rPr>
        <w:t>2</w:t>
      </w:r>
      <w:r>
        <w:rPr>
          <w:rFonts w:ascii="黑体" w:eastAsia="黑体" w:hint="eastAsia"/>
        </w:rPr>
        <w:t>、被保险人故意自伤、故意犯罪或拒捕；</w:t>
      </w:r>
    </w:p>
    <w:p>
      <w:pPr>
        <w:spacing w:line="271"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25" w:lineRule="auto" w:before="9"/>
        <w:ind w:left="396" w:right="201" w:hanging="284"/>
        <w:jc w:val="left"/>
        <w:rPr>
          <w:rFonts w:ascii="黑体" w:eastAsia="黑体" w:hint="eastAsia"/>
          <w:sz w:val="21"/>
        </w:rPr>
      </w:pPr>
      <w:r>
        <w:rPr>
          <w:rFonts w:ascii="Times New Roman" w:eastAsia="Times New Roman"/>
          <w:w w:val="100"/>
          <w:sz w:val="21"/>
        </w:rPr>
        <w:t>4</w:t>
      </w:r>
      <w:r>
        <w:rPr>
          <w:rFonts w:ascii="黑体" w:eastAsia="黑体" w:hint="eastAsia"/>
          <w:w w:val="100"/>
          <w:sz w:val="21"/>
        </w:rPr>
        <w:t>、被保险人</w:t>
      </w:r>
      <w:r>
        <w:rPr>
          <w:rFonts w:ascii="黑体" w:eastAsia="黑体" w:hint="eastAsia"/>
          <w:b/>
          <w:w w:val="100"/>
          <w:sz w:val="21"/>
        </w:rPr>
        <w:t>酒后驾驶（</w:t>
      </w:r>
      <w:r>
        <w:rPr>
          <w:rFonts w:ascii="黑体" w:eastAsia="黑体" w:hint="eastAsia"/>
          <w:b/>
          <w:spacing w:val="0"/>
          <w:w w:val="100"/>
          <w:sz w:val="21"/>
        </w:rPr>
        <w:t>见释义</w:t>
      </w:r>
      <w:r>
        <w:rPr>
          <w:rFonts w:ascii="黑体" w:eastAsia="黑体" w:hint="eastAsia"/>
          <w:b/>
          <w:spacing w:val="-101"/>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b/>
          <w:spacing w:val="-100"/>
          <w:w w:val="100"/>
          <w:sz w:val="21"/>
        </w:rPr>
        <w:t>）</w:t>
      </w:r>
      <w:r>
        <w:rPr>
          <w:rFonts w:ascii="黑体" w:eastAsia="黑体" w:hint="eastAsia"/>
          <w:spacing w:val="-2"/>
          <w:w w:val="100"/>
          <w:sz w:val="21"/>
        </w:rPr>
        <w:t>，或驾驶</w:t>
      </w:r>
      <w:r>
        <w:rPr>
          <w:rFonts w:ascii="黑体" w:eastAsia="黑体" w:hint="eastAsia"/>
          <w:b/>
          <w:w w:val="100"/>
          <w:sz w:val="21"/>
        </w:rPr>
        <w:t>无有效行驶证（见释义</w:t>
      </w:r>
      <w:r>
        <w:rPr>
          <w:rFonts w:ascii="黑体" w:eastAsia="黑体" w:hint="eastAsia"/>
          <w:b/>
          <w:spacing w:val="5"/>
          <w:w w:val="100"/>
          <w:sz w:val="21"/>
        </w:rPr>
        <w:t>）</w:t>
      </w:r>
      <w:r>
        <w:rPr>
          <w:rFonts w:ascii="黑体" w:eastAsia="黑体" w:hint="eastAsia"/>
          <w:w w:val="100"/>
          <w:sz w:val="21"/>
        </w:rPr>
        <w:t>的</w:t>
      </w:r>
      <w:r>
        <w:rPr>
          <w:rFonts w:ascii="黑体" w:eastAsia="黑体" w:hint="eastAsia"/>
          <w:sz w:val="21"/>
        </w:rPr>
        <w:t>机动车；</w:t>
      </w:r>
    </w:p>
    <w:p>
      <w:pPr>
        <w:spacing w:line="268" w:lineRule="auto" w:before="0"/>
        <w:ind w:left="396" w:right="202" w:hanging="284"/>
        <w:jc w:val="left"/>
        <w:rPr>
          <w:sz w:val="21"/>
        </w:rPr>
      </w:pPr>
      <w:r>
        <w:rPr>
          <w:rFonts w:ascii="Times New Roman" w:eastAsia="Times New Roman"/>
          <w:w w:val="100"/>
          <w:sz w:val="21"/>
        </w:rPr>
        <w:t>5</w:t>
      </w:r>
      <w:r>
        <w:rPr>
          <w:rFonts w:ascii="黑体" w:eastAsia="黑体" w:hint="eastAsia"/>
          <w:spacing w:val="-1"/>
          <w:w w:val="100"/>
          <w:sz w:val="21"/>
        </w:rPr>
        <w:t>、被保险人</w:t>
      </w:r>
      <w:r>
        <w:rPr>
          <w:rFonts w:ascii="黑体" w:eastAsia="黑体" w:hint="eastAsia"/>
          <w:b/>
          <w:spacing w:val="-1"/>
          <w:w w:val="100"/>
          <w:sz w:val="21"/>
        </w:rPr>
        <w:t>感染艾滋病病毒或患艾滋病</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5"/>
          <w:w w:val="100"/>
          <w:sz w:val="21"/>
        </w:rPr>
        <w:t>（</w:t>
      </w:r>
      <w:r>
        <w:rPr>
          <w:rFonts w:ascii="黑体" w:eastAsia="黑体" w:hint="eastAsia"/>
          <w:spacing w:val="-2"/>
          <w:w w:val="100"/>
          <w:sz w:val="21"/>
        </w:rPr>
        <w:t>本附加合同第十三条第三款第</w:t>
      </w:r>
      <w:r>
        <w:rPr>
          <w:rFonts w:ascii="黑体" w:eastAsia="黑体" w:hint="eastAsia"/>
          <w:spacing w:val="-19"/>
          <w:sz w:val="21"/>
        </w:rPr>
        <w:t> </w:t>
      </w:r>
      <w:r>
        <w:rPr>
          <w:rFonts w:ascii="Times New Roman" w:eastAsia="Times New Roman"/>
          <w:w w:val="100"/>
          <w:sz w:val="21"/>
        </w:rPr>
        <w:t>28</w:t>
      </w:r>
      <w:r>
        <w:rPr>
          <w:rFonts w:ascii="Times New Roman" w:eastAsia="Times New Roman"/>
          <w:spacing w:val="-12"/>
          <w:sz w:val="21"/>
        </w:rPr>
        <w:t>  </w:t>
      </w:r>
      <w:r>
        <w:rPr>
          <w:rFonts w:ascii="黑体" w:eastAsia="黑体" w:hint="eastAsia"/>
          <w:spacing w:val="-2"/>
          <w:w w:val="100"/>
          <w:sz w:val="21"/>
        </w:rPr>
        <w:t>项所约定的因职业</w:t>
      </w:r>
      <w:r>
        <w:rPr>
          <w:rFonts w:ascii="黑体" w:eastAsia="黑体" w:hint="eastAsia"/>
          <w:spacing w:val="-5"/>
          <w:w w:val="100"/>
          <w:sz w:val="21"/>
        </w:rPr>
        <w:t>关系导致的艾滋病病毒感染不属于本项责任免除</w:t>
      </w:r>
      <w:r>
        <w:rPr>
          <w:rFonts w:ascii="黑体" w:eastAsia="黑体" w:hint="eastAsia"/>
          <w:spacing w:val="-105"/>
          <w:w w:val="100"/>
          <w:sz w:val="21"/>
        </w:rPr>
        <w:t>）</w:t>
      </w:r>
      <w:r>
        <w:rPr>
          <w:w w:val="100"/>
          <w:sz w:val="21"/>
        </w:rPr>
        <w:t>；</w:t>
      </w:r>
    </w:p>
    <w:p>
      <w:pPr>
        <w:pStyle w:val="BodyText"/>
        <w:spacing w:line="280" w:lineRule="exact" w:before="13"/>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71" w:lineRule="exact"/>
        <w:rPr>
          <w:rFonts w:ascii="黑体" w:eastAsia="黑体" w:hint="eastAsia"/>
        </w:rPr>
      </w:pPr>
      <w:r>
        <w:rPr>
          <w:rFonts w:ascii="Times New Roman" w:eastAsia="Times New Roman"/>
        </w:rPr>
        <w:t>7</w:t>
      </w:r>
      <w:r>
        <w:rPr>
          <w:rFonts w:ascii="黑体" w:eastAsia="黑体" w:hint="eastAsia"/>
        </w:rPr>
        <w:t>、核爆炸、核辐射或核污染；</w:t>
      </w:r>
    </w:p>
    <w:p>
      <w:pPr>
        <w:pStyle w:val="Heading1"/>
        <w:spacing w:line="282" w:lineRule="exact"/>
        <w:rPr>
          <w:rFonts w:ascii="黑体" w:eastAsia="黑体" w:hint="eastAsia"/>
          <w:b w:val="0"/>
        </w:rPr>
      </w:pPr>
      <w:r>
        <w:rPr>
          <w:rFonts w:ascii="Times New Roman" w:eastAsia="Times New Roman"/>
          <w:b w:val="0"/>
          <w:w w:val="100"/>
        </w:rPr>
        <w:t>8</w:t>
      </w:r>
      <w:r>
        <w:rPr>
          <w:rFonts w:ascii="黑体" w:eastAsia="黑体" w:hint="eastAsia"/>
          <w:b w:val="0"/>
          <w:w w:val="100"/>
        </w:rPr>
        <w:t>、</w:t>
      </w:r>
      <w:r>
        <w:rPr>
          <w:rFonts w:ascii="黑体" w:eastAsia="黑体" w:hint="eastAsia"/>
          <w:w w:val="100"/>
        </w:rPr>
        <w:t>遗传性疾病（见释义</w:t>
      </w:r>
      <w:r>
        <w:rPr>
          <w:rFonts w:ascii="黑体" w:eastAsia="黑体" w:hint="eastAsia"/>
          <w:spacing w:val="-105"/>
          <w:w w:val="100"/>
        </w:rPr>
        <w:t>）</w:t>
      </w:r>
      <w:r>
        <w:rPr>
          <w:rFonts w:ascii="黑体" w:eastAsia="黑体" w:hint="eastAsia"/>
          <w:b w:val="0"/>
          <w:spacing w:val="-5"/>
          <w:w w:val="100"/>
        </w:rPr>
        <w:t>，</w:t>
      </w:r>
      <w:r>
        <w:rPr>
          <w:rFonts w:ascii="黑体" w:eastAsia="黑体" w:hint="eastAsia"/>
          <w:spacing w:val="-1"/>
          <w:w w:val="100"/>
        </w:rPr>
        <w:t>先天性畸形、变形或染色体异常</w:t>
      </w:r>
      <w:r>
        <w:rPr>
          <w:rFonts w:ascii="黑体" w:eastAsia="黑体" w:hint="eastAsia"/>
          <w:w w:val="100"/>
        </w:rPr>
        <w:t>（见释义</w:t>
      </w:r>
      <w:r>
        <w:rPr>
          <w:rFonts w:ascii="黑体" w:eastAsia="黑体" w:hint="eastAsia"/>
          <w:spacing w:val="-105"/>
          <w:w w:val="100"/>
        </w:rPr>
        <w:t>）</w:t>
      </w:r>
      <w:r>
        <w:rPr>
          <w:rFonts w:ascii="黑体" w:eastAsia="黑体" w:hint="eastAsia"/>
          <w:b w:val="0"/>
          <w:w w:val="100"/>
        </w:rPr>
        <w:t>。</w:t>
      </w:r>
    </w:p>
    <w:p>
      <w:pPr>
        <w:pStyle w:val="BodyText"/>
        <w:spacing w:before="4"/>
        <w:ind w:left="0"/>
        <w:rPr>
          <w:rFonts w:ascii="黑体"/>
          <w:sz w:val="16"/>
        </w:rPr>
      </w:pPr>
    </w:p>
    <w:p>
      <w:pPr>
        <w:spacing w:before="0"/>
        <w:ind w:left="113" w:right="202" w:firstLine="0"/>
        <w:jc w:val="left"/>
        <w:rPr>
          <w:rFonts w:ascii="Microsoft JhengHei" w:eastAsia="Microsoft JhengHei" w:hint="eastAsia"/>
          <w:b/>
          <w:sz w:val="21"/>
        </w:rPr>
      </w:pPr>
      <w:r>
        <w:rPr>
          <w:rFonts w:ascii="Microsoft JhengHei" w:eastAsia="Microsoft JhengHei" w:hint="eastAsia"/>
          <w:b/>
          <w:spacing w:val="-6"/>
          <w:sz w:val="21"/>
        </w:rPr>
        <w:t>因上述第１项情形导致本附加合同保险责任的，本附加合同及主合同终止，本公司向其他权利人退还保险单的现金价值</w:t>
      </w:r>
      <w:r>
        <w:rPr>
          <w:rFonts w:ascii="Microsoft JhengHei" w:eastAsia="Microsoft JhengHei" w:hint="eastAsia"/>
          <w:b/>
          <w:sz w:val="21"/>
        </w:rPr>
        <w:t>（见释义</w:t>
      </w:r>
      <w:r>
        <w:rPr>
          <w:rFonts w:ascii="Microsoft JhengHei" w:eastAsia="Microsoft JhengHei" w:hint="eastAsia"/>
          <w:b/>
          <w:spacing w:val="-111"/>
          <w:sz w:val="21"/>
        </w:rPr>
        <w:t>）</w:t>
      </w:r>
      <w:r>
        <w:rPr>
          <w:rFonts w:ascii="Microsoft JhengHei" w:eastAsia="Microsoft JhengHei" w:hint="eastAsia"/>
          <w:b/>
          <w:sz w:val="21"/>
        </w:rPr>
        <w:t>。</w:t>
      </w:r>
    </w:p>
    <w:p>
      <w:pPr>
        <w:spacing w:before="243"/>
        <w:ind w:left="113" w:right="202" w:firstLine="0"/>
        <w:jc w:val="left"/>
        <w:rPr>
          <w:rFonts w:ascii="Microsoft JhengHei" w:eastAsia="Microsoft JhengHei" w:hint="eastAsia"/>
          <w:b/>
          <w:sz w:val="21"/>
        </w:rPr>
      </w:pPr>
      <w:r>
        <w:rPr>
          <w:rFonts w:ascii="Microsoft JhengHei" w:eastAsia="Microsoft JhengHei" w:hint="eastAsia"/>
          <w:b/>
          <w:spacing w:val="-6"/>
          <w:sz w:val="21"/>
        </w:rPr>
        <w:t>因上述其他情形导致本附加合同保险责任的，本附加合同及主合同终止，本公司向投保人退还保险单的现金价值。</w:t>
      </w:r>
    </w:p>
    <w:p>
      <w:pPr>
        <w:pStyle w:val="BodyText"/>
        <w:spacing w:before="8"/>
        <w:ind w:left="0"/>
        <w:rPr>
          <w:rFonts w:ascii="Microsoft JhengHei"/>
          <w:b/>
          <w:sz w:val="14"/>
        </w:rPr>
      </w:pPr>
    </w:p>
    <w:p>
      <w:pPr>
        <w:spacing w:before="1"/>
        <w:ind w:left="113" w:right="0" w:firstLine="0"/>
        <w:jc w:val="left"/>
        <w:rPr>
          <w:rFonts w:ascii="黑体" w:eastAsia="黑体" w:hint="eastAsia"/>
          <w:b/>
          <w:sz w:val="21"/>
        </w:rPr>
      </w:pPr>
      <w:r>
        <w:rPr>
          <w:rFonts w:ascii="黑体" w:eastAsia="黑体" w:hint="eastAsia"/>
          <w:b/>
          <w:sz w:val="21"/>
        </w:rPr>
        <w:t>第四条 保险合同成立与Th效</w:t>
      </w:r>
    </w:p>
    <w:p>
      <w:pPr>
        <w:pStyle w:val="BodyText"/>
        <w:spacing w:before="8"/>
        <w:ind w:left="0"/>
        <w:rPr>
          <w:rFonts w:ascii="黑体"/>
          <w:b/>
          <w:sz w:val="22"/>
        </w:rPr>
      </w:pPr>
    </w:p>
    <w:p>
      <w:pPr>
        <w:pStyle w:val="BodyText"/>
      </w:pPr>
      <w:r>
        <w:rPr/>
        <w:t>投保人提出保险申请、本公司同意承保，本附加合同成立。</w:t>
      </w:r>
    </w:p>
    <w:p>
      <w:pPr>
        <w:pStyle w:val="BodyText"/>
        <w:spacing w:before="1"/>
        <w:ind w:left="0"/>
        <w:rPr>
          <w:sz w:val="20"/>
        </w:rPr>
      </w:pPr>
    </w:p>
    <w:p>
      <w:pPr>
        <w:spacing w:before="0"/>
        <w:ind w:left="113" w:right="0" w:firstLine="0"/>
        <w:jc w:val="left"/>
        <w:rPr>
          <w:sz w:val="21"/>
        </w:rPr>
      </w:pPr>
      <w:r>
        <w:rPr>
          <w:spacing w:val="-4"/>
          <w:sz w:val="21"/>
        </w:rPr>
        <w:t>本附加合同生效日期在保险单上载明。</w:t>
      </w:r>
      <w:r>
        <w:rPr>
          <w:rFonts w:ascii="Microsoft JhengHei" w:eastAsia="Microsoft JhengHei" w:hint="eastAsia"/>
          <w:b/>
          <w:spacing w:val="-2"/>
          <w:sz w:val="21"/>
        </w:rPr>
        <w:t>保单年度</w:t>
      </w:r>
      <w:r>
        <w:rPr>
          <w:rFonts w:ascii="Microsoft JhengHei" w:eastAsia="Microsoft JhengHei" w:hint="eastAsia"/>
          <w:b/>
          <w:sz w:val="21"/>
        </w:rPr>
        <w:t>（</w:t>
      </w:r>
      <w:r>
        <w:rPr>
          <w:rFonts w:ascii="Microsoft JhengHei" w:eastAsia="Microsoft JhengHei" w:hint="eastAsia"/>
          <w:b/>
          <w:spacing w:val="-2"/>
          <w:sz w:val="21"/>
        </w:rPr>
        <w:t>见释义</w:t>
      </w:r>
      <w:r>
        <w:rPr>
          <w:rFonts w:ascii="Microsoft JhengHei" w:eastAsia="Microsoft JhengHei" w:hint="eastAsia"/>
          <w:b/>
          <w:spacing w:val="-106"/>
          <w:sz w:val="21"/>
        </w:rPr>
        <w:t>）</w:t>
      </w:r>
      <w:r>
        <w:rPr>
          <w:spacing w:val="-5"/>
          <w:sz w:val="21"/>
        </w:rPr>
        <w:t>、保险费约定支付日均以该日期计算。</w:t>
      </w:r>
    </w:p>
    <w:p>
      <w:pPr>
        <w:pStyle w:val="BodyText"/>
        <w:spacing w:before="4"/>
        <w:ind w:left="0"/>
        <w:rPr>
          <w:sz w:val="19"/>
        </w:rPr>
      </w:pPr>
    </w:p>
    <w:p>
      <w:pPr>
        <w:pStyle w:val="Heading1"/>
        <w:rPr>
          <w:rFonts w:ascii="黑体" w:eastAsia="黑体" w:hint="eastAsia"/>
        </w:rPr>
      </w:pPr>
      <w:r>
        <w:rPr>
          <w:rFonts w:ascii="黑体" w:eastAsia="黑体" w:hint="eastAsia"/>
        </w:rPr>
        <w:t>第五条 保险期间</w:t>
      </w:r>
    </w:p>
    <w:p>
      <w:pPr>
        <w:pStyle w:val="BodyText"/>
        <w:spacing w:before="8"/>
        <w:ind w:left="0"/>
        <w:rPr>
          <w:rFonts w:ascii="黑体"/>
          <w:b/>
          <w:sz w:val="22"/>
        </w:rPr>
      </w:pPr>
    </w:p>
    <w:p>
      <w:pPr>
        <w:pStyle w:val="BodyText"/>
      </w:pPr>
      <w:r>
        <w:rPr/>
        <w:t>本附加合同的保险期间同主合同。</w:t>
      </w:r>
    </w:p>
    <w:p>
      <w:pPr>
        <w:pStyle w:val="BodyText"/>
        <w:spacing w:before="10"/>
        <w:ind w:left="0"/>
        <w:rPr>
          <w:sz w:val="20"/>
        </w:rPr>
      </w:pPr>
    </w:p>
    <w:p>
      <w:pPr>
        <w:pStyle w:val="Heading1"/>
        <w:spacing w:before="1"/>
        <w:rPr>
          <w:rFonts w:ascii="黑体" w:eastAsia="黑体" w:hint="eastAsia"/>
        </w:rPr>
      </w:pPr>
      <w:r>
        <w:rPr>
          <w:rFonts w:ascii="黑体" w:eastAsia="黑体" w:hint="eastAsia"/>
        </w:rPr>
        <w:t>第六条 基本保额</w:t>
      </w:r>
    </w:p>
    <w:p>
      <w:pPr>
        <w:spacing w:after="0"/>
        <w:rPr>
          <w:rFonts w:ascii="黑体" w:eastAsia="黑体" w:hint="eastAsia"/>
        </w:rPr>
        <w:sectPr>
          <w:pgSz w:w="11910" w:h="16840"/>
          <w:pgMar w:header="0" w:footer="496" w:top="920" w:bottom="760" w:left="1020" w:right="920"/>
        </w:sectPr>
      </w:pPr>
    </w:p>
    <w:p>
      <w:pPr>
        <w:pStyle w:val="BodyText"/>
        <w:spacing w:before="55"/>
      </w:pPr>
      <w:r>
        <w:rPr/>
        <w:t>本附加合同的基本保额同主合同。</w:t>
      </w:r>
    </w:p>
    <w:p>
      <w:pPr>
        <w:pStyle w:val="BodyText"/>
        <w:spacing w:before="10"/>
        <w:ind w:left="0"/>
        <w:rPr>
          <w:sz w:val="20"/>
        </w:rPr>
      </w:pPr>
    </w:p>
    <w:p>
      <w:pPr>
        <w:pStyle w:val="Heading1"/>
        <w:rPr>
          <w:rFonts w:ascii="黑体" w:eastAsia="黑体" w:hint="eastAsia"/>
        </w:rPr>
      </w:pPr>
      <w:r>
        <w:rPr>
          <w:rFonts w:ascii="黑体" w:eastAsia="黑体" w:hint="eastAsia"/>
        </w:rPr>
        <w:t>第七条 保险费率的调整</w:t>
      </w:r>
    </w:p>
    <w:p>
      <w:pPr>
        <w:pStyle w:val="BodyText"/>
        <w:spacing w:before="8"/>
        <w:ind w:left="0"/>
        <w:rPr>
          <w:rFonts w:ascii="黑体"/>
          <w:b/>
          <w:sz w:val="22"/>
        </w:rPr>
      </w:pPr>
    </w:p>
    <w:p>
      <w:pPr>
        <w:pStyle w:val="BodyText"/>
        <w:spacing w:line="319" w:lineRule="auto"/>
        <w:ind w:right="203"/>
        <w:jc w:val="both"/>
      </w:pPr>
      <w:r>
        <w:rPr>
          <w:spacing w:val="-6"/>
        </w:rPr>
        <w:t>本公司保留提高或降低保险费率的权利。本公司可以针对所有被保险人或相同投保年龄、性别的所有被保</w:t>
      </w:r>
      <w:r>
        <w:rPr>
          <w:spacing w:val="-7"/>
        </w:rPr>
        <w:t>险人调整本附加合同的保险费率。若费率调整时本附加合同的缴费期间尚未届满，则调整后的保险费率将在费率调整后的首个保单周年日之前以书面形式通知投保人。投保人应按调整后的保险费率缴纳续期保险费。</w:t>
      </w:r>
    </w:p>
    <w:p>
      <w:pPr>
        <w:pStyle w:val="BodyText"/>
        <w:ind w:left="0"/>
        <w:rPr>
          <w:sz w:val="25"/>
        </w:rPr>
      </w:pPr>
    </w:p>
    <w:p>
      <w:pPr>
        <w:pStyle w:val="Heading1"/>
        <w:rPr>
          <w:rFonts w:ascii="黑体" w:eastAsia="黑体" w:hint="eastAsia"/>
        </w:rPr>
      </w:pPr>
      <w:r>
        <w:rPr>
          <w:rFonts w:ascii="黑体" w:eastAsia="黑体" w:hint="eastAsia"/>
        </w:rPr>
        <w:t>第八条 受益人</w:t>
      </w:r>
    </w:p>
    <w:p>
      <w:pPr>
        <w:pStyle w:val="BodyText"/>
        <w:spacing w:before="7"/>
        <w:ind w:left="0"/>
        <w:rPr>
          <w:rFonts w:ascii="黑体"/>
          <w:b/>
          <w:sz w:val="22"/>
        </w:rPr>
      </w:pPr>
    </w:p>
    <w:p>
      <w:pPr>
        <w:pStyle w:val="BodyText"/>
        <w:spacing w:before="1"/>
      </w:pPr>
      <w:r>
        <w:rPr/>
        <w:t>除另有指定外，本附加合同保险金的受益人为被保险人本人。</w:t>
      </w:r>
    </w:p>
    <w:p>
      <w:pPr>
        <w:pStyle w:val="BodyText"/>
        <w:spacing w:before="2"/>
        <w:ind w:left="0"/>
      </w:pPr>
    </w:p>
    <w:p>
      <w:pPr>
        <w:pStyle w:val="Heading1"/>
        <w:rPr>
          <w:rFonts w:ascii="黑体" w:eastAsia="黑体" w:hint="eastAsia"/>
        </w:rPr>
      </w:pPr>
      <w:r>
        <w:rPr>
          <w:rFonts w:ascii="黑体" w:eastAsia="黑体" w:hint="eastAsia"/>
        </w:rPr>
        <w:t>第九条 保险金申请</w:t>
      </w:r>
    </w:p>
    <w:p>
      <w:pPr>
        <w:pStyle w:val="BodyText"/>
        <w:spacing w:before="8"/>
        <w:ind w:left="0"/>
        <w:rPr>
          <w:rFonts w:ascii="黑体"/>
          <w:b/>
          <w:sz w:val="22"/>
        </w:rPr>
      </w:pPr>
    </w:p>
    <w:p>
      <w:pPr>
        <w:pStyle w:val="BodyText"/>
      </w:pPr>
      <w:r>
        <w:rPr/>
        <w:t>在申请本附加合同保险金时，申请人须填写保险金给付申请书，并提供下列证明和资料：</w:t>
      </w:r>
    </w:p>
    <w:p>
      <w:pPr>
        <w:pStyle w:val="BodyText"/>
        <w:spacing w:before="89"/>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before="78"/>
      </w:pPr>
      <w:r>
        <w:rPr>
          <w:rFonts w:ascii="Times New Roman" w:eastAsia="Times New Roman"/>
        </w:rPr>
        <w:t>3</w:t>
      </w:r>
      <w:r>
        <w:rPr/>
        <w:t>、 被保险人的有效身份证件；</w:t>
      </w:r>
    </w:p>
    <w:p>
      <w:pPr>
        <w:pStyle w:val="BodyText"/>
        <w:spacing w:before="74"/>
      </w:pPr>
      <w:r>
        <w:rPr>
          <w:rFonts w:ascii="Times New Roman" w:eastAsia="Times New Roman"/>
        </w:rPr>
        <w:t>4</w:t>
      </w:r>
      <w:r>
        <w:rPr/>
        <w:t>、 本附加合同保险金受益人的有效身份证件；</w:t>
      </w:r>
    </w:p>
    <w:p>
      <w:pPr>
        <w:pStyle w:val="BodyText"/>
        <w:spacing w:line="300" w:lineRule="auto" w:before="73"/>
        <w:ind w:left="473" w:right="100" w:hanging="360"/>
      </w:pPr>
      <w:r>
        <w:rPr>
          <w:rFonts w:ascii="Times New Roman" w:eastAsia="Times New Roman"/>
        </w:rPr>
        <w:t>5</w:t>
      </w:r>
      <w:r>
        <w:rPr>
          <w:spacing w:val="-7"/>
        </w:rPr>
        <w:t>、 由医疗机构的专科医生出具的疾病诊断书及相关所必需的检查结果证明</w:t>
      </w:r>
      <w:r>
        <w:rPr/>
        <w:t>（</w:t>
      </w:r>
      <w:r>
        <w:rPr>
          <w:spacing w:val="-1"/>
        </w:rPr>
        <w:t>如病理检查报告、血液检查</w:t>
      </w:r>
      <w:r>
        <w:rPr>
          <w:spacing w:val="-11"/>
        </w:rPr>
        <w:t>报告、超声波、影像学及其他医学诊断检查报告等</w:t>
      </w:r>
      <w:r>
        <w:rPr>
          <w:spacing w:val="-77"/>
        </w:rPr>
        <w:t>）</w:t>
      </w:r>
      <w:r>
        <w:rPr>
          <w:spacing w:val="-12"/>
        </w:rPr>
        <w:t>，若接受外科手术者，还需提供外科手术证明文件；</w:t>
      </w:r>
    </w:p>
    <w:p>
      <w:pPr>
        <w:pStyle w:val="BodyText"/>
        <w:spacing w:before="36"/>
      </w:pPr>
      <w:r>
        <w:rPr>
          <w:rFonts w:ascii="Times New Roman" w:eastAsia="Times New Roman"/>
        </w:rPr>
        <w:t>6</w:t>
      </w:r>
      <w:r>
        <w:rPr/>
        <w:t>、 所能提供的与确认保险事故的性质、原因等有关的其他证明和资料。</w:t>
      </w:r>
    </w:p>
    <w:p>
      <w:pPr>
        <w:pStyle w:val="BodyText"/>
        <w:spacing w:before="4"/>
        <w:ind w:left="0"/>
        <w:rPr>
          <w:sz w:val="24"/>
        </w:rPr>
      </w:pPr>
    </w:p>
    <w:p>
      <w:pPr>
        <w:pStyle w:val="BodyText"/>
      </w:pPr>
      <w:r>
        <w:rPr/>
        <w:t>以上证明和资料不完整的，本公司将及时一次性通知申请人补充提供有关证明和资料。</w:t>
      </w:r>
    </w:p>
    <w:p>
      <w:pPr>
        <w:pStyle w:val="BodyText"/>
        <w:spacing w:before="1"/>
        <w:ind w:left="0"/>
      </w:pPr>
    </w:p>
    <w:p>
      <w:pPr>
        <w:pStyle w:val="Heading1"/>
        <w:tabs>
          <w:tab w:pos="958" w:val="left" w:leader="none"/>
        </w:tabs>
        <w:spacing w:before="1"/>
        <w:rPr>
          <w:rFonts w:ascii="黑体" w:eastAsia="黑体" w:hint="eastAsia"/>
        </w:rPr>
      </w:pPr>
      <w:r>
        <w:rPr>
          <w:rFonts w:ascii="黑体" w:eastAsia="黑体" w:hint="eastAsia"/>
        </w:rPr>
        <w:t>第十条</w:t>
        <w:tab/>
        <w:t>诉讼时效</w:t>
      </w:r>
    </w:p>
    <w:p>
      <w:pPr>
        <w:pStyle w:val="BodyText"/>
        <w:spacing w:before="8"/>
        <w:ind w:left="0"/>
        <w:rPr>
          <w:rFonts w:ascii="黑体"/>
          <w:b/>
          <w:sz w:val="22"/>
        </w:rPr>
      </w:pPr>
    </w:p>
    <w:p>
      <w:pPr>
        <w:pStyle w:val="BodyText"/>
        <w:spacing w:line="302" w:lineRule="auto"/>
        <w:ind w:right="203"/>
      </w:pPr>
      <w:r>
        <w:rPr>
          <w:spacing w:val="-6"/>
        </w:rPr>
        <w:t>受益人向本公司请求给付本附加合同保险金的诉讼时效期间为 </w:t>
      </w:r>
      <w:r>
        <w:rPr>
          <w:rFonts w:ascii="Times New Roman" w:eastAsia="Times New Roman"/>
        </w:rPr>
        <w:t>2 </w:t>
      </w:r>
      <w:r>
        <w:rPr>
          <w:spacing w:val="-6"/>
        </w:rPr>
        <w:t>年，自其知道或者应当知道保险事故发生</w:t>
      </w:r>
      <w:r>
        <w:rPr>
          <w:spacing w:val="-5"/>
        </w:rPr>
        <w:t>之日起计算。</w:t>
      </w:r>
    </w:p>
    <w:p>
      <w:pPr>
        <w:pStyle w:val="Heading1"/>
        <w:tabs>
          <w:tab w:pos="1169" w:val="left" w:leader="none"/>
        </w:tabs>
        <w:spacing w:before="217"/>
        <w:rPr>
          <w:rFonts w:ascii="黑体" w:eastAsia="黑体" w:hint="eastAsia"/>
        </w:rPr>
      </w:pPr>
      <w:r>
        <w:rPr>
          <w:rFonts w:ascii="黑体" w:eastAsia="黑体" w:hint="eastAsia"/>
        </w:rPr>
        <w:t>第十一条</w:t>
        <w:tab/>
        <w:t>适用主合同条款</w:t>
      </w:r>
    </w:p>
    <w:p>
      <w:pPr>
        <w:pStyle w:val="BodyText"/>
        <w:spacing w:before="8"/>
        <w:ind w:left="0"/>
        <w:rPr>
          <w:rFonts w:ascii="黑体"/>
          <w:b/>
          <w:sz w:val="22"/>
        </w:rPr>
      </w:pPr>
    </w:p>
    <w:p>
      <w:pPr>
        <w:pStyle w:val="BodyText"/>
      </w:pPr>
      <w:r>
        <w:rPr/>
        <w:t>下列各项条款适用主合同条款：</w:t>
      </w:r>
    </w:p>
    <w:p>
      <w:pPr>
        <w:pStyle w:val="BodyText"/>
        <w:spacing w:before="94"/>
      </w:pPr>
      <w:r>
        <w:rPr>
          <w:rFonts w:ascii="Times New Roman" w:eastAsia="Times New Roman"/>
        </w:rPr>
        <w:t>1</w:t>
      </w:r>
      <w:r>
        <w:rPr/>
        <w:t>、 合同犹豫期；</w:t>
      </w:r>
    </w:p>
    <w:p>
      <w:pPr>
        <w:pStyle w:val="BodyText"/>
        <w:spacing w:before="74"/>
      </w:pPr>
      <w:r>
        <w:rPr>
          <w:rFonts w:ascii="Times New Roman" w:eastAsia="Times New Roman"/>
        </w:rPr>
        <w:t>2</w:t>
      </w:r>
      <w:r>
        <w:rPr/>
        <w:t>、 投保人解除合同的手续及风险；</w:t>
      </w:r>
    </w:p>
    <w:p>
      <w:pPr>
        <w:pStyle w:val="BodyText"/>
        <w:spacing w:before="74"/>
      </w:pPr>
      <w:r>
        <w:rPr>
          <w:rFonts w:ascii="Times New Roman" w:eastAsia="Times New Roman"/>
        </w:rPr>
        <w:t>3</w:t>
      </w:r>
      <w:r>
        <w:rPr/>
        <w:t>、 明确说明与如实告知；</w:t>
      </w:r>
    </w:p>
    <w:p>
      <w:pPr>
        <w:pStyle w:val="BodyText"/>
        <w:spacing w:before="74"/>
      </w:pPr>
      <w:r>
        <w:rPr>
          <w:rFonts w:ascii="Times New Roman" w:eastAsia="Times New Roman"/>
        </w:rPr>
        <w:t>4</w:t>
      </w:r>
      <w:r>
        <w:rPr/>
        <w:t>、 本公司合同解除权的限制；</w:t>
      </w:r>
    </w:p>
    <w:p>
      <w:pPr>
        <w:pStyle w:val="BodyText"/>
        <w:spacing w:before="74"/>
      </w:pPr>
      <w:r>
        <w:rPr>
          <w:rFonts w:ascii="Times New Roman" w:eastAsia="Times New Roman"/>
        </w:rPr>
        <w:t>5</w:t>
      </w:r>
      <w:r>
        <w:rPr/>
        <w:t>、 保险事故通知；</w:t>
      </w:r>
    </w:p>
    <w:p>
      <w:pPr>
        <w:pStyle w:val="BodyText"/>
        <w:spacing w:before="79"/>
      </w:pPr>
      <w:r>
        <w:rPr>
          <w:rFonts w:ascii="Times New Roman" w:eastAsia="Times New Roman"/>
        </w:rPr>
        <w:t>6</w:t>
      </w:r>
      <w:r>
        <w:rPr/>
        <w:t>、 保险金给付；</w:t>
      </w:r>
    </w:p>
    <w:p>
      <w:pPr>
        <w:pStyle w:val="BodyText"/>
        <w:spacing w:before="73"/>
      </w:pPr>
      <w:r>
        <w:rPr>
          <w:rFonts w:ascii="Times New Roman" w:eastAsia="Times New Roman"/>
        </w:rPr>
        <w:t>7</w:t>
      </w:r>
      <w:r>
        <w:rPr/>
        <w:t>、 身体检查及司法鉴定；</w:t>
      </w:r>
    </w:p>
    <w:p>
      <w:pPr>
        <w:pStyle w:val="BodyText"/>
        <w:spacing w:before="73"/>
      </w:pPr>
      <w:r>
        <w:rPr>
          <w:rFonts w:ascii="Times New Roman" w:eastAsia="Times New Roman"/>
        </w:rPr>
        <w:t>8</w:t>
      </w:r>
      <w:r>
        <w:rPr/>
        <w:t>、 保险费的缴付；</w:t>
      </w:r>
    </w:p>
    <w:p>
      <w:pPr>
        <w:pStyle w:val="BodyText"/>
        <w:spacing w:before="73"/>
      </w:pPr>
      <w:r>
        <w:rPr>
          <w:rFonts w:ascii="Times New Roman" w:eastAsia="Times New Roman"/>
        </w:rPr>
        <w:t>9</w:t>
      </w:r>
      <w:r>
        <w:rPr/>
        <w:t>、 宽限期；</w:t>
      </w:r>
    </w:p>
    <w:p>
      <w:pPr>
        <w:pStyle w:val="BodyText"/>
        <w:spacing w:before="79"/>
      </w:pPr>
      <w:r>
        <w:rPr>
          <w:rFonts w:ascii="Times New Roman" w:eastAsia="Times New Roman"/>
        </w:rPr>
        <w:t>10</w:t>
      </w:r>
      <w:r>
        <w:rPr/>
        <w:t>、借款；</w:t>
      </w:r>
    </w:p>
    <w:p>
      <w:pPr>
        <w:pStyle w:val="BodyText"/>
        <w:spacing w:before="74"/>
      </w:pPr>
      <w:r>
        <w:rPr>
          <w:rFonts w:ascii="Times New Roman" w:eastAsia="Times New Roman"/>
        </w:rPr>
        <w:t>11</w:t>
      </w:r>
      <w:r>
        <w:rPr/>
        <w:t>、效力恢复；</w:t>
      </w:r>
    </w:p>
    <w:p>
      <w:pPr>
        <w:spacing w:after="0"/>
        <w:sectPr>
          <w:pgSz w:w="11910" w:h="16840"/>
          <w:pgMar w:header="0" w:footer="496" w:top="1040" w:bottom="760" w:left="1020" w:right="920"/>
        </w:sectPr>
      </w:pPr>
    </w:p>
    <w:p>
      <w:pPr>
        <w:pStyle w:val="BodyText"/>
        <w:spacing w:before="70"/>
        <w:jc w:val="both"/>
      </w:pPr>
      <w:r>
        <w:rPr>
          <w:rFonts w:ascii="Times New Roman" w:eastAsia="Times New Roman"/>
        </w:rPr>
        <w:t>12</w:t>
      </w:r>
      <w:r>
        <w:rPr/>
        <w:t>、欠款的扣除；</w:t>
      </w:r>
    </w:p>
    <w:p>
      <w:pPr>
        <w:pStyle w:val="BodyText"/>
        <w:spacing w:before="78"/>
        <w:jc w:val="both"/>
      </w:pPr>
      <w:r>
        <w:rPr>
          <w:rFonts w:ascii="Times New Roman" w:eastAsia="Times New Roman"/>
        </w:rPr>
        <w:t>13</w:t>
      </w:r>
      <w:r>
        <w:rPr/>
        <w:t>、年龄错误；</w:t>
      </w:r>
    </w:p>
    <w:p>
      <w:pPr>
        <w:pStyle w:val="BodyText"/>
        <w:spacing w:before="73"/>
        <w:jc w:val="both"/>
      </w:pPr>
      <w:r>
        <w:rPr>
          <w:rFonts w:ascii="Times New Roman" w:eastAsia="Times New Roman"/>
        </w:rPr>
        <w:t>14</w:t>
      </w:r>
      <w:r>
        <w:rPr/>
        <w:t>、住所或通讯地址的变更；</w:t>
      </w:r>
    </w:p>
    <w:p>
      <w:pPr>
        <w:pStyle w:val="BodyText"/>
        <w:spacing w:before="73"/>
        <w:jc w:val="both"/>
      </w:pPr>
      <w:r>
        <w:rPr>
          <w:rFonts w:ascii="Times New Roman" w:eastAsia="Times New Roman"/>
        </w:rPr>
        <w:t>15</w:t>
      </w:r>
      <w:r>
        <w:rPr/>
        <w:t>、争议的处理。</w:t>
      </w:r>
    </w:p>
    <w:p>
      <w:pPr>
        <w:pStyle w:val="BodyText"/>
        <w:spacing w:before="7"/>
        <w:ind w:left="0"/>
        <w:rPr>
          <w:sz w:val="19"/>
        </w:rPr>
      </w:pPr>
    </w:p>
    <w:p>
      <w:pPr>
        <w:pStyle w:val="Heading1"/>
        <w:spacing w:before="1"/>
        <w:jc w:val="both"/>
        <w:rPr>
          <w:rFonts w:ascii="黑体" w:eastAsia="黑体" w:hint="eastAsia"/>
        </w:rPr>
      </w:pPr>
      <w:r>
        <w:rPr>
          <w:rFonts w:ascii="黑体" w:eastAsia="黑体" w:hint="eastAsia"/>
        </w:rPr>
        <w:t>第十二条  附加合同效力的终止</w:t>
      </w:r>
    </w:p>
    <w:p>
      <w:pPr>
        <w:pStyle w:val="BodyText"/>
        <w:ind w:left="0"/>
        <w:rPr>
          <w:rFonts w:ascii="黑体"/>
          <w:b/>
          <w:sz w:val="23"/>
        </w:rPr>
      </w:pPr>
    </w:p>
    <w:p>
      <w:pPr>
        <w:pStyle w:val="BodyText"/>
        <w:jc w:val="both"/>
      </w:pPr>
      <w:r>
        <w:rPr/>
        <w:t>出现下列情况之一时，本附加合同效力终止：</w:t>
      </w:r>
    </w:p>
    <w:p>
      <w:pPr>
        <w:pStyle w:val="BodyText"/>
        <w:spacing w:before="89"/>
        <w:jc w:val="both"/>
      </w:pPr>
      <w:r>
        <w:rPr>
          <w:rFonts w:ascii="Times New Roman" w:eastAsia="Times New Roman"/>
        </w:rPr>
        <w:t>1</w:t>
      </w:r>
      <w:r>
        <w:rPr/>
        <w:t>、 主合同终止；</w:t>
      </w:r>
    </w:p>
    <w:p>
      <w:pPr>
        <w:pStyle w:val="BodyText"/>
        <w:spacing w:before="74"/>
        <w:jc w:val="both"/>
      </w:pPr>
      <w:r>
        <w:rPr>
          <w:rFonts w:ascii="Times New Roman" w:eastAsia="Times New Roman"/>
        </w:rPr>
        <w:t>2</w:t>
      </w:r>
      <w:r>
        <w:rPr/>
        <w:t>、 主合同或本附加合同已约定的其他效力终止情形。</w:t>
      </w:r>
    </w:p>
    <w:p>
      <w:pPr>
        <w:pStyle w:val="BodyText"/>
        <w:ind w:left="0"/>
        <w:rPr>
          <w:sz w:val="24"/>
        </w:rPr>
      </w:pPr>
    </w:p>
    <w:p>
      <w:pPr>
        <w:pStyle w:val="BodyText"/>
        <w:spacing w:line="321" w:lineRule="auto"/>
        <w:ind w:right="249"/>
      </w:pPr>
      <w:r>
        <w:rPr/>
        <w:t>在本附加合同有效限期内，投保人可以向本公司书面申请解除本附加合同。本附加合同解除时，主合同同时解除。</w:t>
      </w:r>
    </w:p>
    <w:p>
      <w:pPr>
        <w:pStyle w:val="Heading1"/>
        <w:spacing w:before="200"/>
        <w:jc w:val="both"/>
        <w:rPr>
          <w:rFonts w:ascii="黑体" w:eastAsia="黑体" w:hint="eastAsia"/>
        </w:rPr>
      </w:pPr>
      <w:r>
        <w:rPr>
          <w:rFonts w:ascii="黑体" w:eastAsia="黑体" w:hint="eastAsia"/>
        </w:rPr>
        <w:t>第十三条  重大疾病的释义</w:t>
      </w:r>
    </w:p>
    <w:p>
      <w:pPr>
        <w:pStyle w:val="BodyText"/>
        <w:spacing w:before="11"/>
        <w:ind w:left="0"/>
        <w:rPr>
          <w:rFonts w:ascii="黑体"/>
          <w:b/>
        </w:rPr>
      </w:pPr>
    </w:p>
    <w:p>
      <w:pPr>
        <w:pStyle w:val="BodyText"/>
        <w:spacing w:before="1"/>
        <w:jc w:val="both"/>
      </w:pPr>
      <w:r>
        <w:rPr>
          <w:spacing w:val="-6"/>
        </w:rPr>
        <w:t>本附加合同所指的重大疾病共有 </w:t>
      </w:r>
      <w:r>
        <w:rPr>
          <w:rFonts w:ascii="Times New Roman" w:eastAsia="Times New Roman"/>
          <w:spacing w:val="-3"/>
        </w:rPr>
        <w:t>35 </w:t>
      </w:r>
      <w:r>
        <w:rPr>
          <w:spacing w:val="-9"/>
        </w:rPr>
        <w:t>种，其中第 </w:t>
      </w:r>
      <w:r>
        <w:rPr>
          <w:rFonts w:ascii="Times New Roman" w:eastAsia="Times New Roman"/>
        </w:rPr>
        <w:t>1 </w:t>
      </w:r>
      <w:r>
        <w:rPr>
          <w:spacing w:val="-11"/>
        </w:rPr>
        <w:t>种至第 </w:t>
      </w:r>
      <w:r>
        <w:rPr>
          <w:rFonts w:ascii="Times New Roman" w:eastAsia="Times New Roman"/>
        </w:rPr>
        <w:t>25 </w:t>
      </w:r>
      <w:r>
        <w:rPr>
          <w:spacing w:val="-7"/>
        </w:rPr>
        <w:t>种采用中国保险行业协会 </w:t>
      </w:r>
      <w:r>
        <w:rPr>
          <w:rFonts w:ascii="Times New Roman" w:eastAsia="Times New Roman"/>
        </w:rPr>
        <w:t>2007 </w:t>
      </w:r>
      <w:r>
        <w:rPr>
          <w:spacing w:val="-22"/>
        </w:rPr>
        <w:t>年 </w:t>
      </w:r>
      <w:r>
        <w:rPr>
          <w:rFonts w:ascii="Times New Roman" w:eastAsia="Times New Roman"/>
        </w:rPr>
        <w:t>3 </w:t>
      </w:r>
      <w:r>
        <w:rPr>
          <w:spacing w:val="-2"/>
        </w:rPr>
        <w:t>月发布的</w:t>
      </w:r>
    </w:p>
    <w:p>
      <w:pPr>
        <w:pStyle w:val="BodyText"/>
        <w:spacing w:before="31"/>
        <w:jc w:val="both"/>
      </w:pPr>
      <w:r>
        <w:rPr>
          <w:spacing w:val="-7"/>
        </w:rPr>
        <w:t>《重大疾病保险的疾病定义使用规范》中规定的重大疾病种类及定义，第 </w:t>
      </w:r>
      <w:r>
        <w:rPr>
          <w:rFonts w:ascii="Times New Roman" w:eastAsia="Times New Roman"/>
        </w:rPr>
        <w:t>26 </w:t>
      </w:r>
      <w:r>
        <w:rPr>
          <w:spacing w:val="-12"/>
        </w:rPr>
        <w:t>种至第 </w:t>
      </w:r>
      <w:r>
        <w:rPr>
          <w:rFonts w:ascii="Times New Roman" w:eastAsia="Times New Roman"/>
        </w:rPr>
        <w:t>35 </w:t>
      </w:r>
      <w:r>
        <w:rPr>
          <w:spacing w:val="-3"/>
        </w:rPr>
        <w:t>种为本公司自行增</w:t>
      </w:r>
    </w:p>
    <w:p>
      <w:pPr>
        <w:pStyle w:val="BodyText"/>
        <w:spacing w:before="31"/>
        <w:jc w:val="both"/>
      </w:pPr>
      <w:r>
        <w:rPr/>
        <w:t>加的 </w:t>
      </w:r>
      <w:r>
        <w:rPr>
          <w:rFonts w:ascii="Times New Roman" w:eastAsia="Times New Roman"/>
        </w:rPr>
        <w:t>10 </w:t>
      </w:r>
      <w:r>
        <w:rPr/>
        <w:t>种重大疾病。</w:t>
      </w:r>
    </w:p>
    <w:p>
      <w:pPr>
        <w:pStyle w:val="BodyText"/>
        <w:spacing w:before="9"/>
        <w:ind w:left="0"/>
        <w:rPr>
          <w:sz w:val="20"/>
        </w:rPr>
      </w:pPr>
    </w:p>
    <w:p>
      <w:pPr>
        <w:pStyle w:val="BodyText"/>
        <w:spacing w:line="276" w:lineRule="auto"/>
        <w:ind w:right="1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5"/>
        <w:ind w:left="0"/>
        <w:rPr>
          <w:sz w:val="19"/>
        </w:rPr>
      </w:pPr>
    </w:p>
    <w:p>
      <w:pPr>
        <w:pStyle w:val="BodyText"/>
        <w:spacing w:line="280" w:lineRule="auto" w:before="1"/>
        <w:ind w:right="102"/>
      </w:pPr>
      <w:r>
        <w:rPr>
          <w:spacing w:val="-7"/>
        </w:rPr>
        <w:t>本附加合同所指的重大疾病为符合下列定义的疾病、疾病状态或手术。被保险人发生符合以下疾病定义所</w:t>
      </w:r>
      <w:r>
        <w:rPr>
          <w:spacing w:val="-6"/>
        </w:rPr>
        <w:t>述条件的重大疾病，应当由医疗机构的专科医生明确诊断。</w:t>
      </w:r>
    </w:p>
    <w:p>
      <w:pPr>
        <w:pStyle w:val="BodyText"/>
        <w:spacing w:before="12"/>
        <w:ind w:left="0"/>
        <w:rPr>
          <w:sz w:val="19"/>
        </w:rPr>
      </w:pPr>
    </w:p>
    <w:p>
      <w:pPr>
        <w:pStyle w:val="BodyText"/>
      </w:pPr>
      <w:r>
        <w:rPr>
          <w:rFonts w:ascii="Times New Roman" w:eastAsia="Times New Roman"/>
        </w:rPr>
        <w:t>1</w:t>
      </w:r>
      <w:r>
        <w:rPr/>
        <w:t>、 恶性肿瘤</w:t>
      </w:r>
    </w:p>
    <w:p>
      <w:pPr>
        <w:pStyle w:val="BodyText"/>
        <w:spacing w:line="321" w:lineRule="auto" w:before="73"/>
        <w:ind w:right="1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Heading1"/>
        <w:spacing w:line="294" w:lineRule="exact"/>
        <w:jc w:val="both"/>
      </w:pPr>
      <w:r>
        <w:rPr/>
        <w:t>下列疾病不在保障范围内：</w:t>
      </w:r>
    </w:p>
    <w:p>
      <w:pPr>
        <w:spacing w:line="365" w:lineRule="exact" w:before="0"/>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1</w:t>
      </w:r>
      <w:r>
        <w:rPr>
          <w:rFonts w:ascii="Microsoft JhengHei" w:eastAsia="Microsoft JhengHei" w:hint="eastAsia"/>
          <w:b/>
          <w:sz w:val="21"/>
        </w:rPr>
        <w:t>）原位癌；</w:t>
      </w:r>
    </w:p>
    <w:p>
      <w:pPr>
        <w:spacing w:line="365" w:lineRule="exact" w:before="0"/>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）相当于 </w:t>
      </w:r>
      <w:r>
        <w:rPr>
          <w:rFonts w:ascii="Times New Roman" w:eastAsia="Times New Roman"/>
          <w:b/>
          <w:sz w:val="21"/>
        </w:rPr>
        <w:t>Binet </w:t>
      </w:r>
      <w:r>
        <w:rPr>
          <w:rFonts w:ascii="Microsoft JhengHei" w:eastAsia="Microsoft JhengHei" w:hint="eastAsia"/>
          <w:b/>
          <w:sz w:val="21"/>
        </w:rPr>
        <w:t>分期方案 </w:t>
      </w:r>
      <w:r>
        <w:rPr>
          <w:rFonts w:ascii="Times New Roman" w:eastAsia="Times New Roman"/>
          <w:b/>
          <w:sz w:val="21"/>
        </w:rPr>
        <w:t>A </w:t>
      </w:r>
      <w:r>
        <w:rPr>
          <w:rFonts w:ascii="Microsoft JhengHei" w:eastAsia="Microsoft JhengHei" w:hint="eastAsia"/>
          <w:b/>
          <w:sz w:val="21"/>
        </w:rPr>
        <w:t>期程度的慢性淋巴细胞白血病；</w:t>
      </w:r>
    </w:p>
    <w:p>
      <w:pPr>
        <w:spacing w:line="365" w:lineRule="exact" w:before="0"/>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）相当于 </w:t>
      </w:r>
      <w:r>
        <w:rPr>
          <w:rFonts w:ascii="Times New Roman" w:eastAsia="Times New Roman"/>
          <w:b/>
          <w:sz w:val="21"/>
        </w:rPr>
        <w:t>AnnArbor </w:t>
      </w:r>
      <w:r>
        <w:rPr>
          <w:rFonts w:ascii="Microsoft JhengHei" w:eastAsia="Microsoft JhengHei" w:hint="eastAsia"/>
          <w:b/>
          <w:sz w:val="21"/>
        </w:rPr>
        <w:t>分期方案 </w:t>
      </w:r>
      <w:r>
        <w:rPr>
          <w:rFonts w:ascii="Times New Roman" w:eastAsia="Times New Roman"/>
          <w:b/>
          <w:sz w:val="21"/>
        </w:rPr>
        <w:t>I </w:t>
      </w:r>
      <w:r>
        <w:rPr>
          <w:rFonts w:ascii="Microsoft JhengHei" w:eastAsia="Microsoft JhengHei" w:hint="eastAsia"/>
          <w:b/>
          <w:sz w:val="21"/>
        </w:rPr>
        <w:t>期程度的何杰金氏病；</w:t>
      </w:r>
    </w:p>
    <w:p>
      <w:pPr>
        <w:spacing w:line="365" w:lineRule="exact" w:before="3"/>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）皮肤癌（不包括恶性黑色素瘤及已发生转移的皮肤癌）；</w:t>
      </w:r>
    </w:p>
    <w:p>
      <w:pPr>
        <w:spacing w:line="365" w:lineRule="exact" w:before="0"/>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5</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rFonts w:ascii="Microsoft JhengHei" w:eastAsia="Microsoft JhengHei" w:hint="eastAsia"/>
          <w:b/>
          <w:sz w:val="21"/>
          <w:vertAlign w:val="baseline"/>
        </w:rPr>
        <w:t>期或更轻分期的前列腺癌；</w:t>
      </w:r>
    </w:p>
    <w:p>
      <w:pPr>
        <w:spacing w:line="365" w:lineRule="exact" w:before="0"/>
        <w:ind w:left="113" w:right="0" w:firstLine="0"/>
        <w:jc w:val="both"/>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6</w:t>
      </w:r>
      <w:r>
        <w:rPr>
          <w:rFonts w:ascii="Microsoft JhengHei" w:eastAsia="Microsoft JhengHei" w:hint="eastAsia"/>
          <w:b/>
          <w:sz w:val="21"/>
        </w:rPr>
        <w:t>）感染艾滋病病毒或患艾滋病期间所患恶性肿瘤。</w:t>
      </w:r>
    </w:p>
    <w:p>
      <w:pPr>
        <w:pStyle w:val="BodyText"/>
        <w:spacing w:before="14"/>
        <w:ind w:left="0"/>
        <w:rPr>
          <w:rFonts w:ascii="Microsoft JhengHei"/>
          <w:b/>
          <w:sz w:val="17"/>
        </w:rPr>
      </w:pPr>
    </w:p>
    <w:p>
      <w:pPr>
        <w:pStyle w:val="BodyText"/>
        <w:jc w:val="both"/>
      </w:pPr>
      <w:r>
        <w:rPr>
          <w:rFonts w:ascii="Times New Roman" w:eastAsia="Times New Roman"/>
        </w:rPr>
        <w:t>2</w:t>
      </w:r>
      <w:r>
        <w:rPr/>
        <w:t>、 急性心肌梗塞</w:t>
      </w:r>
    </w:p>
    <w:p>
      <w:pPr>
        <w:pStyle w:val="BodyText"/>
        <w:spacing w:line="319" w:lineRule="auto" w:before="74"/>
        <w:ind w:right="3864"/>
      </w:pPr>
      <w:r>
        <w:rPr/>
        <w:t>指因冠状动脉阻塞导致的相应区域供血不足造成部分心肌坏死。须满足下列至少三项条件：</w:t>
      </w:r>
    </w:p>
    <w:p>
      <w:pPr>
        <w:pStyle w:val="BodyText"/>
        <w:spacing w:before="20"/>
        <w:jc w:val="both"/>
      </w:pPr>
      <w:r>
        <w:rPr/>
        <w:t>（</w:t>
      </w:r>
      <w:r>
        <w:rPr>
          <w:rFonts w:ascii="Times New Roman" w:eastAsia="Times New Roman"/>
        </w:rPr>
        <w:t>1</w:t>
      </w:r>
      <w:r>
        <w:rPr/>
        <w:t>）典型临床表现，例如急性胸痛等；</w:t>
      </w:r>
    </w:p>
    <w:p>
      <w:pPr>
        <w:pStyle w:val="BodyText"/>
        <w:spacing w:before="78"/>
        <w:jc w:val="both"/>
      </w:pPr>
      <w:r>
        <w:rPr/>
        <w:t>（</w:t>
      </w:r>
      <w:r>
        <w:rPr>
          <w:rFonts w:ascii="Times New Roman" w:eastAsia="Times New Roman"/>
        </w:rPr>
        <w:t>2</w:t>
      </w:r>
      <w:r>
        <w:rPr/>
        <w:t>）新近的心电图改变提示急性心肌梗塞；</w:t>
      </w:r>
    </w:p>
    <w:p>
      <w:pPr>
        <w:pStyle w:val="BodyText"/>
        <w:spacing w:before="73"/>
        <w:jc w:val="both"/>
      </w:pPr>
      <w:r>
        <w:rPr/>
        <w:t>（</w:t>
      </w:r>
      <w:r>
        <w:rPr>
          <w:rFonts w:ascii="Times New Roman" w:eastAsia="Times New Roman"/>
        </w:rPr>
        <w:t>3</w:t>
      </w:r>
      <w:r>
        <w:rPr/>
        <w:t>）心肌酶或肌钙蛋白有诊断意义的升高，或呈符合急性心肌梗塞的动态性变化；</w:t>
      </w:r>
    </w:p>
    <w:p>
      <w:pPr>
        <w:pStyle w:val="BodyText"/>
        <w:spacing w:before="74"/>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jc w:val="both"/>
        <w:sectPr>
          <w:pgSz w:w="11910" w:h="16840"/>
          <w:pgMar w:header="0" w:footer="496" w:top="780" w:bottom="760" w:left="1020" w:right="1020"/>
        </w:sectPr>
      </w:pPr>
    </w:p>
    <w:p>
      <w:pPr>
        <w:pStyle w:val="BodyText"/>
        <w:spacing w:before="70"/>
      </w:pPr>
      <w:r>
        <w:rPr>
          <w:rFonts w:ascii="Times New Roman" w:eastAsia="Times New Roman"/>
        </w:rPr>
        <w:t>3</w:t>
      </w:r>
      <w:r>
        <w:rPr/>
        <w:t>、 脑中风后遗症</w:t>
      </w:r>
    </w:p>
    <w:p>
      <w:pPr>
        <w:pStyle w:val="BodyText"/>
        <w:spacing w:line="319" w:lineRule="auto" w:before="78"/>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96"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5"/>
          <w:w w:val="100"/>
          <w:sz w:val="21"/>
        </w:rPr>
        <w:t>）</w:t>
      </w:r>
      <w:r>
        <w:rPr>
          <w:w w:val="100"/>
          <w:sz w:val="21"/>
        </w:rPr>
        <w:t>；</w:t>
      </w:r>
    </w:p>
    <w:p>
      <w:pPr>
        <w:pStyle w:val="Heading1"/>
        <w:spacing w:line="365"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spacing w:val="-2"/>
          <w:w w:val="100"/>
        </w:rPr>
        <w:t>语言能力或咀嚼吞咽能力完全丧失</w:t>
      </w:r>
      <w:r>
        <w:rPr>
          <w:spacing w:val="-5"/>
          <w:w w:val="100"/>
        </w:rPr>
        <w:t>（</w:t>
      </w:r>
      <w:r>
        <w:rPr>
          <w:w w:val="100"/>
        </w:rPr>
        <w:t>见释义</w:t>
      </w:r>
      <w:r>
        <w:rPr>
          <w:spacing w:val="-104"/>
          <w:w w:val="100"/>
        </w:rPr>
        <w:t>）</w:t>
      </w:r>
      <w:r>
        <w:rPr>
          <w:rFonts w:ascii="宋体" w:eastAsia="宋体" w:hint="eastAsia"/>
          <w:b w:val="0"/>
          <w:w w:val="100"/>
        </w:rPr>
        <w:t>；</w:t>
      </w:r>
    </w:p>
    <w:p>
      <w:pPr>
        <w:spacing w:line="365"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六项基本日常生活（见释义）</w:t>
      </w:r>
      <w:r>
        <w:rPr>
          <w:sz w:val="21"/>
        </w:rPr>
        <w:t>活动中的三项或三项以上。</w:t>
      </w:r>
    </w:p>
    <w:p>
      <w:pPr>
        <w:pStyle w:val="BodyText"/>
        <w:spacing w:before="10"/>
        <w:ind w:left="0"/>
        <w:rPr>
          <w:sz w:val="23"/>
        </w:rPr>
      </w:pPr>
    </w:p>
    <w:p>
      <w:pPr>
        <w:pStyle w:val="BodyText"/>
      </w:pPr>
      <w:r>
        <w:rPr>
          <w:rFonts w:ascii="Times New Roman" w:eastAsia="Times New Roman"/>
        </w:rPr>
        <w:t>4</w:t>
      </w:r>
      <w:r>
        <w:rPr/>
        <w:t>、 重大器官移植术或造血干细胞移植术</w:t>
      </w:r>
    </w:p>
    <w:p>
      <w:pPr>
        <w:pStyle w:val="BodyText"/>
        <w:spacing w:before="73"/>
      </w:pPr>
      <w:r>
        <w:rPr/>
        <w:t>重大器官移植术，指因相应器官功能衰竭，已经实施了肾脏、肝脏、心脏或肺脏的异体移植手术。</w:t>
      </w:r>
    </w:p>
    <w:p>
      <w:pPr>
        <w:pStyle w:val="BodyText"/>
        <w:spacing w:line="321" w:lineRule="auto" w:before="89"/>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9"/>
        <w:ind w:left="0"/>
        <w:rPr>
          <w:sz w:val="19"/>
        </w:rPr>
      </w:pPr>
    </w:p>
    <w:p>
      <w:pPr>
        <w:pStyle w:val="BodyText"/>
      </w:pPr>
      <w:r>
        <w:rPr>
          <w:rFonts w:ascii="Times New Roman" w:eastAsia="Times New Roman"/>
        </w:rPr>
        <w:t>5</w:t>
      </w:r>
      <w:r>
        <w:rPr/>
        <w:t>、 冠状动脉搭桥术（或称冠状动脉旁路移植术）</w:t>
      </w:r>
    </w:p>
    <w:p>
      <w:pPr>
        <w:pStyle w:val="BodyText"/>
        <w:spacing w:before="74"/>
      </w:pPr>
      <w:r>
        <w:rPr/>
        <w:t>指为治疗严重的冠心病，实际实施了开胸进行的冠状动脉血管旁路移植的手术。</w:t>
      </w:r>
    </w:p>
    <w:p>
      <w:pPr>
        <w:pStyle w:val="Heading1"/>
        <w:spacing w:before="28"/>
        <w:ind w:right="205"/>
      </w:pPr>
      <w:r>
        <w:rPr>
          <w:spacing w:val="-6"/>
        </w:rPr>
        <w:t>冠状动脉支架植入术、心导管球囊扩张术、激光射频技术及其它非开胸的介入手术、腔镜手术不在保障范围内。</w:t>
      </w:r>
    </w:p>
    <w:p>
      <w:pPr>
        <w:pStyle w:val="BodyText"/>
        <w:spacing w:before="9"/>
        <w:ind w:left="0"/>
        <w:rPr>
          <w:rFonts w:ascii="Microsoft JhengHei"/>
          <w:b/>
          <w:sz w:val="17"/>
        </w:rPr>
      </w:pPr>
    </w:p>
    <w:p>
      <w:pPr>
        <w:pStyle w:val="BodyText"/>
      </w:pPr>
      <w:r>
        <w:rPr>
          <w:rFonts w:ascii="Times New Roman" w:eastAsia="Times New Roman"/>
        </w:rPr>
        <w:t>6</w:t>
      </w:r>
      <w:r>
        <w:rPr/>
        <w:t>、 终末期肾病（或称慢性肾功能衰竭尿毒症期）</w:t>
      </w:r>
    </w:p>
    <w:p>
      <w:pPr>
        <w:pStyle w:val="BodyText"/>
        <w:spacing w:line="300" w:lineRule="auto" w:before="78"/>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
        <w:ind w:left="0"/>
      </w:pPr>
    </w:p>
    <w:p>
      <w:pPr>
        <w:pStyle w:val="BodyText"/>
        <w:spacing w:before="1"/>
      </w:pPr>
      <w:r>
        <w:rPr>
          <w:rFonts w:ascii="Times New Roman" w:eastAsia="Times New Roman"/>
        </w:rPr>
        <w:t>7</w:t>
      </w:r>
      <w:r>
        <w:rPr/>
        <w:t>、 多个肢体缺失</w:t>
      </w:r>
    </w:p>
    <w:p>
      <w:pPr>
        <w:pStyle w:val="BodyText"/>
        <w:spacing w:before="74"/>
      </w:pPr>
      <w:r>
        <w:rPr/>
        <w:t>指因疾病或意外伤害导致两个或两个以上肢体自腕关节或踝关节近端（靠近躯干端）以上完全性断离。</w:t>
      </w:r>
    </w:p>
    <w:p>
      <w:pPr>
        <w:pStyle w:val="BodyText"/>
        <w:spacing w:before="7"/>
        <w:ind w:left="0"/>
        <w:rPr>
          <w:sz w:val="25"/>
        </w:rPr>
      </w:pPr>
    </w:p>
    <w:p>
      <w:pPr>
        <w:pStyle w:val="BodyText"/>
        <w:spacing w:before="1"/>
      </w:pPr>
      <w:r>
        <w:rPr>
          <w:rFonts w:ascii="Times New Roman" w:eastAsia="Times New Roman"/>
        </w:rPr>
        <w:t>8</w:t>
      </w:r>
      <w:r>
        <w:rPr/>
        <w:t>、 急性或亚急性重症肝炎</w:t>
      </w:r>
    </w:p>
    <w:p>
      <w:pPr>
        <w:pStyle w:val="BodyText"/>
        <w:spacing w:line="319" w:lineRule="auto" w:before="74"/>
        <w:ind w:right="205"/>
      </w:pPr>
      <w:r>
        <w:rPr>
          <w:spacing w:val="-7"/>
        </w:rPr>
        <w:t>指因肝炎病毒感染引起肝脏组织弥漫性坏死，导致急性肝功能衰竭，且经血清学或病毒学检查证实，并须</w:t>
      </w:r>
      <w:r>
        <w:rPr>
          <w:spacing w:val="-6"/>
        </w:rPr>
        <w:t>满足下列全部条件：</w:t>
      </w:r>
    </w:p>
    <w:p>
      <w:pPr>
        <w:pStyle w:val="BodyText"/>
        <w:spacing w:before="25"/>
      </w:pPr>
      <w:r>
        <w:rPr/>
        <w:t>（</w:t>
      </w:r>
      <w:r>
        <w:rPr>
          <w:rFonts w:ascii="Times New Roman" w:eastAsia="Times New Roman"/>
        </w:rPr>
        <w:t>1</w:t>
      </w:r>
      <w:r>
        <w:rPr/>
        <w:t>）重度黄疸或黄疸迅速加重；</w:t>
      </w:r>
    </w:p>
    <w:p>
      <w:pPr>
        <w:pStyle w:val="BodyText"/>
        <w:spacing w:before="74"/>
      </w:pPr>
      <w:r>
        <w:rPr/>
        <w:t>（</w:t>
      </w:r>
      <w:r>
        <w:rPr>
          <w:rFonts w:ascii="Times New Roman" w:eastAsia="Times New Roman"/>
        </w:rPr>
        <w:t>2</w:t>
      </w:r>
      <w:r>
        <w:rPr/>
        <w:t>）肝性脑病；</w:t>
      </w:r>
    </w:p>
    <w:p>
      <w:pPr>
        <w:pStyle w:val="BodyText"/>
        <w:spacing w:before="73"/>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73"/>
      </w:pPr>
      <w:r>
        <w:rPr/>
        <w:t>（</w:t>
      </w:r>
      <w:r>
        <w:rPr>
          <w:rFonts w:ascii="Times New Roman" w:eastAsia="Times New Roman"/>
        </w:rPr>
        <w:t>4</w:t>
      </w:r>
      <w:r>
        <w:rPr/>
        <w:t>）肝功能指标进行性恶化。</w:t>
      </w:r>
    </w:p>
    <w:p>
      <w:pPr>
        <w:pStyle w:val="BodyText"/>
        <w:spacing w:before="4"/>
        <w:ind w:left="0"/>
        <w:rPr>
          <w:sz w:val="24"/>
        </w:rPr>
      </w:pPr>
    </w:p>
    <w:p>
      <w:pPr>
        <w:pStyle w:val="BodyText"/>
      </w:pPr>
      <w:r>
        <w:rPr>
          <w:rFonts w:ascii="Times New Roman" w:eastAsia="Times New Roman"/>
        </w:rPr>
        <w:t>9</w:t>
      </w:r>
      <w:r>
        <w:rPr/>
        <w:t>、 良性脑肿瘤</w:t>
      </w:r>
    </w:p>
    <w:p>
      <w:pPr>
        <w:pStyle w:val="BodyText"/>
        <w:spacing w:line="312" w:lineRule="auto" w:before="74"/>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27"/>
      </w:pPr>
      <w:r>
        <w:rPr/>
        <w:t>（</w:t>
      </w:r>
      <w:r>
        <w:rPr>
          <w:rFonts w:ascii="Times New Roman" w:eastAsia="Times New Roman"/>
        </w:rPr>
        <w:t>1</w:t>
      </w:r>
      <w:r>
        <w:rPr/>
        <w:t>）实际实施了开颅进行的脑肿瘤完全切除或部分切除的手术；</w:t>
      </w:r>
    </w:p>
    <w:p>
      <w:pPr>
        <w:pStyle w:val="BodyText"/>
        <w:spacing w:before="74"/>
      </w:pPr>
      <w:r>
        <w:rPr/>
        <w:t>（</w:t>
      </w:r>
      <w:r>
        <w:rPr>
          <w:rFonts w:ascii="Times New Roman" w:eastAsia="Times New Roman"/>
        </w:rPr>
        <w:t>2</w:t>
      </w:r>
      <w:r>
        <w:rPr/>
        <w:t>）实际实施了对脑肿瘤进行的放射治疗。</w:t>
      </w:r>
    </w:p>
    <w:p>
      <w:pPr>
        <w:pStyle w:val="Heading1"/>
        <w:spacing w:before="6"/>
      </w:pPr>
      <w:r>
        <w:rPr/>
        <w:t>脑垂体瘤、脑囊肿、脑血管性疾病不在保障范围内。</w:t>
      </w:r>
    </w:p>
    <w:p>
      <w:pPr>
        <w:pStyle w:val="BodyText"/>
        <w:spacing w:before="14"/>
        <w:ind w:left="0"/>
        <w:rPr>
          <w:rFonts w:ascii="Microsoft JhengHei"/>
          <w:b/>
          <w:sz w:val="17"/>
        </w:rPr>
      </w:pPr>
    </w:p>
    <w:p>
      <w:pPr>
        <w:pStyle w:val="BodyText"/>
      </w:pPr>
      <w:r>
        <w:rPr>
          <w:rFonts w:ascii="Times New Roman" w:eastAsia="Times New Roman"/>
        </w:rPr>
        <w:t>10</w:t>
      </w:r>
      <w:r>
        <w:rPr/>
        <w:t>、慢性肝功能衰竭失代偿期</w:t>
      </w:r>
    </w:p>
    <w:p>
      <w:pPr>
        <w:pStyle w:val="BodyText"/>
        <w:spacing w:before="73"/>
      </w:pPr>
      <w:r>
        <w:rPr/>
        <w:t>指因慢性肝脏疾病导致肝功能衰竭。须满足下列全部条件：</w:t>
      </w:r>
    </w:p>
    <w:p>
      <w:pPr>
        <w:pStyle w:val="BodyText"/>
        <w:spacing w:before="89"/>
      </w:pPr>
      <w:r>
        <w:rPr/>
        <w:t>（</w:t>
      </w:r>
      <w:r>
        <w:rPr>
          <w:rFonts w:ascii="Times New Roman" w:eastAsia="Times New Roman"/>
        </w:rPr>
        <w:t>1</w:t>
      </w:r>
      <w:r>
        <w:rPr/>
        <w:t>）持续性黄疸；</w:t>
      </w:r>
    </w:p>
    <w:p>
      <w:pPr>
        <w:spacing w:after="0"/>
        <w:sectPr>
          <w:pgSz w:w="11910" w:h="16840"/>
          <w:pgMar w:header="0" w:footer="496" w:top="780" w:bottom="760" w:left="1020" w:right="920"/>
        </w:sectPr>
      </w:pPr>
    </w:p>
    <w:p>
      <w:pPr>
        <w:pStyle w:val="BodyText"/>
        <w:spacing w:before="70"/>
      </w:pPr>
      <w:r>
        <w:rPr/>
        <w:t>（</w:t>
      </w:r>
      <w:r>
        <w:rPr>
          <w:rFonts w:ascii="Times New Roman" w:eastAsia="Times New Roman"/>
        </w:rPr>
        <w:t>2</w:t>
      </w:r>
      <w:r>
        <w:rPr/>
        <w:t>）腹水；</w:t>
      </w:r>
    </w:p>
    <w:p>
      <w:pPr>
        <w:pStyle w:val="BodyText"/>
        <w:spacing w:before="78"/>
      </w:pPr>
      <w:r>
        <w:rPr/>
        <w:t>（</w:t>
      </w:r>
      <w:r>
        <w:rPr>
          <w:rFonts w:ascii="Times New Roman" w:eastAsia="Times New Roman"/>
        </w:rPr>
        <w:t>3</w:t>
      </w:r>
      <w:r>
        <w:rPr/>
        <w:t>）肝性脑病；</w:t>
      </w:r>
    </w:p>
    <w:p>
      <w:pPr>
        <w:spacing w:line="247" w:lineRule="auto" w:before="73"/>
        <w:ind w:left="113" w:right="4723" w:firstLine="0"/>
        <w:jc w:val="left"/>
        <w:rPr>
          <w:rFonts w:ascii="Microsoft JhengHei" w:eastAsia="Microsoft JhengHei" w:hint="eastAsia"/>
          <w:b/>
          <w:sz w:val="21"/>
        </w:rPr>
      </w:pPr>
      <w:r>
        <w:rPr>
          <w:sz w:val="21"/>
        </w:rPr>
        <w:t>（</w:t>
      </w:r>
      <w:r>
        <w:rPr>
          <w:rFonts w:ascii="Times New Roman" w:eastAsia="Times New Roman"/>
          <w:sz w:val="21"/>
        </w:rPr>
        <w:t>4</w:t>
      </w:r>
      <w:r>
        <w:rPr>
          <w:sz w:val="21"/>
        </w:rPr>
        <w:t>）充血性脾肿大伴脾功能亢进或食管胃底静脉曲张。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before="1"/>
        <w:ind w:left="0"/>
        <w:rPr>
          <w:rFonts w:ascii="Microsoft JhengHei"/>
          <w:b/>
          <w:sz w:val="17"/>
        </w:rPr>
      </w:pPr>
    </w:p>
    <w:p>
      <w:pPr>
        <w:pStyle w:val="BodyText"/>
        <w:spacing w:before="1"/>
      </w:pPr>
      <w:r>
        <w:rPr>
          <w:rFonts w:ascii="Times New Roman" w:eastAsia="Times New Roman"/>
        </w:rPr>
        <w:t>11</w:t>
      </w:r>
      <w:r>
        <w:rPr/>
        <w:t>、脑炎后遗症或脑膜炎后遗症</w:t>
      </w:r>
    </w:p>
    <w:p>
      <w:pPr>
        <w:pStyle w:val="BodyText"/>
        <w:spacing w:line="300" w:lineRule="auto" w:before="79"/>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37"/>
      </w:pPr>
      <w:r>
        <w:rPr/>
        <w:t>（</w:t>
      </w:r>
      <w:r>
        <w:rPr>
          <w:rFonts w:ascii="Times New Roman" w:eastAsia="Times New Roman"/>
        </w:rPr>
        <w:t>1</w:t>
      </w:r>
      <w:r>
        <w:rPr/>
        <w:t>）一肢或一肢以上肢体机能完全丧失；</w:t>
      </w:r>
    </w:p>
    <w:p>
      <w:pPr>
        <w:pStyle w:val="BodyText"/>
        <w:spacing w:before="74"/>
      </w:pPr>
      <w:r>
        <w:rPr/>
        <w:t>（</w:t>
      </w:r>
      <w:r>
        <w:rPr>
          <w:rFonts w:ascii="Times New Roman" w:eastAsia="Times New Roman"/>
        </w:rPr>
        <w:t>2</w:t>
      </w:r>
      <w:r>
        <w:rPr/>
        <w:t>）语言能力或咀嚼吞咽能力完全丧失；</w:t>
      </w:r>
    </w:p>
    <w:p>
      <w:pPr>
        <w:pStyle w:val="BodyText"/>
        <w:spacing w:before="79"/>
      </w:pPr>
      <w:r>
        <w:rPr/>
        <w:t>（</w:t>
      </w:r>
      <w:r>
        <w:rPr>
          <w:rFonts w:ascii="Times New Roman" w:eastAsia="Times New Roman"/>
        </w:rPr>
        <w:t>3</w:t>
      </w:r>
      <w:r>
        <w:rPr/>
        <w:t>）自主生活能力完全丧失，无法独立完成六项基本日常生活活动中的三项或三项以上。</w:t>
      </w:r>
    </w:p>
    <w:p>
      <w:pPr>
        <w:pStyle w:val="BodyText"/>
        <w:ind w:left="0"/>
        <w:rPr>
          <w:sz w:val="24"/>
        </w:rPr>
      </w:pPr>
    </w:p>
    <w:p>
      <w:pPr>
        <w:pStyle w:val="BodyText"/>
      </w:pPr>
      <w:r>
        <w:rPr>
          <w:rFonts w:ascii="Times New Roman" w:eastAsia="Times New Roman"/>
        </w:rPr>
        <w:t>12</w:t>
      </w:r>
      <w:r>
        <w:rPr/>
        <w:t>、深度昏迷</w:t>
      </w:r>
    </w:p>
    <w:p>
      <w:pPr>
        <w:pStyle w:val="BodyText"/>
        <w:spacing w:before="74"/>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spacing w:line="247" w:lineRule="auto" w:before="79"/>
        <w:ind w:left="113" w:right="116" w:firstLine="0"/>
        <w:jc w:val="left"/>
        <w:rPr>
          <w:rFonts w:ascii="Microsoft JhengHei" w:eastAsia="Microsoft JhengHei" w:hint="eastAsia"/>
          <w:b/>
          <w:sz w:val="21"/>
        </w:rPr>
      </w:pPr>
      <w:r>
        <w:rPr>
          <w:sz w:val="21"/>
        </w:rPr>
        <w:t>（</w:t>
      </w:r>
      <w:r>
        <w:rPr>
          <w:rFonts w:ascii="Times New Roman" w:eastAsia="Times New Roman"/>
          <w:sz w:val="21"/>
        </w:rPr>
        <w:t>Glasgow </w:t>
      </w:r>
      <w:r>
        <w:rPr>
          <w:rFonts w:ascii="Times New Roman" w:eastAsia="Times New Roman"/>
          <w:spacing w:val="-3"/>
          <w:sz w:val="21"/>
        </w:rPr>
        <w:t>coma </w:t>
      </w:r>
      <w:r>
        <w:rPr>
          <w:rFonts w:ascii="Times New Roman" w:eastAsia="Times New Roman"/>
          <w:spacing w:val="-7"/>
          <w:sz w:val="21"/>
        </w:rPr>
        <w:t>scale</w:t>
      </w:r>
      <w:r>
        <w:rPr>
          <w:spacing w:val="-7"/>
          <w:sz w:val="21"/>
        </w:rPr>
        <w:t>）</w:t>
      </w:r>
      <w:r>
        <w:rPr>
          <w:spacing w:val="-12"/>
          <w:sz w:val="21"/>
        </w:rPr>
        <w:t>结果为 </w:t>
      </w:r>
      <w:r>
        <w:rPr>
          <w:rFonts w:ascii="Times New Roman" w:eastAsia="Times New Roman"/>
          <w:sz w:val="21"/>
        </w:rPr>
        <w:t>5 </w:t>
      </w:r>
      <w:r>
        <w:rPr>
          <w:spacing w:val="-16"/>
          <w:sz w:val="21"/>
        </w:rPr>
        <w:t>分或 </w:t>
      </w:r>
      <w:r>
        <w:rPr>
          <w:rFonts w:ascii="Times New Roman" w:eastAsia="Times New Roman"/>
          <w:sz w:val="21"/>
        </w:rPr>
        <w:t>5 </w:t>
      </w:r>
      <w:r>
        <w:rPr>
          <w:spacing w:val="-9"/>
          <w:sz w:val="21"/>
        </w:rPr>
        <w:t>分以下，且已经持续使用呼吸机及其它生命维持系统 </w:t>
      </w:r>
      <w:r>
        <w:rPr>
          <w:rFonts w:ascii="Times New Roman" w:eastAsia="Times New Roman"/>
          <w:sz w:val="21"/>
        </w:rPr>
        <w:t>96 </w:t>
      </w:r>
      <w:r>
        <w:rPr>
          <w:spacing w:val="-2"/>
          <w:sz w:val="21"/>
        </w:rPr>
        <w:t>小时以上。</w:t>
      </w:r>
      <w:r>
        <w:rPr>
          <w:rFonts w:ascii="Microsoft JhengHei" w:eastAsia="Microsoft JhengHei" w:hint="eastAsia"/>
          <w:b/>
          <w:spacing w:val="-5"/>
          <w:sz w:val="21"/>
        </w:rPr>
        <w:t>因酗酒或药物滥用导致的深度昏迷不在保障范围内。</w:t>
      </w:r>
    </w:p>
    <w:p>
      <w:pPr>
        <w:pStyle w:val="BodyText"/>
        <w:spacing w:before="1"/>
        <w:ind w:left="0"/>
        <w:rPr>
          <w:rFonts w:ascii="Microsoft JhengHei"/>
          <w:b/>
          <w:sz w:val="17"/>
        </w:rPr>
      </w:pPr>
    </w:p>
    <w:p>
      <w:pPr>
        <w:pStyle w:val="BodyText"/>
      </w:pPr>
      <w:r>
        <w:rPr>
          <w:rFonts w:ascii="Times New Roman" w:eastAsia="Times New Roman"/>
        </w:rPr>
        <w:t>13</w:t>
      </w:r>
      <w:r>
        <w:rPr/>
        <w:t>、双耳失聪</w:t>
      </w:r>
    </w:p>
    <w:p>
      <w:pPr>
        <w:pStyle w:val="BodyText"/>
        <w:spacing w:before="12"/>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66"/>
      </w:pPr>
      <w:r>
        <w:rPr/>
        <w:t>音频率下，平均听阈大于 </w:t>
      </w:r>
      <w:r>
        <w:rPr>
          <w:rFonts w:ascii="Times New Roman" w:eastAsia="Times New Roman"/>
        </w:rPr>
        <w:t>90 </w:t>
      </w:r>
      <w:r>
        <w:rPr/>
        <w:t>分贝，且经纯音听力测试、声导抗检测或听觉诱发电位检测等证实。</w:t>
      </w:r>
    </w:p>
    <w:p>
      <w:pPr>
        <w:pStyle w:val="BodyText"/>
        <w:ind w:left="0"/>
        <w:rPr>
          <w:sz w:val="24"/>
        </w:rPr>
      </w:pPr>
    </w:p>
    <w:p>
      <w:pPr>
        <w:pStyle w:val="BodyText"/>
      </w:pPr>
      <w:r>
        <w:rPr>
          <w:rFonts w:ascii="Times New Roman" w:eastAsia="Times New Roman"/>
        </w:rPr>
        <w:t>14</w:t>
      </w:r>
      <w:r>
        <w:rPr/>
        <w:t>、双目失明</w:t>
      </w:r>
    </w:p>
    <w:p>
      <w:pPr>
        <w:pStyle w:val="BodyText"/>
        <w:spacing w:before="74"/>
      </w:pPr>
      <w:r>
        <w:rPr/>
        <w:t>指因疾病或意外伤害导致双眼视力永久不可逆性丧失，双眼中较好眼须满足下列至少一项条件：</w:t>
      </w:r>
    </w:p>
    <w:p>
      <w:pPr>
        <w:pStyle w:val="BodyText"/>
        <w:spacing w:before="95"/>
      </w:pPr>
      <w:r>
        <w:rPr/>
        <w:t>（</w:t>
      </w:r>
      <w:r>
        <w:rPr>
          <w:rFonts w:ascii="Times New Roman" w:eastAsia="Times New Roman"/>
        </w:rPr>
        <w:t>1</w:t>
      </w:r>
      <w:r>
        <w:rPr/>
        <w:t>）眼球缺失或摘除；</w:t>
      </w:r>
    </w:p>
    <w:p>
      <w:pPr>
        <w:pStyle w:val="BodyText"/>
        <w:spacing w:before="74"/>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74"/>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
        <w:ind w:left="0"/>
        <w:rPr>
          <w:sz w:val="24"/>
        </w:rPr>
      </w:pPr>
    </w:p>
    <w:p>
      <w:pPr>
        <w:pStyle w:val="BodyText"/>
      </w:pPr>
      <w:r>
        <w:rPr>
          <w:rFonts w:ascii="Times New Roman" w:eastAsia="Times New Roman"/>
        </w:rPr>
        <w:t>15</w:t>
      </w:r>
      <w:r>
        <w:rPr/>
        <w:t>、瘫痪</w:t>
      </w:r>
    </w:p>
    <w:p>
      <w:pPr>
        <w:pStyle w:val="BodyText"/>
        <w:spacing w:before="74"/>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74"/>
      </w:pPr>
      <w:r>
        <w:rPr/>
        <w:t>天后或意外伤害发生 </w:t>
      </w:r>
      <w:r>
        <w:rPr>
          <w:rFonts w:ascii="Times New Roman" w:eastAsia="Times New Roman"/>
        </w:rPr>
        <w:t>180 </w:t>
      </w:r>
      <w:r>
        <w:rPr/>
        <w:t>天后，每肢三大关节中的两大关节仍然完全僵硬，或不能随意识活动。</w:t>
      </w:r>
    </w:p>
    <w:p>
      <w:pPr>
        <w:pStyle w:val="BodyText"/>
        <w:spacing w:before="4"/>
        <w:ind w:left="0"/>
        <w:rPr>
          <w:sz w:val="24"/>
        </w:rPr>
      </w:pPr>
    </w:p>
    <w:p>
      <w:pPr>
        <w:pStyle w:val="BodyText"/>
        <w:spacing w:before="1"/>
      </w:pPr>
      <w:r>
        <w:rPr>
          <w:rFonts w:ascii="Times New Roman" w:eastAsia="Times New Roman"/>
        </w:rPr>
        <w:t>16</w:t>
      </w:r>
      <w:r>
        <w:rPr/>
        <w:t>、心脏瓣膜手术</w:t>
      </w:r>
    </w:p>
    <w:p>
      <w:pPr>
        <w:pStyle w:val="BodyText"/>
        <w:spacing w:before="74"/>
      </w:pPr>
      <w:r>
        <w:rPr/>
        <w:t>指为治疗心脏瓣膜疾病，实际实施了开胸进行的心脏瓣膜置换或修复的手术。</w:t>
      </w:r>
    </w:p>
    <w:p>
      <w:pPr>
        <w:pStyle w:val="BodyText"/>
        <w:spacing w:before="2"/>
        <w:ind w:left="0"/>
        <w:rPr>
          <w:sz w:val="25"/>
        </w:rPr>
      </w:pPr>
    </w:p>
    <w:p>
      <w:pPr>
        <w:pStyle w:val="BodyText"/>
        <w:spacing w:before="1"/>
      </w:pPr>
      <w:r>
        <w:rPr>
          <w:rFonts w:ascii="Times New Roman" w:eastAsia="Times New Roman"/>
        </w:rPr>
        <w:t>17</w:t>
      </w:r>
      <w:r>
        <w:rPr/>
        <w:t>、严重阿尔茨海默病</w:t>
      </w:r>
    </w:p>
    <w:p>
      <w:pPr>
        <w:pStyle w:val="BodyText"/>
        <w:spacing w:line="307" w:lineRule="auto" w:before="79"/>
        <w:ind w:right="224"/>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Heading1"/>
        <w:spacing w:line="335" w:lineRule="exact"/>
      </w:pPr>
      <w:r>
        <w:rPr/>
        <w:t>神经官能症和精神疾病不在保障范围内。</w:t>
      </w:r>
    </w:p>
    <w:p>
      <w:pPr>
        <w:pStyle w:val="BodyText"/>
        <w:spacing w:before="10"/>
        <w:ind w:left="0"/>
        <w:rPr>
          <w:rFonts w:ascii="Microsoft JhengHei"/>
          <w:b/>
          <w:sz w:val="17"/>
        </w:rPr>
      </w:pPr>
    </w:p>
    <w:p>
      <w:pPr>
        <w:pStyle w:val="BodyText"/>
      </w:pPr>
      <w:r>
        <w:rPr>
          <w:rFonts w:ascii="Times New Roman" w:eastAsia="Times New Roman"/>
        </w:rPr>
        <w:t>18</w:t>
      </w:r>
      <w:r>
        <w:rPr/>
        <w:t>、严重脑损伤</w:t>
      </w:r>
    </w:p>
    <w:p>
      <w:pPr>
        <w:pStyle w:val="BodyText"/>
        <w:spacing w:before="74"/>
      </w:pPr>
      <w:r>
        <w:rPr/>
        <w:t>指因头部遭受机械性外力，引起脑重要部位损伤，导致神经系统永久性的功能障碍。须由头颅断层扫描</w:t>
      </w:r>
    </w:p>
    <w:p>
      <w:pPr>
        <w:pStyle w:val="BodyText"/>
        <w:spacing w:before="89"/>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p>
    <w:p>
      <w:pPr>
        <w:spacing w:after="0"/>
        <w:sectPr>
          <w:pgSz w:w="11910" w:h="16840"/>
          <w:pgMar w:header="0" w:footer="496" w:top="780" w:bottom="760" w:left="1020" w:right="900"/>
        </w:sectPr>
      </w:pPr>
    </w:p>
    <w:p>
      <w:pPr>
        <w:pStyle w:val="BodyText"/>
        <w:spacing w:before="70"/>
      </w:pPr>
      <w:r>
        <w:rPr/>
        <w:t>能障碍，指脑损伤 </w:t>
      </w:r>
      <w:r>
        <w:rPr>
          <w:rFonts w:ascii="Times New Roman" w:eastAsia="Times New Roman"/>
        </w:rPr>
        <w:t>180 </w:t>
      </w:r>
      <w:r>
        <w:rPr/>
        <w:t>天后，仍遗留下列一种或一种以上障碍：</w:t>
      </w:r>
    </w:p>
    <w:p>
      <w:pPr>
        <w:pStyle w:val="BodyText"/>
        <w:spacing w:before="78"/>
      </w:pPr>
      <w:r>
        <w:rPr/>
        <w:t>（</w:t>
      </w:r>
      <w:r>
        <w:rPr>
          <w:rFonts w:ascii="Times New Roman" w:eastAsia="Times New Roman"/>
        </w:rPr>
        <w:t>1</w:t>
      </w:r>
      <w:r>
        <w:rPr/>
        <w:t>）一肢或一肢以上肢体机能完全丧失；</w:t>
      </w:r>
    </w:p>
    <w:p>
      <w:pPr>
        <w:pStyle w:val="BodyText"/>
        <w:spacing w:before="73"/>
      </w:pPr>
      <w:r>
        <w:rPr/>
        <w:t>（</w:t>
      </w:r>
      <w:r>
        <w:rPr>
          <w:rFonts w:ascii="Times New Roman" w:eastAsia="Times New Roman"/>
        </w:rPr>
        <w:t>2</w:t>
      </w:r>
      <w:r>
        <w:rPr/>
        <w:t>）语言能力或咀嚼吞咽能力完全丧失；</w:t>
      </w:r>
    </w:p>
    <w:p>
      <w:pPr>
        <w:pStyle w:val="BodyText"/>
        <w:spacing w:before="73"/>
      </w:pPr>
      <w:r>
        <w:rPr/>
        <w:t>（</w:t>
      </w:r>
      <w:r>
        <w:rPr>
          <w:rFonts w:ascii="Times New Roman" w:eastAsia="Times New Roman"/>
        </w:rPr>
        <w:t>3</w:t>
      </w:r>
      <w:r>
        <w:rPr/>
        <w:t>）自主生活能力完全丧失，无法独立完成六项基本日常生活活动中的三项或三项以上。</w:t>
      </w:r>
    </w:p>
    <w:p>
      <w:pPr>
        <w:pStyle w:val="BodyText"/>
        <w:ind w:left="0"/>
        <w:rPr>
          <w:sz w:val="24"/>
        </w:rPr>
      </w:pPr>
    </w:p>
    <w:p>
      <w:pPr>
        <w:pStyle w:val="BodyText"/>
      </w:pPr>
      <w:r>
        <w:rPr>
          <w:rFonts w:ascii="Times New Roman" w:eastAsia="Times New Roman"/>
        </w:rPr>
        <w:t>19</w:t>
      </w:r>
      <w:r>
        <w:rPr/>
        <w:t>、严重帕金森病</w:t>
      </w:r>
    </w:p>
    <w:p>
      <w:pPr>
        <w:pStyle w:val="BodyText"/>
        <w:spacing w:before="79"/>
      </w:pPr>
      <w:r>
        <w:rPr/>
        <w:t>是一种中枢神经系统的退行性疾病，临床表现为震颤麻痹、共济失调等。须满足下列全部条件：</w:t>
      </w:r>
    </w:p>
    <w:p>
      <w:pPr>
        <w:pStyle w:val="BodyText"/>
        <w:spacing w:before="90"/>
      </w:pPr>
      <w:r>
        <w:rPr/>
        <w:t>（</w:t>
      </w:r>
      <w:r>
        <w:rPr>
          <w:rFonts w:ascii="Times New Roman" w:eastAsia="Times New Roman"/>
        </w:rPr>
        <w:t>1</w:t>
      </w:r>
      <w:r>
        <w:rPr/>
        <w:t>）药物治疗无法控制病情；</w:t>
      </w:r>
    </w:p>
    <w:p>
      <w:pPr>
        <w:spacing w:line="247" w:lineRule="auto" w:before="74"/>
        <w:ind w:left="113" w:right="1570" w:firstLine="0"/>
        <w:jc w:val="left"/>
        <w:rPr>
          <w:rFonts w:ascii="Microsoft JhengHei" w:eastAsia="Microsoft JhengHei" w:hint="eastAsia"/>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before="6"/>
        <w:ind w:left="0"/>
        <w:rPr>
          <w:rFonts w:ascii="Microsoft JhengHei"/>
          <w:b/>
          <w:sz w:val="17"/>
        </w:rPr>
      </w:pPr>
    </w:p>
    <w:p>
      <w:pPr>
        <w:pStyle w:val="BodyText"/>
      </w:pPr>
      <w:r>
        <w:rPr>
          <w:rFonts w:ascii="Times New Roman" w:hAnsi="Times New Roman" w:eastAsia="Times New Roman"/>
        </w:rPr>
        <w:t>20</w:t>
      </w:r>
      <w:r>
        <w:rPr/>
        <w:t>、严重Ⅲ度烧伤</w:t>
      </w:r>
    </w:p>
    <w:p>
      <w:pPr>
        <w:pStyle w:val="BodyText"/>
        <w:spacing w:line="300" w:lineRule="auto" w:before="73"/>
        <w:ind w:right="309"/>
      </w:pPr>
      <w:r>
        <w:rPr>
          <w:spacing w:val="-6"/>
        </w:rPr>
        <w:t>指烧伤程度为Ⅲ度，且Ⅲ度烧伤的面积达到全身体表面积的 </w:t>
      </w:r>
      <w:r>
        <w:rPr>
          <w:rFonts w:ascii="Times New Roman" w:hAnsi="Times New Roman" w:eastAsia="Times New Roman"/>
        </w:rPr>
        <w:t>20</w:t>
      </w:r>
      <w:r>
        <w:rPr>
          <w:spacing w:val="-11"/>
        </w:rPr>
        <w:t>％或 </w:t>
      </w:r>
      <w:r>
        <w:rPr>
          <w:rFonts w:ascii="Times New Roman" w:hAnsi="Times New Roman" w:eastAsia="Times New Roman"/>
        </w:rPr>
        <w:t>20</w:t>
      </w:r>
      <w:r>
        <w:rPr>
          <w:spacing w:val="-5"/>
        </w:rPr>
        <w:t>％以上。体表面积根据《中国新九分法》计算。</w:t>
      </w:r>
    </w:p>
    <w:p>
      <w:pPr>
        <w:pStyle w:val="BodyText"/>
        <w:spacing w:before="7"/>
        <w:ind w:left="0"/>
      </w:pPr>
    </w:p>
    <w:p>
      <w:pPr>
        <w:pStyle w:val="BodyText"/>
      </w:pPr>
      <w:r>
        <w:rPr>
          <w:rFonts w:ascii="Times New Roman" w:eastAsia="Times New Roman"/>
        </w:rPr>
        <w:t>21</w:t>
      </w:r>
      <w:r>
        <w:rPr/>
        <w:t>、严重原发性肺动脉高压</w:t>
      </w:r>
    </w:p>
    <w:p>
      <w:pPr>
        <w:pStyle w:val="BodyText"/>
        <w:spacing w:line="319" w:lineRule="auto" w:before="73"/>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42"/>
      </w:pPr>
      <w:r>
        <w:rPr>
          <w:rFonts w:ascii="Times New Roman" w:eastAsia="Times New Roman"/>
        </w:rPr>
        <w:t>22</w:t>
      </w:r>
      <w:r>
        <w:rPr/>
        <w:t>、严重运动神经元病</w:t>
      </w:r>
    </w:p>
    <w:p>
      <w:pPr>
        <w:pStyle w:val="BodyText"/>
        <w:spacing w:line="319" w:lineRule="auto" w:before="74"/>
        <w:ind w:right="225"/>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4"/>
        <w:ind w:left="0"/>
        <w:rPr>
          <w:sz w:val="20"/>
        </w:rPr>
      </w:pPr>
    </w:p>
    <w:p>
      <w:pPr>
        <w:pStyle w:val="BodyText"/>
      </w:pPr>
      <w:r>
        <w:rPr>
          <w:rFonts w:ascii="Times New Roman" w:eastAsia="Times New Roman"/>
        </w:rPr>
        <w:t>23</w:t>
      </w:r>
      <w:r>
        <w:rPr/>
        <w:t>、语言能力丧失</w:t>
      </w:r>
    </w:p>
    <w:p>
      <w:pPr>
        <w:pStyle w:val="BodyText"/>
        <w:spacing w:line="300" w:lineRule="auto" w:before="74"/>
        <w:ind w:right="117"/>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6"/>
          <w:w w:val="100"/>
        </w:rPr>
        <w:t>）</w:t>
      </w:r>
      <w:r>
        <w:rPr>
          <w:w w:val="100"/>
        </w:rPr>
        <w:t>，</w:t>
      </w:r>
      <w:r>
        <w:rPr>
          <w:spacing w:val="-3"/>
        </w:rPr>
        <w:t>仍无法通过现有医疗手段恢复。</w:t>
      </w:r>
    </w:p>
    <w:p>
      <w:pPr>
        <w:pStyle w:val="Heading1"/>
        <w:spacing w:line="341" w:lineRule="exact"/>
      </w:pPr>
      <w:r>
        <w:rPr/>
        <w:t>精神心理因素所致的语言能力丧失不在保障范围内。</w:t>
      </w:r>
    </w:p>
    <w:p>
      <w:pPr>
        <w:pStyle w:val="BodyText"/>
        <w:spacing w:before="10"/>
        <w:ind w:left="0"/>
        <w:rPr>
          <w:rFonts w:ascii="Microsoft JhengHei"/>
          <w:b/>
          <w:sz w:val="17"/>
        </w:rPr>
      </w:pPr>
    </w:p>
    <w:p>
      <w:pPr>
        <w:pStyle w:val="BodyText"/>
      </w:pPr>
      <w:r>
        <w:rPr>
          <w:rFonts w:ascii="Times New Roman" w:eastAsia="Times New Roman"/>
        </w:rPr>
        <w:t>24</w:t>
      </w:r>
      <w:r>
        <w:rPr/>
        <w:t>、重型再生障碍性贫血</w:t>
      </w:r>
    </w:p>
    <w:p>
      <w:pPr>
        <w:pStyle w:val="BodyText"/>
        <w:spacing w:before="73"/>
      </w:pPr>
      <w:r>
        <w:rPr/>
        <w:t>指因骨髓造血功能慢性持续性衰竭导致的贫血、中性粒细胞减少及血小板减少。须满足下列全部条件：</w:t>
      </w:r>
    </w:p>
    <w:p>
      <w:pPr>
        <w:pStyle w:val="BodyText"/>
        <w:spacing w:before="94"/>
      </w:pPr>
      <w:r>
        <w:rPr/>
        <w:t>（</w:t>
      </w:r>
      <w:r>
        <w:rPr>
          <w:rFonts w:ascii="Times New Roman" w:eastAsia="Times New Roman"/>
        </w:rPr>
        <w:t>1</w:t>
      </w:r>
      <w:r>
        <w:rPr/>
        <w:t>）骨髓穿刺检查或骨髓活检结果支持诊断；</w:t>
      </w:r>
    </w:p>
    <w:p>
      <w:pPr>
        <w:pStyle w:val="BodyText"/>
        <w:spacing w:before="73"/>
      </w:pPr>
      <w:r>
        <w:rPr/>
        <w:t>（</w:t>
      </w:r>
      <w:r>
        <w:rPr>
          <w:rFonts w:ascii="Times New Roman" w:eastAsia="Times New Roman"/>
        </w:rPr>
        <w:t>2</w:t>
      </w:r>
      <w:r>
        <w:rPr/>
        <w:t>）外周血象必须具备以下三项条件：</w:t>
      </w:r>
    </w:p>
    <w:p>
      <w:pPr>
        <w:pStyle w:val="BodyText"/>
        <w:spacing w:before="73"/>
        <w:ind w:left="535"/>
      </w:pPr>
      <w:r>
        <w:rPr/>
        <w:t>①中性粒细胞绝对值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3"/>
        <w:ind w:left="535"/>
      </w:pPr>
      <w:r>
        <w:rPr/>
        <w:t>②网织红细胞＜</w:t>
      </w:r>
      <w:r>
        <w:rPr>
          <w:rFonts w:ascii="Times New Roman" w:hAnsi="Times New Roman" w:eastAsia="Times New Roman"/>
        </w:rPr>
        <w:t>1%</w:t>
      </w:r>
      <w:r>
        <w:rPr/>
        <w:t>；</w:t>
      </w:r>
    </w:p>
    <w:p>
      <w:pPr>
        <w:pStyle w:val="BodyText"/>
        <w:spacing w:before="78"/>
        <w:ind w:left="535"/>
      </w:pPr>
      <w:r>
        <w:rPr/>
        <w:t>③血小板绝对值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ind w:left="0"/>
        <w:rPr>
          <w:sz w:val="24"/>
        </w:rPr>
      </w:pPr>
    </w:p>
    <w:p>
      <w:pPr>
        <w:pStyle w:val="BodyText"/>
      </w:pPr>
      <w:r>
        <w:rPr>
          <w:rFonts w:ascii="Times New Roman" w:eastAsia="Times New Roman"/>
        </w:rPr>
        <w:t>25</w:t>
      </w:r>
      <w:r>
        <w:rPr/>
        <w:t>、主动脉手术</w:t>
      </w:r>
    </w:p>
    <w:p>
      <w:pPr>
        <w:spacing w:line="264" w:lineRule="auto" w:before="74"/>
        <w:ind w:left="113" w:right="226" w:firstLine="0"/>
        <w:jc w:val="left"/>
        <w:rPr>
          <w:rFonts w:ascii="Microsoft JhengHei" w:eastAsia="Microsoft JhengHei" w:hint="eastAsia"/>
          <w:b/>
          <w:sz w:val="21"/>
        </w:rPr>
      </w:pPr>
      <w:r>
        <w:rPr>
          <w:spacing w:val="-6"/>
          <w:sz w:val="21"/>
        </w:rPr>
        <w:t>指为治疗主动脉疾病，实际实施了开胸或开腹进行的切除、置换、修补病损主动脉血管的手术。主动脉指</w:t>
      </w:r>
      <w:r>
        <w:rPr>
          <w:spacing w:val="-5"/>
          <w:sz w:val="21"/>
        </w:rPr>
        <w:t>胸主动脉和腹主动脉，</w:t>
      </w:r>
      <w:r>
        <w:rPr>
          <w:rFonts w:ascii="Microsoft JhengHei" w:eastAsia="Microsoft JhengHei" w:hint="eastAsia"/>
          <w:b/>
          <w:spacing w:val="-3"/>
          <w:sz w:val="21"/>
        </w:rPr>
        <w:t>不包括胸主动脉和腹主动脉的分支血管。</w:t>
      </w:r>
    </w:p>
    <w:p>
      <w:pPr>
        <w:pStyle w:val="Heading1"/>
        <w:spacing w:line="337" w:lineRule="exact"/>
      </w:pPr>
      <w:r>
        <w:rPr/>
        <w:t>动脉内血管成形术不在保障范围内。</w:t>
      </w:r>
    </w:p>
    <w:p>
      <w:pPr>
        <w:pStyle w:val="BodyText"/>
        <w:spacing w:before="10"/>
        <w:ind w:left="0"/>
        <w:rPr>
          <w:rFonts w:ascii="Microsoft JhengHei"/>
          <w:b/>
          <w:sz w:val="17"/>
        </w:rPr>
      </w:pPr>
    </w:p>
    <w:p>
      <w:pPr>
        <w:pStyle w:val="BodyText"/>
      </w:pPr>
      <w:r>
        <w:rPr>
          <w:rFonts w:ascii="Times New Roman" w:eastAsia="Times New Roman"/>
        </w:rPr>
        <w:t>26</w:t>
      </w:r>
      <w:r>
        <w:rPr/>
        <w:t>、严重多发性硬化症</w:t>
      </w:r>
    </w:p>
    <w:p>
      <w:pPr>
        <w:pStyle w:val="BodyText"/>
        <w:spacing w:before="73"/>
      </w:pPr>
      <w:r>
        <w:rPr/>
        <w:t>多发性硬化症为中枢神经系统脱髓鞘病变，必须由医疗机构的神经专科医生确诊。必须伴有典型的脱髓鞘</w:t>
      </w:r>
    </w:p>
    <w:p>
      <w:pPr>
        <w:spacing w:after="0"/>
        <w:sectPr>
          <w:pgSz w:w="11910" w:h="16840"/>
          <w:pgMar w:header="0" w:footer="496" w:top="780" w:bottom="760" w:left="1020" w:right="900"/>
        </w:sectPr>
      </w:pPr>
    </w:p>
    <w:p>
      <w:pPr>
        <w:pStyle w:val="BodyText"/>
        <w:spacing w:line="312" w:lineRule="auto" w:before="70"/>
        <w:ind w:left="313" w:right="206"/>
        <w:jc w:val="both"/>
      </w:pPr>
      <w:r>
        <w:rPr>
          <w:spacing w:val="-5"/>
        </w:rPr>
        <w:t>症状和运动及感觉功能障碍的证据并有磁共振</w:t>
      </w:r>
      <w:r>
        <w:rPr/>
        <w:t>（</w:t>
      </w:r>
      <w:r>
        <w:rPr>
          <w:rFonts w:ascii="Times New Roman" w:eastAsia="Times New Roman"/>
        </w:rPr>
        <w:t>MRI</w:t>
      </w:r>
      <w:r>
        <w:rPr/>
        <w:t>）</w:t>
      </w:r>
      <w:r>
        <w:rPr>
          <w:spacing w:val="-5"/>
        </w:rPr>
        <w:t>的典型改变。严重多发性硬化症必须造成神经系统</w:t>
      </w:r>
      <w:r>
        <w:rPr>
          <w:spacing w:val="-6"/>
        </w:rPr>
        <w:t>永久性功能损害并且已导致被保险人独立生活能力完全丧失，无法独立完成六项基本日常生活活动中的三</w:t>
      </w:r>
      <w:r>
        <w:rPr>
          <w:spacing w:val="-10"/>
        </w:rPr>
        <w:t>项或三项以上持续达 </w:t>
      </w:r>
      <w:r>
        <w:rPr>
          <w:rFonts w:ascii="Times New Roman" w:eastAsia="Times New Roman"/>
        </w:rPr>
        <w:t>180 </w:t>
      </w:r>
      <w:r>
        <w:rPr>
          <w:spacing w:val="-2"/>
        </w:rPr>
        <w:t>天以上。</w:t>
      </w:r>
    </w:p>
    <w:p>
      <w:pPr>
        <w:pStyle w:val="BodyText"/>
        <w:spacing w:before="244"/>
        <w:ind w:left="313"/>
      </w:pPr>
      <w:r>
        <w:rPr>
          <w:rFonts w:ascii="Times New Roman" w:eastAsia="Times New Roman"/>
        </w:rPr>
        <w:t>27</w:t>
      </w:r>
      <w:r>
        <w:rPr/>
        <w:t>、肌营养不良症</w:t>
      </w:r>
    </w:p>
    <w:p>
      <w:pPr>
        <w:pStyle w:val="BodyText"/>
        <w:spacing w:line="321" w:lineRule="auto" w:before="73"/>
        <w:ind w:left="313" w:right="205"/>
      </w:pPr>
      <w:r>
        <w:rPr>
          <w:spacing w:val="-7"/>
        </w:rPr>
        <w:t>肌营养不良症是一组遗传性肌肉变性坏死性病变，临床特征为骨骼肌进行性无力和萎缩，其诊断需同时符</w:t>
      </w:r>
      <w:r>
        <w:rPr>
          <w:spacing w:val="-6"/>
        </w:rPr>
        <w:t>合以下条件：</w:t>
      </w:r>
    </w:p>
    <w:p>
      <w:pPr>
        <w:pStyle w:val="BodyText"/>
        <w:spacing w:before="18"/>
        <w:ind w:left="313"/>
      </w:pPr>
      <w:r>
        <w:rPr/>
        <w:t>（</w:t>
      </w:r>
      <w:r>
        <w:rPr>
          <w:rFonts w:ascii="Times New Roman" w:eastAsia="Times New Roman"/>
        </w:rPr>
        <w:t>1</w:t>
      </w:r>
      <w:r>
        <w:rPr/>
        <w:t>）肌电图显示典型肌营养不良症的阳性改变；</w:t>
      </w:r>
    </w:p>
    <w:p>
      <w:pPr>
        <w:pStyle w:val="BodyText"/>
        <w:spacing w:before="74"/>
        <w:ind w:left="313"/>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before="74"/>
        <w:ind w:left="313"/>
      </w:pPr>
      <w:r>
        <w:rPr/>
        <w:t>（</w:t>
      </w:r>
      <w:r>
        <w:rPr>
          <w:rFonts w:ascii="Times New Roman" w:eastAsia="Times New Roman"/>
        </w:rPr>
        <w:t>3</w:t>
      </w:r>
      <w:r>
        <w:rPr/>
        <w:t>）肌肉活检的病理学诊断符合肌营养不良症的肌肉细胞变性、坏死等阳性改变；</w:t>
      </w:r>
    </w:p>
    <w:p>
      <w:pPr>
        <w:pStyle w:val="BodyText"/>
        <w:spacing w:line="300" w:lineRule="auto" w:before="78"/>
        <w:ind w:left="313" w:right="205"/>
      </w:pPr>
      <w:r>
        <w:rPr/>
        <w:t>（</w:t>
      </w:r>
      <w:r>
        <w:rPr>
          <w:rFonts w:ascii="Times New Roman" w:eastAsia="Times New Roman"/>
        </w:rPr>
        <w:t>4</w:t>
      </w:r>
      <w:r>
        <w:rPr/>
        <w:t>）</w:t>
      </w:r>
      <w:r>
        <w:rPr>
          <w:spacing w:val="0"/>
        </w:rPr>
        <w:t>疾病确诊 </w:t>
      </w:r>
      <w:r>
        <w:rPr>
          <w:rFonts w:ascii="Times New Roman" w:eastAsia="Times New Roman"/>
        </w:rPr>
        <w:t>180 </w:t>
      </w:r>
      <w:r>
        <w:rPr>
          <w:spacing w:val="-5"/>
        </w:rPr>
        <w:t>天以后，被保险人仍完全丧失独立生活能力，无法独立完成六项基本日常生活活动中的三项或三项以上。</w:t>
      </w:r>
    </w:p>
    <w:p>
      <w:pPr>
        <w:pStyle w:val="BodyText"/>
        <w:spacing w:before="2"/>
        <w:ind w:left="0"/>
      </w:pPr>
    </w:p>
    <w:p>
      <w:pPr>
        <w:pStyle w:val="BodyText"/>
        <w:ind w:left="313"/>
      </w:pPr>
      <w:r>
        <w:rPr>
          <w:rFonts w:ascii="Times New Roman" w:eastAsia="Times New Roman"/>
        </w:rPr>
        <w:t>28</w:t>
      </w:r>
      <w:r>
        <w:rPr/>
        <w:t>、因职业关系导致的艾滋病病毒感染</w:t>
      </w:r>
    </w:p>
    <w:p>
      <w:pPr>
        <w:pStyle w:val="BodyText"/>
        <w:spacing w:before="79"/>
        <w:ind w:left="313"/>
      </w:pPr>
      <w:r>
        <w:rPr>
          <w:spacing w:val="-5"/>
          <w:w w:val="100"/>
        </w:rPr>
        <w:t>被保险人在从事正常职业活动中感染艾滋病病毒</w:t>
      </w:r>
      <w:r>
        <w:rPr>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4"/>
          <w:w w:val="100"/>
        </w:rPr>
        <w:t>V</w:t>
      </w:r>
      <w:r>
        <w:rPr>
          <w:spacing w:val="-106"/>
          <w:w w:val="100"/>
        </w:rPr>
        <w:t>）</w:t>
      </w:r>
      <w:r>
        <w:rPr>
          <w:w w:val="100"/>
        </w:rPr>
        <w:t>，</w:t>
      </w:r>
      <w:r>
        <w:rPr/>
        <w:t> </w:t>
      </w:r>
      <w:r>
        <w:rPr>
          <w:spacing w:val="-2"/>
          <w:w w:val="100"/>
        </w:rPr>
        <w:t>并且证实满足下列全部条件：</w:t>
      </w:r>
    </w:p>
    <w:p>
      <w:pPr>
        <w:pStyle w:val="BodyText"/>
        <w:spacing w:line="300" w:lineRule="auto" w:before="74"/>
        <w:ind w:left="879" w:right="110" w:hanging="567"/>
      </w:pPr>
      <w:r>
        <w:rPr>
          <w:w w:val="100"/>
        </w:rPr>
        <w:t>（</w:t>
      </w:r>
      <w:r>
        <w:rPr>
          <w:rFonts w:ascii="Times New Roman" w:hAnsi="Times New Roman" w:eastAsia="Times New Roman"/>
          <w:w w:val="100"/>
        </w:rPr>
        <w:t>1</w:t>
      </w:r>
      <w:r>
        <w:rPr>
          <w:w w:val="100"/>
        </w:rPr>
        <w:t>）</w:t>
      </w:r>
      <w:r>
        <w:rPr>
          <w:spacing w:val="-4"/>
          <w:w w:val="100"/>
        </w:rPr>
        <w:t>导致感染艾滋病病毒的意外事件</w:t>
      </w:r>
      <w:r>
        <w:rPr>
          <w:spacing w:val="-5"/>
          <w:w w:val="100"/>
        </w:rPr>
        <w:t>（</w:t>
      </w:r>
      <w:r>
        <w:rPr>
          <w:spacing w:val="-2"/>
          <w:w w:val="100"/>
        </w:rPr>
        <w:t>以下简</w:t>
      </w:r>
      <w:r>
        <w:rPr>
          <w:w w:val="67"/>
        </w:rPr>
        <w:t>称“</w:t>
      </w:r>
      <w:r>
        <w:rPr>
          <w:spacing w:val="-3"/>
          <w:w w:val="100"/>
        </w:rPr>
        <w:t>意外事件</w:t>
      </w:r>
      <w:r>
        <w:rPr>
          <w:spacing w:val="-71"/>
          <w:w w:val="33"/>
        </w:rPr>
        <w:t>”</w:t>
      </w:r>
      <w:r>
        <w:rPr>
          <w:spacing w:val="-106"/>
          <w:w w:val="100"/>
        </w:rPr>
        <w:t>）</w:t>
      </w:r>
      <w:r>
        <w:rPr>
          <w:spacing w:val="-2"/>
          <w:w w:val="100"/>
        </w:rPr>
        <w:t>，必须在意外事件发生后</w:t>
      </w:r>
      <w:r>
        <w:rPr>
          <w:spacing w:val="-2"/>
        </w:rPr>
        <w:t> </w:t>
      </w:r>
      <w:r>
        <w:rPr>
          <w:rFonts w:ascii="Times New Roman" w:hAnsi="Times New Roman" w:eastAsia="Times New Roman"/>
          <w:w w:val="100"/>
        </w:rPr>
        <w:t>30</w:t>
      </w:r>
      <w:r>
        <w:rPr>
          <w:rFonts w:ascii="Times New Roman" w:hAnsi="Times New Roman" w:eastAsia="Times New Roman"/>
        </w:rPr>
        <w:t> </w:t>
      </w:r>
      <w:r>
        <w:rPr>
          <w:spacing w:val="-3"/>
          <w:w w:val="100"/>
        </w:rPr>
        <w:t>天内</w:t>
      </w:r>
      <w:r>
        <w:rPr>
          <w:w w:val="100"/>
        </w:rPr>
        <w:t>（含</w:t>
      </w:r>
      <w:r>
        <w:rPr>
          <w:spacing w:val="-53"/>
        </w:rPr>
        <w:t> </w:t>
      </w:r>
      <w:r>
        <w:rPr>
          <w:rFonts w:ascii="Times New Roman" w:hAnsi="Times New Roman" w:eastAsia="Times New Roman"/>
          <w:spacing w:val="-5"/>
          <w:w w:val="100"/>
        </w:rPr>
        <w:t>3</w:t>
      </w:r>
      <w:r>
        <w:rPr>
          <w:rFonts w:ascii="Times New Roman" w:hAnsi="Times New Roman" w:eastAsia="Times New Roman"/>
          <w:w w:val="100"/>
        </w:rPr>
        <w:t>0</w:t>
      </w:r>
      <w:r>
        <w:rPr>
          <w:rFonts w:ascii="Times New Roman" w:hAnsi="Times New Roman" w:eastAsia="Times New Roman"/>
        </w:rPr>
        <w:t> </w:t>
      </w:r>
      <w:r>
        <w:rPr>
          <w:w w:val="100"/>
        </w:rPr>
        <w:t>天）</w:t>
      </w:r>
      <w:r>
        <w:rPr>
          <w:spacing w:val="-1"/>
        </w:rPr>
        <w:t>向本公司书面报告；</w:t>
      </w:r>
    </w:p>
    <w:p>
      <w:pPr>
        <w:pStyle w:val="BodyText"/>
        <w:spacing w:before="37"/>
        <w:ind w:left="313"/>
      </w:pPr>
      <w:r>
        <w:rPr/>
        <w:t>（</w:t>
      </w:r>
      <w:r>
        <w:rPr>
          <w:rFonts w:ascii="Times New Roman" w:eastAsia="Times New Roman"/>
        </w:rPr>
        <w:t>2</w:t>
      </w:r>
      <w:r>
        <w:rPr/>
        <w:t>）明确的导致意外事件的感染有艾滋病病毒液体的证据；</w:t>
      </w:r>
    </w:p>
    <w:p>
      <w:pPr>
        <w:pStyle w:val="BodyText"/>
        <w:spacing w:line="304" w:lineRule="auto" w:before="74"/>
        <w:ind w:left="879" w:right="207" w:hanging="567"/>
      </w:pPr>
      <w:r>
        <w:rPr>
          <w:spacing w:val="-7"/>
        </w:rPr>
        <w:t>（</w:t>
      </w:r>
      <w:r>
        <w:rPr>
          <w:rFonts w:ascii="Times New Roman" w:eastAsia="Times New Roman"/>
          <w:spacing w:val="-7"/>
        </w:rPr>
        <w:t>3</w:t>
      </w:r>
      <w:r>
        <w:rPr>
          <w:spacing w:val="-7"/>
        </w:rPr>
        <w:t>）</w:t>
      </w:r>
      <w:r>
        <w:rPr>
          <w:spacing w:val="-8"/>
        </w:rPr>
        <w:t>在书面报告意外事件后的 </w:t>
      </w:r>
      <w:r>
        <w:rPr>
          <w:rFonts w:ascii="Times New Roman" w:eastAsia="Times New Roman"/>
        </w:rPr>
        <w:t>180 </w:t>
      </w:r>
      <w:r>
        <w:rPr>
          <w:spacing w:val="-10"/>
        </w:rPr>
        <w:t>天内</w:t>
      </w:r>
      <w:r>
        <w:rPr>
          <w:spacing w:val="-5"/>
        </w:rPr>
        <w:t>（</w:t>
      </w:r>
      <w:r>
        <w:rPr>
          <w:spacing w:val="-24"/>
        </w:rPr>
        <w:t>含 </w:t>
      </w:r>
      <w:r>
        <w:rPr>
          <w:rFonts w:ascii="Times New Roman" w:eastAsia="Times New Roman"/>
        </w:rPr>
        <w:t>180 </w:t>
      </w:r>
      <w:r>
        <w:rPr>
          <w:spacing w:val="-5"/>
        </w:rPr>
        <w:t>天</w:t>
      </w:r>
      <w:r>
        <w:rPr>
          <w:spacing w:val="-25"/>
        </w:rPr>
        <w:t>）</w:t>
      </w:r>
      <w:r>
        <w:rPr>
          <w:spacing w:val="-11"/>
        </w:rPr>
        <w:t>出现血清 </w:t>
      </w:r>
      <w:r>
        <w:rPr>
          <w:rFonts w:ascii="Times New Roman" w:eastAsia="Times New Roman"/>
        </w:rPr>
        <w:t>HIV </w:t>
      </w:r>
      <w:r>
        <w:rPr>
          <w:spacing w:val="-8"/>
        </w:rPr>
        <w:t>阴性转变为 </w:t>
      </w:r>
      <w:r>
        <w:rPr>
          <w:rFonts w:ascii="Times New Roman" w:eastAsia="Times New Roman"/>
        </w:rPr>
        <w:t>HIV </w:t>
      </w:r>
      <w:r>
        <w:rPr>
          <w:spacing w:val="-5"/>
        </w:rPr>
        <w:t>阳性的证据，这个证</w:t>
      </w:r>
      <w:r>
        <w:rPr>
          <w:spacing w:val="-8"/>
        </w:rPr>
        <w:t>据必须包括一个意外事件发生后 </w:t>
      </w:r>
      <w:r>
        <w:rPr>
          <w:rFonts w:ascii="Times New Roman" w:eastAsia="Times New Roman"/>
        </w:rPr>
        <w:t>5 </w:t>
      </w:r>
      <w:r>
        <w:rPr>
          <w:spacing w:val="-3"/>
        </w:rPr>
        <w:t>天内</w:t>
      </w:r>
      <w:r>
        <w:rPr/>
        <w:t>（</w:t>
      </w:r>
      <w:r>
        <w:rPr>
          <w:spacing w:val="-15"/>
        </w:rPr>
        <w:t>含第 </w:t>
      </w:r>
      <w:r>
        <w:rPr>
          <w:rFonts w:ascii="Times New Roman" w:eastAsia="Times New Roman"/>
        </w:rPr>
        <w:t>5 </w:t>
      </w:r>
      <w:r>
        <w:rPr/>
        <w:t>天</w:t>
      </w:r>
      <w:r>
        <w:rPr>
          <w:spacing w:val="-3"/>
        </w:rPr>
        <w:t>）</w:t>
      </w:r>
      <w:r>
        <w:rPr>
          <w:rFonts w:ascii="Times New Roman" w:eastAsia="Times New Roman"/>
          <w:spacing w:val="-3"/>
        </w:rPr>
        <w:t>HIV</w:t>
      </w:r>
      <w:r>
        <w:rPr>
          <w:rFonts w:ascii="Times New Roman" w:eastAsia="Times New Roman"/>
          <w:spacing w:val="1"/>
        </w:rPr>
        <w:t>  </w:t>
      </w:r>
      <w:r>
        <w:rPr>
          <w:spacing w:val="-1"/>
        </w:rPr>
        <w:t>抗体阴性的检查报告。</w:t>
      </w:r>
    </w:p>
    <w:p>
      <w:pPr>
        <w:pStyle w:val="BodyText"/>
        <w:spacing w:before="11"/>
        <w:ind w:left="313"/>
      </w:pPr>
      <w:r>
        <w:rPr/>
        <w:t>意外事件发生后 </w:t>
      </w:r>
      <w:r>
        <w:rPr>
          <w:rFonts w:ascii="Times New Roman" w:eastAsia="Times New Roman"/>
        </w:rPr>
        <w:t>12 </w:t>
      </w:r>
      <w:r>
        <w:rPr/>
        <w:t>个月内需要进行进一步的血液检查以确认存在艾滋病病毒抗体。</w:t>
      </w:r>
    </w:p>
    <w:p>
      <w:pPr>
        <w:pStyle w:val="BodyText"/>
        <w:spacing w:line="319" w:lineRule="auto" w:before="73"/>
        <w:ind w:left="313" w:right="211"/>
      </w:pPr>
      <w:r>
        <w:rPr>
          <w:spacing w:val="-5"/>
        </w:rPr>
        <w:t>本公司仅在被保险人的职业为医生、护士、医学检验技师、救护车工作人员、医院护工、警察时承担此项保险责任。</w:t>
      </w:r>
    </w:p>
    <w:p>
      <w:pPr>
        <w:pStyle w:val="Heading1"/>
        <w:spacing w:line="290"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19"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）发生的医疗方法被研究出来以后，本附加合同将不再予以赔付本项重大疾病保险金。</w:t>
      </w:r>
    </w:p>
    <w:p>
      <w:pPr>
        <w:spacing w:line="344"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12"/>
        <w:ind w:left="0"/>
        <w:rPr>
          <w:rFonts w:ascii="Microsoft JhengHei"/>
          <w:b/>
          <w:sz w:val="15"/>
        </w:rPr>
      </w:pPr>
    </w:p>
    <w:p>
      <w:pPr>
        <w:pStyle w:val="BodyText"/>
        <w:ind w:left="313"/>
      </w:pPr>
      <w:r>
        <w:rPr>
          <w:rFonts w:ascii="Times New Roman" w:eastAsia="Times New Roman"/>
        </w:rPr>
        <w:t>29</w:t>
      </w:r>
      <w:r>
        <w:rPr/>
        <w:t>、慢性复发性胰腺炎</w:t>
      </w:r>
    </w:p>
    <w:p>
      <w:pPr>
        <w:pStyle w:val="BodyText"/>
        <w:spacing w:line="271" w:lineRule="auto" w:before="63"/>
        <w:ind w:left="313" w:right="206"/>
        <w:jc w:val="both"/>
      </w:pPr>
      <w:r>
        <w:rPr>
          <w:spacing w:val="-5"/>
        </w:rPr>
        <w:t>由不同因素造成的胰腺组织和功能的持续性损害，以反复发作的上腹疼痛和胰腺外分泌功能不全为主要症状。</w:t>
      </w:r>
      <w:r>
        <w:rPr>
          <w:rFonts w:ascii="Times New Roman" w:eastAsia="Times New Roman"/>
        </w:rPr>
        <w:t>CT </w:t>
      </w:r>
      <w:r>
        <w:rPr>
          <w:spacing w:val="-5"/>
        </w:rPr>
        <w:t>证实胰腺存在广泛钙化，或由内窥镜逆行胰胆管造影</w:t>
      </w:r>
      <w:r>
        <w:rPr>
          <w:spacing w:val="-3"/>
        </w:rPr>
        <w:t>（</w:t>
      </w:r>
      <w:r>
        <w:rPr>
          <w:rFonts w:ascii="Times New Roman" w:eastAsia="Times New Roman"/>
          <w:spacing w:val="-3"/>
        </w:rPr>
        <w:t>ERCP</w:t>
      </w:r>
      <w:r>
        <w:rPr>
          <w:spacing w:val="-3"/>
        </w:rPr>
        <w:t>）</w:t>
      </w:r>
      <w:r>
        <w:rPr>
          <w:spacing w:val="-5"/>
        </w:rPr>
        <w:t>或病理学检查所证实，需要接受酶</w:t>
      </w:r>
      <w:r>
        <w:rPr>
          <w:spacing w:val="-8"/>
        </w:rPr>
        <w:t>替代和胰岛素替代治疗 </w:t>
      </w:r>
      <w:r>
        <w:rPr>
          <w:rFonts w:ascii="Times New Roman" w:eastAsia="Times New Roman"/>
        </w:rPr>
        <w:t>6 </w:t>
      </w:r>
      <w:r>
        <w:rPr>
          <w:spacing w:val="-5"/>
        </w:rPr>
        <w:t>个月以上。诊断必须有医疗机构的消化科专科医生确诊。</w:t>
      </w:r>
    </w:p>
    <w:p>
      <w:pPr>
        <w:pStyle w:val="Heading1"/>
        <w:spacing w:line="299" w:lineRule="exact"/>
        <w:ind w:left="313"/>
      </w:pPr>
      <w:r>
        <w:rPr/>
        <w:t>因酒精所致的慢性复发性胰腺炎除外。</w:t>
      </w:r>
    </w:p>
    <w:p>
      <w:pPr>
        <w:pStyle w:val="BodyText"/>
        <w:spacing w:before="12"/>
        <w:ind w:left="0"/>
        <w:rPr>
          <w:rFonts w:ascii="Microsoft JhengHei"/>
          <w:b/>
          <w:sz w:val="15"/>
        </w:rPr>
      </w:pPr>
    </w:p>
    <w:p>
      <w:pPr>
        <w:pStyle w:val="BodyText"/>
        <w:ind w:left="313"/>
      </w:pPr>
      <w:r>
        <w:rPr>
          <w:rFonts w:ascii="Times New Roman" w:eastAsia="Times New Roman"/>
        </w:rPr>
        <w:t>30</w:t>
      </w:r>
      <w:r>
        <w:rPr/>
        <w:t>、系统性红斑狼疮合并狼疮性肾炎</w:t>
      </w:r>
    </w:p>
    <w:p>
      <w:pPr>
        <w:pStyle w:val="BodyText"/>
        <w:spacing w:line="273" w:lineRule="auto" w:before="64"/>
        <w:ind w:left="313" w:right="202"/>
        <w:jc w:val="both"/>
      </w:pPr>
      <w:r>
        <w:rPr>
          <w:spacing w:val="-6"/>
        </w:rPr>
        <w:t>系统性红斑狼疮是一种累及多系统的自体免疫性疾病。本保障仅限于被保险人因系统性红斑狼疮并发狼疮</w:t>
      </w:r>
      <w:r>
        <w:rPr>
          <w:spacing w:val="-9"/>
        </w:rPr>
        <w:t>性肾炎并引起肾功能损害，且肾脏病理诊断符合以下列明的世界卫生组织</w:t>
      </w:r>
      <w:r>
        <w:rPr>
          <w:spacing w:val="-8"/>
        </w:rPr>
        <w:t>（</w:t>
      </w:r>
      <w:r>
        <w:rPr>
          <w:rFonts w:ascii="Times New Roman" w:eastAsia="Times New Roman"/>
          <w:spacing w:val="-8"/>
        </w:rPr>
        <w:t>WHO</w:t>
      </w:r>
      <w:r>
        <w:rPr>
          <w:spacing w:val="-8"/>
        </w:rPr>
        <w:t>）</w:t>
      </w:r>
      <w:r>
        <w:rPr>
          <w:spacing w:val="-3"/>
        </w:rPr>
        <w:t>对狼疮性肾炎所分类中</w:t>
      </w:r>
      <w:r>
        <w:rPr>
          <w:spacing w:val="-15"/>
        </w:rPr>
        <w:t>的第 </w:t>
      </w:r>
      <w:r>
        <w:rPr>
          <w:rFonts w:ascii="Times New Roman" w:eastAsia="Times New Roman"/>
          <w:spacing w:val="-4"/>
        </w:rPr>
        <w:t>III</w:t>
      </w:r>
      <w:r>
        <w:rPr/>
        <w:t>、</w:t>
      </w:r>
      <w:r>
        <w:rPr>
          <w:rFonts w:ascii="Times New Roman" w:eastAsia="Times New Roman"/>
        </w:rPr>
        <w:t>IV</w:t>
      </w:r>
      <w:r>
        <w:rPr/>
        <w:t>、</w:t>
      </w:r>
      <w:r>
        <w:rPr>
          <w:rFonts w:ascii="Times New Roman" w:eastAsia="Times New Roman"/>
          <w:spacing w:val="-4"/>
        </w:rPr>
        <w:t>V</w:t>
      </w:r>
      <w:r>
        <w:rPr>
          <w:spacing w:val="2"/>
        </w:rPr>
        <w:t>、</w:t>
      </w:r>
      <w:r>
        <w:rPr>
          <w:rFonts w:ascii="Times New Roman" w:eastAsia="Times New Roman"/>
        </w:rPr>
        <w:t>VI </w:t>
      </w:r>
      <w:r>
        <w:rPr>
          <w:spacing w:val="-3"/>
        </w:rPr>
        <w:t>型。诊断须由医疗机构的风湿病专科医生确认。</w:t>
      </w:r>
    </w:p>
    <w:p>
      <w:pPr>
        <w:pStyle w:val="BodyText"/>
        <w:spacing w:line="284" w:lineRule="exact"/>
        <w:ind w:left="313"/>
      </w:pPr>
      <w:r>
        <w:rPr/>
        <w:t>世界卫生组织（</w:t>
      </w:r>
      <w:r>
        <w:rPr>
          <w:rFonts w:ascii="Times New Roman" w:eastAsia="Times New Roman"/>
        </w:rPr>
        <w:t>WHO</w:t>
      </w:r>
      <w:r>
        <w:rPr/>
        <w:t>）对狼疮性肾炎的分类标准：</w:t>
      </w:r>
    </w:p>
    <w:p>
      <w:pPr>
        <w:pStyle w:val="BodyText"/>
        <w:spacing w:before="6"/>
        <w:ind w:left="0"/>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2408"/>
      </w:tblGrid>
      <w:tr>
        <w:trPr>
          <w:trHeight w:val="299" w:hRule="atLeast"/>
        </w:trPr>
        <w:tc>
          <w:tcPr>
            <w:tcW w:w="1203" w:type="dxa"/>
          </w:tcPr>
          <w:p>
            <w:pPr>
              <w:pStyle w:val="TableParagraph"/>
              <w:spacing w:line="271" w:lineRule="exact"/>
              <w:ind w:left="200"/>
              <w:rPr>
                <w:sz w:val="21"/>
              </w:rPr>
            </w:pPr>
            <w:r>
              <w:rPr>
                <w:rFonts w:ascii="Times New Roman" w:eastAsia="Times New Roman"/>
                <w:sz w:val="21"/>
              </w:rPr>
              <w:t>I</w:t>
            </w:r>
            <w:r>
              <w:rPr>
                <w:rFonts w:ascii="Times New Roman" w:eastAsia="Times New Roman"/>
                <w:spacing w:val="50"/>
                <w:sz w:val="21"/>
              </w:rPr>
              <w:t> </w:t>
            </w:r>
            <w:r>
              <w:rPr>
                <w:sz w:val="21"/>
              </w:rPr>
              <w:t>型</w:t>
            </w:r>
          </w:p>
        </w:tc>
        <w:tc>
          <w:tcPr>
            <w:tcW w:w="2408" w:type="dxa"/>
          </w:tcPr>
          <w:p>
            <w:pPr>
              <w:pStyle w:val="TableParagraph"/>
              <w:spacing w:line="255" w:lineRule="exact"/>
              <w:ind w:left="523"/>
              <w:rPr>
                <w:sz w:val="21"/>
              </w:rPr>
            </w:pPr>
            <w:r>
              <w:rPr>
                <w:sz w:val="21"/>
              </w:rPr>
              <w:t>微小病变型</w:t>
            </w:r>
          </w:p>
        </w:tc>
      </w:tr>
      <w:tr>
        <w:trPr>
          <w:trHeight w:val="319" w:hRule="atLeast"/>
        </w:trPr>
        <w:tc>
          <w:tcPr>
            <w:tcW w:w="1203" w:type="dxa"/>
          </w:tcPr>
          <w:p>
            <w:pPr>
              <w:pStyle w:val="TableParagraph"/>
              <w:spacing w:line="288" w:lineRule="exact"/>
              <w:ind w:left="200"/>
              <w:rPr>
                <w:sz w:val="21"/>
              </w:rPr>
            </w:pPr>
            <w:r>
              <w:rPr>
                <w:rFonts w:ascii="Times New Roman" w:eastAsia="Times New Roman"/>
                <w:sz w:val="21"/>
              </w:rPr>
              <w:t>II </w:t>
            </w:r>
            <w:r>
              <w:rPr>
                <w:sz w:val="21"/>
              </w:rPr>
              <w:t>型</w:t>
            </w:r>
          </w:p>
        </w:tc>
        <w:tc>
          <w:tcPr>
            <w:tcW w:w="2408" w:type="dxa"/>
          </w:tcPr>
          <w:p>
            <w:pPr>
              <w:pStyle w:val="TableParagraph"/>
              <w:spacing w:line="272" w:lineRule="exact"/>
              <w:ind w:left="523"/>
              <w:rPr>
                <w:sz w:val="21"/>
              </w:rPr>
            </w:pPr>
            <w:r>
              <w:rPr>
                <w:sz w:val="21"/>
              </w:rPr>
              <w:t>系膜增生性</w:t>
            </w:r>
          </w:p>
        </w:tc>
      </w:tr>
      <w:tr>
        <w:trPr>
          <w:trHeight w:val="321" w:hRule="atLeast"/>
        </w:trPr>
        <w:tc>
          <w:tcPr>
            <w:tcW w:w="1203" w:type="dxa"/>
          </w:tcPr>
          <w:p>
            <w:pPr>
              <w:pStyle w:val="TableParagraph"/>
              <w:spacing w:line="290" w:lineRule="exact"/>
              <w:ind w:left="200"/>
              <w:rPr>
                <w:sz w:val="21"/>
              </w:rPr>
            </w:pPr>
            <w:r>
              <w:rPr>
                <w:rFonts w:ascii="Times New Roman" w:eastAsia="Times New Roman"/>
                <w:sz w:val="21"/>
              </w:rPr>
              <w:t>III </w:t>
            </w:r>
            <w:r>
              <w:rPr>
                <w:sz w:val="21"/>
              </w:rPr>
              <w:t>型</w:t>
            </w:r>
          </w:p>
        </w:tc>
        <w:tc>
          <w:tcPr>
            <w:tcW w:w="2408" w:type="dxa"/>
          </w:tcPr>
          <w:p>
            <w:pPr>
              <w:pStyle w:val="TableParagraph"/>
              <w:spacing w:line="275" w:lineRule="exact"/>
              <w:ind w:left="523"/>
              <w:rPr>
                <w:sz w:val="21"/>
              </w:rPr>
            </w:pPr>
            <w:r>
              <w:rPr>
                <w:sz w:val="21"/>
              </w:rPr>
              <w:t>局灶及节段增生性</w:t>
            </w:r>
          </w:p>
        </w:tc>
      </w:tr>
      <w:tr>
        <w:trPr>
          <w:trHeight w:val="319" w:hRule="atLeast"/>
        </w:trPr>
        <w:tc>
          <w:tcPr>
            <w:tcW w:w="1203" w:type="dxa"/>
          </w:tcPr>
          <w:p>
            <w:pPr>
              <w:pStyle w:val="TableParagraph"/>
              <w:spacing w:line="290" w:lineRule="exact"/>
              <w:ind w:left="200"/>
              <w:rPr>
                <w:sz w:val="21"/>
              </w:rPr>
            </w:pPr>
            <w:r>
              <w:rPr>
                <w:rFonts w:ascii="Times New Roman" w:eastAsia="Times New Roman"/>
                <w:sz w:val="21"/>
              </w:rPr>
              <w:t>IV </w:t>
            </w:r>
            <w:r>
              <w:rPr>
                <w:sz w:val="21"/>
              </w:rPr>
              <w:t>型</w:t>
            </w:r>
          </w:p>
        </w:tc>
        <w:tc>
          <w:tcPr>
            <w:tcW w:w="2408" w:type="dxa"/>
          </w:tcPr>
          <w:p>
            <w:pPr>
              <w:pStyle w:val="TableParagraph"/>
              <w:spacing w:line="275" w:lineRule="exact"/>
              <w:ind w:left="523"/>
              <w:rPr>
                <w:sz w:val="21"/>
              </w:rPr>
            </w:pPr>
            <w:r>
              <w:rPr>
                <w:sz w:val="21"/>
              </w:rPr>
              <w:t>弥漫增生性</w:t>
            </w:r>
          </w:p>
        </w:tc>
      </w:tr>
      <w:tr>
        <w:trPr>
          <w:trHeight w:val="300" w:hRule="atLeast"/>
        </w:trPr>
        <w:tc>
          <w:tcPr>
            <w:tcW w:w="1203" w:type="dxa"/>
          </w:tcPr>
          <w:p>
            <w:pPr>
              <w:pStyle w:val="TableParagraph"/>
              <w:spacing w:line="280" w:lineRule="exact"/>
              <w:ind w:left="200"/>
              <w:rPr>
                <w:sz w:val="21"/>
              </w:rPr>
            </w:pPr>
            <w:r>
              <w:rPr>
                <w:rFonts w:ascii="Times New Roman" w:eastAsia="Times New Roman"/>
                <w:sz w:val="21"/>
              </w:rPr>
              <w:t>V </w:t>
            </w:r>
            <w:r>
              <w:rPr>
                <w:sz w:val="21"/>
              </w:rPr>
              <w:t>型</w:t>
            </w:r>
          </w:p>
        </w:tc>
        <w:tc>
          <w:tcPr>
            <w:tcW w:w="2408" w:type="dxa"/>
          </w:tcPr>
          <w:p>
            <w:pPr>
              <w:pStyle w:val="TableParagraph"/>
              <w:spacing w:line="272" w:lineRule="exact"/>
              <w:ind w:left="523"/>
              <w:rPr>
                <w:sz w:val="21"/>
              </w:rPr>
            </w:pPr>
            <w:r>
              <w:rPr>
                <w:sz w:val="21"/>
              </w:rPr>
              <w:t>膜性</w:t>
            </w:r>
          </w:p>
        </w:tc>
      </w:tr>
    </w:tbl>
    <w:p>
      <w:pPr>
        <w:spacing w:after="0" w:line="272" w:lineRule="exact"/>
        <w:rPr>
          <w:sz w:val="21"/>
        </w:rPr>
        <w:sectPr>
          <w:pgSz w:w="11910" w:h="16840"/>
          <w:pgMar w:header="0" w:footer="496" w:top="780" w:bottom="760" w:left="82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1985"/>
      </w:tblGrid>
      <w:tr>
        <w:trPr>
          <w:trHeight w:val="282" w:hRule="atLeast"/>
        </w:trPr>
        <w:tc>
          <w:tcPr>
            <w:tcW w:w="1203" w:type="dxa"/>
          </w:tcPr>
          <w:p>
            <w:pPr>
              <w:pStyle w:val="TableParagraph"/>
              <w:spacing w:line="263" w:lineRule="exact"/>
              <w:ind w:left="200"/>
              <w:rPr>
                <w:sz w:val="21"/>
              </w:rPr>
            </w:pPr>
            <w:r>
              <w:rPr>
                <w:rFonts w:ascii="Times New Roman" w:eastAsia="Times New Roman"/>
                <w:sz w:val="21"/>
              </w:rPr>
              <w:t>VI </w:t>
            </w:r>
            <w:r>
              <w:rPr>
                <w:sz w:val="21"/>
              </w:rPr>
              <w:t>型</w:t>
            </w:r>
          </w:p>
        </w:tc>
        <w:tc>
          <w:tcPr>
            <w:tcW w:w="1985" w:type="dxa"/>
          </w:tcPr>
          <w:p>
            <w:pPr>
              <w:pStyle w:val="TableParagraph"/>
              <w:spacing w:line="255" w:lineRule="exact"/>
              <w:ind w:left="523"/>
              <w:rPr>
                <w:sz w:val="21"/>
              </w:rPr>
            </w:pPr>
            <w:r>
              <w:rPr>
                <w:sz w:val="21"/>
              </w:rPr>
              <w:t>肾小球硬化性</w:t>
            </w:r>
          </w:p>
        </w:tc>
      </w:tr>
    </w:tbl>
    <w:p>
      <w:pPr>
        <w:pStyle w:val="BodyText"/>
        <w:spacing w:before="5"/>
        <w:ind w:left="0"/>
        <w:rPr>
          <w:sz w:val="14"/>
        </w:rPr>
      </w:pPr>
    </w:p>
    <w:p>
      <w:pPr>
        <w:pStyle w:val="BodyText"/>
        <w:spacing w:before="80"/>
        <w:ind w:left="313"/>
      </w:pPr>
      <w:r>
        <w:rPr>
          <w:rFonts w:ascii="Times New Roman" w:eastAsia="Times New Roman"/>
        </w:rPr>
        <w:t>31</w:t>
      </w:r>
      <w:r>
        <w:rPr/>
        <w:t>、植物人状态</w:t>
      </w:r>
    </w:p>
    <w:p>
      <w:pPr>
        <w:pStyle w:val="BodyText"/>
        <w:spacing w:line="280" w:lineRule="auto" w:before="64"/>
        <w:ind w:left="313" w:right="102"/>
        <w:jc w:val="both"/>
      </w:pPr>
      <w:r>
        <w:rPr>
          <w:spacing w:val="-7"/>
        </w:rPr>
        <w:t>植物人状态系指由于大脑皮质严重损害导致完全永久性的意识丧失，仅残存植物神经功能的疾病状态。诊</w:t>
      </w:r>
      <w:r>
        <w:rPr>
          <w:spacing w:val="-8"/>
        </w:rPr>
        <w:t>断必须明确并且具有大脑皮质功能丧失的证据，并且需有医疗机构的神经专科医生确认。植物人状态必须</w:t>
      </w:r>
      <w:r>
        <w:rPr>
          <w:spacing w:val="-21"/>
        </w:rPr>
        <w:t>持续 </w:t>
      </w:r>
      <w:r>
        <w:rPr>
          <w:rFonts w:ascii="Times New Roman" w:eastAsia="Times New Roman"/>
        </w:rPr>
        <w:t>180 </w:t>
      </w:r>
      <w:r>
        <w:rPr>
          <w:spacing w:val="-4"/>
        </w:rPr>
        <w:t>天以上方可申请理赔。</w:t>
      </w:r>
    </w:p>
    <w:p>
      <w:pPr>
        <w:pStyle w:val="BodyText"/>
        <w:spacing w:before="241"/>
        <w:ind w:left="313"/>
      </w:pPr>
      <w:r>
        <w:rPr>
          <w:rFonts w:ascii="Times New Roman" w:eastAsia="Times New Roman"/>
        </w:rPr>
        <w:t>32</w:t>
      </w:r>
      <w:r>
        <w:rPr/>
        <w:t>、慢性呼吸功能衰竭</w:t>
      </w:r>
    </w:p>
    <w:p>
      <w:pPr>
        <w:pStyle w:val="BodyText"/>
        <w:spacing w:line="319" w:lineRule="auto" w:before="74"/>
        <w:ind w:left="313" w:right="106"/>
      </w:pPr>
      <w:r>
        <w:rPr>
          <w:spacing w:val="-6"/>
        </w:rPr>
        <w:t>是指被保险人必须经医疗机构的呼吸科专科医师确诊患有慢性肺部疾病而出现慢性呼吸功能衰竭，其诊断</w:t>
      </w:r>
      <w:r>
        <w:rPr>
          <w:spacing w:val="-5"/>
        </w:rPr>
        <w:t>标准需同时满足以下各项：</w:t>
      </w:r>
    </w:p>
    <w:p>
      <w:pPr>
        <w:pStyle w:val="BodyText"/>
        <w:spacing w:before="21"/>
        <w:ind w:left="313"/>
        <w:jc w:val="both"/>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79"/>
        <w:ind w:left="313"/>
        <w:jc w:val="both"/>
      </w:pPr>
      <w:r>
        <w:rPr/>
        <w:t>（</w:t>
      </w:r>
      <w:r>
        <w:rPr>
          <w:rFonts w:ascii="Times New Roman" w:eastAsia="Times New Roman"/>
        </w:rPr>
        <w:t>2</w:t>
      </w:r>
      <w:r>
        <w:rPr/>
        <w:t>）病人血氧不足必须持续地进行输氧治疗；</w:t>
      </w:r>
    </w:p>
    <w:p>
      <w:pPr>
        <w:pStyle w:val="BodyText"/>
        <w:spacing w:before="74"/>
        <w:ind w:left="313"/>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74"/>
        <w:ind w:left="313"/>
        <w:jc w:val="both"/>
      </w:pPr>
      <w:r>
        <w:rPr/>
        <w:t>（</w:t>
      </w:r>
      <w:r>
        <w:rPr>
          <w:rFonts w:ascii="Times New Roman" w:eastAsia="Times New Roman"/>
        </w:rPr>
        <w:t>4</w:t>
      </w:r>
      <w:r>
        <w:rPr/>
        <w:t>）休息时出现呼吸困难。</w:t>
      </w:r>
    </w:p>
    <w:p>
      <w:pPr>
        <w:pStyle w:val="BodyText"/>
        <w:spacing w:before="5"/>
        <w:ind w:left="0"/>
        <w:rPr>
          <w:sz w:val="24"/>
        </w:rPr>
      </w:pPr>
    </w:p>
    <w:p>
      <w:pPr>
        <w:pStyle w:val="BodyText"/>
        <w:ind w:left="313"/>
        <w:jc w:val="both"/>
      </w:pPr>
      <w:r>
        <w:rPr>
          <w:rFonts w:ascii="Times New Roman" w:eastAsia="Times New Roman"/>
        </w:rPr>
        <w:t>33</w:t>
      </w:r>
      <w:r>
        <w:rPr/>
        <w:t>、严重脊髓灰质炎</w:t>
      </w:r>
    </w:p>
    <w:p>
      <w:pPr>
        <w:spacing w:line="249" w:lineRule="auto" w:before="73"/>
        <w:ind w:left="313" w:right="103" w:firstLine="0"/>
        <w:jc w:val="both"/>
        <w:rPr>
          <w:rFonts w:ascii="Microsoft JhengHei" w:eastAsia="Microsoft JhengHei" w:hint="eastAsia"/>
          <w:b/>
          <w:sz w:val="21"/>
        </w:rPr>
      </w:pPr>
      <w:r>
        <w:rPr>
          <w:spacing w:val="-7"/>
          <w:sz w:val="21"/>
        </w:rPr>
        <w:t>脊髓灰质炎是由于脊髓灰质炎病毒感染所致的瘫痪性疾病，临床表现为运动功能损害或呼吸无力。脊髓灰</w:t>
      </w:r>
      <w:r>
        <w:rPr>
          <w:spacing w:val="-9"/>
          <w:sz w:val="21"/>
        </w:rPr>
        <w:t>质炎必须明确诊断。</w:t>
      </w:r>
      <w:r>
        <w:rPr>
          <w:rFonts w:ascii="Microsoft JhengHei" w:eastAsia="Microsoft JhengHei" w:hint="eastAsia"/>
          <w:b/>
          <w:spacing w:val="0"/>
          <w:sz w:val="21"/>
        </w:rPr>
        <w:t>本附加合同仅对疾病确诊 </w:t>
      </w:r>
      <w:r>
        <w:rPr>
          <w:rFonts w:ascii="Times New Roman" w:eastAsia="Times New Roman"/>
          <w:b/>
          <w:sz w:val="21"/>
        </w:rPr>
        <w:t>180 </w:t>
      </w:r>
      <w:r>
        <w:rPr>
          <w:rFonts w:ascii="Microsoft JhengHei" w:eastAsia="Microsoft JhengHei" w:hint="eastAsia"/>
          <w:b/>
          <w:spacing w:val="-4"/>
          <w:sz w:val="21"/>
        </w:rPr>
        <w:t>天后脊髓灰质炎造成的神经系统功能损害导致被保险人</w:t>
      </w:r>
      <w:r>
        <w:rPr>
          <w:rFonts w:ascii="Microsoft JhengHei" w:eastAsia="Microsoft JhengHei" w:hint="eastAsia"/>
          <w:b/>
          <w:spacing w:val="-5"/>
          <w:sz w:val="21"/>
        </w:rPr>
        <w:t>一肢或一肢以上肢体机能永久完全丧失的情况予以理赔。</w:t>
      </w:r>
    </w:p>
    <w:p>
      <w:pPr>
        <w:pStyle w:val="BodyText"/>
        <w:spacing w:before="3"/>
        <w:ind w:left="0"/>
        <w:rPr>
          <w:rFonts w:ascii="Microsoft JhengHei"/>
          <w:b/>
          <w:sz w:val="17"/>
        </w:rPr>
      </w:pPr>
    </w:p>
    <w:p>
      <w:pPr>
        <w:pStyle w:val="BodyText"/>
        <w:ind w:left="313"/>
      </w:pPr>
      <w:r>
        <w:rPr>
          <w:rFonts w:ascii="Times New Roman" w:eastAsia="Times New Roman"/>
        </w:rPr>
        <w:t>34</w:t>
      </w:r>
      <w:r>
        <w:rPr/>
        <w:t>、严重的 </w:t>
      </w:r>
      <w:r>
        <w:rPr>
          <w:rFonts w:ascii="Times New Roman" w:eastAsia="Times New Roman"/>
        </w:rPr>
        <w:t>1 </w:t>
      </w:r>
      <w:r>
        <w:rPr/>
        <w:t>型糖尿病</w:t>
      </w:r>
    </w:p>
    <w:p>
      <w:pPr>
        <w:pStyle w:val="BodyText"/>
        <w:spacing w:line="302" w:lineRule="auto" w:before="73"/>
        <w:ind w:left="313" w:right="102"/>
        <w:jc w:val="both"/>
      </w:pPr>
      <w:r>
        <w:rPr>
          <w:rFonts w:ascii="Times New Roman" w:eastAsia="Times New Roman"/>
        </w:rPr>
        <w:t>1 </w:t>
      </w:r>
      <w:r>
        <w:rPr>
          <w:spacing w:val="-5"/>
        </w:rPr>
        <w:t>型糖尿病是由于胰岛素分泌绝对不足而引起以血浆葡萄糖水平增高为特征的代谢内分泌疾病，需持续利</w:t>
      </w:r>
      <w:r>
        <w:rPr>
          <w:spacing w:val="-12"/>
        </w:rPr>
        <w:t>用外源性胰岛素治疗。必须明确诊断为 </w:t>
      </w:r>
      <w:r>
        <w:rPr>
          <w:rFonts w:ascii="Times New Roman" w:eastAsia="Times New Roman"/>
        </w:rPr>
        <w:t>1 </w:t>
      </w:r>
      <w:r>
        <w:rPr>
          <w:spacing w:val="-11"/>
        </w:rPr>
        <w:t>型糖尿病，而且有血胰岛素测定及血 </w:t>
      </w:r>
      <w:r>
        <w:rPr>
          <w:rFonts w:ascii="Times New Roman" w:eastAsia="Times New Roman"/>
        </w:rPr>
        <w:t>C </w:t>
      </w:r>
      <w:r>
        <w:rPr>
          <w:spacing w:val="-13"/>
        </w:rPr>
        <w:t>肽或尿 </w:t>
      </w:r>
      <w:r>
        <w:rPr>
          <w:rFonts w:ascii="Times New Roman" w:eastAsia="Times New Roman"/>
        </w:rPr>
        <w:t>C </w:t>
      </w:r>
      <w:r>
        <w:rPr>
          <w:spacing w:val="-2"/>
        </w:rPr>
        <w:t>肽测定结果支持</w:t>
      </w:r>
      <w:r>
        <w:rPr>
          <w:spacing w:val="-5"/>
        </w:rPr>
        <w:t>诊断，并满足下列至少一个条件：</w:t>
      </w:r>
    </w:p>
    <w:p>
      <w:pPr>
        <w:pStyle w:val="BodyText"/>
        <w:spacing w:before="35"/>
        <w:ind w:left="313"/>
        <w:jc w:val="both"/>
      </w:pPr>
      <w:r>
        <w:rPr/>
        <w:t>（</w:t>
      </w:r>
      <w:r>
        <w:rPr>
          <w:rFonts w:ascii="Times New Roman" w:eastAsia="Times New Roman"/>
        </w:rPr>
        <w:t>1</w:t>
      </w:r>
      <w:r>
        <w:rPr/>
        <w:t>）因严重心律失常植入了心脏起搏器；</w:t>
      </w:r>
    </w:p>
    <w:p>
      <w:pPr>
        <w:pStyle w:val="BodyText"/>
        <w:spacing w:before="73"/>
        <w:ind w:left="313"/>
        <w:jc w:val="both"/>
      </w:pPr>
      <w:r>
        <w:rPr/>
        <w:t>（</w:t>
      </w:r>
      <w:r>
        <w:rPr>
          <w:rFonts w:ascii="Times New Roman" w:eastAsia="Times New Roman"/>
        </w:rPr>
        <w:t>2</w:t>
      </w:r>
      <w:r>
        <w:rPr/>
        <w:t>）糖尿病肾病，且尿蛋白</w:t>
      </w:r>
      <w:r>
        <w:rPr>
          <w:rFonts w:ascii="Times New Roman" w:eastAsia="Times New Roman"/>
        </w:rPr>
        <w:t>&gt;0.5g/24h</w:t>
      </w:r>
      <w:r>
        <w:rPr/>
        <w:t>；</w:t>
      </w:r>
    </w:p>
    <w:p>
      <w:pPr>
        <w:pStyle w:val="BodyText"/>
        <w:spacing w:before="73"/>
        <w:ind w:left="313"/>
        <w:jc w:val="both"/>
      </w:pPr>
      <w:r>
        <w:rPr/>
        <w:t>（</w:t>
      </w:r>
      <w:r>
        <w:rPr>
          <w:rFonts w:ascii="Times New Roman" w:eastAsia="Times New Roman"/>
        </w:rPr>
        <w:t>3</w:t>
      </w:r>
      <w:r>
        <w:rPr/>
        <w:t>）因糖尿病足趾坏疽进行足趾或下肢截断术。</w:t>
      </w:r>
    </w:p>
    <w:p>
      <w:pPr>
        <w:pStyle w:val="BodyText"/>
        <w:spacing w:before="5"/>
        <w:ind w:left="0"/>
        <w:rPr>
          <w:sz w:val="24"/>
        </w:rPr>
      </w:pPr>
    </w:p>
    <w:p>
      <w:pPr>
        <w:pStyle w:val="BodyText"/>
        <w:ind w:left="313"/>
        <w:jc w:val="both"/>
      </w:pPr>
      <w:r>
        <w:rPr>
          <w:rFonts w:ascii="Times New Roman" w:eastAsia="Times New Roman"/>
        </w:rPr>
        <w:t>35</w:t>
      </w:r>
      <w:r>
        <w:rPr/>
        <w:t>、 严重类风湿性关节炎</w:t>
      </w:r>
    </w:p>
    <w:p>
      <w:pPr>
        <w:pStyle w:val="BodyText"/>
        <w:spacing w:line="314" w:lineRule="auto" w:before="74"/>
        <w:ind w:left="313" w:right="103"/>
        <w:jc w:val="both"/>
      </w:pPr>
      <w:r>
        <w:rPr>
          <w:spacing w:val="-7"/>
        </w:rPr>
        <w:t>类风湿性关节炎为广泛分布的慢性进行性多关节病变，表现为关节严重变形，侵犯至少三个主要关节或关节组（如：双手（</w:t>
      </w:r>
      <w:r>
        <w:rPr>
          <w:spacing w:val="-4"/>
        </w:rPr>
        <w:t>多手指</w:t>
      </w:r>
      <w:r>
        <w:rPr/>
        <w:t>）关节、双足（多足趾）关节、双腕关节、双膝关节和双髋关节</w:t>
      </w:r>
      <w:r>
        <w:rPr>
          <w:spacing w:val="-101"/>
        </w:rPr>
        <w:t>）</w:t>
      </w:r>
      <w:r>
        <w:rPr/>
        <w:t>。被保险人所</w:t>
      </w:r>
      <w:r>
        <w:rPr>
          <w:spacing w:val="-5"/>
        </w:rPr>
        <w:t>患的类风湿性关节炎必须已经达到类风湿性关节炎功能分级 </w:t>
      </w:r>
      <w:r>
        <w:rPr>
          <w:rFonts w:ascii="Times New Roman" w:eastAsia="Times New Roman"/>
        </w:rPr>
        <w:t>IV </w:t>
      </w:r>
      <w:r>
        <w:rPr/>
        <w:t>级的功能障碍（</w:t>
      </w:r>
      <w:r>
        <w:rPr>
          <w:spacing w:val="-3"/>
        </w:rPr>
        <w:t>生活不能自理，且丧失工作能力）</w:t>
      </w:r>
      <w:r>
        <w:rPr>
          <w:spacing w:val="-4"/>
        </w:rPr>
        <w:t>并须满足下列全部条件：</w:t>
      </w:r>
    </w:p>
    <w:p>
      <w:pPr>
        <w:pStyle w:val="BodyText"/>
        <w:spacing w:before="25"/>
        <w:ind w:left="313"/>
        <w:jc w:val="both"/>
      </w:pPr>
      <w:r>
        <w:rPr/>
        <w:t>（</w:t>
      </w:r>
      <w:r>
        <w:rPr>
          <w:rFonts w:ascii="Times New Roman" w:eastAsia="Times New Roman"/>
        </w:rPr>
        <w:t>1</w:t>
      </w:r>
      <w:r>
        <w:rPr/>
        <w:t>）晨僵；</w:t>
      </w:r>
    </w:p>
    <w:p>
      <w:pPr>
        <w:pStyle w:val="BodyText"/>
        <w:spacing w:before="73"/>
        <w:ind w:left="313"/>
        <w:jc w:val="both"/>
      </w:pPr>
      <w:r>
        <w:rPr/>
        <w:t>（</w:t>
      </w:r>
      <w:r>
        <w:rPr>
          <w:rFonts w:ascii="Times New Roman" w:eastAsia="Times New Roman"/>
        </w:rPr>
        <w:t>2</w:t>
      </w:r>
      <w:r>
        <w:rPr/>
        <w:t>）对称性关节炎；</w:t>
      </w:r>
    </w:p>
    <w:p>
      <w:pPr>
        <w:pStyle w:val="BodyText"/>
        <w:spacing w:before="73"/>
        <w:ind w:left="313"/>
        <w:jc w:val="both"/>
      </w:pPr>
      <w:r>
        <w:rPr/>
        <w:t>（</w:t>
      </w:r>
      <w:r>
        <w:rPr>
          <w:rFonts w:ascii="Times New Roman" w:eastAsia="Times New Roman"/>
        </w:rPr>
        <w:t>3</w:t>
      </w:r>
      <w:r>
        <w:rPr/>
        <w:t>）类风湿性皮下结节；</w:t>
      </w:r>
    </w:p>
    <w:p>
      <w:pPr>
        <w:pStyle w:val="BodyText"/>
        <w:spacing w:before="73"/>
        <w:ind w:left="313"/>
        <w:jc w:val="both"/>
      </w:pPr>
      <w:r>
        <w:rPr/>
        <w:t>（</w:t>
      </w:r>
      <w:r>
        <w:rPr>
          <w:rFonts w:ascii="Times New Roman" w:eastAsia="Times New Roman"/>
        </w:rPr>
        <w:t>4</w:t>
      </w:r>
      <w:r>
        <w:rPr/>
        <w:t>）类风湿因子滴度升高；</w:t>
      </w:r>
    </w:p>
    <w:p>
      <w:pPr>
        <w:pStyle w:val="BodyText"/>
        <w:spacing w:before="78"/>
        <w:ind w:left="31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ind w:left="0"/>
        <w:rPr>
          <w:sz w:val="25"/>
        </w:rPr>
      </w:pPr>
    </w:p>
    <w:p>
      <w:pPr>
        <w:pStyle w:val="Heading1"/>
        <w:ind w:left="313"/>
        <w:jc w:val="both"/>
        <w:rPr>
          <w:rFonts w:ascii="黑体" w:eastAsia="黑体" w:hint="eastAsia"/>
        </w:rPr>
      </w:pPr>
      <w:r>
        <w:rPr>
          <w:rFonts w:ascii="黑体" w:eastAsia="黑体" w:hint="eastAsia"/>
        </w:rPr>
        <w:t>第十四条  特定癌症的释义</w:t>
      </w:r>
    </w:p>
    <w:p>
      <w:pPr>
        <w:pStyle w:val="BodyText"/>
        <w:spacing w:before="7"/>
        <w:ind w:left="0"/>
        <w:rPr>
          <w:rFonts w:ascii="黑体"/>
          <w:b/>
          <w:sz w:val="22"/>
        </w:rPr>
      </w:pPr>
    </w:p>
    <w:p>
      <w:pPr>
        <w:pStyle w:val="BodyText"/>
        <w:spacing w:line="319" w:lineRule="auto"/>
        <w:ind w:left="313" w:right="105"/>
      </w:pPr>
      <w:r>
        <w:rPr>
          <w:spacing w:val="-6"/>
        </w:rPr>
        <w:t>本附加合同的特定癌症定义可能与临床医学在概念和范围上有所不同，投保人投保本附加合同即表明其认</w:t>
      </w:r>
      <w:r>
        <w:rPr>
          <w:spacing w:val="-5"/>
        </w:rPr>
        <w:t>可并遵从本附加合同条款中对特定癌症的定义。</w:t>
      </w:r>
    </w:p>
    <w:p>
      <w:pPr>
        <w:spacing w:after="0" w:line="319" w:lineRule="auto"/>
        <w:sectPr>
          <w:pgSz w:w="11910" w:h="16840"/>
          <w:pgMar w:header="0" w:footer="496" w:top="860" w:bottom="760" w:left="820" w:right="1020"/>
        </w:sectPr>
      </w:pPr>
    </w:p>
    <w:p>
      <w:pPr>
        <w:pStyle w:val="BodyText"/>
        <w:spacing w:line="321" w:lineRule="auto" w:before="70"/>
        <w:ind w:right="106"/>
      </w:pPr>
      <w:r>
        <w:rPr/>
        <w:t>本附加合同所指的特定癌症为符合下列定义的疾病。被保险人发生符合以下疾病定义所述条件的特定癌症，应当由医疗机构的专科医生明确诊断。</w:t>
      </w:r>
    </w:p>
    <w:p>
      <w:pPr>
        <w:pStyle w:val="BodyText"/>
        <w:spacing w:before="248"/>
      </w:pPr>
      <w:r>
        <w:rPr/>
        <w:t>一、若被保险人为女性，则本附加合同所指的特定癌症为以下 </w:t>
      </w:r>
      <w:r>
        <w:rPr>
          <w:rFonts w:ascii="Times New Roman" w:eastAsia="Times New Roman"/>
        </w:rPr>
        <w:t>3 </w:t>
      </w:r>
      <w:r>
        <w:rPr/>
        <w:t>种。</w:t>
      </w:r>
    </w:p>
    <w:p>
      <w:pPr>
        <w:pStyle w:val="BodyText"/>
        <w:spacing w:before="30"/>
      </w:pPr>
      <w:r>
        <w:rPr>
          <w:rFonts w:ascii="Times New Roman" w:eastAsia="Times New Roman"/>
        </w:rPr>
        <w:t>1</w:t>
      </w:r>
      <w:r>
        <w:rPr/>
        <w:t>、肺癌</w:t>
      </w:r>
    </w:p>
    <w:p>
      <w:pPr>
        <w:spacing w:line="216" w:lineRule="auto" w:before="55"/>
        <w:ind w:left="113" w:right="4663" w:firstLine="0"/>
        <w:jc w:val="left"/>
        <w:rPr>
          <w:rFonts w:ascii="Microsoft JhengHei" w:eastAsia="Microsoft JhengHei" w:hint="eastAsia"/>
          <w:b/>
          <w:sz w:val="21"/>
        </w:rPr>
      </w:pPr>
      <w:r>
        <w:rPr>
          <w:sz w:val="21"/>
        </w:rPr>
        <w:t>指原发于肺组织的恶性肿瘤，国际疾病分类码为 </w:t>
      </w:r>
      <w:r>
        <w:rPr>
          <w:rFonts w:ascii="Times New Roman" w:eastAsia="Times New Roman"/>
          <w:sz w:val="21"/>
        </w:rPr>
        <w:t>C34</w:t>
      </w:r>
      <w:r>
        <w:rPr>
          <w:sz w:val="21"/>
        </w:rPr>
        <w:t>。</w:t>
      </w:r>
      <w:r>
        <w:rPr>
          <w:rFonts w:ascii="Microsoft JhengHei" w:eastAsia="Microsoft JhengHei" w:hint="eastAsia"/>
          <w:b/>
          <w:sz w:val="21"/>
        </w:rPr>
        <w:t>下列疾病不在保障范围内：</w:t>
      </w:r>
    </w:p>
    <w:p>
      <w:pPr>
        <w:pStyle w:val="Heading1"/>
        <w:spacing w:line="297" w:lineRule="exact"/>
      </w:pPr>
      <w:r>
        <w:rPr/>
        <w:t>（</w:t>
      </w:r>
      <w:r>
        <w:rPr>
          <w:rFonts w:ascii="Times New Roman" w:eastAsia="Times New Roman"/>
        </w:rPr>
        <w:t>1</w:t>
      </w:r>
      <w:r>
        <w:rPr/>
        <w:t>）原位癌；</w:t>
      </w:r>
    </w:p>
    <w:p>
      <w:pPr>
        <w:spacing w:line="31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）转移至肺的其他恶性肿瘤；</w:t>
      </w:r>
    </w:p>
    <w:p>
      <w:pPr>
        <w:spacing w:line="344"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）感染艾滋病病毒或患艾滋病期间所患的恶性肿瘤。</w:t>
      </w:r>
    </w:p>
    <w:p>
      <w:pPr>
        <w:pStyle w:val="BodyText"/>
        <w:spacing w:before="9"/>
        <w:ind w:left="0"/>
        <w:rPr>
          <w:rFonts w:ascii="Microsoft JhengHei"/>
          <w:b/>
          <w:sz w:val="19"/>
        </w:rPr>
      </w:pPr>
    </w:p>
    <w:p>
      <w:pPr>
        <w:pStyle w:val="BodyText"/>
        <w:spacing w:before="1"/>
      </w:pPr>
      <w:r>
        <w:rPr>
          <w:rFonts w:ascii="Times New Roman" w:eastAsia="Times New Roman"/>
        </w:rPr>
        <w:t>2</w:t>
      </w:r>
      <w:r>
        <w:rPr/>
        <w:t>、乳腺癌</w:t>
      </w:r>
    </w:p>
    <w:p>
      <w:pPr>
        <w:spacing w:line="216" w:lineRule="auto" w:before="60"/>
        <w:ind w:left="113" w:right="4452" w:firstLine="0"/>
        <w:jc w:val="left"/>
        <w:rPr>
          <w:rFonts w:ascii="Microsoft JhengHei" w:eastAsia="Microsoft JhengHei" w:hint="eastAsia"/>
          <w:b/>
          <w:sz w:val="21"/>
        </w:rPr>
      </w:pPr>
      <w:r>
        <w:rPr>
          <w:sz w:val="21"/>
        </w:rPr>
        <w:t>指原发于乳腺组织的恶性肿瘤，国际疾病分类码为 </w:t>
      </w:r>
      <w:r>
        <w:rPr>
          <w:rFonts w:ascii="Times New Roman" w:eastAsia="Times New Roman"/>
          <w:sz w:val="21"/>
        </w:rPr>
        <w:t>C50</w:t>
      </w:r>
      <w:r>
        <w:rPr>
          <w:sz w:val="21"/>
        </w:rPr>
        <w:t>。</w:t>
      </w:r>
      <w:r>
        <w:rPr>
          <w:rFonts w:ascii="Microsoft JhengHei" w:eastAsia="Microsoft JhengHei" w:hint="eastAsia"/>
          <w:b/>
          <w:sz w:val="21"/>
        </w:rPr>
        <w:t>下列疾病不在保障范围内：</w:t>
      </w:r>
    </w:p>
    <w:p>
      <w:pPr>
        <w:pStyle w:val="Heading1"/>
        <w:spacing w:line="295" w:lineRule="exact"/>
      </w:pPr>
      <w:r>
        <w:rPr/>
        <w:t>（</w:t>
      </w:r>
      <w:r>
        <w:rPr>
          <w:rFonts w:ascii="Times New Roman" w:eastAsia="Times New Roman"/>
        </w:rPr>
        <w:t>1</w:t>
      </w:r>
      <w:r>
        <w:rPr/>
        <w:t>）原位癌；</w:t>
      </w:r>
    </w:p>
    <w:p>
      <w:pPr>
        <w:spacing w:line="322"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）转移至乳腺的其他恶性肿瘤；</w:t>
      </w:r>
    </w:p>
    <w:p>
      <w:pPr>
        <w:spacing w:line="344"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）感染艾滋病病毒或患艾滋病期间所患的恶性肿瘤。</w:t>
      </w:r>
    </w:p>
    <w:p>
      <w:pPr>
        <w:pStyle w:val="BodyText"/>
        <w:spacing w:before="1"/>
        <w:ind w:left="0"/>
        <w:rPr>
          <w:rFonts w:ascii="Microsoft JhengHei"/>
          <w:b/>
          <w:sz w:val="15"/>
        </w:rPr>
      </w:pPr>
    </w:p>
    <w:p>
      <w:pPr>
        <w:pStyle w:val="BodyText"/>
        <w:spacing w:before="1"/>
      </w:pPr>
      <w:r>
        <w:rPr>
          <w:rFonts w:ascii="Times New Roman" w:eastAsia="Times New Roman"/>
        </w:rPr>
        <w:t>3</w:t>
      </w:r>
      <w:r>
        <w:rPr/>
        <w:t>、子宫癌</w:t>
      </w:r>
    </w:p>
    <w:p>
      <w:pPr>
        <w:spacing w:line="216" w:lineRule="auto" w:before="55"/>
        <w:ind w:left="113" w:right="3847" w:firstLine="0"/>
        <w:jc w:val="left"/>
        <w:rPr>
          <w:rFonts w:ascii="Microsoft JhengHei" w:eastAsia="Microsoft JhengHei" w:hint="eastAsia"/>
          <w:b/>
          <w:sz w:val="21"/>
        </w:rPr>
      </w:pPr>
      <w:r>
        <w:rPr>
          <w:spacing w:val="-7"/>
          <w:sz w:val="21"/>
        </w:rPr>
        <w:t>指原发于子宫组织的恶性肿瘤，国际疾病分类码为 </w:t>
      </w:r>
      <w:r>
        <w:rPr>
          <w:rFonts w:ascii="Times New Roman" w:eastAsia="Times New Roman"/>
          <w:spacing w:val="-3"/>
          <w:sz w:val="21"/>
        </w:rPr>
        <w:t>C53 </w:t>
      </w:r>
      <w:r>
        <w:rPr>
          <w:spacing w:val="-22"/>
          <w:sz w:val="21"/>
        </w:rPr>
        <w:t>和 </w:t>
      </w:r>
      <w:r>
        <w:rPr>
          <w:rFonts w:ascii="Times New Roman" w:eastAsia="Times New Roman"/>
          <w:sz w:val="21"/>
        </w:rPr>
        <w:t>C54</w:t>
      </w:r>
      <w:r>
        <w:rPr>
          <w:sz w:val="21"/>
        </w:rPr>
        <w:t>。</w:t>
      </w:r>
      <w:r>
        <w:rPr>
          <w:rFonts w:ascii="Microsoft JhengHei" w:eastAsia="Microsoft JhengHei" w:hint="eastAsia"/>
          <w:b/>
          <w:spacing w:val="-2"/>
          <w:sz w:val="21"/>
        </w:rPr>
        <w:t>下列疾病不在保障范围内：</w:t>
      </w:r>
    </w:p>
    <w:p>
      <w:pPr>
        <w:pStyle w:val="Heading1"/>
        <w:spacing w:line="297" w:lineRule="exact"/>
      </w:pPr>
      <w:r>
        <w:rPr/>
        <w:t>（</w:t>
      </w:r>
      <w:r>
        <w:rPr>
          <w:rFonts w:ascii="Times New Roman" w:eastAsia="Times New Roman"/>
        </w:rPr>
        <w:t>1</w:t>
      </w:r>
      <w:r>
        <w:rPr/>
        <w:t>）原位癌；</w:t>
      </w:r>
    </w:p>
    <w:p>
      <w:pPr>
        <w:spacing w:line="31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）转移至子宫的其他恶性肿瘤；</w:t>
      </w:r>
    </w:p>
    <w:p>
      <w:pPr>
        <w:spacing w:line="344"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）感染艾滋病病毒或患艾滋病期间所患的恶性肿瘤。</w:t>
      </w:r>
    </w:p>
    <w:p>
      <w:pPr>
        <w:pStyle w:val="BodyText"/>
        <w:spacing w:before="2"/>
        <w:ind w:left="0"/>
        <w:rPr>
          <w:rFonts w:ascii="Microsoft JhengHei"/>
          <w:b/>
          <w:sz w:val="15"/>
        </w:rPr>
      </w:pPr>
    </w:p>
    <w:p>
      <w:pPr>
        <w:pStyle w:val="BodyText"/>
      </w:pPr>
      <w:r>
        <w:rPr/>
        <w:t>二、若被保险人为男性，则本附加合同所指的特定癌症为以下 </w:t>
      </w:r>
      <w:r>
        <w:rPr>
          <w:rFonts w:ascii="Times New Roman" w:eastAsia="Times New Roman"/>
        </w:rPr>
        <w:t>3 </w:t>
      </w:r>
      <w:r>
        <w:rPr/>
        <w:t>种。</w:t>
      </w:r>
    </w:p>
    <w:p>
      <w:pPr>
        <w:pStyle w:val="BodyText"/>
        <w:spacing w:before="30"/>
      </w:pPr>
      <w:r>
        <w:rPr>
          <w:rFonts w:ascii="Times New Roman" w:eastAsia="Times New Roman"/>
        </w:rPr>
        <w:t>1</w:t>
      </w:r>
      <w:r>
        <w:rPr/>
        <w:t>、肺癌</w:t>
      </w:r>
    </w:p>
    <w:p>
      <w:pPr>
        <w:spacing w:line="216" w:lineRule="auto" w:before="55"/>
        <w:ind w:left="113" w:right="4663" w:firstLine="0"/>
        <w:jc w:val="left"/>
        <w:rPr>
          <w:rFonts w:ascii="Microsoft JhengHei" w:eastAsia="Microsoft JhengHei" w:hint="eastAsia"/>
          <w:b/>
          <w:sz w:val="21"/>
        </w:rPr>
      </w:pPr>
      <w:r>
        <w:rPr>
          <w:sz w:val="21"/>
        </w:rPr>
        <w:t>指原发于肺组织的恶性肿瘤，国际疾病分类码为 </w:t>
      </w:r>
      <w:r>
        <w:rPr>
          <w:rFonts w:ascii="Times New Roman" w:eastAsia="Times New Roman"/>
          <w:sz w:val="21"/>
        </w:rPr>
        <w:t>C34</w:t>
      </w:r>
      <w:r>
        <w:rPr>
          <w:sz w:val="21"/>
        </w:rPr>
        <w:t>。</w:t>
      </w:r>
      <w:r>
        <w:rPr>
          <w:rFonts w:ascii="Microsoft JhengHei" w:eastAsia="Microsoft JhengHei" w:hint="eastAsia"/>
          <w:b/>
          <w:sz w:val="21"/>
        </w:rPr>
        <w:t>下列疾病不在保障范围内：</w:t>
      </w:r>
    </w:p>
    <w:p>
      <w:pPr>
        <w:pStyle w:val="Heading1"/>
        <w:spacing w:line="298" w:lineRule="exact"/>
      </w:pPr>
      <w:r>
        <w:rPr/>
        <w:t>（</w:t>
      </w:r>
      <w:r>
        <w:rPr>
          <w:rFonts w:ascii="Times New Roman" w:eastAsia="Times New Roman"/>
        </w:rPr>
        <w:t>1</w:t>
      </w:r>
      <w:r>
        <w:rPr/>
        <w:t>）原位癌；</w:t>
      </w:r>
    </w:p>
    <w:p>
      <w:pPr>
        <w:spacing w:line="31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）转移至肺的其他恶性肿瘤；</w:t>
      </w:r>
    </w:p>
    <w:p>
      <w:pPr>
        <w:spacing w:line="344"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）感染艾滋病病毒或患艾滋病期间所患的恶性肿瘤。</w:t>
      </w:r>
    </w:p>
    <w:p>
      <w:pPr>
        <w:pStyle w:val="BodyText"/>
        <w:spacing w:before="1"/>
        <w:ind w:left="0"/>
        <w:rPr>
          <w:rFonts w:ascii="Microsoft JhengHei"/>
          <w:b/>
          <w:sz w:val="15"/>
        </w:rPr>
      </w:pPr>
    </w:p>
    <w:p>
      <w:pPr>
        <w:pStyle w:val="BodyText"/>
      </w:pPr>
      <w:r>
        <w:rPr>
          <w:rFonts w:ascii="Times New Roman" w:eastAsia="Times New Roman"/>
        </w:rPr>
        <w:t>2</w:t>
      </w:r>
      <w:r>
        <w:rPr/>
        <w:t>、肝癌</w:t>
      </w:r>
    </w:p>
    <w:p>
      <w:pPr>
        <w:spacing w:line="213" w:lineRule="auto" w:before="62"/>
        <w:ind w:left="113" w:right="4663" w:firstLine="0"/>
        <w:jc w:val="left"/>
        <w:rPr>
          <w:rFonts w:ascii="Microsoft JhengHei" w:eastAsia="Microsoft JhengHei" w:hint="eastAsia"/>
          <w:b/>
          <w:sz w:val="21"/>
        </w:rPr>
      </w:pPr>
      <w:r>
        <w:rPr>
          <w:sz w:val="21"/>
        </w:rPr>
        <w:t>指原发于肝组织的恶性肿瘤，国际疾病分类码为 </w:t>
      </w:r>
      <w:r>
        <w:rPr>
          <w:rFonts w:ascii="Times New Roman" w:eastAsia="Times New Roman"/>
          <w:sz w:val="21"/>
        </w:rPr>
        <w:t>C22</w:t>
      </w:r>
      <w:r>
        <w:rPr>
          <w:sz w:val="21"/>
        </w:rPr>
        <w:t>。</w:t>
      </w:r>
      <w:r>
        <w:rPr>
          <w:rFonts w:ascii="Microsoft JhengHei" w:eastAsia="Microsoft JhengHei" w:hint="eastAsia"/>
          <w:b/>
          <w:sz w:val="21"/>
        </w:rPr>
        <w:t>下列疾病不在保障范围内：</w:t>
      </w:r>
    </w:p>
    <w:p>
      <w:pPr>
        <w:pStyle w:val="Heading1"/>
        <w:spacing w:line="300" w:lineRule="exact"/>
      </w:pPr>
      <w:r>
        <w:rPr/>
        <w:t>（</w:t>
      </w:r>
      <w:r>
        <w:rPr>
          <w:rFonts w:ascii="Times New Roman" w:eastAsia="Times New Roman"/>
        </w:rPr>
        <w:t>1</w:t>
      </w:r>
      <w:r>
        <w:rPr/>
        <w:t>）原位癌；</w:t>
      </w:r>
    </w:p>
    <w:p>
      <w:pPr>
        <w:spacing w:line="31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）转移至肝的其他恶性肿瘤；</w:t>
      </w:r>
    </w:p>
    <w:p>
      <w:pPr>
        <w:spacing w:line="341"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）感染艾滋病病毒或患艾滋病期间所患的恶性肿瘤。</w:t>
      </w:r>
    </w:p>
    <w:p>
      <w:pPr>
        <w:pStyle w:val="BodyText"/>
        <w:spacing w:before="2"/>
        <w:ind w:left="0"/>
        <w:rPr>
          <w:rFonts w:ascii="Microsoft JhengHei"/>
          <w:b/>
          <w:sz w:val="15"/>
        </w:rPr>
      </w:pPr>
    </w:p>
    <w:p>
      <w:pPr>
        <w:pStyle w:val="BodyText"/>
      </w:pPr>
      <w:r>
        <w:rPr>
          <w:rFonts w:ascii="Times New Roman" w:eastAsia="Times New Roman"/>
        </w:rPr>
        <w:t>3</w:t>
      </w:r>
      <w:r>
        <w:rPr/>
        <w:t>、 前列腺癌</w:t>
      </w:r>
    </w:p>
    <w:p>
      <w:pPr>
        <w:spacing w:line="216" w:lineRule="auto" w:before="60"/>
        <w:ind w:left="113" w:right="4663" w:firstLine="0"/>
        <w:jc w:val="left"/>
        <w:rPr>
          <w:rFonts w:ascii="Microsoft JhengHei" w:eastAsia="Microsoft JhengHei" w:hint="eastAsia"/>
          <w:b/>
          <w:sz w:val="21"/>
        </w:rPr>
      </w:pPr>
      <w:r>
        <w:rPr>
          <w:sz w:val="21"/>
        </w:rPr>
        <w:t>指原发于前列腺的恶性肿瘤，国际疾病分类码为 </w:t>
      </w:r>
      <w:r>
        <w:rPr>
          <w:rFonts w:ascii="Times New Roman" w:eastAsia="Times New Roman"/>
          <w:sz w:val="21"/>
        </w:rPr>
        <w:t>C61</w:t>
      </w:r>
      <w:r>
        <w:rPr>
          <w:sz w:val="21"/>
        </w:rPr>
        <w:t>。</w:t>
      </w:r>
      <w:r>
        <w:rPr>
          <w:rFonts w:ascii="Microsoft JhengHei" w:eastAsia="Microsoft JhengHei" w:hint="eastAsia"/>
          <w:b/>
          <w:sz w:val="21"/>
        </w:rPr>
        <w:t>下列疾病不在保障范围内：</w:t>
      </w:r>
    </w:p>
    <w:p>
      <w:pPr>
        <w:pStyle w:val="Heading1"/>
        <w:spacing w:line="295" w:lineRule="exact"/>
      </w:pPr>
      <w:r>
        <w:rPr/>
        <w:t>（</w:t>
      </w:r>
      <w:r>
        <w:rPr>
          <w:rFonts w:ascii="Times New Roman" w:eastAsia="Times New Roman"/>
        </w:rPr>
        <w:t>1</w:t>
      </w:r>
      <w:r>
        <w:rPr/>
        <w:t>）原位癌；</w:t>
      </w:r>
    </w:p>
    <w:p>
      <w:pPr>
        <w:spacing w:line="322"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）转移至前列腺的其他恶性肿瘤；</w:t>
      </w:r>
    </w:p>
    <w:p>
      <w:pPr>
        <w:spacing w:line="319"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T1N0M0 </w:t>
      </w:r>
      <w:r>
        <w:rPr>
          <w:rFonts w:ascii="Microsoft JhengHei" w:eastAsia="Microsoft JhengHei" w:hint="eastAsia"/>
          <w:b/>
          <w:sz w:val="21"/>
        </w:rPr>
        <w:t>期或更轻分期的前列腺癌；</w:t>
      </w:r>
    </w:p>
    <w:p>
      <w:pPr>
        <w:spacing w:line="341"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）感染艾滋病病毒或患艾滋病期间所患的恶性肿瘤。</w:t>
      </w:r>
    </w:p>
    <w:p>
      <w:pPr>
        <w:spacing w:after="0" w:line="341" w:lineRule="exact"/>
        <w:jc w:val="left"/>
        <w:rPr>
          <w:rFonts w:ascii="Microsoft JhengHei" w:eastAsia="Microsoft JhengHei" w:hint="eastAsia"/>
          <w:sz w:val="21"/>
        </w:rPr>
        <w:sectPr>
          <w:pgSz w:w="11910" w:h="16840"/>
          <w:pgMar w:header="0" w:footer="496" w:top="780" w:bottom="760" w:left="1020" w:right="1020"/>
        </w:sectPr>
      </w:pPr>
    </w:p>
    <w:p>
      <w:pPr>
        <w:tabs>
          <w:tab w:pos="1369" w:val="left" w:leader="none"/>
        </w:tabs>
        <w:spacing w:before="12"/>
        <w:ind w:left="313" w:right="0" w:firstLine="0"/>
        <w:jc w:val="left"/>
        <w:rPr>
          <w:rFonts w:ascii="黑体" w:eastAsia="黑体" w:hint="eastAsia"/>
          <w:b/>
          <w:sz w:val="21"/>
        </w:rPr>
      </w:pPr>
      <w:r>
        <w:rPr>
          <w:rFonts w:ascii="黑体" w:eastAsia="黑体" w:hint="eastAsia"/>
          <w:b/>
          <w:sz w:val="21"/>
        </w:rPr>
        <w:t>第十五条</w:t>
        <w:tab/>
        <w:t>其他名词的释义</w:t>
      </w:r>
    </w:p>
    <w:p>
      <w:pPr>
        <w:pStyle w:val="BodyText"/>
        <w:spacing w:before="7"/>
        <w:ind w:left="0"/>
        <w:rPr>
          <w:rFonts w:ascii="黑体"/>
          <w:b/>
          <w:sz w:val="22"/>
        </w:rPr>
      </w:pPr>
    </w:p>
    <w:p>
      <w:pPr>
        <w:pStyle w:val="BodyText"/>
        <w:ind w:left="313"/>
      </w:pPr>
      <w:r>
        <w:rPr/>
        <w:t>本附加合同中具有特定含义的名词，其定义如下：</w:t>
      </w:r>
    </w:p>
    <w:p>
      <w:pPr>
        <w:pStyle w:val="BodyText"/>
        <w:spacing w:before="12"/>
        <w:ind w:left="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47"/>
      </w:tblGrid>
      <w:tr>
        <w:trPr>
          <w:trHeight w:val="693" w:hRule="atLeast"/>
        </w:trPr>
        <w:tc>
          <w:tcPr>
            <w:tcW w:w="1537" w:type="dxa"/>
          </w:tcPr>
          <w:p>
            <w:pPr>
              <w:pStyle w:val="TableParagraph"/>
              <w:spacing w:line="265" w:lineRule="exact"/>
              <w:ind w:left="200"/>
              <w:rPr>
                <w:sz w:val="21"/>
              </w:rPr>
            </w:pPr>
            <w:r>
              <w:rPr>
                <w:sz w:val="21"/>
              </w:rPr>
              <w:t>保单周年日</w:t>
            </w:r>
          </w:p>
        </w:tc>
        <w:tc>
          <w:tcPr>
            <w:tcW w:w="318" w:type="dxa"/>
          </w:tcPr>
          <w:p>
            <w:pPr>
              <w:pStyle w:val="TableParagraph"/>
              <w:spacing w:line="255" w:lineRule="exact"/>
              <w:ind w:left="0" w:right="3"/>
              <w:jc w:val="center"/>
              <w:rPr>
                <w:sz w:val="21"/>
              </w:rPr>
            </w:pPr>
            <w:r>
              <w:rPr>
                <w:w w:val="100"/>
                <w:sz w:val="21"/>
              </w:rPr>
              <w:t>：</w:t>
            </w:r>
          </w:p>
        </w:tc>
        <w:tc>
          <w:tcPr>
            <w:tcW w:w="8547" w:type="dxa"/>
          </w:tcPr>
          <w:p>
            <w:pPr>
              <w:pStyle w:val="TableParagraph"/>
              <w:spacing w:line="265" w:lineRule="exact"/>
              <w:rPr>
                <w:sz w:val="21"/>
              </w:rPr>
            </w:pPr>
            <w:r>
              <w:rPr>
                <w:sz w:val="21"/>
              </w:rPr>
              <w:t>指合同的生效日在每年的对应日，如当月无对应的同一日，则以当月最后一日为对应的保</w:t>
            </w:r>
          </w:p>
          <w:p>
            <w:pPr>
              <w:pStyle w:val="TableParagraph"/>
              <w:spacing w:before="90"/>
              <w:rPr>
                <w:sz w:val="21"/>
              </w:rPr>
            </w:pPr>
            <w:r>
              <w:rPr>
                <w:sz w:val="21"/>
              </w:rPr>
              <w:t>单周年日。</w:t>
            </w:r>
          </w:p>
        </w:tc>
      </w:tr>
      <w:tr>
        <w:trPr>
          <w:trHeight w:val="2194" w:hRule="atLeast"/>
        </w:trPr>
        <w:tc>
          <w:tcPr>
            <w:tcW w:w="1537" w:type="dxa"/>
          </w:tcPr>
          <w:p>
            <w:pPr>
              <w:pStyle w:val="TableParagraph"/>
              <w:spacing w:before="26"/>
              <w:ind w:left="200"/>
              <w:rPr>
                <w:sz w:val="21"/>
              </w:rPr>
            </w:pPr>
            <w:r>
              <w:rPr>
                <w:sz w:val="21"/>
              </w:rPr>
              <w:t>医疗机构</w:t>
            </w:r>
          </w:p>
        </w:tc>
        <w:tc>
          <w:tcPr>
            <w:tcW w:w="318" w:type="dxa"/>
          </w:tcPr>
          <w:p>
            <w:pPr>
              <w:pStyle w:val="TableParagraph"/>
              <w:spacing w:before="17"/>
              <w:ind w:left="0" w:right="3"/>
              <w:jc w:val="center"/>
              <w:rPr>
                <w:sz w:val="21"/>
              </w:rPr>
            </w:pPr>
            <w:r>
              <w:rPr>
                <w:w w:val="100"/>
                <w:sz w:val="21"/>
              </w:rPr>
              <w:t>：</w:t>
            </w:r>
          </w:p>
        </w:tc>
        <w:tc>
          <w:tcPr>
            <w:tcW w:w="8547" w:type="dxa"/>
          </w:tcPr>
          <w:p>
            <w:pPr>
              <w:pStyle w:val="TableParagraph"/>
              <w:spacing w:before="26"/>
              <w:rPr>
                <w:sz w:val="21"/>
              </w:rPr>
            </w:pPr>
            <w:r>
              <w:rPr>
                <w:sz w:val="21"/>
              </w:rPr>
              <w:t>符合下列所有条件的机构：</w:t>
            </w:r>
          </w:p>
          <w:p>
            <w:pPr>
              <w:pStyle w:val="TableParagraph"/>
              <w:spacing w:line="321" w:lineRule="auto" w:before="89"/>
              <w:ind w:right="201"/>
              <w:rPr>
                <w:sz w:val="21"/>
              </w:rPr>
            </w:pPr>
            <w:r>
              <w:rPr>
                <w:spacing w:val="-9"/>
                <w:sz w:val="21"/>
              </w:rPr>
              <w:t>（1）</w:t>
            </w:r>
            <w:r>
              <w:rPr>
                <w:spacing w:val="-5"/>
                <w:sz w:val="21"/>
              </w:rPr>
              <w:t>经国家级医疗卫生行政管理部门批准的有合法经营执照的二级或二级以上综合性的医</w:t>
            </w:r>
            <w:r>
              <w:rPr>
                <w:spacing w:val="-8"/>
                <w:sz w:val="21"/>
              </w:rPr>
              <w:t>院和专科医院</w:t>
            </w:r>
            <w:r>
              <w:rPr>
                <w:sz w:val="21"/>
              </w:rPr>
              <w:t>（</w:t>
            </w:r>
            <w:r>
              <w:rPr>
                <w:spacing w:val="-4"/>
                <w:sz w:val="21"/>
              </w:rPr>
              <w:t>前述医院和专科医院中的门</w:t>
            </w:r>
            <w:r>
              <w:rPr>
                <w:w w:val="95"/>
                <w:sz w:val="21"/>
              </w:rPr>
              <w:t>/</w:t>
            </w:r>
            <w:r>
              <w:rPr>
                <w:spacing w:val="-8"/>
                <w:sz w:val="21"/>
              </w:rPr>
              <w:t>急诊观察室、家庭病床、联合病房、临时病房</w:t>
            </w:r>
            <w:r>
              <w:rPr>
                <w:spacing w:val="-7"/>
                <w:w w:val="100"/>
                <w:sz w:val="21"/>
              </w:rPr>
              <w:t>康复病房除外</w:t>
            </w:r>
            <w:r>
              <w:rPr>
                <w:spacing w:val="-106"/>
                <w:w w:val="100"/>
                <w:sz w:val="21"/>
              </w:rPr>
              <w:t>）</w:t>
            </w:r>
            <w:r>
              <w:rPr>
                <w:w w:val="100"/>
                <w:sz w:val="21"/>
              </w:rPr>
              <w:t>；</w:t>
            </w:r>
          </w:p>
          <w:p>
            <w:pPr>
              <w:pStyle w:val="TableParagraph"/>
              <w:tabs>
                <w:tab w:pos="2690" w:val="left" w:leader="none"/>
              </w:tabs>
              <w:spacing w:before="18"/>
              <w:rPr>
                <w:sz w:val="21"/>
              </w:rPr>
            </w:pPr>
            <w:r>
              <w:rPr>
                <w:spacing w:val="-3"/>
                <w:sz w:val="21"/>
              </w:rPr>
              <w:t>（2）</w:t>
            </w:r>
            <w:r>
              <w:rPr>
                <w:sz w:val="21"/>
              </w:rPr>
              <w:t>不包括精神</w:t>
            </w:r>
            <w:r>
              <w:rPr>
                <w:spacing w:val="-5"/>
                <w:sz w:val="21"/>
              </w:rPr>
              <w:t>病</w:t>
            </w:r>
            <w:r>
              <w:rPr>
                <w:sz w:val="21"/>
              </w:rPr>
              <w:t>院、</w:t>
              <w:tab/>
            </w:r>
            <w:r>
              <w:rPr>
                <w:spacing w:val="-5"/>
                <w:sz w:val="21"/>
              </w:rPr>
              <w:t>私</w:t>
            </w:r>
            <w:r>
              <w:rPr>
                <w:sz w:val="21"/>
              </w:rPr>
              <w:t>人诊所</w:t>
            </w:r>
            <w:r>
              <w:rPr>
                <w:spacing w:val="-10"/>
                <w:sz w:val="21"/>
              </w:rPr>
              <w:t>，</w:t>
            </w:r>
            <w:r>
              <w:rPr>
                <w:sz w:val="21"/>
              </w:rPr>
              <w:t>以及作</w:t>
            </w:r>
            <w:r>
              <w:rPr>
                <w:spacing w:val="-5"/>
                <w:sz w:val="21"/>
              </w:rPr>
              <w:t>为康</w:t>
            </w:r>
            <w:r>
              <w:rPr>
                <w:sz w:val="21"/>
              </w:rPr>
              <w:t>复</w:t>
            </w:r>
            <w:r>
              <w:rPr>
                <w:spacing w:val="-5"/>
                <w:sz w:val="21"/>
              </w:rPr>
              <w:t>、</w:t>
            </w:r>
            <w:r>
              <w:rPr>
                <w:sz w:val="21"/>
              </w:rPr>
              <w:t>疗养</w:t>
            </w:r>
            <w:r>
              <w:rPr>
                <w:spacing w:val="-5"/>
                <w:sz w:val="21"/>
              </w:rPr>
              <w:t>、</w:t>
            </w:r>
            <w:r>
              <w:rPr>
                <w:sz w:val="21"/>
              </w:rPr>
              <w:t>护理</w:t>
            </w:r>
            <w:r>
              <w:rPr>
                <w:spacing w:val="-10"/>
                <w:sz w:val="21"/>
              </w:rPr>
              <w:t>、</w:t>
            </w:r>
            <w:r>
              <w:rPr>
                <w:sz w:val="21"/>
              </w:rPr>
              <w:t>戒酒</w:t>
            </w:r>
            <w:r>
              <w:rPr>
                <w:spacing w:val="-5"/>
                <w:sz w:val="21"/>
              </w:rPr>
              <w:t>、</w:t>
            </w:r>
            <w:r>
              <w:rPr>
                <w:sz w:val="21"/>
              </w:rPr>
              <w:t>戒</w:t>
            </w:r>
            <w:r>
              <w:rPr>
                <w:spacing w:val="-5"/>
                <w:sz w:val="21"/>
              </w:rPr>
              <w:t>毒</w:t>
            </w:r>
            <w:r>
              <w:rPr>
                <w:sz w:val="21"/>
              </w:rPr>
              <w:t>或类似的</w:t>
            </w:r>
          </w:p>
          <w:p>
            <w:pPr>
              <w:pStyle w:val="TableParagraph"/>
              <w:spacing w:before="89"/>
              <w:rPr>
                <w:sz w:val="21"/>
              </w:rPr>
            </w:pPr>
            <w:r>
              <w:rPr>
                <w:sz w:val="21"/>
              </w:rPr>
              <w:t>医疗机构。</w:t>
            </w:r>
          </w:p>
        </w:tc>
      </w:tr>
      <w:tr>
        <w:trPr>
          <w:trHeight w:val="1620" w:hRule="atLeast"/>
        </w:trPr>
        <w:tc>
          <w:tcPr>
            <w:tcW w:w="1537" w:type="dxa"/>
          </w:tcPr>
          <w:p>
            <w:pPr>
              <w:pStyle w:val="TableParagraph"/>
              <w:spacing w:before="16"/>
              <w:ind w:left="200"/>
              <w:rPr>
                <w:sz w:val="21"/>
              </w:rPr>
            </w:pPr>
            <w:r>
              <w:rPr>
                <w:sz w:val="21"/>
              </w:rPr>
              <w:t>专科医生</w:t>
            </w:r>
          </w:p>
        </w:tc>
        <w:tc>
          <w:tcPr>
            <w:tcW w:w="318" w:type="dxa"/>
          </w:tcPr>
          <w:p>
            <w:pPr>
              <w:pStyle w:val="TableParagraph"/>
              <w:spacing w:before="16"/>
              <w:ind w:left="0" w:right="3"/>
              <w:jc w:val="center"/>
              <w:rPr>
                <w:sz w:val="21"/>
              </w:rPr>
            </w:pPr>
            <w:r>
              <w:rPr>
                <w:w w:val="100"/>
                <w:sz w:val="21"/>
              </w:rPr>
              <w:t>：</w:t>
            </w:r>
          </w:p>
        </w:tc>
        <w:tc>
          <w:tcPr>
            <w:tcW w:w="8547" w:type="dxa"/>
          </w:tcPr>
          <w:p>
            <w:pPr>
              <w:pStyle w:val="TableParagraph"/>
              <w:spacing w:before="16"/>
              <w:rPr>
                <w:sz w:val="21"/>
              </w:rPr>
            </w:pPr>
            <w:r>
              <w:rPr>
                <w:sz w:val="21"/>
              </w:rPr>
              <w:t>专科医生应当同时满足以下四项资格条件：</w:t>
            </w:r>
          </w:p>
          <w:p>
            <w:pPr>
              <w:pStyle w:val="TableParagraph"/>
              <w:spacing w:before="46"/>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30"/>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26"/>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3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60" w:hRule="atLeast"/>
        </w:trPr>
        <w:tc>
          <w:tcPr>
            <w:tcW w:w="1537" w:type="dxa"/>
          </w:tcPr>
          <w:p>
            <w:pPr>
              <w:pStyle w:val="TableParagraph"/>
              <w:spacing w:line="275" w:lineRule="exact"/>
              <w:ind w:left="200"/>
              <w:rPr>
                <w:sz w:val="21"/>
              </w:rPr>
            </w:pPr>
            <w:r>
              <w:rPr>
                <w:sz w:val="21"/>
              </w:rPr>
              <w:t>毒品</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76" w:lineRule="auto"/>
              <w:ind w:right="203"/>
              <w:rPr>
                <w:sz w:val="21"/>
              </w:rPr>
            </w:pPr>
            <w:r>
              <w:rPr>
                <w:spacing w:val="-5"/>
                <w:sz w:val="21"/>
              </w:rPr>
              <w:t>指中华人民共和国刑法规定的鸦片、海洛因、甲基苯丙胺</w:t>
            </w:r>
            <w:r>
              <w:rPr>
                <w:sz w:val="21"/>
              </w:rPr>
              <w:t>（</w:t>
            </w:r>
            <w:r>
              <w:rPr>
                <w:spacing w:val="-3"/>
                <w:sz w:val="21"/>
              </w:rPr>
              <w:t>冰毒</w:t>
            </w:r>
            <w:r>
              <w:rPr>
                <w:spacing w:val="-108"/>
                <w:sz w:val="21"/>
              </w:rPr>
              <w:t>）</w:t>
            </w:r>
            <w:r>
              <w:rPr>
                <w:spacing w:val="-4"/>
                <w:sz w:val="21"/>
              </w:rPr>
              <w:t>、吗啡、大麻、可卡因以</w:t>
            </w:r>
            <w:r>
              <w:rPr>
                <w:spacing w:val="-1"/>
                <w:sz w:val="21"/>
              </w:rPr>
              <w:t>及国家规定管制的其他能够使人形成瘾癖的麻醉药品和精神药品，但不包括由医生开具并</w:t>
            </w:r>
          </w:p>
          <w:p>
            <w:pPr>
              <w:pStyle w:val="TableParagraph"/>
              <w:spacing w:before="15"/>
              <w:rPr>
                <w:sz w:val="21"/>
              </w:rPr>
            </w:pPr>
            <w:r>
              <w:rPr>
                <w:sz w:val="21"/>
              </w:rPr>
              <w:t>遵医嘱使用的用于治疗疾病但含有毒品成分的处方药品。</w:t>
            </w:r>
          </w:p>
        </w:tc>
      </w:tr>
      <w:tr>
        <w:trPr>
          <w:trHeight w:val="960" w:hRule="atLeast"/>
        </w:trPr>
        <w:tc>
          <w:tcPr>
            <w:tcW w:w="1537" w:type="dxa"/>
          </w:tcPr>
          <w:p>
            <w:pPr>
              <w:pStyle w:val="TableParagraph"/>
              <w:ind w:left="200"/>
              <w:rPr>
                <w:sz w:val="21"/>
              </w:rPr>
            </w:pPr>
            <w:r>
              <w:rPr>
                <w:sz w:val="21"/>
              </w:rPr>
              <w:t>酒后驾驶</w:t>
            </w:r>
          </w:p>
        </w:tc>
        <w:tc>
          <w:tcPr>
            <w:tcW w:w="318" w:type="dxa"/>
          </w:tcPr>
          <w:p>
            <w:pPr>
              <w:pStyle w:val="TableParagraph"/>
              <w:ind w:left="0" w:right="3"/>
              <w:jc w:val="center"/>
              <w:rPr>
                <w:sz w:val="21"/>
              </w:rPr>
            </w:pPr>
            <w:r>
              <w:rPr>
                <w:w w:val="100"/>
                <w:sz w:val="21"/>
              </w:rPr>
              <w:t>：</w:t>
            </w:r>
          </w:p>
        </w:tc>
        <w:tc>
          <w:tcPr>
            <w:tcW w:w="8547" w:type="dxa"/>
          </w:tcPr>
          <w:p>
            <w:pPr>
              <w:pStyle w:val="TableParagraph"/>
              <w:spacing w:line="276" w:lineRule="auto"/>
              <w:ind w:right="207"/>
              <w:rPr>
                <w:sz w:val="21"/>
              </w:rPr>
            </w:pPr>
            <w:r>
              <w:rPr>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spacing w:before="15"/>
              <w:rPr>
                <w:sz w:val="21"/>
              </w:rPr>
            </w:pPr>
            <w:r>
              <w:rPr>
                <w:sz w:val="21"/>
              </w:rPr>
              <w:t>驾驶。</w:t>
            </w:r>
          </w:p>
        </w:tc>
      </w:tr>
      <w:tr>
        <w:trPr>
          <w:trHeight w:val="1598" w:hRule="atLeast"/>
        </w:trPr>
        <w:tc>
          <w:tcPr>
            <w:tcW w:w="1537" w:type="dxa"/>
          </w:tcPr>
          <w:p>
            <w:pPr>
              <w:pStyle w:val="TableParagraph"/>
              <w:spacing w:line="276" w:lineRule="auto"/>
              <w:ind w:left="200" w:right="49"/>
              <w:rPr>
                <w:sz w:val="21"/>
              </w:rPr>
            </w:pPr>
            <w:r>
              <w:rPr>
                <w:sz w:val="21"/>
              </w:rPr>
              <w:t>无合法有效驾驶证驾驶</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75" w:lineRule="exact"/>
              <w:rPr>
                <w:sz w:val="21"/>
              </w:rPr>
            </w:pPr>
            <w:r>
              <w:rPr>
                <w:sz w:val="21"/>
              </w:rPr>
              <w:t>指下列情形之一：</w:t>
            </w:r>
          </w:p>
          <w:p>
            <w:pPr>
              <w:pStyle w:val="TableParagraph"/>
              <w:spacing w:before="42"/>
              <w:rPr>
                <w:sz w:val="21"/>
              </w:rPr>
            </w:pPr>
            <w:r>
              <w:rPr>
                <w:sz w:val="21"/>
              </w:rPr>
              <w:t>（</w:t>
            </w:r>
            <w:r>
              <w:rPr>
                <w:rFonts w:ascii="Times New Roman" w:eastAsia="Times New Roman"/>
                <w:sz w:val="21"/>
              </w:rPr>
              <w:t>1</w:t>
            </w:r>
            <w:r>
              <w:rPr>
                <w:sz w:val="21"/>
              </w:rPr>
              <w:t>）没有取得驾驶资格；</w:t>
            </w:r>
          </w:p>
          <w:p>
            <w:pPr>
              <w:pStyle w:val="TableParagraph"/>
              <w:spacing w:before="31"/>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30"/>
              <w:rPr>
                <w:sz w:val="21"/>
              </w:rPr>
            </w:pPr>
            <w:r>
              <w:rPr>
                <w:sz w:val="21"/>
              </w:rPr>
              <w:t>（</w:t>
            </w:r>
            <w:r>
              <w:rPr>
                <w:rFonts w:ascii="Times New Roman" w:eastAsia="Times New Roman"/>
                <w:sz w:val="21"/>
              </w:rPr>
              <w:t>3</w:t>
            </w:r>
            <w:r>
              <w:rPr>
                <w:sz w:val="21"/>
              </w:rPr>
              <w:t>）持审验不合格的驾驶证驾驶；</w:t>
            </w:r>
          </w:p>
          <w:p>
            <w:pPr>
              <w:pStyle w:val="TableParagraph"/>
              <w:spacing w:before="25"/>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960" w:hRule="atLeast"/>
        </w:trPr>
        <w:tc>
          <w:tcPr>
            <w:tcW w:w="1537" w:type="dxa"/>
          </w:tcPr>
          <w:p>
            <w:pPr>
              <w:pStyle w:val="TableParagraph"/>
              <w:spacing w:line="275" w:lineRule="exact"/>
              <w:ind w:left="200"/>
              <w:rPr>
                <w:sz w:val="21"/>
              </w:rPr>
            </w:pPr>
            <w:r>
              <w:rPr>
                <w:sz w:val="21"/>
              </w:rPr>
              <w:t>无有效行驶证</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75" w:lineRule="exact"/>
              <w:rPr>
                <w:sz w:val="21"/>
              </w:rPr>
            </w:pPr>
            <w:r>
              <w:rPr>
                <w:sz w:val="21"/>
              </w:rPr>
              <w:t>指下列情形之一：</w:t>
            </w:r>
          </w:p>
          <w:p>
            <w:pPr>
              <w:pStyle w:val="TableParagraph"/>
              <w:spacing w:before="46"/>
              <w:rPr>
                <w:sz w:val="21"/>
              </w:rPr>
            </w:pPr>
            <w:r>
              <w:rPr>
                <w:sz w:val="21"/>
              </w:rPr>
              <w:t>（</w:t>
            </w:r>
            <w:r>
              <w:rPr>
                <w:rFonts w:ascii="Times New Roman" w:eastAsia="Times New Roman"/>
                <w:sz w:val="21"/>
              </w:rPr>
              <w:t>1</w:t>
            </w:r>
            <w:r>
              <w:rPr>
                <w:sz w:val="21"/>
              </w:rPr>
              <w:t>）机动车被依法注销登记的；</w:t>
            </w:r>
          </w:p>
          <w:p>
            <w:pPr>
              <w:pStyle w:val="TableParagraph"/>
              <w:spacing w:before="26"/>
              <w:rPr>
                <w:sz w:val="21"/>
              </w:rPr>
            </w:pPr>
            <w:r>
              <w:rPr>
                <w:sz w:val="21"/>
              </w:rPr>
              <w:t>（</w:t>
            </w:r>
            <w:r>
              <w:rPr>
                <w:rFonts w:ascii="Times New Roman" w:eastAsia="Times New Roman"/>
                <w:sz w:val="21"/>
              </w:rPr>
              <w:t>2</w:t>
            </w:r>
            <w:r>
              <w:rPr>
                <w:sz w:val="21"/>
              </w:rPr>
              <w:t>）未依法按时进行或通过机动车安全技术检验。</w:t>
            </w:r>
          </w:p>
        </w:tc>
      </w:tr>
      <w:tr>
        <w:trPr>
          <w:trHeight w:val="1281" w:hRule="atLeast"/>
        </w:trPr>
        <w:tc>
          <w:tcPr>
            <w:tcW w:w="1537" w:type="dxa"/>
          </w:tcPr>
          <w:p>
            <w:pPr>
              <w:pStyle w:val="TableParagraph"/>
              <w:spacing w:line="280" w:lineRule="auto"/>
              <w:ind w:left="200" w:right="49"/>
              <w:rPr>
                <w:sz w:val="21"/>
              </w:rPr>
            </w:pPr>
            <w:r>
              <w:rPr>
                <w:sz w:val="21"/>
              </w:rPr>
              <w:t>感染艾滋病病毒或患艾滋病</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66" w:lineRule="auto"/>
              <w:ind w:right="204"/>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rPr>
                <w:sz w:val="21"/>
              </w:rPr>
            </w:pPr>
            <w:r>
              <w:rPr>
                <w:sz w:val="21"/>
              </w:rPr>
              <w:t>在人体血液或其他样本中检测到艾滋病病毒或其抗体呈阳性，没有出现临床症状或体征的</w:t>
            </w:r>
          </w:p>
          <w:p>
            <w:pPr>
              <w:pStyle w:val="TableParagraph"/>
              <w:spacing w:before="46"/>
              <w:rPr>
                <w:sz w:val="21"/>
              </w:rPr>
            </w:pPr>
            <w:r>
              <w:rPr>
                <w:sz w:val="21"/>
              </w:rPr>
              <w:t>为感染艾滋病病毒；如果同时出现了明显临床症状或体征的，为患艾滋病。</w:t>
            </w:r>
          </w:p>
        </w:tc>
      </w:tr>
      <w:tr>
        <w:trPr>
          <w:trHeight w:val="638" w:hRule="atLeast"/>
        </w:trPr>
        <w:tc>
          <w:tcPr>
            <w:tcW w:w="1537" w:type="dxa"/>
          </w:tcPr>
          <w:p>
            <w:pPr>
              <w:pStyle w:val="TableParagraph"/>
              <w:ind w:left="200"/>
              <w:rPr>
                <w:sz w:val="21"/>
              </w:rPr>
            </w:pPr>
            <w:r>
              <w:rPr>
                <w:sz w:val="21"/>
              </w:rPr>
              <w:t>遗传性疾病</w:t>
            </w:r>
          </w:p>
        </w:tc>
        <w:tc>
          <w:tcPr>
            <w:tcW w:w="318" w:type="dxa"/>
          </w:tcPr>
          <w:p>
            <w:pPr>
              <w:pStyle w:val="TableParagraph"/>
              <w:ind w:left="0" w:right="3"/>
              <w:jc w:val="center"/>
              <w:rPr>
                <w:sz w:val="21"/>
              </w:rPr>
            </w:pPr>
            <w:r>
              <w:rPr>
                <w:w w:val="100"/>
                <w:sz w:val="21"/>
              </w:rPr>
              <w:t>：</w:t>
            </w:r>
          </w:p>
        </w:tc>
        <w:tc>
          <w:tcPr>
            <w:tcW w:w="8547" w:type="dxa"/>
          </w:tcPr>
          <w:p>
            <w:pPr>
              <w:pStyle w:val="TableParagraph"/>
              <w:rPr>
                <w:sz w:val="21"/>
              </w:rPr>
            </w:pPr>
            <w:r>
              <w:rPr>
                <w:sz w:val="21"/>
              </w:rPr>
              <w:t>指生殖细胞或受精卵的遗传物质（染色体和基因）发生突变或畸变所引起的疾病，通常具</w:t>
            </w:r>
          </w:p>
          <w:p>
            <w:pPr>
              <w:pStyle w:val="TableParagraph"/>
              <w:spacing w:before="42"/>
              <w:rPr>
                <w:sz w:val="21"/>
              </w:rPr>
            </w:pPr>
            <w:r>
              <w:rPr>
                <w:sz w:val="21"/>
              </w:rPr>
              <w:t>有由亲代传至后代的垂直传递的特征。</w:t>
            </w:r>
          </w:p>
        </w:tc>
      </w:tr>
      <w:tr>
        <w:trPr>
          <w:trHeight w:val="960" w:hRule="atLeast"/>
        </w:trPr>
        <w:tc>
          <w:tcPr>
            <w:tcW w:w="1537" w:type="dxa"/>
          </w:tcPr>
          <w:p>
            <w:pPr>
              <w:pStyle w:val="TableParagraph"/>
              <w:spacing w:line="275" w:lineRule="exact"/>
              <w:ind w:left="200"/>
              <w:rPr>
                <w:sz w:val="21"/>
              </w:rPr>
            </w:pPr>
            <w:r>
              <w:rPr>
                <w:sz w:val="21"/>
              </w:rPr>
              <w:t>先天性畸形、</w:t>
            </w:r>
          </w:p>
          <w:p>
            <w:pPr>
              <w:pStyle w:val="TableParagraph"/>
              <w:spacing w:line="310" w:lineRule="atLeast" w:before="11"/>
              <w:ind w:left="200" w:right="49"/>
              <w:rPr>
                <w:sz w:val="21"/>
              </w:rPr>
            </w:pPr>
            <w:r>
              <w:rPr>
                <w:sz w:val="21"/>
              </w:rPr>
              <w:t>变形或染色体异常</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80" w:lineRule="auto"/>
              <w:ind w:right="20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641" w:hRule="atLeast"/>
        </w:trPr>
        <w:tc>
          <w:tcPr>
            <w:tcW w:w="1537" w:type="dxa"/>
          </w:tcPr>
          <w:p>
            <w:pPr>
              <w:pStyle w:val="TableParagraph"/>
              <w:ind w:left="200"/>
              <w:rPr>
                <w:sz w:val="21"/>
              </w:rPr>
            </w:pPr>
            <w:r>
              <w:rPr>
                <w:sz w:val="21"/>
              </w:rPr>
              <w:t>现金价值</w:t>
            </w:r>
          </w:p>
        </w:tc>
        <w:tc>
          <w:tcPr>
            <w:tcW w:w="318" w:type="dxa"/>
          </w:tcPr>
          <w:p>
            <w:pPr>
              <w:pStyle w:val="TableParagraph"/>
              <w:ind w:left="0" w:right="3"/>
              <w:jc w:val="center"/>
              <w:rPr>
                <w:sz w:val="21"/>
              </w:rPr>
            </w:pPr>
            <w:r>
              <w:rPr>
                <w:w w:val="100"/>
                <w:sz w:val="21"/>
              </w:rPr>
              <w:t>：</w:t>
            </w:r>
          </w:p>
        </w:tc>
        <w:tc>
          <w:tcPr>
            <w:tcW w:w="8547" w:type="dxa"/>
          </w:tcPr>
          <w:p>
            <w:pPr>
              <w:pStyle w:val="TableParagraph"/>
              <w:rPr>
                <w:sz w:val="21"/>
              </w:rPr>
            </w:pPr>
            <w:r>
              <w:rPr>
                <w:sz w:val="21"/>
              </w:rPr>
              <w:t>指保险单所具有的价值，通常体现为解除合同时，根据精算原理计算的，由本公司退还的</w:t>
            </w:r>
          </w:p>
          <w:p>
            <w:pPr>
              <w:pStyle w:val="TableParagraph"/>
              <w:spacing w:before="46"/>
              <w:rPr>
                <w:sz w:val="21"/>
              </w:rPr>
            </w:pPr>
            <w:r>
              <w:rPr>
                <w:sz w:val="21"/>
              </w:rPr>
              <w:t>那部分金额。</w:t>
            </w:r>
          </w:p>
        </w:tc>
      </w:tr>
      <w:tr>
        <w:trPr>
          <w:trHeight w:val="640" w:hRule="atLeast"/>
        </w:trPr>
        <w:tc>
          <w:tcPr>
            <w:tcW w:w="1537" w:type="dxa"/>
          </w:tcPr>
          <w:p>
            <w:pPr>
              <w:pStyle w:val="TableParagraph"/>
              <w:spacing w:line="272" w:lineRule="exact"/>
              <w:ind w:left="200"/>
              <w:rPr>
                <w:sz w:val="21"/>
              </w:rPr>
            </w:pPr>
            <w:r>
              <w:rPr>
                <w:sz w:val="21"/>
              </w:rPr>
              <w:t>保单年度</w:t>
            </w:r>
          </w:p>
        </w:tc>
        <w:tc>
          <w:tcPr>
            <w:tcW w:w="318" w:type="dxa"/>
          </w:tcPr>
          <w:p>
            <w:pPr>
              <w:pStyle w:val="TableParagraph"/>
              <w:spacing w:line="272" w:lineRule="exact"/>
              <w:ind w:left="0" w:right="3"/>
              <w:jc w:val="center"/>
              <w:rPr>
                <w:sz w:val="21"/>
              </w:rPr>
            </w:pPr>
            <w:r>
              <w:rPr>
                <w:w w:val="100"/>
                <w:sz w:val="21"/>
              </w:rPr>
              <w:t>：</w:t>
            </w:r>
          </w:p>
        </w:tc>
        <w:tc>
          <w:tcPr>
            <w:tcW w:w="8547" w:type="dxa"/>
          </w:tcPr>
          <w:p>
            <w:pPr>
              <w:pStyle w:val="TableParagraph"/>
              <w:spacing w:line="288" w:lineRule="exact"/>
              <w:rPr>
                <w:sz w:val="21"/>
              </w:rPr>
            </w:pPr>
            <w:r>
              <w:rPr>
                <w:sz w:val="21"/>
              </w:rPr>
              <w:t>合同生效日 </w:t>
            </w:r>
            <w:r>
              <w:rPr>
                <w:rFonts w:ascii="Times New Roman" w:eastAsia="Times New Roman"/>
                <w:sz w:val="21"/>
              </w:rPr>
              <w:t>24 </w:t>
            </w:r>
            <w:r>
              <w:rPr>
                <w:sz w:val="21"/>
              </w:rPr>
              <w:t>时起至第一个保单周年日 </w:t>
            </w:r>
            <w:r>
              <w:rPr>
                <w:rFonts w:ascii="Times New Roman" w:eastAsia="Times New Roman"/>
                <w:sz w:val="21"/>
              </w:rPr>
              <w:t>24 </w:t>
            </w:r>
            <w:r>
              <w:rPr>
                <w:sz w:val="21"/>
              </w:rPr>
              <w:t>时止为第一个保单年度，此后每个保单周年日</w:t>
            </w:r>
          </w:p>
          <w:p>
            <w:pPr>
              <w:pStyle w:val="TableParagraph"/>
              <w:spacing w:before="31"/>
              <w:rPr>
                <w:sz w:val="21"/>
              </w:rPr>
            </w:pPr>
            <w:r>
              <w:rPr>
                <w:rFonts w:ascii="Times New Roman" w:eastAsia="Times New Roman"/>
                <w:sz w:val="21"/>
              </w:rPr>
              <w:t>24 </w:t>
            </w:r>
            <w:r>
              <w:rPr>
                <w:sz w:val="21"/>
              </w:rPr>
              <w:t>时起至下一保单周年日 </w:t>
            </w:r>
            <w:r>
              <w:rPr>
                <w:rFonts w:ascii="Times New Roman" w:eastAsia="Times New Roman"/>
                <w:sz w:val="21"/>
              </w:rPr>
              <w:t>24 </w:t>
            </w:r>
            <w:r>
              <w:rPr>
                <w:sz w:val="21"/>
              </w:rPr>
              <w:t>时止为一个保单年度。</w:t>
            </w:r>
          </w:p>
        </w:tc>
      </w:tr>
      <w:tr>
        <w:trPr>
          <w:trHeight w:val="638" w:hRule="atLeast"/>
        </w:trPr>
        <w:tc>
          <w:tcPr>
            <w:tcW w:w="1537" w:type="dxa"/>
          </w:tcPr>
          <w:p>
            <w:pPr>
              <w:pStyle w:val="TableParagraph"/>
              <w:spacing w:line="275" w:lineRule="exact"/>
              <w:ind w:left="200"/>
              <w:rPr>
                <w:sz w:val="21"/>
              </w:rPr>
            </w:pPr>
            <w:r>
              <w:rPr>
                <w:sz w:val="21"/>
              </w:rPr>
              <w:t>肢体机能完全</w:t>
            </w:r>
          </w:p>
          <w:p>
            <w:pPr>
              <w:pStyle w:val="TableParagraph"/>
              <w:spacing w:before="42"/>
              <w:ind w:left="200"/>
              <w:rPr>
                <w:sz w:val="21"/>
              </w:rPr>
            </w:pPr>
            <w:r>
              <w:rPr>
                <w:sz w:val="21"/>
              </w:rPr>
              <w:t>丧失</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75" w:lineRule="exact"/>
              <w:rPr>
                <w:sz w:val="21"/>
              </w:rPr>
            </w:pPr>
            <w:r>
              <w:rPr>
                <w:sz w:val="21"/>
              </w:rPr>
              <w:t>指肢体的三大关节中的两大关节僵硬，或不能随意识活动。肢体是指包括肩关节的整个上</w:t>
            </w:r>
          </w:p>
          <w:p>
            <w:pPr>
              <w:pStyle w:val="TableParagraph"/>
              <w:spacing w:before="42"/>
              <w:rPr>
                <w:sz w:val="21"/>
              </w:rPr>
            </w:pPr>
            <w:r>
              <w:rPr>
                <w:sz w:val="21"/>
              </w:rPr>
              <w:t>肢或包括髋关节的整个下肢。</w:t>
            </w:r>
          </w:p>
        </w:tc>
      </w:tr>
      <w:tr>
        <w:trPr>
          <w:trHeight w:val="302" w:hRule="atLeast"/>
        </w:trPr>
        <w:tc>
          <w:tcPr>
            <w:tcW w:w="1537" w:type="dxa"/>
          </w:tcPr>
          <w:p>
            <w:pPr>
              <w:pStyle w:val="TableParagraph"/>
              <w:spacing w:line="275" w:lineRule="exact"/>
              <w:ind w:left="200"/>
              <w:rPr>
                <w:sz w:val="21"/>
              </w:rPr>
            </w:pPr>
            <w:r>
              <w:rPr>
                <w:sz w:val="21"/>
              </w:rPr>
              <w:t>语言能力完全</w:t>
            </w:r>
          </w:p>
        </w:tc>
        <w:tc>
          <w:tcPr>
            <w:tcW w:w="318" w:type="dxa"/>
          </w:tcPr>
          <w:p>
            <w:pPr>
              <w:pStyle w:val="TableParagraph"/>
              <w:spacing w:line="275" w:lineRule="exact"/>
              <w:ind w:left="0" w:right="3"/>
              <w:jc w:val="center"/>
              <w:rPr>
                <w:sz w:val="21"/>
              </w:rPr>
            </w:pPr>
            <w:r>
              <w:rPr>
                <w:w w:val="100"/>
                <w:sz w:val="21"/>
              </w:rPr>
              <w:t>：</w:t>
            </w:r>
          </w:p>
        </w:tc>
        <w:tc>
          <w:tcPr>
            <w:tcW w:w="8547" w:type="dxa"/>
          </w:tcPr>
          <w:p>
            <w:pPr>
              <w:pStyle w:val="TableParagraph"/>
              <w:spacing w:line="275" w:lineRule="exact"/>
              <w:rPr>
                <w:sz w:val="21"/>
              </w:rPr>
            </w:pPr>
            <w:r>
              <w:rPr>
                <w:sz w:val="21"/>
              </w:rPr>
              <w:t>指无法发出四种语音（包括口唇音、齿舌音、口盖音和喉头音）中的任何三种、或声带全</w:t>
            </w:r>
          </w:p>
        </w:tc>
      </w:tr>
    </w:tbl>
    <w:p>
      <w:pPr>
        <w:spacing w:after="0" w:line="275" w:lineRule="exact"/>
        <w:rPr>
          <w:sz w:val="21"/>
        </w:rPr>
        <w:sectPr>
          <w:pgSz w:w="11910" w:h="16840"/>
          <w:pgMar w:header="0" w:footer="496" w:top="780" w:bottom="760" w:left="82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43"/>
      </w:tblGrid>
      <w:tr>
        <w:trPr>
          <w:trHeight w:val="302" w:hRule="atLeast"/>
        </w:trPr>
        <w:tc>
          <w:tcPr>
            <w:tcW w:w="1537" w:type="dxa"/>
          </w:tcPr>
          <w:p>
            <w:pPr>
              <w:pStyle w:val="TableParagraph"/>
              <w:spacing w:line="255" w:lineRule="exact"/>
              <w:ind w:left="200"/>
              <w:rPr>
                <w:sz w:val="21"/>
              </w:rPr>
            </w:pPr>
            <w:r>
              <w:rPr>
                <w:sz w:val="21"/>
              </w:rPr>
              <w:t>丧失</w:t>
            </w:r>
          </w:p>
        </w:tc>
        <w:tc>
          <w:tcPr>
            <w:tcW w:w="318" w:type="dxa"/>
          </w:tcPr>
          <w:p>
            <w:pPr>
              <w:pStyle w:val="TableParagraph"/>
              <w:ind w:left="0"/>
              <w:rPr>
                <w:rFonts w:ascii="Times New Roman"/>
                <w:sz w:val="20"/>
              </w:rPr>
            </w:pPr>
          </w:p>
        </w:tc>
        <w:tc>
          <w:tcPr>
            <w:tcW w:w="8543" w:type="dxa"/>
          </w:tcPr>
          <w:p>
            <w:pPr>
              <w:pStyle w:val="TableParagraph"/>
              <w:spacing w:line="255" w:lineRule="exact"/>
              <w:rPr>
                <w:sz w:val="21"/>
              </w:rPr>
            </w:pPr>
            <w:r>
              <w:rPr>
                <w:sz w:val="21"/>
              </w:rPr>
              <w:t>部切除，或因大脑语言中枢受伤害而患失语症。</w:t>
            </w:r>
          </w:p>
        </w:tc>
      </w:tr>
      <w:tr>
        <w:trPr>
          <w:trHeight w:val="640" w:hRule="atLeast"/>
        </w:trPr>
        <w:tc>
          <w:tcPr>
            <w:tcW w:w="1537" w:type="dxa"/>
          </w:tcPr>
          <w:p>
            <w:pPr>
              <w:pStyle w:val="TableParagraph"/>
              <w:spacing w:line="275" w:lineRule="exact"/>
              <w:ind w:left="200"/>
              <w:rPr>
                <w:sz w:val="21"/>
              </w:rPr>
            </w:pPr>
            <w:r>
              <w:rPr>
                <w:sz w:val="21"/>
              </w:rPr>
              <w:t>咀嚼吞咽能力</w:t>
            </w:r>
          </w:p>
          <w:p>
            <w:pPr>
              <w:pStyle w:val="TableParagraph"/>
              <w:spacing w:before="46"/>
              <w:ind w:left="200"/>
              <w:rPr>
                <w:sz w:val="21"/>
              </w:rPr>
            </w:pPr>
            <w:r>
              <w:rPr>
                <w:sz w:val="21"/>
              </w:rPr>
              <w:t>完全丧失</w:t>
            </w:r>
          </w:p>
        </w:tc>
        <w:tc>
          <w:tcPr>
            <w:tcW w:w="318" w:type="dxa"/>
          </w:tcPr>
          <w:p>
            <w:pPr>
              <w:pStyle w:val="TableParagraph"/>
              <w:spacing w:line="275" w:lineRule="exact"/>
              <w:ind w:left="0" w:right="3"/>
              <w:jc w:val="center"/>
              <w:rPr>
                <w:sz w:val="21"/>
              </w:rPr>
            </w:pPr>
            <w:r>
              <w:rPr>
                <w:w w:val="100"/>
                <w:sz w:val="21"/>
              </w:rPr>
              <w:t>：</w:t>
            </w:r>
          </w:p>
        </w:tc>
        <w:tc>
          <w:tcPr>
            <w:tcW w:w="8543" w:type="dxa"/>
          </w:tcPr>
          <w:p>
            <w:pPr>
              <w:pStyle w:val="TableParagraph"/>
              <w:spacing w:line="275" w:lineRule="exact"/>
              <w:rPr>
                <w:sz w:val="21"/>
              </w:rPr>
            </w:pPr>
            <w:r>
              <w:rPr>
                <w:sz w:val="21"/>
              </w:rPr>
              <w:t>指因牙齿以外的原因导致器质障碍或机能障碍，以致不能作咀嚼吞咽运动，除流质食物外</w:t>
            </w:r>
          </w:p>
          <w:p>
            <w:pPr>
              <w:pStyle w:val="TableParagraph"/>
              <w:spacing w:before="46"/>
              <w:rPr>
                <w:sz w:val="21"/>
              </w:rPr>
            </w:pPr>
            <w:r>
              <w:rPr>
                <w:sz w:val="21"/>
              </w:rPr>
              <w:t>不能摄取或吞咽的状态。</w:t>
            </w:r>
          </w:p>
        </w:tc>
      </w:tr>
      <w:tr>
        <w:trPr>
          <w:trHeight w:val="2240" w:hRule="atLeast"/>
        </w:trPr>
        <w:tc>
          <w:tcPr>
            <w:tcW w:w="1537" w:type="dxa"/>
          </w:tcPr>
          <w:p>
            <w:pPr>
              <w:pStyle w:val="TableParagraph"/>
              <w:spacing w:line="280" w:lineRule="auto"/>
              <w:ind w:left="200" w:right="49"/>
              <w:rPr>
                <w:sz w:val="21"/>
              </w:rPr>
            </w:pPr>
            <w:r>
              <w:rPr>
                <w:sz w:val="21"/>
              </w:rPr>
              <w:t>六项基本日常生活活动</w:t>
            </w:r>
          </w:p>
        </w:tc>
        <w:tc>
          <w:tcPr>
            <w:tcW w:w="318" w:type="dxa"/>
          </w:tcPr>
          <w:p>
            <w:pPr>
              <w:pStyle w:val="TableParagraph"/>
              <w:spacing w:line="272" w:lineRule="exact"/>
              <w:ind w:left="0" w:right="3"/>
              <w:jc w:val="center"/>
              <w:rPr>
                <w:sz w:val="21"/>
              </w:rPr>
            </w:pPr>
            <w:r>
              <w:rPr>
                <w:w w:val="100"/>
                <w:sz w:val="21"/>
              </w:rPr>
              <w:t>：</w:t>
            </w:r>
          </w:p>
        </w:tc>
        <w:tc>
          <w:tcPr>
            <w:tcW w:w="8543" w:type="dxa"/>
          </w:tcPr>
          <w:p>
            <w:pPr>
              <w:pStyle w:val="TableParagraph"/>
              <w:spacing w:line="272" w:lineRule="exact"/>
              <w:rPr>
                <w:sz w:val="21"/>
              </w:rPr>
            </w:pPr>
            <w:r>
              <w:rPr>
                <w:sz w:val="21"/>
              </w:rPr>
              <w:t>六项基本日常生活活动是指：</w:t>
            </w:r>
          </w:p>
          <w:p>
            <w:pPr>
              <w:pStyle w:val="TableParagraph"/>
              <w:spacing w:before="46"/>
              <w:rPr>
                <w:sz w:val="21"/>
              </w:rPr>
            </w:pPr>
            <w:r>
              <w:rPr>
                <w:sz w:val="21"/>
              </w:rPr>
              <w:t>（</w:t>
            </w:r>
            <w:r>
              <w:rPr>
                <w:rFonts w:ascii="Times New Roman" w:eastAsia="Times New Roman"/>
                <w:sz w:val="21"/>
              </w:rPr>
              <w:t>1</w:t>
            </w:r>
            <w:r>
              <w:rPr>
                <w:sz w:val="21"/>
              </w:rPr>
              <w:t>）穿衣：自己能够穿衣及脱衣；</w:t>
            </w:r>
          </w:p>
          <w:p>
            <w:pPr>
              <w:pStyle w:val="TableParagraph"/>
              <w:spacing w:before="30"/>
              <w:rPr>
                <w:sz w:val="21"/>
              </w:rPr>
            </w:pPr>
            <w:r>
              <w:rPr>
                <w:sz w:val="21"/>
              </w:rPr>
              <w:t>（</w:t>
            </w:r>
            <w:r>
              <w:rPr>
                <w:rFonts w:ascii="Times New Roman" w:eastAsia="Times New Roman"/>
                <w:sz w:val="21"/>
              </w:rPr>
              <w:t>2</w:t>
            </w:r>
            <w:r>
              <w:rPr>
                <w:sz w:val="21"/>
              </w:rPr>
              <w:t>）移动：自己从一个房间到另一个房间；</w:t>
            </w:r>
          </w:p>
          <w:p>
            <w:pPr>
              <w:pStyle w:val="TableParagraph"/>
              <w:spacing w:before="25"/>
              <w:rPr>
                <w:sz w:val="21"/>
              </w:rPr>
            </w:pPr>
            <w:r>
              <w:rPr>
                <w:sz w:val="21"/>
              </w:rPr>
              <w:t>（</w:t>
            </w:r>
            <w:r>
              <w:rPr>
                <w:rFonts w:ascii="Times New Roman" w:eastAsia="Times New Roman"/>
                <w:sz w:val="21"/>
              </w:rPr>
              <w:t>3</w:t>
            </w:r>
            <w:r>
              <w:rPr>
                <w:sz w:val="21"/>
              </w:rPr>
              <w:t>）行动：自己上下床或上下轮椅；</w:t>
            </w:r>
          </w:p>
          <w:p>
            <w:pPr>
              <w:pStyle w:val="TableParagraph"/>
              <w:spacing w:before="30"/>
              <w:rPr>
                <w:sz w:val="21"/>
              </w:rPr>
            </w:pPr>
            <w:r>
              <w:rPr>
                <w:sz w:val="21"/>
              </w:rPr>
              <w:t>（</w:t>
            </w:r>
            <w:r>
              <w:rPr>
                <w:rFonts w:ascii="Times New Roman" w:eastAsia="Times New Roman"/>
                <w:sz w:val="21"/>
              </w:rPr>
              <w:t>4</w:t>
            </w:r>
            <w:r>
              <w:rPr>
                <w:sz w:val="21"/>
              </w:rPr>
              <w:t>）如厕：自己控制进行大小便；</w:t>
            </w:r>
          </w:p>
          <w:p>
            <w:pPr>
              <w:pStyle w:val="TableParagraph"/>
              <w:spacing w:before="30"/>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5"/>
              <w:rPr>
                <w:sz w:val="21"/>
              </w:rPr>
            </w:pPr>
            <w:r>
              <w:rPr>
                <w:sz w:val="21"/>
              </w:rPr>
              <w:t>（</w:t>
            </w:r>
            <w:r>
              <w:rPr>
                <w:rFonts w:ascii="Times New Roman" w:eastAsia="Times New Roman"/>
                <w:sz w:val="21"/>
              </w:rPr>
              <w:t>6</w:t>
            </w:r>
            <w:r>
              <w:rPr>
                <w:sz w:val="21"/>
              </w:rPr>
              <w:t>）洗澡：自己进行淋浴或盆浴。</w:t>
            </w:r>
          </w:p>
        </w:tc>
      </w:tr>
      <w:tr>
        <w:trPr>
          <w:trHeight w:val="624" w:hRule="atLeast"/>
        </w:trPr>
        <w:tc>
          <w:tcPr>
            <w:tcW w:w="1537" w:type="dxa"/>
          </w:tcPr>
          <w:p>
            <w:pPr>
              <w:pStyle w:val="TableParagraph"/>
              <w:ind w:left="200"/>
              <w:rPr>
                <w:sz w:val="21"/>
              </w:rPr>
            </w:pPr>
            <w:r>
              <w:rPr>
                <w:sz w:val="21"/>
              </w:rPr>
              <w:t>永久不可逆</w:t>
            </w:r>
          </w:p>
        </w:tc>
        <w:tc>
          <w:tcPr>
            <w:tcW w:w="318" w:type="dxa"/>
          </w:tcPr>
          <w:p>
            <w:pPr>
              <w:pStyle w:val="TableParagraph"/>
              <w:ind w:left="0" w:right="3"/>
              <w:jc w:val="center"/>
              <w:rPr>
                <w:sz w:val="21"/>
              </w:rPr>
            </w:pPr>
            <w:r>
              <w:rPr>
                <w:w w:val="100"/>
                <w:sz w:val="21"/>
              </w:rPr>
              <w:t>：</w:t>
            </w:r>
          </w:p>
        </w:tc>
        <w:tc>
          <w:tcPr>
            <w:tcW w:w="8543" w:type="dxa"/>
          </w:tcPr>
          <w:p>
            <w:pPr>
              <w:pStyle w:val="TableParagraph"/>
              <w:rPr>
                <w:sz w:val="21"/>
              </w:rPr>
            </w:pPr>
            <w:r>
              <w:rPr>
                <w:sz w:val="21"/>
              </w:rPr>
              <w:t>指自疾病确诊或意外伤害发生之日起，经过积极治疗 </w:t>
            </w:r>
            <w:r>
              <w:rPr>
                <w:rFonts w:ascii="Times New Roman" w:eastAsia="Times New Roman"/>
                <w:sz w:val="21"/>
              </w:rPr>
              <w:t>180  </w:t>
            </w:r>
            <w:r>
              <w:rPr>
                <w:sz w:val="21"/>
              </w:rPr>
              <w:t>天，仍无法通过现有医疗手段恢</w:t>
            </w:r>
          </w:p>
          <w:p>
            <w:pPr>
              <w:pStyle w:val="TableParagraph"/>
              <w:spacing w:before="31"/>
              <w:rPr>
                <w:sz w:val="21"/>
              </w:rPr>
            </w:pPr>
            <w:r>
              <w:rPr>
                <w:sz w:val="21"/>
              </w:rPr>
              <w:t>复。</w:t>
            </w:r>
          </w:p>
        </w:tc>
      </w:tr>
    </w:tbl>
    <w:sectPr>
      <w:pgSz w:w="11910" w:h="16840"/>
      <w:pgMar w:header="0" w:footer="496" w:top="860" w:bottom="680" w:left="8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02.122498pt;width:193.6pt;height:11.15pt;mso-position-horizontal-relative:page;mso-position-vertical-relative:page;z-index:-19576" type="#_x0000_t202" filled="false" stroked="false">
          <v:textbox inset="0,0,0,0">
            <w:txbxContent>
              <w:p>
                <w:pPr>
                  <w:spacing w:line="202" w:lineRule="exact" w:before="0"/>
                  <w:ind w:left="20" w:right="0" w:firstLine="0"/>
                  <w:jc w:val="left"/>
                  <w:rPr>
                    <w:sz w:val="18"/>
                  </w:rPr>
                </w:pPr>
                <w:r>
                  <w:rPr>
                    <w:spacing w:val="-5"/>
                    <w:sz w:val="18"/>
                  </w:rPr>
                  <w:t>《附加龙行康佑重大疾病保险》</w:t>
                </w:r>
                <w:r>
                  <w:rPr>
                    <w:sz w:val="18"/>
                  </w:rPr>
                  <w:t>2013</w:t>
                </w:r>
                <w:r>
                  <w:rPr>
                    <w:spacing w:val="-23"/>
                    <w:sz w:val="18"/>
                  </w:rPr>
                  <w:t> 年 </w:t>
                </w:r>
                <w:r>
                  <w:rPr>
                    <w:sz w:val="18"/>
                  </w:rPr>
                  <w:t>9</w:t>
                </w:r>
                <w:r>
                  <w:rPr>
                    <w:spacing w:val="-10"/>
                    <w:sz w:val="18"/>
                  </w:rPr>
                  <w:t> 月备案</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P000800923</dc:creator>
  <dc:title>太平洋安泰人寿保险有限公司</dc:title>
  <dcterms:created xsi:type="dcterms:W3CDTF">2018-10-20T02:14:59Z</dcterms:created>
  <dcterms:modified xsi:type="dcterms:W3CDTF">2018-10-20T02:14:59Z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Microsoft® Office Word 2007</vt:lpwstr>
  </property>
  <property fmtid="{D5CDD505-2E9C-101B-9397-08002B2CF9AE}" pid="4" name="LastSaved">
    <vt:filetime>2018-10-19T00:00:00Z</vt:filetime>
  </property>
</Properties>
</file>