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4"/>
        <w:ind w:left="0" w:right="112" w:firstLine="0"/>
        <w:jc w:val="right"/>
        <w:rPr>
          <w:sz w:val="16"/>
        </w:rPr>
      </w:pPr>
      <w:r>
        <w:rPr/>
        <w:drawing>
          <wp:anchor distT="0" distB="0" distL="0" distR="0" allowOverlap="1" layoutInCell="1" locked="0" behindDoc="0" simplePos="0" relativeHeight="1048">
            <wp:simplePos x="0" y="0"/>
            <wp:positionH relativeFrom="page">
              <wp:posOffset>6181090</wp:posOffset>
            </wp:positionH>
            <wp:positionV relativeFrom="paragraph">
              <wp:posOffset>236140</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16"/>
        </w:rPr>
        <w:t>华夏人寿[2016]疾病保险049 号</w:t>
      </w:r>
    </w:p>
    <w:p>
      <w:pPr>
        <w:pStyle w:val="BodyText"/>
        <w:rPr>
          <w:sz w:val="20"/>
        </w:rPr>
      </w:pPr>
    </w:p>
    <w:p>
      <w:pPr>
        <w:spacing w:after="0"/>
        <w:rPr>
          <w:sz w:val="20"/>
        </w:rPr>
        <w:sectPr>
          <w:type w:val="continuous"/>
          <w:pgSz w:w="11910" w:h="16840"/>
          <w:pgMar w:top="420" w:bottom="280" w:left="700" w:right="380"/>
        </w:sectPr>
      </w:pPr>
    </w:p>
    <w:p>
      <w:pPr>
        <w:spacing w:line="259" w:lineRule="auto" w:before="142"/>
        <w:ind w:left="2382" w:right="446" w:hanging="1"/>
        <w:jc w:val="center"/>
        <w:rPr>
          <w:b/>
          <w:sz w:val="44"/>
        </w:rPr>
      </w:pPr>
      <w:r>
        <w:rPr>
          <w:b/>
          <w:sz w:val="44"/>
        </w:rPr>
        <w:t>华夏人寿保险股份有限公司 </w:t>
      </w:r>
      <w:r>
        <w:rPr>
          <w:b/>
          <w:w w:val="95"/>
          <w:sz w:val="44"/>
        </w:rPr>
        <w:t>附加长春藤重大疾病保险条款</w:t>
      </w:r>
    </w:p>
    <w:p>
      <w:pPr>
        <w:spacing w:before="169"/>
        <w:ind w:left="1933" w:right="0" w:firstLine="0"/>
        <w:jc w:val="center"/>
        <w:rPr>
          <w:b/>
          <w:sz w:val="44"/>
        </w:rPr>
      </w:pPr>
      <w:r>
        <w:rPr>
          <w:b/>
          <w:w w:val="95"/>
          <w:sz w:val="44"/>
        </w:rPr>
        <w:t>阅读指引</w:t>
      </w:r>
    </w:p>
    <w:p>
      <w:pPr>
        <w:pStyle w:val="BodyText"/>
        <w:spacing w:before="240"/>
        <w:ind w:left="1995"/>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50"/>
          <w:w w:val="100"/>
        </w:rPr>
        <w:t>款</w:t>
      </w:r>
      <w:r>
        <w:rPr>
          <w:spacing w:val="-63"/>
          <w:w w:val="100"/>
          <w:position w:val="-7"/>
        </w:rPr>
        <w:t>．</w:t>
      </w:r>
      <w:r>
        <w:rPr>
          <w:spacing w:val="-152"/>
          <w:w w:val="100"/>
        </w:rPr>
        <w:t>为</w:t>
      </w:r>
      <w:r>
        <w:rPr>
          <w:spacing w:val="-63"/>
          <w:w w:val="100"/>
          <w:position w:val="-7"/>
        </w:rPr>
        <w:t>．</w:t>
      </w:r>
      <w:r>
        <w:rPr>
          <w:spacing w:val="-150"/>
          <w:w w:val="100"/>
        </w:rPr>
        <w:t>准</w:t>
      </w:r>
      <w:r>
        <w:rPr>
          <w:spacing w:val="-63"/>
          <w:w w:val="100"/>
          <w:position w:val="-7"/>
        </w:rPr>
        <w:t>．</w:t>
      </w:r>
      <w:r>
        <w:rPr>
          <w:spacing w:val="-152"/>
          <w:w w:val="100"/>
        </w:rPr>
        <w:t>。</w:t>
      </w:r>
      <w:r>
        <w:rPr>
          <w:w w:val="100"/>
          <w:position w:val="-7"/>
        </w:rPr>
        <w:t>．</w:t>
      </w:r>
    </w:p>
    <w:p>
      <w:pPr>
        <w:pStyle w:val="BodyText"/>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9"/>
        </w:rPr>
      </w:pPr>
    </w:p>
    <w:p>
      <w:pPr>
        <w:spacing w:before="0"/>
        <w:ind w:left="193" w:right="0" w:firstLine="0"/>
        <w:jc w:val="left"/>
        <w:rPr>
          <w:rFonts w:ascii="仿宋" w:eastAsia="仿宋" w:hint="eastAsia"/>
          <w:sz w:val="16"/>
        </w:rPr>
      </w:pPr>
      <w:r>
        <w:rPr>
          <w:rFonts w:ascii="仿宋" w:eastAsia="仿宋" w:hint="eastAsia"/>
          <w:sz w:val="16"/>
        </w:rPr>
        <w:t>请扫描以查询验证条款</w:t>
      </w:r>
    </w:p>
    <w:p>
      <w:pPr>
        <w:spacing w:after="0"/>
        <w:jc w:val="left"/>
        <w:rPr>
          <w:rFonts w:ascii="仿宋" w:eastAsia="仿宋" w:hint="eastAsia"/>
          <w:sz w:val="16"/>
        </w:rPr>
        <w:sectPr>
          <w:type w:val="continuous"/>
          <w:pgSz w:w="11910" w:h="16840"/>
          <w:pgMar w:top="420" w:bottom="280" w:left="700" w:right="380"/>
          <w:cols w:num="2" w:equalWidth="0">
            <w:col w:w="8573" w:space="40"/>
            <w:col w:w="2217"/>
          </w:cols>
        </w:sectPr>
      </w:pPr>
    </w:p>
    <w:p>
      <w:pPr>
        <w:pStyle w:val="BodyText"/>
        <w:rPr>
          <w:rFonts w:ascii="仿宋"/>
          <w:sz w:val="20"/>
        </w:rPr>
      </w:pPr>
    </w:p>
    <w:p>
      <w:pPr>
        <w:pStyle w:val="BodyText"/>
        <w:spacing w:before="3"/>
        <w:rPr>
          <w:rFonts w:ascii="仿宋"/>
          <w:sz w:val="18"/>
        </w:rPr>
      </w:pPr>
    </w:p>
    <w:p>
      <w:pPr>
        <w:tabs>
          <w:tab w:pos="1261" w:val="left" w:leader="none"/>
        </w:tabs>
        <w:spacing w:before="52"/>
        <w:ind w:left="247" w:right="0" w:firstLine="0"/>
        <w:jc w:val="left"/>
        <w:rPr>
          <w:b/>
          <w:sz w:val="21"/>
        </w:rPr>
      </w:pPr>
      <w:r>
        <w:rPr/>
        <w:drawing>
          <wp:anchor distT="0" distB="0" distL="0" distR="0" allowOverlap="1" layoutInCell="1" locked="0" behindDoc="1" simplePos="0" relativeHeight="268381391">
            <wp:simplePos x="0" y="0"/>
            <wp:positionH relativeFrom="page">
              <wp:posOffset>512063</wp:posOffset>
            </wp:positionH>
            <wp:positionV relativeFrom="paragraph">
              <wp:posOffset>-195228</wp:posOffset>
            </wp:positionV>
            <wp:extent cx="6534658" cy="708756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534658" cy="7087565"/>
                    </a:xfrm>
                    <a:prstGeom prst="rect">
                      <a:avLst/>
                    </a:prstGeom>
                  </pic:spPr>
                </pic:pic>
              </a:graphicData>
            </a:graphic>
          </wp:anchor>
        </w:drawing>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554" w:val="left" w:leader="none"/>
        </w:tabs>
        <w:spacing w:line="240" w:lineRule="auto" w:before="26" w:after="0"/>
        <w:ind w:left="1554" w:right="0" w:hanging="334"/>
        <w:jc w:val="left"/>
        <w:rPr>
          <w:sz w:val="21"/>
        </w:rPr>
      </w:pPr>
      <w:r>
        <w:rPr>
          <w:spacing w:val="-3"/>
          <w:sz w:val="21"/>
        </w:rPr>
        <w:t>签收本附加合同之日起</w:t>
      </w:r>
      <w:r>
        <w:rPr>
          <w:spacing w:val="-1"/>
          <w:sz w:val="21"/>
        </w:rPr>
        <w:t>15日内</w:t>
      </w:r>
      <w:r>
        <w:rPr>
          <w:spacing w:val="-3"/>
          <w:sz w:val="21"/>
        </w:rPr>
        <w:t>（</w:t>
      </w:r>
      <w:r>
        <w:rPr>
          <w:spacing w:val="-2"/>
          <w:sz w:val="21"/>
        </w:rPr>
        <w:t>犹豫期</w:t>
      </w:r>
      <w:r>
        <w:rPr>
          <w:spacing w:val="-3"/>
          <w:sz w:val="21"/>
        </w:rPr>
        <w:t>）您可以要求退还扣除工本费外的全部保险费</w:t>
      </w:r>
      <w:r>
        <w:rPr>
          <w:w w:val="120"/>
          <w:sz w:val="21"/>
        </w:rPr>
        <w:t>„„1.4</w:t>
      </w:r>
    </w:p>
    <w:p>
      <w:pPr>
        <w:pStyle w:val="ListParagraph"/>
        <w:numPr>
          <w:ilvl w:val="0"/>
          <w:numId w:val="1"/>
        </w:numPr>
        <w:tabs>
          <w:tab w:pos="1554" w:val="left" w:leader="none"/>
        </w:tabs>
        <w:spacing w:line="240" w:lineRule="auto" w:before="22" w:after="0"/>
        <w:ind w:left="1554" w:right="0" w:hanging="334"/>
        <w:jc w:val="left"/>
        <w:rPr>
          <w:sz w:val="21"/>
        </w:rPr>
      </w:pPr>
      <w:r>
        <w:rPr>
          <w:spacing w:val="-3"/>
          <w:w w:val="110"/>
          <w:sz w:val="21"/>
        </w:rPr>
        <w:t>被保险人可以享受本附加合同提供的保障</w:t>
      </w:r>
      <w:r>
        <w:rPr>
          <w:spacing w:val="-1"/>
          <w:w w:val="170"/>
          <w:sz w:val="21"/>
        </w:rPr>
        <w:t>„„„„„„„„„„„„„„„„„„„„„2.1</w:t>
      </w:r>
    </w:p>
    <w:p>
      <w:pPr>
        <w:pStyle w:val="ListParagraph"/>
        <w:numPr>
          <w:ilvl w:val="0"/>
          <w:numId w:val="1"/>
        </w:numPr>
        <w:tabs>
          <w:tab w:pos="1554" w:val="left" w:leader="none"/>
          <w:tab w:pos="10065" w:val="right" w:leader="dot"/>
        </w:tabs>
        <w:spacing w:line="240" w:lineRule="auto" w:before="22" w:after="0"/>
        <w:ind w:left="1554" w:right="0" w:hanging="334"/>
        <w:jc w:val="left"/>
        <w:rPr>
          <w:sz w:val="21"/>
        </w:rPr>
      </w:pPr>
      <w:r>
        <w:rPr>
          <w:sz w:val="21"/>
        </w:rPr>
        <w:t>您有</w:t>
      </w:r>
      <w:r>
        <w:rPr>
          <w:spacing w:val="-3"/>
          <w:sz w:val="21"/>
        </w:rPr>
        <w:t>保</w:t>
      </w:r>
      <w:r>
        <w:rPr>
          <w:sz w:val="21"/>
        </w:rPr>
        <w:t>单</w:t>
      </w:r>
      <w:r>
        <w:rPr>
          <w:spacing w:val="-3"/>
          <w:sz w:val="21"/>
        </w:rPr>
        <w:t>质</w:t>
      </w:r>
      <w:r>
        <w:rPr>
          <w:sz w:val="21"/>
        </w:rPr>
        <w:t>押</w:t>
      </w:r>
      <w:r>
        <w:rPr>
          <w:spacing w:val="-3"/>
          <w:sz w:val="21"/>
        </w:rPr>
        <w:t>借</w:t>
      </w:r>
      <w:r>
        <w:rPr>
          <w:sz w:val="21"/>
        </w:rPr>
        <w:t>款</w:t>
      </w:r>
      <w:r>
        <w:rPr>
          <w:spacing w:val="-3"/>
          <w:sz w:val="21"/>
        </w:rPr>
        <w:t>的</w:t>
      </w:r>
      <w:r>
        <w:rPr>
          <w:sz w:val="21"/>
        </w:rPr>
        <w:t>权利</w:t>
        <w:tab/>
        <w:t>5.2</w:t>
      </w:r>
    </w:p>
    <w:p>
      <w:pPr>
        <w:pStyle w:val="ListParagraph"/>
        <w:numPr>
          <w:ilvl w:val="0"/>
          <w:numId w:val="1"/>
        </w:numPr>
        <w:tabs>
          <w:tab w:pos="1554" w:val="left" w:leader="none"/>
        </w:tabs>
        <w:spacing w:line="240" w:lineRule="auto" w:before="21" w:after="0"/>
        <w:ind w:left="1554" w:right="0" w:hanging="334"/>
        <w:jc w:val="left"/>
        <w:rPr>
          <w:sz w:val="21"/>
        </w:rPr>
      </w:pPr>
      <w:r>
        <w:rPr>
          <w:spacing w:val="-3"/>
          <w:w w:val="115"/>
          <w:sz w:val="21"/>
        </w:rPr>
        <w:t>您有解除合同的权利</w:t>
      </w:r>
      <w:r>
        <w:rPr>
          <w:spacing w:val="-1"/>
          <w:w w:val="175"/>
          <w:sz w:val="21"/>
        </w:rPr>
        <w:t>„„„„„„„„„„„„„„„„„„„„„„„„„„„„„„7.1</w:t>
      </w:r>
    </w:p>
    <w:p>
      <w:pPr>
        <w:tabs>
          <w:tab w:pos="1258" w:val="left" w:leader="none"/>
        </w:tabs>
        <w:spacing w:before="21"/>
        <w:ind w:left="247" w:right="0" w:firstLine="0"/>
        <w:jc w:val="left"/>
        <w:rPr>
          <w:b/>
          <w:sz w:val="21"/>
        </w:rPr>
      </w:pPr>
      <w:r>
        <w:rPr>
          <w:rFonts w:ascii="Arial" w:hAnsi="Arial" w:eastAsia="Arial"/>
          <w:b/>
          <w:w w:val="105"/>
          <w:position w:val="-11"/>
          <w:sz w:val="52"/>
        </w:rPr>
        <w:t></w:t>
        <w:tab/>
      </w:r>
      <w:r>
        <w:rPr>
          <w:b/>
          <w:spacing w:val="-2"/>
          <w:sz w:val="21"/>
        </w:rPr>
        <w:t>您应当特别注意的事项</w:t>
      </w:r>
    </w:p>
    <w:p>
      <w:pPr>
        <w:pStyle w:val="ListParagraph"/>
        <w:numPr>
          <w:ilvl w:val="0"/>
          <w:numId w:val="1"/>
        </w:numPr>
        <w:tabs>
          <w:tab w:pos="1554" w:val="left" w:leader="none"/>
        </w:tabs>
        <w:spacing w:line="240" w:lineRule="auto" w:before="25" w:after="0"/>
        <w:ind w:left="1554" w:right="0" w:hanging="334"/>
        <w:jc w:val="left"/>
        <w:rPr>
          <w:sz w:val="21"/>
        </w:rPr>
      </w:pPr>
      <w:r>
        <w:rPr>
          <w:spacing w:val="-3"/>
          <w:sz w:val="21"/>
        </w:rPr>
        <w:t>在某些情况下，我们不承担保险责任 ………………</w:t>
      </w:r>
      <w:r>
        <w:rPr>
          <w:sz w:val="21"/>
        </w:rPr>
        <w:t>…1.4;2.2;3.2;6.1;8.2;10.7;10.8;10.9</w:t>
      </w:r>
    </w:p>
    <w:p>
      <w:pPr>
        <w:pStyle w:val="ListParagraph"/>
        <w:numPr>
          <w:ilvl w:val="0"/>
          <w:numId w:val="1"/>
        </w:numPr>
        <w:tabs>
          <w:tab w:pos="1554" w:val="left" w:leader="none"/>
        </w:tabs>
        <w:spacing w:line="240" w:lineRule="auto" w:before="22" w:after="0"/>
        <w:ind w:left="1554" w:right="0" w:hanging="334"/>
        <w:jc w:val="left"/>
        <w:rPr>
          <w:sz w:val="21"/>
        </w:rPr>
      </w:pPr>
      <w:r>
        <w:rPr>
          <w:spacing w:val="-3"/>
          <w:w w:val="110"/>
          <w:sz w:val="21"/>
        </w:rPr>
        <w:t>保险事故发生后请您及时通知我们</w:t>
      </w:r>
      <w:r>
        <w:rPr>
          <w:spacing w:val="-1"/>
          <w:w w:val="170"/>
          <w:sz w:val="21"/>
        </w:rPr>
        <w:t>„„„„„„„„„„„„„„„„„„„„„„„„3.2</w:t>
      </w:r>
    </w:p>
    <w:p>
      <w:pPr>
        <w:pStyle w:val="ListParagraph"/>
        <w:numPr>
          <w:ilvl w:val="0"/>
          <w:numId w:val="1"/>
        </w:numPr>
        <w:tabs>
          <w:tab w:pos="1554" w:val="left" w:leader="none"/>
        </w:tabs>
        <w:spacing w:line="240" w:lineRule="auto" w:before="22" w:after="0"/>
        <w:ind w:left="1554" w:right="0" w:hanging="334"/>
        <w:jc w:val="left"/>
        <w:rPr>
          <w:sz w:val="21"/>
        </w:rPr>
      </w:pPr>
      <w:r>
        <w:rPr>
          <w:spacing w:val="-3"/>
          <w:w w:val="115"/>
          <w:sz w:val="21"/>
        </w:rPr>
        <w:t>您应当按时交纳保险费</w:t>
      </w:r>
      <w:r>
        <w:rPr>
          <w:spacing w:val="-1"/>
          <w:w w:val="175"/>
          <w:sz w:val="21"/>
        </w:rPr>
        <w:t>„„„„„„„„„„„„„„„„„„„„„„„„„„„„„4.1</w:t>
      </w:r>
    </w:p>
    <w:p>
      <w:pPr>
        <w:pStyle w:val="ListParagraph"/>
        <w:numPr>
          <w:ilvl w:val="0"/>
          <w:numId w:val="1"/>
        </w:numPr>
        <w:tabs>
          <w:tab w:pos="1554" w:val="left" w:leader="none"/>
        </w:tabs>
        <w:spacing w:line="240" w:lineRule="auto" w:before="22" w:after="0"/>
        <w:ind w:left="1554" w:right="0" w:hanging="334"/>
        <w:jc w:val="left"/>
        <w:rPr>
          <w:sz w:val="21"/>
        </w:rPr>
      </w:pPr>
      <w:r>
        <w:rPr>
          <w:spacing w:val="-3"/>
          <w:w w:val="110"/>
          <w:sz w:val="21"/>
        </w:rPr>
        <w:t>解除合同会给您造成一定的损失，请您慎重决策</w:t>
      </w:r>
      <w:r>
        <w:rPr>
          <w:spacing w:val="-1"/>
          <w:w w:val="165"/>
          <w:sz w:val="21"/>
        </w:rPr>
        <w:t>„„„„„„„„„„„„„„„„„„7.1</w:t>
      </w:r>
    </w:p>
    <w:p>
      <w:pPr>
        <w:pStyle w:val="ListParagraph"/>
        <w:numPr>
          <w:ilvl w:val="0"/>
          <w:numId w:val="1"/>
        </w:numPr>
        <w:tabs>
          <w:tab w:pos="1554" w:val="left" w:leader="none"/>
        </w:tabs>
        <w:spacing w:line="240" w:lineRule="auto" w:before="22" w:after="0"/>
        <w:ind w:left="1554" w:right="0" w:hanging="334"/>
        <w:jc w:val="left"/>
        <w:rPr>
          <w:sz w:val="21"/>
        </w:rPr>
      </w:pPr>
      <w:r>
        <w:rPr>
          <w:spacing w:val="-3"/>
          <w:w w:val="115"/>
          <w:sz w:val="21"/>
        </w:rPr>
        <w:t>您有如实告知的义务</w:t>
      </w:r>
      <w:r>
        <w:rPr>
          <w:spacing w:val="-1"/>
          <w:w w:val="175"/>
          <w:sz w:val="21"/>
        </w:rPr>
        <w:t>„„„„„„„„„„„„„„„„„„„„„„„„„„„„„„8.2</w:t>
      </w:r>
    </w:p>
    <w:p>
      <w:pPr>
        <w:pStyle w:val="ListParagraph"/>
        <w:numPr>
          <w:ilvl w:val="0"/>
          <w:numId w:val="1"/>
        </w:numPr>
        <w:tabs>
          <w:tab w:pos="1554" w:val="left" w:leader="none"/>
        </w:tabs>
        <w:spacing w:line="240" w:lineRule="auto" w:before="22" w:after="0"/>
        <w:ind w:left="1554" w:right="0" w:hanging="334"/>
        <w:jc w:val="left"/>
        <w:rPr>
          <w:sz w:val="21"/>
        </w:rPr>
      </w:pPr>
      <w:r>
        <w:rPr>
          <w:spacing w:val="-4"/>
          <w:w w:val="110"/>
          <w:sz w:val="21"/>
        </w:rPr>
        <w:t>我们对一些重要术语进行了解释，并作了显著标识，请您注意 </w:t>
      </w:r>
      <w:r>
        <w:rPr>
          <w:w w:val="150"/>
          <w:sz w:val="21"/>
        </w:rPr>
        <w:t>„„„„„„„„„„„„10</w:t>
      </w:r>
    </w:p>
    <w:p>
      <w:pPr>
        <w:tabs>
          <w:tab w:pos="1258" w:val="left" w:leader="none"/>
        </w:tabs>
        <w:spacing w:before="22"/>
        <w:ind w:left="247"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58" w:val="left" w:leader="none"/>
        </w:tabs>
        <w:spacing w:before="26"/>
        <w:ind w:left="247" w:right="0" w:firstLine="0"/>
        <w:jc w:val="left"/>
        <w:rPr>
          <w:b/>
          <w:sz w:val="21"/>
        </w:rPr>
      </w:pPr>
      <w:r>
        <w:rPr>
          <w:rFonts w:ascii="Arial" w:hAnsi="Arial" w:eastAsia="Arial"/>
          <w:b/>
          <w:w w:val="110"/>
          <w:position w:val="-11"/>
          <w:sz w:val="52"/>
        </w:rPr>
        <w:t></w:t>
        <w:tab/>
      </w:r>
      <w:r>
        <w:rPr>
          <w:b/>
          <w:sz w:val="21"/>
        </w:rPr>
        <w:t>条款目录</w:t>
      </w:r>
    </w:p>
    <w:p>
      <w:pPr>
        <w:pStyle w:val="BodyText"/>
        <w:spacing w:before="8"/>
        <w:rPr>
          <w:b/>
          <w:sz w:val="4"/>
        </w:rPr>
      </w:pPr>
    </w:p>
    <w:tbl>
      <w:tblPr>
        <w:tblW w:w="0" w:type="auto"/>
        <w:jc w:val="left"/>
        <w:tblInd w:w="10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6"/>
        <w:gridCol w:w="3153"/>
        <w:gridCol w:w="2791"/>
      </w:tblGrid>
      <w:tr>
        <w:trPr>
          <w:trHeight w:val="261" w:hRule="atLeast"/>
        </w:trPr>
        <w:tc>
          <w:tcPr>
            <w:tcW w:w="2576" w:type="dxa"/>
          </w:tcPr>
          <w:p>
            <w:pPr>
              <w:pStyle w:val="TableParagraph"/>
              <w:spacing w:line="235" w:lineRule="exact"/>
              <w:ind w:left="50"/>
              <w:rPr>
                <w:rFonts w:ascii="Microsoft JhengHei" w:eastAsia="Microsoft JhengHei" w:hint="eastAsia"/>
                <w:b/>
                <w:sz w:val="21"/>
              </w:rPr>
            </w:pPr>
            <w:r>
              <w:rPr>
                <w:rFonts w:ascii="Microsoft JhengHei" w:eastAsia="Microsoft JhengHei" w:hint="eastAsia"/>
                <w:b/>
                <w:w w:val="84"/>
                <w:sz w:val="21"/>
              </w:rPr>
              <w:t>1</w:t>
            </w:r>
            <w:r>
              <w:rPr>
                <w:rFonts w:ascii="Microsoft JhengHei" w:eastAsia="Microsoft JhengHei" w:hint="eastAsia"/>
                <w:b/>
                <w:w w:val="197"/>
                <w:sz w:val="21"/>
              </w:rPr>
              <w:t>.</w:t>
            </w:r>
            <w:r>
              <w:rPr>
                <w:rFonts w:ascii="Microsoft JhengHei" w:eastAsia="Microsoft JhengHei" w:hint="eastAsia"/>
                <w:b/>
                <w:spacing w:val="-1"/>
                <w:w w:val="100"/>
                <w:sz w:val="21"/>
              </w:rPr>
              <w:t>您与我们订立的合同</w:t>
            </w:r>
          </w:p>
        </w:tc>
        <w:tc>
          <w:tcPr>
            <w:tcW w:w="3153" w:type="dxa"/>
          </w:tcPr>
          <w:p>
            <w:pPr>
              <w:pStyle w:val="TableParagraph"/>
              <w:spacing w:line="211" w:lineRule="exact"/>
              <w:ind w:left="625"/>
              <w:rPr>
                <w:sz w:val="21"/>
              </w:rPr>
            </w:pPr>
            <w:r>
              <w:rPr>
                <w:sz w:val="21"/>
              </w:rPr>
              <w:t>3.5 诉讼时效</w:t>
            </w:r>
          </w:p>
        </w:tc>
        <w:tc>
          <w:tcPr>
            <w:tcW w:w="2791" w:type="dxa"/>
          </w:tcPr>
          <w:p>
            <w:pPr>
              <w:pStyle w:val="TableParagraph"/>
              <w:spacing w:line="211" w:lineRule="exact"/>
              <w:ind w:left="427"/>
              <w:rPr>
                <w:sz w:val="21"/>
              </w:rPr>
            </w:pPr>
            <w:r>
              <w:rPr>
                <w:sz w:val="21"/>
              </w:rPr>
              <w:t>7.3 联系方式变更</w:t>
            </w:r>
          </w:p>
        </w:tc>
      </w:tr>
      <w:tr>
        <w:trPr>
          <w:trHeight w:val="312" w:hRule="atLeast"/>
        </w:trPr>
        <w:tc>
          <w:tcPr>
            <w:tcW w:w="2576" w:type="dxa"/>
          </w:tcPr>
          <w:p>
            <w:pPr>
              <w:pStyle w:val="TableParagraph"/>
              <w:spacing w:line="261" w:lineRule="exact"/>
              <w:ind w:left="261"/>
              <w:rPr>
                <w:sz w:val="21"/>
              </w:rPr>
            </w:pPr>
            <w:r>
              <w:rPr>
                <w:sz w:val="21"/>
              </w:rPr>
              <w:t>1.1 合同构成</w:t>
            </w:r>
          </w:p>
        </w:tc>
        <w:tc>
          <w:tcPr>
            <w:tcW w:w="3153" w:type="dxa"/>
          </w:tcPr>
          <w:p>
            <w:pPr>
              <w:pStyle w:val="TableParagraph"/>
              <w:spacing w:line="285" w:lineRule="exact"/>
              <w:ind w:left="414"/>
              <w:rPr>
                <w:rFonts w:ascii="Microsoft JhengHei" w:eastAsia="Microsoft JhengHei" w:hint="eastAsia"/>
                <w:b/>
                <w:sz w:val="21"/>
              </w:rPr>
            </w:pPr>
            <w:r>
              <w:rPr>
                <w:rFonts w:ascii="Microsoft JhengHei" w:eastAsia="Microsoft JhengHei" w:hint="eastAsia"/>
                <w:b/>
                <w:sz w:val="21"/>
              </w:rPr>
              <w:t>4.保险费的交纳</w:t>
            </w:r>
          </w:p>
        </w:tc>
        <w:tc>
          <w:tcPr>
            <w:tcW w:w="2791" w:type="dxa"/>
          </w:tcPr>
          <w:p>
            <w:pPr>
              <w:pStyle w:val="TableParagraph"/>
              <w:spacing w:line="285" w:lineRule="exact"/>
              <w:ind w:left="216"/>
              <w:rPr>
                <w:rFonts w:ascii="Microsoft JhengHei" w:eastAsia="Microsoft JhengHei" w:hint="eastAsia"/>
                <w:b/>
                <w:sz w:val="21"/>
              </w:rPr>
            </w:pPr>
            <w:r>
              <w:rPr>
                <w:b/>
                <w:sz w:val="21"/>
              </w:rPr>
              <w:t>8.</w:t>
            </w:r>
            <w:r>
              <w:rPr>
                <w:rFonts w:ascii="Microsoft JhengHei" w:eastAsia="Microsoft JhengHei" w:hint="eastAsia"/>
                <w:b/>
                <w:sz w:val="21"/>
              </w:rPr>
              <w:t>明确说明与如实告知</w:t>
            </w:r>
          </w:p>
        </w:tc>
      </w:tr>
      <w:tr>
        <w:trPr>
          <w:trHeight w:val="311" w:hRule="atLeast"/>
        </w:trPr>
        <w:tc>
          <w:tcPr>
            <w:tcW w:w="2576" w:type="dxa"/>
          </w:tcPr>
          <w:p>
            <w:pPr>
              <w:pStyle w:val="TableParagraph"/>
              <w:spacing w:line="261" w:lineRule="exact"/>
              <w:ind w:left="261"/>
              <w:rPr>
                <w:sz w:val="21"/>
              </w:rPr>
            </w:pPr>
            <w:r>
              <w:rPr>
                <w:sz w:val="21"/>
              </w:rPr>
              <w:t>1.2 合同成立与生效</w:t>
            </w:r>
          </w:p>
        </w:tc>
        <w:tc>
          <w:tcPr>
            <w:tcW w:w="3153" w:type="dxa"/>
          </w:tcPr>
          <w:p>
            <w:pPr>
              <w:pStyle w:val="TableParagraph"/>
              <w:spacing w:line="261" w:lineRule="exact"/>
              <w:ind w:left="625"/>
              <w:rPr>
                <w:sz w:val="21"/>
              </w:rPr>
            </w:pPr>
            <w:r>
              <w:rPr>
                <w:sz w:val="21"/>
              </w:rPr>
              <w:t>4.1 保险费的交纳</w:t>
            </w:r>
          </w:p>
        </w:tc>
        <w:tc>
          <w:tcPr>
            <w:tcW w:w="2791" w:type="dxa"/>
          </w:tcPr>
          <w:p>
            <w:pPr>
              <w:pStyle w:val="TableParagraph"/>
              <w:spacing w:line="261" w:lineRule="exact"/>
              <w:ind w:left="427"/>
              <w:rPr>
                <w:sz w:val="21"/>
              </w:rPr>
            </w:pPr>
            <w:r>
              <w:rPr>
                <w:sz w:val="21"/>
              </w:rPr>
              <w:t>8.1 明确说明</w:t>
            </w:r>
          </w:p>
        </w:tc>
      </w:tr>
      <w:tr>
        <w:trPr>
          <w:trHeight w:val="311" w:hRule="atLeast"/>
        </w:trPr>
        <w:tc>
          <w:tcPr>
            <w:tcW w:w="2576" w:type="dxa"/>
          </w:tcPr>
          <w:p>
            <w:pPr>
              <w:pStyle w:val="TableParagraph"/>
              <w:spacing w:line="261" w:lineRule="exact"/>
              <w:ind w:left="261"/>
              <w:rPr>
                <w:sz w:val="21"/>
              </w:rPr>
            </w:pPr>
            <w:r>
              <w:rPr>
                <w:sz w:val="21"/>
              </w:rPr>
              <w:t>1.3 投保年龄</w:t>
            </w:r>
          </w:p>
        </w:tc>
        <w:tc>
          <w:tcPr>
            <w:tcW w:w="3153" w:type="dxa"/>
          </w:tcPr>
          <w:p>
            <w:pPr>
              <w:pStyle w:val="TableParagraph"/>
              <w:spacing w:line="261" w:lineRule="exact"/>
              <w:ind w:left="625"/>
              <w:rPr>
                <w:sz w:val="21"/>
              </w:rPr>
            </w:pPr>
            <w:r>
              <w:rPr>
                <w:sz w:val="21"/>
              </w:rPr>
              <w:t>4.2 宽限期</w:t>
            </w:r>
          </w:p>
        </w:tc>
        <w:tc>
          <w:tcPr>
            <w:tcW w:w="2791" w:type="dxa"/>
          </w:tcPr>
          <w:p>
            <w:pPr>
              <w:pStyle w:val="TableParagraph"/>
              <w:spacing w:line="261" w:lineRule="exact"/>
              <w:ind w:left="427"/>
              <w:rPr>
                <w:sz w:val="21"/>
              </w:rPr>
            </w:pPr>
            <w:r>
              <w:rPr>
                <w:sz w:val="21"/>
              </w:rPr>
              <w:t>8.2 如实告知</w:t>
            </w:r>
          </w:p>
        </w:tc>
      </w:tr>
      <w:tr>
        <w:trPr>
          <w:trHeight w:val="312" w:hRule="atLeast"/>
        </w:trPr>
        <w:tc>
          <w:tcPr>
            <w:tcW w:w="2576" w:type="dxa"/>
          </w:tcPr>
          <w:p>
            <w:pPr>
              <w:pStyle w:val="TableParagraph"/>
              <w:spacing w:line="261" w:lineRule="exact"/>
              <w:ind w:left="261"/>
              <w:rPr>
                <w:sz w:val="21"/>
              </w:rPr>
            </w:pPr>
            <w:r>
              <w:rPr>
                <w:sz w:val="21"/>
              </w:rPr>
              <w:t>1.4 犹豫期</w:t>
            </w:r>
          </w:p>
        </w:tc>
        <w:tc>
          <w:tcPr>
            <w:tcW w:w="3153" w:type="dxa"/>
          </w:tcPr>
          <w:p>
            <w:pPr>
              <w:pStyle w:val="TableParagraph"/>
              <w:spacing w:line="285" w:lineRule="exact"/>
              <w:ind w:left="414"/>
              <w:rPr>
                <w:rFonts w:ascii="Microsoft JhengHei" w:eastAsia="Microsoft JhengHei" w:hint="eastAsia"/>
                <w:b/>
                <w:sz w:val="21"/>
              </w:rPr>
            </w:pPr>
            <w:r>
              <w:rPr>
                <w:rFonts w:ascii="Microsoft JhengHei" w:eastAsia="Microsoft JhengHei" w:hint="eastAsia"/>
                <w:b/>
                <w:sz w:val="21"/>
              </w:rPr>
              <w:t>5.现金价值权益</w:t>
            </w:r>
          </w:p>
        </w:tc>
        <w:tc>
          <w:tcPr>
            <w:tcW w:w="2791" w:type="dxa"/>
          </w:tcPr>
          <w:p>
            <w:pPr>
              <w:pStyle w:val="TableParagraph"/>
              <w:spacing w:line="261" w:lineRule="exact"/>
              <w:ind w:left="427"/>
              <w:rPr>
                <w:sz w:val="21"/>
              </w:rPr>
            </w:pPr>
            <w:r>
              <w:rPr>
                <w:sz w:val="21"/>
              </w:rPr>
              <w:t>8.3 本公司合同解除权的</w:t>
            </w:r>
          </w:p>
        </w:tc>
      </w:tr>
      <w:tr>
        <w:trPr>
          <w:trHeight w:val="312" w:hRule="atLeast"/>
        </w:trPr>
        <w:tc>
          <w:tcPr>
            <w:tcW w:w="2576"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w w:val="84"/>
                <w:sz w:val="21"/>
              </w:rPr>
              <w:t>2</w:t>
            </w:r>
            <w:r>
              <w:rPr>
                <w:rFonts w:ascii="Microsoft JhengHei" w:eastAsia="Microsoft JhengHei" w:hint="eastAsia"/>
                <w:b/>
                <w:w w:val="197"/>
                <w:sz w:val="21"/>
              </w:rPr>
              <w:t>.</w:t>
            </w:r>
            <w:r>
              <w:rPr>
                <w:rFonts w:ascii="Microsoft JhengHei" w:eastAsia="Microsoft JhengHei" w:hint="eastAsia"/>
                <w:b/>
                <w:w w:val="100"/>
                <w:sz w:val="21"/>
              </w:rPr>
              <w:t>我们提供的保障</w:t>
            </w:r>
          </w:p>
        </w:tc>
        <w:tc>
          <w:tcPr>
            <w:tcW w:w="3153" w:type="dxa"/>
          </w:tcPr>
          <w:p>
            <w:pPr>
              <w:pStyle w:val="TableParagraph"/>
              <w:spacing w:line="261" w:lineRule="exact"/>
              <w:ind w:left="0" w:right="213"/>
              <w:jc w:val="right"/>
              <w:rPr>
                <w:sz w:val="21"/>
              </w:rPr>
            </w:pPr>
            <w:r>
              <w:rPr>
                <w:sz w:val="21"/>
              </w:rPr>
              <w:t>5.1 本附加合同现金价值</w:t>
            </w:r>
          </w:p>
        </w:tc>
        <w:tc>
          <w:tcPr>
            <w:tcW w:w="2791" w:type="dxa"/>
          </w:tcPr>
          <w:p>
            <w:pPr>
              <w:pStyle w:val="TableParagraph"/>
              <w:spacing w:line="261" w:lineRule="exact"/>
              <w:ind w:left="847"/>
              <w:rPr>
                <w:sz w:val="21"/>
              </w:rPr>
            </w:pPr>
            <w:r>
              <w:rPr>
                <w:sz w:val="21"/>
              </w:rPr>
              <w:t>限制</w:t>
            </w:r>
          </w:p>
        </w:tc>
      </w:tr>
      <w:tr>
        <w:trPr>
          <w:trHeight w:val="311" w:hRule="atLeast"/>
        </w:trPr>
        <w:tc>
          <w:tcPr>
            <w:tcW w:w="2576" w:type="dxa"/>
          </w:tcPr>
          <w:p>
            <w:pPr>
              <w:pStyle w:val="TableParagraph"/>
              <w:spacing w:line="261" w:lineRule="exact"/>
              <w:ind w:left="261"/>
              <w:rPr>
                <w:sz w:val="21"/>
              </w:rPr>
            </w:pPr>
            <w:r>
              <w:rPr>
                <w:sz w:val="21"/>
              </w:rPr>
              <w:t>2.1 保险责任</w:t>
            </w:r>
          </w:p>
        </w:tc>
        <w:tc>
          <w:tcPr>
            <w:tcW w:w="3153" w:type="dxa"/>
          </w:tcPr>
          <w:p>
            <w:pPr>
              <w:pStyle w:val="TableParagraph"/>
              <w:spacing w:line="261" w:lineRule="exact"/>
              <w:ind w:left="625"/>
              <w:rPr>
                <w:sz w:val="21"/>
              </w:rPr>
            </w:pPr>
            <w:r>
              <w:rPr>
                <w:sz w:val="21"/>
              </w:rPr>
              <w:t>5.2 保单质押借款</w:t>
            </w:r>
          </w:p>
        </w:tc>
        <w:tc>
          <w:tcPr>
            <w:tcW w:w="2791" w:type="dxa"/>
          </w:tcPr>
          <w:p>
            <w:pPr>
              <w:pStyle w:val="TableParagraph"/>
              <w:spacing w:line="285" w:lineRule="exact"/>
              <w:ind w:left="216"/>
              <w:rPr>
                <w:rFonts w:ascii="Microsoft JhengHei" w:eastAsia="Microsoft JhengHei" w:hint="eastAsia"/>
                <w:b/>
                <w:sz w:val="21"/>
              </w:rPr>
            </w:pPr>
            <w:r>
              <w:rPr>
                <w:b/>
                <w:sz w:val="21"/>
              </w:rPr>
              <w:t>9.</w:t>
            </w:r>
            <w:r>
              <w:rPr>
                <w:rFonts w:ascii="Microsoft JhengHei" w:eastAsia="Microsoft JhengHei" w:hint="eastAsia"/>
                <w:b/>
                <w:sz w:val="21"/>
              </w:rPr>
              <w:t>其他需要关注的事项</w:t>
            </w:r>
          </w:p>
        </w:tc>
      </w:tr>
      <w:tr>
        <w:trPr>
          <w:trHeight w:val="312" w:hRule="atLeast"/>
        </w:trPr>
        <w:tc>
          <w:tcPr>
            <w:tcW w:w="2576" w:type="dxa"/>
          </w:tcPr>
          <w:p>
            <w:pPr>
              <w:pStyle w:val="TableParagraph"/>
              <w:spacing w:line="261" w:lineRule="exact"/>
              <w:ind w:left="261"/>
              <w:rPr>
                <w:sz w:val="21"/>
              </w:rPr>
            </w:pPr>
            <w:r>
              <w:rPr>
                <w:sz w:val="21"/>
              </w:rPr>
              <w:t>2.2 责任免除</w:t>
            </w:r>
          </w:p>
        </w:tc>
        <w:tc>
          <w:tcPr>
            <w:tcW w:w="3153" w:type="dxa"/>
          </w:tcPr>
          <w:p>
            <w:pPr>
              <w:pStyle w:val="TableParagraph"/>
              <w:spacing w:line="261" w:lineRule="exact"/>
              <w:ind w:left="625"/>
              <w:rPr>
                <w:sz w:val="21"/>
              </w:rPr>
            </w:pPr>
            <w:r>
              <w:rPr>
                <w:sz w:val="21"/>
              </w:rPr>
              <w:t>5.3 保险费自动垫交</w:t>
            </w:r>
          </w:p>
        </w:tc>
        <w:tc>
          <w:tcPr>
            <w:tcW w:w="2791" w:type="dxa"/>
          </w:tcPr>
          <w:p>
            <w:pPr>
              <w:pStyle w:val="TableParagraph"/>
              <w:spacing w:line="261" w:lineRule="exact"/>
              <w:ind w:left="427"/>
              <w:rPr>
                <w:sz w:val="21"/>
              </w:rPr>
            </w:pPr>
            <w:r>
              <w:rPr>
                <w:sz w:val="21"/>
              </w:rPr>
              <w:t>9.1 年龄错误</w:t>
            </w:r>
          </w:p>
        </w:tc>
      </w:tr>
      <w:tr>
        <w:trPr>
          <w:trHeight w:val="312" w:hRule="atLeast"/>
        </w:trPr>
        <w:tc>
          <w:tcPr>
            <w:tcW w:w="2576" w:type="dxa"/>
          </w:tcPr>
          <w:p>
            <w:pPr>
              <w:pStyle w:val="TableParagraph"/>
              <w:spacing w:line="261" w:lineRule="exact"/>
              <w:ind w:left="261"/>
              <w:rPr>
                <w:sz w:val="21"/>
              </w:rPr>
            </w:pPr>
            <w:r>
              <w:rPr>
                <w:sz w:val="21"/>
              </w:rPr>
              <w:t>2.3 保险金额</w:t>
            </w:r>
          </w:p>
        </w:tc>
        <w:tc>
          <w:tcPr>
            <w:tcW w:w="3153" w:type="dxa"/>
          </w:tcPr>
          <w:p>
            <w:pPr>
              <w:pStyle w:val="TableParagraph"/>
              <w:spacing w:line="285" w:lineRule="exact"/>
              <w:ind w:left="414"/>
              <w:rPr>
                <w:rFonts w:ascii="Microsoft JhengHei" w:eastAsia="Microsoft JhengHei" w:hint="eastAsia"/>
                <w:b/>
                <w:sz w:val="21"/>
              </w:rPr>
            </w:pPr>
            <w:r>
              <w:rPr>
                <w:rFonts w:ascii="Microsoft JhengHei" w:eastAsia="Microsoft JhengHei" w:hint="eastAsia"/>
                <w:b/>
                <w:sz w:val="21"/>
              </w:rPr>
              <w:t>6.合同中止和复效</w:t>
            </w:r>
          </w:p>
        </w:tc>
        <w:tc>
          <w:tcPr>
            <w:tcW w:w="2791" w:type="dxa"/>
          </w:tcPr>
          <w:p>
            <w:pPr>
              <w:pStyle w:val="TableParagraph"/>
              <w:spacing w:line="261" w:lineRule="exact"/>
              <w:ind w:left="427"/>
              <w:rPr>
                <w:sz w:val="21"/>
              </w:rPr>
            </w:pPr>
            <w:r>
              <w:rPr>
                <w:sz w:val="21"/>
              </w:rPr>
              <w:t>9.2 未还款项</w:t>
            </w:r>
          </w:p>
        </w:tc>
      </w:tr>
      <w:tr>
        <w:trPr>
          <w:trHeight w:val="311" w:hRule="atLeast"/>
        </w:trPr>
        <w:tc>
          <w:tcPr>
            <w:tcW w:w="2576" w:type="dxa"/>
          </w:tcPr>
          <w:p>
            <w:pPr>
              <w:pStyle w:val="TableParagraph"/>
              <w:spacing w:line="261" w:lineRule="exact"/>
              <w:ind w:left="261"/>
              <w:rPr>
                <w:sz w:val="21"/>
              </w:rPr>
            </w:pPr>
            <w:r>
              <w:rPr>
                <w:sz w:val="21"/>
              </w:rPr>
              <w:t>2.4 保险期间</w:t>
            </w:r>
          </w:p>
        </w:tc>
        <w:tc>
          <w:tcPr>
            <w:tcW w:w="3153" w:type="dxa"/>
          </w:tcPr>
          <w:p>
            <w:pPr>
              <w:pStyle w:val="TableParagraph"/>
              <w:spacing w:line="261" w:lineRule="exact"/>
              <w:ind w:left="625"/>
              <w:rPr>
                <w:sz w:val="21"/>
              </w:rPr>
            </w:pPr>
            <w:r>
              <w:rPr>
                <w:sz w:val="21"/>
              </w:rPr>
              <w:t>6.1 合同中止</w:t>
            </w:r>
          </w:p>
        </w:tc>
        <w:tc>
          <w:tcPr>
            <w:tcW w:w="2791" w:type="dxa"/>
          </w:tcPr>
          <w:p>
            <w:pPr>
              <w:pStyle w:val="TableParagraph"/>
              <w:spacing w:line="261" w:lineRule="exact"/>
              <w:ind w:left="427"/>
              <w:rPr>
                <w:sz w:val="21"/>
              </w:rPr>
            </w:pPr>
            <w:r>
              <w:rPr>
                <w:sz w:val="21"/>
              </w:rPr>
              <w:t>9.3 争议处理</w:t>
            </w:r>
          </w:p>
        </w:tc>
      </w:tr>
      <w:tr>
        <w:trPr>
          <w:trHeight w:val="312" w:hRule="atLeast"/>
        </w:trPr>
        <w:tc>
          <w:tcPr>
            <w:tcW w:w="2576"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w w:val="84"/>
                <w:sz w:val="21"/>
              </w:rPr>
              <w:t>3</w:t>
            </w:r>
            <w:r>
              <w:rPr>
                <w:rFonts w:ascii="Microsoft JhengHei" w:eastAsia="Microsoft JhengHei" w:hint="eastAsia"/>
                <w:b/>
                <w:w w:val="197"/>
                <w:sz w:val="21"/>
              </w:rPr>
              <w:t>.</w:t>
            </w:r>
            <w:r>
              <w:rPr>
                <w:rFonts w:ascii="Microsoft JhengHei" w:eastAsia="Microsoft JhengHei" w:hint="eastAsia"/>
                <w:b/>
                <w:w w:val="100"/>
                <w:sz w:val="21"/>
              </w:rPr>
              <w:t>保险金的申请</w:t>
            </w:r>
          </w:p>
        </w:tc>
        <w:tc>
          <w:tcPr>
            <w:tcW w:w="3153" w:type="dxa"/>
          </w:tcPr>
          <w:p>
            <w:pPr>
              <w:pStyle w:val="TableParagraph"/>
              <w:spacing w:line="261" w:lineRule="exact"/>
              <w:ind w:left="625"/>
              <w:rPr>
                <w:sz w:val="21"/>
              </w:rPr>
            </w:pPr>
            <w:r>
              <w:rPr>
                <w:sz w:val="21"/>
              </w:rPr>
              <w:t>6.2 合同复效</w:t>
            </w:r>
          </w:p>
        </w:tc>
        <w:tc>
          <w:tcPr>
            <w:tcW w:w="2791" w:type="dxa"/>
          </w:tcPr>
          <w:p>
            <w:pPr>
              <w:pStyle w:val="TableParagraph"/>
              <w:spacing w:line="285" w:lineRule="exact"/>
              <w:ind w:left="216"/>
              <w:rPr>
                <w:rFonts w:ascii="Microsoft JhengHei" w:eastAsia="Microsoft JhengHei" w:hint="eastAsia"/>
                <w:b/>
                <w:sz w:val="21"/>
              </w:rPr>
            </w:pPr>
            <w:r>
              <w:rPr>
                <w:rFonts w:ascii="Microsoft JhengHei" w:eastAsia="Microsoft JhengHei" w:hint="eastAsia"/>
                <w:b/>
                <w:w w:val="84"/>
                <w:sz w:val="21"/>
              </w:rPr>
              <w:t>10</w:t>
            </w:r>
            <w:r>
              <w:rPr>
                <w:rFonts w:ascii="Microsoft JhengHei" w:eastAsia="Microsoft JhengHei" w:hint="eastAsia"/>
                <w:b/>
                <w:w w:val="197"/>
                <w:sz w:val="21"/>
              </w:rPr>
              <w:t>.</w:t>
            </w:r>
            <w:r>
              <w:rPr>
                <w:rFonts w:ascii="Microsoft JhengHei" w:eastAsia="Microsoft JhengHei" w:hint="eastAsia"/>
                <w:b/>
                <w:w w:val="100"/>
                <w:sz w:val="21"/>
              </w:rPr>
              <w:t>释义</w:t>
            </w:r>
          </w:p>
        </w:tc>
      </w:tr>
      <w:tr>
        <w:trPr>
          <w:trHeight w:val="312" w:hRule="atLeast"/>
        </w:trPr>
        <w:tc>
          <w:tcPr>
            <w:tcW w:w="2576" w:type="dxa"/>
          </w:tcPr>
          <w:p>
            <w:pPr>
              <w:pStyle w:val="TableParagraph"/>
              <w:spacing w:line="262" w:lineRule="exact"/>
              <w:ind w:left="261"/>
              <w:rPr>
                <w:sz w:val="21"/>
              </w:rPr>
            </w:pPr>
            <w:r>
              <w:rPr>
                <w:sz w:val="21"/>
              </w:rPr>
              <w:t>3.1 受益人</w:t>
            </w:r>
          </w:p>
        </w:tc>
        <w:tc>
          <w:tcPr>
            <w:tcW w:w="3153" w:type="dxa"/>
          </w:tcPr>
          <w:p>
            <w:pPr>
              <w:pStyle w:val="TableParagraph"/>
              <w:spacing w:line="286" w:lineRule="exact"/>
              <w:ind w:left="414"/>
              <w:rPr>
                <w:rFonts w:ascii="Microsoft JhengHei" w:eastAsia="Microsoft JhengHei" w:hint="eastAsia"/>
                <w:b/>
                <w:sz w:val="21"/>
              </w:rPr>
            </w:pPr>
            <w:r>
              <w:rPr>
                <w:rFonts w:ascii="Microsoft JhengHei" w:eastAsia="Microsoft JhengHei" w:hint="eastAsia"/>
                <w:b/>
                <w:sz w:val="21"/>
              </w:rPr>
              <w:t>7.合同解除和变更</w:t>
            </w:r>
          </w:p>
        </w:tc>
        <w:tc>
          <w:tcPr>
            <w:tcW w:w="2791" w:type="dxa"/>
          </w:tcPr>
          <w:p>
            <w:pPr>
              <w:pStyle w:val="TableParagraph"/>
              <w:ind w:left="0"/>
              <w:rPr>
                <w:rFonts w:ascii="Times New Roman"/>
                <w:sz w:val="20"/>
              </w:rPr>
            </w:pPr>
          </w:p>
        </w:tc>
      </w:tr>
      <w:tr>
        <w:trPr>
          <w:trHeight w:val="311" w:hRule="atLeast"/>
        </w:trPr>
        <w:tc>
          <w:tcPr>
            <w:tcW w:w="2576" w:type="dxa"/>
          </w:tcPr>
          <w:p>
            <w:pPr>
              <w:pStyle w:val="TableParagraph"/>
              <w:spacing w:line="261" w:lineRule="exact"/>
              <w:ind w:left="261"/>
              <w:rPr>
                <w:sz w:val="21"/>
              </w:rPr>
            </w:pPr>
            <w:r>
              <w:rPr>
                <w:sz w:val="21"/>
              </w:rPr>
              <w:t>3.2 保险事故通知</w:t>
            </w:r>
          </w:p>
        </w:tc>
        <w:tc>
          <w:tcPr>
            <w:tcW w:w="3153" w:type="dxa"/>
          </w:tcPr>
          <w:p>
            <w:pPr>
              <w:pStyle w:val="TableParagraph"/>
              <w:spacing w:line="261" w:lineRule="exact"/>
              <w:ind w:left="0" w:right="216"/>
              <w:jc w:val="right"/>
              <w:rPr>
                <w:sz w:val="21"/>
              </w:rPr>
            </w:pPr>
            <w:r>
              <w:rPr>
                <w:sz w:val="21"/>
              </w:rPr>
              <w:t>7.1 您解除合同的手续及</w:t>
            </w:r>
          </w:p>
        </w:tc>
        <w:tc>
          <w:tcPr>
            <w:tcW w:w="2791" w:type="dxa"/>
          </w:tcPr>
          <w:p>
            <w:pPr>
              <w:pStyle w:val="TableParagraph"/>
              <w:ind w:left="0"/>
              <w:rPr>
                <w:rFonts w:ascii="Times New Roman"/>
                <w:sz w:val="20"/>
              </w:rPr>
            </w:pPr>
          </w:p>
        </w:tc>
      </w:tr>
      <w:tr>
        <w:trPr>
          <w:trHeight w:val="311" w:hRule="atLeast"/>
        </w:trPr>
        <w:tc>
          <w:tcPr>
            <w:tcW w:w="2576" w:type="dxa"/>
          </w:tcPr>
          <w:p>
            <w:pPr>
              <w:pStyle w:val="TableParagraph"/>
              <w:spacing w:line="261" w:lineRule="exact"/>
              <w:ind w:left="261"/>
              <w:rPr>
                <w:sz w:val="21"/>
              </w:rPr>
            </w:pPr>
            <w:r>
              <w:rPr>
                <w:sz w:val="21"/>
              </w:rPr>
              <w:t>3.3 保险金申请</w:t>
            </w:r>
          </w:p>
        </w:tc>
        <w:tc>
          <w:tcPr>
            <w:tcW w:w="3153" w:type="dxa"/>
          </w:tcPr>
          <w:p>
            <w:pPr>
              <w:pStyle w:val="TableParagraph"/>
              <w:spacing w:line="261" w:lineRule="exact"/>
              <w:ind w:left="1040"/>
              <w:rPr>
                <w:sz w:val="21"/>
              </w:rPr>
            </w:pPr>
            <w:r>
              <w:rPr>
                <w:sz w:val="21"/>
              </w:rPr>
              <w:t>风险</w:t>
            </w:r>
          </w:p>
        </w:tc>
        <w:tc>
          <w:tcPr>
            <w:tcW w:w="2791" w:type="dxa"/>
          </w:tcPr>
          <w:p>
            <w:pPr>
              <w:pStyle w:val="TableParagraph"/>
              <w:ind w:left="0"/>
              <w:rPr>
                <w:rFonts w:ascii="Times New Roman"/>
                <w:sz w:val="20"/>
              </w:rPr>
            </w:pPr>
          </w:p>
        </w:tc>
      </w:tr>
      <w:tr>
        <w:trPr>
          <w:trHeight w:val="261" w:hRule="atLeast"/>
        </w:trPr>
        <w:tc>
          <w:tcPr>
            <w:tcW w:w="2576" w:type="dxa"/>
          </w:tcPr>
          <w:p>
            <w:pPr>
              <w:pStyle w:val="TableParagraph"/>
              <w:spacing w:line="242" w:lineRule="exact"/>
              <w:ind w:left="261"/>
              <w:rPr>
                <w:sz w:val="21"/>
              </w:rPr>
            </w:pPr>
            <w:r>
              <w:rPr>
                <w:sz w:val="21"/>
              </w:rPr>
              <w:t>3.4 保险金的给付</w:t>
            </w:r>
          </w:p>
        </w:tc>
        <w:tc>
          <w:tcPr>
            <w:tcW w:w="3153" w:type="dxa"/>
          </w:tcPr>
          <w:p>
            <w:pPr>
              <w:pStyle w:val="TableParagraph"/>
              <w:spacing w:line="242" w:lineRule="exact"/>
              <w:ind w:left="625"/>
              <w:rPr>
                <w:sz w:val="21"/>
              </w:rPr>
            </w:pPr>
            <w:r>
              <w:rPr>
                <w:sz w:val="21"/>
              </w:rPr>
              <w:t>7.2 合同变更</w:t>
            </w:r>
          </w:p>
        </w:tc>
        <w:tc>
          <w:tcPr>
            <w:tcW w:w="2791" w:type="dxa"/>
          </w:tcPr>
          <w:p>
            <w:pPr>
              <w:pStyle w:val="TableParagraph"/>
              <w:ind w:left="0"/>
              <w:rPr>
                <w:rFonts w:ascii="Times New Roman"/>
                <w:sz w:val="18"/>
              </w:rPr>
            </w:pPr>
          </w:p>
        </w:tc>
      </w:tr>
    </w:tbl>
    <w:p>
      <w:pPr>
        <w:spacing w:after="0"/>
        <w:rPr>
          <w:rFonts w:ascii="Times New Roman"/>
          <w:sz w:val="18"/>
        </w:rPr>
        <w:sectPr>
          <w:type w:val="continuous"/>
          <w:pgSz w:w="11910" w:h="16840"/>
          <w:pgMar w:top="420" w:bottom="280" w:left="700" w:right="380"/>
        </w:sectPr>
      </w:pPr>
    </w:p>
    <w:p>
      <w:pPr>
        <w:spacing w:line="524" w:lineRule="exact" w:before="0"/>
        <w:ind w:left="2622" w:right="0" w:firstLine="0"/>
        <w:jc w:val="left"/>
        <w:rPr>
          <w:b/>
          <w:sz w:val="44"/>
        </w:rPr>
      </w:pPr>
      <w:r>
        <w:rPr>
          <w:b/>
          <w:w w:val="95"/>
          <w:sz w:val="44"/>
        </w:rPr>
        <w:t>华夏人寿保险股份有限公司</w:t>
      </w:r>
    </w:p>
    <w:p>
      <w:pPr>
        <w:spacing w:before="48"/>
        <w:ind w:left="2402" w:right="0" w:firstLine="0"/>
        <w:jc w:val="left"/>
        <w:rPr>
          <w:b/>
          <w:sz w:val="44"/>
        </w:rPr>
      </w:pPr>
      <w:r>
        <w:rPr>
          <w:b/>
          <w:w w:val="95"/>
          <w:sz w:val="44"/>
        </w:rPr>
        <w:t>附加长春藤重大疾病保险条款</w:t>
      </w:r>
    </w:p>
    <w:p>
      <w:pPr>
        <w:pStyle w:val="BodyText"/>
        <w:spacing w:before="6"/>
        <w:rPr>
          <w:b/>
          <w:sz w:val="51"/>
        </w:rPr>
      </w:pPr>
    </w:p>
    <w:p>
      <w:pPr>
        <w:pStyle w:val="BodyText"/>
        <w:spacing w:line="273" w:lineRule="auto"/>
        <w:ind w:left="340" w:right="351"/>
      </w:pPr>
      <w:r>
        <w:rPr>
          <w:spacing w:val="-6"/>
          <w:w w:val="100"/>
        </w:rPr>
        <w:t>在本条款中，“您”指投保人，“我们”和“本公司”指华夏人寿保险股份有限公司，“本附加合同”指您</w:t>
      </w:r>
      <w:r>
        <w:rPr>
          <w:spacing w:val="-12"/>
        </w:rPr>
        <w:t>与我们之间订立的“华夏附加长春藤重大疾病保险合同”。</w:t>
      </w:r>
    </w:p>
    <w:p>
      <w:pPr>
        <w:pStyle w:val="BodyText"/>
        <w:rPr>
          <w:sz w:val="27"/>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
        <w:gridCol w:w="2021"/>
        <w:gridCol w:w="7546"/>
      </w:tblGrid>
      <w:tr>
        <w:trPr>
          <w:trHeight w:val="522" w:hRule="atLeast"/>
        </w:trPr>
        <w:tc>
          <w:tcPr>
            <w:tcW w:w="683" w:type="dxa"/>
            <w:tcBorders>
              <w:bottom w:val="single" w:sz="8" w:space="0" w:color="000000"/>
            </w:tcBorders>
          </w:tcPr>
          <w:p>
            <w:pPr>
              <w:pStyle w:val="TableParagraph"/>
              <w:spacing w:line="423" w:lineRule="exact"/>
              <w:ind w:left="110"/>
              <w:rPr>
                <w:rFonts w:ascii="Arial" w:hAnsi="Arial"/>
                <w:b/>
                <w:sz w:val="40"/>
              </w:rPr>
            </w:pPr>
            <w:r>
              <w:rPr>
                <w:rFonts w:ascii="Arial" w:hAnsi="Arial"/>
                <w:b/>
                <w:w w:val="119"/>
                <w:sz w:val="40"/>
              </w:rPr>
              <w:t></w:t>
            </w:r>
          </w:p>
        </w:tc>
        <w:tc>
          <w:tcPr>
            <w:tcW w:w="9567" w:type="dxa"/>
            <w:gridSpan w:val="2"/>
            <w:tcBorders>
              <w:bottom w:val="single" w:sz="8" w:space="0" w:color="000000"/>
            </w:tcBorders>
          </w:tcPr>
          <w:p>
            <w:pPr>
              <w:pStyle w:val="TableParagraph"/>
              <w:spacing w:before="14"/>
              <w:ind w:left="215"/>
              <w:rPr>
                <w:b/>
                <w:sz w:val="24"/>
              </w:rPr>
            </w:pPr>
            <w:r>
              <w:rPr>
                <w:b/>
                <w:w w:val="95"/>
                <w:sz w:val="24"/>
              </w:rPr>
              <w:t>您与我们订立的合同</w:t>
            </w:r>
          </w:p>
        </w:tc>
      </w:tr>
      <w:tr>
        <w:trPr>
          <w:trHeight w:val="2505" w:hRule="atLeast"/>
        </w:trPr>
        <w:tc>
          <w:tcPr>
            <w:tcW w:w="683" w:type="dxa"/>
            <w:tcBorders>
              <w:top w:val="single" w:sz="8" w:space="0" w:color="000000"/>
            </w:tcBorders>
          </w:tcPr>
          <w:p>
            <w:pPr>
              <w:pStyle w:val="TableParagraph"/>
              <w:spacing w:before="10"/>
              <w:ind w:left="0"/>
              <w:rPr>
                <w:sz w:val="14"/>
              </w:rPr>
            </w:pPr>
          </w:p>
          <w:p>
            <w:pPr>
              <w:pStyle w:val="TableParagraph"/>
              <w:ind w:left="110"/>
              <w:rPr>
                <w:b/>
                <w:sz w:val="21"/>
              </w:rPr>
            </w:pPr>
            <w:r>
              <w:rPr>
                <w:b/>
                <w:sz w:val="21"/>
              </w:rPr>
              <w:t>1.1</w:t>
            </w:r>
          </w:p>
        </w:tc>
        <w:tc>
          <w:tcPr>
            <w:tcW w:w="2021" w:type="dxa"/>
            <w:tcBorders>
              <w:top w:val="single" w:sz="8" w:space="0" w:color="000000"/>
            </w:tcBorders>
          </w:tcPr>
          <w:p>
            <w:pPr>
              <w:pStyle w:val="TableParagraph"/>
              <w:spacing w:before="10"/>
              <w:ind w:left="0"/>
              <w:rPr>
                <w:sz w:val="14"/>
              </w:rPr>
            </w:pPr>
          </w:p>
          <w:p>
            <w:pPr>
              <w:pStyle w:val="TableParagraph"/>
              <w:ind w:left="215"/>
              <w:rPr>
                <w:b/>
                <w:sz w:val="21"/>
              </w:rPr>
            </w:pPr>
            <w:r>
              <w:rPr>
                <w:b/>
                <w:sz w:val="21"/>
              </w:rPr>
              <w:t>合同构成</w:t>
            </w:r>
          </w:p>
        </w:tc>
        <w:tc>
          <w:tcPr>
            <w:tcW w:w="7546" w:type="dxa"/>
            <w:tcBorders>
              <w:top w:val="single" w:sz="8" w:space="0" w:color="000000"/>
            </w:tcBorders>
          </w:tcPr>
          <w:p>
            <w:pPr>
              <w:pStyle w:val="TableParagraph"/>
              <w:spacing w:before="10"/>
              <w:ind w:left="0"/>
              <w:rPr>
                <w:sz w:val="14"/>
              </w:rPr>
            </w:pPr>
          </w:p>
          <w:p>
            <w:pPr>
              <w:pStyle w:val="TableParagraph"/>
              <w:spacing w:line="273" w:lineRule="auto"/>
              <w:ind w:left="544" w:right="100" w:hanging="421"/>
              <w:jc w:val="both"/>
              <w:rPr>
                <w:sz w:val="21"/>
              </w:rPr>
            </w:pPr>
            <w:r>
              <w:rPr>
                <w:spacing w:val="-5"/>
                <w:sz w:val="21"/>
              </w:rPr>
              <w:t>一、本附加合同是您与我们约定保险权利义务关系的协议，包括本保险条款、保</w:t>
            </w:r>
            <w:r>
              <w:rPr>
                <w:spacing w:val="-8"/>
                <w:sz w:val="21"/>
              </w:rPr>
              <w:t>险单或其他保险凭证、投保单、与保险合同有关的投保文件、合法有效的声明、健康告知书、变更申请书、批注、批单及其他您与我们共同认可的书面协议。</w:t>
            </w:r>
          </w:p>
          <w:p>
            <w:pPr>
              <w:pStyle w:val="TableParagraph"/>
              <w:spacing w:line="273" w:lineRule="auto" w:before="7"/>
              <w:ind w:left="537" w:right="101" w:hanging="414"/>
              <w:jc w:val="both"/>
              <w:rPr>
                <w:b/>
                <w:sz w:val="21"/>
              </w:rPr>
            </w:pPr>
            <w:r>
              <w:rPr>
                <w:b/>
                <w:spacing w:val="-5"/>
                <w:sz w:val="21"/>
              </w:rPr>
              <w:t>二、主合同的条款也适用于本附加合同，本附加合同对相关事项没有约定的，以主合同相关条款为准。</w:t>
            </w:r>
          </w:p>
          <w:p>
            <w:pPr>
              <w:pStyle w:val="TableParagraph"/>
              <w:spacing w:before="7"/>
              <w:ind w:left="123"/>
              <w:rPr>
                <w:sz w:val="21"/>
              </w:rPr>
            </w:pPr>
            <w:r>
              <w:rPr>
                <w:sz w:val="21"/>
              </w:rPr>
              <w:t>三、主合同是指“华夏长春藤两全保险合同”。</w:t>
            </w:r>
          </w:p>
        </w:tc>
      </w:tr>
      <w:tr>
        <w:trPr>
          <w:trHeight w:val="1163" w:hRule="atLeast"/>
        </w:trPr>
        <w:tc>
          <w:tcPr>
            <w:tcW w:w="683" w:type="dxa"/>
          </w:tcPr>
          <w:p>
            <w:pPr>
              <w:pStyle w:val="TableParagraph"/>
              <w:spacing w:before="100"/>
              <w:ind w:left="110"/>
              <w:rPr>
                <w:b/>
                <w:sz w:val="21"/>
              </w:rPr>
            </w:pPr>
            <w:r>
              <w:rPr>
                <w:b/>
                <w:sz w:val="21"/>
              </w:rPr>
              <w:t>1.2</w:t>
            </w:r>
          </w:p>
        </w:tc>
        <w:tc>
          <w:tcPr>
            <w:tcW w:w="2021" w:type="dxa"/>
          </w:tcPr>
          <w:p>
            <w:pPr>
              <w:pStyle w:val="TableParagraph"/>
              <w:spacing w:before="100"/>
              <w:ind w:left="215"/>
              <w:rPr>
                <w:b/>
                <w:sz w:val="21"/>
              </w:rPr>
            </w:pPr>
            <w:r>
              <w:rPr>
                <w:b/>
                <w:sz w:val="21"/>
              </w:rPr>
              <w:t>合同成立与生效</w:t>
            </w:r>
          </w:p>
        </w:tc>
        <w:tc>
          <w:tcPr>
            <w:tcW w:w="7546" w:type="dxa"/>
          </w:tcPr>
          <w:p>
            <w:pPr>
              <w:pStyle w:val="TableParagraph"/>
              <w:spacing w:before="100"/>
              <w:ind w:left="123"/>
              <w:rPr>
                <w:sz w:val="21"/>
              </w:rPr>
            </w:pPr>
            <w:r>
              <w:rPr>
                <w:sz w:val="21"/>
              </w:rPr>
              <w:t>一、您提出保险申请、我们同意承保，本附加合同成立。</w:t>
            </w:r>
          </w:p>
          <w:p>
            <w:pPr>
              <w:pStyle w:val="TableParagraph"/>
              <w:spacing w:line="273" w:lineRule="auto" w:before="36"/>
              <w:ind w:left="544" w:right="40" w:hanging="421"/>
              <w:rPr>
                <w:sz w:val="21"/>
              </w:rPr>
            </w:pPr>
            <w:r>
              <w:rPr>
                <w:sz w:val="21"/>
              </w:rPr>
              <w:t>二、本附加合同生效日在保险单上载明。</w:t>
            </w:r>
            <w:r>
              <w:rPr>
                <w:b/>
                <w:sz w:val="21"/>
              </w:rPr>
              <w:t>保单年度、保单周年日、保险费约定支付日</w:t>
            </w:r>
            <w:r>
              <w:rPr>
                <w:sz w:val="21"/>
              </w:rPr>
              <w:t>均以该日期计算。</w:t>
            </w:r>
          </w:p>
        </w:tc>
      </w:tr>
      <w:tr>
        <w:trPr>
          <w:trHeight w:val="850" w:hRule="atLeast"/>
        </w:trPr>
        <w:tc>
          <w:tcPr>
            <w:tcW w:w="683" w:type="dxa"/>
          </w:tcPr>
          <w:p>
            <w:pPr>
              <w:pStyle w:val="TableParagraph"/>
              <w:spacing w:before="100"/>
              <w:ind w:left="110"/>
              <w:rPr>
                <w:b/>
                <w:sz w:val="21"/>
              </w:rPr>
            </w:pPr>
            <w:r>
              <w:rPr>
                <w:b/>
                <w:sz w:val="21"/>
              </w:rPr>
              <w:t>1.3</w:t>
            </w:r>
          </w:p>
        </w:tc>
        <w:tc>
          <w:tcPr>
            <w:tcW w:w="2021" w:type="dxa"/>
          </w:tcPr>
          <w:p>
            <w:pPr>
              <w:pStyle w:val="TableParagraph"/>
              <w:spacing w:before="100"/>
              <w:ind w:left="215"/>
              <w:rPr>
                <w:b/>
                <w:sz w:val="21"/>
              </w:rPr>
            </w:pPr>
            <w:r>
              <w:rPr>
                <w:b/>
                <w:sz w:val="21"/>
              </w:rPr>
              <w:t>投保年龄</w:t>
            </w:r>
          </w:p>
        </w:tc>
        <w:tc>
          <w:tcPr>
            <w:tcW w:w="7546" w:type="dxa"/>
          </w:tcPr>
          <w:p>
            <w:pPr>
              <w:pStyle w:val="TableParagraph"/>
              <w:spacing w:before="100"/>
              <w:ind w:left="145"/>
              <w:rPr>
                <w:sz w:val="21"/>
              </w:rPr>
            </w:pPr>
            <w:r>
              <w:rPr>
                <w:sz w:val="21"/>
              </w:rPr>
              <w:t>指投保时被保险人的年龄，投保年龄以</w:t>
            </w:r>
            <w:r>
              <w:rPr>
                <w:b/>
                <w:sz w:val="21"/>
              </w:rPr>
              <w:t>周岁</w:t>
            </w:r>
            <w:r>
              <w:rPr>
                <w:sz w:val="21"/>
              </w:rPr>
              <w:t>计算，本附加合同接受的投保年龄为</w:t>
            </w:r>
          </w:p>
          <w:p>
            <w:pPr>
              <w:pStyle w:val="TableParagraph"/>
              <w:spacing w:before="36"/>
              <w:ind w:left="145"/>
              <w:rPr>
                <w:sz w:val="21"/>
              </w:rPr>
            </w:pPr>
            <w:r>
              <w:rPr>
                <w:sz w:val="21"/>
              </w:rPr>
              <w:t>0</w:t>
            </w:r>
            <w:r>
              <w:rPr>
                <w:spacing w:val="-17"/>
                <w:sz w:val="21"/>
              </w:rPr>
              <w:t> 周岁</w:t>
            </w:r>
            <w:r>
              <w:rPr>
                <w:sz w:val="21"/>
              </w:rPr>
              <w:t>（</w:t>
            </w:r>
            <w:r>
              <w:rPr>
                <w:spacing w:val="-10"/>
                <w:sz w:val="21"/>
              </w:rPr>
              <w:t>出生且出院满 </w:t>
            </w:r>
            <w:r>
              <w:rPr>
                <w:sz w:val="21"/>
              </w:rPr>
              <w:t>28</w:t>
            </w:r>
            <w:r>
              <w:rPr>
                <w:spacing w:val="-26"/>
                <w:sz w:val="21"/>
              </w:rPr>
              <w:t> 日</w:t>
            </w:r>
            <w:r>
              <w:rPr>
                <w:spacing w:val="-3"/>
                <w:sz w:val="21"/>
              </w:rPr>
              <w:t>）</w:t>
            </w:r>
            <w:r>
              <w:rPr>
                <w:spacing w:val="-25"/>
                <w:sz w:val="21"/>
              </w:rPr>
              <w:t>至 </w:t>
            </w:r>
            <w:r>
              <w:rPr>
                <w:sz w:val="21"/>
              </w:rPr>
              <w:t>45</w:t>
            </w:r>
            <w:r>
              <w:rPr>
                <w:spacing w:val="-19"/>
                <w:sz w:val="21"/>
              </w:rPr>
              <w:t> 周岁</w:t>
            </w:r>
            <w:r>
              <w:rPr>
                <w:sz w:val="21"/>
              </w:rPr>
              <w:t>（</w:t>
            </w:r>
            <w:r>
              <w:rPr>
                <w:spacing w:val="-26"/>
                <w:sz w:val="21"/>
              </w:rPr>
              <w:t>含 </w:t>
            </w:r>
            <w:r>
              <w:rPr>
                <w:sz w:val="21"/>
              </w:rPr>
              <w:t>45</w:t>
            </w:r>
            <w:r>
              <w:rPr>
                <w:spacing w:val="-18"/>
                <w:sz w:val="21"/>
              </w:rPr>
              <w:t> 周岁</w:t>
            </w:r>
            <w:r>
              <w:rPr>
                <w:spacing w:val="-106"/>
                <w:sz w:val="21"/>
              </w:rPr>
              <w:t>）</w:t>
            </w:r>
            <w:r>
              <w:rPr>
                <w:sz w:val="21"/>
              </w:rPr>
              <w:t>。</w:t>
            </w:r>
          </w:p>
        </w:tc>
      </w:tr>
      <w:tr>
        <w:trPr>
          <w:trHeight w:val="3060" w:hRule="atLeast"/>
        </w:trPr>
        <w:tc>
          <w:tcPr>
            <w:tcW w:w="683" w:type="dxa"/>
          </w:tcPr>
          <w:p>
            <w:pPr>
              <w:pStyle w:val="TableParagraph"/>
              <w:spacing w:before="99"/>
              <w:ind w:left="110"/>
              <w:rPr>
                <w:b/>
                <w:sz w:val="21"/>
              </w:rPr>
            </w:pPr>
            <w:r>
              <w:rPr>
                <w:b/>
                <w:sz w:val="21"/>
              </w:rPr>
              <w:t>1.4</w:t>
            </w:r>
          </w:p>
        </w:tc>
        <w:tc>
          <w:tcPr>
            <w:tcW w:w="2021" w:type="dxa"/>
          </w:tcPr>
          <w:p>
            <w:pPr>
              <w:pStyle w:val="TableParagraph"/>
              <w:spacing w:before="99"/>
              <w:ind w:left="215"/>
              <w:rPr>
                <w:b/>
                <w:sz w:val="21"/>
              </w:rPr>
            </w:pPr>
            <w:r>
              <w:rPr>
                <w:b/>
                <w:sz w:val="21"/>
              </w:rPr>
              <w:t>犹豫期</w:t>
            </w:r>
          </w:p>
        </w:tc>
        <w:tc>
          <w:tcPr>
            <w:tcW w:w="7546" w:type="dxa"/>
          </w:tcPr>
          <w:p>
            <w:pPr>
              <w:pStyle w:val="TableParagraph"/>
              <w:spacing w:line="273" w:lineRule="auto" w:before="99"/>
              <w:ind w:left="544" w:right="101" w:hanging="421"/>
              <w:jc w:val="both"/>
              <w:rPr>
                <w:sz w:val="21"/>
              </w:rPr>
            </w:pPr>
            <w:r>
              <w:rPr>
                <w:spacing w:val="-6"/>
                <w:sz w:val="21"/>
              </w:rPr>
              <w:t>一、您收到本附加合同并书面签收之日起 </w:t>
            </w:r>
            <w:r>
              <w:rPr>
                <w:sz w:val="21"/>
              </w:rPr>
              <w:t>15</w:t>
            </w:r>
            <w:r>
              <w:rPr>
                <w:spacing w:val="-23"/>
                <w:sz w:val="21"/>
              </w:rPr>
              <w:t> 日内</w:t>
            </w:r>
            <w:r>
              <w:rPr>
                <w:spacing w:val="-3"/>
                <w:sz w:val="21"/>
              </w:rPr>
              <w:t>（</w:t>
            </w:r>
            <w:r>
              <w:rPr>
                <w:spacing w:val="-17"/>
                <w:sz w:val="21"/>
              </w:rPr>
              <w:t>含第 </w:t>
            </w:r>
            <w:r>
              <w:rPr>
                <w:sz w:val="21"/>
              </w:rPr>
              <w:t>15</w:t>
            </w:r>
            <w:r>
              <w:rPr>
                <w:spacing w:val="-10"/>
                <w:sz w:val="21"/>
              </w:rPr>
              <w:t> 日，保险监督管理机</w:t>
            </w:r>
            <w:r>
              <w:rPr>
                <w:spacing w:val="-6"/>
                <w:sz w:val="21"/>
              </w:rPr>
              <w:t>构对犹豫期天数另有规定的，从其规定</w:t>
            </w:r>
            <w:r>
              <w:rPr>
                <w:spacing w:val="-13"/>
                <w:sz w:val="21"/>
              </w:rPr>
              <w:t>）</w:t>
            </w:r>
            <w:r>
              <w:rPr>
                <w:spacing w:val="-5"/>
                <w:sz w:val="21"/>
              </w:rPr>
              <w:t>为犹豫期，在此期间请您仔细审阅</w:t>
            </w:r>
            <w:r>
              <w:rPr>
                <w:spacing w:val="-7"/>
                <w:sz w:val="21"/>
              </w:rPr>
              <w:t>本附加合同的各项内容，特别是责任免除条款、合同解除条款以及如实告知</w:t>
            </w:r>
            <w:r>
              <w:rPr>
                <w:spacing w:val="-8"/>
                <w:sz w:val="21"/>
              </w:rPr>
              <w:t>等内容。若您认为本附加合同与您的需求不相符，您可以在此期间提出解除</w:t>
            </w:r>
            <w:r>
              <w:rPr>
                <w:spacing w:val="-15"/>
                <w:sz w:val="21"/>
              </w:rPr>
              <w:t>本附加合同，我们将在扣除不超过 </w:t>
            </w:r>
            <w:r>
              <w:rPr>
                <w:spacing w:val="-11"/>
                <w:sz w:val="21"/>
              </w:rPr>
              <w:t>10 元的工本费后无息退还您所交纳的本附</w:t>
            </w:r>
            <w:r>
              <w:rPr>
                <w:spacing w:val="-3"/>
                <w:sz w:val="21"/>
              </w:rPr>
              <w:t>加合同保险费。本附加合同须与主合同一起申请解除。</w:t>
            </w:r>
          </w:p>
          <w:p>
            <w:pPr>
              <w:pStyle w:val="TableParagraph"/>
              <w:spacing w:line="261" w:lineRule="auto" w:before="7"/>
              <w:ind w:left="544" w:right="41" w:hanging="421"/>
              <w:jc w:val="both"/>
              <w:rPr>
                <w:rFonts w:ascii="黑体" w:eastAsia="黑体" w:hint="eastAsia"/>
                <w:b/>
                <w:i/>
                <w:sz w:val="22"/>
              </w:rPr>
            </w:pPr>
            <w:r>
              <w:rPr>
                <w:spacing w:val="-5"/>
                <w:sz w:val="21"/>
              </w:rPr>
              <w:t>二、您在犹豫期内提出解除合同时需填写解除合同申请书，并提供保险合同及您</w:t>
            </w:r>
            <w:r>
              <w:rPr>
                <w:spacing w:val="-3"/>
                <w:w w:val="95"/>
                <w:sz w:val="21"/>
              </w:rPr>
              <w:t>的</w:t>
            </w:r>
            <w:r>
              <w:rPr>
                <w:b/>
                <w:w w:val="95"/>
                <w:sz w:val="21"/>
              </w:rPr>
              <w:t>有效身份证件</w:t>
            </w:r>
            <w:r>
              <w:rPr>
                <w:spacing w:val="-3"/>
                <w:w w:val="95"/>
                <w:sz w:val="21"/>
              </w:rPr>
              <w:t>。</w:t>
            </w:r>
            <w:r>
              <w:rPr>
                <w:rFonts w:ascii="黑体" w:eastAsia="黑体" w:hint="eastAsia"/>
                <w:b/>
                <w:i/>
                <w:spacing w:val="-2"/>
                <w:w w:val="95"/>
                <w:sz w:val="22"/>
              </w:rPr>
              <w:t>自我们收到解除合同申请书时起，本附加合同即被解除， </w:t>
            </w:r>
            <w:r>
              <w:rPr>
                <w:rFonts w:ascii="黑体" w:eastAsia="黑体" w:hint="eastAsia"/>
                <w:b/>
                <w:i/>
                <w:spacing w:val="-1"/>
                <w:w w:val="95"/>
                <w:sz w:val="22"/>
              </w:rPr>
              <w:t>对于合同解除前发</w:t>
            </w:r>
            <w:r>
              <w:rPr>
                <w:rFonts w:ascii="黑体" w:eastAsia="黑体" w:hint="eastAsia"/>
                <w:b/>
                <w:i/>
                <w:w w:val="95"/>
                <w:sz w:val="22"/>
              </w:rPr>
              <w:t>Th</w:t>
            </w:r>
            <w:r>
              <w:rPr>
                <w:rFonts w:ascii="黑体" w:eastAsia="黑体" w:hint="eastAsia"/>
                <w:b/>
                <w:i/>
                <w:spacing w:val="-3"/>
                <w:w w:val="95"/>
                <w:sz w:val="22"/>
              </w:rPr>
              <w:t>的保险事故，我们不承担保险责任。</w:t>
            </w:r>
          </w:p>
        </w:tc>
      </w:tr>
      <w:tr>
        <w:trPr>
          <w:trHeight w:val="710" w:hRule="atLeast"/>
        </w:trPr>
        <w:tc>
          <w:tcPr>
            <w:tcW w:w="683" w:type="dxa"/>
            <w:tcBorders>
              <w:bottom w:val="single" w:sz="8" w:space="0" w:color="000000"/>
            </w:tcBorders>
          </w:tcPr>
          <w:p>
            <w:pPr>
              <w:pStyle w:val="TableParagraph"/>
              <w:spacing w:before="151"/>
              <w:ind w:left="110"/>
              <w:rPr>
                <w:rFonts w:ascii="Arial" w:hAnsi="Arial"/>
                <w:b/>
                <w:sz w:val="40"/>
              </w:rPr>
            </w:pPr>
            <w:r>
              <w:rPr>
                <w:rFonts w:ascii="Arial" w:hAnsi="Arial"/>
                <w:b/>
                <w:w w:val="119"/>
                <w:sz w:val="40"/>
              </w:rPr>
              <w:t></w:t>
            </w:r>
          </w:p>
        </w:tc>
        <w:tc>
          <w:tcPr>
            <w:tcW w:w="2021" w:type="dxa"/>
            <w:tcBorders>
              <w:bottom w:val="single" w:sz="8" w:space="0" w:color="000000"/>
            </w:tcBorders>
          </w:tcPr>
          <w:p>
            <w:pPr>
              <w:pStyle w:val="TableParagraph"/>
              <w:spacing w:before="203"/>
              <w:ind w:left="215"/>
              <w:rPr>
                <w:b/>
                <w:sz w:val="24"/>
              </w:rPr>
            </w:pPr>
            <w:r>
              <w:rPr>
                <w:b/>
                <w:w w:val="95"/>
                <w:sz w:val="24"/>
              </w:rPr>
              <w:t>我们提供的保障</w:t>
            </w:r>
          </w:p>
        </w:tc>
        <w:tc>
          <w:tcPr>
            <w:tcW w:w="7546" w:type="dxa"/>
            <w:tcBorders>
              <w:bottom w:val="single" w:sz="8" w:space="0" w:color="000000"/>
            </w:tcBorders>
          </w:tcPr>
          <w:p>
            <w:pPr>
              <w:pStyle w:val="TableParagraph"/>
              <w:ind w:left="0"/>
              <w:rPr>
                <w:rFonts w:ascii="Times New Roman"/>
                <w:sz w:val="20"/>
              </w:rPr>
            </w:pPr>
          </w:p>
        </w:tc>
      </w:tr>
      <w:tr>
        <w:trPr>
          <w:trHeight w:val="633" w:hRule="atLeast"/>
        </w:trPr>
        <w:tc>
          <w:tcPr>
            <w:tcW w:w="683" w:type="dxa"/>
            <w:tcBorders>
              <w:top w:val="single" w:sz="8" w:space="0" w:color="000000"/>
            </w:tcBorders>
          </w:tcPr>
          <w:p>
            <w:pPr>
              <w:pStyle w:val="TableParagraph"/>
              <w:spacing w:before="10"/>
              <w:ind w:left="0"/>
              <w:rPr>
                <w:sz w:val="14"/>
              </w:rPr>
            </w:pPr>
          </w:p>
          <w:p>
            <w:pPr>
              <w:pStyle w:val="TableParagraph"/>
              <w:spacing w:before="1"/>
              <w:ind w:left="110"/>
              <w:rPr>
                <w:b/>
                <w:sz w:val="21"/>
              </w:rPr>
            </w:pPr>
            <w:r>
              <w:rPr>
                <w:b/>
                <w:sz w:val="21"/>
              </w:rPr>
              <w:t>2.1</w:t>
            </w:r>
          </w:p>
        </w:tc>
        <w:tc>
          <w:tcPr>
            <w:tcW w:w="2021" w:type="dxa"/>
            <w:tcBorders>
              <w:top w:val="single" w:sz="8" w:space="0" w:color="000000"/>
            </w:tcBorders>
          </w:tcPr>
          <w:p>
            <w:pPr>
              <w:pStyle w:val="TableParagraph"/>
              <w:spacing w:before="10"/>
              <w:ind w:left="0"/>
              <w:rPr>
                <w:sz w:val="14"/>
              </w:rPr>
            </w:pPr>
          </w:p>
          <w:p>
            <w:pPr>
              <w:pStyle w:val="TableParagraph"/>
              <w:spacing w:before="1"/>
              <w:ind w:left="215"/>
              <w:rPr>
                <w:b/>
                <w:sz w:val="21"/>
              </w:rPr>
            </w:pPr>
            <w:r>
              <w:rPr>
                <w:b/>
                <w:sz w:val="21"/>
              </w:rPr>
              <w:t>保险责任</w:t>
            </w:r>
          </w:p>
        </w:tc>
        <w:tc>
          <w:tcPr>
            <w:tcW w:w="7546" w:type="dxa"/>
            <w:tcBorders>
              <w:top w:val="single" w:sz="8" w:space="0" w:color="000000"/>
            </w:tcBorders>
          </w:tcPr>
          <w:p>
            <w:pPr>
              <w:pStyle w:val="TableParagraph"/>
              <w:spacing w:before="10"/>
              <w:ind w:left="0"/>
              <w:rPr>
                <w:sz w:val="14"/>
              </w:rPr>
            </w:pPr>
          </w:p>
          <w:p>
            <w:pPr>
              <w:pStyle w:val="TableParagraph"/>
              <w:spacing w:before="1"/>
              <w:ind w:left="123"/>
              <w:rPr>
                <w:sz w:val="21"/>
              </w:rPr>
            </w:pPr>
            <w:r>
              <w:rPr>
                <w:sz w:val="21"/>
              </w:rPr>
              <w:t>在本附加合同有效期间内，我们按照以下约定承担保险责任：</w:t>
            </w:r>
          </w:p>
        </w:tc>
      </w:tr>
      <w:tr>
        <w:trPr>
          <w:trHeight w:val="1623" w:hRule="atLeast"/>
        </w:trPr>
        <w:tc>
          <w:tcPr>
            <w:tcW w:w="683" w:type="dxa"/>
          </w:tcPr>
          <w:p>
            <w:pPr>
              <w:pStyle w:val="TableParagraph"/>
              <w:ind w:left="0"/>
              <w:rPr>
                <w:rFonts w:ascii="Times New Roman"/>
                <w:sz w:val="20"/>
              </w:rPr>
            </w:pPr>
          </w:p>
        </w:tc>
        <w:tc>
          <w:tcPr>
            <w:tcW w:w="2021" w:type="dxa"/>
          </w:tcPr>
          <w:p>
            <w:pPr>
              <w:pStyle w:val="TableParagraph"/>
              <w:spacing w:before="133"/>
              <w:ind w:left="215"/>
              <w:rPr>
                <w:rFonts w:ascii="Microsoft JhengHei" w:eastAsia="Microsoft JhengHei" w:hint="eastAsia"/>
                <w:b/>
                <w:sz w:val="24"/>
              </w:rPr>
            </w:pPr>
            <w:r>
              <w:rPr>
                <w:rFonts w:ascii="Microsoft JhengHei" w:eastAsia="Microsoft JhengHei" w:hint="eastAsia"/>
                <w:b/>
                <w:sz w:val="24"/>
              </w:rPr>
              <w:t>轻症疾病保险金</w:t>
            </w:r>
          </w:p>
        </w:tc>
        <w:tc>
          <w:tcPr>
            <w:tcW w:w="7546" w:type="dxa"/>
          </w:tcPr>
          <w:p>
            <w:pPr>
              <w:pStyle w:val="TableParagraph"/>
              <w:spacing w:line="310" w:lineRule="atLeast" w:before="65"/>
              <w:ind w:left="123" w:right="101"/>
              <w:jc w:val="both"/>
              <w:rPr>
                <w:sz w:val="21"/>
              </w:rPr>
            </w:pPr>
            <w:r>
              <w:rPr>
                <w:spacing w:val="-2"/>
                <w:sz w:val="21"/>
              </w:rPr>
              <w:t>若被保险人因</w:t>
            </w:r>
            <w:r>
              <w:rPr>
                <w:b/>
                <w:sz w:val="21"/>
              </w:rPr>
              <w:t>意外伤害</w:t>
            </w:r>
            <w:r>
              <w:rPr>
                <w:spacing w:val="-4"/>
                <w:sz w:val="21"/>
              </w:rPr>
              <w:t>或于本附加合同生效或最后一次复效之日起 </w:t>
            </w:r>
            <w:r>
              <w:rPr>
                <w:sz w:val="21"/>
              </w:rPr>
              <w:t>90</w:t>
            </w:r>
            <w:r>
              <w:rPr>
                <w:spacing w:val="-3"/>
                <w:sz w:val="21"/>
              </w:rPr>
              <w:t> 日后因意外伤害以外的原因导致</w:t>
            </w:r>
            <w:r>
              <w:rPr>
                <w:b/>
                <w:spacing w:val="-1"/>
                <w:sz w:val="21"/>
              </w:rPr>
              <w:t>初次患本附加合同所列的轻症疾病</w:t>
            </w:r>
            <w:r>
              <w:rPr>
                <w:spacing w:val="-9"/>
                <w:sz w:val="21"/>
              </w:rPr>
              <w:t>，我们将额外按本附加</w:t>
            </w:r>
            <w:r>
              <w:rPr>
                <w:spacing w:val="-7"/>
                <w:sz w:val="21"/>
              </w:rPr>
              <w:t>合同基本保险金额的一定比例给付轻症疾病保险金。</w:t>
            </w:r>
            <w:r>
              <w:rPr>
                <w:b/>
                <w:spacing w:val="-2"/>
                <w:sz w:val="21"/>
              </w:rPr>
              <w:t>每种轻症疾病只给付一次轻</w:t>
            </w:r>
            <w:r>
              <w:rPr>
                <w:b/>
                <w:spacing w:val="-9"/>
                <w:sz w:val="21"/>
              </w:rPr>
              <w:t>症疾病保险金，给付后该种轻症疾病保险金保险责任终止，本附加合同的轻症疾病保险金累计给付以三次为限，</w:t>
            </w:r>
            <w:r>
              <w:rPr>
                <w:spacing w:val="-7"/>
                <w:sz w:val="21"/>
              </w:rPr>
              <w:t>每次的给付比例分别为 </w:t>
            </w:r>
            <w:r>
              <w:rPr>
                <w:sz w:val="21"/>
              </w:rPr>
              <w:t>25</w:t>
            </w:r>
            <w:r>
              <w:rPr>
                <w:spacing w:val="-2"/>
                <w:sz w:val="21"/>
              </w:rPr>
              <w:t>%、</w:t>
            </w:r>
            <w:r>
              <w:rPr>
                <w:sz w:val="21"/>
              </w:rPr>
              <w:t>30%、35%。</w:t>
            </w:r>
          </w:p>
        </w:tc>
      </w:tr>
    </w:tbl>
    <w:p>
      <w:pPr>
        <w:spacing w:after="0" w:line="310" w:lineRule="atLeast"/>
        <w:jc w:val="both"/>
        <w:rPr>
          <w:sz w:val="21"/>
        </w:rPr>
        <w:sectPr>
          <w:footerReference w:type="default" r:id="rId7"/>
          <w:pgSz w:w="11910" w:h="16840"/>
          <w:pgMar w:footer="358" w:header="0" w:top="1120" w:bottom="540" w:left="680" w:right="760"/>
          <w:pgNumType w:start="2"/>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7677"/>
      </w:tblGrid>
      <w:tr>
        <w:trPr>
          <w:trHeight w:val="6928" w:hRule="atLeast"/>
        </w:trPr>
        <w:tc>
          <w:tcPr>
            <w:tcW w:w="2006" w:type="dxa"/>
          </w:tcPr>
          <w:p>
            <w:pPr>
              <w:pStyle w:val="TableParagraph"/>
              <w:spacing w:line="387" w:lineRule="exact"/>
              <w:ind w:left="200"/>
              <w:rPr>
                <w:rFonts w:ascii="Microsoft JhengHei" w:eastAsia="Microsoft JhengHei" w:hint="eastAsia"/>
                <w:b/>
                <w:sz w:val="24"/>
              </w:rPr>
            </w:pPr>
            <w:r>
              <w:rPr>
                <w:rFonts w:ascii="Microsoft JhengHei" w:eastAsia="Microsoft JhengHei" w:hint="eastAsia"/>
                <w:b/>
                <w:sz w:val="24"/>
              </w:rPr>
              <w:t>重大疾病保险金</w:t>
            </w:r>
          </w:p>
        </w:tc>
        <w:tc>
          <w:tcPr>
            <w:tcW w:w="7677" w:type="dxa"/>
          </w:tcPr>
          <w:p>
            <w:pPr>
              <w:pStyle w:val="TableParagraph"/>
              <w:spacing w:line="211" w:lineRule="exact"/>
              <w:ind w:left="123"/>
              <w:rPr>
                <w:sz w:val="21"/>
              </w:rPr>
            </w:pPr>
            <w:r>
              <w:rPr>
                <w:spacing w:val="-5"/>
                <w:sz w:val="21"/>
              </w:rPr>
              <w:t>一、若被保险人于本附加合同生效或最后一次复效之日起 </w:t>
            </w:r>
            <w:r>
              <w:rPr>
                <w:sz w:val="21"/>
              </w:rPr>
              <w:t>90</w:t>
            </w:r>
            <w:r>
              <w:rPr>
                <w:spacing w:val="-17"/>
                <w:sz w:val="21"/>
              </w:rPr>
              <w:t> 日内</w:t>
            </w:r>
            <w:r>
              <w:rPr>
                <w:sz w:val="21"/>
              </w:rPr>
              <w:t>（</w:t>
            </w:r>
            <w:r>
              <w:rPr>
                <w:spacing w:val="-16"/>
                <w:sz w:val="21"/>
              </w:rPr>
              <w:t>含第 </w:t>
            </w:r>
            <w:r>
              <w:rPr>
                <w:sz w:val="21"/>
              </w:rPr>
              <w:t>90</w:t>
            </w:r>
            <w:r>
              <w:rPr>
                <w:spacing w:val="-25"/>
                <w:sz w:val="21"/>
              </w:rPr>
              <w:t> 日</w:t>
            </w:r>
            <w:r>
              <w:rPr>
                <w:spacing w:val="-3"/>
                <w:sz w:val="21"/>
              </w:rPr>
              <w:t>）</w:t>
            </w:r>
          </w:p>
          <w:p>
            <w:pPr>
              <w:pStyle w:val="TableParagraph"/>
              <w:spacing w:line="273" w:lineRule="auto" w:before="37"/>
              <w:ind w:left="544" w:right="232"/>
              <w:jc w:val="both"/>
              <w:rPr>
                <w:sz w:val="21"/>
              </w:rPr>
            </w:pPr>
            <w:r>
              <w:rPr>
                <w:sz w:val="21"/>
              </w:rPr>
              <w:t>因意外伤害以外的原因导致</w:t>
            </w:r>
            <w:r>
              <w:rPr>
                <w:b/>
                <w:spacing w:val="2"/>
                <w:sz w:val="21"/>
              </w:rPr>
              <w:t>初次患本附加合同所列的重大疾病</w:t>
            </w:r>
            <w:r>
              <w:rPr>
                <w:sz w:val="21"/>
              </w:rPr>
              <w:t>的一种或多</w:t>
            </w:r>
            <w:r>
              <w:rPr>
                <w:spacing w:val="-6"/>
                <w:sz w:val="21"/>
              </w:rPr>
              <w:t>种，我们将按已交保险费给付重大疾病保险金，同时本附加合同及其主合同终止。</w:t>
            </w:r>
          </w:p>
          <w:p>
            <w:pPr>
              <w:pStyle w:val="TableParagraph"/>
              <w:spacing w:before="7"/>
              <w:ind w:left="123"/>
              <w:rPr>
                <w:sz w:val="21"/>
              </w:rPr>
            </w:pPr>
            <w:r>
              <w:rPr>
                <w:sz w:val="21"/>
              </w:rPr>
              <w:t>二、若被保险人于年满 18 周岁前，因意外伤害或于本附加合同生效或最后一次</w:t>
            </w:r>
          </w:p>
          <w:p>
            <w:pPr>
              <w:pStyle w:val="TableParagraph"/>
              <w:spacing w:before="36"/>
              <w:ind w:left="544"/>
              <w:rPr>
                <w:sz w:val="21"/>
              </w:rPr>
            </w:pPr>
            <w:r>
              <w:rPr>
                <w:sz w:val="21"/>
              </w:rPr>
              <w:t>复效之日起 90 日后因意外伤害以外的原因导致初次患本附加合同所列的重</w:t>
            </w:r>
          </w:p>
          <w:p>
            <w:pPr>
              <w:pStyle w:val="TableParagraph"/>
              <w:spacing w:line="273" w:lineRule="auto" w:before="36"/>
              <w:ind w:left="544" w:right="232"/>
              <w:jc w:val="both"/>
              <w:rPr>
                <w:sz w:val="21"/>
              </w:rPr>
            </w:pPr>
            <w:r>
              <w:rPr>
                <w:spacing w:val="-8"/>
                <w:sz w:val="21"/>
              </w:rPr>
              <w:t>大疾病的一种或多种，我们将按本附加合同基本保险金额的 </w:t>
            </w:r>
            <w:r>
              <w:rPr>
                <w:sz w:val="21"/>
              </w:rPr>
              <w:t>2</w:t>
            </w:r>
            <w:r>
              <w:rPr>
                <w:spacing w:val="-8"/>
                <w:sz w:val="21"/>
              </w:rPr>
              <w:t> 倍给付重大疾</w:t>
            </w:r>
            <w:r>
              <w:rPr>
                <w:spacing w:val="-5"/>
                <w:sz w:val="21"/>
              </w:rPr>
              <w:t>病保险金，同时本附加合同及其主合同终止。</w:t>
            </w:r>
          </w:p>
          <w:p>
            <w:pPr>
              <w:pStyle w:val="TableParagraph"/>
              <w:spacing w:before="7"/>
              <w:ind w:left="123"/>
              <w:rPr>
                <w:sz w:val="21"/>
              </w:rPr>
            </w:pPr>
            <w:r>
              <w:rPr>
                <w:spacing w:val="-7"/>
                <w:sz w:val="21"/>
              </w:rPr>
              <w:t>三、若被保险人于年满 </w:t>
            </w:r>
            <w:r>
              <w:rPr>
                <w:sz w:val="21"/>
              </w:rPr>
              <w:t>18</w:t>
            </w:r>
            <w:r>
              <w:rPr>
                <w:spacing w:val="-15"/>
                <w:sz w:val="21"/>
              </w:rPr>
              <w:t> 周岁后至年满 </w:t>
            </w:r>
            <w:r>
              <w:rPr>
                <w:sz w:val="21"/>
              </w:rPr>
              <w:t>60</w:t>
            </w:r>
            <w:r>
              <w:rPr>
                <w:spacing w:val="-11"/>
                <w:sz w:val="21"/>
              </w:rPr>
              <w:t> 周岁前，因意外伤害或于本附加合同</w:t>
            </w:r>
          </w:p>
          <w:p>
            <w:pPr>
              <w:pStyle w:val="TableParagraph"/>
              <w:spacing w:line="273" w:lineRule="auto" w:before="37"/>
              <w:ind w:left="544" w:right="232"/>
              <w:jc w:val="both"/>
              <w:rPr>
                <w:sz w:val="21"/>
              </w:rPr>
            </w:pPr>
            <w:r>
              <w:rPr>
                <w:spacing w:val="-3"/>
                <w:sz w:val="21"/>
              </w:rPr>
              <w:t>生效或最后一次复效之日起 </w:t>
            </w:r>
            <w:r>
              <w:rPr>
                <w:sz w:val="21"/>
              </w:rPr>
              <w:t>90</w:t>
            </w:r>
            <w:r>
              <w:rPr>
                <w:spacing w:val="-3"/>
                <w:sz w:val="21"/>
              </w:rPr>
              <w:t> 日后因意外伤害以外的原因导致初次患本附</w:t>
            </w:r>
            <w:r>
              <w:rPr>
                <w:spacing w:val="-6"/>
                <w:sz w:val="21"/>
              </w:rPr>
              <w:t>加合同所列的重大疾病的一种或多种，我们将按以下三项的较大者给付重大</w:t>
            </w:r>
            <w:r>
              <w:rPr>
                <w:spacing w:val="-4"/>
                <w:sz w:val="21"/>
              </w:rPr>
              <w:t>疾病保险金，同时本附加合同及其主合同终止：</w:t>
            </w:r>
          </w:p>
          <w:p>
            <w:pPr>
              <w:pStyle w:val="TableParagraph"/>
              <w:spacing w:before="7"/>
              <w:ind w:left="471"/>
              <w:jc w:val="both"/>
              <w:rPr>
                <w:sz w:val="21"/>
              </w:rPr>
            </w:pPr>
            <w:r>
              <w:rPr>
                <w:sz w:val="21"/>
              </w:rPr>
              <w:t>(一) 被保险人重大疾病确诊之日本附加合同的基本保险金额；</w:t>
            </w:r>
          </w:p>
          <w:p>
            <w:pPr>
              <w:pStyle w:val="TableParagraph"/>
              <w:spacing w:before="36"/>
              <w:ind w:left="471"/>
              <w:jc w:val="both"/>
              <w:rPr>
                <w:sz w:val="21"/>
              </w:rPr>
            </w:pPr>
            <w:r>
              <w:rPr>
                <w:sz w:val="21"/>
              </w:rPr>
              <w:t>(二) 被保险人重大疾病确诊之日的已交保险费；</w:t>
            </w:r>
          </w:p>
          <w:p>
            <w:pPr>
              <w:pStyle w:val="TableParagraph"/>
              <w:spacing w:before="37"/>
              <w:ind w:left="471"/>
              <w:jc w:val="both"/>
              <w:rPr>
                <w:sz w:val="21"/>
              </w:rPr>
            </w:pPr>
            <w:r>
              <w:rPr>
                <w:sz w:val="21"/>
              </w:rPr>
              <w:t>(三) 被保险人重大疾病确诊之日的</w:t>
            </w:r>
            <w:r>
              <w:rPr>
                <w:b/>
                <w:sz w:val="21"/>
              </w:rPr>
              <w:t>现金价值</w:t>
            </w:r>
            <w:r>
              <w:rPr>
                <w:sz w:val="21"/>
              </w:rPr>
              <w:t>。</w:t>
            </w:r>
          </w:p>
          <w:p>
            <w:pPr>
              <w:pStyle w:val="TableParagraph"/>
              <w:spacing w:before="36"/>
              <w:ind w:left="123"/>
              <w:rPr>
                <w:sz w:val="21"/>
              </w:rPr>
            </w:pPr>
            <w:r>
              <w:rPr>
                <w:sz w:val="21"/>
              </w:rPr>
              <w:t>四、若被保险人于年满 60 周岁后，因意外伤害或于本附加合同生效或最后一次</w:t>
            </w:r>
          </w:p>
          <w:p>
            <w:pPr>
              <w:pStyle w:val="TableParagraph"/>
              <w:spacing w:line="273" w:lineRule="auto" w:before="36"/>
              <w:ind w:left="544" w:right="232"/>
              <w:jc w:val="both"/>
              <w:rPr>
                <w:sz w:val="21"/>
              </w:rPr>
            </w:pPr>
            <w:r>
              <w:rPr>
                <w:spacing w:val="-2"/>
                <w:sz w:val="21"/>
              </w:rPr>
              <w:t>复效之日起 </w:t>
            </w:r>
            <w:r>
              <w:rPr>
                <w:sz w:val="21"/>
              </w:rPr>
              <w:t>90</w:t>
            </w:r>
            <w:r>
              <w:rPr>
                <w:spacing w:val="-3"/>
                <w:sz w:val="21"/>
              </w:rPr>
              <w:t> 日后因意外伤害以外的原因导致初次患本附加合同所列的重</w:t>
            </w:r>
            <w:r>
              <w:rPr>
                <w:spacing w:val="-6"/>
                <w:sz w:val="21"/>
              </w:rPr>
              <w:t>大疾病的一种或多种，我们将按以下三项的较大者给付重大疾病保险金，同</w:t>
            </w:r>
            <w:r>
              <w:rPr>
                <w:spacing w:val="-4"/>
                <w:sz w:val="21"/>
              </w:rPr>
              <w:t>时本附加合同及其主合同终止：</w:t>
            </w:r>
          </w:p>
          <w:p>
            <w:pPr>
              <w:pStyle w:val="TableParagraph"/>
              <w:spacing w:before="7"/>
              <w:ind w:left="471"/>
              <w:jc w:val="both"/>
              <w:rPr>
                <w:sz w:val="21"/>
              </w:rPr>
            </w:pPr>
            <w:r>
              <w:rPr>
                <w:sz w:val="21"/>
              </w:rPr>
              <w:t>(一) 被保险人重大疾病确诊之日本附加合同基本保险金额的 1.2 倍；</w:t>
            </w:r>
          </w:p>
          <w:p>
            <w:pPr>
              <w:pStyle w:val="TableParagraph"/>
              <w:spacing w:before="36"/>
              <w:ind w:left="471"/>
              <w:jc w:val="both"/>
              <w:rPr>
                <w:sz w:val="21"/>
              </w:rPr>
            </w:pPr>
            <w:r>
              <w:rPr>
                <w:sz w:val="21"/>
              </w:rPr>
              <w:t>(二) 被保险人重大疾病确诊之日的已交保险费；</w:t>
            </w:r>
          </w:p>
          <w:p>
            <w:pPr>
              <w:pStyle w:val="TableParagraph"/>
              <w:spacing w:before="36"/>
              <w:ind w:left="471"/>
              <w:jc w:val="both"/>
              <w:rPr>
                <w:sz w:val="21"/>
              </w:rPr>
            </w:pPr>
            <w:r>
              <w:rPr>
                <w:sz w:val="21"/>
              </w:rPr>
              <w:t>(三) 被保险人重大疾病确诊之日的现金价值。</w:t>
            </w:r>
          </w:p>
        </w:tc>
      </w:tr>
      <w:tr>
        <w:trPr>
          <w:trHeight w:val="4596" w:hRule="atLeast"/>
        </w:trPr>
        <w:tc>
          <w:tcPr>
            <w:tcW w:w="2006" w:type="dxa"/>
          </w:tcPr>
          <w:p>
            <w:pPr>
              <w:pStyle w:val="TableParagraph"/>
              <w:spacing w:line="182" w:lineRule="auto" w:before="113"/>
              <w:ind w:left="200" w:right="121"/>
              <w:rPr>
                <w:rFonts w:ascii="Microsoft JhengHei" w:eastAsia="Microsoft JhengHei" w:hint="eastAsia"/>
                <w:b/>
                <w:sz w:val="24"/>
              </w:rPr>
            </w:pPr>
            <w:r>
              <w:rPr>
                <w:rFonts w:ascii="Microsoft JhengHei" w:eastAsia="Microsoft JhengHei" w:hint="eastAsia"/>
                <w:b/>
                <w:sz w:val="24"/>
              </w:rPr>
              <w:t>疾病终末期保险金</w:t>
            </w:r>
          </w:p>
        </w:tc>
        <w:tc>
          <w:tcPr>
            <w:tcW w:w="7677" w:type="dxa"/>
          </w:tcPr>
          <w:p>
            <w:pPr>
              <w:pStyle w:val="TableParagraph"/>
              <w:spacing w:line="273" w:lineRule="auto" w:before="100"/>
              <w:ind w:left="544" w:right="198" w:hanging="421"/>
              <w:jc w:val="both"/>
              <w:rPr>
                <w:sz w:val="21"/>
              </w:rPr>
            </w:pPr>
            <w:r>
              <w:rPr>
                <w:spacing w:val="-5"/>
                <w:sz w:val="21"/>
              </w:rPr>
              <w:t>一、若被保险人于本附加合同生效或最后一次复效之日起 </w:t>
            </w:r>
            <w:r>
              <w:rPr>
                <w:sz w:val="21"/>
              </w:rPr>
              <w:t>90</w:t>
            </w:r>
            <w:r>
              <w:rPr>
                <w:spacing w:val="-17"/>
                <w:sz w:val="21"/>
              </w:rPr>
              <w:t> 日内</w:t>
            </w:r>
            <w:r>
              <w:rPr>
                <w:sz w:val="21"/>
              </w:rPr>
              <w:t>（</w:t>
            </w:r>
            <w:r>
              <w:rPr>
                <w:spacing w:val="-16"/>
                <w:sz w:val="21"/>
              </w:rPr>
              <w:t>含第 </w:t>
            </w:r>
            <w:r>
              <w:rPr>
                <w:sz w:val="21"/>
              </w:rPr>
              <w:t>90</w:t>
            </w:r>
            <w:r>
              <w:rPr>
                <w:spacing w:val="-25"/>
                <w:sz w:val="21"/>
              </w:rPr>
              <w:t> 日</w:t>
            </w:r>
            <w:r>
              <w:rPr>
                <w:spacing w:val="-3"/>
                <w:sz w:val="21"/>
              </w:rPr>
              <w:t>） 因意外伤害以外的原因导致初次被</w:t>
            </w:r>
            <w:r>
              <w:rPr>
                <w:b/>
                <w:sz w:val="21"/>
              </w:rPr>
              <w:t>专科医生</w:t>
            </w:r>
            <w:r>
              <w:rPr>
                <w:spacing w:val="-3"/>
                <w:sz w:val="21"/>
              </w:rPr>
              <w:t>确诊达到</w:t>
            </w:r>
            <w:r>
              <w:rPr>
                <w:b/>
                <w:sz w:val="21"/>
              </w:rPr>
              <w:t>疾病终末期阶段</w:t>
            </w:r>
            <w:r>
              <w:rPr>
                <w:spacing w:val="-16"/>
                <w:sz w:val="21"/>
              </w:rPr>
              <w:t>，我们</w:t>
            </w:r>
            <w:r>
              <w:rPr>
                <w:spacing w:val="-7"/>
                <w:sz w:val="21"/>
              </w:rPr>
              <w:t>将按已交保险费给付疾病终末期保险金，同时本附加合同及其主合同终止。</w:t>
            </w:r>
          </w:p>
          <w:p>
            <w:pPr>
              <w:pStyle w:val="TableParagraph"/>
              <w:spacing w:before="7"/>
              <w:ind w:left="123"/>
              <w:rPr>
                <w:sz w:val="21"/>
              </w:rPr>
            </w:pPr>
            <w:r>
              <w:rPr>
                <w:sz w:val="21"/>
              </w:rPr>
              <w:t>二、若被保险人于年满 18 周岁前，因意外伤害或于本附加合同生效或最后一次</w:t>
            </w:r>
          </w:p>
          <w:p>
            <w:pPr>
              <w:pStyle w:val="TableParagraph"/>
              <w:spacing w:before="37"/>
              <w:ind w:left="544"/>
              <w:rPr>
                <w:sz w:val="21"/>
              </w:rPr>
            </w:pPr>
            <w:r>
              <w:rPr>
                <w:sz w:val="21"/>
              </w:rPr>
              <w:t>复效之日起 90 日后因意外伤害以外的原因导致初次被专科医生确诊达到疾</w:t>
            </w:r>
          </w:p>
          <w:p>
            <w:pPr>
              <w:pStyle w:val="TableParagraph"/>
              <w:spacing w:line="273" w:lineRule="auto" w:before="36"/>
              <w:ind w:left="544" w:right="232"/>
              <w:rPr>
                <w:sz w:val="21"/>
              </w:rPr>
            </w:pPr>
            <w:r>
              <w:rPr>
                <w:spacing w:val="-7"/>
                <w:sz w:val="21"/>
              </w:rPr>
              <w:t>病终末期阶段，我们将按已交保险费的 </w:t>
            </w:r>
            <w:r>
              <w:rPr>
                <w:sz w:val="21"/>
              </w:rPr>
              <w:t>2</w:t>
            </w:r>
            <w:r>
              <w:rPr>
                <w:spacing w:val="-9"/>
                <w:sz w:val="21"/>
              </w:rPr>
              <w:t> 倍给付疾病终末期保险金，同时本</w:t>
            </w:r>
            <w:r>
              <w:rPr>
                <w:spacing w:val="-5"/>
                <w:sz w:val="21"/>
              </w:rPr>
              <w:t>附加合同及其主合同终止。</w:t>
            </w:r>
          </w:p>
          <w:p>
            <w:pPr>
              <w:pStyle w:val="TableParagraph"/>
              <w:spacing w:before="7"/>
              <w:ind w:left="123"/>
              <w:rPr>
                <w:sz w:val="21"/>
              </w:rPr>
            </w:pPr>
            <w:r>
              <w:rPr>
                <w:sz w:val="21"/>
              </w:rPr>
              <w:t>三、若被保险人于年满 18 周岁后，因意外伤害或于本附加合同生效或最后一次</w:t>
            </w:r>
          </w:p>
          <w:p>
            <w:pPr>
              <w:pStyle w:val="TableParagraph"/>
              <w:spacing w:line="273" w:lineRule="auto" w:before="37"/>
              <w:ind w:left="544" w:right="232"/>
              <w:jc w:val="both"/>
              <w:rPr>
                <w:sz w:val="21"/>
              </w:rPr>
            </w:pPr>
            <w:r>
              <w:rPr>
                <w:spacing w:val="-2"/>
                <w:sz w:val="21"/>
              </w:rPr>
              <w:t>复效之日起 </w:t>
            </w:r>
            <w:r>
              <w:rPr>
                <w:sz w:val="21"/>
              </w:rPr>
              <w:t>90</w:t>
            </w:r>
            <w:r>
              <w:rPr>
                <w:spacing w:val="-3"/>
                <w:sz w:val="21"/>
              </w:rPr>
              <w:t> 日后因意外伤害以外的原因导致初次被专科医生确诊达到疾</w:t>
            </w:r>
            <w:r>
              <w:rPr>
                <w:spacing w:val="-7"/>
                <w:sz w:val="21"/>
              </w:rPr>
              <w:t>病终末期阶段，我们将按以下三项的较大者给付疾病终末期保险金，同时本</w:t>
            </w:r>
            <w:r>
              <w:rPr>
                <w:spacing w:val="-5"/>
                <w:sz w:val="21"/>
              </w:rPr>
              <w:t>附加合同及其主合同终止：</w:t>
            </w:r>
          </w:p>
          <w:p>
            <w:pPr>
              <w:pStyle w:val="TableParagraph"/>
              <w:spacing w:before="7"/>
              <w:ind w:left="471"/>
              <w:jc w:val="both"/>
              <w:rPr>
                <w:sz w:val="21"/>
              </w:rPr>
            </w:pPr>
            <w:r>
              <w:rPr>
                <w:sz w:val="21"/>
              </w:rPr>
              <w:t>(一) 被保险人疾病终末期确诊之日本附加合同的基本保险金额；</w:t>
            </w:r>
          </w:p>
          <w:p>
            <w:pPr>
              <w:pStyle w:val="TableParagraph"/>
              <w:spacing w:before="36"/>
              <w:ind w:left="471"/>
              <w:jc w:val="both"/>
              <w:rPr>
                <w:sz w:val="21"/>
              </w:rPr>
            </w:pPr>
            <w:r>
              <w:rPr>
                <w:sz w:val="21"/>
              </w:rPr>
              <w:t>(二) 被保险人疾病终末期确诊之日的已交保险费；</w:t>
            </w:r>
          </w:p>
          <w:p>
            <w:pPr>
              <w:pStyle w:val="TableParagraph"/>
              <w:spacing w:before="36"/>
              <w:ind w:left="471"/>
              <w:jc w:val="both"/>
              <w:rPr>
                <w:sz w:val="21"/>
              </w:rPr>
            </w:pPr>
            <w:r>
              <w:rPr>
                <w:sz w:val="21"/>
              </w:rPr>
              <w:t>(三) 被保险人疾病终末期确诊之日的现金价值。</w:t>
            </w:r>
          </w:p>
        </w:tc>
      </w:tr>
      <w:tr>
        <w:trPr>
          <w:trHeight w:val="1163" w:hRule="atLeast"/>
        </w:trPr>
        <w:tc>
          <w:tcPr>
            <w:tcW w:w="2006" w:type="dxa"/>
          </w:tcPr>
          <w:p>
            <w:pPr>
              <w:pStyle w:val="TableParagraph"/>
              <w:ind w:left="0"/>
              <w:rPr>
                <w:rFonts w:ascii="Times New Roman"/>
                <w:sz w:val="20"/>
              </w:rPr>
            </w:pPr>
          </w:p>
        </w:tc>
        <w:tc>
          <w:tcPr>
            <w:tcW w:w="7677" w:type="dxa"/>
          </w:tcPr>
          <w:p>
            <w:pPr>
              <w:pStyle w:val="TableParagraph"/>
              <w:spacing w:line="273" w:lineRule="auto" w:before="100"/>
              <w:ind w:left="123" w:right="232"/>
              <w:jc w:val="both"/>
              <w:rPr>
                <w:sz w:val="21"/>
              </w:rPr>
            </w:pPr>
            <w:r>
              <w:rPr>
                <w:spacing w:val="-7"/>
                <w:sz w:val="21"/>
              </w:rPr>
              <w:t>以上各条所述“已交保险费”是指本附加合同及主合同华夏长春藤两全保险合同</w:t>
            </w:r>
            <w:r>
              <w:rPr>
                <w:spacing w:val="-10"/>
                <w:w w:val="100"/>
                <w:sz w:val="21"/>
              </w:rPr>
              <w:t>的已交保险费之和，“现金价值”是指本附加合同及主合同华夏长春藤两全保险</w:t>
            </w:r>
            <w:r>
              <w:rPr>
                <w:spacing w:val="-5"/>
                <w:sz w:val="21"/>
              </w:rPr>
              <w:t>合同的现金价值之和。</w:t>
            </w:r>
          </w:p>
        </w:tc>
      </w:tr>
      <w:tr>
        <w:trPr>
          <w:trHeight w:val="1162" w:hRule="atLeast"/>
        </w:trPr>
        <w:tc>
          <w:tcPr>
            <w:tcW w:w="2006" w:type="dxa"/>
          </w:tcPr>
          <w:p>
            <w:pPr>
              <w:pStyle w:val="TableParagraph"/>
              <w:spacing w:line="184" w:lineRule="auto" w:before="108"/>
              <w:ind w:left="200" w:right="121"/>
              <w:rPr>
                <w:rFonts w:ascii="Microsoft JhengHei" w:eastAsia="Microsoft JhengHei" w:hint="eastAsia"/>
                <w:b/>
                <w:sz w:val="24"/>
              </w:rPr>
            </w:pPr>
            <w:r>
              <w:rPr>
                <w:rFonts w:ascii="Microsoft JhengHei" w:eastAsia="Microsoft JhengHei" w:hint="eastAsia"/>
                <w:b/>
                <w:sz w:val="24"/>
              </w:rPr>
              <w:t>轻症疾病豁免保险费</w:t>
            </w:r>
          </w:p>
        </w:tc>
        <w:tc>
          <w:tcPr>
            <w:tcW w:w="7677" w:type="dxa"/>
          </w:tcPr>
          <w:p>
            <w:pPr>
              <w:pStyle w:val="TableParagraph"/>
              <w:spacing w:line="273" w:lineRule="auto" w:before="99"/>
              <w:ind w:left="123" w:right="232"/>
              <w:jc w:val="both"/>
              <w:rPr>
                <w:sz w:val="21"/>
              </w:rPr>
            </w:pPr>
            <w:r>
              <w:rPr>
                <w:spacing w:val="-4"/>
                <w:sz w:val="21"/>
              </w:rPr>
              <w:t>若被保险人因意外伤害或于本附加合同生效或最后一次复效之日起 </w:t>
            </w:r>
            <w:r>
              <w:rPr>
                <w:sz w:val="21"/>
              </w:rPr>
              <w:t>90</w:t>
            </w:r>
            <w:r>
              <w:rPr>
                <w:spacing w:val="-3"/>
                <w:sz w:val="21"/>
              </w:rPr>
              <w:t> 日后因意</w:t>
            </w:r>
            <w:r>
              <w:rPr>
                <w:spacing w:val="-5"/>
                <w:sz w:val="21"/>
              </w:rPr>
              <w:t>外伤害以外的原因导致初次患本附加合同所列的轻症疾病，我们将豁免本附加合</w:t>
            </w:r>
            <w:r>
              <w:rPr>
                <w:spacing w:val="-4"/>
                <w:sz w:val="21"/>
              </w:rPr>
              <w:t>同及其主合同自轻症疾病确诊之日以后的各期保险费。</w:t>
            </w:r>
          </w:p>
        </w:tc>
      </w:tr>
      <w:tr>
        <w:trPr>
          <w:trHeight w:val="375" w:hRule="atLeast"/>
        </w:trPr>
        <w:tc>
          <w:tcPr>
            <w:tcW w:w="2006" w:type="dxa"/>
          </w:tcPr>
          <w:p>
            <w:pPr>
              <w:pStyle w:val="TableParagraph"/>
              <w:ind w:left="0"/>
              <w:rPr>
                <w:rFonts w:ascii="Times New Roman"/>
                <w:sz w:val="20"/>
              </w:rPr>
            </w:pPr>
          </w:p>
        </w:tc>
        <w:tc>
          <w:tcPr>
            <w:tcW w:w="7677" w:type="dxa"/>
          </w:tcPr>
          <w:p>
            <w:pPr>
              <w:pStyle w:val="TableParagraph"/>
              <w:spacing w:line="255" w:lineRule="exact" w:before="100"/>
              <w:ind w:left="123"/>
              <w:rPr>
                <w:b/>
                <w:sz w:val="21"/>
              </w:rPr>
            </w:pPr>
            <w:r>
              <w:rPr>
                <w:b/>
                <w:sz w:val="21"/>
              </w:rPr>
              <w:t>被豁免的保险费视为已交纳，同时本附加合同及其主合同继续有效。</w:t>
            </w:r>
          </w:p>
        </w:tc>
      </w:tr>
    </w:tbl>
    <w:p>
      <w:pPr>
        <w:spacing w:after="0" w:line="255" w:lineRule="exact"/>
        <w:rPr>
          <w:sz w:val="21"/>
        </w:rPr>
        <w:sectPr>
          <w:pgSz w:w="11910" w:h="16840"/>
          <w:pgMar w:header="0" w:footer="358" w:top="1160" w:bottom="540" w:left="1360" w:right="64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
        <w:gridCol w:w="2020"/>
        <w:gridCol w:w="7547"/>
      </w:tblGrid>
      <w:tr>
        <w:trPr>
          <w:trHeight w:val="6661" w:hRule="atLeast"/>
        </w:trPr>
        <w:tc>
          <w:tcPr>
            <w:tcW w:w="683" w:type="dxa"/>
          </w:tcPr>
          <w:p>
            <w:pPr>
              <w:pStyle w:val="TableParagraph"/>
              <w:spacing w:line="233" w:lineRule="exact"/>
              <w:ind w:left="110"/>
              <w:rPr>
                <w:rFonts w:ascii="黑体"/>
                <w:b/>
                <w:sz w:val="21"/>
              </w:rPr>
            </w:pPr>
            <w:r>
              <w:rPr>
                <w:rFonts w:ascii="黑体"/>
                <w:b/>
                <w:sz w:val="21"/>
              </w:rPr>
              <w:t>2.2</w:t>
            </w:r>
          </w:p>
        </w:tc>
        <w:tc>
          <w:tcPr>
            <w:tcW w:w="2020" w:type="dxa"/>
          </w:tcPr>
          <w:p>
            <w:pPr>
              <w:pStyle w:val="TableParagraph"/>
              <w:spacing w:line="211" w:lineRule="exact"/>
              <w:ind w:left="215"/>
              <w:rPr>
                <w:rFonts w:ascii="黑体" w:eastAsia="黑体" w:hint="eastAsia"/>
                <w:b/>
                <w:sz w:val="21"/>
              </w:rPr>
            </w:pPr>
            <w:r>
              <w:rPr>
                <w:rFonts w:ascii="黑体" w:eastAsia="黑体" w:hint="eastAsia"/>
                <w:b/>
                <w:sz w:val="21"/>
              </w:rPr>
              <w:t>责任免除</w:t>
            </w:r>
          </w:p>
        </w:tc>
        <w:tc>
          <w:tcPr>
            <w:tcW w:w="7547" w:type="dxa"/>
          </w:tcPr>
          <w:p>
            <w:pPr>
              <w:pStyle w:val="TableParagraph"/>
              <w:spacing w:line="234" w:lineRule="exact"/>
              <w:ind w:left="124"/>
              <w:rPr>
                <w:rFonts w:ascii="黑体" w:eastAsia="黑体" w:hint="eastAsia"/>
                <w:i/>
                <w:sz w:val="22"/>
              </w:rPr>
            </w:pPr>
            <w:r>
              <w:rPr>
                <w:rFonts w:ascii="黑体" w:eastAsia="黑体" w:hint="eastAsia"/>
                <w:i/>
                <w:w w:val="95"/>
                <w:sz w:val="22"/>
              </w:rPr>
              <w:t>一、因下列情形之一在本附加合同有效期间内导致被保险人患本附加合同所列的</w:t>
            </w:r>
          </w:p>
          <w:p>
            <w:pPr>
              <w:pStyle w:val="TableParagraph"/>
              <w:spacing w:line="261" w:lineRule="auto" w:before="24"/>
              <w:ind w:left="545" w:right="101"/>
              <w:rPr>
                <w:rFonts w:ascii="黑体" w:eastAsia="黑体" w:hint="eastAsia"/>
                <w:i/>
                <w:sz w:val="22"/>
              </w:rPr>
            </w:pPr>
            <w:r>
              <w:rPr>
                <w:rFonts w:ascii="黑体" w:eastAsia="黑体" w:hint="eastAsia"/>
                <w:i/>
                <w:w w:val="95"/>
                <w:sz w:val="22"/>
              </w:rPr>
              <w:t>轻症疾病、重大疾病或进入疾病终末期阶段的，我们不承担给付各项保险金的责任：</w:t>
            </w:r>
          </w:p>
          <w:p>
            <w:pPr>
              <w:pStyle w:val="TableParagraph"/>
              <w:spacing w:before="4"/>
              <w:ind w:left="617"/>
              <w:rPr>
                <w:rFonts w:ascii="黑体" w:eastAsia="黑体" w:hint="eastAsia"/>
                <w:i/>
                <w:sz w:val="22"/>
              </w:rPr>
            </w:pPr>
            <w:r>
              <w:rPr>
                <w:rFonts w:ascii="黑体" w:eastAsia="黑体" w:hint="eastAsia"/>
                <w:i/>
                <w:w w:val="95"/>
                <w:sz w:val="22"/>
              </w:rPr>
              <w:t>(一) 投保人对被保险人的故意杀害、故意伤害；</w:t>
            </w:r>
          </w:p>
          <w:p>
            <w:pPr>
              <w:pStyle w:val="TableParagraph"/>
              <w:spacing w:before="24"/>
              <w:ind w:left="617"/>
              <w:rPr>
                <w:rFonts w:ascii="黑体" w:eastAsia="黑体" w:hint="eastAsia"/>
                <w:i/>
                <w:sz w:val="22"/>
              </w:rPr>
            </w:pPr>
            <w:r>
              <w:rPr>
                <w:rFonts w:ascii="黑体" w:eastAsia="黑体" w:hint="eastAsia"/>
                <w:i/>
                <w:w w:val="95"/>
                <w:sz w:val="22"/>
              </w:rPr>
              <w:t>(二) 被保险人故意犯罪或抗拒依法采取的刑事强制措施；</w:t>
            </w:r>
          </w:p>
          <w:p>
            <w:pPr>
              <w:pStyle w:val="TableParagraph"/>
              <w:spacing w:before="24"/>
              <w:ind w:left="617"/>
              <w:rPr>
                <w:rFonts w:ascii="黑体" w:eastAsia="黑体" w:hint="eastAsia"/>
                <w:i/>
                <w:sz w:val="22"/>
              </w:rPr>
            </w:pPr>
            <w:r>
              <w:rPr>
                <w:rFonts w:ascii="黑体" w:eastAsia="黑体" w:hint="eastAsia"/>
                <w:i/>
                <w:w w:val="95"/>
                <w:sz w:val="22"/>
              </w:rPr>
              <w:t>(三) 被保险人主动吸食或注射</w:t>
            </w:r>
            <w:r>
              <w:rPr>
                <w:rFonts w:ascii="黑体" w:eastAsia="黑体" w:hint="eastAsia"/>
                <w:b/>
                <w:i/>
                <w:w w:val="95"/>
                <w:sz w:val="22"/>
              </w:rPr>
              <w:t>毒品</w:t>
            </w:r>
            <w:r>
              <w:rPr>
                <w:rFonts w:ascii="黑体" w:eastAsia="黑体" w:hint="eastAsia"/>
                <w:i/>
                <w:w w:val="95"/>
                <w:sz w:val="22"/>
              </w:rPr>
              <w:t>；</w:t>
            </w:r>
          </w:p>
          <w:p>
            <w:pPr>
              <w:pStyle w:val="TableParagraph"/>
              <w:spacing w:before="24"/>
              <w:ind w:left="617"/>
              <w:rPr>
                <w:rFonts w:ascii="黑体" w:eastAsia="黑体" w:hint="eastAsia"/>
                <w:i/>
                <w:sz w:val="22"/>
              </w:rPr>
            </w:pPr>
            <w:r>
              <w:rPr>
                <w:rFonts w:ascii="黑体" w:eastAsia="黑体" w:hint="eastAsia"/>
                <w:i/>
                <w:w w:val="95"/>
                <w:sz w:val="22"/>
              </w:rPr>
              <w:t>(四) 被保险人故意自伤；</w:t>
            </w:r>
          </w:p>
          <w:p>
            <w:pPr>
              <w:pStyle w:val="TableParagraph"/>
              <w:spacing w:line="259" w:lineRule="auto" w:before="24"/>
              <w:ind w:left="1094" w:right="106" w:hanging="478"/>
              <w:rPr>
                <w:rFonts w:ascii="黑体" w:eastAsia="黑体" w:hint="eastAsia"/>
                <w:i/>
                <w:sz w:val="22"/>
              </w:rPr>
            </w:pPr>
            <w:r>
              <w:rPr>
                <w:rFonts w:ascii="黑体" w:eastAsia="黑体" w:hint="eastAsia"/>
                <w:i/>
                <w:w w:val="95"/>
                <w:sz w:val="22"/>
              </w:rPr>
              <w:t>(五) 被保险人</w:t>
            </w:r>
            <w:r>
              <w:rPr>
                <w:rFonts w:ascii="黑体" w:eastAsia="黑体" w:hint="eastAsia"/>
                <w:b/>
                <w:i/>
                <w:w w:val="95"/>
                <w:sz w:val="22"/>
              </w:rPr>
              <w:t>酒后驾驶</w:t>
            </w:r>
            <w:r>
              <w:rPr>
                <w:rFonts w:ascii="黑体" w:eastAsia="黑体" w:hint="eastAsia"/>
                <w:i/>
                <w:w w:val="95"/>
                <w:sz w:val="22"/>
              </w:rPr>
              <w:t>、</w:t>
            </w:r>
            <w:r>
              <w:rPr>
                <w:rFonts w:ascii="黑体" w:eastAsia="黑体" w:hint="eastAsia"/>
                <w:b/>
                <w:i/>
                <w:w w:val="95"/>
                <w:sz w:val="22"/>
              </w:rPr>
              <w:t>无合法有效驾驶证驾驶</w:t>
            </w:r>
            <w:r>
              <w:rPr>
                <w:rFonts w:ascii="黑体" w:eastAsia="黑体" w:hint="eastAsia"/>
                <w:i/>
                <w:w w:val="95"/>
                <w:sz w:val="22"/>
              </w:rPr>
              <w:t>或驾驶</w:t>
            </w:r>
            <w:r>
              <w:rPr>
                <w:rFonts w:ascii="黑体" w:eastAsia="黑体" w:hint="eastAsia"/>
                <w:b/>
                <w:i/>
                <w:w w:val="95"/>
                <w:sz w:val="22"/>
              </w:rPr>
              <w:t>无有效行驶证</w:t>
            </w:r>
            <w:r>
              <w:rPr>
                <w:rFonts w:ascii="黑体" w:eastAsia="黑体" w:hint="eastAsia"/>
                <w:i/>
                <w:w w:val="95"/>
                <w:sz w:val="22"/>
              </w:rPr>
              <w:t>的</w:t>
            </w:r>
            <w:r>
              <w:rPr>
                <w:rFonts w:ascii="黑体" w:eastAsia="黑体" w:hint="eastAsia"/>
                <w:b/>
                <w:i/>
                <w:w w:val="95"/>
                <w:sz w:val="22"/>
              </w:rPr>
              <w:t>机动车</w:t>
            </w:r>
            <w:r>
              <w:rPr>
                <w:rFonts w:ascii="黑体" w:eastAsia="黑体" w:hint="eastAsia"/>
                <w:i/>
                <w:w w:val="95"/>
                <w:sz w:val="22"/>
              </w:rPr>
              <w:t>；</w:t>
            </w:r>
          </w:p>
          <w:p>
            <w:pPr>
              <w:pStyle w:val="TableParagraph"/>
              <w:spacing w:line="259" w:lineRule="auto" w:before="6"/>
              <w:ind w:left="1094" w:right="103" w:hanging="478"/>
              <w:rPr>
                <w:rFonts w:ascii="黑体" w:eastAsia="黑体" w:hint="eastAsia"/>
                <w:i/>
                <w:sz w:val="22"/>
              </w:rPr>
            </w:pPr>
            <w:r>
              <w:rPr>
                <w:rFonts w:ascii="黑体" w:eastAsia="黑体" w:hint="eastAsia"/>
                <w:i/>
                <w:spacing w:val="-6"/>
                <w:w w:val="95"/>
                <w:sz w:val="22"/>
              </w:rPr>
              <w:t>(六) 被保险人</w:t>
            </w:r>
            <w:r>
              <w:rPr>
                <w:rFonts w:ascii="黑体" w:eastAsia="黑体" w:hint="eastAsia"/>
                <w:b/>
                <w:i/>
                <w:spacing w:val="-4"/>
                <w:w w:val="95"/>
                <w:sz w:val="22"/>
              </w:rPr>
              <w:t>感染艾滋病病毒或患艾滋病</w:t>
            </w:r>
            <w:r>
              <w:rPr>
                <w:rFonts w:ascii="黑体" w:eastAsia="黑体" w:hint="eastAsia"/>
                <w:i/>
                <w:spacing w:val="-3"/>
                <w:w w:val="95"/>
                <w:sz w:val="22"/>
              </w:rPr>
              <w:t>（</w:t>
            </w:r>
            <w:r>
              <w:rPr>
                <w:rFonts w:ascii="黑体" w:eastAsia="黑体" w:hint="eastAsia"/>
                <w:i/>
                <w:spacing w:val="-7"/>
                <w:w w:val="95"/>
                <w:sz w:val="22"/>
              </w:rPr>
              <w:t>本附加合同所列第 </w:t>
            </w:r>
            <w:r>
              <w:rPr>
                <w:rFonts w:ascii="黑体" w:eastAsia="黑体" w:hint="eastAsia"/>
                <w:i/>
                <w:w w:val="95"/>
                <w:sz w:val="22"/>
              </w:rPr>
              <w:t>33</w:t>
            </w:r>
            <w:r>
              <w:rPr>
                <w:rFonts w:ascii="黑体" w:eastAsia="黑体" w:hint="eastAsia"/>
                <w:i/>
                <w:spacing w:val="-36"/>
                <w:w w:val="95"/>
                <w:sz w:val="22"/>
              </w:rPr>
              <w:t>、</w:t>
            </w:r>
            <w:r>
              <w:rPr>
                <w:rFonts w:ascii="黑体" w:eastAsia="黑体" w:hint="eastAsia"/>
                <w:i/>
                <w:w w:val="95"/>
                <w:sz w:val="22"/>
              </w:rPr>
              <w:t>34</w:t>
            </w:r>
            <w:r>
              <w:rPr>
                <w:rFonts w:ascii="黑体" w:eastAsia="黑体" w:hint="eastAsia"/>
                <w:i/>
                <w:spacing w:val="-13"/>
                <w:w w:val="95"/>
                <w:sz w:val="22"/>
              </w:rPr>
              <w:t> 种重</w:t>
            </w:r>
            <w:r>
              <w:rPr>
                <w:rFonts w:ascii="黑体" w:eastAsia="黑体" w:hint="eastAsia"/>
                <w:i/>
                <w:spacing w:val="-7"/>
                <w:w w:val="96"/>
                <w:sz w:val="22"/>
              </w:rPr>
              <w:t>大疾病除外</w:t>
            </w:r>
            <w:r>
              <w:rPr>
                <w:rFonts w:ascii="黑体" w:eastAsia="黑体" w:hint="eastAsia"/>
                <w:i/>
                <w:spacing w:val="-106"/>
                <w:w w:val="96"/>
                <w:sz w:val="22"/>
              </w:rPr>
              <w:t>）</w:t>
            </w:r>
            <w:r>
              <w:rPr>
                <w:rFonts w:ascii="黑体" w:eastAsia="黑体" w:hint="eastAsia"/>
                <w:i/>
                <w:w w:val="96"/>
                <w:sz w:val="22"/>
              </w:rPr>
              <w:t>；</w:t>
            </w:r>
          </w:p>
          <w:p>
            <w:pPr>
              <w:pStyle w:val="TableParagraph"/>
              <w:spacing w:before="6"/>
              <w:ind w:left="617"/>
              <w:rPr>
                <w:rFonts w:ascii="黑体" w:eastAsia="黑体" w:hint="eastAsia"/>
                <w:i/>
                <w:sz w:val="22"/>
              </w:rPr>
            </w:pPr>
            <w:r>
              <w:rPr>
                <w:rFonts w:ascii="黑体" w:eastAsia="黑体" w:hint="eastAsia"/>
                <w:i/>
                <w:w w:val="95"/>
                <w:sz w:val="22"/>
              </w:rPr>
              <w:t>(七) 战争、军事冲突、暴乱或武装叛乱；</w:t>
            </w:r>
          </w:p>
          <w:p>
            <w:pPr>
              <w:pStyle w:val="TableParagraph"/>
              <w:spacing w:before="24"/>
              <w:ind w:left="617"/>
              <w:rPr>
                <w:rFonts w:ascii="黑体" w:eastAsia="黑体" w:hint="eastAsia"/>
                <w:i/>
                <w:sz w:val="22"/>
              </w:rPr>
            </w:pPr>
            <w:r>
              <w:rPr>
                <w:rFonts w:ascii="黑体" w:eastAsia="黑体" w:hint="eastAsia"/>
                <w:i/>
                <w:w w:val="95"/>
                <w:sz w:val="22"/>
              </w:rPr>
              <w:t>(八) 核爆炸、核辐射或核污染；</w:t>
            </w:r>
          </w:p>
          <w:p>
            <w:pPr>
              <w:pStyle w:val="TableParagraph"/>
              <w:spacing w:before="24"/>
              <w:ind w:left="617"/>
              <w:rPr>
                <w:rFonts w:ascii="黑体" w:eastAsia="黑体" w:hint="eastAsia"/>
                <w:i/>
                <w:sz w:val="22"/>
              </w:rPr>
            </w:pPr>
            <w:r>
              <w:rPr>
                <w:rFonts w:ascii="黑体" w:eastAsia="黑体" w:hint="eastAsia"/>
                <w:i/>
                <w:w w:val="95"/>
                <w:sz w:val="22"/>
              </w:rPr>
              <w:t>(九) </w:t>
            </w:r>
            <w:r>
              <w:rPr>
                <w:rFonts w:ascii="黑体" w:eastAsia="黑体" w:hint="eastAsia"/>
                <w:b/>
                <w:i/>
                <w:w w:val="95"/>
                <w:sz w:val="22"/>
              </w:rPr>
              <w:t>遗传性疾病</w:t>
            </w:r>
            <w:r>
              <w:rPr>
                <w:rFonts w:ascii="黑体" w:eastAsia="黑体" w:hint="eastAsia"/>
                <w:i/>
                <w:w w:val="95"/>
                <w:sz w:val="22"/>
              </w:rPr>
              <w:t>，</w:t>
            </w:r>
            <w:r>
              <w:rPr>
                <w:rFonts w:ascii="黑体" w:eastAsia="黑体" w:hint="eastAsia"/>
                <w:b/>
                <w:i/>
                <w:w w:val="95"/>
                <w:sz w:val="22"/>
              </w:rPr>
              <w:t>先天性畸形</w:t>
            </w:r>
            <w:r>
              <w:rPr>
                <w:rFonts w:ascii="黑体" w:eastAsia="黑体" w:hint="eastAsia"/>
                <w:i/>
                <w:w w:val="95"/>
                <w:sz w:val="22"/>
              </w:rPr>
              <w:t>、</w:t>
            </w:r>
            <w:r>
              <w:rPr>
                <w:rFonts w:ascii="黑体" w:eastAsia="黑体" w:hint="eastAsia"/>
                <w:b/>
                <w:i/>
                <w:w w:val="95"/>
                <w:sz w:val="22"/>
              </w:rPr>
              <w:t>变形或染色体异常</w:t>
            </w:r>
            <w:r>
              <w:rPr>
                <w:rFonts w:ascii="黑体" w:eastAsia="黑体" w:hint="eastAsia"/>
                <w:i/>
                <w:w w:val="95"/>
                <w:sz w:val="22"/>
              </w:rPr>
              <w:t>。</w:t>
            </w:r>
          </w:p>
          <w:p>
            <w:pPr>
              <w:pStyle w:val="TableParagraph"/>
              <w:spacing w:line="259" w:lineRule="auto" w:before="24"/>
              <w:ind w:left="545" w:right="101" w:hanging="421"/>
              <w:jc w:val="both"/>
              <w:rPr>
                <w:rFonts w:ascii="黑体" w:eastAsia="黑体" w:hint="eastAsia"/>
                <w:i/>
                <w:sz w:val="22"/>
              </w:rPr>
            </w:pPr>
            <w:r>
              <w:rPr>
                <w:rFonts w:ascii="黑体" w:eastAsia="黑体" w:hint="eastAsia"/>
                <w:i/>
                <w:spacing w:val="-5"/>
                <w:w w:val="95"/>
                <w:sz w:val="22"/>
              </w:rPr>
              <w:t>二、发</w:t>
            </w:r>
            <w:r>
              <w:rPr>
                <w:rFonts w:ascii="黑体" w:eastAsia="黑体" w:hint="eastAsia"/>
                <w:i/>
                <w:w w:val="95"/>
                <w:sz w:val="22"/>
              </w:rPr>
              <w:t>Th</w:t>
            </w:r>
            <w:r>
              <w:rPr>
                <w:rFonts w:ascii="黑体" w:eastAsia="黑体" w:hint="eastAsia"/>
                <w:i/>
                <w:spacing w:val="-6"/>
                <w:w w:val="95"/>
                <w:sz w:val="22"/>
              </w:rPr>
              <w:t>上述第</w:t>
            </w:r>
            <w:r>
              <w:rPr>
                <w:rFonts w:ascii="黑体" w:eastAsia="黑体" w:hint="eastAsia"/>
                <w:i/>
                <w:w w:val="95"/>
                <w:sz w:val="22"/>
              </w:rPr>
              <w:t>（一</w:t>
            </w:r>
            <w:r>
              <w:rPr>
                <w:rFonts w:ascii="黑体" w:eastAsia="黑体" w:hint="eastAsia"/>
                <w:i/>
                <w:spacing w:val="-13"/>
                <w:w w:val="95"/>
                <w:sz w:val="22"/>
              </w:rPr>
              <w:t>）</w:t>
            </w:r>
            <w:r>
              <w:rPr>
                <w:rFonts w:ascii="黑体" w:eastAsia="黑体" w:hint="eastAsia"/>
                <w:i/>
                <w:spacing w:val="-4"/>
                <w:w w:val="95"/>
                <w:sz w:val="22"/>
              </w:rPr>
              <w:t>种情形导致被保险人患本附加合同所列的轻症疾病、重大</w:t>
            </w:r>
            <w:r>
              <w:rPr>
                <w:rFonts w:ascii="黑体" w:eastAsia="黑体" w:hint="eastAsia"/>
                <w:i/>
                <w:spacing w:val="-7"/>
                <w:w w:val="95"/>
                <w:sz w:val="22"/>
              </w:rPr>
              <w:t>疾病或进入疾病终末期阶段的，本附加合同及其主合同终止，您已交足 </w:t>
            </w:r>
            <w:r>
              <w:rPr>
                <w:rFonts w:ascii="黑体" w:eastAsia="黑体" w:hint="eastAsia"/>
                <w:i/>
                <w:w w:val="95"/>
                <w:sz w:val="22"/>
              </w:rPr>
              <w:t>2</w:t>
            </w:r>
            <w:r>
              <w:rPr>
                <w:rFonts w:ascii="黑体" w:eastAsia="黑体" w:hint="eastAsia"/>
                <w:i/>
                <w:spacing w:val="-10"/>
                <w:w w:val="95"/>
                <w:sz w:val="22"/>
              </w:rPr>
              <w:t> 年</w:t>
            </w:r>
            <w:r>
              <w:rPr>
                <w:rFonts w:ascii="黑体" w:eastAsia="黑体" w:hint="eastAsia"/>
                <w:i/>
                <w:spacing w:val="-9"/>
                <w:w w:val="95"/>
                <w:sz w:val="22"/>
              </w:rPr>
              <w:t>以上保险费的，我们向保险金受益人退还本附加合同及主合同华夏长春藤两</w:t>
            </w:r>
            <w:r>
              <w:rPr>
                <w:rFonts w:ascii="黑体" w:eastAsia="黑体" w:hint="eastAsia"/>
                <w:i/>
                <w:spacing w:val="-3"/>
                <w:w w:val="95"/>
                <w:sz w:val="22"/>
              </w:rPr>
              <w:t>全保险合同的现金价值之和。</w:t>
            </w:r>
          </w:p>
          <w:p>
            <w:pPr>
              <w:pStyle w:val="TableParagraph"/>
              <w:spacing w:line="259" w:lineRule="auto" w:before="6"/>
              <w:ind w:left="545" w:right="101" w:hanging="421"/>
              <w:jc w:val="both"/>
              <w:rPr>
                <w:rFonts w:ascii="黑体" w:eastAsia="黑体" w:hint="eastAsia"/>
                <w:i/>
                <w:sz w:val="22"/>
              </w:rPr>
            </w:pPr>
            <w:r>
              <w:rPr>
                <w:rFonts w:ascii="黑体" w:eastAsia="黑体" w:hint="eastAsia"/>
                <w:i/>
                <w:w w:val="95"/>
                <w:sz w:val="22"/>
              </w:rPr>
              <w:t>三、发Th上述其他情形导致被保险人患本附加合同所列的轻症疾病、重大疾病或进入疾病终末期阶段的，本附加合同及其主合同终止，我们向您退还本附加合同及主合同华夏长春藤两全保险合同的现金价值之和。</w:t>
            </w:r>
          </w:p>
        </w:tc>
      </w:tr>
      <w:tr>
        <w:trPr>
          <w:trHeight w:val="1498" w:hRule="atLeast"/>
        </w:trPr>
        <w:tc>
          <w:tcPr>
            <w:tcW w:w="683" w:type="dxa"/>
          </w:tcPr>
          <w:p>
            <w:pPr>
              <w:pStyle w:val="TableParagraph"/>
              <w:spacing w:before="122"/>
              <w:ind w:left="110"/>
              <w:rPr>
                <w:b/>
                <w:sz w:val="21"/>
              </w:rPr>
            </w:pPr>
            <w:r>
              <w:rPr>
                <w:b/>
                <w:sz w:val="21"/>
              </w:rPr>
              <w:t>2.3</w:t>
            </w:r>
          </w:p>
        </w:tc>
        <w:tc>
          <w:tcPr>
            <w:tcW w:w="2020" w:type="dxa"/>
          </w:tcPr>
          <w:p>
            <w:pPr>
              <w:pStyle w:val="TableParagraph"/>
              <w:spacing w:before="122"/>
              <w:ind w:left="215"/>
              <w:rPr>
                <w:b/>
                <w:sz w:val="21"/>
              </w:rPr>
            </w:pPr>
            <w:r>
              <w:rPr>
                <w:b/>
                <w:sz w:val="21"/>
              </w:rPr>
              <w:t>保险金额</w:t>
            </w:r>
          </w:p>
        </w:tc>
        <w:tc>
          <w:tcPr>
            <w:tcW w:w="7547" w:type="dxa"/>
          </w:tcPr>
          <w:p>
            <w:pPr>
              <w:pStyle w:val="TableParagraph"/>
              <w:spacing w:line="273" w:lineRule="auto" w:before="122"/>
              <w:ind w:left="124" w:right="101"/>
              <w:jc w:val="both"/>
              <w:rPr>
                <w:sz w:val="21"/>
              </w:rPr>
            </w:pPr>
            <w:r>
              <w:rPr>
                <w:spacing w:val="-1"/>
                <w:sz w:val="21"/>
              </w:rPr>
              <w:t>本附加合同保险金额按本条款第</w:t>
            </w:r>
            <w:r>
              <w:rPr>
                <w:sz w:val="21"/>
              </w:rPr>
              <w:t>2.1</w:t>
            </w:r>
            <w:r>
              <w:rPr>
                <w:spacing w:val="-8"/>
                <w:sz w:val="21"/>
              </w:rPr>
              <w:t> 条规定，根据基本保险金额进行计算确定。</w:t>
            </w:r>
            <w:r>
              <w:rPr>
                <w:sz w:val="21"/>
              </w:rPr>
              <w:t>基本保险金额由您和本公司在投保时约定，但须符合本公司当时的投保规定， 约定的基本保险金额将在保险单上载明，若基本保险金额发生变更，则以变更</w:t>
            </w:r>
            <w:r>
              <w:rPr>
                <w:spacing w:val="-2"/>
                <w:sz w:val="21"/>
              </w:rPr>
              <w:t>后金额为准。</w:t>
            </w:r>
          </w:p>
        </w:tc>
      </w:tr>
      <w:tr>
        <w:trPr>
          <w:trHeight w:val="875" w:hRule="atLeast"/>
        </w:trPr>
        <w:tc>
          <w:tcPr>
            <w:tcW w:w="683" w:type="dxa"/>
          </w:tcPr>
          <w:p>
            <w:pPr>
              <w:pStyle w:val="TableParagraph"/>
              <w:spacing w:before="101"/>
              <w:ind w:left="110"/>
              <w:rPr>
                <w:b/>
                <w:sz w:val="21"/>
              </w:rPr>
            </w:pPr>
            <w:r>
              <w:rPr>
                <w:b/>
                <w:sz w:val="21"/>
              </w:rPr>
              <w:t>2.4</w:t>
            </w:r>
          </w:p>
        </w:tc>
        <w:tc>
          <w:tcPr>
            <w:tcW w:w="2020" w:type="dxa"/>
          </w:tcPr>
          <w:p>
            <w:pPr>
              <w:pStyle w:val="TableParagraph"/>
              <w:spacing w:before="101"/>
              <w:ind w:left="215"/>
              <w:rPr>
                <w:b/>
                <w:sz w:val="21"/>
              </w:rPr>
            </w:pPr>
            <w:r>
              <w:rPr>
                <w:b/>
                <w:sz w:val="21"/>
              </w:rPr>
              <w:t>保险期间</w:t>
            </w:r>
          </w:p>
        </w:tc>
        <w:tc>
          <w:tcPr>
            <w:tcW w:w="7547" w:type="dxa"/>
          </w:tcPr>
          <w:p>
            <w:pPr>
              <w:pStyle w:val="TableParagraph"/>
              <w:spacing w:line="273" w:lineRule="auto" w:before="101"/>
              <w:ind w:left="124" w:right="107"/>
              <w:rPr>
                <w:sz w:val="21"/>
              </w:rPr>
            </w:pPr>
            <w:r>
              <w:rPr>
                <w:sz w:val="21"/>
              </w:rPr>
              <w:t>本附加合同的保险期间与主合同一致，自本附加合同生效日零时起算。主合同终止的，本附加合同同时终止。</w:t>
            </w:r>
          </w:p>
        </w:tc>
      </w:tr>
      <w:tr>
        <w:trPr>
          <w:trHeight w:val="710" w:hRule="atLeast"/>
        </w:trPr>
        <w:tc>
          <w:tcPr>
            <w:tcW w:w="683" w:type="dxa"/>
            <w:tcBorders>
              <w:bottom w:val="single" w:sz="8" w:space="0" w:color="000000"/>
            </w:tcBorders>
          </w:tcPr>
          <w:p>
            <w:pPr>
              <w:pStyle w:val="TableParagraph"/>
              <w:spacing w:before="151"/>
              <w:ind w:left="110"/>
              <w:rPr>
                <w:rFonts w:ascii="Arial" w:hAnsi="Arial"/>
                <w:b/>
                <w:sz w:val="40"/>
              </w:rPr>
            </w:pPr>
            <w:r>
              <w:rPr>
                <w:rFonts w:ascii="Arial" w:hAnsi="Arial"/>
                <w:b/>
                <w:w w:val="119"/>
                <w:sz w:val="40"/>
              </w:rPr>
              <w:t></w:t>
            </w:r>
          </w:p>
        </w:tc>
        <w:tc>
          <w:tcPr>
            <w:tcW w:w="2020" w:type="dxa"/>
            <w:tcBorders>
              <w:bottom w:val="single" w:sz="8" w:space="0" w:color="000000"/>
            </w:tcBorders>
          </w:tcPr>
          <w:p>
            <w:pPr>
              <w:pStyle w:val="TableParagraph"/>
              <w:spacing w:before="202"/>
              <w:ind w:left="215"/>
              <w:rPr>
                <w:b/>
                <w:sz w:val="24"/>
              </w:rPr>
            </w:pPr>
            <w:r>
              <w:rPr>
                <w:b/>
                <w:w w:val="95"/>
                <w:sz w:val="24"/>
              </w:rPr>
              <w:t>保险金的申请</w:t>
            </w:r>
          </w:p>
        </w:tc>
        <w:tc>
          <w:tcPr>
            <w:tcW w:w="7547" w:type="dxa"/>
            <w:tcBorders>
              <w:bottom w:val="single" w:sz="8" w:space="0" w:color="000000"/>
            </w:tcBorders>
          </w:tcPr>
          <w:p>
            <w:pPr>
              <w:pStyle w:val="TableParagraph"/>
              <w:ind w:left="0"/>
              <w:rPr>
                <w:rFonts w:ascii="Times New Roman"/>
                <w:sz w:val="20"/>
              </w:rPr>
            </w:pPr>
          </w:p>
        </w:tc>
      </w:tr>
      <w:tr>
        <w:trPr>
          <w:trHeight w:val="941" w:hRule="atLeast"/>
        </w:trPr>
        <w:tc>
          <w:tcPr>
            <w:tcW w:w="683" w:type="dxa"/>
            <w:tcBorders>
              <w:top w:val="single" w:sz="8" w:space="0" w:color="000000"/>
            </w:tcBorders>
          </w:tcPr>
          <w:p>
            <w:pPr>
              <w:pStyle w:val="TableParagraph"/>
              <w:spacing w:before="12"/>
              <w:ind w:left="0"/>
              <w:rPr>
                <w:sz w:val="14"/>
              </w:rPr>
            </w:pPr>
          </w:p>
          <w:p>
            <w:pPr>
              <w:pStyle w:val="TableParagraph"/>
              <w:ind w:left="110"/>
              <w:rPr>
                <w:b/>
                <w:sz w:val="21"/>
              </w:rPr>
            </w:pPr>
            <w:r>
              <w:rPr>
                <w:b/>
                <w:sz w:val="21"/>
              </w:rPr>
              <w:t>3.1</w:t>
            </w:r>
          </w:p>
        </w:tc>
        <w:tc>
          <w:tcPr>
            <w:tcW w:w="2020" w:type="dxa"/>
            <w:tcBorders>
              <w:top w:val="single" w:sz="8" w:space="0" w:color="000000"/>
            </w:tcBorders>
          </w:tcPr>
          <w:p>
            <w:pPr>
              <w:pStyle w:val="TableParagraph"/>
              <w:spacing w:before="12"/>
              <w:ind w:left="0"/>
              <w:rPr>
                <w:sz w:val="14"/>
              </w:rPr>
            </w:pPr>
          </w:p>
          <w:p>
            <w:pPr>
              <w:pStyle w:val="TableParagraph"/>
              <w:ind w:left="215"/>
              <w:rPr>
                <w:b/>
                <w:sz w:val="21"/>
              </w:rPr>
            </w:pPr>
            <w:r>
              <w:rPr>
                <w:b/>
                <w:sz w:val="21"/>
              </w:rPr>
              <w:t>受益人</w:t>
            </w:r>
          </w:p>
        </w:tc>
        <w:tc>
          <w:tcPr>
            <w:tcW w:w="7547" w:type="dxa"/>
            <w:tcBorders>
              <w:top w:val="single" w:sz="8" w:space="0" w:color="000000"/>
            </w:tcBorders>
          </w:tcPr>
          <w:p>
            <w:pPr>
              <w:pStyle w:val="TableParagraph"/>
              <w:spacing w:before="12"/>
              <w:ind w:left="0"/>
              <w:rPr>
                <w:sz w:val="14"/>
              </w:rPr>
            </w:pPr>
          </w:p>
          <w:p>
            <w:pPr>
              <w:pStyle w:val="TableParagraph"/>
              <w:spacing w:line="273" w:lineRule="auto"/>
              <w:ind w:left="124" w:right="101"/>
              <w:rPr>
                <w:sz w:val="21"/>
              </w:rPr>
            </w:pPr>
            <w:r>
              <w:rPr>
                <w:spacing w:val="-7"/>
                <w:sz w:val="21"/>
              </w:rPr>
              <w:t>除另有约定外，轻症疾病保险金、重大疾病保险金、疾病终末期保险金、轻症疾</w:t>
            </w:r>
            <w:r>
              <w:rPr>
                <w:spacing w:val="-5"/>
                <w:sz w:val="21"/>
              </w:rPr>
              <w:t>病豁免保险费的受益人为被保险人本人。</w:t>
            </w:r>
          </w:p>
        </w:tc>
      </w:tr>
      <w:tr>
        <w:trPr>
          <w:trHeight w:val="1792" w:hRule="atLeast"/>
        </w:trPr>
        <w:tc>
          <w:tcPr>
            <w:tcW w:w="683" w:type="dxa"/>
          </w:tcPr>
          <w:p>
            <w:pPr>
              <w:pStyle w:val="TableParagraph"/>
              <w:spacing w:before="104"/>
              <w:ind w:left="110"/>
              <w:rPr>
                <w:b/>
                <w:sz w:val="21"/>
              </w:rPr>
            </w:pPr>
            <w:r>
              <w:rPr>
                <w:b/>
                <w:sz w:val="21"/>
              </w:rPr>
              <w:t>3.2</w:t>
            </w:r>
          </w:p>
        </w:tc>
        <w:tc>
          <w:tcPr>
            <w:tcW w:w="2020" w:type="dxa"/>
          </w:tcPr>
          <w:p>
            <w:pPr>
              <w:pStyle w:val="TableParagraph"/>
              <w:spacing w:before="104"/>
              <w:ind w:left="215"/>
              <w:rPr>
                <w:b/>
                <w:sz w:val="21"/>
              </w:rPr>
            </w:pPr>
            <w:r>
              <w:rPr>
                <w:b/>
                <w:sz w:val="21"/>
              </w:rPr>
              <w:t>保险事故通知</w:t>
            </w:r>
          </w:p>
        </w:tc>
        <w:tc>
          <w:tcPr>
            <w:tcW w:w="7547" w:type="dxa"/>
          </w:tcPr>
          <w:p>
            <w:pPr>
              <w:pStyle w:val="TableParagraph"/>
              <w:spacing w:line="266" w:lineRule="auto" w:before="92"/>
              <w:ind w:left="124" w:right="1"/>
              <w:rPr>
                <w:sz w:val="21"/>
              </w:rPr>
            </w:pPr>
            <w:r>
              <w:rPr>
                <w:spacing w:val="-4"/>
                <w:sz w:val="21"/>
              </w:rPr>
              <w:t>您、被保险人或受益人应于知道保险事故发生之日起 </w:t>
            </w:r>
            <w:r>
              <w:rPr>
                <w:sz w:val="21"/>
              </w:rPr>
              <w:t>10</w:t>
            </w:r>
            <w:r>
              <w:rPr>
                <w:spacing w:val="-6"/>
                <w:sz w:val="21"/>
              </w:rPr>
              <w:t> 日内通知我们。</w:t>
            </w:r>
            <w:r>
              <w:rPr>
                <w:rFonts w:ascii="黑体" w:eastAsia="黑体" w:hint="eastAsia"/>
                <w:b/>
                <w:i/>
                <w:spacing w:val="-2"/>
                <w:sz w:val="22"/>
              </w:rPr>
              <w:t>若故意</w:t>
            </w:r>
            <w:r>
              <w:rPr>
                <w:rFonts w:ascii="黑体" w:eastAsia="黑体" w:hint="eastAsia"/>
                <w:b/>
                <w:i/>
                <w:spacing w:val="-13"/>
                <w:w w:val="95"/>
                <w:sz w:val="22"/>
              </w:rPr>
              <w:t>或因重大过失未及时通知，致使保险事故的性质、原因、损失程度等难以确定的， </w:t>
            </w:r>
            <w:r>
              <w:rPr>
                <w:rFonts w:ascii="黑体" w:eastAsia="黑体" w:hint="eastAsia"/>
                <w:b/>
                <w:i/>
                <w:spacing w:val="-12"/>
                <w:w w:val="95"/>
                <w:sz w:val="22"/>
              </w:rPr>
              <w:t>我们对无法确定的部分，不承担给付保险金的责任</w:t>
            </w:r>
            <w:r>
              <w:rPr>
                <w:spacing w:val="-7"/>
                <w:w w:val="95"/>
                <w:sz w:val="21"/>
              </w:rPr>
              <w:t>，但我们通过其他途径已经及 </w:t>
            </w:r>
            <w:r>
              <w:rPr>
                <w:sz w:val="21"/>
              </w:rPr>
              <w:t>时知道或应当及时知道保险事故发生或虽未及时通知但不影响我们确定保险事</w:t>
            </w:r>
            <w:r>
              <w:rPr>
                <w:spacing w:val="-3"/>
                <w:sz w:val="21"/>
              </w:rPr>
              <w:t>故的性质、原因、损失程度的除外。</w:t>
            </w:r>
          </w:p>
        </w:tc>
      </w:tr>
      <w:tr>
        <w:trPr>
          <w:trHeight w:val="1162" w:hRule="atLeast"/>
        </w:trPr>
        <w:tc>
          <w:tcPr>
            <w:tcW w:w="683" w:type="dxa"/>
          </w:tcPr>
          <w:p>
            <w:pPr>
              <w:pStyle w:val="TableParagraph"/>
              <w:spacing w:before="100"/>
              <w:ind w:left="110"/>
              <w:rPr>
                <w:b/>
                <w:sz w:val="21"/>
              </w:rPr>
            </w:pPr>
            <w:r>
              <w:rPr>
                <w:b/>
                <w:sz w:val="21"/>
              </w:rPr>
              <w:t>3.3</w:t>
            </w:r>
          </w:p>
        </w:tc>
        <w:tc>
          <w:tcPr>
            <w:tcW w:w="2020" w:type="dxa"/>
          </w:tcPr>
          <w:p>
            <w:pPr>
              <w:pStyle w:val="TableParagraph"/>
              <w:spacing w:before="100"/>
              <w:ind w:left="215"/>
              <w:rPr>
                <w:b/>
                <w:sz w:val="21"/>
              </w:rPr>
            </w:pPr>
            <w:r>
              <w:rPr>
                <w:b/>
                <w:sz w:val="21"/>
              </w:rPr>
              <w:t>保险金申请</w:t>
            </w:r>
          </w:p>
        </w:tc>
        <w:tc>
          <w:tcPr>
            <w:tcW w:w="7547" w:type="dxa"/>
          </w:tcPr>
          <w:p>
            <w:pPr>
              <w:pStyle w:val="TableParagraph"/>
              <w:spacing w:line="273" w:lineRule="auto" w:before="100"/>
              <w:ind w:left="545" w:right="65" w:hanging="421"/>
              <w:jc w:val="both"/>
              <w:rPr>
                <w:sz w:val="21"/>
              </w:rPr>
            </w:pPr>
            <w:r>
              <w:rPr>
                <w:sz w:val="21"/>
              </w:rPr>
              <w:t>一、在本附加合同有效期间内，若发生符合本附加合同约定的保险金给付情形， 受益人或被保险人的继承人可向我们申请给付保险金，但应当按照下列约定的程序和条件进行：</w:t>
            </w:r>
          </w:p>
        </w:tc>
      </w:tr>
      <w:tr>
        <w:trPr>
          <w:trHeight w:val="746" w:hRule="atLeast"/>
        </w:trPr>
        <w:tc>
          <w:tcPr>
            <w:tcW w:w="683" w:type="dxa"/>
          </w:tcPr>
          <w:p>
            <w:pPr>
              <w:pStyle w:val="TableParagraph"/>
              <w:ind w:left="0"/>
              <w:rPr>
                <w:rFonts w:ascii="Times New Roman"/>
                <w:sz w:val="20"/>
              </w:rPr>
            </w:pPr>
          </w:p>
        </w:tc>
        <w:tc>
          <w:tcPr>
            <w:tcW w:w="2020" w:type="dxa"/>
          </w:tcPr>
          <w:p>
            <w:pPr>
              <w:pStyle w:val="TableParagraph"/>
              <w:spacing w:line="370" w:lineRule="exact" w:before="12"/>
              <w:ind w:left="215"/>
              <w:rPr>
                <w:rFonts w:ascii="Microsoft JhengHei" w:eastAsia="Microsoft JhengHei" w:hint="eastAsia"/>
                <w:b/>
                <w:sz w:val="24"/>
              </w:rPr>
            </w:pPr>
            <w:r>
              <w:rPr>
                <w:rFonts w:ascii="Microsoft JhengHei" w:eastAsia="Microsoft JhengHei" w:hint="eastAsia"/>
                <w:b/>
                <w:sz w:val="24"/>
              </w:rPr>
              <w:t>轻症疾病保险</w:t>
            </w:r>
          </w:p>
          <w:p>
            <w:pPr>
              <w:pStyle w:val="TableParagraph"/>
              <w:spacing w:line="345" w:lineRule="exact"/>
              <w:ind w:left="215"/>
              <w:rPr>
                <w:rFonts w:ascii="Microsoft JhengHei" w:eastAsia="Microsoft JhengHei" w:hint="eastAsia"/>
                <w:b/>
                <w:sz w:val="24"/>
              </w:rPr>
            </w:pPr>
            <w:r>
              <w:rPr>
                <w:rFonts w:ascii="Microsoft JhengHei" w:eastAsia="Microsoft JhengHei" w:hint="eastAsia"/>
                <w:b/>
                <w:sz w:val="24"/>
              </w:rPr>
              <w:t>金、重大疾病保</w:t>
            </w:r>
          </w:p>
        </w:tc>
        <w:tc>
          <w:tcPr>
            <w:tcW w:w="7547" w:type="dxa"/>
          </w:tcPr>
          <w:p>
            <w:pPr>
              <w:pStyle w:val="TableParagraph"/>
              <w:spacing w:line="273" w:lineRule="auto" w:before="99"/>
              <w:ind w:right="101"/>
              <w:rPr>
                <w:sz w:val="21"/>
              </w:rPr>
            </w:pPr>
            <w:r>
              <w:rPr>
                <w:spacing w:val="-6"/>
                <w:sz w:val="21"/>
              </w:rPr>
              <w:t>申请轻症疾病保险金、重大疾病保险金、疾病终末期保险金、轻症疾病豁免保险</w:t>
            </w:r>
            <w:r>
              <w:rPr>
                <w:spacing w:val="-3"/>
                <w:sz w:val="21"/>
              </w:rPr>
              <w:t>费的，申请人须填写保险金给付申请书，并向我们提供下列资料：</w:t>
            </w:r>
          </w:p>
        </w:tc>
      </w:tr>
    </w:tbl>
    <w:p>
      <w:pPr>
        <w:spacing w:after="0" w:line="273" w:lineRule="auto"/>
        <w:rPr>
          <w:sz w:val="21"/>
        </w:rPr>
        <w:sectPr>
          <w:pgSz w:w="11910" w:h="16840"/>
          <w:pgMar w:header="0" w:footer="358" w:top="1140" w:bottom="540" w:left="680" w:right="7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
        <w:gridCol w:w="1980"/>
        <w:gridCol w:w="7596"/>
      </w:tblGrid>
      <w:tr>
        <w:trPr>
          <w:trHeight w:val="1623" w:hRule="atLeast"/>
        </w:trPr>
        <w:tc>
          <w:tcPr>
            <w:tcW w:w="673" w:type="dxa"/>
          </w:tcPr>
          <w:p>
            <w:pPr>
              <w:pStyle w:val="TableParagraph"/>
              <w:ind w:left="0"/>
              <w:rPr>
                <w:rFonts w:ascii="Times New Roman"/>
                <w:sz w:val="20"/>
              </w:rPr>
            </w:pPr>
          </w:p>
        </w:tc>
        <w:tc>
          <w:tcPr>
            <w:tcW w:w="1980" w:type="dxa"/>
          </w:tcPr>
          <w:p>
            <w:pPr>
              <w:pStyle w:val="TableParagraph"/>
              <w:spacing w:line="218" w:lineRule="exact"/>
              <w:ind w:left="225"/>
              <w:rPr>
                <w:rFonts w:ascii="Microsoft JhengHei" w:eastAsia="Microsoft JhengHei" w:hint="eastAsia"/>
                <w:b/>
                <w:sz w:val="24"/>
              </w:rPr>
            </w:pPr>
            <w:r>
              <w:rPr>
                <w:rFonts w:ascii="Microsoft JhengHei" w:eastAsia="Microsoft JhengHei" w:hint="eastAsia"/>
                <w:b/>
                <w:sz w:val="24"/>
              </w:rPr>
              <w:t>险金、疾病终末</w:t>
            </w:r>
          </w:p>
          <w:p>
            <w:pPr>
              <w:pStyle w:val="TableParagraph"/>
              <w:spacing w:line="182" w:lineRule="auto" w:before="52"/>
              <w:ind w:left="225" w:right="70"/>
              <w:jc w:val="both"/>
              <w:rPr>
                <w:rFonts w:ascii="Microsoft JhengHei" w:eastAsia="Microsoft JhengHei" w:hint="eastAsia"/>
                <w:b/>
                <w:sz w:val="24"/>
              </w:rPr>
            </w:pPr>
            <w:r>
              <w:rPr>
                <w:rFonts w:ascii="Microsoft JhengHei" w:eastAsia="Microsoft JhengHei" w:hint="eastAsia"/>
                <w:b/>
                <w:sz w:val="24"/>
              </w:rPr>
              <w:t>期保险金、轻症疾病豁免保险费申请</w:t>
            </w:r>
          </w:p>
        </w:tc>
        <w:tc>
          <w:tcPr>
            <w:tcW w:w="7596" w:type="dxa"/>
          </w:tcPr>
          <w:p>
            <w:pPr>
              <w:pStyle w:val="TableParagraph"/>
              <w:spacing w:line="211" w:lineRule="exact"/>
              <w:ind w:left="174"/>
              <w:rPr>
                <w:sz w:val="21"/>
              </w:rPr>
            </w:pPr>
            <w:r>
              <w:rPr>
                <w:sz w:val="21"/>
              </w:rPr>
              <w:t>(一) 保险合同；</w:t>
            </w:r>
          </w:p>
          <w:p>
            <w:pPr>
              <w:pStyle w:val="TableParagraph"/>
              <w:spacing w:before="37"/>
              <w:ind w:left="174"/>
              <w:rPr>
                <w:sz w:val="21"/>
              </w:rPr>
            </w:pPr>
            <w:r>
              <w:rPr>
                <w:sz w:val="21"/>
              </w:rPr>
              <w:t>(二) 申请人的有效身份证件；</w:t>
            </w:r>
          </w:p>
          <w:p>
            <w:pPr>
              <w:pStyle w:val="TableParagraph"/>
              <w:spacing w:line="273" w:lineRule="auto" w:before="37"/>
              <w:ind w:left="662" w:right="103" w:hanging="488"/>
              <w:rPr>
                <w:sz w:val="21"/>
              </w:rPr>
            </w:pPr>
            <w:r>
              <w:rPr>
                <w:sz w:val="21"/>
              </w:rPr>
              <w:t>(三) 由</w:t>
            </w:r>
            <w:r>
              <w:rPr>
                <w:b/>
                <w:sz w:val="21"/>
              </w:rPr>
              <w:t>医疗机构</w:t>
            </w:r>
            <w:r>
              <w:rPr>
                <w:sz w:val="21"/>
              </w:rPr>
              <w:t>出具的可证明被保险人所患疾病的诊断证明和诊断所患疾病必需的检查报告；</w:t>
            </w:r>
          </w:p>
          <w:p>
            <w:pPr>
              <w:pStyle w:val="TableParagraph"/>
              <w:spacing w:before="7"/>
              <w:ind w:left="174"/>
              <w:rPr>
                <w:sz w:val="21"/>
              </w:rPr>
            </w:pPr>
            <w:r>
              <w:rPr>
                <w:sz w:val="21"/>
              </w:rPr>
              <w:t>(四) 所能提供的与确认保险事故的性质、原因、伤害程度等有关的其他资料。</w:t>
            </w:r>
          </w:p>
        </w:tc>
      </w:tr>
      <w:tr>
        <w:trPr>
          <w:trHeight w:val="738" w:hRule="atLeast"/>
        </w:trPr>
        <w:tc>
          <w:tcPr>
            <w:tcW w:w="673" w:type="dxa"/>
          </w:tcPr>
          <w:p>
            <w:pPr>
              <w:pStyle w:val="TableParagraph"/>
              <w:ind w:left="0"/>
              <w:rPr>
                <w:rFonts w:ascii="Times New Roman"/>
                <w:sz w:val="20"/>
              </w:rPr>
            </w:pPr>
          </w:p>
        </w:tc>
        <w:tc>
          <w:tcPr>
            <w:tcW w:w="1980" w:type="dxa"/>
          </w:tcPr>
          <w:p>
            <w:pPr>
              <w:pStyle w:val="TableParagraph"/>
              <w:ind w:left="0"/>
              <w:rPr>
                <w:rFonts w:ascii="Times New Roman"/>
                <w:sz w:val="20"/>
              </w:rPr>
            </w:pPr>
          </w:p>
        </w:tc>
        <w:tc>
          <w:tcPr>
            <w:tcW w:w="7596" w:type="dxa"/>
          </w:tcPr>
          <w:p>
            <w:pPr>
              <w:pStyle w:val="TableParagraph"/>
              <w:spacing w:line="273" w:lineRule="auto" w:before="100"/>
              <w:ind w:left="595" w:right="100" w:hanging="421"/>
              <w:rPr>
                <w:sz w:val="21"/>
              </w:rPr>
            </w:pPr>
            <w:r>
              <w:rPr>
                <w:spacing w:val="-6"/>
                <w:sz w:val="21"/>
              </w:rPr>
              <w:t>二、保险金作为被保险人遗产时，申请人还须提供可证明合法继承权的相关权利文件。</w:t>
            </w:r>
          </w:p>
        </w:tc>
      </w:tr>
      <w:tr>
        <w:trPr>
          <w:trHeight w:val="429" w:hRule="atLeast"/>
        </w:trPr>
        <w:tc>
          <w:tcPr>
            <w:tcW w:w="673" w:type="dxa"/>
          </w:tcPr>
          <w:p>
            <w:pPr>
              <w:pStyle w:val="TableParagraph"/>
              <w:ind w:left="0"/>
              <w:rPr>
                <w:rFonts w:ascii="Times New Roman"/>
                <w:sz w:val="20"/>
              </w:rPr>
            </w:pPr>
          </w:p>
        </w:tc>
        <w:tc>
          <w:tcPr>
            <w:tcW w:w="1980" w:type="dxa"/>
          </w:tcPr>
          <w:p>
            <w:pPr>
              <w:pStyle w:val="TableParagraph"/>
              <w:ind w:left="0"/>
              <w:rPr>
                <w:rFonts w:ascii="Times New Roman"/>
                <w:sz w:val="20"/>
              </w:rPr>
            </w:pPr>
          </w:p>
        </w:tc>
        <w:tc>
          <w:tcPr>
            <w:tcW w:w="7596" w:type="dxa"/>
          </w:tcPr>
          <w:p>
            <w:pPr>
              <w:pStyle w:val="TableParagraph"/>
              <w:spacing w:line="261" w:lineRule="exact"/>
              <w:ind w:left="174"/>
              <w:rPr>
                <w:sz w:val="21"/>
              </w:rPr>
            </w:pPr>
            <w:r>
              <w:rPr>
                <w:sz w:val="21"/>
              </w:rPr>
              <w:t>三、上述申请资料不完整的，我们将及时一次性通知申请人补充提供有关资料。</w:t>
            </w:r>
          </w:p>
        </w:tc>
      </w:tr>
      <w:tr>
        <w:trPr>
          <w:trHeight w:val="3352" w:hRule="atLeast"/>
        </w:trPr>
        <w:tc>
          <w:tcPr>
            <w:tcW w:w="673" w:type="dxa"/>
          </w:tcPr>
          <w:p>
            <w:pPr>
              <w:pStyle w:val="TableParagraph"/>
              <w:spacing w:before="104"/>
              <w:ind w:left="110"/>
              <w:rPr>
                <w:b/>
                <w:sz w:val="21"/>
              </w:rPr>
            </w:pPr>
            <w:r>
              <w:rPr>
                <w:b/>
                <w:sz w:val="21"/>
              </w:rPr>
              <w:t>3.4</w:t>
            </w:r>
          </w:p>
        </w:tc>
        <w:tc>
          <w:tcPr>
            <w:tcW w:w="1980" w:type="dxa"/>
          </w:tcPr>
          <w:p>
            <w:pPr>
              <w:pStyle w:val="TableParagraph"/>
              <w:spacing w:before="104"/>
              <w:ind w:left="225"/>
              <w:rPr>
                <w:b/>
                <w:sz w:val="21"/>
              </w:rPr>
            </w:pPr>
            <w:r>
              <w:rPr>
                <w:b/>
                <w:sz w:val="21"/>
              </w:rPr>
              <w:t>保险金的给付</w:t>
            </w:r>
          </w:p>
        </w:tc>
        <w:tc>
          <w:tcPr>
            <w:tcW w:w="7596" w:type="dxa"/>
          </w:tcPr>
          <w:p>
            <w:pPr>
              <w:pStyle w:val="TableParagraph"/>
              <w:spacing w:before="104"/>
              <w:ind w:left="174"/>
              <w:rPr>
                <w:sz w:val="21"/>
              </w:rPr>
            </w:pPr>
            <w:r>
              <w:rPr>
                <w:spacing w:val="-6"/>
                <w:sz w:val="21"/>
              </w:rPr>
              <w:t>一、我们在收到保险金给付申请书及本附加合同约定的资料后，将在 </w:t>
            </w:r>
            <w:r>
              <w:rPr>
                <w:sz w:val="21"/>
              </w:rPr>
              <w:t>5</w:t>
            </w:r>
            <w:r>
              <w:rPr>
                <w:spacing w:val="-9"/>
                <w:sz w:val="21"/>
              </w:rPr>
              <w:t> 日内作出</w:t>
            </w:r>
          </w:p>
          <w:p>
            <w:pPr>
              <w:pStyle w:val="TableParagraph"/>
              <w:spacing w:before="37"/>
              <w:ind w:left="595"/>
              <w:rPr>
                <w:sz w:val="21"/>
              </w:rPr>
            </w:pPr>
            <w:r>
              <w:rPr>
                <w:sz w:val="21"/>
              </w:rPr>
              <w:t>核定；情形复杂的，在 30 日内作出核定。对属于保险责任的，我们在与受</w:t>
            </w:r>
          </w:p>
          <w:p>
            <w:pPr>
              <w:pStyle w:val="TableParagraph"/>
              <w:spacing w:before="37"/>
              <w:ind w:left="595"/>
              <w:rPr>
                <w:sz w:val="21"/>
              </w:rPr>
            </w:pPr>
            <w:r>
              <w:rPr>
                <w:sz w:val="21"/>
              </w:rPr>
              <w:t>益人达成给付保险金的协议后 10 日内，履行给付保险金义务。</w:t>
            </w:r>
          </w:p>
          <w:p>
            <w:pPr>
              <w:pStyle w:val="TableParagraph"/>
              <w:spacing w:line="273" w:lineRule="auto" w:before="37"/>
              <w:ind w:left="595" w:right="100" w:hanging="421"/>
              <w:jc w:val="both"/>
              <w:rPr>
                <w:sz w:val="21"/>
              </w:rPr>
            </w:pPr>
            <w:r>
              <w:rPr>
                <w:spacing w:val="-6"/>
                <w:sz w:val="21"/>
              </w:rPr>
              <w:t>二、我们未及时履行前款规定义务的，除支付保险金外，应当赔偿受益人因此受</w:t>
            </w:r>
            <w:r>
              <w:rPr>
                <w:spacing w:val="-4"/>
                <w:sz w:val="21"/>
              </w:rPr>
              <w:t>到的损失。</w:t>
            </w:r>
          </w:p>
          <w:p>
            <w:pPr>
              <w:pStyle w:val="TableParagraph"/>
              <w:spacing w:line="273" w:lineRule="auto" w:before="8"/>
              <w:ind w:left="595" w:right="100" w:hanging="421"/>
              <w:jc w:val="both"/>
              <w:rPr>
                <w:sz w:val="21"/>
              </w:rPr>
            </w:pPr>
            <w:r>
              <w:rPr>
                <w:spacing w:val="-9"/>
                <w:sz w:val="21"/>
              </w:rPr>
              <w:t>三、对不属于保险责任的，我们自作出核定之日起 </w:t>
            </w:r>
            <w:r>
              <w:rPr>
                <w:sz w:val="21"/>
              </w:rPr>
              <w:t>3</w:t>
            </w:r>
            <w:r>
              <w:rPr>
                <w:spacing w:val="-7"/>
                <w:sz w:val="21"/>
              </w:rPr>
              <w:t> 日内向受益人发出拒绝给付</w:t>
            </w:r>
            <w:r>
              <w:rPr>
                <w:spacing w:val="-3"/>
                <w:sz w:val="21"/>
              </w:rPr>
              <w:t>保险金通知书并说明理由。</w:t>
            </w:r>
          </w:p>
          <w:p>
            <w:pPr>
              <w:pStyle w:val="TableParagraph"/>
              <w:spacing w:line="273" w:lineRule="auto" w:before="7"/>
              <w:ind w:left="595" w:right="100" w:hanging="421"/>
              <w:jc w:val="both"/>
              <w:rPr>
                <w:sz w:val="21"/>
              </w:rPr>
            </w:pPr>
            <w:r>
              <w:rPr>
                <w:spacing w:val="-4"/>
                <w:sz w:val="21"/>
              </w:rPr>
              <w:t>四、我们在收到保险金给付申请书及本附加合同约定的资料之日起 </w:t>
            </w:r>
            <w:r>
              <w:rPr>
                <w:sz w:val="21"/>
              </w:rPr>
              <w:t>60</w:t>
            </w:r>
            <w:r>
              <w:rPr>
                <w:spacing w:val="-3"/>
                <w:sz w:val="21"/>
              </w:rPr>
              <w:t> 日内，对</w:t>
            </w:r>
            <w:r>
              <w:rPr>
                <w:spacing w:val="-6"/>
                <w:sz w:val="21"/>
              </w:rPr>
              <w:t>给付保险金的数额不能确定的，根据已有资料可以确定的数额先予支付；我</w:t>
            </w:r>
            <w:r>
              <w:rPr>
                <w:spacing w:val="-4"/>
                <w:sz w:val="21"/>
              </w:rPr>
              <w:t>们最终确定给付保险金的数额后，再给付相应的差额。</w:t>
            </w:r>
          </w:p>
        </w:tc>
      </w:tr>
      <w:tr>
        <w:trPr>
          <w:trHeight w:val="875" w:hRule="atLeast"/>
        </w:trPr>
        <w:tc>
          <w:tcPr>
            <w:tcW w:w="673" w:type="dxa"/>
          </w:tcPr>
          <w:p>
            <w:pPr>
              <w:pStyle w:val="TableParagraph"/>
              <w:spacing w:before="100"/>
              <w:ind w:left="110"/>
              <w:rPr>
                <w:b/>
                <w:sz w:val="21"/>
              </w:rPr>
            </w:pPr>
            <w:r>
              <w:rPr>
                <w:b/>
                <w:sz w:val="21"/>
              </w:rPr>
              <w:t>3.5</w:t>
            </w:r>
          </w:p>
        </w:tc>
        <w:tc>
          <w:tcPr>
            <w:tcW w:w="1980" w:type="dxa"/>
          </w:tcPr>
          <w:p>
            <w:pPr>
              <w:pStyle w:val="TableParagraph"/>
              <w:spacing w:before="100"/>
              <w:ind w:left="225"/>
              <w:rPr>
                <w:b/>
                <w:sz w:val="21"/>
              </w:rPr>
            </w:pPr>
            <w:r>
              <w:rPr>
                <w:b/>
                <w:sz w:val="21"/>
              </w:rPr>
              <w:t>诉讼时效</w:t>
            </w:r>
          </w:p>
        </w:tc>
        <w:tc>
          <w:tcPr>
            <w:tcW w:w="7596" w:type="dxa"/>
          </w:tcPr>
          <w:p>
            <w:pPr>
              <w:pStyle w:val="TableParagraph"/>
              <w:spacing w:line="273" w:lineRule="auto" w:before="100"/>
              <w:ind w:left="174" w:right="100"/>
              <w:rPr>
                <w:sz w:val="21"/>
              </w:rPr>
            </w:pPr>
            <w:r>
              <w:rPr>
                <w:spacing w:val="-5"/>
                <w:sz w:val="21"/>
              </w:rPr>
              <w:t>申请人向我们请求给付保险金的诉讼时效期间为 </w:t>
            </w:r>
            <w:r>
              <w:rPr>
                <w:sz w:val="21"/>
              </w:rPr>
              <w:t>2</w:t>
            </w:r>
            <w:r>
              <w:rPr>
                <w:spacing w:val="-11"/>
                <w:sz w:val="21"/>
              </w:rPr>
              <w:t> 年，自其知道或应当知道保险</w:t>
            </w:r>
            <w:r>
              <w:rPr>
                <w:spacing w:val="-6"/>
                <w:sz w:val="21"/>
              </w:rPr>
              <w:t>事故发生之日起计算。</w:t>
            </w:r>
          </w:p>
        </w:tc>
      </w:tr>
      <w:tr>
        <w:trPr>
          <w:trHeight w:val="710" w:hRule="atLeast"/>
        </w:trPr>
        <w:tc>
          <w:tcPr>
            <w:tcW w:w="673" w:type="dxa"/>
            <w:tcBorders>
              <w:bottom w:val="single" w:sz="8" w:space="0" w:color="000000"/>
            </w:tcBorders>
          </w:tcPr>
          <w:p>
            <w:pPr>
              <w:pStyle w:val="TableParagraph"/>
              <w:spacing w:before="151"/>
              <w:ind w:left="110"/>
              <w:rPr>
                <w:rFonts w:ascii="Arial" w:hAnsi="Arial"/>
                <w:b/>
                <w:sz w:val="40"/>
              </w:rPr>
            </w:pPr>
            <w:r>
              <w:rPr>
                <w:rFonts w:ascii="Arial" w:hAnsi="Arial"/>
                <w:b/>
                <w:w w:val="119"/>
                <w:sz w:val="40"/>
              </w:rPr>
              <w:t></w:t>
            </w:r>
          </w:p>
        </w:tc>
        <w:tc>
          <w:tcPr>
            <w:tcW w:w="1980" w:type="dxa"/>
            <w:tcBorders>
              <w:bottom w:val="single" w:sz="8" w:space="0" w:color="000000"/>
            </w:tcBorders>
          </w:tcPr>
          <w:p>
            <w:pPr>
              <w:pStyle w:val="TableParagraph"/>
              <w:spacing w:before="202"/>
              <w:ind w:left="225"/>
              <w:rPr>
                <w:b/>
                <w:sz w:val="24"/>
              </w:rPr>
            </w:pPr>
            <w:r>
              <w:rPr>
                <w:b/>
                <w:w w:val="95"/>
                <w:sz w:val="24"/>
              </w:rPr>
              <w:t>保险费的交纳</w:t>
            </w:r>
          </w:p>
        </w:tc>
        <w:tc>
          <w:tcPr>
            <w:tcW w:w="7596" w:type="dxa"/>
            <w:tcBorders>
              <w:bottom w:val="single" w:sz="8" w:space="0" w:color="000000"/>
            </w:tcBorders>
          </w:tcPr>
          <w:p>
            <w:pPr>
              <w:pStyle w:val="TableParagraph"/>
              <w:ind w:left="0"/>
              <w:rPr>
                <w:rFonts w:ascii="Times New Roman"/>
                <w:sz w:val="20"/>
              </w:rPr>
            </w:pPr>
          </w:p>
        </w:tc>
      </w:tr>
      <w:tr>
        <w:trPr>
          <w:trHeight w:val="1570" w:hRule="atLeast"/>
        </w:trPr>
        <w:tc>
          <w:tcPr>
            <w:tcW w:w="673" w:type="dxa"/>
            <w:tcBorders>
              <w:top w:val="single" w:sz="8" w:space="0" w:color="000000"/>
            </w:tcBorders>
          </w:tcPr>
          <w:p>
            <w:pPr>
              <w:pStyle w:val="TableParagraph"/>
              <w:spacing w:before="12"/>
              <w:ind w:left="0"/>
              <w:rPr>
                <w:sz w:val="14"/>
              </w:rPr>
            </w:pPr>
          </w:p>
          <w:p>
            <w:pPr>
              <w:pStyle w:val="TableParagraph"/>
              <w:ind w:left="110"/>
              <w:rPr>
                <w:b/>
                <w:sz w:val="21"/>
              </w:rPr>
            </w:pPr>
            <w:r>
              <w:rPr>
                <w:b/>
                <w:sz w:val="21"/>
              </w:rPr>
              <w:t>4.1</w:t>
            </w:r>
          </w:p>
        </w:tc>
        <w:tc>
          <w:tcPr>
            <w:tcW w:w="1980" w:type="dxa"/>
            <w:tcBorders>
              <w:top w:val="single" w:sz="8" w:space="0" w:color="000000"/>
            </w:tcBorders>
          </w:tcPr>
          <w:p>
            <w:pPr>
              <w:pStyle w:val="TableParagraph"/>
              <w:spacing w:before="12"/>
              <w:ind w:left="0"/>
              <w:rPr>
                <w:sz w:val="14"/>
              </w:rPr>
            </w:pPr>
          </w:p>
          <w:p>
            <w:pPr>
              <w:pStyle w:val="TableParagraph"/>
              <w:ind w:left="225"/>
              <w:rPr>
                <w:b/>
                <w:sz w:val="21"/>
              </w:rPr>
            </w:pPr>
            <w:r>
              <w:rPr>
                <w:b/>
                <w:sz w:val="21"/>
              </w:rPr>
              <w:t>保险费的交纳</w:t>
            </w:r>
          </w:p>
        </w:tc>
        <w:tc>
          <w:tcPr>
            <w:tcW w:w="7596" w:type="dxa"/>
            <w:tcBorders>
              <w:top w:val="single" w:sz="8" w:space="0" w:color="000000"/>
            </w:tcBorders>
          </w:tcPr>
          <w:p>
            <w:pPr>
              <w:pStyle w:val="TableParagraph"/>
              <w:spacing w:before="12"/>
              <w:ind w:left="0"/>
              <w:rPr>
                <w:sz w:val="14"/>
              </w:rPr>
            </w:pPr>
          </w:p>
          <w:p>
            <w:pPr>
              <w:pStyle w:val="TableParagraph"/>
              <w:ind w:left="174"/>
              <w:rPr>
                <w:sz w:val="21"/>
              </w:rPr>
            </w:pPr>
            <w:r>
              <w:rPr>
                <w:sz w:val="21"/>
              </w:rPr>
              <w:t>一、本附加合同的交费方式和交费期间由您和我们约定并在保险单上载明。</w:t>
            </w:r>
          </w:p>
          <w:p>
            <w:pPr>
              <w:pStyle w:val="TableParagraph"/>
              <w:spacing w:line="273" w:lineRule="auto" w:before="37"/>
              <w:ind w:left="595" w:right="100" w:hanging="421"/>
              <w:rPr>
                <w:sz w:val="21"/>
              </w:rPr>
            </w:pPr>
            <w:r>
              <w:rPr>
                <w:spacing w:val="-6"/>
                <w:sz w:val="21"/>
              </w:rPr>
              <w:t>二、分期支付保险费的，您在支付首期保险费后，应当在每个保险费约定支付日</w:t>
            </w:r>
            <w:r>
              <w:rPr>
                <w:spacing w:val="-4"/>
                <w:sz w:val="21"/>
              </w:rPr>
              <w:t>之前交纳当期保险费。</w:t>
            </w:r>
          </w:p>
          <w:p>
            <w:pPr>
              <w:pStyle w:val="TableParagraph"/>
              <w:spacing w:before="8"/>
              <w:ind w:left="174"/>
              <w:rPr>
                <w:sz w:val="21"/>
              </w:rPr>
            </w:pPr>
            <w:r>
              <w:rPr>
                <w:sz w:val="21"/>
              </w:rPr>
              <w:t>三、本附加合同的保险费必须随主合同保险费一同支付，不能单独交纳。</w:t>
            </w:r>
          </w:p>
        </w:tc>
      </w:tr>
      <w:tr>
        <w:trPr>
          <w:trHeight w:val="2123" w:hRule="atLeast"/>
        </w:trPr>
        <w:tc>
          <w:tcPr>
            <w:tcW w:w="673" w:type="dxa"/>
          </w:tcPr>
          <w:p>
            <w:pPr>
              <w:pStyle w:val="TableParagraph"/>
              <w:spacing w:before="99"/>
              <w:ind w:left="110"/>
              <w:rPr>
                <w:b/>
                <w:sz w:val="21"/>
              </w:rPr>
            </w:pPr>
            <w:r>
              <w:rPr>
                <w:b/>
                <w:sz w:val="21"/>
              </w:rPr>
              <w:t>4.2</w:t>
            </w:r>
          </w:p>
        </w:tc>
        <w:tc>
          <w:tcPr>
            <w:tcW w:w="1980" w:type="dxa"/>
          </w:tcPr>
          <w:p>
            <w:pPr>
              <w:pStyle w:val="TableParagraph"/>
              <w:spacing w:before="99"/>
              <w:ind w:left="225"/>
              <w:rPr>
                <w:b/>
                <w:sz w:val="21"/>
              </w:rPr>
            </w:pPr>
            <w:r>
              <w:rPr>
                <w:b/>
                <w:sz w:val="21"/>
              </w:rPr>
              <w:t>宽限期</w:t>
            </w:r>
          </w:p>
        </w:tc>
        <w:tc>
          <w:tcPr>
            <w:tcW w:w="7596" w:type="dxa"/>
          </w:tcPr>
          <w:p>
            <w:pPr>
              <w:pStyle w:val="TableParagraph"/>
              <w:spacing w:line="273" w:lineRule="auto" w:before="99"/>
              <w:ind w:left="628" w:right="100" w:hanging="421"/>
              <w:jc w:val="both"/>
              <w:rPr>
                <w:sz w:val="21"/>
              </w:rPr>
            </w:pPr>
            <w:r>
              <w:rPr>
                <w:spacing w:val="-8"/>
                <w:sz w:val="21"/>
              </w:rPr>
              <w:t>一、分期支付保险费的，您在支付首期保险费后，除本附加合同另有约定外，若</w:t>
            </w:r>
            <w:r>
              <w:rPr>
                <w:spacing w:val="-6"/>
                <w:sz w:val="21"/>
              </w:rPr>
              <w:t>您到期未支付保险费，自保险费约定支付日的次日零时起 </w:t>
            </w:r>
            <w:r>
              <w:rPr>
                <w:sz w:val="21"/>
              </w:rPr>
              <w:t>60</w:t>
            </w:r>
            <w:r>
              <w:rPr>
                <w:spacing w:val="-6"/>
                <w:sz w:val="21"/>
              </w:rPr>
              <w:t> 日为宽限期。</w:t>
            </w:r>
            <w:r>
              <w:rPr>
                <w:spacing w:val="-9"/>
                <w:sz w:val="21"/>
              </w:rPr>
              <w:t>宽限期内发生的保险事故，我们仍会承担保险责任，但在给付保险金时会扣</w:t>
            </w:r>
            <w:r>
              <w:rPr>
                <w:spacing w:val="-5"/>
                <w:sz w:val="21"/>
              </w:rPr>
              <w:t>减您欠交的保险费。</w:t>
            </w:r>
          </w:p>
          <w:p>
            <w:pPr>
              <w:pStyle w:val="TableParagraph"/>
              <w:spacing w:line="273" w:lineRule="auto" w:before="7"/>
              <w:ind w:left="628" w:right="102" w:hanging="421"/>
              <w:jc w:val="both"/>
              <w:rPr>
                <w:sz w:val="21"/>
              </w:rPr>
            </w:pPr>
            <w:r>
              <w:rPr>
                <w:spacing w:val="-7"/>
                <w:sz w:val="21"/>
              </w:rPr>
              <w:t>二、若您宽限期结束之后仍未支付保险费，则本附加合同自宽限期满的次日零时</w:t>
            </w:r>
            <w:r>
              <w:rPr>
                <w:spacing w:val="-5"/>
                <w:sz w:val="21"/>
              </w:rPr>
              <w:t>起中止。</w:t>
            </w:r>
          </w:p>
        </w:tc>
      </w:tr>
      <w:tr>
        <w:trPr>
          <w:trHeight w:val="712" w:hRule="atLeast"/>
        </w:trPr>
        <w:tc>
          <w:tcPr>
            <w:tcW w:w="673" w:type="dxa"/>
            <w:tcBorders>
              <w:bottom w:val="single" w:sz="8" w:space="0" w:color="000000"/>
            </w:tcBorders>
          </w:tcPr>
          <w:p>
            <w:pPr>
              <w:pStyle w:val="TableParagraph"/>
              <w:spacing w:before="152"/>
              <w:ind w:left="110"/>
              <w:rPr>
                <w:rFonts w:ascii="Arial" w:hAnsi="Arial"/>
                <w:b/>
                <w:sz w:val="40"/>
              </w:rPr>
            </w:pPr>
            <w:r>
              <w:rPr>
                <w:rFonts w:ascii="Arial" w:hAnsi="Arial"/>
                <w:b/>
                <w:w w:val="119"/>
                <w:sz w:val="40"/>
              </w:rPr>
              <w:t></w:t>
            </w:r>
          </w:p>
        </w:tc>
        <w:tc>
          <w:tcPr>
            <w:tcW w:w="1980" w:type="dxa"/>
            <w:tcBorders>
              <w:bottom w:val="single" w:sz="8" w:space="0" w:color="000000"/>
            </w:tcBorders>
          </w:tcPr>
          <w:p>
            <w:pPr>
              <w:pStyle w:val="TableParagraph"/>
              <w:spacing w:before="204"/>
              <w:ind w:left="225"/>
              <w:rPr>
                <w:b/>
                <w:sz w:val="24"/>
              </w:rPr>
            </w:pPr>
            <w:r>
              <w:rPr>
                <w:b/>
                <w:w w:val="95"/>
                <w:sz w:val="24"/>
              </w:rPr>
              <w:t>现金价值权益</w:t>
            </w:r>
          </w:p>
        </w:tc>
        <w:tc>
          <w:tcPr>
            <w:tcW w:w="7596" w:type="dxa"/>
            <w:tcBorders>
              <w:bottom w:val="single" w:sz="8" w:space="0" w:color="000000"/>
            </w:tcBorders>
          </w:tcPr>
          <w:p>
            <w:pPr>
              <w:pStyle w:val="TableParagraph"/>
              <w:ind w:left="0"/>
              <w:rPr>
                <w:rFonts w:ascii="Times New Roman"/>
                <w:sz w:val="20"/>
              </w:rPr>
            </w:pPr>
          </w:p>
        </w:tc>
      </w:tr>
      <w:tr>
        <w:trPr>
          <w:trHeight w:val="944" w:hRule="atLeast"/>
        </w:trPr>
        <w:tc>
          <w:tcPr>
            <w:tcW w:w="673" w:type="dxa"/>
            <w:tcBorders>
              <w:top w:val="single" w:sz="8" w:space="0" w:color="000000"/>
            </w:tcBorders>
          </w:tcPr>
          <w:p>
            <w:pPr>
              <w:pStyle w:val="TableParagraph"/>
              <w:spacing w:before="10"/>
              <w:ind w:left="0"/>
              <w:rPr>
                <w:sz w:val="14"/>
              </w:rPr>
            </w:pPr>
          </w:p>
          <w:p>
            <w:pPr>
              <w:pStyle w:val="TableParagraph"/>
              <w:ind w:left="110"/>
              <w:rPr>
                <w:b/>
                <w:sz w:val="21"/>
              </w:rPr>
            </w:pPr>
            <w:r>
              <w:rPr>
                <w:b/>
                <w:sz w:val="21"/>
              </w:rPr>
              <w:t>5.1</w:t>
            </w:r>
          </w:p>
        </w:tc>
        <w:tc>
          <w:tcPr>
            <w:tcW w:w="1980" w:type="dxa"/>
            <w:tcBorders>
              <w:top w:val="single" w:sz="8" w:space="0" w:color="000000"/>
            </w:tcBorders>
          </w:tcPr>
          <w:p>
            <w:pPr>
              <w:pStyle w:val="TableParagraph"/>
              <w:spacing w:before="10"/>
              <w:ind w:left="0"/>
              <w:rPr>
                <w:sz w:val="14"/>
              </w:rPr>
            </w:pPr>
          </w:p>
          <w:p>
            <w:pPr>
              <w:pStyle w:val="TableParagraph"/>
              <w:spacing w:line="273" w:lineRule="auto"/>
              <w:ind w:left="225" w:right="63"/>
              <w:rPr>
                <w:b/>
                <w:sz w:val="21"/>
              </w:rPr>
            </w:pPr>
            <w:r>
              <w:rPr>
                <w:b/>
                <w:sz w:val="21"/>
              </w:rPr>
              <w:t>本附加合同现金价值</w:t>
            </w:r>
          </w:p>
        </w:tc>
        <w:tc>
          <w:tcPr>
            <w:tcW w:w="7596" w:type="dxa"/>
            <w:tcBorders>
              <w:top w:val="single" w:sz="8" w:space="0" w:color="000000"/>
            </w:tcBorders>
          </w:tcPr>
          <w:p>
            <w:pPr>
              <w:pStyle w:val="TableParagraph"/>
              <w:spacing w:before="10"/>
              <w:ind w:left="0"/>
              <w:rPr>
                <w:sz w:val="14"/>
              </w:rPr>
            </w:pPr>
          </w:p>
          <w:p>
            <w:pPr>
              <w:pStyle w:val="TableParagraph"/>
              <w:spacing w:line="273" w:lineRule="auto"/>
              <w:ind w:left="174" w:right="56"/>
              <w:rPr>
                <w:sz w:val="21"/>
              </w:rPr>
            </w:pPr>
            <w:r>
              <w:rPr>
                <w:sz w:val="21"/>
              </w:rPr>
              <w:t>本附加合同保单年度末的现金价值会在保险合同中载明，保单年度之内的现金价值您可以向我们查询。</w:t>
            </w:r>
          </w:p>
        </w:tc>
      </w:tr>
      <w:tr>
        <w:trPr>
          <w:trHeight w:val="1311" w:hRule="atLeast"/>
        </w:trPr>
        <w:tc>
          <w:tcPr>
            <w:tcW w:w="673" w:type="dxa"/>
          </w:tcPr>
          <w:p>
            <w:pPr>
              <w:pStyle w:val="TableParagraph"/>
              <w:spacing w:before="100"/>
              <w:ind w:left="120"/>
              <w:rPr>
                <w:b/>
                <w:sz w:val="21"/>
              </w:rPr>
            </w:pPr>
            <w:r>
              <w:rPr>
                <w:b/>
                <w:sz w:val="21"/>
              </w:rPr>
              <w:t>5.2</w:t>
            </w:r>
          </w:p>
        </w:tc>
        <w:tc>
          <w:tcPr>
            <w:tcW w:w="1980" w:type="dxa"/>
          </w:tcPr>
          <w:p>
            <w:pPr>
              <w:pStyle w:val="TableParagraph"/>
              <w:spacing w:before="100"/>
              <w:ind w:left="205"/>
              <w:rPr>
                <w:b/>
                <w:sz w:val="21"/>
              </w:rPr>
            </w:pPr>
            <w:r>
              <w:rPr>
                <w:b/>
                <w:sz w:val="21"/>
              </w:rPr>
              <w:t>保单质押借款</w:t>
            </w:r>
          </w:p>
        </w:tc>
        <w:tc>
          <w:tcPr>
            <w:tcW w:w="7596" w:type="dxa"/>
          </w:tcPr>
          <w:p>
            <w:pPr>
              <w:pStyle w:val="TableParagraph"/>
              <w:spacing w:line="310" w:lineRule="atLeast" w:before="65"/>
              <w:ind w:left="486" w:right="6" w:hanging="420"/>
              <w:jc w:val="both"/>
              <w:rPr>
                <w:sz w:val="21"/>
              </w:rPr>
            </w:pPr>
            <w:r>
              <w:rPr>
                <w:spacing w:val="-6"/>
                <w:sz w:val="21"/>
              </w:rPr>
              <w:t>一、在本附加合同有效期间内，若本附加合同具有现金价值且不存在包含保单质押</w:t>
            </w:r>
            <w:r>
              <w:rPr>
                <w:spacing w:val="-7"/>
                <w:sz w:val="21"/>
              </w:rPr>
              <w:t>借款、自动垫交的保险费在内的未还款项及其</w:t>
            </w:r>
            <w:r>
              <w:rPr>
                <w:b/>
                <w:spacing w:val="-2"/>
                <w:sz w:val="21"/>
              </w:rPr>
              <w:t>利息</w:t>
            </w:r>
            <w:r>
              <w:rPr>
                <w:spacing w:val="-6"/>
                <w:sz w:val="21"/>
              </w:rPr>
              <w:t>，经您书面申请且我们审核</w:t>
            </w:r>
            <w:r>
              <w:rPr>
                <w:spacing w:val="-8"/>
                <w:sz w:val="21"/>
              </w:rPr>
              <w:t>同意后，您可在犹豫期后向我们办理保单质押借款。借款金额以借款时本附加合同现金价值的 </w:t>
            </w:r>
            <w:r>
              <w:rPr>
                <w:sz w:val="21"/>
              </w:rPr>
              <w:t>80</w:t>
            </w:r>
            <w:r>
              <w:rPr>
                <w:spacing w:val="-6"/>
                <w:sz w:val="21"/>
              </w:rPr>
              <w:t>%为最高限额，每次借款期限最长不超过 </w:t>
            </w:r>
            <w:r>
              <w:rPr>
                <w:sz w:val="21"/>
              </w:rPr>
              <w:t>180</w:t>
            </w:r>
            <w:r>
              <w:rPr>
                <w:spacing w:val="-17"/>
                <w:sz w:val="21"/>
              </w:rPr>
              <w:t> 日。</w:t>
            </w:r>
          </w:p>
        </w:tc>
      </w:tr>
    </w:tbl>
    <w:p>
      <w:pPr>
        <w:spacing w:after="0" w:line="310" w:lineRule="atLeast"/>
        <w:jc w:val="both"/>
        <w:rPr>
          <w:sz w:val="21"/>
        </w:rPr>
        <w:sectPr>
          <w:pgSz w:w="11910" w:h="16840"/>
          <w:pgMar w:header="0" w:footer="358" w:top="1160" w:bottom="540" w:left="680" w:right="7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
        <w:gridCol w:w="1980"/>
        <w:gridCol w:w="7614"/>
      </w:tblGrid>
      <w:tr>
        <w:trPr>
          <w:trHeight w:val="2247" w:hRule="atLeast"/>
        </w:trPr>
        <w:tc>
          <w:tcPr>
            <w:tcW w:w="673" w:type="dxa"/>
          </w:tcPr>
          <w:p>
            <w:pPr>
              <w:pStyle w:val="TableParagraph"/>
              <w:ind w:left="0"/>
              <w:rPr>
                <w:rFonts w:ascii="Times New Roman"/>
                <w:sz w:val="20"/>
              </w:rPr>
            </w:pPr>
          </w:p>
        </w:tc>
        <w:tc>
          <w:tcPr>
            <w:tcW w:w="1980" w:type="dxa"/>
          </w:tcPr>
          <w:p>
            <w:pPr>
              <w:pStyle w:val="TableParagraph"/>
              <w:ind w:left="0"/>
              <w:rPr>
                <w:rFonts w:ascii="Times New Roman"/>
                <w:sz w:val="20"/>
              </w:rPr>
            </w:pPr>
          </w:p>
        </w:tc>
        <w:tc>
          <w:tcPr>
            <w:tcW w:w="7614" w:type="dxa"/>
          </w:tcPr>
          <w:p>
            <w:pPr>
              <w:pStyle w:val="TableParagraph"/>
              <w:spacing w:line="211" w:lineRule="exact"/>
              <w:ind w:left="66"/>
              <w:rPr>
                <w:sz w:val="21"/>
              </w:rPr>
            </w:pPr>
            <w:r>
              <w:rPr>
                <w:spacing w:val="-6"/>
                <w:sz w:val="21"/>
              </w:rPr>
              <w:t>二、借款及利息应在借款到期时一并归还。若您到期未能足额偿还借款及利息，则</w:t>
            </w:r>
          </w:p>
          <w:p>
            <w:pPr>
              <w:pStyle w:val="TableParagraph"/>
              <w:spacing w:before="37"/>
              <w:ind w:left="486"/>
              <w:rPr>
                <w:sz w:val="21"/>
              </w:rPr>
            </w:pPr>
            <w:r>
              <w:rPr>
                <w:sz w:val="21"/>
              </w:rPr>
              <w:t>所欠的借款及利息将作为新的借款按我们最近一次宣布的利率计息。</w:t>
            </w:r>
          </w:p>
          <w:p>
            <w:pPr>
              <w:pStyle w:val="TableParagraph"/>
              <w:spacing w:line="273" w:lineRule="auto" w:before="37"/>
              <w:ind w:left="486" w:right="24" w:hanging="420"/>
              <w:jc w:val="both"/>
              <w:rPr>
                <w:sz w:val="21"/>
              </w:rPr>
            </w:pPr>
            <w:r>
              <w:rPr>
                <w:spacing w:val="-5"/>
                <w:sz w:val="21"/>
              </w:rPr>
              <w:t>三、借款本息达到本附加合同及保险单内其他保险合同现金价值时，本附加合同及</w:t>
            </w:r>
            <w:r>
              <w:rPr>
                <w:spacing w:val="-8"/>
                <w:sz w:val="21"/>
              </w:rPr>
              <w:t>保险单内其他保险合同终止，本附加合同及保险单内其他保险合同的现金价值</w:t>
            </w:r>
            <w:r>
              <w:rPr>
                <w:spacing w:val="-5"/>
                <w:sz w:val="21"/>
              </w:rPr>
              <w:t>将全部用于偿还借款本息。</w:t>
            </w:r>
          </w:p>
          <w:p>
            <w:pPr>
              <w:pStyle w:val="TableParagraph"/>
              <w:spacing w:line="273" w:lineRule="auto" w:before="7"/>
              <w:ind w:left="486" w:right="25" w:hanging="420"/>
              <w:jc w:val="both"/>
              <w:rPr>
                <w:sz w:val="21"/>
              </w:rPr>
            </w:pPr>
            <w:r>
              <w:rPr>
                <w:spacing w:val="-5"/>
                <w:sz w:val="21"/>
              </w:rPr>
              <w:t>四、您申请保单质押借款须填写申请书及其他相关文件，并凭保险合同原件、您的</w:t>
            </w:r>
            <w:r>
              <w:rPr>
                <w:spacing w:val="-4"/>
                <w:sz w:val="21"/>
              </w:rPr>
              <w:t>有效身份证件办理。</w:t>
            </w:r>
          </w:p>
        </w:tc>
      </w:tr>
      <w:tr>
        <w:trPr>
          <w:trHeight w:val="3685" w:hRule="atLeast"/>
        </w:trPr>
        <w:tc>
          <w:tcPr>
            <w:tcW w:w="673" w:type="dxa"/>
          </w:tcPr>
          <w:p>
            <w:pPr>
              <w:pStyle w:val="TableParagraph"/>
              <w:spacing w:before="100"/>
              <w:ind w:left="120"/>
              <w:rPr>
                <w:b/>
                <w:sz w:val="21"/>
              </w:rPr>
            </w:pPr>
            <w:r>
              <w:rPr>
                <w:b/>
                <w:sz w:val="21"/>
              </w:rPr>
              <w:t>5.3</w:t>
            </w:r>
          </w:p>
        </w:tc>
        <w:tc>
          <w:tcPr>
            <w:tcW w:w="1980" w:type="dxa"/>
          </w:tcPr>
          <w:p>
            <w:pPr>
              <w:pStyle w:val="TableParagraph"/>
              <w:spacing w:before="100"/>
              <w:ind w:left="205"/>
              <w:rPr>
                <w:b/>
                <w:sz w:val="21"/>
              </w:rPr>
            </w:pPr>
            <w:r>
              <w:rPr>
                <w:b/>
                <w:sz w:val="21"/>
              </w:rPr>
              <w:t>保险费自动垫交</w:t>
            </w:r>
          </w:p>
        </w:tc>
        <w:tc>
          <w:tcPr>
            <w:tcW w:w="7614" w:type="dxa"/>
          </w:tcPr>
          <w:p>
            <w:pPr>
              <w:pStyle w:val="TableParagraph"/>
              <w:spacing w:line="273" w:lineRule="auto" w:before="100"/>
              <w:ind w:left="486" w:right="-29" w:hanging="420"/>
              <w:jc w:val="both"/>
              <w:rPr>
                <w:sz w:val="21"/>
              </w:rPr>
            </w:pPr>
            <w:r>
              <w:rPr>
                <w:spacing w:val="-6"/>
                <w:sz w:val="21"/>
              </w:rPr>
              <w:t>一、您在投保时选择保险费自动垫交方式的，若分期交付的保险费超过宽限期仍未</w:t>
            </w:r>
            <w:r>
              <w:rPr>
                <w:spacing w:val="-9"/>
                <w:sz w:val="21"/>
              </w:rPr>
              <w:t>交付，且此时本附加合同及保险单内其他保险合同的现金价值扣除未还款项及</w:t>
            </w:r>
            <w:r>
              <w:rPr>
                <w:spacing w:val="-10"/>
                <w:sz w:val="21"/>
              </w:rPr>
              <w:t>其利息后的余额足以垫交当期保险费，我们将以本附加合同及保险单内其他保</w:t>
            </w:r>
            <w:r>
              <w:rPr>
                <w:spacing w:val="-5"/>
                <w:sz w:val="21"/>
              </w:rPr>
              <w:t>险合同的现金价值扣除未还款项及其利息后的余额自动垫交应交付的保险费， </w:t>
            </w:r>
            <w:r>
              <w:rPr>
                <w:spacing w:val="-6"/>
                <w:sz w:val="21"/>
              </w:rPr>
              <w:t>本附加合同及保险单内其他保险合同继续有效。垫交的保险费视作您从本公司</w:t>
            </w:r>
            <w:r>
              <w:rPr>
                <w:spacing w:val="-9"/>
                <w:sz w:val="21"/>
              </w:rPr>
              <w:t>的保单质押借款。若本附加合同及保险单内其他保险合同的现金价值扣除未还</w:t>
            </w:r>
            <w:r>
              <w:rPr>
                <w:spacing w:val="-7"/>
                <w:sz w:val="21"/>
              </w:rPr>
              <w:t>款项及其利息后的余额不足以垫交当期保险费，本附加合同及保险单内其他保</w:t>
            </w:r>
            <w:r>
              <w:rPr>
                <w:spacing w:val="-3"/>
                <w:sz w:val="21"/>
              </w:rPr>
              <w:t>险合同自宽限期满的次日零时起中止。</w:t>
            </w:r>
          </w:p>
          <w:p>
            <w:pPr>
              <w:pStyle w:val="TableParagraph"/>
              <w:spacing w:line="273" w:lineRule="auto" w:before="7"/>
              <w:ind w:left="486" w:right="27" w:hanging="420"/>
              <w:jc w:val="both"/>
              <w:rPr>
                <w:sz w:val="21"/>
              </w:rPr>
            </w:pPr>
            <w:r>
              <w:rPr>
                <w:spacing w:val="-6"/>
                <w:sz w:val="21"/>
              </w:rPr>
              <w:t>二、在保险费自动垫交期间，若发生合同解除或保险金给付，我们将在您偿清垫交</w:t>
            </w:r>
            <w:r>
              <w:rPr>
                <w:sz w:val="21"/>
              </w:rPr>
              <w:t>的保险费及利息后给付本附加合同及保险单内其他保险合同的现金价值或保险金。</w:t>
            </w:r>
          </w:p>
        </w:tc>
      </w:tr>
      <w:tr>
        <w:trPr>
          <w:trHeight w:val="711" w:hRule="atLeast"/>
        </w:trPr>
        <w:tc>
          <w:tcPr>
            <w:tcW w:w="673" w:type="dxa"/>
            <w:tcBorders>
              <w:bottom w:val="single" w:sz="8" w:space="0" w:color="000000"/>
            </w:tcBorders>
          </w:tcPr>
          <w:p>
            <w:pPr>
              <w:pStyle w:val="TableParagraph"/>
              <w:spacing w:before="152"/>
              <w:ind w:left="110"/>
              <w:rPr>
                <w:rFonts w:ascii="Arial" w:hAnsi="Arial"/>
                <w:b/>
                <w:sz w:val="40"/>
              </w:rPr>
            </w:pPr>
            <w:r>
              <w:rPr>
                <w:rFonts w:ascii="Arial" w:hAnsi="Arial"/>
                <w:b/>
                <w:w w:val="119"/>
                <w:sz w:val="40"/>
              </w:rPr>
              <w:t></w:t>
            </w:r>
          </w:p>
        </w:tc>
        <w:tc>
          <w:tcPr>
            <w:tcW w:w="1980" w:type="dxa"/>
            <w:tcBorders>
              <w:bottom w:val="single" w:sz="8" w:space="0" w:color="000000"/>
            </w:tcBorders>
          </w:tcPr>
          <w:p>
            <w:pPr>
              <w:pStyle w:val="TableParagraph"/>
              <w:spacing w:before="204"/>
              <w:ind w:left="225"/>
              <w:rPr>
                <w:b/>
                <w:sz w:val="24"/>
              </w:rPr>
            </w:pPr>
            <w:r>
              <w:rPr>
                <w:b/>
                <w:w w:val="95"/>
                <w:sz w:val="24"/>
              </w:rPr>
              <w:t>合同中止和复效</w:t>
            </w:r>
          </w:p>
        </w:tc>
        <w:tc>
          <w:tcPr>
            <w:tcW w:w="7614" w:type="dxa"/>
            <w:tcBorders>
              <w:bottom w:val="single" w:sz="8" w:space="0" w:color="000000"/>
            </w:tcBorders>
          </w:tcPr>
          <w:p>
            <w:pPr>
              <w:pStyle w:val="TableParagraph"/>
              <w:ind w:left="0"/>
              <w:rPr>
                <w:rFonts w:ascii="Times New Roman"/>
                <w:sz w:val="20"/>
              </w:rPr>
            </w:pPr>
          </w:p>
        </w:tc>
      </w:tr>
      <w:tr>
        <w:trPr>
          <w:trHeight w:val="945" w:hRule="atLeast"/>
        </w:trPr>
        <w:tc>
          <w:tcPr>
            <w:tcW w:w="673" w:type="dxa"/>
            <w:tcBorders>
              <w:top w:val="single" w:sz="8" w:space="0" w:color="000000"/>
            </w:tcBorders>
          </w:tcPr>
          <w:p>
            <w:pPr>
              <w:pStyle w:val="TableParagraph"/>
              <w:spacing w:before="10"/>
              <w:ind w:left="0"/>
              <w:rPr>
                <w:sz w:val="14"/>
              </w:rPr>
            </w:pPr>
          </w:p>
          <w:p>
            <w:pPr>
              <w:pStyle w:val="TableParagraph"/>
              <w:ind w:left="110"/>
              <w:rPr>
                <w:b/>
                <w:sz w:val="21"/>
              </w:rPr>
            </w:pPr>
            <w:r>
              <w:rPr>
                <w:b/>
                <w:sz w:val="21"/>
              </w:rPr>
              <w:t>6.1</w:t>
            </w:r>
          </w:p>
        </w:tc>
        <w:tc>
          <w:tcPr>
            <w:tcW w:w="1980" w:type="dxa"/>
            <w:tcBorders>
              <w:top w:val="single" w:sz="8" w:space="0" w:color="000000"/>
            </w:tcBorders>
          </w:tcPr>
          <w:p>
            <w:pPr>
              <w:pStyle w:val="TableParagraph"/>
              <w:spacing w:before="10"/>
              <w:ind w:left="0"/>
              <w:rPr>
                <w:sz w:val="14"/>
              </w:rPr>
            </w:pPr>
          </w:p>
          <w:p>
            <w:pPr>
              <w:pStyle w:val="TableParagraph"/>
              <w:ind w:left="225"/>
              <w:rPr>
                <w:b/>
                <w:sz w:val="21"/>
              </w:rPr>
            </w:pPr>
            <w:r>
              <w:rPr>
                <w:b/>
                <w:sz w:val="21"/>
              </w:rPr>
              <w:t>合同中止</w:t>
            </w:r>
          </w:p>
        </w:tc>
        <w:tc>
          <w:tcPr>
            <w:tcW w:w="7614" w:type="dxa"/>
            <w:tcBorders>
              <w:top w:val="single" w:sz="8" w:space="0" w:color="000000"/>
            </w:tcBorders>
          </w:tcPr>
          <w:p>
            <w:pPr>
              <w:pStyle w:val="TableParagraph"/>
              <w:spacing w:line="259" w:lineRule="auto" w:before="182"/>
              <w:ind w:left="174" w:right="121"/>
              <w:rPr>
                <w:sz w:val="21"/>
              </w:rPr>
            </w:pPr>
            <w:r>
              <w:rPr>
                <w:spacing w:val="-6"/>
                <w:w w:val="95"/>
                <w:sz w:val="21"/>
              </w:rPr>
              <w:t>在主合同中止时，本附加合同同时中止。</w:t>
            </w:r>
            <w:r>
              <w:rPr>
                <w:rFonts w:ascii="黑体" w:eastAsia="黑体" w:hint="eastAsia"/>
                <w:b/>
                <w:i/>
                <w:spacing w:val="-3"/>
                <w:w w:val="95"/>
                <w:sz w:val="22"/>
              </w:rPr>
              <w:t>在本附加合同中止期间，我们不承担保 险责任</w:t>
            </w:r>
            <w:r>
              <w:rPr>
                <w:spacing w:val="-3"/>
                <w:w w:val="95"/>
                <w:sz w:val="21"/>
              </w:rPr>
              <w:t>。</w:t>
            </w:r>
          </w:p>
        </w:tc>
      </w:tr>
      <w:tr>
        <w:trPr>
          <w:trHeight w:val="1811" w:hRule="atLeast"/>
        </w:trPr>
        <w:tc>
          <w:tcPr>
            <w:tcW w:w="673" w:type="dxa"/>
          </w:tcPr>
          <w:p>
            <w:pPr>
              <w:pStyle w:val="TableParagraph"/>
              <w:spacing w:before="100"/>
              <w:ind w:left="110"/>
              <w:rPr>
                <w:b/>
                <w:sz w:val="21"/>
              </w:rPr>
            </w:pPr>
            <w:r>
              <w:rPr>
                <w:b/>
                <w:sz w:val="21"/>
              </w:rPr>
              <w:t>6.2</w:t>
            </w:r>
          </w:p>
        </w:tc>
        <w:tc>
          <w:tcPr>
            <w:tcW w:w="1980" w:type="dxa"/>
          </w:tcPr>
          <w:p>
            <w:pPr>
              <w:pStyle w:val="TableParagraph"/>
              <w:spacing w:before="100"/>
              <w:ind w:left="225"/>
              <w:rPr>
                <w:b/>
                <w:sz w:val="21"/>
              </w:rPr>
            </w:pPr>
            <w:r>
              <w:rPr>
                <w:b/>
                <w:sz w:val="21"/>
              </w:rPr>
              <w:t>合同复效</w:t>
            </w:r>
          </w:p>
        </w:tc>
        <w:tc>
          <w:tcPr>
            <w:tcW w:w="7614" w:type="dxa"/>
          </w:tcPr>
          <w:p>
            <w:pPr>
              <w:pStyle w:val="TableParagraph"/>
              <w:spacing w:line="273" w:lineRule="auto" w:before="100"/>
              <w:ind w:left="580" w:right="118" w:hanging="407"/>
              <w:jc w:val="both"/>
              <w:rPr>
                <w:sz w:val="21"/>
              </w:rPr>
            </w:pPr>
            <w:r>
              <w:rPr>
                <w:spacing w:val="-3"/>
                <w:sz w:val="21"/>
              </w:rPr>
              <w:t>一、本附加合同中止后 </w:t>
            </w:r>
            <w:r>
              <w:rPr>
                <w:sz w:val="21"/>
              </w:rPr>
              <w:t>2</w:t>
            </w:r>
            <w:r>
              <w:rPr>
                <w:spacing w:val="-3"/>
                <w:sz w:val="21"/>
              </w:rPr>
              <w:t> 年内，您可以申请恢复合同效力</w:t>
            </w:r>
            <w:r>
              <w:rPr>
                <w:sz w:val="21"/>
              </w:rPr>
              <w:t>（</w:t>
            </w:r>
            <w:r>
              <w:rPr>
                <w:spacing w:val="-3"/>
                <w:sz w:val="21"/>
              </w:rPr>
              <w:t>即复效</w:t>
            </w:r>
            <w:r>
              <w:rPr>
                <w:spacing w:val="-106"/>
                <w:sz w:val="21"/>
              </w:rPr>
              <w:t>）</w:t>
            </w:r>
            <w:r>
              <w:rPr>
                <w:spacing w:val="-3"/>
                <w:sz w:val="21"/>
              </w:rPr>
              <w:t>。经我们与</w:t>
            </w:r>
            <w:r>
              <w:rPr>
                <w:spacing w:val="-6"/>
                <w:sz w:val="21"/>
              </w:rPr>
              <w:t>您协商并达成协议，自您补交复效时应交纳的全部保险费及其利息、借款本</w:t>
            </w:r>
            <w:r>
              <w:rPr>
                <w:spacing w:val="-3"/>
                <w:sz w:val="21"/>
              </w:rPr>
              <w:t>息和其他未还款项及其利息的次日零时起，本附加合同效力恢复。</w:t>
            </w:r>
          </w:p>
          <w:p>
            <w:pPr>
              <w:pStyle w:val="TableParagraph"/>
              <w:spacing w:line="273" w:lineRule="auto" w:before="8"/>
              <w:ind w:left="580" w:right="12" w:hanging="407"/>
              <w:rPr>
                <w:sz w:val="21"/>
              </w:rPr>
            </w:pPr>
            <w:r>
              <w:rPr>
                <w:spacing w:val="-1"/>
                <w:sz w:val="21"/>
              </w:rPr>
              <w:t>二、自本附加合同中止之日起满</w:t>
            </w:r>
            <w:r>
              <w:rPr>
                <w:sz w:val="21"/>
              </w:rPr>
              <w:t>2</w:t>
            </w:r>
            <w:r>
              <w:rPr>
                <w:spacing w:val="-15"/>
                <w:sz w:val="21"/>
              </w:rPr>
              <w:t> 年您和我们未达成协议的，我们有权解除合同。</w:t>
            </w:r>
            <w:r>
              <w:rPr>
                <w:spacing w:val="-3"/>
                <w:sz w:val="21"/>
              </w:rPr>
              <w:t>我们解除合同的，向您退还本附加合同中止时的现金价值。</w:t>
            </w:r>
          </w:p>
        </w:tc>
      </w:tr>
      <w:tr>
        <w:trPr>
          <w:trHeight w:val="710" w:hRule="atLeast"/>
        </w:trPr>
        <w:tc>
          <w:tcPr>
            <w:tcW w:w="673" w:type="dxa"/>
            <w:tcBorders>
              <w:bottom w:val="single" w:sz="8" w:space="0" w:color="000000"/>
            </w:tcBorders>
          </w:tcPr>
          <w:p>
            <w:pPr>
              <w:pStyle w:val="TableParagraph"/>
              <w:spacing w:before="151"/>
              <w:ind w:left="110"/>
              <w:rPr>
                <w:rFonts w:ascii="Arial" w:hAnsi="Arial"/>
                <w:b/>
                <w:sz w:val="40"/>
              </w:rPr>
            </w:pPr>
            <w:r>
              <w:rPr>
                <w:rFonts w:ascii="Arial" w:hAnsi="Arial"/>
                <w:b/>
                <w:w w:val="119"/>
                <w:sz w:val="40"/>
              </w:rPr>
              <w:t></w:t>
            </w:r>
          </w:p>
        </w:tc>
        <w:tc>
          <w:tcPr>
            <w:tcW w:w="1980" w:type="dxa"/>
            <w:tcBorders>
              <w:bottom w:val="single" w:sz="8" w:space="0" w:color="000000"/>
            </w:tcBorders>
          </w:tcPr>
          <w:p>
            <w:pPr>
              <w:pStyle w:val="TableParagraph"/>
              <w:spacing w:before="202"/>
              <w:ind w:left="225"/>
              <w:rPr>
                <w:b/>
                <w:sz w:val="24"/>
              </w:rPr>
            </w:pPr>
            <w:r>
              <w:rPr>
                <w:b/>
                <w:w w:val="95"/>
                <w:sz w:val="24"/>
              </w:rPr>
              <w:t>合同解除和变更</w:t>
            </w:r>
          </w:p>
        </w:tc>
        <w:tc>
          <w:tcPr>
            <w:tcW w:w="7614" w:type="dxa"/>
            <w:tcBorders>
              <w:bottom w:val="single" w:sz="8" w:space="0" w:color="000000"/>
            </w:tcBorders>
          </w:tcPr>
          <w:p>
            <w:pPr>
              <w:pStyle w:val="TableParagraph"/>
              <w:ind w:left="0"/>
              <w:rPr>
                <w:rFonts w:ascii="Times New Roman"/>
                <w:sz w:val="20"/>
              </w:rPr>
            </w:pPr>
          </w:p>
        </w:tc>
      </w:tr>
      <w:tr>
        <w:trPr>
          <w:trHeight w:val="2819" w:hRule="atLeast"/>
        </w:trPr>
        <w:tc>
          <w:tcPr>
            <w:tcW w:w="673" w:type="dxa"/>
            <w:tcBorders>
              <w:top w:val="single" w:sz="8" w:space="0" w:color="000000"/>
            </w:tcBorders>
          </w:tcPr>
          <w:p>
            <w:pPr>
              <w:pStyle w:val="TableParagraph"/>
              <w:spacing w:before="12"/>
              <w:ind w:left="0"/>
              <w:rPr>
                <w:sz w:val="14"/>
              </w:rPr>
            </w:pPr>
          </w:p>
          <w:p>
            <w:pPr>
              <w:pStyle w:val="TableParagraph"/>
              <w:ind w:left="110"/>
              <w:rPr>
                <w:b/>
                <w:sz w:val="21"/>
              </w:rPr>
            </w:pPr>
            <w:r>
              <w:rPr>
                <w:b/>
                <w:sz w:val="21"/>
              </w:rPr>
              <w:t>7.1</w:t>
            </w:r>
          </w:p>
        </w:tc>
        <w:tc>
          <w:tcPr>
            <w:tcW w:w="1980" w:type="dxa"/>
            <w:tcBorders>
              <w:top w:val="single" w:sz="8" w:space="0" w:color="000000"/>
            </w:tcBorders>
          </w:tcPr>
          <w:p>
            <w:pPr>
              <w:pStyle w:val="TableParagraph"/>
              <w:spacing w:before="12"/>
              <w:ind w:left="0"/>
              <w:rPr>
                <w:sz w:val="14"/>
              </w:rPr>
            </w:pPr>
          </w:p>
          <w:p>
            <w:pPr>
              <w:pStyle w:val="TableParagraph"/>
              <w:spacing w:line="273" w:lineRule="auto"/>
              <w:ind w:left="225" w:right="63"/>
              <w:rPr>
                <w:b/>
                <w:sz w:val="21"/>
              </w:rPr>
            </w:pPr>
            <w:r>
              <w:rPr>
                <w:b/>
                <w:sz w:val="21"/>
              </w:rPr>
              <w:t>您解除合同的手续及风险</w:t>
            </w:r>
          </w:p>
        </w:tc>
        <w:tc>
          <w:tcPr>
            <w:tcW w:w="7614" w:type="dxa"/>
            <w:tcBorders>
              <w:top w:val="single" w:sz="8" w:space="0" w:color="000000"/>
            </w:tcBorders>
          </w:tcPr>
          <w:p>
            <w:pPr>
              <w:pStyle w:val="TableParagraph"/>
              <w:spacing w:before="12"/>
              <w:ind w:left="0"/>
              <w:rPr>
                <w:sz w:val="14"/>
              </w:rPr>
            </w:pPr>
          </w:p>
          <w:p>
            <w:pPr>
              <w:pStyle w:val="TableParagraph"/>
              <w:spacing w:line="273" w:lineRule="auto"/>
              <w:ind w:left="595" w:right="74" w:hanging="421"/>
              <w:rPr>
                <w:sz w:val="21"/>
              </w:rPr>
            </w:pPr>
            <w:r>
              <w:rPr>
                <w:sz w:val="21"/>
              </w:rPr>
              <w:t>一、若您在犹豫期后申请解除本附加合同，请填写解除合同申请书并向我们提供下列资料：</w:t>
            </w:r>
          </w:p>
          <w:p>
            <w:pPr>
              <w:pStyle w:val="TableParagraph"/>
              <w:spacing w:before="7"/>
              <w:ind w:left="522"/>
              <w:rPr>
                <w:sz w:val="21"/>
              </w:rPr>
            </w:pPr>
            <w:r>
              <w:rPr>
                <w:sz w:val="21"/>
              </w:rPr>
              <w:t>(一) 保险合同；</w:t>
            </w:r>
          </w:p>
          <w:p>
            <w:pPr>
              <w:pStyle w:val="TableParagraph"/>
              <w:spacing w:before="37"/>
              <w:ind w:left="522"/>
              <w:rPr>
                <w:sz w:val="21"/>
              </w:rPr>
            </w:pPr>
            <w:r>
              <w:rPr>
                <w:sz w:val="21"/>
              </w:rPr>
              <w:t>(二) 您的有效身份证件。</w:t>
            </w:r>
          </w:p>
          <w:p>
            <w:pPr>
              <w:pStyle w:val="TableParagraph"/>
              <w:spacing w:line="273" w:lineRule="auto" w:before="37"/>
              <w:ind w:left="595" w:right="78" w:hanging="421"/>
              <w:rPr>
                <w:sz w:val="21"/>
              </w:rPr>
            </w:pPr>
            <w:r>
              <w:rPr>
                <w:sz w:val="21"/>
              </w:rPr>
              <w:t>二、自我们收到解除合同申请书时起，本附加合同终止。我们自收到解除合同申请书之日起 30 日内退还本附加合同的现金价值。</w:t>
            </w:r>
          </w:p>
          <w:p>
            <w:pPr>
              <w:pStyle w:val="TableParagraph"/>
              <w:spacing w:line="273" w:lineRule="auto" w:before="7"/>
              <w:ind w:left="174" w:right="3231"/>
              <w:rPr>
                <w:sz w:val="21"/>
              </w:rPr>
            </w:pPr>
            <w:r>
              <w:rPr>
                <w:sz w:val="21"/>
              </w:rPr>
              <w:t>三、您在犹豫期后解除合同会遭受一定损失。四、本附加合同须与主合同同时解除。</w:t>
            </w:r>
          </w:p>
        </w:tc>
      </w:tr>
      <w:tr>
        <w:trPr>
          <w:trHeight w:val="1162" w:hRule="atLeast"/>
        </w:trPr>
        <w:tc>
          <w:tcPr>
            <w:tcW w:w="673" w:type="dxa"/>
          </w:tcPr>
          <w:p>
            <w:pPr>
              <w:pStyle w:val="TableParagraph"/>
              <w:spacing w:before="100"/>
              <w:ind w:left="110"/>
              <w:rPr>
                <w:b/>
                <w:sz w:val="21"/>
              </w:rPr>
            </w:pPr>
            <w:r>
              <w:rPr>
                <w:b/>
                <w:sz w:val="21"/>
              </w:rPr>
              <w:t>7.2</w:t>
            </w:r>
          </w:p>
        </w:tc>
        <w:tc>
          <w:tcPr>
            <w:tcW w:w="1980" w:type="dxa"/>
          </w:tcPr>
          <w:p>
            <w:pPr>
              <w:pStyle w:val="TableParagraph"/>
              <w:spacing w:before="100"/>
              <w:ind w:left="225"/>
              <w:rPr>
                <w:b/>
                <w:sz w:val="21"/>
              </w:rPr>
            </w:pPr>
            <w:r>
              <w:rPr>
                <w:b/>
                <w:sz w:val="21"/>
              </w:rPr>
              <w:t>合同变更</w:t>
            </w:r>
          </w:p>
        </w:tc>
        <w:tc>
          <w:tcPr>
            <w:tcW w:w="7614" w:type="dxa"/>
          </w:tcPr>
          <w:p>
            <w:pPr>
              <w:pStyle w:val="TableParagraph"/>
              <w:spacing w:line="273" w:lineRule="auto" w:before="100"/>
              <w:ind w:left="174" w:right="118"/>
              <w:jc w:val="both"/>
              <w:rPr>
                <w:sz w:val="21"/>
              </w:rPr>
            </w:pPr>
            <w:r>
              <w:rPr>
                <w:spacing w:val="-6"/>
                <w:sz w:val="21"/>
              </w:rPr>
              <w:t>本附加合同生效后，如您需变更本附加合同的内容，应当向我们提出变更合同的</w:t>
            </w:r>
            <w:r>
              <w:rPr>
                <w:spacing w:val="-8"/>
                <w:sz w:val="21"/>
              </w:rPr>
              <w:t>申请，在您与我们达成一致后，可以对合同约定事项进行变更，变更可以用在保</w:t>
            </w:r>
            <w:r>
              <w:rPr>
                <w:spacing w:val="-5"/>
                <w:sz w:val="21"/>
              </w:rPr>
              <w:t>险合同上批注、附贴批单的方式进行。</w:t>
            </w:r>
          </w:p>
        </w:tc>
      </w:tr>
      <w:tr>
        <w:trPr>
          <w:trHeight w:val="374" w:hRule="atLeast"/>
        </w:trPr>
        <w:tc>
          <w:tcPr>
            <w:tcW w:w="673" w:type="dxa"/>
          </w:tcPr>
          <w:p>
            <w:pPr>
              <w:pStyle w:val="TableParagraph"/>
              <w:spacing w:line="255" w:lineRule="exact" w:before="99"/>
              <w:ind w:left="110"/>
              <w:rPr>
                <w:b/>
                <w:sz w:val="21"/>
              </w:rPr>
            </w:pPr>
            <w:r>
              <w:rPr>
                <w:b/>
                <w:sz w:val="21"/>
              </w:rPr>
              <w:t>7.3</w:t>
            </w:r>
          </w:p>
        </w:tc>
        <w:tc>
          <w:tcPr>
            <w:tcW w:w="1980" w:type="dxa"/>
          </w:tcPr>
          <w:p>
            <w:pPr>
              <w:pStyle w:val="TableParagraph"/>
              <w:spacing w:line="255" w:lineRule="exact" w:before="99"/>
              <w:ind w:left="225"/>
              <w:rPr>
                <w:b/>
                <w:sz w:val="21"/>
              </w:rPr>
            </w:pPr>
            <w:r>
              <w:rPr>
                <w:b/>
                <w:sz w:val="21"/>
              </w:rPr>
              <w:t>联系方式变更</w:t>
            </w:r>
          </w:p>
        </w:tc>
        <w:tc>
          <w:tcPr>
            <w:tcW w:w="7614" w:type="dxa"/>
          </w:tcPr>
          <w:p>
            <w:pPr>
              <w:pStyle w:val="TableParagraph"/>
              <w:spacing w:line="255" w:lineRule="exact" w:before="99"/>
              <w:ind w:left="174"/>
              <w:rPr>
                <w:sz w:val="21"/>
              </w:rPr>
            </w:pPr>
            <w:r>
              <w:rPr>
                <w:sz w:val="21"/>
              </w:rPr>
              <w:t>为保障您的合法权益，您的住所、通讯地址或电话等联系方式变更时，请及时以</w:t>
            </w:r>
          </w:p>
        </w:tc>
      </w:tr>
    </w:tbl>
    <w:p>
      <w:pPr>
        <w:spacing w:after="0" w:line="255" w:lineRule="exact"/>
        <w:rPr>
          <w:sz w:val="21"/>
        </w:rPr>
        <w:sectPr>
          <w:pgSz w:w="11910" w:h="16840"/>
          <w:pgMar w:header="0" w:footer="358" w:top="1160" w:bottom="540" w:left="680" w:right="74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6"/>
        <w:gridCol w:w="2019"/>
        <w:gridCol w:w="7558"/>
      </w:tblGrid>
      <w:tr>
        <w:trPr>
          <w:trHeight w:val="1066" w:hRule="atLeast"/>
        </w:trPr>
        <w:tc>
          <w:tcPr>
            <w:tcW w:w="676" w:type="dxa"/>
          </w:tcPr>
          <w:p>
            <w:pPr>
              <w:pStyle w:val="TableParagraph"/>
              <w:ind w:left="0"/>
              <w:rPr>
                <w:rFonts w:ascii="Times New Roman"/>
                <w:sz w:val="20"/>
              </w:rPr>
            </w:pPr>
          </w:p>
        </w:tc>
        <w:tc>
          <w:tcPr>
            <w:tcW w:w="2019" w:type="dxa"/>
          </w:tcPr>
          <w:p>
            <w:pPr>
              <w:pStyle w:val="TableParagraph"/>
              <w:ind w:left="0"/>
              <w:rPr>
                <w:rFonts w:ascii="Times New Roman"/>
                <w:sz w:val="20"/>
              </w:rPr>
            </w:pPr>
          </w:p>
        </w:tc>
        <w:tc>
          <w:tcPr>
            <w:tcW w:w="7558" w:type="dxa"/>
          </w:tcPr>
          <w:p>
            <w:pPr>
              <w:pStyle w:val="TableParagraph"/>
              <w:spacing w:line="211" w:lineRule="exact"/>
              <w:ind w:left="132"/>
              <w:rPr>
                <w:sz w:val="21"/>
              </w:rPr>
            </w:pPr>
            <w:r>
              <w:rPr>
                <w:sz w:val="21"/>
              </w:rPr>
              <w:t>书面形式或双方认可的其他形式通知我们。若您未以书面形式或双方认可的其他</w:t>
            </w:r>
          </w:p>
          <w:p>
            <w:pPr>
              <w:pStyle w:val="TableParagraph"/>
              <w:spacing w:line="273" w:lineRule="auto" w:before="37"/>
              <w:ind w:left="132" w:right="68"/>
              <w:rPr>
                <w:sz w:val="21"/>
              </w:rPr>
            </w:pPr>
            <w:r>
              <w:rPr>
                <w:sz w:val="21"/>
              </w:rPr>
              <w:t>形式通知我们，我们按本附加合同载明的最后住所或通讯地址发送的有关通知， 均视为已送达给您。</w:t>
            </w:r>
          </w:p>
        </w:tc>
      </w:tr>
      <w:tr>
        <w:trPr>
          <w:trHeight w:val="701" w:hRule="atLeast"/>
        </w:trPr>
        <w:tc>
          <w:tcPr>
            <w:tcW w:w="676" w:type="dxa"/>
            <w:tcBorders>
              <w:bottom w:val="single" w:sz="4" w:space="0" w:color="000000"/>
            </w:tcBorders>
          </w:tcPr>
          <w:p>
            <w:pPr>
              <w:pStyle w:val="TableParagraph"/>
              <w:spacing w:before="194"/>
              <w:ind w:left="110"/>
              <w:rPr>
                <w:rFonts w:ascii="Arial" w:hAnsi="Arial"/>
                <w:b/>
                <w:sz w:val="40"/>
              </w:rPr>
            </w:pPr>
            <w:r>
              <w:rPr>
                <w:rFonts w:ascii="Arial" w:hAnsi="Arial"/>
                <w:b/>
                <w:w w:val="119"/>
                <w:sz w:val="40"/>
              </w:rPr>
              <w:t></w:t>
            </w:r>
          </w:p>
        </w:tc>
        <w:tc>
          <w:tcPr>
            <w:tcW w:w="9577" w:type="dxa"/>
            <w:gridSpan w:val="2"/>
            <w:tcBorders>
              <w:bottom w:val="single" w:sz="4" w:space="0" w:color="000000"/>
            </w:tcBorders>
          </w:tcPr>
          <w:p>
            <w:pPr>
              <w:pStyle w:val="TableParagraph"/>
              <w:spacing w:before="10"/>
              <w:ind w:left="0"/>
              <w:rPr>
                <w:sz w:val="16"/>
              </w:rPr>
            </w:pPr>
          </w:p>
          <w:p>
            <w:pPr>
              <w:pStyle w:val="TableParagraph"/>
              <w:ind w:left="222"/>
              <w:rPr>
                <w:b/>
                <w:sz w:val="24"/>
              </w:rPr>
            </w:pPr>
            <w:r>
              <w:rPr>
                <w:b/>
                <w:w w:val="95"/>
                <w:sz w:val="24"/>
              </w:rPr>
              <w:t>明确说明与如实告知</w:t>
            </w:r>
          </w:p>
        </w:tc>
      </w:tr>
      <w:tr>
        <w:trPr>
          <w:trHeight w:val="1620" w:hRule="atLeast"/>
        </w:trPr>
        <w:tc>
          <w:tcPr>
            <w:tcW w:w="676" w:type="dxa"/>
            <w:tcBorders>
              <w:top w:val="single" w:sz="4" w:space="0" w:color="000000"/>
            </w:tcBorders>
          </w:tcPr>
          <w:p>
            <w:pPr>
              <w:pStyle w:val="TableParagraph"/>
              <w:spacing w:before="7"/>
              <w:ind w:left="0"/>
              <w:rPr>
                <w:sz w:val="15"/>
              </w:rPr>
            </w:pPr>
          </w:p>
          <w:p>
            <w:pPr>
              <w:pStyle w:val="TableParagraph"/>
              <w:ind w:left="110"/>
              <w:rPr>
                <w:b/>
                <w:sz w:val="21"/>
              </w:rPr>
            </w:pPr>
            <w:r>
              <w:rPr>
                <w:b/>
                <w:sz w:val="21"/>
              </w:rPr>
              <w:t>8.1</w:t>
            </w:r>
          </w:p>
        </w:tc>
        <w:tc>
          <w:tcPr>
            <w:tcW w:w="2019" w:type="dxa"/>
            <w:tcBorders>
              <w:top w:val="single" w:sz="4" w:space="0" w:color="000000"/>
            </w:tcBorders>
          </w:tcPr>
          <w:p>
            <w:pPr>
              <w:pStyle w:val="TableParagraph"/>
              <w:spacing w:before="7"/>
              <w:ind w:left="0"/>
              <w:rPr>
                <w:sz w:val="15"/>
              </w:rPr>
            </w:pPr>
          </w:p>
          <w:p>
            <w:pPr>
              <w:pStyle w:val="TableParagraph"/>
              <w:ind w:left="222"/>
              <w:rPr>
                <w:b/>
                <w:sz w:val="21"/>
              </w:rPr>
            </w:pPr>
            <w:r>
              <w:rPr>
                <w:b/>
                <w:sz w:val="21"/>
              </w:rPr>
              <w:t>明确说明</w:t>
            </w:r>
          </w:p>
        </w:tc>
        <w:tc>
          <w:tcPr>
            <w:tcW w:w="7558" w:type="dxa"/>
            <w:tcBorders>
              <w:top w:val="single" w:sz="4" w:space="0" w:color="000000"/>
            </w:tcBorders>
          </w:tcPr>
          <w:p>
            <w:pPr>
              <w:pStyle w:val="TableParagraph"/>
              <w:spacing w:before="7"/>
              <w:ind w:left="0"/>
              <w:rPr>
                <w:sz w:val="15"/>
              </w:rPr>
            </w:pPr>
          </w:p>
          <w:p>
            <w:pPr>
              <w:pStyle w:val="TableParagraph"/>
              <w:ind w:left="132"/>
              <w:rPr>
                <w:sz w:val="21"/>
              </w:rPr>
            </w:pPr>
            <w:r>
              <w:rPr>
                <w:sz w:val="21"/>
              </w:rPr>
              <w:t>一、订立本附加合同时，我们应向您说明本附加合同的内容。</w:t>
            </w:r>
          </w:p>
          <w:p>
            <w:pPr>
              <w:pStyle w:val="TableParagraph"/>
              <w:spacing w:line="273" w:lineRule="auto" w:before="37"/>
              <w:ind w:left="553" w:right="2" w:hanging="421"/>
              <w:jc w:val="both"/>
              <w:rPr>
                <w:sz w:val="21"/>
              </w:rPr>
            </w:pPr>
            <w:r>
              <w:rPr>
                <w:spacing w:val="-6"/>
                <w:sz w:val="21"/>
              </w:rPr>
              <w:t>二、对保险条款中免除我们责任的条款，我们在订立合同时应当在投保单、保险单或其他保险凭证上作出足以引起您注意的提示，并对该条款的内容以书面</w:t>
            </w:r>
            <w:r>
              <w:rPr>
                <w:spacing w:val="-12"/>
                <w:sz w:val="21"/>
              </w:rPr>
              <w:t>或口头形式向您作出明确说明，未作提示或明确说明的，该条款不产生效力。</w:t>
            </w:r>
          </w:p>
        </w:tc>
      </w:tr>
      <w:tr>
        <w:trPr>
          <w:trHeight w:val="3389" w:hRule="atLeast"/>
        </w:trPr>
        <w:tc>
          <w:tcPr>
            <w:tcW w:w="676" w:type="dxa"/>
          </w:tcPr>
          <w:p>
            <w:pPr>
              <w:pStyle w:val="TableParagraph"/>
              <w:spacing w:before="142"/>
              <w:ind w:left="110"/>
              <w:rPr>
                <w:b/>
                <w:sz w:val="21"/>
              </w:rPr>
            </w:pPr>
            <w:r>
              <w:rPr>
                <w:b/>
                <w:sz w:val="21"/>
              </w:rPr>
              <w:t>8.2</w:t>
            </w:r>
          </w:p>
        </w:tc>
        <w:tc>
          <w:tcPr>
            <w:tcW w:w="2019" w:type="dxa"/>
          </w:tcPr>
          <w:p>
            <w:pPr>
              <w:pStyle w:val="TableParagraph"/>
              <w:spacing w:before="142"/>
              <w:ind w:left="222"/>
              <w:rPr>
                <w:b/>
                <w:sz w:val="21"/>
              </w:rPr>
            </w:pPr>
            <w:r>
              <w:rPr>
                <w:b/>
                <w:sz w:val="21"/>
              </w:rPr>
              <w:t>如实告知</w:t>
            </w:r>
          </w:p>
        </w:tc>
        <w:tc>
          <w:tcPr>
            <w:tcW w:w="7558" w:type="dxa"/>
          </w:tcPr>
          <w:p>
            <w:pPr>
              <w:pStyle w:val="TableParagraph"/>
              <w:spacing w:before="142"/>
              <w:ind w:left="132"/>
              <w:rPr>
                <w:sz w:val="21"/>
              </w:rPr>
            </w:pPr>
            <w:r>
              <w:rPr>
                <w:sz w:val="21"/>
              </w:rPr>
              <w:t>一、我们就您和被保险人的有关情况提出询问的，您应当如实告知。</w:t>
            </w:r>
          </w:p>
          <w:p>
            <w:pPr>
              <w:pStyle w:val="TableParagraph"/>
              <w:spacing w:line="273" w:lineRule="auto" w:before="36"/>
              <w:ind w:left="553" w:right="103" w:hanging="421"/>
              <w:jc w:val="both"/>
              <w:rPr>
                <w:sz w:val="21"/>
              </w:rPr>
            </w:pPr>
            <w:r>
              <w:rPr>
                <w:spacing w:val="-5"/>
                <w:sz w:val="21"/>
              </w:rPr>
              <w:t>二、若您故意或因重大过失未履行前款规定的如实告知义务，足以影响我们决定</w:t>
            </w:r>
            <w:r>
              <w:rPr>
                <w:spacing w:val="-3"/>
                <w:sz w:val="21"/>
              </w:rPr>
              <w:t>是否同意承保或提高保险费率的，我们有权解除本附加合同。</w:t>
            </w:r>
          </w:p>
          <w:p>
            <w:pPr>
              <w:pStyle w:val="TableParagraph"/>
              <w:spacing w:line="259" w:lineRule="auto"/>
              <w:ind w:left="553" w:right="107" w:hanging="421"/>
              <w:jc w:val="both"/>
              <w:rPr>
                <w:sz w:val="21"/>
              </w:rPr>
            </w:pPr>
            <w:r>
              <w:rPr>
                <w:w w:val="95"/>
                <w:sz w:val="21"/>
              </w:rPr>
              <w:t>三、</w:t>
            </w:r>
            <w:r>
              <w:rPr>
                <w:rFonts w:ascii="黑体" w:eastAsia="黑体" w:hint="eastAsia"/>
                <w:b/>
                <w:i/>
                <w:spacing w:val="-5"/>
                <w:w w:val="95"/>
                <w:sz w:val="22"/>
              </w:rPr>
              <w:t>若您故意不履行如实告知义务，对于本附加合同解除前发</w:t>
            </w:r>
            <w:r>
              <w:rPr>
                <w:rFonts w:ascii="黑体" w:eastAsia="黑体" w:hint="eastAsia"/>
                <w:b/>
                <w:i/>
                <w:w w:val="95"/>
                <w:sz w:val="22"/>
              </w:rPr>
              <w:t>Th</w:t>
            </w:r>
            <w:r>
              <w:rPr>
                <w:rFonts w:ascii="黑体" w:eastAsia="黑体" w:hint="eastAsia"/>
                <w:b/>
                <w:i/>
                <w:spacing w:val="-6"/>
                <w:w w:val="95"/>
                <w:sz w:val="22"/>
              </w:rPr>
              <w:t>的保险事故，我</w:t>
            </w:r>
            <w:r>
              <w:rPr>
                <w:rFonts w:ascii="黑体" w:eastAsia="黑体" w:hint="eastAsia"/>
                <w:b/>
                <w:i/>
                <w:spacing w:val="-3"/>
                <w:w w:val="95"/>
                <w:sz w:val="22"/>
              </w:rPr>
              <w:t>们不承担给付保险金的责任</w:t>
            </w:r>
            <w:r>
              <w:rPr>
                <w:spacing w:val="-3"/>
                <w:w w:val="95"/>
                <w:sz w:val="21"/>
              </w:rPr>
              <w:t>，并不退还保险费。</w:t>
            </w:r>
          </w:p>
          <w:p>
            <w:pPr>
              <w:pStyle w:val="TableParagraph"/>
              <w:spacing w:line="264" w:lineRule="auto" w:before="10"/>
              <w:ind w:left="553" w:right="106" w:hanging="421"/>
              <w:jc w:val="both"/>
              <w:rPr>
                <w:sz w:val="21"/>
              </w:rPr>
            </w:pPr>
            <w:r>
              <w:rPr>
                <w:w w:val="95"/>
                <w:sz w:val="21"/>
              </w:rPr>
              <w:t>四、</w:t>
            </w:r>
            <w:r>
              <w:rPr>
                <w:rFonts w:ascii="黑体" w:eastAsia="黑体" w:hint="eastAsia"/>
                <w:b/>
                <w:i/>
                <w:spacing w:val="-4"/>
                <w:w w:val="95"/>
                <w:sz w:val="22"/>
              </w:rPr>
              <w:t>若您因重大过失未履行如实告知义务，对保险事故的发</w:t>
            </w:r>
            <w:r>
              <w:rPr>
                <w:rFonts w:ascii="黑体" w:eastAsia="黑体" w:hint="eastAsia"/>
                <w:b/>
                <w:i/>
                <w:w w:val="95"/>
                <w:sz w:val="22"/>
              </w:rPr>
              <w:t>Th</w:t>
            </w:r>
            <w:r>
              <w:rPr>
                <w:rFonts w:ascii="黑体" w:eastAsia="黑体" w:hint="eastAsia"/>
                <w:b/>
                <w:i/>
                <w:spacing w:val="-6"/>
                <w:w w:val="95"/>
                <w:sz w:val="22"/>
              </w:rPr>
              <w:t>有严重影响的，对于本附加合同解除前发</w:t>
            </w:r>
            <w:r>
              <w:rPr>
                <w:rFonts w:ascii="黑体" w:eastAsia="黑体" w:hint="eastAsia"/>
                <w:b/>
                <w:i/>
                <w:w w:val="95"/>
                <w:sz w:val="22"/>
              </w:rPr>
              <w:t>Th</w:t>
            </w:r>
            <w:r>
              <w:rPr>
                <w:rFonts w:ascii="黑体" w:eastAsia="黑体" w:hint="eastAsia"/>
                <w:b/>
                <w:i/>
                <w:spacing w:val="-6"/>
                <w:w w:val="95"/>
                <w:sz w:val="22"/>
              </w:rPr>
              <w:t>的保险事故，我们不承担给付保险金的责任</w:t>
            </w:r>
            <w:r>
              <w:rPr>
                <w:spacing w:val="-12"/>
                <w:w w:val="95"/>
                <w:sz w:val="21"/>
              </w:rPr>
              <w:t>，但应</w:t>
            </w:r>
            <w:r>
              <w:rPr>
                <w:spacing w:val="-6"/>
                <w:sz w:val="21"/>
              </w:rPr>
              <w:t>当退还保险费。</w:t>
            </w:r>
          </w:p>
          <w:p>
            <w:pPr>
              <w:pStyle w:val="TableParagraph"/>
              <w:spacing w:line="273" w:lineRule="auto" w:before="16"/>
              <w:ind w:left="553" w:right="104" w:hanging="421"/>
              <w:jc w:val="both"/>
              <w:rPr>
                <w:sz w:val="21"/>
              </w:rPr>
            </w:pPr>
            <w:r>
              <w:rPr>
                <w:spacing w:val="-5"/>
                <w:sz w:val="21"/>
              </w:rPr>
              <w:t>五、我们在本附加合同订立时已经知道您未如实告知的情况的，我们不得解除合</w:t>
            </w:r>
            <w:r>
              <w:rPr>
                <w:spacing w:val="-4"/>
                <w:sz w:val="21"/>
              </w:rPr>
              <w:t>同；发生保险事故的，我们承担给付保险金的责任。</w:t>
            </w:r>
          </w:p>
        </w:tc>
      </w:tr>
      <w:tr>
        <w:trPr>
          <w:trHeight w:val="1187" w:hRule="atLeast"/>
        </w:trPr>
        <w:tc>
          <w:tcPr>
            <w:tcW w:w="676" w:type="dxa"/>
          </w:tcPr>
          <w:p>
            <w:pPr>
              <w:pStyle w:val="TableParagraph"/>
              <w:spacing w:before="99"/>
              <w:ind w:left="110"/>
              <w:rPr>
                <w:b/>
                <w:sz w:val="21"/>
              </w:rPr>
            </w:pPr>
            <w:r>
              <w:rPr>
                <w:b/>
                <w:sz w:val="21"/>
              </w:rPr>
              <w:t>8.3</w:t>
            </w:r>
          </w:p>
        </w:tc>
        <w:tc>
          <w:tcPr>
            <w:tcW w:w="2019" w:type="dxa"/>
          </w:tcPr>
          <w:p>
            <w:pPr>
              <w:pStyle w:val="TableParagraph"/>
              <w:spacing w:line="273" w:lineRule="auto" w:before="99"/>
              <w:ind w:left="222" w:right="105"/>
              <w:rPr>
                <w:b/>
                <w:sz w:val="21"/>
              </w:rPr>
            </w:pPr>
            <w:r>
              <w:rPr>
                <w:b/>
                <w:sz w:val="21"/>
              </w:rPr>
              <w:t>本公司合同解除权的限制</w:t>
            </w:r>
          </w:p>
        </w:tc>
        <w:tc>
          <w:tcPr>
            <w:tcW w:w="7558" w:type="dxa"/>
          </w:tcPr>
          <w:p>
            <w:pPr>
              <w:pStyle w:val="TableParagraph"/>
              <w:spacing w:before="99"/>
              <w:ind w:left="132"/>
              <w:rPr>
                <w:sz w:val="21"/>
              </w:rPr>
            </w:pPr>
            <w:r>
              <w:rPr>
                <w:sz w:val="21"/>
              </w:rPr>
              <w:t>前款约定的合同解除权，自我们知道有解除事由之日起，超过 30 日不行使而消</w:t>
            </w:r>
          </w:p>
          <w:p>
            <w:pPr>
              <w:pStyle w:val="TableParagraph"/>
              <w:spacing w:line="273" w:lineRule="auto" w:before="36"/>
              <w:ind w:left="132"/>
              <w:rPr>
                <w:sz w:val="21"/>
              </w:rPr>
            </w:pPr>
            <w:r>
              <w:rPr>
                <w:spacing w:val="-10"/>
                <w:sz w:val="21"/>
              </w:rPr>
              <w:t>灭。自本附加合同成立之日起超过 </w:t>
            </w:r>
            <w:r>
              <w:rPr>
                <w:sz w:val="21"/>
              </w:rPr>
              <w:t>2</w:t>
            </w:r>
            <w:r>
              <w:rPr>
                <w:spacing w:val="-14"/>
                <w:sz w:val="21"/>
              </w:rPr>
              <w:t> 年的，我们不得解除合同；发生保险事故的， </w:t>
            </w:r>
            <w:r>
              <w:rPr>
                <w:spacing w:val="-7"/>
                <w:sz w:val="21"/>
              </w:rPr>
              <w:t>我们承担给付保险金的责任。</w:t>
            </w:r>
          </w:p>
        </w:tc>
      </w:tr>
      <w:tr>
        <w:trPr>
          <w:trHeight w:val="732" w:hRule="atLeast"/>
        </w:trPr>
        <w:tc>
          <w:tcPr>
            <w:tcW w:w="676" w:type="dxa"/>
          </w:tcPr>
          <w:p>
            <w:pPr>
              <w:pStyle w:val="TableParagraph"/>
              <w:spacing w:before="152"/>
              <w:ind w:left="110"/>
              <w:rPr>
                <w:rFonts w:ascii="Arial" w:hAnsi="Arial"/>
                <w:b/>
                <w:sz w:val="40"/>
              </w:rPr>
            </w:pPr>
            <w:r>
              <w:rPr>
                <w:rFonts w:ascii="Arial" w:hAnsi="Arial"/>
                <w:b/>
                <w:w w:val="119"/>
                <w:sz w:val="40"/>
              </w:rPr>
              <w:t></w:t>
            </w:r>
          </w:p>
        </w:tc>
        <w:tc>
          <w:tcPr>
            <w:tcW w:w="9577" w:type="dxa"/>
            <w:gridSpan w:val="2"/>
          </w:tcPr>
          <w:p>
            <w:pPr>
              <w:pStyle w:val="TableParagraph"/>
              <w:spacing w:before="134"/>
              <w:ind w:left="207"/>
              <w:rPr>
                <w:b/>
                <w:sz w:val="24"/>
              </w:rPr>
            </w:pPr>
            <w:r>
              <w:rPr>
                <w:b/>
                <w:w w:val="95"/>
                <w:sz w:val="24"/>
              </w:rPr>
              <w:t>其他需要关注的事项</w:t>
            </w:r>
          </w:p>
        </w:tc>
      </w:tr>
      <w:tr>
        <w:trPr>
          <w:trHeight w:val="3615" w:hRule="atLeast"/>
        </w:trPr>
        <w:tc>
          <w:tcPr>
            <w:tcW w:w="676" w:type="dxa"/>
          </w:tcPr>
          <w:p>
            <w:pPr>
              <w:pStyle w:val="TableParagraph"/>
              <w:spacing w:before="56"/>
              <w:ind w:left="110"/>
              <w:rPr>
                <w:b/>
                <w:sz w:val="21"/>
              </w:rPr>
            </w:pPr>
            <w:r>
              <w:rPr>
                <w:b/>
                <w:sz w:val="21"/>
              </w:rPr>
              <w:t>9.1</w:t>
            </w:r>
          </w:p>
        </w:tc>
        <w:tc>
          <w:tcPr>
            <w:tcW w:w="2019" w:type="dxa"/>
          </w:tcPr>
          <w:p>
            <w:pPr>
              <w:pStyle w:val="TableParagraph"/>
              <w:spacing w:before="56"/>
              <w:ind w:left="207"/>
              <w:rPr>
                <w:b/>
                <w:sz w:val="21"/>
              </w:rPr>
            </w:pPr>
            <w:r>
              <w:rPr>
                <w:b/>
                <w:sz w:val="21"/>
              </w:rPr>
              <w:t>年龄错误</w:t>
            </w:r>
          </w:p>
        </w:tc>
        <w:tc>
          <w:tcPr>
            <w:tcW w:w="7558" w:type="dxa"/>
          </w:tcPr>
          <w:p>
            <w:pPr>
              <w:pStyle w:val="TableParagraph"/>
              <w:spacing w:line="273" w:lineRule="auto" w:before="56"/>
              <w:ind w:left="106" w:right="140"/>
              <w:rPr>
                <w:sz w:val="21"/>
              </w:rPr>
            </w:pPr>
            <w:r>
              <w:rPr>
                <w:spacing w:val="-9"/>
                <w:sz w:val="21"/>
              </w:rPr>
              <w:t>您在申请投保时，应将与有效身份证件相符的被保险人的出生日期在投保单上填</w:t>
            </w:r>
            <w:r>
              <w:rPr>
                <w:spacing w:val="-5"/>
                <w:sz w:val="21"/>
              </w:rPr>
              <w:t>明，若发生错误按照下列方式办理：</w:t>
            </w:r>
          </w:p>
          <w:p>
            <w:pPr>
              <w:pStyle w:val="TableParagraph"/>
              <w:spacing w:line="273" w:lineRule="auto" w:before="7"/>
              <w:ind w:left="562" w:right="140" w:hanging="457"/>
              <w:jc w:val="both"/>
              <w:rPr>
                <w:sz w:val="21"/>
              </w:rPr>
            </w:pPr>
            <w:r>
              <w:rPr>
                <w:spacing w:val="-12"/>
                <w:sz w:val="21"/>
              </w:rPr>
              <w:t>(一) 您申报的被保险人年龄不真实，并且其真实年龄不符合本附加合同约定的投保年龄限制的，在保险事故发生之前我们有权解除本附加合同，并向您退还本附加合同的现金价值。我们行使合同解除权适用“本公司合同解除权的限</w:t>
            </w:r>
            <w:r>
              <w:rPr>
                <w:spacing w:val="-6"/>
                <w:sz w:val="21"/>
              </w:rPr>
              <w:t>制”的约定。</w:t>
            </w:r>
          </w:p>
          <w:p>
            <w:pPr>
              <w:pStyle w:val="TableParagraph"/>
              <w:spacing w:line="273" w:lineRule="auto" w:before="7"/>
              <w:ind w:left="562" w:right="142" w:hanging="457"/>
              <w:jc w:val="both"/>
              <w:rPr>
                <w:sz w:val="21"/>
              </w:rPr>
            </w:pPr>
            <w:r>
              <w:rPr>
                <w:spacing w:val="-10"/>
                <w:sz w:val="21"/>
              </w:rPr>
              <w:t>(二) 您申报的被保险人年龄不真实，致使您实交保险费少于应交保险费的，我们有权更正并要求您补交保险费。若已经发生保险事故，我们在给付保险金时</w:t>
            </w:r>
            <w:r>
              <w:rPr>
                <w:spacing w:val="-5"/>
                <w:sz w:val="21"/>
              </w:rPr>
              <w:t>按实交保险费与应交保险费的比例给付。</w:t>
            </w:r>
          </w:p>
          <w:p>
            <w:pPr>
              <w:pStyle w:val="TableParagraph"/>
              <w:spacing w:line="273" w:lineRule="auto" w:before="7"/>
              <w:ind w:left="562" w:right="142" w:hanging="457"/>
              <w:jc w:val="both"/>
              <w:rPr>
                <w:sz w:val="21"/>
              </w:rPr>
            </w:pPr>
            <w:r>
              <w:rPr>
                <w:spacing w:val="-10"/>
                <w:sz w:val="21"/>
              </w:rPr>
              <w:t>(三) 您申报的被保险人年龄不真实，致使您实交保险费多于应交保险费的，我们</w:t>
            </w:r>
            <w:r>
              <w:rPr>
                <w:spacing w:val="-5"/>
                <w:sz w:val="21"/>
              </w:rPr>
              <w:t>会将多收的保险费退还给您。</w:t>
            </w:r>
          </w:p>
        </w:tc>
      </w:tr>
      <w:tr>
        <w:trPr>
          <w:trHeight w:val="1474" w:hRule="atLeast"/>
        </w:trPr>
        <w:tc>
          <w:tcPr>
            <w:tcW w:w="676" w:type="dxa"/>
          </w:tcPr>
          <w:p>
            <w:pPr>
              <w:pStyle w:val="TableParagraph"/>
              <w:spacing w:before="99"/>
              <w:ind w:left="110"/>
              <w:rPr>
                <w:b/>
                <w:sz w:val="21"/>
              </w:rPr>
            </w:pPr>
            <w:r>
              <w:rPr>
                <w:b/>
                <w:sz w:val="21"/>
              </w:rPr>
              <w:t>9.2</w:t>
            </w:r>
          </w:p>
        </w:tc>
        <w:tc>
          <w:tcPr>
            <w:tcW w:w="2019" w:type="dxa"/>
          </w:tcPr>
          <w:p>
            <w:pPr>
              <w:pStyle w:val="TableParagraph"/>
              <w:spacing w:before="99"/>
              <w:ind w:left="207"/>
              <w:rPr>
                <w:b/>
                <w:sz w:val="21"/>
              </w:rPr>
            </w:pPr>
            <w:r>
              <w:rPr>
                <w:b/>
                <w:sz w:val="21"/>
              </w:rPr>
              <w:t>未还款项</w:t>
            </w:r>
          </w:p>
        </w:tc>
        <w:tc>
          <w:tcPr>
            <w:tcW w:w="7558" w:type="dxa"/>
          </w:tcPr>
          <w:p>
            <w:pPr>
              <w:pStyle w:val="TableParagraph"/>
              <w:spacing w:line="273" w:lineRule="auto" w:before="99"/>
              <w:ind w:left="106" w:right="140"/>
              <w:jc w:val="both"/>
              <w:rPr>
                <w:sz w:val="21"/>
              </w:rPr>
            </w:pPr>
            <w:r>
              <w:rPr>
                <w:spacing w:val="-18"/>
                <w:sz w:val="21"/>
              </w:rPr>
              <w:t>我们在给付各项保险金、退还现金价值或返还保险费时，若您有欠交的保险费</w:t>
            </w:r>
            <w:r>
              <w:rPr>
                <w:spacing w:val="-3"/>
                <w:sz w:val="21"/>
              </w:rPr>
              <w:t>（包含宽限期内欠交的保险费</w:t>
            </w:r>
            <w:r>
              <w:rPr>
                <w:spacing w:val="-24"/>
                <w:sz w:val="21"/>
              </w:rPr>
              <w:t>）</w:t>
            </w:r>
            <w:r>
              <w:rPr>
                <w:spacing w:val="-7"/>
                <w:sz w:val="21"/>
              </w:rPr>
              <w:t>及其利息、未偿还的保单质押借款及其利息或其他未</w:t>
            </w:r>
            <w:r>
              <w:rPr>
                <w:spacing w:val="-8"/>
                <w:sz w:val="21"/>
              </w:rPr>
              <w:t>还款项及其利息，我们将在您偿清上述款项及相关利息后支付保险金、退还现金</w:t>
            </w:r>
            <w:r>
              <w:rPr>
                <w:spacing w:val="-5"/>
                <w:sz w:val="21"/>
              </w:rPr>
              <w:t>价值和返还保险费。</w:t>
            </w:r>
          </w:p>
        </w:tc>
      </w:tr>
      <w:tr>
        <w:trPr>
          <w:trHeight w:val="687" w:hRule="atLeast"/>
        </w:trPr>
        <w:tc>
          <w:tcPr>
            <w:tcW w:w="676" w:type="dxa"/>
          </w:tcPr>
          <w:p>
            <w:pPr>
              <w:pStyle w:val="TableParagraph"/>
              <w:spacing w:before="100"/>
              <w:ind w:left="110"/>
              <w:rPr>
                <w:b/>
                <w:sz w:val="21"/>
              </w:rPr>
            </w:pPr>
            <w:r>
              <w:rPr>
                <w:b/>
                <w:sz w:val="21"/>
              </w:rPr>
              <w:t>9.3</w:t>
            </w:r>
          </w:p>
        </w:tc>
        <w:tc>
          <w:tcPr>
            <w:tcW w:w="2019" w:type="dxa"/>
          </w:tcPr>
          <w:p>
            <w:pPr>
              <w:pStyle w:val="TableParagraph"/>
              <w:spacing w:before="100"/>
              <w:ind w:left="207"/>
              <w:rPr>
                <w:b/>
                <w:sz w:val="21"/>
              </w:rPr>
            </w:pPr>
            <w:r>
              <w:rPr>
                <w:b/>
                <w:sz w:val="21"/>
              </w:rPr>
              <w:t>争议处理</w:t>
            </w:r>
          </w:p>
        </w:tc>
        <w:tc>
          <w:tcPr>
            <w:tcW w:w="7558" w:type="dxa"/>
          </w:tcPr>
          <w:p>
            <w:pPr>
              <w:pStyle w:val="TableParagraph"/>
              <w:spacing w:line="310" w:lineRule="atLeast" w:before="65"/>
              <w:ind w:left="106" w:right="140"/>
              <w:rPr>
                <w:sz w:val="21"/>
              </w:rPr>
            </w:pPr>
            <w:r>
              <w:rPr>
                <w:spacing w:val="-6"/>
                <w:sz w:val="21"/>
              </w:rPr>
              <w:t>在本附加合同履行过程中发生任何争议，当事人应根据本附加合同约定选择下列</w:t>
            </w:r>
            <w:r>
              <w:rPr>
                <w:spacing w:val="-4"/>
                <w:sz w:val="21"/>
              </w:rPr>
              <w:t>两种方式之一予以解决：</w:t>
            </w:r>
          </w:p>
        </w:tc>
      </w:tr>
    </w:tbl>
    <w:p>
      <w:pPr>
        <w:rPr>
          <w:sz w:val="2"/>
          <w:szCs w:val="2"/>
        </w:rPr>
      </w:pPr>
      <w:r>
        <w:rPr/>
        <w:pict>
          <v:group style="position:absolute;margin-left:39pt;margin-top:486.669983pt;width:510.7pt;height:.5pt;mso-position-horizontal-relative:page;mso-position-vertical-relative:page;z-index:-54016" coordorigin="780,9733" coordsize="10214,10">
            <v:line style="position:absolute" from="780,9738" to="1556,9738" stroked="true" strokeweight=".48001pt" strokecolor="#000000">
              <v:stroke dashstyle="solid"/>
            </v:line>
            <v:rect style="position:absolute;left:1555;top:9733;width:10;height:10" filled="true" fillcolor="#000000" stroked="false">
              <v:fill type="solid"/>
            </v:rect>
            <v:line style="position:absolute" from="1565,9738" to="3473,9738" stroked="true" strokeweight=".48001pt" strokecolor="#000000">
              <v:stroke dashstyle="solid"/>
            </v:line>
            <v:rect style="position:absolute;left:3473;top:9733;width:10;height:10" filled="true" fillcolor="#000000" stroked="false">
              <v:fill type="solid"/>
            </v:rect>
            <v:line style="position:absolute" from="3483,9738" to="10994,9738" stroked="true" strokeweight=".48001pt" strokecolor="#000000">
              <v:stroke dashstyle="solid"/>
            </v:line>
            <w10:wrap type="none"/>
          </v:group>
        </w:pict>
      </w:r>
    </w:p>
    <w:p>
      <w:pPr>
        <w:spacing w:after="0"/>
        <w:rPr>
          <w:sz w:val="2"/>
          <w:szCs w:val="2"/>
        </w:rPr>
        <w:sectPr>
          <w:pgSz w:w="11910" w:h="16840"/>
          <w:pgMar w:header="0" w:footer="358" w:top="1160" w:bottom="540" w:left="680" w:right="7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2005"/>
        <w:gridCol w:w="7529"/>
      </w:tblGrid>
      <w:tr>
        <w:trPr>
          <w:trHeight w:val="1336" w:hRule="atLeast"/>
        </w:trPr>
        <w:tc>
          <w:tcPr>
            <w:tcW w:w="715" w:type="dxa"/>
          </w:tcPr>
          <w:p>
            <w:pPr>
              <w:pStyle w:val="TableParagraph"/>
              <w:ind w:left="0"/>
              <w:rPr>
                <w:rFonts w:ascii="Times New Roman"/>
                <w:sz w:val="20"/>
              </w:rPr>
            </w:pPr>
          </w:p>
        </w:tc>
        <w:tc>
          <w:tcPr>
            <w:tcW w:w="2005" w:type="dxa"/>
          </w:tcPr>
          <w:p>
            <w:pPr>
              <w:pStyle w:val="TableParagraph"/>
              <w:ind w:left="0"/>
              <w:rPr>
                <w:rFonts w:ascii="Times New Roman"/>
                <w:sz w:val="20"/>
              </w:rPr>
            </w:pPr>
          </w:p>
        </w:tc>
        <w:tc>
          <w:tcPr>
            <w:tcW w:w="7529" w:type="dxa"/>
          </w:tcPr>
          <w:p>
            <w:pPr>
              <w:pStyle w:val="TableParagraph"/>
              <w:spacing w:line="211" w:lineRule="exact"/>
              <w:ind w:left="81"/>
              <w:rPr>
                <w:sz w:val="21"/>
              </w:rPr>
            </w:pPr>
            <w:r>
              <w:rPr>
                <w:spacing w:val="-10"/>
                <w:sz w:val="21"/>
              </w:rPr>
              <w:t>(一) 因履行本附加合同发生的争议，由当事人协商解决，协商不成的，提交双方</w:t>
            </w:r>
          </w:p>
          <w:p>
            <w:pPr>
              <w:pStyle w:val="TableParagraph"/>
              <w:spacing w:before="37"/>
              <w:ind w:left="537"/>
              <w:rPr>
                <w:sz w:val="21"/>
              </w:rPr>
            </w:pPr>
            <w:r>
              <w:rPr>
                <w:sz w:val="21"/>
              </w:rPr>
              <w:t>共同选定的仲裁委员会，按其当时有效的仲裁规则仲裁解决。</w:t>
            </w:r>
          </w:p>
          <w:p>
            <w:pPr>
              <w:pStyle w:val="TableParagraph"/>
              <w:spacing w:line="273" w:lineRule="auto" w:before="37"/>
              <w:ind w:left="537" w:right="136" w:hanging="457"/>
              <w:rPr>
                <w:sz w:val="21"/>
              </w:rPr>
            </w:pPr>
            <w:r>
              <w:rPr>
                <w:spacing w:val="-11"/>
                <w:sz w:val="21"/>
              </w:rPr>
              <w:t>(二) 因履行本附加合同发生的争议，由当事人协商解决，协商不成的，依法向本</w:t>
            </w:r>
            <w:r>
              <w:rPr>
                <w:spacing w:val="-3"/>
                <w:sz w:val="21"/>
              </w:rPr>
              <w:t>附加合同签发地有管辖权的人民法院起诉。</w:t>
            </w:r>
          </w:p>
        </w:tc>
      </w:tr>
      <w:tr>
        <w:trPr>
          <w:trHeight w:val="711" w:hRule="atLeast"/>
        </w:trPr>
        <w:tc>
          <w:tcPr>
            <w:tcW w:w="715" w:type="dxa"/>
            <w:tcBorders>
              <w:bottom w:val="single" w:sz="8" w:space="0" w:color="000000"/>
            </w:tcBorders>
          </w:tcPr>
          <w:p>
            <w:pPr>
              <w:pStyle w:val="TableParagraph"/>
              <w:spacing w:before="152"/>
              <w:ind w:left="110"/>
              <w:rPr>
                <w:rFonts w:ascii="Arial" w:hAnsi="Arial"/>
                <w:b/>
                <w:sz w:val="40"/>
              </w:rPr>
            </w:pPr>
            <w:r>
              <w:rPr>
                <w:rFonts w:ascii="Arial" w:hAnsi="Arial"/>
                <w:b/>
                <w:w w:val="119"/>
                <w:sz w:val="40"/>
              </w:rPr>
              <w:t></w:t>
            </w:r>
          </w:p>
        </w:tc>
        <w:tc>
          <w:tcPr>
            <w:tcW w:w="2005" w:type="dxa"/>
            <w:tcBorders>
              <w:bottom w:val="single" w:sz="8" w:space="0" w:color="000000"/>
            </w:tcBorders>
          </w:tcPr>
          <w:p>
            <w:pPr>
              <w:pStyle w:val="TableParagraph"/>
              <w:spacing w:before="204"/>
              <w:ind w:left="183"/>
              <w:rPr>
                <w:b/>
                <w:sz w:val="24"/>
              </w:rPr>
            </w:pPr>
            <w:r>
              <w:rPr>
                <w:b/>
                <w:sz w:val="24"/>
              </w:rPr>
              <w:t>释义</w:t>
            </w:r>
          </w:p>
        </w:tc>
        <w:tc>
          <w:tcPr>
            <w:tcW w:w="7529" w:type="dxa"/>
            <w:tcBorders>
              <w:bottom w:val="single" w:sz="8" w:space="0" w:color="000000"/>
            </w:tcBorders>
          </w:tcPr>
          <w:p>
            <w:pPr>
              <w:pStyle w:val="TableParagraph"/>
              <w:ind w:left="0"/>
              <w:rPr>
                <w:rFonts w:ascii="Times New Roman"/>
                <w:sz w:val="20"/>
              </w:rPr>
            </w:pPr>
          </w:p>
        </w:tc>
      </w:tr>
      <w:tr>
        <w:trPr>
          <w:trHeight w:val="946" w:hRule="atLeast"/>
        </w:trPr>
        <w:tc>
          <w:tcPr>
            <w:tcW w:w="715" w:type="dxa"/>
            <w:tcBorders>
              <w:top w:val="single" w:sz="8" w:space="0" w:color="000000"/>
            </w:tcBorders>
          </w:tcPr>
          <w:p>
            <w:pPr>
              <w:pStyle w:val="TableParagraph"/>
              <w:spacing w:before="12"/>
              <w:ind w:left="0"/>
              <w:rPr>
                <w:sz w:val="14"/>
              </w:rPr>
            </w:pPr>
          </w:p>
          <w:p>
            <w:pPr>
              <w:pStyle w:val="TableParagraph"/>
              <w:ind w:left="110"/>
              <w:rPr>
                <w:b/>
                <w:sz w:val="21"/>
              </w:rPr>
            </w:pPr>
            <w:r>
              <w:rPr>
                <w:b/>
                <w:sz w:val="21"/>
              </w:rPr>
              <w:t>10.1</w:t>
            </w:r>
          </w:p>
        </w:tc>
        <w:tc>
          <w:tcPr>
            <w:tcW w:w="2005" w:type="dxa"/>
            <w:tcBorders>
              <w:top w:val="single" w:sz="8" w:space="0" w:color="000000"/>
            </w:tcBorders>
          </w:tcPr>
          <w:p>
            <w:pPr>
              <w:pStyle w:val="TableParagraph"/>
              <w:spacing w:before="12"/>
              <w:ind w:left="0"/>
              <w:rPr>
                <w:sz w:val="14"/>
              </w:rPr>
            </w:pPr>
          </w:p>
          <w:p>
            <w:pPr>
              <w:pStyle w:val="TableParagraph"/>
              <w:ind w:left="183"/>
              <w:rPr>
                <w:b/>
                <w:sz w:val="21"/>
              </w:rPr>
            </w:pPr>
            <w:r>
              <w:rPr>
                <w:b/>
                <w:sz w:val="21"/>
              </w:rPr>
              <w:t>保单年度</w:t>
            </w:r>
          </w:p>
        </w:tc>
        <w:tc>
          <w:tcPr>
            <w:tcW w:w="7529" w:type="dxa"/>
            <w:tcBorders>
              <w:top w:val="single" w:sz="8" w:space="0" w:color="000000"/>
            </w:tcBorders>
          </w:tcPr>
          <w:p>
            <w:pPr>
              <w:pStyle w:val="TableParagraph"/>
              <w:spacing w:before="12"/>
              <w:ind w:left="0"/>
              <w:rPr>
                <w:sz w:val="14"/>
              </w:rPr>
            </w:pPr>
          </w:p>
          <w:p>
            <w:pPr>
              <w:pStyle w:val="TableParagraph"/>
              <w:spacing w:line="273" w:lineRule="auto"/>
              <w:ind w:left="107" w:right="108"/>
              <w:rPr>
                <w:sz w:val="21"/>
              </w:rPr>
            </w:pPr>
            <w:r>
              <w:rPr>
                <w:sz w:val="21"/>
              </w:rPr>
              <w:t>从本附加合同生效日或保单周年日零时起至下一年度的保单周年日零时止为一个保单年度。</w:t>
            </w:r>
          </w:p>
        </w:tc>
      </w:tr>
      <w:tr>
        <w:trPr>
          <w:trHeight w:val="850" w:hRule="atLeast"/>
        </w:trPr>
        <w:tc>
          <w:tcPr>
            <w:tcW w:w="715" w:type="dxa"/>
          </w:tcPr>
          <w:p>
            <w:pPr>
              <w:pStyle w:val="TableParagraph"/>
              <w:spacing w:before="99"/>
              <w:ind w:left="110"/>
              <w:rPr>
                <w:b/>
                <w:sz w:val="21"/>
              </w:rPr>
            </w:pPr>
            <w:r>
              <w:rPr>
                <w:b/>
                <w:sz w:val="21"/>
              </w:rPr>
              <w:t>10.2</w:t>
            </w:r>
          </w:p>
        </w:tc>
        <w:tc>
          <w:tcPr>
            <w:tcW w:w="2005" w:type="dxa"/>
          </w:tcPr>
          <w:p>
            <w:pPr>
              <w:pStyle w:val="TableParagraph"/>
              <w:spacing w:before="99"/>
              <w:ind w:left="183"/>
              <w:rPr>
                <w:b/>
                <w:sz w:val="21"/>
              </w:rPr>
            </w:pPr>
            <w:r>
              <w:rPr>
                <w:b/>
                <w:sz w:val="21"/>
              </w:rPr>
              <w:t>保单周年日</w:t>
            </w:r>
          </w:p>
        </w:tc>
        <w:tc>
          <w:tcPr>
            <w:tcW w:w="7529" w:type="dxa"/>
          </w:tcPr>
          <w:p>
            <w:pPr>
              <w:pStyle w:val="TableParagraph"/>
              <w:spacing w:line="273" w:lineRule="auto" w:before="99"/>
              <w:ind w:left="107" w:right="63"/>
              <w:rPr>
                <w:sz w:val="21"/>
              </w:rPr>
            </w:pPr>
            <w:r>
              <w:rPr>
                <w:sz w:val="21"/>
              </w:rPr>
              <w:t>指本附加合同生效日在合同生效后每年的对应日，不含本附加合同生效日当日。若当月没有对应的同一日，则以该月最后一日为对应日。</w:t>
            </w:r>
          </w:p>
        </w:tc>
      </w:tr>
      <w:tr>
        <w:trPr>
          <w:trHeight w:val="851" w:hRule="atLeast"/>
        </w:trPr>
        <w:tc>
          <w:tcPr>
            <w:tcW w:w="715" w:type="dxa"/>
          </w:tcPr>
          <w:p>
            <w:pPr>
              <w:pStyle w:val="TableParagraph"/>
              <w:spacing w:before="100"/>
              <w:ind w:left="110"/>
              <w:rPr>
                <w:b/>
                <w:sz w:val="21"/>
              </w:rPr>
            </w:pPr>
            <w:r>
              <w:rPr>
                <w:b/>
                <w:sz w:val="21"/>
              </w:rPr>
              <w:t>10.3</w:t>
            </w:r>
          </w:p>
        </w:tc>
        <w:tc>
          <w:tcPr>
            <w:tcW w:w="2005" w:type="dxa"/>
          </w:tcPr>
          <w:p>
            <w:pPr>
              <w:pStyle w:val="TableParagraph"/>
              <w:spacing w:before="100"/>
              <w:ind w:left="183"/>
              <w:rPr>
                <w:b/>
                <w:sz w:val="21"/>
              </w:rPr>
            </w:pPr>
            <w:r>
              <w:rPr>
                <w:b/>
                <w:sz w:val="21"/>
              </w:rPr>
              <w:t>保险费约定支付日</w:t>
            </w:r>
          </w:p>
        </w:tc>
        <w:tc>
          <w:tcPr>
            <w:tcW w:w="7529" w:type="dxa"/>
          </w:tcPr>
          <w:p>
            <w:pPr>
              <w:pStyle w:val="TableParagraph"/>
              <w:spacing w:line="273" w:lineRule="auto" w:before="100"/>
              <w:ind w:left="107" w:right="53"/>
              <w:rPr>
                <w:sz w:val="21"/>
              </w:rPr>
            </w:pPr>
            <w:r>
              <w:rPr>
                <w:sz w:val="21"/>
              </w:rPr>
              <w:t>指本附加合同生效日在每月、每季、每半年或每年（根据交费方式确定）的对应日。若当月无对应的同一日，则以该月最后一日为对应日。</w:t>
            </w:r>
          </w:p>
        </w:tc>
      </w:tr>
      <w:tr>
        <w:trPr>
          <w:trHeight w:val="850" w:hRule="atLeast"/>
        </w:trPr>
        <w:tc>
          <w:tcPr>
            <w:tcW w:w="715" w:type="dxa"/>
          </w:tcPr>
          <w:p>
            <w:pPr>
              <w:pStyle w:val="TableParagraph"/>
              <w:spacing w:before="99"/>
              <w:ind w:left="110"/>
              <w:rPr>
                <w:b/>
                <w:sz w:val="21"/>
              </w:rPr>
            </w:pPr>
            <w:r>
              <w:rPr>
                <w:b/>
                <w:sz w:val="21"/>
              </w:rPr>
              <w:t>10.4</w:t>
            </w:r>
          </w:p>
        </w:tc>
        <w:tc>
          <w:tcPr>
            <w:tcW w:w="2005" w:type="dxa"/>
          </w:tcPr>
          <w:p>
            <w:pPr>
              <w:pStyle w:val="TableParagraph"/>
              <w:spacing w:before="99"/>
              <w:ind w:left="183"/>
              <w:rPr>
                <w:b/>
                <w:sz w:val="21"/>
              </w:rPr>
            </w:pPr>
            <w:r>
              <w:rPr>
                <w:b/>
                <w:sz w:val="21"/>
              </w:rPr>
              <w:t>周岁</w:t>
            </w:r>
          </w:p>
        </w:tc>
        <w:tc>
          <w:tcPr>
            <w:tcW w:w="7529" w:type="dxa"/>
          </w:tcPr>
          <w:p>
            <w:pPr>
              <w:pStyle w:val="TableParagraph"/>
              <w:spacing w:line="273" w:lineRule="auto" w:before="99"/>
              <w:ind w:left="107" w:right="64"/>
              <w:rPr>
                <w:sz w:val="21"/>
              </w:rPr>
            </w:pPr>
            <w:r>
              <w:rPr>
                <w:sz w:val="21"/>
              </w:rPr>
              <w:t>指按法定身份证明文件中记载的出生日期计算的年龄，自出生之日起为零周岁， 每经过一年增加一岁，不足一年的不计。</w:t>
            </w:r>
          </w:p>
        </w:tc>
      </w:tr>
      <w:tr>
        <w:trPr>
          <w:trHeight w:val="849" w:hRule="atLeast"/>
        </w:trPr>
        <w:tc>
          <w:tcPr>
            <w:tcW w:w="715" w:type="dxa"/>
          </w:tcPr>
          <w:p>
            <w:pPr>
              <w:pStyle w:val="TableParagraph"/>
              <w:spacing w:before="100"/>
              <w:ind w:left="110"/>
              <w:rPr>
                <w:b/>
                <w:sz w:val="21"/>
              </w:rPr>
            </w:pPr>
            <w:r>
              <w:rPr>
                <w:b/>
                <w:sz w:val="21"/>
              </w:rPr>
              <w:t>10.5</w:t>
            </w:r>
          </w:p>
        </w:tc>
        <w:tc>
          <w:tcPr>
            <w:tcW w:w="2005" w:type="dxa"/>
          </w:tcPr>
          <w:p>
            <w:pPr>
              <w:pStyle w:val="TableParagraph"/>
              <w:spacing w:before="100"/>
              <w:ind w:left="183"/>
              <w:rPr>
                <w:b/>
                <w:sz w:val="21"/>
              </w:rPr>
            </w:pPr>
            <w:r>
              <w:rPr>
                <w:b/>
                <w:sz w:val="21"/>
              </w:rPr>
              <w:t>有效身份证件</w:t>
            </w:r>
          </w:p>
        </w:tc>
        <w:tc>
          <w:tcPr>
            <w:tcW w:w="7529" w:type="dxa"/>
          </w:tcPr>
          <w:p>
            <w:pPr>
              <w:pStyle w:val="TableParagraph"/>
              <w:spacing w:line="273" w:lineRule="auto" w:before="100"/>
              <w:ind w:left="107" w:right="103"/>
              <w:rPr>
                <w:sz w:val="21"/>
              </w:rPr>
            </w:pPr>
            <w:r>
              <w:rPr>
                <w:spacing w:val="-6"/>
                <w:sz w:val="21"/>
              </w:rPr>
              <w:t>指由政府主管部门规定的证明其身份的证件，如：居民身份证、按规定可使用的</w:t>
            </w:r>
            <w:r>
              <w:rPr>
                <w:spacing w:val="-4"/>
                <w:sz w:val="21"/>
              </w:rPr>
              <w:t>有效护照、军官证、警官证、士兵证、户口簿等证件。</w:t>
            </w:r>
          </w:p>
        </w:tc>
      </w:tr>
      <w:tr>
        <w:trPr>
          <w:trHeight w:val="537" w:hRule="atLeast"/>
        </w:trPr>
        <w:tc>
          <w:tcPr>
            <w:tcW w:w="715" w:type="dxa"/>
          </w:tcPr>
          <w:p>
            <w:pPr>
              <w:pStyle w:val="TableParagraph"/>
              <w:spacing w:before="98"/>
              <w:ind w:left="110"/>
              <w:rPr>
                <w:b/>
                <w:sz w:val="21"/>
              </w:rPr>
            </w:pPr>
            <w:r>
              <w:rPr>
                <w:b/>
                <w:sz w:val="21"/>
              </w:rPr>
              <w:t>10.6</w:t>
            </w:r>
          </w:p>
        </w:tc>
        <w:tc>
          <w:tcPr>
            <w:tcW w:w="2005" w:type="dxa"/>
          </w:tcPr>
          <w:p>
            <w:pPr>
              <w:pStyle w:val="TableParagraph"/>
              <w:spacing w:before="98"/>
              <w:ind w:left="183"/>
              <w:rPr>
                <w:b/>
                <w:sz w:val="21"/>
              </w:rPr>
            </w:pPr>
            <w:r>
              <w:rPr>
                <w:b/>
                <w:sz w:val="21"/>
              </w:rPr>
              <w:t>意外伤害</w:t>
            </w:r>
          </w:p>
        </w:tc>
        <w:tc>
          <w:tcPr>
            <w:tcW w:w="7529" w:type="dxa"/>
          </w:tcPr>
          <w:p>
            <w:pPr>
              <w:pStyle w:val="TableParagraph"/>
              <w:spacing w:before="98"/>
              <w:ind w:left="107" w:right="-15"/>
              <w:rPr>
                <w:sz w:val="21"/>
              </w:rPr>
            </w:pPr>
            <w:r>
              <w:rPr>
                <w:spacing w:val="-15"/>
                <w:sz w:val="21"/>
              </w:rPr>
              <w:t>指遭受外来的、突发的、非本意的、非疾病的客观事件直接致使身体受到的伤害。</w:t>
            </w:r>
          </w:p>
        </w:tc>
      </w:tr>
      <w:tr>
        <w:trPr>
          <w:trHeight w:val="2724" w:hRule="atLeast"/>
        </w:trPr>
        <w:tc>
          <w:tcPr>
            <w:tcW w:w="715" w:type="dxa"/>
          </w:tcPr>
          <w:p>
            <w:pPr>
              <w:pStyle w:val="TableParagraph"/>
              <w:spacing w:before="100"/>
              <w:ind w:left="110"/>
              <w:rPr>
                <w:b/>
                <w:sz w:val="21"/>
              </w:rPr>
            </w:pPr>
            <w:r>
              <w:rPr>
                <w:b/>
                <w:sz w:val="21"/>
              </w:rPr>
              <w:t>10.7</w:t>
            </w:r>
          </w:p>
        </w:tc>
        <w:tc>
          <w:tcPr>
            <w:tcW w:w="2005" w:type="dxa"/>
          </w:tcPr>
          <w:p>
            <w:pPr>
              <w:pStyle w:val="TableParagraph"/>
              <w:spacing w:line="273" w:lineRule="auto" w:before="100"/>
              <w:ind w:left="183" w:right="130"/>
              <w:jc w:val="both"/>
              <w:rPr>
                <w:b/>
                <w:sz w:val="21"/>
              </w:rPr>
            </w:pPr>
            <w:r>
              <w:rPr>
                <w:b/>
                <w:sz w:val="21"/>
              </w:rPr>
              <w:t>初次患本附加合同所列的轻症疾病、重大疾病</w:t>
            </w:r>
          </w:p>
        </w:tc>
        <w:tc>
          <w:tcPr>
            <w:tcW w:w="7529" w:type="dxa"/>
          </w:tcPr>
          <w:p>
            <w:pPr>
              <w:pStyle w:val="TableParagraph"/>
              <w:spacing w:before="100"/>
              <w:ind w:left="107"/>
              <w:rPr>
                <w:sz w:val="21"/>
              </w:rPr>
            </w:pPr>
            <w:r>
              <w:rPr>
                <w:sz w:val="21"/>
              </w:rPr>
              <w:t>指被保险人患同时符合以下条件的疾病：</w:t>
            </w:r>
          </w:p>
          <w:p>
            <w:pPr>
              <w:pStyle w:val="TableParagraph"/>
              <w:spacing w:before="36"/>
              <w:ind w:left="107"/>
              <w:rPr>
                <w:sz w:val="21"/>
              </w:rPr>
            </w:pPr>
            <w:r>
              <w:rPr>
                <w:sz w:val="21"/>
              </w:rPr>
              <w:t>（1）被保险人自出生后首次出现疾病之症状体征；</w:t>
            </w:r>
          </w:p>
          <w:p>
            <w:pPr>
              <w:pStyle w:val="TableParagraph"/>
              <w:spacing w:line="273" w:lineRule="auto" w:before="36"/>
              <w:ind w:left="633" w:right="105" w:hanging="527"/>
              <w:rPr>
                <w:sz w:val="21"/>
              </w:rPr>
            </w:pPr>
            <w:r>
              <w:rPr>
                <w:sz w:val="21"/>
              </w:rPr>
              <w:t>（2）被保险人在本附加合同有效期间内首次出现疾病之症状体征并被确诊患该疾病；</w:t>
            </w:r>
          </w:p>
          <w:p>
            <w:pPr>
              <w:pStyle w:val="TableParagraph"/>
              <w:spacing w:before="7"/>
              <w:ind w:left="107"/>
              <w:rPr>
                <w:sz w:val="21"/>
              </w:rPr>
            </w:pPr>
            <w:r>
              <w:rPr>
                <w:sz w:val="21"/>
              </w:rPr>
              <w:t>（3）该疾病之症状体征符合本附加合同的定义；</w:t>
            </w:r>
          </w:p>
          <w:p>
            <w:pPr>
              <w:pStyle w:val="TableParagraph"/>
              <w:spacing w:before="36"/>
              <w:ind w:left="107"/>
              <w:rPr>
                <w:sz w:val="21"/>
              </w:rPr>
            </w:pPr>
            <w:r>
              <w:rPr>
                <w:sz w:val="21"/>
              </w:rPr>
              <w:t>（4）该疾病已在本附加合同中列明。</w:t>
            </w:r>
          </w:p>
          <w:p>
            <w:pPr>
              <w:pStyle w:val="TableParagraph"/>
              <w:spacing w:line="259" w:lineRule="auto" w:before="25"/>
              <w:ind w:left="107" w:right="107"/>
              <w:rPr>
                <w:sz w:val="21"/>
              </w:rPr>
            </w:pPr>
            <w:r>
              <w:rPr>
                <w:rFonts w:ascii="黑体" w:eastAsia="黑体" w:hint="eastAsia"/>
                <w:b/>
                <w:i/>
                <w:w w:val="95"/>
                <w:sz w:val="22"/>
              </w:rPr>
              <w:t>对于被保险人在本附加合同Th效日前出现的本附加合同所列的疾病之症状体征或所患的疾病，我们不承担保险责任</w:t>
            </w:r>
            <w:r>
              <w:rPr>
                <w:w w:val="95"/>
                <w:sz w:val="21"/>
              </w:rPr>
              <w:t>。</w:t>
            </w:r>
          </w:p>
        </w:tc>
      </w:tr>
      <w:tr>
        <w:trPr>
          <w:trHeight w:val="846" w:hRule="atLeast"/>
        </w:trPr>
        <w:tc>
          <w:tcPr>
            <w:tcW w:w="715" w:type="dxa"/>
          </w:tcPr>
          <w:p>
            <w:pPr>
              <w:pStyle w:val="TableParagraph"/>
              <w:spacing w:before="98"/>
              <w:ind w:left="110"/>
              <w:rPr>
                <w:b/>
                <w:sz w:val="21"/>
              </w:rPr>
            </w:pPr>
            <w:r>
              <w:rPr>
                <w:b/>
                <w:sz w:val="21"/>
              </w:rPr>
              <w:t>10.8</w:t>
            </w:r>
          </w:p>
        </w:tc>
        <w:tc>
          <w:tcPr>
            <w:tcW w:w="2005" w:type="dxa"/>
          </w:tcPr>
          <w:p>
            <w:pPr>
              <w:pStyle w:val="TableParagraph"/>
              <w:spacing w:before="98"/>
              <w:ind w:left="183"/>
              <w:rPr>
                <w:b/>
                <w:sz w:val="21"/>
              </w:rPr>
            </w:pPr>
            <w:r>
              <w:rPr>
                <w:b/>
                <w:sz w:val="21"/>
              </w:rPr>
              <w:t>轻症疾病</w:t>
            </w:r>
          </w:p>
        </w:tc>
        <w:tc>
          <w:tcPr>
            <w:tcW w:w="7529" w:type="dxa"/>
          </w:tcPr>
          <w:p>
            <w:pPr>
              <w:pStyle w:val="TableParagraph"/>
              <w:spacing w:line="273" w:lineRule="auto" w:before="98"/>
              <w:ind w:left="107" w:right="100"/>
              <w:rPr>
                <w:sz w:val="21"/>
              </w:rPr>
            </w:pPr>
            <w:r>
              <w:rPr>
                <w:spacing w:val="-4"/>
                <w:sz w:val="21"/>
              </w:rPr>
              <w:t>指被保险人发生符合以下疾病定义所述条件的疾病</w:t>
            </w:r>
            <w:r>
              <w:rPr>
                <w:sz w:val="21"/>
              </w:rPr>
              <w:t>（</w:t>
            </w:r>
            <w:r>
              <w:rPr>
                <w:spacing w:val="-18"/>
                <w:sz w:val="21"/>
              </w:rPr>
              <w:t>共 </w:t>
            </w:r>
            <w:r>
              <w:rPr>
                <w:sz w:val="21"/>
              </w:rPr>
              <w:t>42</w:t>
            </w:r>
            <w:r>
              <w:rPr>
                <w:spacing w:val="-19"/>
                <w:sz w:val="21"/>
              </w:rPr>
              <w:t> 种</w:t>
            </w:r>
            <w:r>
              <w:rPr>
                <w:spacing w:val="-64"/>
                <w:sz w:val="21"/>
              </w:rPr>
              <w:t>）</w:t>
            </w:r>
            <w:r>
              <w:rPr>
                <w:spacing w:val="-11"/>
                <w:sz w:val="21"/>
              </w:rPr>
              <w:t>，应当由专科医生</w:t>
            </w:r>
            <w:r>
              <w:rPr>
                <w:spacing w:val="-6"/>
                <w:sz w:val="21"/>
              </w:rPr>
              <w:t>明确诊断。</w:t>
            </w:r>
          </w:p>
        </w:tc>
      </w:tr>
      <w:tr>
        <w:trPr>
          <w:trHeight w:val="3499" w:hRule="atLeast"/>
        </w:trPr>
        <w:tc>
          <w:tcPr>
            <w:tcW w:w="715" w:type="dxa"/>
          </w:tcPr>
          <w:p>
            <w:pPr>
              <w:pStyle w:val="TableParagraph"/>
              <w:ind w:left="0"/>
              <w:rPr>
                <w:rFonts w:ascii="Times New Roman"/>
                <w:sz w:val="20"/>
              </w:rPr>
            </w:pPr>
          </w:p>
        </w:tc>
        <w:tc>
          <w:tcPr>
            <w:tcW w:w="2005" w:type="dxa"/>
          </w:tcPr>
          <w:p>
            <w:pPr>
              <w:pStyle w:val="TableParagraph"/>
              <w:tabs>
                <w:tab w:pos="602" w:val="left" w:leader="none"/>
              </w:tabs>
              <w:spacing w:line="339" w:lineRule="exact" w:before="18"/>
              <w:ind w:left="183"/>
              <w:rPr>
                <w:rFonts w:ascii="Microsoft JhengHei" w:eastAsia="Microsoft JhengHei" w:hint="eastAsia"/>
                <w:b/>
                <w:sz w:val="21"/>
              </w:rPr>
            </w:pPr>
            <w:r>
              <w:rPr>
                <w:rFonts w:ascii="Microsoft JhengHei" w:eastAsia="Microsoft JhengHei" w:hint="eastAsia"/>
                <w:b/>
                <w:sz w:val="21"/>
              </w:rPr>
              <w:t>1.</w:t>
              <w:tab/>
            </w:r>
            <w:r>
              <w:rPr>
                <w:rFonts w:ascii="Microsoft JhengHei" w:eastAsia="Microsoft JhengHei" w:hint="eastAsia"/>
                <w:b/>
                <w:spacing w:val="1"/>
                <w:sz w:val="21"/>
              </w:rPr>
              <w:t>非危及生命的</w:t>
            </w:r>
          </w:p>
          <w:p>
            <w:pPr>
              <w:pStyle w:val="TableParagraph"/>
              <w:spacing w:line="204" w:lineRule="auto" w:before="28"/>
              <w:ind w:left="603" w:right="104"/>
              <w:rPr>
                <w:rFonts w:ascii="Microsoft JhengHei" w:eastAsia="Microsoft JhengHei" w:hint="eastAsia"/>
                <w:b/>
                <w:sz w:val="21"/>
              </w:rPr>
            </w:pPr>
            <w:r>
              <w:rPr>
                <w:rFonts w:ascii="Microsoft JhengHei" w:eastAsia="Microsoft JhengHei" w:hint="eastAsia"/>
                <w:b/>
                <w:sz w:val="21"/>
              </w:rPr>
              <w:t>（极早期的） 恶性病变</w:t>
            </w:r>
          </w:p>
        </w:tc>
        <w:tc>
          <w:tcPr>
            <w:tcW w:w="7529" w:type="dxa"/>
          </w:tcPr>
          <w:p>
            <w:pPr>
              <w:pStyle w:val="TableParagraph"/>
              <w:spacing w:line="273" w:lineRule="auto" w:before="104"/>
              <w:ind w:left="107" w:right="56"/>
              <w:rPr>
                <w:sz w:val="21"/>
              </w:rPr>
            </w:pPr>
            <w:r>
              <w:rPr>
                <w:sz w:val="21"/>
              </w:rPr>
              <w:t>指被保险人生前经组织病理学检查被明确诊断为下列恶性病变，并且接受了相应的治疗。</w:t>
            </w:r>
          </w:p>
          <w:p>
            <w:pPr>
              <w:pStyle w:val="TableParagraph"/>
              <w:spacing w:before="8"/>
              <w:ind w:left="107"/>
              <w:jc w:val="both"/>
              <w:rPr>
                <w:sz w:val="21"/>
              </w:rPr>
            </w:pPr>
            <w:r>
              <w:rPr>
                <w:sz w:val="21"/>
              </w:rPr>
              <w:t>（1）原位癌</w:t>
            </w:r>
            <w:r>
              <w:rPr>
                <w:position w:val="11"/>
                <w:sz w:val="11"/>
              </w:rPr>
              <w:t>*</w:t>
            </w:r>
            <w:r>
              <w:rPr>
                <w:sz w:val="21"/>
              </w:rPr>
              <w:t>；</w:t>
            </w:r>
          </w:p>
          <w:p>
            <w:pPr>
              <w:pStyle w:val="TableParagraph"/>
              <w:spacing w:before="37"/>
              <w:ind w:left="107"/>
              <w:jc w:val="both"/>
              <w:rPr>
                <w:sz w:val="21"/>
              </w:rPr>
            </w:pPr>
            <w:r>
              <w:rPr>
                <w:sz w:val="21"/>
              </w:rPr>
              <w:t>（2）相当于Binet分期方案A期程度的慢性淋巴细胞白血病；</w:t>
            </w:r>
          </w:p>
          <w:p>
            <w:pPr>
              <w:pStyle w:val="TableParagraph"/>
              <w:spacing w:before="37"/>
              <w:ind w:left="107"/>
              <w:jc w:val="both"/>
              <w:rPr>
                <w:sz w:val="21"/>
              </w:rPr>
            </w:pPr>
            <w:r>
              <w:rPr>
                <w:sz w:val="21"/>
              </w:rPr>
              <w:t>（3）相当于Ann Arbor分期方案I期程度的何杰金氏病；</w:t>
            </w:r>
          </w:p>
          <w:p>
            <w:pPr>
              <w:pStyle w:val="TableParagraph"/>
              <w:spacing w:before="36"/>
              <w:ind w:left="107"/>
              <w:jc w:val="both"/>
              <w:rPr>
                <w:sz w:val="21"/>
              </w:rPr>
            </w:pPr>
            <w:r>
              <w:rPr>
                <w:sz w:val="21"/>
              </w:rPr>
              <w:t>（4）皮肤癌（不包括恶性黑色素瘤及已发生转移的皮肤癌）；</w:t>
            </w:r>
          </w:p>
          <w:p>
            <w:pPr>
              <w:pStyle w:val="TableParagraph"/>
              <w:spacing w:before="36"/>
              <w:ind w:left="107"/>
              <w:jc w:val="both"/>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37"/>
              <w:ind w:left="107"/>
              <w:jc w:val="both"/>
              <w:rPr>
                <w:sz w:val="21"/>
              </w:rPr>
            </w:pPr>
            <w:r>
              <w:rPr>
                <w:position w:val="11"/>
                <w:sz w:val="11"/>
              </w:rPr>
              <w:t>*</w:t>
            </w:r>
            <w:r>
              <w:rPr>
                <w:sz w:val="21"/>
              </w:rPr>
              <w:t>原位癌</w:t>
            </w:r>
          </w:p>
          <w:p>
            <w:pPr>
              <w:pStyle w:val="TableParagraph"/>
              <w:spacing w:line="310" w:lineRule="atLeast" w:before="1"/>
              <w:ind w:left="107" w:right="100"/>
              <w:jc w:val="both"/>
              <w:rPr>
                <w:sz w:val="21"/>
              </w:rPr>
            </w:pPr>
            <w:r>
              <w:rPr>
                <w:spacing w:val="-5"/>
                <w:sz w:val="21"/>
              </w:rPr>
              <w:t>指恶性细胞局限于上皮内尚未穿破基底膜浸润周围正常组织的癌细胞新生物。原</w:t>
            </w:r>
            <w:r>
              <w:rPr>
                <w:spacing w:val="-6"/>
                <w:sz w:val="21"/>
              </w:rPr>
              <w:t>位癌必须经对固定活组织的组织病理学检查明确诊断。被保险人必须己经接受了</w:t>
            </w:r>
            <w:r>
              <w:rPr>
                <w:spacing w:val="-4"/>
                <w:sz w:val="21"/>
              </w:rPr>
              <w:t>针对原位癌病灶的积极治疗。</w:t>
            </w:r>
          </w:p>
        </w:tc>
      </w:tr>
    </w:tbl>
    <w:p>
      <w:pPr>
        <w:spacing w:after="0" w:line="310" w:lineRule="atLeast"/>
        <w:jc w:val="both"/>
        <w:rPr>
          <w:sz w:val="21"/>
        </w:rPr>
        <w:sectPr>
          <w:pgSz w:w="11910" w:h="16840"/>
          <w:pgMar w:header="0" w:footer="358" w:top="1160" w:bottom="540" w:left="680" w:right="76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5"/>
        <w:gridCol w:w="7727"/>
      </w:tblGrid>
      <w:tr>
        <w:trPr>
          <w:trHeight w:val="1003" w:hRule="atLeast"/>
        </w:trPr>
        <w:tc>
          <w:tcPr>
            <w:tcW w:w="2025" w:type="dxa"/>
          </w:tcPr>
          <w:p>
            <w:pPr>
              <w:pStyle w:val="TableParagraph"/>
              <w:tabs>
                <w:tab w:pos="619" w:val="left" w:leader="none"/>
              </w:tabs>
              <w:spacing w:line="196" w:lineRule="exact"/>
              <w:ind w:left="200"/>
              <w:rPr>
                <w:rFonts w:ascii="Microsoft JhengHei" w:eastAsia="Microsoft JhengHei" w:hint="eastAsia"/>
                <w:b/>
                <w:sz w:val="21"/>
              </w:rPr>
            </w:pPr>
            <w:r>
              <w:rPr>
                <w:rFonts w:ascii="Microsoft JhengHei" w:eastAsia="Microsoft JhengHei" w:hint="eastAsia"/>
                <w:b/>
                <w:sz w:val="21"/>
              </w:rPr>
              <w:t>2.</w:t>
              <w:tab/>
            </w:r>
            <w:r>
              <w:rPr>
                <w:rFonts w:ascii="Microsoft JhengHei" w:eastAsia="Microsoft JhengHei" w:hint="eastAsia"/>
                <w:b/>
                <w:spacing w:val="1"/>
                <w:sz w:val="21"/>
              </w:rPr>
              <w:t>冠状动脉介入</w:t>
            </w:r>
          </w:p>
          <w:p>
            <w:pPr>
              <w:pStyle w:val="TableParagraph"/>
              <w:spacing w:line="339" w:lineRule="exact"/>
              <w:ind w:left="619"/>
              <w:rPr>
                <w:rFonts w:ascii="Microsoft JhengHei" w:eastAsia="Microsoft JhengHei" w:hint="eastAsia"/>
                <w:b/>
                <w:sz w:val="21"/>
              </w:rPr>
            </w:pPr>
            <w:r>
              <w:rPr>
                <w:rFonts w:ascii="Microsoft JhengHei" w:eastAsia="Microsoft JhengHei" w:hint="eastAsia"/>
                <w:b/>
                <w:sz w:val="21"/>
              </w:rPr>
              <w:t>手术</w:t>
            </w:r>
          </w:p>
        </w:tc>
        <w:tc>
          <w:tcPr>
            <w:tcW w:w="7727" w:type="dxa"/>
          </w:tcPr>
          <w:p>
            <w:pPr>
              <w:pStyle w:val="TableParagraph"/>
              <w:spacing w:line="218" w:lineRule="exact"/>
              <w:ind w:left="104"/>
              <w:rPr>
                <w:sz w:val="21"/>
              </w:rPr>
            </w:pPr>
            <w:r>
              <w:rPr>
                <w:sz w:val="21"/>
              </w:rPr>
              <w:t>指被保险人为了治疗明显的冠状动脉狭窄性疾病，首次实际实施了冠状动脉球囊</w:t>
            </w:r>
          </w:p>
          <w:p>
            <w:pPr>
              <w:pStyle w:val="TableParagraph"/>
              <w:spacing w:line="273" w:lineRule="auto" w:before="37"/>
              <w:ind w:left="104" w:right="301"/>
              <w:rPr>
                <w:sz w:val="21"/>
              </w:rPr>
            </w:pPr>
            <w:r>
              <w:rPr>
                <w:spacing w:val="-7"/>
                <w:sz w:val="21"/>
              </w:rPr>
              <w:t>扩张成形术、冠状动脉支架植入术、冠状动脉粥肿斑块切除术或激光冠状动脉成形术。</w:t>
            </w:r>
          </w:p>
        </w:tc>
      </w:tr>
      <w:tr>
        <w:trPr>
          <w:trHeight w:val="1475" w:hRule="atLeast"/>
        </w:trPr>
        <w:tc>
          <w:tcPr>
            <w:tcW w:w="2025" w:type="dxa"/>
          </w:tcPr>
          <w:p>
            <w:pPr>
              <w:pStyle w:val="TableParagraph"/>
              <w:tabs>
                <w:tab w:pos="619" w:val="left" w:leader="none"/>
              </w:tabs>
              <w:spacing w:before="18"/>
              <w:ind w:left="200"/>
              <w:rPr>
                <w:rFonts w:ascii="Microsoft JhengHei" w:eastAsia="Microsoft JhengHei" w:hint="eastAsia"/>
                <w:b/>
                <w:sz w:val="21"/>
              </w:rPr>
            </w:pPr>
            <w:r>
              <w:rPr>
                <w:rFonts w:ascii="Microsoft JhengHei" w:eastAsia="Microsoft JhengHei" w:hint="eastAsia"/>
                <w:b/>
                <w:sz w:val="21"/>
              </w:rPr>
              <w:t>3.</w:t>
              <w:tab/>
            </w:r>
            <w:r>
              <w:rPr>
                <w:rFonts w:ascii="Microsoft JhengHei" w:eastAsia="Microsoft JhengHei" w:hint="eastAsia"/>
                <w:b/>
                <w:spacing w:val="-1"/>
                <w:sz w:val="21"/>
              </w:rPr>
              <w:t>轻微脑中风</w:t>
            </w:r>
          </w:p>
        </w:tc>
        <w:tc>
          <w:tcPr>
            <w:tcW w:w="7727" w:type="dxa"/>
          </w:tcPr>
          <w:p>
            <w:pPr>
              <w:pStyle w:val="TableParagraph"/>
              <w:spacing w:line="273" w:lineRule="auto" w:before="104"/>
              <w:ind w:left="104" w:right="198"/>
              <w:rPr>
                <w:sz w:val="21"/>
              </w:rPr>
            </w:pPr>
            <w:r>
              <w:rPr>
                <w:sz w:val="21"/>
              </w:rPr>
              <w:t>指被保险人因非意外原因实际发生了脑血管的突发病变出现神经系统功能障碍 </w:t>
            </w:r>
            <w:r>
              <w:rPr>
                <w:spacing w:val="-4"/>
                <w:sz w:val="21"/>
              </w:rPr>
              <w:t>表现，头颅断层扫描（CT）、核磁共振</w:t>
            </w:r>
            <w:r>
              <w:rPr>
                <w:spacing w:val="-3"/>
                <w:sz w:val="21"/>
              </w:rPr>
              <w:t>（MRI）等影像学检查证实存在对应病灶， 确诊为脑出血、脑栓塞或脑梗塞，在确诊180天后仍然遗留一肢或一肢以上肢体</w:t>
            </w:r>
            <w:r>
              <w:rPr>
                <w:spacing w:val="-1"/>
                <w:sz w:val="21"/>
              </w:rPr>
              <w:t>肌力III</w:t>
            </w:r>
            <w:r>
              <w:rPr>
                <w:spacing w:val="-2"/>
                <w:sz w:val="21"/>
              </w:rPr>
              <w:t>级或</w:t>
            </w:r>
            <w:r>
              <w:rPr>
                <w:spacing w:val="-1"/>
                <w:sz w:val="21"/>
              </w:rPr>
              <w:t>III</w:t>
            </w:r>
            <w:r>
              <w:rPr>
                <w:spacing w:val="-3"/>
                <w:sz w:val="21"/>
              </w:rPr>
              <w:t>级以下的运动功能障碍。</w:t>
            </w:r>
          </w:p>
        </w:tc>
      </w:tr>
      <w:tr>
        <w:trPr>
          <w:trHeight w:val="851" w:hRule="atLeast"/>
        </w:trPr>
        <w:tc>
          <w:tcPr>
            <w:tcW w:w="2025" w:type="dxa"/>
          </w:tcPr>
          <w:p>
            <w:pPr>
              <w:pStyle w:val="TableParagraph"/>
              <w:tabs>
                <w:tab w:pos="619" w:val="left" w:leader="none"/>
              </w:tabs>
              <w:spacing w:line="204" w:lineRule="auto" w:before="72"/>
              <w:ind w:left="619" w:right="108" w:hanging="420"/>
              <w:rPr>
                <w:rFonts w:ascii="Microsoft JhengHei" w:eastAsia="Microsoft JhengHei" w:hint="eastAsia"/>
                <w:b/>
                <w:sz w:val="21"/>
              </w:rPr>
            </w:pPr>
            <w:r>
              <w:rPr>
                <w:rFonts w:ascii="Microsoft JhengHei" w:eastAsia="Microsoft JhengHei" w:hint="eastAsia"/>
                <w:b/>
                <w:sz w:val="21"/>
              </w:rPr>
              <w:t>4.</w:t>
              <w:tab/>
            </w:r>
            <w:r>
              <w:rPr>
                <w:rFonts w:ascii="Microsoft JhengHei" w:eastAsia="Microsoft JhengHei" w:hint="eastAsia"/>
                <w:b/>
                <w:spacing w:val="1"/>
                <w:sz w:val="21"/>
              </w:rPr>
              <w:t>心脏瓣膜介入 手术</w:t>
            </w:r>
          </w:p>
        </w:tc>
        <w:tc>
          <w:tcPr>
            <w:tcW w:w="7727" w:type="dxa"/>
          </w:tcPr>
          <w:p>
            <w:pPr>
              <w:pStyle w:val="TableParagraph"/>
              <w:spacing w:line="273" w:lineRule="auto" w:before="104"/>
              <w:ind w:left="104" w:right="301"/>
              <w:rPr>
                <w:sz w:val="21"/>
              </w:rPr>
            </w:pPr>
            <w:r>
              <w:rPr>
                <w:spacing w:val="-7"/>
                <w:sz w:val="21"/>
              </w:rPr>
              <w:t>为了治疗心脏瓣膜疾病，被保险人实际接受了非开胸的经胸壁打孔内镜手术或经</w:t>
            </w:r>
            <w:r>
              <w:rPr>
                <w:spacing w:val="-5"/>
                <w:sz w:val="21"/>
              </w:rPr>
              <w:t>皮经导管介入手术进行的心脏瓣膜置换或修复手术。</w:t>
            </w:r>
          </w:p>
        </w:tc>
      </w:tr>
      <w:tr>
        <w:trPr>
          <w:trHeight w:val="1786" w:hRule="atLeast"/>
        </w:trPr>
        <w:tc>
          <w:tcPr>
            <w:tcW w:w="2025" w:type="dxa"/>
          </w:tcPr>
          <w:p>
            <w:pPr>
              <w:pStyle w:val="TableParagraph"/>
              <w:spacing w:line="204" w:lineRule="auto" w:before="71"/>
              <w:ind w:left="619" w:right="108" w:hanging="420"/>
              <w:jc w:val="both"/>
              <w:rPr>
                <w:rFonts w:ascii="Microsoft JhengHei" w:eastAsia="Microsoft JhengHei" w:hint="eastAsia"/>
                <w:b/>
                <w:sz w:val="21"/>
              </w:rPr>
            </w:pPr>
            <w:r>
              <w:rPr>
                <w:rFonts w:ascii="Microsoft JhengHei" w:eastAsia="Microsoft JhengHei" w:hint="eastAsia"/>
                <w:b/>
                <w:sz w:val="21"/>
              </w:rPr>
              <w:t>5. 脑垂体瘤、脑囊肿、脑动脉瘤及脑血管瘤</w:t>
            </w:r>
          </w:p>
        </w:tc>
        <w:tc>
          <w:tcPr>
            <w:tcW w:w="7727" w:type="dxa"/>
          </w:tcPr>
          <w:p>
            <w:pPr>
              <w:pStyle w:val="TableParagraph"/>
              <w:spacing w:line="273" w:lineRule="auto" w:before="102"/>
              <w:ind w:left="104" w:right="305"/>
              <w:rPr>
                <w:sz w:val="21"/>
              </w:rPr>
            </w:pPr>
            <w:r>
              <w:rPr>
                <w:sz w:val="21"/>
              </w:rPr>
              <w:t>指被保险人经头颅断层扫描（CT）、核磁共振（MRI）或其他影像学检查被确诊为下列病变，并实际接受了手术或放射治疗。</w:t>
            </w:r>
          </w:p>
          <w:p>
            <w:pPr>
              <w:pStyle w:val="TableParagraph"/>
              <w:spacing w:before="7"/>
              <w:ind w:left="104"/>
              <w:rPr>
                <w:sz w:val="21"/>
              </w:rPr>
            </w:pPr>
            <w:r>
              <w:rPr>
                <w:sz w:val="21"/>
              </w:rPr>
              <w:t>（1）脑垂体瘤；</w:t>
            </w:r>
          </w:p>
          <w:p>
            <w:pPr>
              <w:pStyle w:val="TableParagraph"/>
              <w:spacing w:before="37"/>
              <w:ind w:left="104"/>
              <w:rPr>
                <w:sz w:val="21"/>
              </w:rPr>
            </w:pPr>
            <w:r>
              <w:rPr>
                <w:sz w:val="21"/>
              </w:rPr>
              <w:t>（2）脑囊肿；</w:t>
            </w:r>
          </w:p>
          <w:p>
            <w:pPr>
              <w:pStyle w:val="TableParagraph"/>
              <w:spacing w:before="37"/>
              <w:ind w:left="104"/>
              <w:rPr>
                <w:sz w:val="21"/>
              </w:rPr>
            </w:pPr>
            <w:r>
              <w:rPr>
                <w:sz w:val="21"/>
              </w:rPr>
              <w:t>（3）脑动脉瘤、脑血管瘤。</w:t>
            </w:r>
          </w:p>
        </w:tc>
      </w:tr>
      <w:tr>
        <w:trPr>
          <w:trHeight w:val="2411" w:hRule="atLeast"/>
        </w:trPr>
        <w:tc>
          <w:tcPr>
            <w:tcW w:w="2025" w:type="dxa"/>
          </w:tcPr>
          <w:p>
            <w:pPr>
              <w:pStyle w:val="TableParagraph"/>
              <w:tabs>
                <w:tab w:pos="619" w:val="left" w:leader="none"/>
              </w:tabs>
              <w:spacing w:line="339" w:lineRule="exact" w:before="18"/>
              <w:ind w:left="200"/>
              <w:rPr>
                <w:rFonts w:ascii="Microsoft JhengHei" w:eastAsia="Microsoft JhengHei" w:hint="eastAsia"/>
                <w:b/>
                <w:sz w:val="21"/>
              </w:rPr>
            </w:pPr>
            <w:r>
              <w:rPr>
                <w:rFonts w:ascii="Microsoft JhengHei" w:eastAsia="Microsoft JhengHei" w:hint="eastAsia"/>
                <w:b/>
                <w:sz w:val="21"/>
              </w:rPr>
              <w:t>6.</w:t>
              <w:tab/>
            </w:r>
            <w:r>
              <w:rPr>
                <w:rFonts w:ascii="Microsoft JhengHei" w:eastAsia="Microsoft JhengHei" w:hint="eastAsia"/>
                <w:b/>
                <w:spacing w:val="1"/>
                <w:sz w:val="21"/>
              </w:rPr>
              <w:t>视力严重受损</w:t>
            </w:r>
          </w:p>
          <w:p>
            <w:pPr>
              <w:pStyle w:val="TableParagraph"/>
              <w:spacing w:line="204" w:lineRule="auto" w:before="28"/>
              <w:ind w:left="619" w:right="108"/>
              <w:rPr>
                <w:rFonts w:ascii="Microsoft JhengHei" w:eastAsia="Microsoft JhengHei" w:hint="eastAsia"/>
                <w:b/>
                <w:sz w:val="21"/>
              </w:rPr>
            </w:pPr>
            <w:r>
              <w:rPr>
                <w:rFonts w:ascii="Microsoft JhengHei" w:eastAsia="Microsoft JhengHei" w:hint="eastAsia"/>
                <w:b/>
                <w:sz w:val="21"/>
              </w:rPr>
              <w:t>－三周岁始理赔</w:t>
            </w:r>
          </w:p>
        </w:tc>
        <w:tc>
          <w:tcPr>
            <w:tcW w:w="7727" w:type="dxa"/>
          </w:tcPr>
          <w:p>
            <w:pPr>
              <w:pStyle w:val="TableParagraph"/>
              <w:spacing w:line="273" w:lineRule="auto" w:before="104"/>
              <w:ind w:left="104" w:right="244"/>
              <w:rPr>
                <w:sz w:val="21"/>
              </w:rPr>
            </w:pPr>
            <w:r>
              <w:rPr>
                <w:sz w:val="21"/>
              </w:rPr>
              <w:t>指被保险人因疾病或意外伤害导致双目视力</w:t>
            </w:r>
            <w:r>
              <w:rPr>
                <w:b/>
                <w:sz w:val="21"/>
              </w:rPr>
              <w:t>永久不可逆</w:t>
            </w:r>
            <w:r>
              <w:rPr>
                <w:sz w:val="21"/>
              </w:rPr>
              <w:t>性丧失，虽然未达到重大疾病</w:t>
            </w:r>
            <w:r>
              <w:rPr>
                <w:rFonts w:ascii="Times New Roman" w:hAnsi="Times New Roman" w:eastAsia="Times New Roman"/>
                <w:sz w:val="21"/>
              </w:rPr>
              <w:t>“</w:t>
            </w:r>
            <w:r>
              <w:rPr>
                <w:sz w:val="21"/>
              </w:rPr>
              <w:t>双目失明</w:t>
            </w:r>
            <w:r>
              <w:rPr>
                <w:rFonts w:ascii="Times New Roman" w:hAnsi="Times New Roman" w:eastAsia="Times New Roman"/>
                <w:sz w:val="21"/>
              </w:rPr>
              <w:t>”</w:t>
            </w:r>
            <w:r>
              <w:rPr>
                <w:sz w:val="21"/>
              </w:rPr>
              <w:t>的给付标准，但满足下列条件之一：</w:t>
            </w:r>
          </w:p>
          <w:p>
            <w:pPr>
              <w:pStyle w:val="TableParagraph"/>
              <w:spacing w:line="273" w:lineRule="auto"/>
              <w:ind w:left="630" w:right="249" w:hanging="527"/>
              <w:rPr>
                <w:sz w:val="21"/>
              </w:rPr>
            </w:pPr>
            <w:r>
              <w:rPr>
                <w:sz w:val="21"/>
              </w:rPr>
              <w:t>（1）双眼中较好眼矫正视力低于0.1（采用国际标准视力表，如果使用其他视力表应进行换算）；</w:t>
            </w:r>
          </w:p>
          <w:p>
            <w:pPr>
              <w:pStyle w:val="TableParagraph"/>
              <w:spacing w:before="19"/>
              <w:ind w:left="104"/>
              <w:rPr>
                <w:sz w:val="21"/>
              </w:rPr>
            </w:pPr>
            <w:r>
              <w:rPr>
                <w:sz w:val="21"/>
              </w:rPr>
              <w:t>（2）双眼中较好眼视野半径小于20度。</w:t>
            </w:r>
          </w:p>
          <w:p>
            <w:pPr>
              <w:pStyle w:val="TableParagraph"/>
              <w:spacing w:line="259" w:lineRule="auto" w:before="25"/>
              <w:ind w:left="104" w:right="307"/>
              <w:rPr>
                <w:b/>
                <w:i/>
                <w:sz w:val="22"/>
              </w:rPr>
            </w:pPr>
            <w:r>
              <w:rPr>
                <w:b/>
                <w:i/>
                <w:spacing w:val="-7"/>
                <w:w w:val="95"/>
                <w:sz w:val="22"/>
              </w:rPr>
              <w:t>被保险人申请理赔时年龄必须在三周岁以上，并且提供理赔当时的视力丧失诊断及检查证据。</w:t>
            </w:r>
          </w:p>
        </w:tc>
      </w:tr>
      <w:tr>
        <w:trPr>
          <w:trHeight w:val="850" w:hRule="atLeast"/>
        </w:trPr>
        <w:tc>
          <w:tcPr>
            <w:tcW w:w="2025" w:type="dxa"/>
          </w:tcPr>
          <w:p>
            <w:pPr>
              <w:pStyle w:val="TableParagraph"/>
              <w:tabs>
                <w:tab w:pos="619" w:val="left" w:leader="none"/>
              </w:tabs>
              <w:spacing w:line="204" w:lineRule="auto" w:before="70"/>
              <w:ind w:left="619" w:right="108" w:hanging="420"/>
              <w:rPr>
                <w:rFonts w:ascii="Microsoft JhengHei" w:eastAsia="Microsoft JhengHei" w:hint="eastAsia"/>
                <w:b/>
                <w:sz w:val="21"/>
              </w:rPr>
            </w:pPr>
            <w:r>
              <w:rPr>
                <w:rFonts w:ascii="Microsoft JhengHei" w:eastAsia="Microsoft JhengHei" w:hint="eastAsia"/>
                <w:b/>
                <w:sz w:val="21"/>
              </w:rPr>
              <w:t>7.</w:t>
              <w:tab/>
            </w:r>
            <w:r>
              <w:rPr>
                <w:rFonts w:ascii="Microsoft JhengHei" w:eastAsia="Microsoft JhengHei" w:hint="eastAsia"/>
                <w:b/>
                <w:spacing w:val="1"/>
                <w:sz w:val="21"/>
              </w:rPr>
              <w:t>主动脉内介入 手术</w:t>
            </w:r>
          </w:p>
        </w:tc>
        <w:tc>
          <w:tcPr>
            <w:tcW w:w="7727" w:type="dxa"/>
          </w:tcPr>
          <w:p>
            <w:pPr>
              <w:pStyle w:val="TableParagraph"/>
              <w:spacing w:line="273" w:lineRule="auto" w:before="102"/>
              <w:ind w:left="104" w:right="257"/>
              <w:rPr>
                <w:sz w:val="21"/>
              </w:rPr>
            </w:pPr>
            <w:r>
              <w:rPr>
                <w:sz w:val="21"/>
              </w:rPr>
              <w:t>指被保险人为了治疗主动脉疾病实际实施了经皮经导管进行的动脉内手术。主动脉指胸主动脉和腹主动脉，不包括胸主动脉和腹主动脉的分支血管。</w:t>
            </w:r>
          </w:p>
        </w:tc>
      </w:tr>
      <w:tr>
        <w:trPr>
          <w:trHeight w:val="852" w:hRule="atLeast"/>
        </w:trPr>
        <w:tc>
          <w:tcPr>
            <w:tcW w:w="2025" w:type="dxa"/>
          </w:tcPr>
          <w:p>
            <w:pPr>
              <w:pStyle w:val="TableParagraph"/>
              <w:tabs>
                <w:tab w:pos="619" w:val="left" w:leader="none"/>
              </w:tabs>
              <w:spacing w:line="204" w:lineRule="auto" w:before="72"/>
              <w:ind w:left="619" w:right="107" w:hanging="420"/>
              <w:rPr>
                <w:rFonts w:ascii="Microsoft JhengHei" w:eastAsia="Microsoft JhengHei" w:hint="eastAsia"/>
                <w:b/>
                <w:sz w:val="21"/>
              </w:rPr>
            </w:pPr>
            <w:r>
              <w:rPr>
                <w:rFonts w:ascii="Microsoft JhengHei" w:eastAsia="Microsoft JhengHei" w:hint="eastAsia"/>
                <w:b/>
                <w:sz w:val="21"/>
              </w:rPr>
              <w:t>8.</w:t>
              <w:tab/>
            </w:r>
            <w:r>
              <w:rPr>
                <w:rFonts w:ascii="Microsoft JhengHei" w:eastAsia="Microsoft JhengHei" w:hint="eastAsia"/>
                <w:b/>
                <w:spacing w:val="5"/>
                <w:sz w:val="21"/>
              </w:rPr>
              <w:t>较小面积</w:t>
            </w:r>
            <w:r>
              <w:rPr>
                <w:rFonts w:ascii="Microsoft JhengHei" w:eastAsia="Microsoft JhengHei" w:hint="eastAsia"/>
                <w:b/>
                <w:sz w:val="21"/>
              </w:rPr>
              <w:t>III</w:t>
            </w:r>
            <w:r>
              <w:rPr>
                <w:rFonts w:ascii="Microsoft JhengHei" w:eastAsia="Microsoft JhengHei" w:hint="eastAsia"/>
                <w:b/>
                <w:spacing w:val="-13"/>
                <w:sz w:val="21"/>
              </w:rPr>
              <w:t> 度</w:t>
            </w:r>
            <w:r>
              <w:rPr>
                <w:rFonts w:ascii="Microsoft JhengHei" w:eastAsia="Microsoft JhengHei" w:hint="eastAsia"/>
                <w:b/>
                <w:spacing w:val="-13"/>
                <w:w w:val="95"/>
                <w:sz w:val="21"/>
              </w:rPr>
              <w:t>烧伤（10%）</w:t>
            </w:r>
          </w:p>
        </w:tc>
        <w:tc>
          <w:tcPr>
            <w:tcW w:w="7727" w:type="dxa"/>
          </w:tcPr>
          <w:p>
            <w:pPr>
              <w:pStyle w:val="TableParagraph"/>
              <w:spacing w:line="273" w:lineRule="auto" w:before="103"/>
              <w:ind w:left="104" w:right="303"/>
              <w:rPr>
                <w:sz w:val="21"/>
              </w:rPr>
            </w:pPr>
            <w:r>
              <w:rPr>
                <w:sz w:val="21"/>
              </w:rPr>
              <w:t>指被保险人的烧伤程度为Ⅲ度，且Ⅲ度烧伤的面积大于全身体表面积的10%但小于20%。体表面积根据《中国新九分法》计算。</w:t>
            </w:r>
          </w:p>
        </w:tc>
      </w:tr>
      <w:tr>
        <w:trPr>
          <w:trHeight w:val="1786" w:hRule="atLeast"/>
        </w:trPr>
        <w:tc>
          <w:tcPr>
            <w:tcW w:w="2025" w:type="dxa"/>
          </w:tcPr>
          <w:p>
            <w:pPr>
              <w:pStyle w:val="TableParagraph"/>
              <w:spacing w:line="204" w:lineRule="auto" w:before="72"/>
              <w:ind w:left="619" w:right="102" w:hanging="420"/>
              <w:jc w:val="both"/>
              <w:rPr>
                <w:rFonts w:ascii="Microsoft JhengHei" w:hAnsi="Microsoft JhengHei" w:eastAsia="Microsoft JhengHei" w:hint="eastAsia"/>
                <w:b/>
                <w:sz w:val="21"/>
              </w:rPr>
            </w:pPr>
            <w:r>
              <w:rPr>
                <w:rFonts w:ascii="Microsoft JhengHei" w:hAnsi="Microsoft JhengHei" w:eastAsia="Microsoft JhengHei" w:hint="eastAsia"/>
                <w:b/>
                <w:sz w:val="21"/>
              </w:rPr>
              <w:t>9. 慢性肾功能损害 </w:t>
            </w:r>
            <w:r>
              <w:rPr>
                <w:b/>
                <w:sz w:val="21"/>
              </w:rPr>
              <w:t>– </w:t>
            </w:r>
            <w:r>
              <w:rPr>
                <w:rFonts w:ascii="Microsoft JhengHei" w:hAnsi="Microsoft JhengHei" w:eastAsia="Microsoft JhengHei" w:hint="eastAsia"/>
                <w:b/>
                <w:sz w:val="21"/>
              </w:rPr>
              <w:t>肾功能衰竭期</w:t>
            </w:r>
          </w:p>
        </w:tc>
        <w:tc>
          <w:tcPr>
            <w:tcW w:w="7727" w:type="dxa"/>
          </w:tcPr>
          <w:p>
            <w:pPr>
              <w:pStyle w:val="TableParagraph"/>
              <w:spacing w:line="273" w:lineRule="auto" w:before="103"/>
              <w:ind w:left="104" w:right="257"/>
              <w:rPr>
                <w:sz w:val="21"/>
              </w:rPr>
            </w:pPr>
            <w:r>
              <w:rPr>
                <w:sz w:val="21"/>
              </w:rPr>
              <w:t>指被保险人因双肾功能慢性不可逆性损害达到肾功能衰竭期，诊断必须满足所有以下标准。</w:t>
            </w:r>
          </w:p>
          <w:p>
            <w:pPr>
              <w:pStyle w:val="TableParagraph"/>
              <w:spacing w:before="7"/>
              <w:ind w:left="104"/>
              <w:rPr>
                <w:sz w:val="21"/>
              </w:rPr>
            </w:pPr>
            <w:r>
              <w:rPr>
                <w:sz w:val="21"/>
              </w:rPr>
              <w:t>（1）GFR&lt;25%；</w:t>
            </w:r>
          </w:p>
          <w:p>
            <w:pPr>
              <w:pStyle w:val="TableParagraph"/>
              <w:spacing w:before="37"/>
              <w:ind w:left="104"/>
              <w:rPr>
                <w:sz w:val="21"/>
              </w:rPr>
            </w:pPr>
            <w:r>
              <w:rPr>
                <w:sz w:val="21"/>
              </w:rPr>
              <w:t>（2）Scr&gt;5mg/dl或&gt;442umol/L；</w:t>
            </w:r>
          </w:p>
          <w:p>
            <w:pPr>
              <w:pStyle w:val="TableParagraph"/>
              <w:spacing w:before="37"/>
              <w:ind w:left="104"/>
              <w:rPr>
                <w:sz w:val="21"/>
              </w:rPr>
            </w:pPr>
            <w:r>
              <w:rPr>
                <w:sz w:val="21"/>
              </w:rPr>
              <w:t>（3）持续180天。</w:t>
            </w:r>
          </w:p>
        </w:tc>
      </w:tr>
      <w:tr>
        <w:trPr>
          <w:trHeight w:val="2411" w:hRule="atLeast"/>
        </w:trPr>
        <w:tc>
          <w:tcPr>
            <w:tcW w:w="2025" w:type="dxa"/>
          </w:tcPr>
          <w:p>
            <w:pPr>
              <w:pStyle w:val="TableParagraph"/>
              <w:spacing w:before="16"/>
              <w:ind w:left="200"/>
              <w:rPr>
                <w:rFonts w:ascii="Microsoft JhengHei" w:eastAsia="Microsoft JhengHei" w:hint="eastAsia"/>
                <w:b/>
                <w:sz w:val="21"/>
              </w:rPr>
            </w:pPr>
            <w:r>
              <w:rPr>
                <w:rFonts w:ascii="Microsoft JhengHei" w:eastAsia="Microsoft JhengHei" w:hint="eastAsia"/>
                <w:b/>
                <w:sz w:val="21"/>
              </w:rPr>
              <w:t>10.  重症头部外伤</w:t>
            </w:r>
          </w:p>
        </w:tc>
        <w:tc>
          <w:tcPr>
            <w:tcW w:w="7727" w:type="dxa"/>
          </w:tcPr>
          <w:p>
            <w:pPr>
              <w:pStyle w:val="TableParagraph"/>
              <w:spacing w:line="273" w:lineRule="auto" w:before="102"/>
              <w:ind w:left="104" w:right="286"/>
              <w:jc w:val="both"/>
              <w:rPr>
                <w:sz w:val="21"/>
              </w:rPr>
            </w:pPr>
            <w:r>
              <w:rPr>
                <w:spacing w:val="-17"/>
                <w:w w:val="100"/>
                <w:sz w:val="21"/>
              </w:rPr>
              <w:t>指因头部遭受机械性外力伤害，引起脑重要部位损伤，并且由头颅断层扫描</w:t>
            </w:r>
            <w:r>
              <w:rPr>
                <w:w w:val="100"/>
                <w:sz w:val="21"/>
              </w:rPr>
              <w:t>（C</w:t>
            </w:r>
            <w:r>
              <w:rPr>
                <w:spacing w:val="-3"/>
                <w:w w:val="100"/>
                <w:sz w:val="21"/>
              </w:rPr>
              <w:t>T</w:t>
            </w:r>
            <w:r>
              <w:rPr>
                <w:spacing w:val="-89"/>
                <w:w w:val="100"/>
                <w:sz w:val="21"/>
              </w:rPr>
              <w:t>）、</w:t>
            </w:r>
            <w:r>
              <w:rPr>
                <w:spacing w:val="-4"/>
                <w:sz w:val="21"/>
              </w:rPr>
              <w:t>核磁共振检查</w:t>
            </w:r>
            <w:r>
              <w:rPr>
                <w:spacing w:val="-3"/>
                <w:sz w:val="21"/>
              </w:rPr>
              <w:t>（MRI）</w:t>
            </w:r>
            <w:r>
              <w:rPr>
                <w:spacing w:val="-4"/>
                <w:sz w:val="21"/>
              </w:rPr>
              <w:t>或正电子发射断层扫描</w:t>
            </w:r>
            <w:r>
              <w:rPr>
                <w:spacing w:val="-3"/>
                <w:sz w:val="21"/>
              </w:rPr>
              <w:t>（PET）</w:t>
            </w:r>
            <w:r>
              <w:rPr>
                <w:spacing w:val="-4"/>
                <w:sz w:val="21"/>
              </w:rPr>
              <w:t>等影像学检查证实。头部外</w:t>
            </w:r>
            <w:r>
              <w:rPr>
                <w:spacing w:val="-6"/>
                <w:sz w:val="21"/>
              </w:rPr>
              <w:t>伤导致神经系统功能障碍，虽然未达到重大疾病“严重脑损伤”的给付标准，但</w:t>
            </w:r>
            <w:r>
              <w:rPr>
                <w:spacing w:val="-4"/>
                <w:sz w:val="21"/>
              </w:rPr>
              <w:t>是符合以下条件之一：</w:t>
            </w:r>
          </w:p>
          <w:p>
            <w:pPr>
              <w:pStyle w:val="TableParagraph"/>
              <w:spacing w:before="7"/>
              <w:ind w:left="104"/>
              <w:rPr>
                <w:sz w:val="21"/>
              </w:rPr>
            </w:pPr>
            <w:r>
              <w:rPr>
                <w:sz w:val="21"/>
              </w:rPr>
              <w:t>（1）被保险人接受了全麻下颅骨切开颅内血肿清除术（颅骨钻孔术除外）；</w:t>
            </w:r>
          </w:p>
          <w:p>
            <w:pPr>
              <w:pStyle w:val="TableParagraph"/>
              <w:spacing w:line="273" w:lineRule="auto" w:before="37"/>
              <w:ind w:left="630" w:right="303" w:hanging="527"/>
              <w:rPr>
                <w:sz w:val="21"/>
              </w:rPr>
            </w:pPr>
            <w:r>
              <w:rPr>
                <w:sz w:val="21"/>
              </w:rPr>
              <w:t>（2）</w:t>
            </w:r>
            <w:r>
              <w:rPr>
                <w:spacing w:val="-11"/>
                <w:sz w:val="21"/>
              </w:rPr>
              <w:t>在外伤 </w:t>
            </w:r>
            <w:r>
              <w:rPr>
                <w:sz w:val="21"/>
              </w:rPr>
              <w:t>180</w:t>
            </w:r>
            <w:r>
              <w:rPr>
                <w:spacing w:val="-10"/>
                <w:sz w:val="21"/>
              </w:rPr>
              <w:t> 天后仍然遗留一肢或一肢以上肢体肌力 </w:t>
            </w:r>
            <w:r>
              <w:rPr>
                <w:sz w:val="21"/>
              </w:rPr>
              <w:t>III</w:t>
            </w:r>
            <w:r>
              <w:rPr>
                <w:spacing w:val="-20"/>
                <w:sz w:val="21"/>
              </w:rPr>
              <w:t> 级或 </w:t>
            </w:r>
            <w:r>
              <w:rPr>
                <w:sz w:val="21"/>
              </w:rPr>
              <w:t>III</w:t>
            </w:r>
            <w:r>
              <w:rPr>
                <w:spacing w:val="-10"/>
                <w:sz w:val="21"/>
              </w:rPr>
              <w:t> 级以下的</w:t>
            </w:r>
            <w:r>
              <w:rPr>
                <w:spacing w:val="-5"/>
                <w:sz w:val="21"/>
              </w:rPr>
              <w:t>运动功能障碍。</w:t>
            </w:r>
          </w:p>
        </w:tc>
      </w:tr>
      <w:tr>
        <w:trPr>
          <w:trHeight w:val="690" w:hRule="atLeast"/>
        </w:trPr>
        <w:tc>
          <w:tcPr>
            <w:tcW w:w="2025" w:type="dxa"/>
          </w:tcPr>
          <w:p>
            <w:pPr>
              <w:pStyle w:val="TableParagraph"/>
              <w:spacing w:before="18"/>
              <w:ind w:left="200"/>
              <w:rPr>
                <w:rFonts w:ascii="Microsoft JhengHei" w:eastAsia="Microsoft JhengHei" w:hint="eastAsia"/>
                <w:b/>
                <w:sz w:val="21"/>
              </w:rPr>
            </w:pPr>
            <w:r>
              <w:rPr>
                <w:rFonts w:ascii="Microsoft JhengHei" w:eastAsia="Microsoft JhengHei" w:hint="eastAsia"/>
                <w:b/>
                <w:sz w:val="21"/>
              </w:rPr>
              <w:t>11.  单个肢体缺失</w:t>
            </w:r>
          </w:p>
        </w:tc>
        <w:tc>
          <w:tcPr>
            <w:tcW w:w="7727" w:type="dxa"/>
          </w:tcPr>
          <w:p>
            <w:pPr>
              <w:pStyle w:val="TableParagraph"/>
              <w:spacing w:line="310" w:lineRule="atLeast" w:before="68"/>
              <w:ind w:left="104" w:right="246"/>
              <w:rPr>
                <w:sz w:val="21"/>
              </w:rPr>
            </w:pPr>
            <w:r>
              <w:rPr>
                <w:sz w:val="21"/>
              </w:rPr>
              <w:t>指因疾病或意外伤害导致一个肢体自腕关节或踝关节近端（靠近躯干端）以上完全性断离。</w:t>
            </w:r>
          </w:p>
        </w:tc>
      </w:tr>
    </w:tbl>
    <w:p>
      <w:pPr>
        <w:spacing w:after="0" w:line="310" w:lineRule="atLeast"/>
        <w:rPr>
          <w:sz w:val="21"/>
        </w:rPr>
        <w:sectPr>
          <w:pgSz w:w="11910" w:h="16840"/>
          <w:pgMar w:header="0" w:footer="358" w:top="1160" w:bottom="540" w:left="1360" w:right="56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2"/>
        <w:gridCol w:w="7727"/>
      </w:tblGrid>
      <w:tr>
        <w:trPr>
          <w:trHeight w:val="691" w:hRule="atLeast"/>
        </w:trPr>
        <w:tc>
          <w:tcPr>
            <w:tcW w:w="2022" w:type="dxa"/>
          </w:tcPr>
          <w:p>
            <w:pPr>
              <w:pStyle w:val="TableParagraph"/>
              <w:spacing w:line="222" w:lineRule="exact"/>
              <w:ind w:left="200"/>
              <w:rPr>
                <w:rFonts w:ascii="Microsoft JhengHei" w:eastAsia="Microsoft JhengHei" w:hint="eastAsia"/>
                <w:b/>
                <w:sz w:val="21"/>
              </w:rPr>
            </w:pPr>
            <w:r>
              <w:rPr>
                <w:rFonts w:ascii="Microsoft JhengHei" w:eastAsia="Microsoft JhengHei" w:hint="eastAsia"/>
                <w:b/>
                <w:sz w:val="21"/>
              </w:rPr>
              <w:t>12.  单侧肺脏切除</w:t>
            </w:r>
          </w:p>
        </w:tc>
        <w:tc>
          <w:tcPr>
            <w:tcW w:w="7727" w:type="dxa"/>
          </w:tcPr>
          <w:p>
            <w:pPr>
              <w:pStyle w:val="TableParagraph"/>
              <w:spacing w:line="218" w:lineRule="exact"/>
              <w:ind w:left="107"/>
              <w:rPr>
                <w:sz w:val="21"/>
              </w:rPr>
            </w:pPr>
            <w:r>
              <w:rPr>
                <w:sz w:val="21"/>
              </w:rPr>
              <w:t>指因疾病或意外事故实际实施的一侧肺脏切除术。</w:t>
            </w:r>
          </w:p>
          <w:p>
            <w:pPr>
              <w:pStyle w:val="TableParagraph"/>
              <w:spacing w:before="25"/>
              <w:ind w:left="107"/>
              <w:rPr>
                <w:b/>
                <w:i/>
                <w:sz w:val="22"/>
              </w:rPr>
            </w:pPr>
            <w:r>
              <w:rPr>
                <w:b/>
                <w:i/>
                <w:w w:val="95"/>
                <w:sz w:val="22"/>
              </w:rPr>
              <w:t>肺脏部分切除手术和肺脏捐献引起的手术不在保障范围内。</w:t>
            </w:r>
          </w:p>
        </w:tc>
      </w:tr>
      <w:tr>
        <w:trPr>
          <w:trHeight w:val="1473" w:hRule="atLeast"/>
        </w:trPr>
        <w:tc>
          <w:tcPr>
            <w:tcW w:w="2022" w:type="dxa"/>
          </w:tcPr>
          <w:p>
            <w:pPr>
              <w:pStyle w:val="TableParagraph"/>
              <w:spacing w:before="17"/>
              <w:ind w:left="200"/>
              <w:rPr>
                <w:rFonts w:ascii="Microsoft JhengHei" w:eastAsia="Microsoft JhengHei" w:hint="eastAsia"/>
                <w:b/>
                <w:sz w:val="21"/>
              </w:rPr>
            </w:pPr>
            <w:r>
              <w:rPr>
                <w:rFonts w:ascii="Microsoft JhengHei" w:eastAsia="Microsoft JhengHei" w:hint="eastAsia"/>
                <w:b/>
                <w:sz w:val="21"/>
              </w:rPr>
              <w:t>13.  肝脏手术</w:t>
            </w:r>
          </w:p>
        </w:tc>
        <w:tc>
          <w:tcPr>
            <w:tcW w:w="7727" w:type="dxa"/>
          </w:tcPr>
          <w:p>
            <w:pPr>
              <w:pStyle w:val="TableParagraph"/>
              <w:spacing w:line="273" w:lineRule="auto" w:before="103"/>
              <w:ind w:left="107" w:right="301"/>
              <w:rPr>
                <w:sz w:val="21"/>
              </w:rPr>
            </w:pPr>
            <w:r>
              <w:rPr>
                <w:spacing w:val="-7"/>
                <w:sz w:val="21"/>
              </w:rPr>
              <w:t>指为治疗肝脏肿瘤、肝内胆管结石、肝脓肿、肝包虫病等疾病而实际实施的肝脏</w:t>
            </w:r>
            <w:r>
              <w:rPr>
                <w:spacing w:val="-5"/>
                <w:sz w:val="21"/>
              </w:rPr>
              <w:t>部分切除术。</w:t>
            </w:r>
          </w:p>
          <w:p>
            <w:pPr>
              <w:pStyle w:val="TableParagraph"/>
              <w:spacing w:line="259" w:lineRule="auto"/>
              <w:ind w:left="107" w:right="302"/>
              <w:rPr>
                <w:b/>
                <w:i/>
                <w:sz w:val="22"/>
              </w:rPr>
            </w:pPr>
            <w:r>
              <w:rPr>
                <w:b/>
                <w:i/>
                <w:w w:val="95"/>
                <w:sz w:val="22"/>
              </w:rPr>
              <w:t>因酒精或者滥用药物引致的疾病或者紊乱及/或者因捐赠肝脏而所需的肝脏手术均不在保障范围内。</w:t>
            </w:r>
          </w:p>
        </w:tc>
      </w:tr>
      <w:tr>
        <w:trPr>
          <w:trHeight w:val="1164" w:hRule="atLeast"/>
        </w:trPr>
        <w:tc>
          <w:tcPr>
            <w:tcW w:w="2022" w:type="dxa"/>
          </w:tcPr>
          <w:p>
            <w:pPr>
              <w:pStyle w:val="TableParagraph"/>
              <w:spacing w:line="201" w:lineRule="auto" w:before="68"/>
              <w:ind w:left="619" w:right="135" w:hanging="420"/>
              <w:rPr>
                <w:rFonts w:ascii="Microsoft JhengHei" w:eastAsia="Microsoft JhengHei" w:hint="eastAsia"/>
                <w:b/>
                <w:sz w:val="21"/>
              </w:rPr>
            </w:pPr>
            <w:r>
              <w:rPr>
                <w:rFonts w:ascii="Microsoft JhengHei" w:eastAsia="Microsoft JhengHei" w:hint="eastAsia"/>
                <w:b/>
                <w:sz w:val="22"/>
              </w:rPr>
              <w:t>14. </w:t>
            </w:r>
            <w:r>
              <w:rPr>
                <w:rFonts w:ascii="Microsoft JhengHei" w:eastAsia="Microsoft JhengHei" w:hint="eastAsia"/>
                <w:b/>
                <w:sz w:val="21"/>
              </w:rPr>
              <w:t>早期运动神经性疾病</w:t>
            </w:r>
          </w:p>
        </w:tc>
        <w:tc>
          <w:tcPr>
            <w:tcW w:w="7727" w:type="dxa"/>
          </w:tcPr>
          <w:p>
            <w:pPr>
              <w:pStyle w:val="TableParagraph"/>
              <w:spacing w:line="273" w:lineRule="auto" w:before="105"/>
              <w:ind w:left="107" w:right="298"/>
              <w:jc w:val="both"/>
              <w:rPr>
                <w:sz w:val="21"/>
              </w:rPr>
            </w:pPr>
            <w:r>
              <w:rPr>
                <w:spacing w:val="-5"/>
                <w:sz w:val="21"/>
              </w:rPr>
              <w:t>是一组中枢神经系统运动神经元的进行性变性疾病，进行性脊肌萎缩症、进行性</w:t>
            </w:r>
            <w:r>
              <w:rPr>
                <w:spacing w:val="-8"/>
                <w:sz w:val="21"/>
              </w:rPr>
              <w:t>延髓麻痹症、原发性侧索硬化症、肌萎缩性侧索硬化症。须满足自主生活能力完</w:t>
            </w:r>
            <w:r>
              <w:rPr>
                <w:spacing w:val="-5"/>
                <w:sz w:val="21"/>
              </w:rPr>
              <w:t>全丧失，无法独立完成</w:t>
            </w:r>
            <w:r>
              <w:rPr>
                <w:b/>
                <w:sz w:val="21"/>
              </w:rPr>
              <w:t>六项基本日常生活活动</w:t>
            </w:r>
            <w:r>
              <w:rPr>
                <w:spacing w:val="-2"/>
                <w:sz w:val="21"/>
              </w:rPr>
              <w:t>中的两项。</w:t>
            </w:r>
          </w:p>
        </w:tc>
      </w:tr>
      <w:tr>
        <w:trPr>
          <w:trHeight w:val="1475" w:hRule="atLeast"/>
        </w:trPr>
        <w:tc>
          <w:tcPr>
            <w:tcW w:w="2022" w:type="dxa"/>
          </w:tcPr>
          <w:p>
            <w:pPr>
              <w:pStyle w:val="TableParagraph"/>
              <w:spacing w:line="204" w:lineRule="auto" w:before="71"/>
              <w:ind w:left="619" w:right="105" w:hanging="420"/>
              <w:rPr>
                <w:rFonts w:ascii="Microsoft JhengHei" w:eastAsia="Microsoft JhengHei" w:hint="eastAsia"/>
                <w:b/>
                <w:sz w:val="21"/>
              </w:rPr>
            </w:pPr>
            <w:r>
              <w:rPr>
                <w:rFonts w:ascii="Microsoft JhengHei" w:eastAsia="Microsoft JhengHei" w:hint="eastAsia"/>
                <w:b/>
                <w:sz w:val="21"/>
              </w:rPr>
              <w:t>15. 人工耳蜗植入术</w:t>
            </w:r>
          </w:p>
        </w:tc>
        <w:tc>
          <w:tcPr>
            <w:tcW w:w="7727" w:type="dxa"/>
          </w:tcPr>
          <w:p>
            <w:pPr>
              <w:pStyle w:val="TableParagraph"/>
              <w:spacing w:line="273" w:lineRule="auto" w:before="102"/>
              <w:ind w:left="107" w:right="254"/>
              <w:rPr>
                <w:sz w:val="21"/>
              </w:rPr>
            </w:pPr>
            <w:r>
              <w:rPr>
                <w:sz w:val="21"/>
              </w:rPr>
              <w:t>指由于耳蜗的永久损害而实际实施了人工耳蜗植入手术。诊断须经专科医师确认在医学上是必要的，且在植入手术之前已经符合下列全部条件：</w:t>
            </w:r>
          </w:p>
          <w:p>
            <w:pPr>
              <w:pStyle w:val="TableParagraph"/>
              <w:spacing w:before="7"/>
              <w:ind w:left="107"/>
              <w:rPr>
                <w:sz w:val="21"/>
              </w:rPr>
            </w:pPr>
            <w:r>
              <w:rPr>
                <w:sz w:val="21"/>
              </w:rPr>
              <w:t>（1）双耳持续12个月以上重度感音神经性耳聋；</w:t>
            </w:r>
          </w:p>
          <w:p>
            <w:pPr>
              <w:pStyle w:val="TableParagraph"/>
              <w:spacing w:before="37"/>
              <w:ind w:left="107"/>
              <w:rPr>
                <w:sz w:val="21"/>
              </w:rPr>
            </w:pPr>
            <w:r>
              <w:rPr>
                <w:sz w:val="21"/>
              </w:rPr>
              <w:t>（2）使用相应的听力辅助设备效果不佳。</w:t>
            </w:r>
          </w:p>
        </w:tc>
      </w:tr>
      <w:tr>
        <w:trPr>
          <w:trHeight w:val="1163" w:hRule="atLeast"/>
        </w:trPr>
        <w:tc>
          <w:tcPr>
            <w:tcW w:w="2022" w:type="dxa"/>
          </w:tcPr>
          <w:p>
            <w:pPr>
              <w:pStyle w:val="TableParagraph"/>
              <w:spacing w:before="18"/>
              <w:ind w:left="200"/>
              <w:rPr>
                <w:rFonts w:ascii="Microsoft JhengHei" w:eastAsia="Microsoft JhengHei" w:hint="eastAsia"/>
                <w:b/>
                <w:sz w:val="21"/>
              </w:rPr>
            </w:pPr>
            <w:r>
              <w:rPr>
                <w:rFonts w:ascii="Microsoft JhengHei" w:eastAsia="Microsoft JhengHei" w:hint="eastAsia"/>
                <w:b/>
                <w:sz w:val="21"/>
              </w:rPr>
              <w:t>16.  胆道重建手术</w:t>
            </w:r>
          </w:p>
        </w:tc>
        <w:tc>
          <w:tcPr>
            <w:tcW w:w="7727" w:type="dxa"/>
          </w:tcPr>
          <w:p>
            <w:pPr>
              <w:pStyle w:val="TableParagraph"/>
              <w:spacing w:line="273" w:lineRule="auto" w:before="104"/>
              <w:ind w:left="107" w:right="254"/>
              <w:rPr>
                <w:sz w:val="21"/>
              </w:rPr>
            </w:pPr>
            <w:r>
              <w:rPr>
                <w:sz w:val="21"/>
              </w:rPr>
              <w:t>指因疾病或胆道创伤导致接受涉及胆总管小肠吻合术的胆道重建手术。手术必须在专科医生认为是医疗所需的情况下进行。</w:t>
            </w:r>
          </w:p>
          <w:p>
            <w:pPr>
              <w:pStyle w:val="TableParagraph"/>
              <w:spacing w:line="300" w:lineRule="exact"/>
              <w:ind w:left="107"/>
              <w:rPr>
                <w:b/>
                <w:i/>
                <w:sz w:val="22"/>
              </w:rPr>
            </w:pPr>
            <w:r>
              <w:rPr>
                <w:b/>
                <w:i/>
                <w:w w:val="95"/>
                <w:sz w:val="22"/>
              </w:rPr>
              <w:t>胆道闭锁并</w:t>
            </w:r>
            <w:r>
              <w:rPr>
                <w:rFonts w:ascii="Arial" w:eastAsia="Arial"/>
                <w:b/>
                <w:i/>
                <w:w w:val="95"/>
                <w:sz w:val="22"/>
              </w:rPr>
              <w:t>不</w:t>
            </w:r>
            <w:r>
              <w:rPr>
                <w:b/>
                <w:i/>
                <w:w w:val="95"/>
                <w:sz w:val="22"/>
              </w:rPr>
              <w:t>在保障范围内。</w:t>
            </w:r>
          </w:p>
        </w:tc>
      </w:tr>
      <w:tr>
        <w:trPr>
          <w:trHeight w:val="1162" w:hRule="atLeast"/>
        </w:trPr>
        <w:tc>
          <w:tcPr>
            <w:tcW w:w="2022" w:type="dxa"/>
          </w:tcPr>
          <w:p>
            <w:pPr>
              <w:pStyle w:val="TableParagraph"/>
              <w:spacing w:line="204" w:lineRule="auto" w:before="70"/>
              <w:ind w:left="619" w:right="135" w:hanging="420"/>
              <w:rPr>
                <w:rFonts w:ascii="Microsoft JhengHei" w:eastAsia="Microsoft JhengHei" w:hint="eastAsia"/>
                <w:b/>
                <w:sz w:val="21"/>
              </w:rPr>
            </w:pPr>
            <w:r>
              <w:rPr>
                <w:rFonts w:ascii="Microsoft JhengHei" w:eastAsia="Microsoft JhengHei" w:hint="eastAsia"/>
                <w:b/>
                <w:sz w:val="21"/>
              </w:rPr>
              <w:t>17. 双侧卵巢或睾丸切除术</w:t>
            </w:r>
          </w:p>
        </w:tc>
        <w:tc>
          <w:tcPr>
            <w:tcW w:w="7727" w:type="dxa"/>
          </w:tcPr>
          <w:p>
            <w:pPr>
              <w:pStyle w:val="TableParagraph"/>
              <w:spacing w:line="273" w:lineRule="auto" w:before="102"/>
              <w:ind w:left="107" w:right="308"/>
              <w:rPr>
                <w:sz w:val="21"/>
              </w:rPr>
            </w:pPr>
            <w:r>
              <w:rPr>
                <w:sz w:val="21"/>
              </w:rPr>
              <w:t>指为治疗疾病实际接受了经腹部切开或腹腔镜进行的双侧卵巢或睾丸完全切除手术。</w:t>
            </w:r>
          </w:p>
          <w:p>
            <w:pPr>
              <w:pStyle w:val="TableParagraph"/>
              <w:spacing w:line="284" w:lineRule="exact"/>
              <w:ind w:left="107"/>
              <w:rPr>
                <w:b/>
                <w:i/>
                <w:sz w:val="22"/>
              </w:rPr>
            </w:pPr>
            <w:r>
              <w:rPr>
                <w:b/>
                <w:i/>
                <w:w w:val="95"/>
                <w:sz w:val="22"/>
              </w:rPr>
              <w:t>部分卵巢或睾丸切除不在保障范围。</w:t>
            </w:r>
          </w:p>
        </w:tc>
      </w:tr>
      <w:tr>
        <w:trPr>
          <w:trHeight w:val="852" w:hRule="atLeast"/>
        </w:trPr>
        <w:tc>
          <w:tcPr>
            <w:tcW w:w="2022" w:type="dxa"/>
          </w:tcPr>
          <w:p>
            <w:pPr>
              <w:pStyle w:val="TableParagraph"/>
              <w:spacing w:before="17"/>
              <w:ind w:left="200"/>
              <w:rPr>
                <w:rFonts w:ascii="Microsoft JhengHei" w:eastAsia="Microsoft JhengHei" w:hint="eastAsia"/>
                <w:b/>
                <w:sz w:val="21"/>
              </w:rPr>
            </w:pPr>
            <w:r>
              <w:rPr>
                <w:rFonts w:ascii="Microsoft JhengHei" w:eastAsia="Microsoft JhengHei" w:hint="eastAsia"/>
                <w:b/>
                <w:sz w:val="21"/>
              </w:rPr>
              <w:t>18.  单侧肾脏切除</w:t>
            </w:r>
          </w:p>
        </w:tc>
        <w:tc>
          <w:tcPr>
            <w:tcW w:w="7727" w:type="dxa"/>
          </w:tcPr>
          <w:p>
            <w:pPr>
              <w:pStyle w:val="TableParagraph"/>
              <w:spacing w:before="103"/>
              <w:ind w:left="107"/>
              <w:rPr>
                <w:sz w:val="21"/>
              </w:rPr>
            </w:pPr>
            <w:r>
              <w:rPr>
                <w:sz w:val="21"/>
              </w:rPr>
              <w:t>指因疾病或意外事故实际实施的一侧肾脏切除术。</w:t>
            </w:r>
          </w:p>
          <w:p>
            <w:pPr>
              <w:pStyle w:val="TableParagraph"/>
              <w:spacing w:before="25"/>
              <w:ind w:left="107"/>
              <w:rPr>
                <w:b/>
                <w:i/>
                <w:sz w:val="22"/>
              </w:rPr>
            </w:pPr>
            <w:r>
              <w:rPr>
                <w:b/>
                <w:i/>
                <w:w w:val="95"/>
                <w:sz w:val="22"/>
              </w:rPr>
              <w:t>肾脏部分切除手术和肾脏捐献引起的手术不在保障范围内。</w:t>
            </w:r>
          </w:p>
        </w:tc>
      </w:tr>
      <w:tr>
        <w:trPr>
          <w:trHeight w:val="850" w:hRule="atLeast"/>
        </w:trPr>
        <w:tc>
          <w:tcPr>
            <w:tcW w:w="2022" w:type="dxa"/>
          </w:tcPr>
          <w:p>
            <w:pPr>
              <w:pStyle w:val="TableParagraph"/>
              <w:spacing w:before="17"/>
              <w:ind w:left="200"/>
              <w:rPr>
                <w:rFonts w:ascii="Microsoft JhengHei" w:eastAsia="Microsoft JhengHei" w:hint="eastAsia"/>
                <w:b/>
                <w:sz w:val="21"/>
              </w:rPr>
            </w:pPr>
            <w:r>
              <w:rPr>
                <w:rFonts w:ascii="Microsoft JhengHei" w:eastAsia="Microsoft JhengHei" w:hint="eastAsia"/>
                <w:b/>
                <w:sz w:val="21"/>
              </w:rPr>
              <w:t>19.  肝叶切除</w:t>
            </w:r>
          </w:p>
        </w:tc>
        <w:tc>
          <w:tcPr>
            <w:tcW w:w="7727" w:type="dxa"/>
          </w:tcPr>
          <w:p>
            <w:pPr>
              <w:pStyle w:val="TableParagraph"/>
              <w:spacing w:line="273" w:lineRule="auto" w:before="103"/>
              <w:ind w:left="107" w:right="298"/>
              <w:rPr>
                <w:sz w:val="21"/>
              </w:rPr>
            </w:pPr>
            <w:r>
              <w:rPr>
                <w:spacing w:val="-6"/>
                <w:sz w:val="21"/>
              </w:rPr>
              <w:t>因意外伤害导致的大块肝组织离断、破碎或大胆管破裂无法修补而实际实施的至</w:t>
            </w:r>
            <w:r>
              <w:rPr>
                <w:spacing w:val="-4"/>
                <w:sz w:val="21"/>
              </w:rPr>
              <w:t>少一整叶肝脏的切除手术。</w:t>
            </w:r>
          </w:p>
        </w:tc>
      </w:tr>
      <w:tr>
        <w:trPr>
          <w:trHeight w:val="1475" w:hRule="atLeast"/>
        </w:trPr>
        <w:tc>
          <w:tcPr>
            <w:tcW w:w="2022" w:type="dxa"/>
          </w:tcPr>
          <w:p>
            <w:pPr>
              <w:pStyle w:val="TableParagraph"/>
              <w:spacing w:before="16"/>
              <w:ind w:left="200"/>
              <w:rPr>
                <w:rFonts w:ascii="Microsoft JhengHei" w:eastAsia="Microsoft JhengHei" w:hint="eastAsia"/>
                <w:b/>
                <w:sz w:val="21"/>
              </w:rPr>
            </w:pPr>
            <w:r>
              <w:rPr>
                <w:rFonts w:ascii="Microsoft JhengHei" w:eastAsia="Microsoft JhengHei" w:hint="eastAsia"/>
                <w:b/>
                <w:sz w:val="21"/>
              </w:rPr>
              <w:t>20.  单耳失聪</w:t>
            </w:r>
          </w:p>
        </w:tc>
        <w:tc>
          <w:tcPr>
            <w:tcW w:w="7727" w:type="dxa"/>
          </w:tcPr>
          <w:p>
            <w:pPr>
              <w:pStyle w:val="TableParagraph"/>
              <w:spacing w:line="273" w:lineRule="auto" w:before="102"/>
              <w:ind w:left="107" w:right="298"/>
              <w:jc w:val="both"/>
              <w:rPr>
                <w:sz w:val="21"/>
              </w:rPr>
            </w:pPr>
            <w:r>
              <w:rPr>
                <w:spacing w:val="-7"/>
                <w:sz w:val="21"/>
              </w:rPr>
              <w:t>指因疾病或者意外伤害导致单耳听力永久不可逆性丧失，在 </w:t>
            </w:r>
            <w:r>
              <w:rPr>
                <w:sz w:val="21"/>
              </w:rPr>
              <w:t>500</w:t>
            </w:r>
            <w:r>
              <w:rPr>
                <w:spacing w:val="-24"/>
                <w:sz w:val="21"/>
              </w:rPr>
              <w:t> 赫兹、</w:t>
            </w:r>
            <w:r>
              <w:rPr>
                <w:sz w:val="21"/>
              </w:rPr>
              <w:t>1000</w:t>
            </w:r>
            <w:r>
              <w:rPr>
                <w:spacing w:val="-16"/>
                <w:sz w:val="21"/>
              </w:rPr>
              <w:t> 赫兹</w:t>
            </w:r>
            <w:r>
              <w:rPr>
                <w:spacing w:val="-31"/>
                <w:sz w:val="21"/>
              </w:rPr>
              <w:t>和 </w:t>
            </w:r>
            <w:r>
              <w:rPr>
                <w:sz w:val="21"/>
              </w:rPr>
              <w:t>2000</w:t>
            </w:r>
            <w:r>
              <w:rPr>
                <w:spacing w:val="-12"/>
                <w:sz w:val="21"/>
              </w:rPr>
              <w:t> 赫兹语音频率下，平均听阈大于 </w:t>
            </w:r>
            <w:r>
              <w:rPr>
                <w:sz w:val="21"/>
              </w:rPr>
              <w:t>90</w:t>
            </w:r>
            <w:r>
              <w:rPr>
                <w:spacing w:val="-11"/>
                <w:sz w:val="21"/>
              </w:rPr>
              <w:t> 分贝，且经纯音听力测试、声导抗检</w:t>
            </w:r>
            <w:r>
              <w:rPr>
                <w:spacing w:val="-6"/>
                <w:sz w:val="21"/>
              </w:rPr>
              <w:t>测或者听觉诱发电位检测等证实。</w:t>
            </w:r>
          </w:p>
          <w:p>
            <w:pPr>
              <w:pStyle w:val="TableParagraph"/>
              <w:spacing w:line="284" w:lineRule="exact"/>
              <w:ind w:left="107"/>
              <w:jc w:val="both"/>
              <w:rPr>
                <w:b/>
                <w:i/>
                <w:sz w:val="22"/>
              </w:rPr>
            </w:pPr>
            <w:r>
              <w:rPr>
                <w:b/>
                <w:i/>
                <w:w w:val="95"/>
                <w:sz w:val="22"/>
              </w:rPr>
              <w:t>被保险人在 3 周岁之前因疾病导致的单耳失聪不在保障范围内。</w:t>
            </w:r>
          </w:p>
        </w:tc>
      </w:tr>
      <w:tr>
        <w:trPr>
          <w:trHeight w:val="2098" w:hRule="atLeast"/>
        </w:trPr>
        <w:tc>
          <w:tcPr>
            <w:tcW w:w="2022" w:type="dxa"/>
          </w:tcPr>
          <w:p>
            <w:pPr>
              <w:pStyle w:val="TableParagraph"/>
              <w:spacing w:line="204" w:lineRule="auto" w:before="72"/>
              <w:ind w:left="619" w:right="135" w:hanging="420"/>
              <w:rPr>
                <w:rFonts w:ascii="Microsoft JhengHei" w:eastAsia="Microsoft JhengHei" w:hint="eastAsia"/>
                <w:b/>
                <w:sz w:val="21"/>
              </w:rPr>
            </w:pPr>
            <w:r>
              <w:rPr>
                <w:rFonts w:ascii="Microsoft JhengHei" w:eastAsia="Microsoft JhengHei" w:hint="eastAsia"/>
                <w:b/>
                <w:sz w:val="21"/>
              </w:rPr>
              <w:t>21. 微创冠状动脉搭桥手术</w:t>
            </w:r>
          </w:p>
        </w:tc>
        <w:tc>
          <w:tcPr>
            <w:tcW w:w="7727" w:type="dxa"/>
          </w:tcPr>
          <w:p>
            <w:pPr>
              <w:pStyle w:val="TableParagraph"/>
              <w:spacing w:line="273" w:lineRule="auto" w:before="103"/>
              <w:ind w:left="107" w:right="298"/>
              <w:jc w:val="both"/>
              <w:rPr>
                <w:sz w:val="21"/>
              </w:rPr>
            </w:pPr>
            <w:r>
              <w:rPr>
                <w:spacing w:val="-6"/>
                <w:sz w:val="21"/>
              </w:rPr>
              <w:t>指为纠正冠状动脉的狭窄或堵塞，而实际实施的微创冠状动脉旁路移植手术。手术通过微创开胸术</w:t>
            </w:r>
            <w:r>
              <w:rPr>
                <w:sz w:val="21"/>
              </w:rPr>
              <w:t>（</w:t>
            </w:r>
            <w:r>
              <w:rPr>
                <w:spacing w:val="-3"/>
                <w:sz w:val="21"/>
              </w:rPr>
              <w:t>肋骨间小切口</w:t>
            </w:r>
            <w:r>
              <w:rPr>
                <w:spacing w:val="-13"/>
                <w:sz w:val="21"/>
              </w:rPr>
              <w:t>）</w:t>
            </w:r>
            <w:r>
              <w:rPr>
                <w:spacing w:val="-6"/>
                <w:sz w:val="21"/>
              </w:rPr>
              <w:t>进行，且诊断须由冠状动脉血管造影检查确</w:t>
            </w:r>
            <w:r>
              <w:rPr>
                <w:spacing w:val="-4"/>
                <w:sz w:val="21"/>
              </w:rPr>
              <w:t>诊狭窄或堵塞。微创冠状动脉绕道也包括“锁孔”冠脉搭桥手术。</w:t>
            </w:r>
          </w:p>
          <w:p>
            <w:pPr>
              <w:pStyle w:val="TableParagraph"/>
              <w:spacing w:before="7"/>
              <w:ind w:left="107"/>
              <w:jc w:val="both"/>
              <w:rPr>
                <w:sz w:val="21"/>
              </w:rPr>
            </w:pPr>
            <w:r>
              <w:rPr>
                <w:sz w:val="21"/>
              </w:rPr>
              <w:t>必须满足下列全部条件：</w:t>
            </w:r>
          </w:p>
          <w:p>
            <w:pPr>
              <w:pStyle w:val="TableParagraph"/>
              <w:spacing w:before="36"/>
              <w:ind w:left="107"/>
              <w:jc w:val="both"/>
              <w:rPr>
                <w:sz w:val="21"/>
              </w:rPr>
            </w:pPr>
            <w:r>
              <w:rPr>
                <w:sz w:val="21"/>
              </w:rPr>
              <w:t>（1）血管造影显示至少两支冠状动脉狭窄超过50%或一支冠状动脉狭窄超过70%；</w:t>
            </w:r>
          </w:p>
          <w:p>
            <w:pPr>
              <w:pStyle w:val="TableParagraph"/>
              <w:spacing w:before="37"/>
              <w:ind w:left="107"/>
              <w:jc w:val="both"/>
              <w:rPr>
                <w:sz w:val="21"/>
              </w:rPr>
            </w:pPr>
            <w:r>
              <w:rPr>
                <w:sz w:val="21"/>
              </w:rPr>
              <w:t>（2）手术须由心脏专科医师进行，并确认该手术的必要性。</w:t>
            </w:r>
          </w:p>
        </w:tc>
      </w:tr>
      <w:tr>
        <w:trPr>
          <w:trHeight w:val="1625" w:hRule="atLeast"/>
        </w:trPr>
        <w:tc>
          <w:tcPr>
            <w:tcW w:w="2022" w:type="dxa"/>
          </w:tcPr>
          <w:p>
            <w:pPr>
              <w:pStyle w:val="TableParagraph"/>
              <w:spacing w:line="204" w:lineRule="auto" w:before="71"/>
              <w:ind w:left="619" w:right="135" w:hanging="420"/>
              <w:rPr>
                <w:rFonts w:ascii="Microsoft JhengHei" w:hAnsi="Microsoft JhengHei" w:eastAsia="Microsoft JhengHei" w:hint="eastAsia"/>
                <w:b/>
                <w:sz w:val="21"/>
              </w:rPr>
            </w:pPr>
            <w:r>
              <w:rPr>
                <w:rFonts w:ascii="Microsoft JhengHei" w:hAnsi="Microsoft JhengHei" w:eastAsia="Microsoft JhengHei" w:hint="eastAsia"/>
                <w:b/>
                <w:sz w:val="21"/>
              </w:rPr>
              <w:t>22. Ⅲ度房室传导阻滞-已放置心脏起搏器</w:t>
            </w:r>
          </w:p>
        </w:tc>
        <w:tc>
          <w:tcPr>
            <w:tcW w:w="7727" w:type="dxa"/>
          </w:tcPr>
          <w:p>
            <w:pPr>
              <w:pStyle w:val="TableParagraph"/>
              <w:spacing w:line="273" w:lineRule="auto" w:before="102"/>
              <w:ind w:left="107" w:right="298"/>
              <w:rPr>
                <w:sz w:val="21"/>
              </w:rPr>
            </w:pPr>
            <w:r>
              <w:rPr>
                <w:spacing w:val="-6"/>
                <w:sz w:val="21"/>
              </w:rPr>
              <w:t>指心房激动在房室交界区、房室束及其分支内发生阻滞，不能正常地传到心室的</w:t>
            </w:r>
            <w:r>
              <w:rPr>
                <w:spacing w:val="-4"/>
                <w:sz w:val="21"/>
              </w:rPr>
              <w:t>心脏传导性疾病须满足下列所有条件：</w:t>
            </w:r>
          </w:p>
          <w:p>
            <w:pPr>
              <w:pStyle w:val="TableParagraph"/>
              <w:spacing w:before="7"/>
              <w:ind w:left="107"/>
              <w:rPr>
                <w:sz w:val="21"/>
              </w:rPr>
            </w:pPr>
            <w:r>
              <w:rPr>
                <w:sz w:val="21"/>
              </w:rPr>
              <w:t>（1）心电图显示房室搏动彼此独立，心室率&lt;50次/分钟；</w:t>
            </w:r>
          </w:p>
          <w:p>
            <w:pPr>
              <w:pStyle w:val="TableParagraph"/>
              <w:spacing w:before="37"/>
              <w:ind w:left="107"/>
              <w:rPr>
                <w:sz w:val="21"/>
              </w:rPr>
            </w:pPr>
            <w:r>
              <w:rPr>
                <w:sz w:val="21"/>
              </w:rPr>
              <w:t>（2）出现阿-斯综合征或心力衰竭的表现；</w:t>
            </w:r>
          </w:p>
          <w:p>
            <w:pPr>
              <w:pStyle w:val="TableParagraph"/>
              <w:spacing w:line="255" w:lineRule="exact" w:before="37"/>
              <w:ind w:left="107"/>
              <w:rPr>
                <w:sz w:val="21"/>
              </w:rPr>
            </w:pPr>
            <w:r>
              <w:rPr>
                <w:sz w:val="21"/>
              </w:rPr>
              <w:t>（3）必须持续性依赖心脏起搏器维持心脏正常功能，且已经放置心脏起搏器。</w:t>
            </w:r>
          </w:p>
        </w:tc>
      </w:tr>
    </w:tbl>
    <w:p>
      <w:pPr>
        <w:spacing w:after="0" w:line="255" w:lineRule="exact"/>
        <w:rPr>
          <w:sz w:val="21"/>
        </w:rPr>
        <w:sectPr>
          <w:pgSz w:w="11910" w:h="16840"/>
          <w:pgMar w:header="0" w:footer="358" w:top="1160" w:bottom="540" w:left="1360" w:right="56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7"/>
        <w:gridCol w:w="7742"/>
      </w:tblGrid>
      <w:tr>
        <w:trPr>
          <w:trHeight w:val="1939" w:hRule="atLeast"/>
        </w:trPr>
        <w:tc>
          <w:tcPr>
            <w:tcW w:w="2007" w:type="dxa"/>
          </w:tcPr>
          <w:p>
            <w:pPr>
              <w:pStyle w:val="TableParagraph"/>
              <w:spacing w:line="196" w:lineRule="exact"/>
              <w:ind w:left="200"/>
              <w:rPr>
                <w:rFonts w:ascii="Microsoft JhengHei" w:eastAsia="Microsoft JhengHei" w:hint="eastAsia"/>
                <w:b/>
                <w:sz w:val="21"/>
              </w:rPr>
            </w:pPr>
            <w:r>
              <w:rPr>
                <w:rFonts w:ascii="Microsoft JhengHei" w:eastAsia="Microsoft JhengHei" w:hint="eastAsia"/>
                <w:b/>
                <w:sz w:val="21"/>
              </w:rPr>
              <w:t>23.  于颈动脉进行</w:t>
            </w:r>
          </w:p>
          <w:p>
            <w:pPr>
              <w:pStyle w:val="TableParagraph"/>
              <w:spacing w:line="204" w:lineRule="auto" w:before="28"/>
              <w:ind w:left="619" w:right="120"/>
              <w:rPr>
                <w:rFonts w:ascii="Microsoft JhengHei" w:eastAsia="Microsoft JhengHei" w:hint="eastAsia"/>
                <w:b/>
                <w:sz w:val="21"/>
              </w:rPr>
            </w:pPr>
            <w:r>
              <w:rPr>
                <w:rFonts w:ascii="Microsoft JhengHei" w:eastAsia="Microsoft JhengHei" w:hint="eastAsia"/>
                <w:b/>
                <w:sz w:val="21"/>
              </w:rPr>
              <w:t>血管成形术或内膜切除术</w:t>
            </w:r>
          </w:p>
        </w:tc>
        <w:tc>
          <w:tcPr>
            <w:tcW w:w="7742" w:type="dxa"/>
          </w:tcPr>
          <w:p>
            <w:pPr>
              <w:pStyle w:val="TableParagraph"/>
              <w:spacing w:line="218" w:lineRule="exact"/>
              <w:rPr>
                <w:sz w:val="21"/>
              </w:rPr>
            </w:pPr>
            <w:r>
              <w:rPr>
                <w:sz w:val="21"/>
              </w:rPr>
              <w:t>指根据颈动脉造影检查结果，确诊一条或以上颈动脉存在严重狭窄性病变（至少</w:t>
            </w:r>
          </w:p>
          <w:p>
            <w:pPr>
              <w:pStyle w:val="TableParagraph"/>
              <w:spacing w:line="273" w:lineRule="auto" w:before="37"/>
              <w:ind w:right="303"/>
              <w:rPr>
                <w:sz w:val="21"/>
              </w:rPr>
            </w:pPr>
            <w:r>
              <w:rPr>
                <w:sz w:val="21"/>
              </w:rPr>
              <w:t>一支血管管腔直径减少50%以上）。本病须经国家机关认可的有合法资质的专科医生明确诊断，同时必须已经采取以下手术以减轻症状：</w:t>
            </w:r>
          </w:p>
          <w:p>
            <w:pPr>
              <w:pStyle w:val="TableParagraph"/>
              <w:spacing w:before="7"/>
              <w:rPr>
                <w:sz w:val="21"/>
              </w:rPr>
            </w:pPr>
            <w:r>
              <w:rPr>
                <w:sz w:val="21"/>
              </w:rPr>
              <w:t>（1）确实进行动脉内膜切除术；或</w:t>
            </w:r>
          </w:p>
          <w:p>
            <w:pPr>
              <w:pStyle w:val="TableParagraph"/>
              <w:spacing w:line="273" w:lineRule="auto" w:before="36"/>
              <w:ind w:left="648" w:right="245" w:hanging="527"/>
              <w:rPr>
                <w:sz w:val="21"/>
              </w:rPr>
            </w:pPr>
            <w:r>
              <w:rPr>
                <w:sz w:val="21"/>
              </w:rPr>
              <w:t>（2）确实进行血管介入治疗，例如血管成形术及/或进行植入支架或动脉粥样瘤清除手术。</w:t>
            </w:r>
          </w:p>
        </w:tc>
      </w:tr>
      <w:tr>
        <w:trPr>
          <w:trHeight w:val="852" w:hRule="atLeast"/>
        </w:trPr>
        <w:tc>
          <w:tcPr>
            <w:tcW w:w="2007" w:type="dxa"/>
          </w:tcPr>
          <w:p>
            <w:pPr>
              <w:pStyle w:val="TableParagraph"/>
              <w:spacing w:before="18"/>
              <w:ind w:left="200"/>
              <w:rPr>
                <w:rFonts w:ascii="Microsoft JhengHei" w:eastAsia="Microsoft JhengHei" w:hint="eastAsia"/>
                <w:b/>
                <w:sz w:val="21"/>
              </w:rPr>
            </w:pPr>
            <w:r>
              <w:rPr>
                <w:rFonts w:ascii="Microsoft JhengHei" w:eastAsia="Microsoft JhengHei" w:hint="eastAsia"/>
                <w:b/>
                <w:sz w:val="21"/>
              </w:rPr>
              <w:t>24.  心包膜切除术</w:t>
            </w:r>
          </w:p>
        </w:tc>
        <w:tc>
          <w:tcPr>
            <w:tcW w:w="7742" w:type="dxa"/>
          </w:tcPr>
          <w:p>
            <w:pPr>
              <w:pStyle w:val="TableParagraph"/>
              <w:spacing w:line="273" w:lineRule="auto" w:before="104"/>
              <w:ind w:right="308"/>
              <w:rPr>
                <w:sz w:val="21"/>
              </w:rPr>
            </w:pPr>
            <w:r>
              <w:rPr>
                <w:sz w:val="21"/>
              </w:rPr>
              <w:t>因心包膜疾病导致已接受心包膜切除术或已进行任何需要心脏小切口技术的手术。手术必须在心脏科医生认为是医学上必需的情况下进行。</w:t>
            </w:r>
          </w:p>
        </w:tc>
      </w:tr>
      <w:tr>
        <w:trPr>
          <w:trHeight w:val="539" w:hRule="atLeast"/>
        </w:trPr>
        <w:tc>
          <w:tcPr>
            <w:tcW w:w="2007" w:type="dxa"/>
          </w:tcPr>
          <w:p>
            <w:pPr>
              <w:pStyle w:val="TableParagraph"/>
              <w:spacing w:before="18"/>
              <w:ind w:left="200"/>
              <w:rPr>
                <w:rFonts w:ascii="Microsoft JhengHei" w:eastAsia="Microsoft JhengHei" w:hint="eastAsia"/>
                <w:b/>
                <w:sz w:val="21"/>
              </w:rPr>
            </w:pPr>
            <w:r>
              <w:rPr>
                <w:rFonts w:ascii="Microsoft JhengHei" w:eastAsia="Microsoft JhengHei" w:hint="eastAsia"/>
                <w:b/>
                <w:sz w:val="21"/>
              </w:rPr>
              <w:t>25.  脑炎或脑膜炎</w:t>
            </w:r>
          </w:p>
        </w:tc>
        <w:tc>
          <w:tcPr>
            <w:tcW w:w="7742" w:type="dxa"/>
          </w:tcPr>
          <w:p>
            <w:pPr>
              <w:pStyle w:val="TableParagraph"/>
              <w:spacing w:before="104"/>
              <w:rPr>
                <w:sz w:val="21"/>
              </w:rPr>
            </w:pPr>
            <w:r>
              <w:rPr>
                <w:sz w:val="21"/>
              </w:rPr>
              <w:t>因感染脑炎或脑膜炎住院至少 3 个月。诊断必须由专科医生证实。</w:t>
            </w:r>
          </w:p>
        </w:tc>
      </w:tr>
      <w:tr>
        <w:trPr>
          <w:trHeight w:val="851" w:hRule="atLeast"/>
        </w:trPr>
        <w:tc>
          <w:tcPr>
            <w:tcW w:w="2007" w:type="dxa"/>
          </w:tcPr>
          <w:p>
            <w:pPr>
              <w:pStyle w:val="TableParagraph"/>
              <w:spacing w:line="204" w:lineRule="auto" w:before="71"/>
              <w:ind w:left="619" w:right="120" w:hanging="420"/>
              <w:rPr>
                <w:rFonts w:ascii="Microsoft JhengHei" w:eastAsia="Microsoft JhengHei" w:hint="eastAsia"/>
                <w:b/>
                <w:sz w:val="21"/>
              </w:rPr>
            </w:pPr>
            <w:r>
              <w:rPr>
                <w:rFonts w:ascii="Microsoft JhengHei" w:eastAsia="Microsoft JhengHei" w:hint="eastAsia"/>
                <w:b/>
                <w:sz w:val="21"/>
              </w:rPr>
              <w:t>26. 硬脑膜下血肿手术</w:t>
            </w:r>
          </w:p>
        </w:tc>
        <w:tc>
          <w:tcPr>
            <w:tcW w:w="7742" w:type="dxa"/>
          </w:tcPr>
          <w:p>
            <w:pPr>
              <w:pStyle w:val="TableParagraph"/>
              <w:spacing w:line="273" w:lineRule="auto" w:before="102"/>
              <w:ind w:right="298"/>
              <w:rPr>
                <w:sz w:val="21"/>
              </w:rPr>
            </w:pPr>
            <w:r>
              <w:rPr>
                <w:spacing w:val="-6"/>
                <w:sz w:val="21"/>
              </w:rPr>
              <w:t>为清除或引流因意外导致的血肿，需于头部进行开颅或钻孔手术。开颅或钻孔手</w:t>
            </w:r>
            <w:r>
              <w:rPr>
                <w:spacing w:val="-4"/>
                <w:sz w:val="21"/>
              </w:rPr>
              <w:t>术必须由专科医生认为是医学上必需的情况下进行。</w:t>
            </w:r>
          </w:p>
        </w:tc>
      </w:tr>
      <w:tr>
        <w:trPr>
          <w:trHeight w:val="1474" w:hRule="atLeast"/>
        </w:trPr>
        <w:tc>
          <w:tcPr>
            <w:tcW w:w="2007" w:type="dxa"/>
          </w:tcPr>
          <w:p>
            <w:pPr>
              <w:pStyle w:val="TableParagraph"/>
              <w:spacing w:line="204" w:lineRule="auto" w:before="72"/>
              <w:ind w:left="619" w:right="120" w:hanging="420"/>
              <w:rPr>
                <w:rFonts w:ascii="Microsoft JhengHei" w:eastAsia="Microsoft JhengHei" w:hint="eastAsia"/>
                <w:b/>
                <w:sz w:val="21"/>
              </w:rPr>
            </w:pPr>
            <w:r>
              <w:rPr>
                <w:rFonts w:ascii="Microsoft JhengHei" w:eastAsia="Microsoft JhengHei" w:hint="eastAsia"/>
                <w:b/>
                <w:sz w:val="21"/>
              </w:rPr>
              <w:t>27. 严重阻塞性睡眠窒息症</w:t>
            </w:r>
          </w:p>
        </w:tc>
        <w:tc>
          <w:tcPr>
            <w:tcW w:w="7742" w:type="dxa"/>
          </w:tcPr>
          <w:p>
            <w:pPr>
              <w:pStyle w:val="TableParagraph"/>
              <w:spacing w:line="273" w:lineRule="auto" w:before="103"/>
              <w:ind w:right="298"/>
              <w:rPr>
                <w:sz w:val="21"/>
              </w:rPr>
            </w:pPr>
            <w:r>
              <w:rPr>
                <w:spacing w:val="-6"/>
                <w:sz w:val="21"/>
              </w:rPr>
              <w:t>须由相关医学范畴的注册专科医生，经多导睡眠监测仪检查明确诊断为严重阻塞</w:t>
            </w:r>
            <w:r>
              <w:rPr>
                <w:spacing w:val="-3"/>
                <w:sz w:val="21"/>
              </w:rPr>
              <w:t>性睡眠呼吸暂停综合征</w:t>
            </w:r>
            <w:r>
              <w:rPr>
                <w:spacing w:val="-1"/>
                <w:sz w:val="21"/>
              </w:rPr>
              <w:t>（OSA）</w:t>
            </w:r>
            <w:r>
              <w:rPr>
                <w:spacing w:val="-3"/>
                <w:sz w:val="21"/>
              </w:rPr>
              <w:t>，并必须符合以下两项条件：</w:t>
            </w:r>
          </w:p>
          <w:p>
            <w:pPr>
              <w:pStyle w:val="TableParagraph"/>
              <w:spacing w:before="7"/>
              <w:rPr>
                <w:sz w:val="21"/>
              </w:rPr>
            </w:pPr>
            <w:r>
              <w:rPr>
                <w:sz w:val="21"/>
              </w:rPr>
              <w:t>（1）受保人必须现正接受持续气道正压呼吸器（CPAP）之夜间治疗；及</w:t>
            </w:r>
          </w:p>
          <w:p>
            <w:pPr>
              <w:pStyle w:val="TableParagraph"/>
              <w:spacing w:before="37"/>
              <w:rPr>
                <w:sz w:val="21"/>
              </w:rPr>
            </w:pPr>
            <w:r>
              <w:rPr>
                <w:sz w:val="21"/>
              </w:rPr>
              <w:t>（2）必须提供睡眠测试的文件证明，显示AHI&gt;30及夜间血氧饱和平均值&lt;85。</w:t>
            </w:r>
          </w:p>
        </w:tc>
      </w:tr>
      <w:tr>
        <w:trPr>
          <w:trHeight w:val="3035" w:hRule="atLeast"/>
        </w:trPr>
        <w:tc>
          <w:tcPr>
            <w:tcW w:w="2007" w:type="dxa"/>
          </w:tcPr>
          <w:p>
            <w:pPr>
              <w:pStyle w:val="TableParagraph"/>
              <w:spacing w:line="204" w:lineRule="auto" w:before="71"/>
              <w:ind w:left="619" w:right="120" w:hanging="420"/>
              <w:jc w:val="both"/>
              <w:rPr>
                <w:rFonts w:ascii="Microsoft JhengHei" w:eastAsia="Microsoft JhengHei" w:hint="eastAsia"/>
                <w:b/>
                <w:sz w:val="21"/>
              </w:rPr>
            </w:pPr>
            <w:r>
              <w:rPr>
                <w:rFonts w:ascii="Microsoft JhengHei" w:eastAsia="Microsoft JhengHei" w:hint="eastAsia"/>
                <w:b/>
                <w:sz w:val="21"/>
              </w:rPr>
              <w:t>28. 因意外毁容而施行的面部整形手术</w:t>
            </w:r>
          </w:p>
        </w:tc>
        <w:tc>
          <w:tcPr>
            <w:tcW w:w="7742" w:type="dxa"/>
          </w:tcPr>
          <w:p>
            <w:pPr>
              <w:pStyle w:val="TableParagraph"/>
              <w:spacing w:line="273" w:lineRule="auto" w:before="102"/>
              <w:ind w:right="301"/>
              <w:jc w:val="both"/>
              <w:rPr>
                <w:sz w:val="21"/>
              </w:rPr>
            </w:pPr>
            <w:r>
              <w:rPr>
                <w:sz w:val="21"/>
              </w:rPr>
              <w:t>指为修复意外伤害或暴力袭击造成的面部毁损，实际接受了在全身麻醉的情況</w:t>
            </w:r>
            <w:r>
              <w:rPr>
                <w:spacing w:val="-7"/>
                <w:sz w:val="21"/>
              </w:rPr>
              <w:t>下，由整形外科医生实施的对严重缺陷、缺失、损害或变形的面部形态和结构进</w:t>
            </w:r>
            <w:r>
              <w:rPr>
                <w:spacing w:val="-5"/>
                <w:sz w:val="21"/>
              </w:rPr>
              <w:t>行修复或重建的面部整形手术。</w:t>
            </w:r>
          </w:p>
          <w:p>
            <w:pPr>
              <w:pStyle w:val="TableParagraph"/>
              <w:spacing w:before="7"/>
              <w:rPr>
                <w:sz w:val="21"/>
              </w:rPr>
            </w:pPr>
            <w:r>
              <w:rPr>
                <w:sz w:val="21"/>
              </w:rPr>
              <w:t>面部整形手术必须在意外伤害后的180天内实施。</w:t>
            </w:r>
          </w:p>
          <w:p>
            <w:pPr>
              <w:pStyle w:val="TableParagraph"/>
              <w:spacing w:before="25"/>
              <w:rPr>
                <w:b/>
                <w:i/>
                <w:sz w:val="22"/>
              </w:rPr>
            </w:pPr>
            <w:r>
              <w:rPr>
                <w:b/>
                <w:i/>
                <w:w w:val="95"/>
                <w:sz w:val="22"/>
              </w:rPr>
              <w:t>因面部外伤后遗留的线条状瘢痕及色素沉着而施行的手术不在保障范围内。</w:t>
            </w:r>
          </w:p>
          <w:p>
            <w:pPr>
              <w:pStyle w:val="TableParagraph"/>
              <w:spacing w:before="35"/>
              <w:rPr>
                <w:sz w:val="21"/>
              </w:rPr>
            </w:pPr>
            <w:r>
              <w:rPr>
                <w:sz w:val="21"/>
              </w:rPr>
              <w:t>意外伤害必须满足下列全部条件：</w:t>
            </w:r>
          </w:p>
          <w:p>
            <w:pPr>
              <w:pStyle w:val="TableParagraph"/>
              <w:spacing w:line="273" w:lineRule="auto" w:before="37"/>
              <w:ind w:left="648" w:right="305" w:hanging="527"/>
              <w:rPr>
                <w:sz w:val="21"/>
              </w:rPr>
            </w:pPr>
            <w:r>
              <w:rPr>
                <w:sz w:val="21"/>
              </w:rPr>
              <w:t>（1）由外在暴力引起并且造成表面可视性伤口和面部骨结构损害的，或面部皮肤三度或全层意外烧伤；</w:t>
            </w:r>
          </w:p>
          <w:p>
            <w:pPr>
              <w:pStyle w:val="TableParagraph"/>
              <w:spacing w:before="8"/>
              <w:rPr>
                <w:sz w:val="21"/>
              </w:rPr>
            </w:pPr>
            <w:r>
              <w:rPr>
                <w:sz w:val="21"/>
              </w:rPr>
              <w:t>（2）是造成面部毁损的直接和独立的原因。</w:t>
            </w:r>
          </w:p>
        </w:tc>
      </w:tr>
      <w:tr>
        <w:trPr>
          <w:trHeight w:val="852" w:hRule="atLeast"/>
        </w:trPr>
        <w:tc>
          <w:tcPr>
            <w:tcW w:w="2007" w:type="dxa"/>
          </w:tcPr>
          <w:p>
            <w:pPr>
              <w:pStyle w:val="TableParagraph"/>
              <w:spacing w:before="18"/>
              <w:ind w:left="200"/>
              <w:rPr>
                <w:rFonts w:ascii="Microsoft JhengHei" w:eastAsia="Microsoft JhengHei" w:hint="eastAsia"/>
                <w:b/>
                <w:sz w:val="21"/>
              </w:rPr>
            </w:pPr>
            <w:r>
              <w:rPr>
                <w:rFonts w:ascii="Microsoft JhengHei" w:eastAsia="Microsoft JhengHei" w:hint="eastAsia"/>
                <w:b/>
                <w:sz w:val="21"/>
              </w:rPr>
              <w:t>29.  角膜移植</w:t>
            </w:r>
          </w:p>
        </w:tc>
        <w:tc>
          <w:tcPr>
            <w:tcW w:w="7742" w:type="dxa"/>
          </w:tcPr>
          <w:p>
            <w:pPr>
              <w:pStyle w:val="TableParagraph"/>
              <w:spacing w:line="273" w:lineRule="auto" w:before="104"/>
              <w:ind w:right="298"/>
              <w:rPr>
                <w:sz w:val="21"/>
              </w:rPr>
            </w:pPr>
            <w:r>
              <w:rPr>
                <w:spacing w:val="-6"/>
                <w:sz w:val="21"/>
              </w:rPr>
              <w:t>指为增进视力或治疗某些角膜疾患，已经实施了异体的角膜移植手术。此手术必</w:t>
            </w:r>
            <w:r>
              <w:rPr>
                <w:spacing w:val="-4"/>
                <w:sz w:val="21"/>
              </w:rPr>
              <w:t>须由专科医生认为是医学上必需的情况下进行。</w:t>
            </w:r>
          </w:p>
        </w:tc>
      </w:tr>
      <w:tr>
        <w:trPr>
          <w:trHeight w:val="2098" w:hRule="atLeast"/>
        </w:trPr>
        <w:tc>
          <w:tcPr>
            <w:tcW w:w="2007" w:type="dxa"/>
          </w:tcPr>
          <w:p>
            <w:pPr>
              <w:pStyle w:val="TableParagraph"/>
              <w:spacing w:before="18"/>
              <w:ind w:left="200"/>
              <w:rPr>
                <w:rFonts w:ascii="Microsoft JhengHei" w:eastAsia="Microsoft JhengHei" w:hint="eastAsia"/>
                <w:b/>
                <w:sz w:val="21"/>
              </w:rPr>
            </w:pPr>
            <w:r>
              <w:rPr>
                <w:rFonts w:ascii="Microsoft JhengHei" w:eastAsia="Microsoft JhengHei" w:hint="eastAsia"/>
                <w:b/>
                <w:sz w:val="21"/>
              </w:rPr>
              <w:t>30.  单眼失明</w:t>
            </w:r>
          </w:p>
        </w:tc>
        <w:tc>
          <w:tcPr>
            <w:tcW w:w="7742" w:type="dxa"/>
          </w:tcPr>
          <w:p>
            <w:pPr>
              <w:pStyle w:val="TableParagraph"/>
              <w:spacing w:line="273" w:lineRule="auto" w:before="104"/>
              <w:ind w:right="308"/>
              <w:rPr>
                <w:sz w:val="21"/>
              </w:rPr>
            </w:pPr>
            <w:r>
              <w:rPr>
                <w:sz w:val="21"/>
              </w:rPr>
              <w:t>指因疾病或意外伤害导致单眼视力永久不可逆性丧失，须满足下列至少一项条件：</w:t>
            </w:r>
          </w:p>
          <w:p>
            <w:pPr>
              <w:pStyle w:val="TableParagraph"/>
              <w:spacing w:before="8"/>
              <w:rPr>
                <w:sz w:val="21"/>
              </w:rPr>
            </w:pPr>
            <w:r>
              <w:rPr>
                <w:sz w:val="21"/>
              </w:rPr>
              <w:t>（1）眼球缺失或摘除；</w:t>
            </w:r>
          </w:p>
          <w:p>
            <w:pPr>
              <w:pStyle w:val="TableParagraph"/>
              <w:spacing w:line="273" w:lineRule="auto" w:before="37"/>
              <w:ind w:left="648" w:right="303" w:hanging="527"/>
              <w:rPr>
                <w:sz w:val="21"/>
              </w:rPr>
            </w:pPr>
            <w:r>
              <w:rPr>
                <w:sz w:val="21"/>
              </w:rPr>
              <w:t>（2）矫正视力低于0.02（采用国际标准视力表，如果使用其它视力表应进行换算）；</w:t>
            </w:r>
          </w:p>
          <w:p>
            <w:pPr>
              <w:pStyle w:val="TableParagraph"/>
              <w:spacing w:before="7"/>
              <w:rPr>
                <w:sz w:val="21"/>
              </w:rPr>
            </w:pPr>
            <w:r>
              <w:rPr>
                <w:sz w:val="21"/>
              </w:rPr>
              <w:t>（3）视野半径小于5度。</w:t>
            </w:r>
          </w:p>
        </w:tc>
      </w:tr>
      <w:tr>
        <w:trPr>
          <w:trHeight w:val="1787" w:hRule="atLeast"/>
        </w:trPr>
        <w:tc>
          <w:tcPr>
            <w:tcW w:w="2007" w:type="dxa"/>
          </w:tcPr>
          <w:p>
            <w:pPr>
              <w:pStyle w:val="TableParagraph"/>
              <w:spacing w:line="206" w:lineRule="auto" w:before="68"/>
              <w:ind w:left="619" w:right="120" w:hanging="420"/>
              <w:rPr>
                <w:rFonts w:ascii="Microsoft JhengHei" w:eastAsia="Microsoft JhengHei" w:hint="eastAsia"/>
                <w:b/>
                <w:sz w:val="21"/>
              </w:rPr>
            </w:pPr>
            <w:r>
              <w:rPr>
                <w:rFonts w:ascii="Microsoft JhengHei" w:eastAsia="Microsoft JhengHei" w:hint="eastAsia"/>
                <w:b/>
                <w:sz w:val="21"/>
              </w:rPr>
              <w:t>31. 可逆性再生障碍性贫血</w:t>
            </w:r>
          </w:p>
        </w:tc>
        <w:tc>
          <w:tcPr>
            <w:tcW w:w="7742" w:type="dxa"/>
          </w:tcPr>
          <w:p>
            <w:pPr>
              <w:pStyle w:val="TableParagraph"/>
              <w:spacing w:line="273" w:lineRule="auto" w:before="102"/>
              <w:ind w:right="308"/>
              <w:rPr>
                <w:sz w:val="21"/>
              </w:rPr>
            </w:pPr>
            <w:r>
              <w:rPr>
                <w:sz w:val="21"/>
              </w:rPr>
              <w:t>指因急性可逆性的骨髓造血功能衰竭而导致贫血、中性粒细胞减少和血小板减少，必须由血液科医生的诊断，且病历资料显示接受了下列任一治疗：</w:t>
            </w:r>
          </w:p>
          <w:p>
            <w:pPr>
              <w:pStyle w:val="TableParagraph"/>
              <w:spacing w:before="7"/>
              <w:rPr>
                <w:sz w:val="21"/>
              </w:rPr>
            </w:pPr>
            <w:r>
              <w:rPr>
                <w:sz w:val="21"/>
              </w:rPr>
              <w:t>（1）骨髓刺激疗法至少1个月；</w:t>
            </w:r>
          </w:p>
          <w:p>
            <w:pPr>
              <w:pStyle w:val="TableParagraph"/>
              <w:spacing w:before="37"/>
              <w:rPr>
                <w:sz w:val="21"/>
              </w:rPr>
            </w:pPr>
            <w:r>
              <w:rPr>
                <w:sz w:val="21"/>
              </w:rPr>
              <w:t>（2）免疫抑制剂治疗至少1个月；</w:t>
            </w:r>
          </w:p>
          <w:p>
            <w:pPr>
              <w:pStyle w:val="TableParagraph"/>
              <w:spacing w:before="37"/>
              <w:rPr>
                <w:sz w:val="21"/>
              </w:rPr>
            </w:pPr>
            <w:r>
              <w:rPr>
                <w:sz w:val="21"/>
              </w:rPr>
              <w:t>（3）接受了骨髓移植。</w:t>
            </w:r>
          </w:p>
        </w:tc>
      </w:tr>
      <w:tr>
        <w:trPr>
          <w:trHeight w:val="1002" w:hRule="atLeast"/>
        </w:trPr>
        <w:tc>
          <w:tcPr>
            <w:tcW w:w="2007" w:type="dxa"/>
          </w:tcPr>
          <w:p>
            <w:pPr>
              <w:pStyle w:val="TableParagraph"/>
              <w:spacing w:line="204" w:lineRule="auto" w:before="72"/>
              <w:ind w:left="619" w:right="120" w:hanging="420"/>
              <w:rPr>
                <w:rFonts w:ascii="Microsoft JhengHei" w:eastAsia="Microsoft JhengHei" w:hint="eastAsia"/>
                <w:b/>
                <w:sz w:val="21"/>
              </w:rPr>
            </w:pPr>
            <w:r>
              <w:rPr>
                <w:rFonts w:ascii="Microsoft JhengHei" w:eastAsia="Microsoft JhengHei" w:hint="eastAsia"/>
                <w:b/>
                <w:sz w:val="21"/>
              </w:rPr>
              <w:t>32. 慢性肝功能衰竭</w:t>
            </w:r>
          </w:p>
        </w:tc>
        <w:tc>
          <w:tcPr>
            <w:tcW w:w="7742" w:type="dxa"/>
          </w:tcPr>
          <w:p>
            <w:pPr>
              <w:pStyle w:val="TableParagraph"/>
              <w:spacing w:before="104"/>
              <w:rPr>
                <w:sz w:val="21"/>
              </w:rPr>
            </w:pPr>
            <w:r>
              <w:rPr>
                <w:sz w:val="21"/>
              </w:rPr>
              <w:t>因慢性肝脏疾病导致肝功能衰竭。须满足下列至少两项条件，但不满足全部条件：</w:t>
            </w:r>
          </w:p>
          <w:p>
            <w:pPr>
              <w:pStyle w:val="TableParagraph"/>
              <w:spacing w:before="37"/>
              <w:rPr>
                <w:sz w:val="21"/>
              </w:rPr>
            </w:pPr>
            <w:r>
              <w:rPr>
                <w:sz w:val="21"/>
              </w:rPr>
              <w:t>（1）持续性黄疸；</w:t>
            </w:r>
          </w:p>
          <w:p>
            <w:pPr>
              <w:pStyle w:val="TableParagraph"/>
              <w:spacing w:line="255" w:lineRule="exact" w:before="37"/>
              <w:rPr>
                <w:sz w:val="21"/>
              </w:rPr>
            </w:pPr>
            <w:r>
              <w:rPr>
                <w:sz w:val="21"/>
              </w:rPr>
              <w:t>（2）腹水；</w:t>
            </w:r>
          </w:p>
        </w:tc>
      </w:tr>
    </w:tbl>
    <w:p>
      <w:pPr>
        <w:spacing w:after="0" w:line="255" w:lineRule="exact"/>
        <w:rPr>
          <w:sz w:val="21"/>
        </w:rPr>
        <w:sectPr>
          <w:pgSz w:w="11910" w:h="16840"/>
          <w:pgMar w:header="0" w:footer="358" w:top="1160" w:bottom="540" w:left="1360" w:right="56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7"/>
        <w:gridCol w:w="7673"/>
      </w:tblGrid>
      <w:tr>
        <w:trPr>
          <w:trHeight w:val="997" w:hRule="atLeast"/>
        </w:trPr>
        <w:tc>
          <w:tcPr>
            <w:tcW w:w="2007" w:type="dxa"/>
          </w:tcPr>
          <w:p>
            <w:pPr>
              <w:pStyle w:val="TableParagraph"/>
              <w:ind w:left="0"/>
              <w:rPr>
                <w:rFonts w:ascii="Times New Roman"/>
                <w:sz w:val="20"/>
              </w:rPr>
            </w:pPr>
          </w:p>
        </w:tc>
        <w:tc>
          <w:tcPr>
            <w:tcW w:w="7673" w:type="dxa"/>
          </w:tcPr>
          <w:p>
            <w:pPr>
              <w:pStyle w:val="TableParagraph"/>
              <w:spacing w:line="211" w:lineRule="exact"/>
              <w:rPr>
                <w:sz w:val="21"/>
              </w:rPr>
            </w:pPr>
            <w:r>
              <w:rPr>
                <w:sz w:val="21"/>
              </w:rPr>
              <w:t>（3）肝性脑病；</w:t>
            </w:r>
          </w:p>
          <w:p>
            <w:pPr>
              <w:pStyle w:val="TableParagraph"/>
              <w:spacing w:before="37"/>
              <w:rPr>
                <w:sz w:val="21"/>
              </w:rPr>
            </w:pPr>
            <w:r>
              <w:rPr>
                <w:sz w:val="21"/>
              </w:rPr>
              <w:t>（4）充血性脾肿大伴脾功能亢进或食管胃底静脉曲张。</w:t>
            </w:r>
          </w:p>
          <w:p>
            <w:pPr>
              <w:pStyle w:val="TableParagraph"/>
              <w:spacing w:before="25"/>
              <w:rPr>
                <w:b/>
                <w:i/>
                <w:sz w:val="22"/>
              </w:rPr>
            </w:pPr>
            <w:r>
              <w:rPr>
                <w:b/>
                <w:i/>
                <w:w w:val="95"/>
                <w:sz w:val="22"/>
              </w:rPr>
              <w:t>因酗酒或药物滥用导致的肝功能衰竭不在保障范围内。</w:t>
            </w:r>
          </w:p>
        </w:tc>
      </w:tr>
      <w:tr>
        <w:trPr>
          <w:trHeight w:val="3077" w:hRule="atLeast"/>
        </w:trPr>
        <w:tc>
          <w:tcPr>
            <w:tcW w:w="2007" w:type="dxa"/>
          </w:tcPr>
          <w:p>
            <w:pPr>
              <w:pStyle w:val="TableParagraph"/>
              <w:spacing w:line="204" w:lineRule="auto" w:before="72"/>
              <w:ind w:left="619" w:right="120" w:hanging="420"/>
              <w:jc w:val="both"/>
              <w:rPr>
                <w:rFonts w:ascii="Microsoft JhengHei" w:eastAsia="Microsoft JhengHei" w:hint="eastAsia"/>
                <w:b/>
                <w:sz w:val="21"/>
              </w:rPr>
            </w:pPr>
            <w:r>
              <w:rPr>
                <w:rFonts w:ascii="Microsoft JhengHei" w:eastAsia="Microsoft JhengHei" w:hint="eastAsia"/>
                <w:b/>
                <w:sz w:val="21"/>
              </w:rPr>
              <w:t>33. 特定周围动脉疾病的血管介入治疗</w:t>
            </w:r>
          </w:p>
        </w:tc>
        <w:tc>
          <w:tcPr>
            <w:tcW w:w="7673" w:type="dxa"/>
          </w:tcPr>
          <w:p>
            <w:pPr>
              <w:pStyle w:val="TableParagraph"/>
              <w:spacing w:before="103"/>
              <w:rPr>
                <w:sz w:val="21"/>
              </w:rPr>
            </w:pPr>
            <w:r>
              <w:rPr>
                <w:sz w:val="21"/>
              </w:rPr>
              <w:t>指为治疗一条或者一条以上的下列动脉狭窄而实施的血管介入治疗：</w:t>
            </w:r>
          </w:p>
          <w:p>
            <w:pPr>
              <w:pStyle w:val="TableParagraph"/>
              <w:spacing w:before="37"/>
              <w:rPr>
                <w:sz w:val="21"/>
              </w:rPr>
            </w:pPr>
            <w:r>
              <w:rPr>
                <w:sz w:val="21"/>
              </w:rPr>
              <w:t>（1）为下肢或者上肢供血的动脉；</w:t>
            </w:r>
          </w:p>
          <w:p>
            <w:pPr>
              <w:pStyle w:val="TableParagraph"/>
              <w:spacing w:before="37"/>
              <w:rPr>
                <w:sz w:val="21"/>
              </w:rPr>
            </w:pPr>
            <w:r>
              <w:rPr>
                <w:sz w:val="21"/>
              </w:rPr>
              <w:t>（2）肾动脉；</w:t>
            </w:r>
          </w:p>
          <w:p>
            <w:pPr>
              <w:pStyle w:val="TableParagraph"/>
              <w:spacing w:line="273" w:lineRule="auto" w:before="37"/>
              <w:ind w:right="5445"/>
              <w:rPr>
                <w:sz w:val="21"/>
              </w:rPr>
            </w:pPr>
            <w:r>
              <w:rPr>
                <w:sz w:val="21"/>
              </w:rPr>
              <w:t>（3）</w:t>
            </w:r>
            <w:r>
              <w:rPr>
                <w:spacing w:val="-3"/>
                <w:sz w:val="21"/>
              </w:rPr>
              <w:t>肠系膜动脉。  须满足下列全部条件：</w:t>
            </w:r>
          </w:p>
          <w:p>
            <w:pPr>
              <w:pStyle w:val="TableParagraph"/>
              <w:spacing w:before="7"/>
              <w:rPr>
                <w:sz w:val="21"/>
              </w:rPr>
            </w:pPr>
            <w:r>
              <w:rPr>
                <w:sz w:val="21"/>
              </w:rPr>
              <w:t>（1）经血管造影术证实一条或者一条以上的上述动脉狭窄达到50%或者以上；</w:t>
            </w:r>
          </w:p>
          <w:p>
            <w:pPr>
              <w:pStyle w:val="TableParagraph"/>
              <w:spacing w:line="273" w:lineRule="auto" w:before="36"/>
              <w:ind w:left="648" w:right="176" w:hanging="527"/>
              <w:rPr>
                <w:sz w:val="21"/>
              </w:rPr>
            </w:pPr>
            <w:r>
              <w:rPr>
                <w:sz w:val="21"/>
              </w:rPr>
              <w:t>（2）对一条或者一条以上的上述动脉施行了血管介入治疗，如血管成形术及/或者进行植入支架或者动脉粥样样瘤清除手术。</w:t>
            </w:r>
          </w:p>
          <w:p>
            <w:pPr>
              <w:pStyle w:val="TableParagraph"/>
              <w:spacing w:before="7"/>
              <w:rPr>
                <w:sz w:val="21"/>
              </w:rPr>
            </w:pPr>
            <w:r>
              <w:rPr>
                <w:sz w:val="21"/>
              </w:rPr>
              <w:t>上述动脉疾病的诊断以及相关治疗的必要性必须由血管疾病的专科医生确定。</w:t>
            </w:r>
          </w:p>
        </w:tc>
      </w:tr>
      <w:tr>
        <w:trPr>
          <w:trHeight w:val="1248" w:hRule="atLeast"/>
        </w:trPr>
        <w:tc>
          <w:tcPr>
            <w:tcW w:w="2007" w:type="dxa"/>
          </w:tcPr>
          <w:p>
            <w:pPr>
              <w:pStyle w:val="TableParagraph"/>
              <w:spacing w:line="206" w:lineRule="auto" w:before="111"/>
              <w:ind w:left="619" w:right="120" w:hanging="420"/>
              <w:rPr>
                <w:rFonts w:ascii="Microsoft JhengHei" w:eastAsia="Microsoft JhengHei" w:hint="eastAsia"/>
                <w:b/>
                <w:sz w:val="21"/>
              </w:rPr>
            </w:pPr>
            <w:r>
              <w:rPr>
                <w:rFonts w:ascii="Microsoft JhengHei" w:eastAsia="Microsoft JhengHei" w:hint="eastAsia"/>
                <w:b/>
                <w:sz w:val="21"/>
              </w:rPr>
              <w:t>34. 脑室腹腔分流术</w:t>
            </w:r>
          </w:p>
        </w:tc>
        <w:tc>
          <w:tcPr>
            <w:tcW w:w="7673" w:type="dxa"/>
          </w:tcPr>
          <w:p>
            <w:pPr>
              <w:pStyle w:val="TableParagraph"/>
              <w:spacing w:line="273" w:lineRule="auto" w:before="146"/>
              <w:ind w:right="229"/>
              <w:jc w:val="both"/>
              <w:rPr>
                <w:sz w:val="21"/>
              </w:rPr>
            </w:pPr>
            <w:r>
              <w:rPr>
                <w:sz w:val="21"/>
              </w:rPr>
              <w:t>指为治疗脑积水，将一组带单向阀门的分流装置置入体内,将脑脊液从脑室分流</w:t>
            </w:r>
            <w:r>
              <w:rPr>
                <w:spacing w:val="-6"/>
                <w:sz w:val="21"/>
              </w:rPr>
              <w:t>到腹腔中吸收，以降低脑脊液的压力。手术必须在神经外科专科医生证实植入分</w:t>
            </w:r>
            <w:r>
              <w:rPr>
                <w:spacing w:val="-4"/>
                <w:sz w:val="21"/>
              </w:rPr>
              <w:t>流器为医疗所需的情况下进行。</w:t>
            </w:r>
          </w:p>
        </w:tc>
      </w:tr>
      <w:tr>
        <w:trPr>
          <w:trHeight w:val="1872" w:hRule="atLeast"/>
        </w:trPr>
        <w:tc>
          <w:tcPr>
            <w:tcW w:w="2007" w:type="dxa"/>
          </w:tcPr>
          <w:p>
            <w:pPr>
              <w:pStyle w:val="TableParagraph"/>
              <w:spacing w:before="60"/>
              <w:ind w:left="200"/>
              <w:rPr>
                <w:rFonts w:ascii="Microsoft JhengHei" w:eastAsia="Microsoft JhengHei" w:hint="eastAsia"/>
                <w:b/>
                <w:sz w:val="21"/>
              </w:rPr>
            </w:pPr>
            <w:r>
              <w:rPr>
                <w:rFonts w:ascii="Microsoft JhengHei" w:eastAsia="Microsoft JhengHei" w:hint="eastAsia"/>
                <w:b/>
                <w:sz w:val="21"/>
              </w:rPr>
              <w:t>35.  轻度面部烧伤</w:t>
            </w:r>
          </w:p>
        </w:tc>
        <w:tc>
          <w:tcPr>
            <w:tcW w:w="7673" w:type="dxa"/>
          </w:tcPr>
          <w:p>
            <w:pPr>
              <w:pStyle w:val="TableParagraph"/>
              <w:spacing w:line="273" w:lineRule="auto" w:before="146"/>
              <w:ind w:right="229"/>
              <w:jc w:val="both"/>
              <w:rPr>
                <w:sz w:val="21"/>
              </w:rPr>
            </w:pPr>
            <w:r>
              <w:rPr>
                <w:spacing w:val="-6"/>
                <w:sz w:val="21"/>
              </w:rPr>
              <w:t>指烧伤程度为Ⅲ度，且Ⅲ度烧伤的面积达到面部表面积的</w:t>
            </w:r>
            <w:r>
              <w:rPr>
                <w:sz w:val="21"/>
              </w:rPr>
              <w:t>30％或者30</w:t>
            </w:r>
            <w:r>
              <w:rPr>
                <w:spacing w:val="-5"/>
                <w:sz w:val="21"/>
              </w:rPr>
              <w:t>％以上，但</w:t>
            </w:r>
            <w:r>
              <w:rPr>
                <w:spacing w:val="-3"/>
                <w:sz w:val="21"/>
              </w:rPr>
              <w:t>未达到面部表面积的</w:t>
            </w:r>
            <w:r>
              <w:rPr>
                <w:sz w:val="21"/>
              </w:rPr>
              <w:t>80%。</w:t>
            </w:r>
          </w:p>
          <w:p>
            <w:pPr>
              <w:pStyle w:val="TableParagraph"/>
              <w:spacing w:line="259" w:lineRule="auto"/>
              <w:ind w:right="235"/>
              <w:jc w:val="both"/>
              <w:rPr>
                <w:b/>
                <w:i/>
                <w:sz w:val="22"/>
              </w:rPr>
            </w:pPr>
            <w:r>
              <w:rPr>
                <w:b/>
                <w:i/>
                <w:spacing w:val="-6"/>
                <w:w w:val="95"/>
                <w:sz w:val="22"/>
              </w:rPr>
              <w:t>对于较小面积三度烧伤、轻度面部烧伤、因意外毁容而施行的面部整形手术，若</w:t>
            </w:r>
            <w:r>
              <w:rPr>
                <w:b/>
                <w:i/>
                <w:spacing w:val="-9"/>
                <w:w w:val="95"/>
                <w:sz w:val="22"/>
              </w:rPr>
              <w:t>因同一原因导致上述两项或者两项以上情况同时满足，有关的烧伤或者手术在此保单内只能获赔偿一次。</w:t>
            </w:r>
          </w:p>
        </w:tc>
      </w:tr>
      <w:tr>
        <w:trPr>
          <w:trHeight w:val="935" w:hRule="atLeast"/>
        </w:trPr>
        <w:tc>
          <w:tcPr>
            <w:tcW w:w="2007" w:type="dxa"/>
          </w:tcPr>
          <w:p>
            <w:pPr>
              <w:pStyle w:val="TableParagraph"/>
              <w:spacing w:line="204" w:lineRule="auto" w:before="114"/>
              <w:ind w:left="619" w:right="120" w:hanging="420"/>
              <w:rPr>
                <w:rFonts w:ascii="Microsoft JhengHei" w:eastAsia="Microsoft JhengHei" w:hint="eastAsia"/>
                <w:b/>
                <w:sz w:val="21"/>
              </w:rPr>
            </w:pPr>
            <w:r>
              <w:rPr>
                <w:rFonts w:ascii="Microsoft JhengHei" w:eastAsia="Microsoft JhengHei" w:hint="eastAsia"/>
                <w:b/>
                <w:sz w:val="21"/>
              </w:rPr>
              <w:t>36. 植入腔静脉过滤器</w:t>
            </w:r>
          </w:p>
        </w:tc>
        <w:tc>
          <w:tcPr>
            <w:tcW w:w="7673" w:type="dxa"/>
          </w:tcPr>
          <w:p>
            <w:pPr>
              <w:pStyle w:val="TableParagraph"/>
              <w:spacing w:line="273" w:lineRule="auto" w:before="145"/>
              <w:ind w:right="229"/>
              <w:rPr>
                <w:sz w:val="21"/>
              </w:rPr>
            </w:pPr>
            <w:r>
              <w:rPr>
                <w:spacing w:val="-6"/>
                <w:sz w:val="21"/>
              </w:rPr>
              <w:t>指患者因反复肺栓塞发作，抗凝血疗法无效而接受手术植入腔静脉过滤器。此项</w:t>
            </w:r>
            <w:r>
              <w:rPr>
                <w:spacing w:val="-4"/>
                <w:sz w:val="21"/>
              </w:rPr>
              <w:t>手术需由专科医生认定为医学上必需的情况下进行。</w:t>
            </w:r>
          </w:p>
        </w:tc>
      </w:tr>
      <w:tr>
        <w:trPr>
          <w:trHeight w:val="935" w:hRule="atLeast"/>
        </w:trPr>
        <w:tc>
          <w:tcPr>
            <w:tcW w:w="2007" w:type="dxa"/>
          </w:tcPr>
          <w:p>
            <w:pPr>
              <w:pStyle w:val="TableParagraph"/>
              <w:spacing w:before="59"/>
              <w:ind w:left="200"/>
              <w:rPr>
                <w:rFonts w:ascii="Microsoft JhengHei" w:eastAsia="Microsoft JhengHei" w:hint="eastAsia"/>
                <w:b/>
                <w:sz w:val="21"/>
              </w:rPr>
            </w:pPr>
            <w:r>
              <w:rPr>
                <w:rFonts w:ascii="Microsoft JhengHei" w:eastAsia="Microsoft JhengHei" w:hint="eastAsia"/>
                <w:b/>
                <w:sz w:val="21"/>
              </w:rPr>
              <w:t>37.  肾上腺切除术</w:t>
            </w:r>
          </w:p>
        </w:tc>
        <w:tc>
          <w:tcPr>
            <w:tcW w:w="7673" w:type="dxa"/>
          </w:tcPr>
          <w:p>
            <w:pPr>
              <w:pStyle w:val="TableParagraph"/>
              <w:spacing w:line="273" w:lineRule="auto" w:before="145"/>
              <w:ind w:right="198"/>
              <w:rPr>
                <w:sz w:val="21"/>
              </w:rPr>
            </w:pPr>
            <w:r>
              <w:rPr>
                <w:sz w:val="21"/>
              </w:rPr>
              <w:t>指为治疗因肾上腺腺瘤所导致醛固酮分泌过多产生的继发性恶性高血压，而接受肾上腺切除术。此项手术需由专科医生认定为处理恶性高血压的必要治疗行为。</w:t>
            </w:r>
          </w:p>
        </w:tc>
      </w:tr>
      <w:tr>
        <w:trPr>
          <w:trHeight w:val="1248" w:hRule="atLeast"/>
        </w:trPr>
        <w:tc>
          <w:tcPr>
            <w:tcW w:w="2007" w:type="dxa"/>
          </w:tcPr>
          <w:p>
            <w:pPr>
              <w:pStyle w:val="TableParagraph"/>
              <w:spacing w:before="60"/>
              <w:ind w:left="200"/>
              <w:rPr>
                <w:rFonts w:ascii="Microsoft JhengHei" w:eastAsia="Microsoft JhengHei" w:hint="eastAsia"/>
                <w:b/>
                <w:sz w:val="21"/>
              </w:rPr>
            </w:pPr>
            <w:r>
              <w:rPr>
                <w:rFonts w:ascii="Microsoft JhengHei" w:eastAsia="Microsoft JhengHei" w:hint="eastAsia"/>
                <w:b/>
                <w:sz w:val="21"/>
              </w:rPr>
              <w:t>38.  早期象皮病</w:t>
            </w:r>
          </w:p>
        </w:tc>
        <w:tc>
          <w:tcPr>
            <w:tcW w:w="7673" w:type="dxa"/>
          </w:tcPr>
          <w:p>
            <w:pPr>
              <w:pStyle w:val="TableParagraph"/>
              <w:spacing w:line="273" w:lineRule="auto" w:before="146"/>
              <w:ind w:right="185"/>
              <w:rPr>
                <w:sz w:val="21"/>
              </w:rPr>
            </w:pPr>
            <w:r>
              <w:rPr>
                <w:sz w:val="21"/>
              </w:rPr>
              <w:t>指因丝虫感染导致淋巴管阻塞而造成身体组织出现严重淋巴水肿。此病症须经本公司认可医院的专科医生根据临床表现和微丝蚴的化验结果确诊。</w:t>
            </w:r>
          </w:p>
          <w:p>
            <w:pPr>
              <w:pStyle w:val="TableParagraph"/>
              <w:spacing w:line="284" w:lineRule="exact"/>
              <w:rPr>
                <w:b/>
                <w:i/>
                <w:sz w:val="22"/>
              </w:rPr>
            </w:pPr>
            <w:r>
              <w:rPr>
                <w:b/>
                <w:i/>
                <w:w w:val="95"/>
                <w:sz w:val="22"/>
              </w:rPr>
              <w:t>急性淋巴管炎或其它原因引起的淋巴水肿并不在保障范围內。</w:t>
            </w:r>
          </w:p>
        </w:tc>
      </w:tr>
      <w:tr>
        <w:trPr>
          <w:trHeight w:val="1872" w:hRule="atLeast"/>
        </w:trPr>
        <w:tc>
          <w:tcPr>
            <w:tcW w:w="2007" w:type="dxa"/>
          </w:tcPr>
          <w:p>
            <w:pPr>
              <w:pStyle w:val="TableParagraph"/>
              <w:spacing w:line="204" w:lineRule="auto" w:before="114"/>
              <w:ind w:left="619" w:right="120" w:hanging="420"/>
              <w:rPr>
                <w:rFonts w:ascii="Microsoft JhengHei" w:eastAsia="Microsoft JhengHei" w:hint="eastAsia"/>
                <w:b/>
                <w:sz w:val="21"/>
              </w:rPr>
            </w:pPr>
            <w:r>
              <w:rPr>
                <w:rFonts w:ascii="Microsoft JhengHei" w:eastAsia="Microsoft JhengHei" w:hint="eastAsia"/>
                <w:b/>
                <w:sz w:val="21"/>
              </w:rPr>
              <w:t>39. 中度严重克雅氏病</w:t>
            </w:r>
          </w:p>
        </w:tc>
        <w:tc>
          <w:tcPr>
            <w:tcW w:w="7673" w:type="dxa"/>
          </w:tcPr>
          <w:p>
            <w:pPr>
              <w:pStyle w:val="TableParagraph"/>
              <w:spacing w:line="273" w:lineRule="auto" w:before="145"/>
              <w:ind w:right="229"/>
              <w:jc w:val="both"/>
              <w:rPr>
                <w:sz w:val="21"/>
              </w:rPr>
            </w:pPr>
            <w:r>
              <w:rPr>
                <w:spacing w:val="-5"/>
                <w:sz w:val="21"/>
              </w:rPr>
              <w:t>指一种罕见的主要发生在老年人之间的可传播的脑病。受感染的人可以有睡眠紊</w:t>
            </w:r>
            <w:r>
              <w:rPr>
                <w:spacing w:val="-8"/>
                <w:sz w:val="21"/>
              </w:rPr>
              <w:t>乱，个性改变，共济失调，失语症，视觉丧失，物理，肌肉萎缩，肌阵挛，进行性痴呆等症状。须满足自主生活能力严重丧失，无法独立完成六项基本日常生活</w:t>
            </w:r>
            <w:r>
              <w:rPr>
                <w:spacing w:val="-5"/>
                <w:sz w:val="21"/>
              </w:rPr>
              <w:t>活动中的两项。</w:t>
            </w:r>
          </w:p>
          <w:p>
            <w:pPr>
              <w:pStyle w:val="TableParagraph"/>
              <w:spacing w:line="284" w:lineRule="exact"/>
              <w:jc w:val="both"/>
              <w:rPr>
                <w:b/>
                <w:i/>
                <w:sz w:val="22"/>
              </w:rPr>
            </w:pPr>
            <w:r>
              <w:rPr>
                <w:b/>
                <w:i/>
                <w:w w:val="95"/>
                <w:sz w:val="22"/>
              </w:rPr>
              <w:t>因人类生长激素治疗所致疾病不在保障范围内。</w:t>
            </w:r>
          </w:p>
        </w:tc>
      </w:tr>
      <w:tr>
        <w:trPr>
          <w:trHeight w:val="1871" w:hRule="atLeast"/>
        </w:trPr>
        <w:tc>
          <w:tcPr>
            <w:tcW w:w="2007" w:type="dxa"/>
          </w:tcPr>
          <w:p>
            <w:pPr>
              <w:pStyle w:val="TableParagraph"/>
              <w:spacing w:line="204" w:lineRule="auto" w:before="114"/>
              <w:ind w:left="619" w:right="120" w:hanging="420"/>
              <w:rPr>
                <w:rFonts w:ascii="Microsoft JhengHei" w:eastAsia="Microsoft JhengHei" w:hint="eastAsia"/>
                <w:b/>
                <w:sz w:val="21"/>
              </w:rPr>
            </w:pPr>
            <w:r>
              <w:rPr>
                <w:rFonts w:ascii="Microsoft JhengHei" w:eastAsia="Microsoft JhengHei" w:hint="eastAsia"/>
                <w:b/>
                <w:sz w:val="21"/>
              </w:rPr>
              <w:t>40. 中度严重脊髓灰质炎</w:t>
            </w:r>
          </w:p>
        </w:tc>
        <w:tc>
          <w:tcPr>
            <w:tcW w:w="7673" w:type="dxa"/>
          </w:tcPr>
          <w:p>
            <w:pPr>
              <w:pStyle w:val="TableParagraph"/>
              <w:spacing w:line="273" w:lineRule="auto" w:before="145"/>
              <w:ind w:right="229"/>
              <w:jc w:val="both"/>
              <w:rPr>
                <w:sz w:val="21"/>
              </w:rPr>
            </w:pPr>
            <w:r>
              <w:rPr>
                <w:spacing w:val="-5"/>
                <w:sz w:val="21"/>
              </w:rPr>
              <w:t>脊髓灰质炎是由于脊髓灰质炎病毒感染所致的瘫痪性疾病，临床表现为运动功能</w:t>
            </w:r>
            <w:r>
              <w:rPr>
                <w:spacing w:val="-7"/>
                <w:sz w:val="21"/>
              </w:rPr>
              <w:t>损害或呼吸无力。脊髓灰质炎必须明确诊断。本保单仅对脊髓灰质炎造成的神经</w:t>
            </w:r>
            <w:r>
              <w:rPr>
                <w:sz w:val="21"/>
              </w:rPr>
              <w:t>系统功能损害导致被保险人一肢或一肢以上肢体机能永久完全丧失的情况予以理赔。肢体机能永久完全丧失，指疾病确诊180天后，每肢三大关节中的至少一</w:t>
            </w:r>
            <w:r>
              <w:rPr>
                <w:spacing w:val="-3"/>
                <w:sz w:val="21"/>
              </w:rPr>
              <w:t>个大关节仍然完全僵硬，或不能随意识活动。</w:t>
            </w:r>
          </w:p>
        </w:tc>
      </w:tr>
      <w:tr>
        <w:trPr>
          <w:trHeight w:val="421" w:hRule="atLeast"/>
        </w:trPr>
        <w:tc>
          <w:tcPr>
            <w:tcW w:w="2007" w:type="dxa"/>
          </w:tcPr>
          <w:p>
            <w:pPr>
              <w:pStyle w:val="TableParagraph"/>
              <w:spacing w:line="342" w:lineRule="exact" w:before="60"/>
              <w:ind w:left="200"/>
              <w:rPr>
                <w:rFonts w:ascii="Microsoft JhengHei" w:eastAsia="Microsoft JhengHei" w:hint="eastAsia"/>
                <w:b/>
                <w:sz w:val="21"/>
              </w:rPr>
            </w:pPr>
            <w:r>
              <w:rPr>
                <w:rFonts w:ascii="Microsoft JhengHei" w:eastAsia="Microsoft JhengHei" w:hint="eastAsia"/>
                <w:b/>
                <w:sz w:val="21"/>
              </w:rPr>
              <w:t>41.  中度进行性核</w:t>
            </w:r>
          </w:p>
        </w:tc>
        <w:tc>
          <w:tcPr>
            <w:tcW w:w="7673" w:type="dxa"/>
          </w:tcPr>
          <w:p>
            <w:pPr>
              <w:pStyle w:val="TableParagraph"/>
              <w:spacing w:line="256" w:lineRule="exact" w:before="146"/>
              <w:rPr>
                <w:sz w:val="21"/>
              </w:rPr>
            </w:pPr>
            <w:r>
              <w:rPr>
                <w:sz w:val="21"/>
              </w:rPr>
              <w:t>指一种少见的神经系统变性疾病，以假球麻痹、垂直性核上性眼肌麻痹、锥体外</w:t>
            </w:r>
          </w:p>
        </w:tc>
      </w:tr>
    </w:tbl>
    <w:p>
      <w:pPr>
        <w:spacing w:after="0" w:line="256" w:lineRule="exact"/>
        <w:rPr>
          <w:sz w:val="21"/>
        </w:rPr>
        <w:sectPr>
          <w:pgSz w:w="11910" w:h="16840"/>
          <w:pgMar w:header="0" w:footer="358" w:top="1160" w:bottom="540" w:left="1360" w:right="64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5"/>
        <w:gridCol w:w="1990"/>
        <w:gridCol w:w="7745"/>
      </w:tblGrid>
      <w:tr>
        <w:trPr>
          <w:trHeight w:val="733" w:hRule="atLeast"/>
        </w:trPr>
        <w:tc>
          <w:tcPr>
            <w:tcW w:w="805" w:type="dxa"/>
          </w:tcPr>
          <w:p>
            <w:pPr>
              <w:pStyle w:val="TableParagraph"/>
              <w:ind w:left="0"/>
              <w:rPr>
                <w:rFonts w:ascii="Times New Roman"/>
                <w:sz w:val="20"/>
              </w:rPr>
            </w:pPr>
          </w:p>
        </w:tc>
        <w:tc>
          <w:tcPr>
            <w:tcW w:w="1990" w:type="dxa"/>
          </w:tcPr>
          <w:p>
            <w:pPr>
              <w:pStyle w:val="TableParagraph"/>
              <w:spacing w:line="222" w:lineRule="exact"/>
              <w:ind w:left="602"/>
              <w:rPr>
                <w:rFonts w:ascii="Microsoft JhengHei" w:eastAsia="Microsoft JhengHei" w:hint="eastAsia"/>
                <w:b/>
                <w:sz w:val="21"/>
              </w:rPr>
            </w:pPr>
            <w:r>
              <w:rPr>
                <w:rFonts w:ascii="Microsoft JhengHei" w:eastAsia="Microsoft JhengHei" w:hint="eastAsia"/>
                <w:b/>
                <w:sz w:val="21"/>
              </w:rPr>
              <w:t>上神经麻痹症</w:t>
            </w:r>
          </w:p>
        </w:tc>
        <w:tc>
          <w:tcPr>
            <w:tcW w:w="7745" w:type="dxa"/>
          </w:tcPr>
          <w:p>
            <w:pPr>
              <w:pStyle w:val="TableParagraph"/>
              <w:spacing w:line="218" w:lineRule="exact"/>
              <w:rPr>
                <w:sz w:val="21"/>
              </w:rPr>
            </w:pPr>
            <w:r>
              <w:rPr>
                <w:sz w:val="21"/>
              </w:rPr>
              <w:t>系肌僵直、步态共济失调和轻度痴呆为主要临床特征。须满足自主生活能力严重</w:t>
            </w:r>
          </w:p>
          <w:p>
            <w:pPr>
              <w:pStyle w:val="TableParagraph"/>
              <w:spacing w:before="37"/>
              <w:rPr>
                <w:sz w:val="21"/>
              </w:rPr>
            </w:pPr>
            <w:r>
              <w:rPr>
                <w:sz w:val="21"/>
              </w:rPr>
              <w:t>丧失，无法独立完成六项基本日常生活活动中的两项。</w:t>
            </w:r>
          </w:p>
        </w:tc>
      </w:tr>
      <w:tr>
        <w:trPr>
          <w:trHeight w:val="2187" w:hRule="atLeast"/>
        </w:trPr>
        <w:tc>
          <w:tcPr>
            <w:tcW w:w="805" w:type="dxa"/>
          </w:tcPr>
          <w:p>
            <w:pPr>
              <w:pStyle w:val="TableParagraph"/>
              <w:ind w:left="0"/>
              <w:rPr>
                <w:rFonts w:ascii="Times New Roman"/>
                <w:sz w:val="20"/>
              </w:rPr>
            </w:pPr>
          </w:p>
        </w:tc>
        <w:tc>
          <w:tcPr>
            <w:tcW w:w="1990" w:type="dxa"/>
          </w:tcPr>
          <w:p>
            <w:pPr>
              <w:pStyle w:val="TableParagraph"/>
              <w:spacing w:line="204" w:lineRule="auto" w:before="115"/>
              <w:ind w:left="602" w:right="120" w:hanging="420"/>
              <w:rPr>
                <w:rFonts w:ascii="Microsoft JhengHei" w:eastAsia="Microsoft JhengHei" w:hint="eastAsia"/>
                <w:b/>
                <w:sz w:val="21"/>
              </w:rPr>
            </w:pPr>
            <w:r>
              <w:rPr>
                <w:rFonts w:ascii="Microsoft JhengHei" w:eastAsia="Microsoft JhengHei" w:hint="eastAsia"/>
                <w:b/>
                <w:sz w:val="21"/>
              </w:rPr>
              <w:t>42. 中度重症ft无力</w:t>
            </w:r>
          </w:p>
        </w:tc>
        <w:tc>
          <w:tcPr>
            <w:tcW w:w="7745" w:type="dxa"/>
          </w:tcPr>
          <w:p>
            <w:pPr>
              <w:pStyle w:val="TableParagraph"/>
              <w:spacing w:line="273" w:lineRule="auto" w:before="146"/>
              <w:ind w:right="257"/>
              <w:rPr>
                <w:sz w:val="21"/>
              </w:rPr>
            </w:pPr>
            <w:r>
              <w:rPr>
                <w:sz w:val="21"/>
              </w:rPr>
              <w:t>指一种神经与肌肉接头部位传递障碍的自身免疫性疾病，临床特征是局部或全身肌肉于活动时易于疲劳无力，须经专科医生明确诊断，并满足下列全部条件：</w:t>
            </w:r>
          </w:p>
          <w:p>
            <w:pPr>
              <w:pStyle w:val="TableParagraph"/>
              <w:spacing w:line="273" w:lineRule="auto" w:before="7"/>
              <w:ind w:left="648" w:right="307" w:hanging="527"/>
              <w:rPr>
                <w:sz w:val="21"/>
              </w:rPr>
            </w:pPr>
            <w:r>
              <w:rPr>
                <w:sz w:val="21"/>
              </w:rPr>
              <w:t>（1）经药物治疗或胸腺手术治疗一年以上无法控制病情，症状缓解、复发及恶化交替出现；</w:t>
            </w:r>
          </w:p>
          <w:p>
            <w:pPr>
              <w:pStyle w:val="TableParagraph"/>
              <w:spacing w:line="273" w:lineRule="auto" w:before="7"/>
              <w:ind w:left="648" w:right="307" w:hanging="527"/>
              <w:rPr>
                <w:sz w:val="21"/>
              </w:rPr>
            </w:pPr>
            <w:r>
              <w:rPr>
                <w:sz w:val="21"/>
              </w:rPr>
              <w:t>（2）自主生活能力严重丧失，无法独立完成六项基本日常生活活动中的二项或二项以上。</w:t>
            </w:r>
          </w:p>
        </w:tc>
      </w:tr>
      <w:tr>
        <w:trPr>
          <w:trHeight w:val="1514" w:hRule="atLeast"/>
        </w:trPr>
        <w:tc>
          <w:tcPr>
            <w:tcW w:w="805" w:type="dxa"/>
          </w:tcPr>
          <w:p>
            <w:pPr>
              <w:pStyle w:val="TableParagraph"/>
              <w:spacing w:before="142"/>
              <w:ind w:left="200"/>
              <w:rPr>
                <w:b/>
                <w:sz w:val="21"/>
              </w:rPr>
            </w:pPr>
            <w:r>
              <w:rPr>
                <w:b/>
                <w:sz w:val="21"/>
              </w:rPr>
              <w:t>10.9</w:t>
            </w:r>
          </w:p>
        </w:tc>
        <w:tc>
          <w:tcPr>
            <w:tcW w:w="1990" w:type="dxa"/>
          </w:tcPr>
          <w:p>
            <w:pPr>
              <w:pStyle w:val="TableParagraph"/>
              <w:spacing w:before="142"/>
              <w:ind w:left="182"/>
              <w:rPr>
                <w:b/>
                <w:sz w:val="21"/>
              </w:rPr>
            </w:pPr>
            <w:r>
              <w:rPr>
                <w:b/>
                <w:sz w:val="21"/>
              </w:rPr>
              <w:t>重大疾病</w:t>
            </w:r>
          </w:p>
        </w:tc>
        <w:tc>
          <w:tcPr>
            <w:tcW w:w="7745" w:type="dxa"/>
          </w:tcPr>
          <w:p>
            <w:pPr>
              <w:pStyle w:val="TableParagraph"/>
              <w:spacing w:line="273" w:lineRule="auto" w:before="142"/>
              <w:ind w:right="301"/>
              <w:rPr>
                <w:sz w:val="21"/>
              </w:rPr>
            </w:pPr>
            <w:r>
              <w:rPr>
                <w:spacing w:val="-4"/>
                <w:sz w:val="21"/>
              </w:rPr>
              <w:t>指被保险人发生符合以下疾病定义所述条件的疾病</w:t>
            </w:r>
            <w:r>
              <w:rPr>
                <w:sz w:val="21"/>
              </w:rPr>
              <w:t>（</w:t>
            </w:r>
            <w:r>
              <w:rPr>
                <w:spacing w:val="-18"/>
                <w:sz w:val="21"/>
              </w:rPr>
              <w:t>共 </w:t>
            </w:r>
            <w:r>
              <w:rPr>
                <w:sz w:val="21"/>
              </w:rPr>
              <w:t>82</w:t>
            </w:r>
            <w:r>
              <w:rPr>
                <w:spacing w:val="-19"/>
                <w:sz w:val="21"/>
              </w:rPr>
              <w:t> 种</w:t>
            </w:r>
            <w:r>
              <w:rPr>
                <w:spacing w:val="-64"/>
                <w:sz w:val="21"/>
              </w:rPr>
              <w:t>）</w:t>
            </w:r>
            <w:r>
              <w:rPr>
                <w:spacing w:val="-11"/>
                <w:sz w:val="21"/>
              </w:rPr>
              <w:t>，应当由专科医生</w:t>
            </w:r>
            <w:r>
              <w:rPr>
                <w:spacing w:val="-6"/>
                <w:sz w:val="21"/>
              </w:rPr>
              <w:t>明确诊断。</w:t>
            </w:r>
          </w:p>
          <w:p>
            <w:pPr>
              <w:pStyle w:val="TableParagraph"/>
              <w:spacing w:before="7"/>
              <w:rPr>
                <w:sz w:val="21"/>
              </w:rPr>
            </w:pPr>
            <w:r>
              <w:rPr>
                <w:sz w:val="21"/>
              </w:rPr>
              <w:t>第 1 至第 25 项为中国保险行业协会与中国医师协会共同制定的重大疾病保险的</w:t>
            </w:r>
          </w:p>
          <w:p>
            <w:pPr>
              <w:pStyle w:val="TableParagraph"/>
              <w:spacing w:before="37"/>
              <w:rPr>
                <w:sz w:val="21"/>
              </w:rPr>
            </w:pPr>
            <w:r>
              <w:rPr>
                <w:sz w:val="21"/>
              </w:rPr>
              <w:t>疾病定义，第 26 至第 82 项为我们增加的疾病种类并自行制定的疾病定义。</w:t>
            </w:r>
          </w:p>
        </w:tc>
      </w:tr>
      <w:tr>
        <w:trPr>
          <w:trHeight w:val="3349" w:hRule="atLeast"/>
        </w:trPr>
        <w:tc>
          <w:tcPr>
            <w:tcW w:w="805" w:type="dxa"/>
          </w:tcPr>
          <w:p>
            <w:pPr>
              <w:pStyle w:val="TableParagraph"/>
              <w:ind w:left="0"/>
              <w:rPr>
                <w:rFonts w:ascii="Times New Roman"/>
                <w:sz w:val="20"/>
              </w:rPr>
            </w:pPr>
          </w:p>
        </w:tc>
        <w:tc>
          <w:tcPr>
            <w:tcW w:w="1990" w:type="dxa"/>
          </w:tcPr>
          <w:p>
            <w:pPr>
              <w:pStyle w:val="TableParagraph"/>
              <w:tabs>
                <w:tab w:pos="602" w:val="left" w:leader="none"/>
              </w:tabs>
              <w:spacing w:before="18"/>
              <w:ind w:left="182"/>
              <w:rPr>
                <w:rFonts w:ascii="Microsoft JhengHei" w:eastAsia="Microsoft JhengHei" w:hint="eastAsia"/>
                <w:b/>
                <w:sz w:val="21"/>
              </w:rPr>
            </w:pPr>
            <w:r>
              <w:rPr>
                <w:rFonts w:ascii="Microsoft JhengHei" w:eastAsia="Microsoft JhengHei" w:hint="eastAsia"/>
                <w:b/>
                <w:sz w:val="21"/>
              </w:rPr>
              <w:t>1.</w:t>
              <w:tab/>
            </w:r>
            <w:r>
              <w:rPr>
                <w:rFonts w:ascii="Microsoft JhengHei" w:eastAsia="Microsoft JhengHei" w:hint="eastAsia"/>
                <w:b/>
                <w:spacing w:val="-1"/>
                <w:sz w:val="21"/>
              </w:rPr>
              <w:t>恶性肿瘤</w:t>
            </w:r>
          </w:p>
        </w:tc>
        <w:tc>
          <w:tcPr>
            <w:tcW w:w="7745" w:type="dxa"/>
          </w:tcPr>
          <w:p>
            <w:pPr>
              <w:pStyle w:val="TableParagraph"/>
              <w:spacing w:line="268" w:lineRule="auto" w:before="104"/>
              <w:ind w:right="201"/>
              <w:rPr>
                <w:b/>
                <w:i/>
                <w:sz w:val="22"/>
              </w:rPr>
            </w:pPr>
            <w:r>
              <w:rPr>
                <w:spacing w:val="-5"/>
                <w:sz w:val="21"/>
              </w:rPr>
              <w:t>指恶性细胞不受控制的进行性增长和扩散，浸润和破坏周围正常组织，可以经血</w:t>
            </w:r>
            <w:r>
              <w:rPr>
                <w:spacing w:val="-14"/>
                <w:sz w:val="21"/>
              </w:rPr>
              <w:t>管、淋巴管和体腔扩散转移到身体其它部位的疾病。经病理学检查结果明确诊断， </w:t>
            </w:r>
            <w:r>
              <w:rPr>
                <w:spacing w:val="-17"/>
                <w:sz w:val="21"/>
              </w:rPr>
              <w:t>临床诊断属于世界卫生组织《疾病和有关健康问题的国际统计分类》</w:t>
            </w:r>
            <w:r>
              <w:rPr>
                <w:sz w:val="21"/>
              </w:rPr>
              <w:t>（ICD-10） </w:t>
            </w:r>
            <w:r>
              <w:rPr>
                <w:spacing w:val="-3"/>
                <w:w w:val="95"/>
                <w:sz w:val="21"/>
              </w:rPr>
              <w:t>的恶性肿瘤范畴。</w:t>
            </w:r>
            <w:r>
              <w:rPr>
                <w:b/>
                <w:i/>
                <w:w w:val="95"/>
                <w:sz w:val="22"/>
              </w:rPr>
              <w:t>下列疾病不在保障范围内：</w:t>
            </w:r>
          </w:p>
          <w:p>
            <w:pPr>
              <w:pStyle w:val="TableParagraph"/>
              <w:spacing w:line="286" w:lineRule="exact"/>
              <w:rPr>
                <w:b/>
                <w:i/>
                <w:sz w:val="22"/>
              </w:rPr>
            </w:pPr>
            <w:r>
              <w:rPr>
                <w:b/>
                <w:i/>
                <w:w w:val="95"/>
                <w:sz w:val="22"/>
              </w:rPr>
              <w:t>（1）原位癌；</w:t>
            </w:r>
          </w:p>
          <w:p>
            <w:pPr>
              <w:pStyle w:val="TableParagraph"/>
              <w:spacing w:before="24"/>
              <w:rPr>
                <w:b/>
                <w:i/>
                <w:sz w:val="22"/>
              </w:rPr>
            </w:pPr>
            <w:r>
              <w:rPr>
                <w:b/>
                <w:i/>
                <w:w w:val="95"/>
                <w:sz w:val="22"/>
              </w:rPr>
              <w:t>（2）相当于 Binet 分期方案 A 期程度的慢性淋巴细胞白血病；</w:t>
            </w:r>
          </w:p>
          <w:p>
            <w:pPr>
              <w:pStyle w:val="TableParagraph"/>
              <w:spacing w:before="23"/>
              <w:rPr>
                <w:b/>
                <w:i/>
                <w:sz w:val="22"/>
              </w:rPr>
            </w:pPr>
            <w:r>
              <w:rPr>
                <w:b/>
                <w:i/>
                <w:w w:val="95"/>
                <w:sz w:val="22"/>
              </w:rPr>
              <w:t>（3）相当于 Ann Arbor 分期方案 I 期程度的何杰金氏病；</w:t>
            </w:r>
          </w:p>
          <w:p>
            <w:pPr>
              <w:pStyle w:val="TableParagraph"/>
              <w:spacing w:before="23"/>
              <w:rPr>
                <w:b/>
                <w:i/>
                <w:sz w:val="22"/>
              </w:rPr>
            </w:pPr>
            <w:r>
              <w:rPr>
                <w:b/>
                <w:i/>
                <w:w w:val="95"/>
                <w:sz w:val="22"/>
              </w:rPr>
              <w:t>（</w:t>
            </w:r>
            <w:r>
              <w:rPr>
                <w:b/>
                <w:i/>
                <w:w w:val="95"/>
                <w:sz w:val="22"/>
              </w:rPr>
              <w:t>4</w:t>
            </w:r>
            <w:r>
              <w:rPr>
                <w:b/>
                <w:i/>
                <w:w w:val="95"/>
                <w:sz w:val="22"/>
              </w:rPr>
              <w:t>）皮肤癌（</w:t>
            </w:r>
            <w:r>
              <w:rPr>
                <w:b/>
                <w:i/>
                <w:spacing w:val="-3"/>
                <w:w w:val="95"/>
                <w:sz w:val="22"/>
              </w:rPr>
              <w:t>不包括恶性黑色素瘤及已发生转移的皮肤癌</w:t>
            </w:r>
            <w:r>
              <w:rPr>
                <w:b/>
                <w:i/>
                <w:spacing w:val="-106"/>
                <w:w w:val="95"/>
                <w:sz w:val="22"/>
              </w:rPr>
              <w:t>）</w:t>
            </w:r>
            <w:r>
              <w:rPr>
                <w:b/>
                <w:i/>
                <w:w w:val="95"/>
                <w:sz w:val="22"/>
              </w:rPr>
              <w:t>；</w:t>
            </w:r>
          </w:p>
          <w:p>
            <w:pPr>
              <w:pStyle w:val="TableParagraph"/>
              <w:spacing w:before="23"/>
              <w:rPr>
                <w:b/>
                <w:i/>
                <w:sz w:val="22"/>
              </w:rPr>
            </w:pPr>
            <w:r>
              <w:rPr>
                <w:b/>
                <w:i/>
                <w:w w:val="95"/>
                <w:position w:val="1"/>
                <w:sz w:val="22"/>
              </w:rPr>
              <w:t>（5）TNM 分期为 T</w:t>
            </w:r>
            <w:r>
              <w:rPr>
                <w:b/>
                <w:i/>
                <w:w w:val="95"/>
                <w:sz w:val="11"/>
              </w:rPr>
              <w:t>1</w:t>
            </w:r>
            <w:r>
              <w:rPr>
                <w:b/>
                <w:i/>
                <w:w w:val="95"/>
                <w:position w:val="1"/>
                <w:sz w:val="22"/>
              </w:rPr>
              <w:t>N</w:t>
            </w:r>
            <w:r>
              <w:rPr>
                <w:b/>
                <w:i/>
                <w:w w:val="95"/>
                <w:sz w:val="11"/>
              </w:rPr>
              <w:t>0</w:t>
            </w:r>
            <w:r>
              <w:rPr>
                <w:b/>
                <w:i/>
                <w:w w:val="95"/>
                <w:position w:val="1"/>
                <w:sz w:val="22"/>
              </w:rPr>
              <w:t>M</w:t>
            </w:r>
            <w:r>
              <w:rPr>
                <w:b/>
                <w:i/>
                <w:w w:val="95"/>
                <w:sz w:val="11"/>
              </w:rPr>
              <w:t>0 </w:t>
            </w:r>
            <w:r>
              <w:rPr>
                <w:b/>
                <w:i/>
                <w:w w:val="95"/>
                <w:position w:val="1"/>
                <w:sz w:val="22"/>
              </w:rPr>
              <w:t>期或更轻分期的前列腺癌；</w:t>
            </w:r>
          </w:p>
          <w:p>
            <w:pPr>
              <w:pStyle w:val="TableParagraph"/>
              <w:spacing w:before="24"/>
              <w:rPr>
                <w:b/>
                <w:i/>
                <w:sz w:val="22"/>
              </w:rPr>
            </w:pPr>
            <w:r>
              <w:rPr>
                <w:b/>
                <w:i/>
                <w:w w:val="95"/>
                <w:sz w:val="22"/>
              </w:rPr>
              <w:t>（6）感染艾滋病病毒或患艾滋病期间所患恶性肿瘤。</w:t>
            </w:r>
          </w:p>
        </w:tc>
      </w:tr>
      <w:tr>
        <w:trPr>
          <w:trHeight w:val="2410" w:hRule="atLeast"/>
        </w:trPr>
        <w:tc>
          <w:tcPr>
            <w:tcW w:w="805" w:type="dxa"/>
          </w:tcPr>
          <w:p>
            <w:pPr>
              <w:pStyle w:val="TableParagraph"/>
              <w:ind w:left="0"/>
              <w:rPr>
                <w:rFonts w:ascii="Times New Roman"/>
                <w:sz w:val="20"/>
              </w:rPr>
            </w:pPr>
          </w:p>
        </w:tc>
        <w:tc>
          <w:tcPr>
            <w:tcW w:w="1990" w:type="dxa"/>
          </w:tcPr>
          <w:p>
            <w:pPr>
              <w:pStyle w:val="TableParagraph"/>
              <w:tabs>
                <w:tab w:pos="602" w:val="left" w:leader="none"/>
              </w:tabs>
              <w:spacing w:before="17"/>
              <w:ind w:left="182"/>
              <w:rPr>
                <w:rFonts w:ascii="Microsoft JhengHei" w:eastAsia="Microsoft JhengHei" w:hint="eastAsia"/>
                <w:b/>
                <w:sz w:val="21"/>
              </w:rPr>
            </w:pPr>
            <w:r>
              <w:rPr>
                <w:rFonts w:ascii="Microsoft JhengHei" w:eastAsia="Microsoft JhengHei" w:hint="eastAsia"/>
                <w:b/>
                <w:w w:val="105"/>
                <w:sz w:val="21"/>
              </w:rPr>
              <w:t>2.</w:t>
              <w:tab/>
            </w:r>
            <w:r>
              <w:rPr>
                <w:rFonts w:ascii="Microsoft JhengHei" w:eastAsia="Microsoft JhengHei" w:hint="eastAsia"/>
                <w:b/>
                <w:spacing w:val="-1"/>
                <w:sz w:val="21"/>
              </w:rPr>
              <w:t>急性心</w:t>
            </w:r>
            <w:r>
              <w:rPr>
                <w:rFonts w:ascii="Microsoft JhengHei" w:eastAsia="Microsoft JhengHei" w:hint="eastAsia"/>
                <w:b/>
                <w:sz w:val="21"/>
              </w:rPr>
              <w:t>ft梗塞</w:t>
            </w:r>
          </w:p>
        </w:tc>
        <w:tc>
          <w:tcPr>
            <w:tcW w:w="7745" w:type="dxa"/>
          </w:tcPr>
          <w:p>
            <w:pPr>
              <w:pStyle w:val="TableParagraph"/>
              <w:spacing w:line="273" w:lineRule="auto" w:before="103"/>
              <w:ind w:right="257"/>
              <w:rPr>
                <w:sz w:val="21"/>
              </w:rPr>
            </w:pPr>
            <w:r>
              <w:rPr>
                <w:sz w:val="21"/>
              </w:rPr>
              <w:t>指因冠状动脉阻塞导致的相应区域供血不足造成部分心肌坏死。须满足下列至少三项条件：</w:t>
            </w:r>
          </w:p>
          <w:p>
            <w:pPr>
              <w:pStyle w:val="TableParagraph"/>
              <w:spacing w:before="7"/>
              <w:rPr>
                <w:sz w:val="21"/>
              </w:rPr>
            </w:pPr>
            <w:r>
              <w:rPr>
                <w:sz w:val="21"/>
              </w:rPr>
              <w:t>（1）典型临床表现，例如急性胸痛等；</w:t>
            </w:r>
          </w:p>
          <w:p>
            <w:pPr>
              <w:pStyle w:val="TableParagraph"/>
              <w:spacing w:before="36"/>
              <w:rPr>
                <w:sz w:val="21"/>
              </w:rPr>
            </w:pPr>
            <w:r>
              <w:rPr>
                <w:sz w:val="21"/>
              </w:rPr>
              <w:t>（2）新近的心电图改变提示急性心肌梗塞；</w:t>
            </w:r>
          </w:p>
          <w:p>
            <w:pPr>
              <w:pStyle w:val="TableParagraph"/>
              <w:spacing w:line="273" w:lineRule="auto" w:before="36"/>
              <w:ind w:left="648" w:right="308" w:hanging="527"/>
              <w:rPr>
                <w:sz w:val="21"/>
              </w:rPr>
            </w:pPr>
            <w:r>
              <w:rPr>
                <w:sz w:val="21"/>
              </w:rPr>
              <w:t>（3）心肌酶或肌钙蛋白有诊断意义的升高，或呈符合急性心肌梗塞的动态性变化；</w:t>
            </w:r>
          </w:p>
          <w:p>
            <w:pPr>
              <w:pStyle w:val="TableParagraph"/>
              <w:spacing w:before="7"/>
              <w:rPr>
                <w:sz w:val="21"/>
              </w:rPr>
            </w:pPr>
            <w:r>
              <w:rPr>
                <w:spacing w:val="-11"/>
                <w:sz w:val="21"/>
              </w:rPr>
              <w:t>（4）</w:t>
            </w:r>
            <w:r>
              <w:rPr>
                <w:spacing w:val="-15"/>
                <w:sz w:val="21"/>
              </w:rPr>
              <w:t>发病 </w:t>
            </w:r>
            <w:r>
              <w:rPr>
                <w:sz w:val="21"/>
              </w:rPr>
              <w:t>90</w:t>
            </w:r>
            <w:r>
              <w:rPr>
                <w:spacing w:val="-13"/>
                <w:sz w:val="21"/>
              </w:rPr>
              <w:t> 天后，经检查证实左心室功能降低的，如左心室射血分数低于 </w:t>
            </w:r>
            <w:r>
              <w:rPr>
                <w:sz w:val="21"/>
              </w:rPr>
              <w:t>50%。</w:t>
            </w:r>
          </w:p>
        </w:tc>
      </w:tr>
      <w:tr>
        <w:trPr>
          <w:trHeight w:val="2411" w:hRule="atLeast"/>
        </w:trPr>
        <w:tc>
          <w:tcPr>
            <w:tcW w:w="805" w:type="dxa"/>
          </w:tcPr>
          <w:p>
            <w:pPr>
              <w:pStyle w:val="TableParagraph"/>
              <w:ind w:left="0"/>
              <w:rPr>
                <w:rFonts w:ascii="Times New Roman"/>
                <w:sz w:val="20"/>
              </w:rPr>
            </w:pPr>
          </w:p>
        </w:tc>
        <w:tc>
          <w:tcPr>
            <w:tcW w:w="1990" w:type="dxa"/>
          </w:tcPr>
          <w:p>
            <w:pPr>
              <w:pStyle w:val="TableParagraph"/>
              <w:tabs>
                <w:tab w:pos="602" w:val="left" w:leader="none"/>
              </w:tabs>
              <w:spacing w:before="16"/>
              <w:ind w:left="182"/>
              <w:rPr>
                <w:rFonts w:ascii="Microsoft JhengHei" w:eastAsia="Microsoft JhengHei" w:hint="eastAsia"/>
                <w:b/>
                <w:sz w:val="21"/>
              </w:rPr>
            </w:pPr>
            <w:r>
              <w:rPr>
                <w:rFonts w:ascii="Microsoft JhengHei" w:eastAsia="Microsoft JhengHei" w:hint="eastAsia"/>
                <w:b/>
                <w:sz w:val="21"/>
              </w:rPr>
              <w:t>3.</w:t>
              <w:tab/>
            </w:r>
            <w:r>
              <w:rPr>
                <w:rFonts w:ascii="Microsoft JhengHei" w:eastAsia="Microsoft JhengHei" w:hint="eastAsia"/>
                <w:b/>
                <w:spacing w:val="-1"/>
                <w:sz w:val="21"/>
              </w:rPr>
              <w:t>脑中风后遗症</w:t>
            </w:r>
          </w:p>
        </w:tc>
        <w:tc>
          <w:tcPr>
            <w:tcW w:w="7745" w:type="dxa"/>
          </w:tcPr>
          <w:p>
            <w:pPr>
              <w:pStyle w:val="TableParagraph"/>
              <w:spacing w:line="273" w:lineRule="auto" w:before="102"/>
              <w:ind w:right="302"/>
              <w:jc w:val="both"/>
              <w:rPr>
                <w:sz w:val="21"/>
              </w:rPr>
            </w:pPr>
            <w:r>
              <w:rPr>
                <w:spacing w:val="-6"/>
                <w:sz w:val="21"/>
              </w:rPr>
              <w:t>指因脑血管的突发病变引起脑血管出血、栓塞或梗塞，并导致神经系统永久性功</w:t>
            </w:r>
            <w:r>
              <w:rPr>
                <w:spacing w:val="-9"/>
                <w:sz w:val="21"/>
              </w:rPr>
              <w:t>能障碍。神经系统永久性的功能障碍，指疾病确诊 </w:t>
            </w:r>
            <w:r>
              <w:rPr>
                <w:sz w:val="21"/>
              </w:rPr>
              <w:t>180</w:t>
            </w:r>
            <w:r>
              <w:rPr>
                <w:spacing w:val="-9"/>
                <w:sz w:val="21"/>
              </w:rPr>
              <w:t> 天后，仍遗留下列一种或</w:t>
            </w:r>
            <w:r>
              <w:rPr>
                <w:spacing w:val="-5"/>
                <w:sz w:val="21"/>
              </w:rPr>
              <w:t>一种以上障碍：</w:t>
            </w:r>
          </w:p>
          <w:p>
            <w:pPr>
              <w:pStyle w:val="TableParagraph"/>
              <w:spacing w:before="7"/>
              <w:rPr>
                <w:sz w:val="21"/>
              </w:rPr>
            </w:pPr>
            <w:r>
              <w:rPr>
                <w:sz w:val="21"/>
              </w:rPr>
              <w:t>（1）一肢或一肢以上</w:t>
            </w:r>
            <w:r>
              <w:rPr>
                <w:b/>
                <w:sz w:val="21"/>
              </w:rPr>
              <w:t>肢体机能完全丧失</w:t>
            </w:r>
            <w:r>
              <w:rPr>
                <w:sz w:val="21"/>
              </w:rPr>
              <w:t>；</w:t>
            </w:r>
          </w:p>
          <w:p>
            <w:pPr>
              <w:pStyle w:val="TableParagraph"/>
              <w:spacing w:before="37"/>
              <w:rPr>
                <w:sz w:val="21"/>
              </w:rPr>
            </w:pPr>
            <w:r>
              <w:rPr>
                <w:sz w:val="21"/>
              </w:rPr>
              <w:t>（2）</w:t>
            </w:r>
            <w:r>
              <w:rPr>
                <w:b/>
                <w:sz w:val="21"/>
              </w:rPr>
              <w:t>语言能力或咀嚼吞咽能力完全丧失</w:t>
            </w:r>
            <w:r>
              <w:rPr>
                <w:sz w:val="21"/>
              </w:rPr>
              <w:t>；</w:t>
            </w:r>
          </w:p>
          <w:p>
            <w:pPr>
              <w:pStyle w:val="TableParagraph"/>
              <w:spacing w:line="273" w:lineRule="auto" w:before="37"/>
              <w:ind w:left="648" w:right="308" w:hanging="527"/>
              <w:rPr>
                <w:sz w:val="21"/>
              </w:rPr>
            </w:pPr>
            <w:r>
              <w:rPr>
                <w:sz w:val="21"/>
              </w:rPr>
              <w:t>（3）自主生活能力完全丧失，无法独立完成六项基本日常生活活动中的三项或三项以上。</w:t>
            </w:r>
          </w:p>
        </w:tc>
      </w:tr>
      <w:tr>
        <w:trPr>
          <w:trHeight w:val="1626" w:hRule="atLeast"/>
        </w:trPr>
        <w:tc>
          <w:tcPr>
            <w:tcW w:w="805" w:type="dxa"/>
          </w:tcPr>
          <w:p>
            <w:pPr>
              <w:pStyle w:val="TableParagraph"/>
              <w:ind w:left="0"/>
              <w:rPr>
                <w:rFonts w:ascii="Times New Roman"/>
                <w:sz w:val="20"/>
              </w:rPr>
            </w:pPr>
          </w:p>
        </w:tc>
        <w:tc>
          <w:tcPr>
            <w:tcW w:w="1990" w:type="dxa"/>
          </w:tcPr>
          <w:p>
            <w:pPr>
              <w:pStyle w:val="TableParagraph"/>
              <w:spacing w:line="204" w:lineRule="auto" w:before="72"/>
              <w:ind w:left="602" w:right="120" w:hanging="420"/>
              <w:jc w:val="both"/>
              <w:rPr>
                <w:rFonts w:ascii="Microsoft JhengHei" w:eastAsia="Microsoft JhengHei" w:hint="eastAsia"/>
                <w:b/>
                <w:sz w:val="21"/>
              </w:rPr>
            </w:pPr>
            <w:r>
              <w:rPr>
                <w:rFonts w:ascii="Microsoft JhengHei" w:eastAsia="Microsoft JhengHei" w:hint="eastAsia"/>
                <w:b/>
                <w:sz w:val="21"/>
              </w:rPr>
              <w:t>4. 重大器官移植术或造血干细胞移植术</w:t>
            </w:r>
          </w:p>
        </w:tc>
        <w:tc>
          <w:tcPr>
            <w:tcW w:w="7745" w:type="dxa"/>
          </w:tcPr>
          <w:p>
            <w:pPr>
              <w:pStyle w:val="TableParagraph"/>
              <w:spacing w:line="273" w:lineRule="auto" w:before="104"/>
              <w:ind w:right="301"/>
              <w:jc w:val="both"/>
              <w:rPr>
                <w:sz w:val="21"/>
              </w:rPr>
            </w:pPr>
            <w:r>
              <w:rPr>
                <w:spacing w:val="-7"/>
                <w:sz w:val="21"/>
              </w:rPr>
              <w:t>重大器官移植术，指因相应器官功能衰竭，已经实施了肾脏、肝脏、心脏或肺脏</w:t>
            </w:r>
            <w:r>
              <w:rPr>
                <w:spacing w:val="-5"/>
                <w:sz w:val="21"/>
              </w:rPr>
              <w:t>的异体移植手术。</w:t>
            </w:r>
          </w:p>
          <w:p>
            <w:pPr>
              <w:pStyle w:val="TableParagraph"/>
              <w:spacing w:line="312" w:lineRule="exact" w:before="3"/>
              <w:ind w:right="302"/>
              <w:jc w:val="both"/>
              <w:rPr>
                <w:sz w:val="21"/>
              </w:rPr>
            </w:pPr>
            <w:r>
              <w:rPr>
                <w:spacing w:val="-7"/>
                <w:sz w:val="21"/>
              </w:rPr>
              <w:t>造血干细胞移植术，指因造血功能损害或造血系统恶性肿瘤，已经实施了造血干</w:t>
            </w:r>
            <w:r>
              <w:rPr>
                <w:spacing w:val="-11"/>
                <w:sz w:val="21"/>
              </w:rPr>
              <w:t>细胞</w:t>
            </w:r>
            <w:r>
              <w:rPr>
                <w:sz w:val="21"/>
              </w:rPr>
              <w:t>（</w:t>
            </w:r>
            <w:r>
              <w:rPr>
                <w:spacing w:val="-5"/>
                <w:sz w:val="21"/>
              </w:rPr>
              <w:t>包括骨髓造血干细胞、外周血造血干细胞和脐血造血干细胞</w:t>
            </w:r>
            <w:r>
              <w:rPr>
                <w:spacing w:val="-15"/>
                <w:sz w:val="21"/>
              </w:rPr>
              <w:t>）</w:t>
            </w:r>
            <w:r>
              <w:rPr>
                <w:spacing w:val="-3"/>
                <w:sz w:val="21"/>
              </w:rPr>
              <w:t>的异体移植手术。</w:t>
            </w:r>
          </w:p>
        </w:tc>
      </w:tr>
    </w:tbl>
    <w:p>
      <w:pPr>
        <w:spacing w:after="0" w:line="312" w:lineRule="exact"/>
        <w:jc w:val="both"/>
        <w:rPr>
          <w:sz w:val="21"/>
        </w:rPr>
        <w:sectPr>
          <w:pgSz w:w="11910" w:h="16840"/>
          <w:pgMar w:header="0" w:footer="358" w:top="1160" w:bottom="540" w:left="580" w:right="56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7"/>
        <w:gridCol w:w="7746"/>
      </w:tblGrid>
      <w:tr>
        <w:trPr>
          <w:trHeight w:val="1004" w:hRule="atLeast"/>
        </w:trPr>
        <w:tc>
          <w:tcPr>
            <w:tcW w:w="2007" w:type="dxa"/>
          </w:tcPr>
          <w:p>
            <w:pPr>
              <w:pStyle w:val="TableParagraph"/>
              <w:tabs>
                <w:tab w:pos="619" w:val="left" w:leader="none"/>
              </w:tabs>
              <w:spacing w:line="196" w:lineRule="exact"/>
              <w:ind w:left="200"/>
              <w:rPr>
                <w:rFonts w:ascii="Microsoft JhengHei" w:eastAsia="Microsoft JhengHei" w:hint="eastAsia"/>
                <w:b/>
                <w:sz w:val="21"/>
              </w:rPr>
            </w:pPr>
            <w:r>
              <w:rPr>
                <w:rFonts w:ascii="Microsoft JhengHei" w:eastAsia="Microsoft JhengHei" w:hint="eastAsia"/>
                <w:b/>
                <w:sz w:val="21"/>
              </w:rPr>
              <w:t>5.</w:t>
              <w:tab/>
            </w:r>
            <w:r>
              <w:rPr>
                <w:rFonts w:ascii="Microsoft JhengHei" w:eastAsia="Microsoft JhengHei" w:hint="eastAsia"/>
                <w:b/>
                <w:spacing w:val="-1"/>
                <w:sz w:val="21"/>
              </w:rPr>
              <w:t>冠状动脉搭桥</w:t>
            </w:r>
          </w:p>
          <w:p>
            <w:pPr>
              <w:pStyle w:val="TableParagraph"/>
              <w:spacing w:line="339" w:lineRule="exact"/>
              <w:ind w:left="619"/>
              <w:rPr>
                <w:rFonts w:ascii="Microsoft JhengHei" w:eastAsia="Microsoft JhengHei" w:hint="eastAsia"/>
                <w:b/>
                <w:sz w:val="21"/>
              </w:rPr>
            </w:pPr>
            <w:r>
              <w:rPr>
                <w:rFonts w:ascii="Microsoft JhengHei" w:eastAsia="Microsoft JhengHei" w:hint="eastAsia"/>
                <w:b/>
                <w:w w:val="100"/>
                <w:sz w:val="21"/>
              </w:rPr>
              <w:t>术</w:t>
            </w:r>
          </w:p>
        </w:tc>
        <w:tc>
          <w:tcPr>
            <w:tcW w:w="7746" w:type="dxa"/>
          </w:tcPr>
          <w:p>
            <w:pPr>
              <w:pStyle w:val="TableParagraph"/>
              <w:spacing w:line="218" w:lineRule="exact"/>
              <w:rPr>
                <w:sz w:val="21"/>
              </w:rPr>
            </w:pPr>
            <w:r>
              <w:rPr>
                <w:sz w:val="21"/>
              </w:rPr>
              <w:t>指为治疗严重的冠心病，实际实施了开胸进行的冠状动脉血管旁路移植的手术。</w:t>
            </w:r>
          </w:p>
          <w:p>
            <w:pPr>
              <w:pStyle w:val="TableParagraph"/>
              <w:spacing w:line="261" w:lineRule="auto" w:before="25"/>
              <w:ind w:right="305"/>
              <w:rPr>
                <w:b/>
                <w:i/>
                <w:sz w:val="22"/>
              </w:rPr>
            </w:pPr>
            <w:r>
              <w:rPr>
                <w:b/>
                <w:i/>
                <w:spacing w:val="-6"/>
                <w:w w:val="95"/>
                <w:sz w:val="22"/>
              </w:rPr>
              <w:t>冠状动脉支架植入术、心导管球囊扩张术、激光射频技术及其他非开胸的介入手术、腔镜手术不在保障范围内。</w:t>
            </w:r>
          </w:p>
        </w:tc>
      </w:tr>
      <w:tr>
        <w:trPr>
          <w:trHeight w:val="827" w:hRule="atLeast"/>
        </w:trPr>
        <w:tc>
          <w:tcPr>
            <w:tcW w:w="2007" w:type="dxa"/>
          </w:tcPr>
          <w:p>
            <w:pPr>
              <w:pStyle w:val="TableParagraph"/>
              <w:tabs>
                <w:tab w:pos="619" w:val="left" w:leader="none"/>
              </w:tabs>
              <w:spacing w:before="17"/>
              <w:ind w:left="200"/>
              <w:rPr>
                <w:rFonts w:ascii="Microsoft JhengHei" w:eastAsia="Microsoft JhengHei" w:hint="eastAsia"/>
                <w:b/>
                <w:sz w:val="21"/>
              </w:rPr>
            </w:pPr>
            <w:r>
              <w:rPr>
                <w:rFonts w:ascii="Microsoft JhengHei" w:eastAsia="Microsoft JhengHei" w:hint="eastAsia"/>
                <w:b/>
                <w:sz w:val="21"/>
              </w:rPr>
              <w:t>6.</w:t>
              <w:tab/>
            </w:r>
            <w:r>
              <w:rPr>
                <w:rFonts w:ascii="Microsoft JhengHei" w:eastAsia="Microsoft JhengHei" w:hint="eastAsia"/>
                <w:b/>
                <w:spacing w:val="-1"/>
                <w:sz w:val="21"/>
              </w:rPr>
              <w:t>终末期肾病</w:t>
            </w:r>
          </w:p>
        </w:tc>
        <w:tc>
          <w:tcPr>
            <w:tcW w:w="7746" w:type="dxa"/>
          </w:tcPr>
          <w:p>
            <w:pPr>
              <w:pStyle w:val="TableParagraph"/>
              <w:spacing w:line="273" w:lineRule="auto" w:before="103"/>
              <w:ind w:right="247"/>
              <w:rPr>
                <w:sz w:val="21"/>
              </w:rPr>
            </w:pPr>
            <w:r>
              <w:rPr>
                <w:sz w:val="21"/>
              </w:rPr>
              <w:t>指双肾功能慢性不可逆性衰竭，达到尿毒症期，经诊断后已经进行了至少 90 天的规律性透析治疗或实施了肾脏移植手术。</w:t>
            </w:r>
          </w:p>
        </w:tc>
      </w:tr>
      <w:tr>
        <w:trPr>
          <w:trHeight w:val="826" w:hRule="atLeast"/>
        </w:trPr>
        <w:tc>
          <w:tcPr>
            <w:tcW w:w="2007" w:type="dxa"/>
          </w:tcPr>
          <w:p>
            <w:pPr>
              <w:pStyle w:val="TableParagraph"/>
              <w:tabs>
                <w:tab w:pos="619" w:val="left" w:leader="none"/>
              </w:tabs>
              <w:spacing w:line="359" w:lineRule="exact"/>
              <w:ind w:left="200"/>
              <w:rPr>
                <w:rFonts w:ascii="Microsoft JhengHei" w:eastAsia="Microsoft JhengHei" w:hint="eastAsia"/>
                <w:b/>
                <w:sz w:val="21"/>
              </w:rPr>
            </w:pPr>
            <w:r>
              <w:rPr>
                <w:rFonts w:ascii="Microsoft JhengHei" w:eastAsia="Microsoft JhengHei" w:hint="eastAsia"/>
                <w:b/>
                <w:sz w:val="21"/>
              </w:rPr>
              <w:t>7.</w:t>
              <w:tab/>
            </w:r>
            <w:r>
              <w:rPr>
                <w:rFonts w:ascii="Microsoft JhengHei" w:eastAsia="Microsoft JhengHei" w:hint="eastAsia"/>
                <w:b/>
                <w:spacing w:val="-1"/>
                <w:sz w:val="21"/>
              </w:rPr>
              <w:t>多个肢体缺失</w:t>
            </w:r>
          </w:p>
        </w:tc>
        <w:tc>
          <w:tcPr>
            <w:tcW w:w="7746" w:type="dxa"/>
          </w:tcPr>
          <w:p>
            <w:pPr>
              <w:pStyle w:val="TableParagraph"/>
              <w:spacing w:line="273" w:lineRule="auto" w:before="80"/>
              <w:ind w:right="248"/>
              <w:rPr>
                <w:sz w:val="21"/>
              </w:rPr>
            </w:pPr>
            <w:r>
              <w:rPr>
                <w:sz w:val="21"/>
              </w:rPr>
              <w:t>指因疾病或意外伤害导致两个或两个以上肢体自腕关节或踝关节近端（靠近躯干端）以上完全性断离。</w:t>
            </w:r>
          </w:p>
        </w:tc>
      </w:tr>
      <w:tr>
        <w:trPr>
          <w:trHeight w:val="2099" w:hRule="atLeast"/>
        </w:trPr>
        <w:tc>
          <w:tcPr>
            <w:tcW w:w="2007" w:type="dxa"/>
          </w:tcPr>
          <w:p>
            <w:pPr>
              <w:pStyle w:val="TableParagraph"/>
              <w:tabs>
                <w:tab w:pos="619" w:val="left" w:leader="none"/>
              </w:tabs>
              <w:spacing w:line="204" w:lineRule="auto" w:before="71"/>
              <w:ind w:left="619" w:right="120" w:hanging="420"/>
              <w:rPr>
                <w:rFonts w:ascii="Microsoft JhengHei" w:eastAsia="Microsoft JhengHei" w:hint="eastAsia"/>
                <w:b/>
                <w:sz w:val="21"/>
              </w:rPr>
            </w:pPr>
            <w:r>
              <w:rPr>
                <w:rFonts w:ascii="Microsoft JhengHei" w:eastAsia="Microsoft JhengHei" w:hint="eastAsia"/>
                <w:b/>
                <w:sz w:val="21"/>
              </w:rPr>
              <w:t>8.</w:t>
              <w:tab/>
            </w:r>
            <w:r>
              <w:rPr>
                <w:rFonts w:ascii="Microsoft JhengHei" w:eastAsia="Microsoft JhengHei" w:hint="eastAsia"/>
                <w:b/>
                <w:spacing w:val="-1"/>
                <w:sz w:val="21"/>
              </w:rPr>
              <w:t>急性或亚急性 </w:t>
            </w:r>
            <w:r>
              <w:rPr>
                <w:rFonts w:ascii="Microsoft JhengHei" w:eastAsia="Microsoft JhengHei" w:hint="eastAsia"/>
                <w:b/>
                <w:spacing w:val="-2"/>
                <w:sz w:val="21"/>
              </w:rPr>
              <w:t>重症肝炎</w:t>
            </w:r>
          </w:p>
        </w:tc>
        <w:tc>
          <w:tcPr>
            <w:tcW w:w="7746" w:type="dxa"/>
          </w:tcPr>
          <w:p>
            <w:pPr>
              <w:pStyle w:val="TableParagraph"/>
              <w:spacing w:line="273" w:lineRule="auto" w:before="102"/>
              <w:ind w:right="258"/>
              <w:rPr>
                <w:sz w:val="21"/>
              </w:rPr>
            </w:pPr>
            <w:r>
              <w:rPr>
                <w:sz w:val="21"/>
              </w:rPr>
              <w:t>指因肝炎病毒感染引起肝脏组织弥漫性坏死，导致急性肝功能衰竭，且经血清学或病毒学检查证实，并须满足下列全部条件：</w:t>
            </w:r>
          </w:p>
          <w:p>
            <w:pPr>
              <w:pStyle w:val="TableParagraph"/>
              <w:spacing w:before="7"/>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 超或其他影像学检查显示肝脏体积急速萎缩；</w:t>
            </w:r>
          </w:p>
          <w:p>
            <w:pPr>
              <w:pStyle w:val="TableParagraph"/>
              <w:spacing w:before="37"/>
              <w:rPr>
                <w:sz w:val="21"/>
              </w:rPr>
            </w:pPr>
            <w:r>
              <w:rPr>
                <w:sz w:val="21"/>
              </w:rPr>
              <w:t>（4）肝功能指标进行性恶化。</w:t>
            </w:r>
          </w:p>
        </w:tc>
      </w:tr>
      <w:tr>
        <w:trPr>
          <w:trHeight w:val="2411" w:hRule="atLeast"/>
        </w:trPr>
        <w:tc>
          <w:tcPr>
            <w:tcW w:w="2007" w:type="dxa"/>
          </w:tcPr>
          <w:p>
            <w:pPr>
              <w:pStyle w:val="TableParagraph"/>
              <w:tabs>
                <w:tab w:pos="619" w:val="left" w:leader="none"/>
              </w:tabs>
              <w:spacing w:before="18"/>
              <w:ind w:left="200"/>
              <w:rPr>
                <w:rFonts w:ascii="Microsoft JhengHei" w:eastAsia="Microsoft JhengHei" w:hint="eastAsia"/>
                <w:b/>
                <w:sz w:val="21"/>
              </w:rPr>
            </w:pPr>
            <w:r>
              <w:rPr>
                <w:rFonts w:ascii="Microsoft JhengHei" w:eastAsia="Microsoft JhengHei" w:hint="eastAsia"/>
                <w:b/>
                <w:sz w:val="21"/>
              </w:rPr>
              <w:t>9.</w:t>
              <w:tab/>
            </w:r>
            <w:r>
              <w:rPr>
                <w:rFonts w:ascii="Microsoft JhengHei" w:eastAsia="Microsoft JhengHei" w:hint="eastAsia"/>
                <w:b/>
                <w:spacing w:val="-1"/>
                <w:sz w:val="21"/>
              </w:rPr>
              <w:t>良性脑肿瘤</w:t>
            </w:r>
          </w:p>
        </w:tc>
        <w:tc>
          <w:tcPr>
            <w:tcW w:w="7746" w:type="dxa"/>
          </w:tcPr>
          <w:p>
            <w:pPr>
              <w:pStyle w:val="TableParagraph"/>
              <w:spacing w:line="273" w:lineRule="auto" w:before="104"/>
              <w:ind w:right="197"/>
              <w:rPr>
                <w:sz w:val="21"/>
              </w:rPr>
            </w:pPr>
            <w:r>
              <w:rPr>
                <w:spacing w:val="-14"/>
                <w:sz w:val="21"/>
              </w:rPr>
              <w:t>指脑的良性肿瘤，已经引起颅内压增高，临床表现为视神经乳头水肿、精神症状、</w:t>
            </w:r>
            <w:r>
              <w:rPr>
                <w:w w:val="100"/>
                <w:sz w:val="21"/>
              </w:rPr>
              <w:t>癫痫及运动感觉障碍等，并危及生命。须由头颅断层扫描</w:t>
            </w:r>
            <w:r>
              <w:rPr>
                <w:spacing w:val="5"/>
                <w:w w:val="100"/>
                <w:sz w:val="21"/>
              </w:rPr>
              <w:t>（</w:t>
            </w:r>
            <w:r>
              <w:rPr>
                <w:w w:val="100"/>
                <w:sz w:val="21"/>
              </w:rPr>
              <w:t>CT</w:t>
            </w:r>
            <w:r>
              <w:rPr>
                <w:spacing w:val="-104"/>
                <w:w w:val="100"/>
                <w:sz w:val="21"/>
              </w:rPr>
              <w:t>）</w:t>
            </w:r>
            <w:r>
              <w:rPr>
                <w:w w:val="100"/>
                <w:sz w:val="21"/>
              </w:rPr>
              <w:t>、核磁共振检查</w:t>
            </w:r>
          </w:p>
          <w:p>
            <w:pPr>
              <w:pStyle w:val="TableParagraph"/>
              <w:spacing w:line="273" w:lineRule="auto" w:before="8"/>
              <w:ind w:right="252"/>
              <w:rPr>
                <w:sz w:val="21"/>
              </w:rPr>
            </w:pPr>
            <w:r>
              <w:rPr>
                <w:sz w:val="21"/>
              </w:rPr>
              <w:t>（MRI）或正电子发射断层扫描（PET）等影像学检查证实，并须满足下列至少一项条件：</w:t>
            </w:r>
          </w:p>
          <w:p>
            <w:pPr>
              <w:pStyle w:val="TableParagraph"/>
              <w:spacing w:before="8"/>
              <w:rPr>
                <w:sz w:val="21"/>
              </w:rPr>
            </w:pPr>
            <w:r>
              <w:rPr>
                <w:sz w:val="21"/>
              </w:rPr>
              <w:t>（1）实际实施了开颅进行的脑肿瘤完全切除或部分切除的手术；</w:t>
            </w:r>
          </w:p>
          <w:p>
            <w:pPr>
              <w:pStyle w:val="TableParagraph"/>
              <w:spacing w:before="37"/>
              <w:rPr>
                <w:sz w:val="21"/>
              </w:rPr>
            </w:pPr>
            <w:r>
              <w:rPr>
                <w:sz w:val="21"/>
              </w:rPr>
              <w:t>（2）实际实施了对脑肿瘤进行的放射治疗。</w:t>
            </w:r>
          </w:p>
          <w:p>
            <w:pPr>
              <w:pStyle w:val="TableParagraph"/>
              <w:spacing w:before="25"/>
              <w:rPr>
                <w:b/>
                <w:i/>
                <w:sz w:val="22"/>
              </w:rPr>
            </w:pPr>
            <w:r>
              <w:rPr>
                <w:b/>
                <w:i/>
                <w:w w:val="95"/>
                <w:sz w:val="22"/>
              </w:rPr>
              <w:t>脑垂体瘤、脑囊肿、脑血管性疾病不在保障范围内。</w:t>
            </w:r>
          </w:p>
        </w:tc>
      </w:tr>
      <w:tr>
        <w:trPr>
          <w:trHeight w:val="2099" w:hRule="atLeast"/>
        </w:trPr>
        <w:tc>
          <w:tcPr>
            <w:tcW w:w="2007" w:type="dxa"/>
          </w:tcPr>
          <w:p>
            <w:pPr>
              <w:pStyle w:val="TableParagraph"/>
              <w:spacing w:line="204" w:lineRule="auto" w:before="70"/>
              <w:ind w:left="619" w:right="120" w:hanging="420"/>
              <w:rPr>
                <w:rFonts w:ascii="Microsoft JhengHei" w:eastAsia="Microsoft JhengHei" w:hint="eastAsia"/>
                <w:b/>
                <w:sz w:val="21"/>
              </w:rPr>
            </w:pPr>
            <w:r>
              <w:rPr>
                <w:rFonts w:ascii="Microsoft JhengHei" w:eastAsia="Microsoft JhengHei" w:hint="eastAsia"/>
                <w:b/>
                <w:sz w:val="21"/>
              </w:rPr>
              <w:t>10. 慢性肝功能衰竭失代偿期</w:t>
            </w:r>
          </w:p>
        </w:tc>
        <w:tc>
          <w:tcPr>
            <w:tcW w:w="7746" w:type="dxa"/>
          </w:tcPr>
          <w:p>
            <w:pPr>
              <w:pStyle w:val="TableParagraph"/>
              <w:spacing w:before="102"/>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before="36"/>
              <w:rPr>
                <w:sz w:val="21"/>
              </w:rPr>
            </w:pPr>
            <w:r>
              <w:rPr>
                <w:sz w:val="21"/>
              </w:rPr>
              <w:t>（4）充血性脾肿大伴脾功能亢进或食管胃底静脉曲张。</w:t>
            </w:r>
          </w:p>
          <w:p>
            <w:pPr>
              <w:pStyle w:val="TableParagraph"/>
              <w:spacing w:before="25"/>
              <w:rPr>
                <w:b/>
                <w:i/>
                <w:sz w:val="22"/>
              </w:rPr>
            </w:pPr>
            <w:r>
              <w:rPr>
                <w:b/>
                <w:i/>
                <w:w w:val="95"/>
                <w:sz w:val="22"/>
              </w:rPr>
              <w:t>因酗酒或药物滥用导致的肝功能衰竭不在保障范围内。</w:t>
            </w:r>
          </w:p>
        </w:tc>
      </w:tr>
      <w:tr>
        <w:trPr>
          <w:trHeight w:val="2099" w:hRule="atLeast"/>
        </w:trPr>
        <w:tc>
          <w:tcPr>
            <w:tcW w:w="2007" w:type="dxa"/>
          </w:tcPr>
          <w:p>
            <w:pPr>
              <w:pStyle w:val="TableParagraph"/>
              <w:spacing w:line="204" w:lineRule="auto" w:before="72"/>
              <w:ind w:left="619" w:right="120" w:hanging="420"/>
              <w:rPr>
                <w:rFonts w:ascii="Microsoft JhengHei" w:eastAsia="Microsoft JhengHei" w:hint="eastAsia"/>
                <w:b/>
                <w:sz w:val="21"/>
              </w:rPr>
            </w:pPr>
            <w:r>
              <w:rPr>
                <w:rFonts w:ascii="Microsoft JhengHei" w:eastAsia="Microsoft JhengHei" w:hint="eastAsia"/>
                <w:b/>
                <w:sz w:val="21"/>
              </w:rPr>
              <w:t>11. 脑炎后遗症或脑膜炎后遗症</w:t>
            </w:r>
          </w:p>
        </w:tc>
        <w:tc>
          <w:tcPr>
            <w:tcW w:w="7746" w:type="dxa"/>
          </w:tcPr>
          <w:p>
            <w:pPr>
              <w:pStyle w:val="TableParagraph"/>
              <w:spacing w:line="273" w:lineRule="auto" w:before="103"/>
              <w:ind w:right="260"/>
              <w:rPr>
                <w:sz w:val="21"/>
              </w:rPr>
            </w:pPr>
            <w:r>
              <w:rPr>
                <w:sz w:val="21"/>
              </w:rPr>
              <w:t>指因患脑炎或脑膜炎导致的神经系统永久性的功能障碍。神经系统永久性的功能障碍，指疾病确诊 180 天后，仍残留下列一种或一种以上障碍：</w:t>
            </w:r>
          </w:p>
          <w:p>
            <w:pPr>
              <w:pStyle w:val="TableParagraph"/>
              <w:spacing w:before="7"/>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before="36"/>
              <w:ind w:left="648" w:right="309" w:hanging="527"/>
              <w:rPr>
                <w:sz w:val="21"/>
              </w:rPr>
            </w:pPr>
            <w:r>
              <w:rPr>
                <w:sz w:val="21"/>
              </w:rPr>
              <w:t>（3）自主生活能力完全丧失，无法独立完成六项基本日常生活活动中的三项或三项以上。</w:t>
            </w:r>
          </w:p>
        </w:tc>
      </w:tr>
      <w:tr>
        <w:trPr>
          <w:trHeight w:val="1476" w:hRule="atLeast"/>
        </w:trPr>
        <w:tc>
          <w:tcPr>
            <w:tcW w:w="2007" w:type="dxa"/>
          </w:tcPr>
          <w:p>
            <w:pPr>
              <w:pStyle w:val="TableParagraph"/>
              <w:spacing w:before="18"/>
              <w:ind w:left="200"/>
              <w:rPr>
                <w:rFonts w:ascii="Microsoft JhengHei" w:eastAsia="Microsoft JhengHei" w:hint="eastAsia"/>
                <w:b/>
                <w:sz w:val="21"/>
              </w:rPr>
            </w:pPr>
            <w:r>
              <w:rPr>
                <w:rFonts w:ascii="Microsoft JhengHei" w:eastAsia="Microsoft JhengHei" w:hint="eastAsia"/>
                <w:b/>
                <w:sz w:val="21"/>
              </w:rPr>
              <w:t>12.  深度昏迷</w:t>
            </w:r>
          </w:p>
        </w:tc>
        <w:tc>
          <w:tcPr>
            <w:tcW w:w="7746" w:type="dxa"/>
          </w:tcPr>
          <w:p>
            <w:pPr>
              <w:pStyle w:val="TableParagraph"/>
              <w:spacing w:line="273" w:lineRule="auto" w:before="104"/>
              <w:ind w:right="304"/>
              <w:jc w:val="both"/>
              <w:rPr>
                <w:sz w:val="21"/>
              </w:rPr>
            </w:pPr>
            <w:r>
              <w:rPr>
                <w:sz w:val="21"/>
              </w:rPr>
              <w:t>指因疾病或意外伤害导致意识丧失,对外界刺激和体内需求均无反应,昏迷程度</w:t>
            </w:r>
            <w:r>
              <w:rPr>
                <w:spacing w:val="-3"/>
                <w:sz w:val="21"/>
              </w:rPr>
              <w:t>按照格拉斯哥昏迷分级</w:t>
            </w:r>
            <w:r>
              <w:rPr>
                <w:sz w:val="21"/>
              </w:rPr>
              <w:t>（Glasgow coma scale）</w:t>
            </w:r>
            <w:r>
              <w:rPr>
                <w:spacing w:val="-2"/>
                <w:sz w:val="21"/>
              </w:rPr>
              <w:t>结果为</w:t>
            </w:r>
            <w:r>
              <w:rPr>
                <w:sz w:val="21"/>
              </w:rPr>
              <w:t>5</w:t>
            </w:r>
            <w:r>
              <w:rPr>
                <w:spacing w:val="-2"/>
                <w:sz w:val="21"/>
              </w:rPr>
              <w:t>分或</w:t>
            </w:r>
            <w:r>
              <w:rPr>
                <w:sz w:val="21"/>
              </w:rPr>
              <w:t>5</w:t>
            </w:r>
            <w:r>
              <w:rPr>
                <w:spacing w:val="-3"/>
                <w:sz w:val="21"/>
              </w:rPr>
              <w:t>分以下，且已经持续使用呼吸机及其它生命维持系统</w:t>
            </w:r>
            <w:r>
              <w:rPr>
                <w:sz w:val="21"/>
              </w:rPr>
              <w:t>96</w:t>
            </w:r>
            <w:r>
              <w:rPr>
                <w:spacing w:val="-3"/>
                <w:sz w:val="21"/>
              </w:rPr>
              <w:t>小时以上。</w:t>
            </w:r>
          </w:p>
          <w:p>
            <w:pPr>
              <w:pStyle w:val="TableParagraph"/>
              <w:spacing w:line="284" w:lineRule="exact"/>
              <w:jc w:val="both"/>
              <w:rPr>
                <w:b/>
                <w:i/>
                <w:sz w:val="22"/>
              </w:rPr>
            </w:pPr>
            <w:r>
              <w:rPr>
                <w:b/>
                <w:i/>
                <w:w w:val="95"/>
                <w:sz w:val="22"/>
              </w:rPr>
              <w:t>因酗酒或药物滥用导致的深度昏迷不在保障范围内。</w:t>
            </w:r>
          </w:p>
        </w:tc>
      </w:tr>
      <w:tr>
        <w:trPr>
          <w:trHeight w:val="1626" w:hRule="atLeast"/>
        </w:trPr>
        <w:tc>
          <w:tcPr>
            <w:tcW w:w="2007" w:type="dxa"/>
          </w:tcPr>
          <w:p>
            <w:pPr>
              <w:pStyle w:val="TableParagraph"/>
              <w:spacing w:line="204" w:lineRule="auto" w:before="70"/>
              <w:ind w:left="619" w:right="120" w:hanging="420"/>
              <w:rPr>
                <w:rFonts w:ascii="Microsoft JhengHei" w:eastAsia="Microsoft JhengHei" w:hint="eastAsia"/>
                <w:b/>
                <w:sz w:val="21"/>
              </w:rPr>
            </w:pPr>
            <w:r>
              <w:rPr>
                <w:rFonts w:ascii="Microsoft JhengHei" w:eastAsia="Microsoft JhengHei" w:hint="eastAsia"/>
                <w:b/>
                <w:sz w:val="21"/>
              </w:rPr>
              <w:t>13. 双耳失聪－三周岁始理赔</w:t>
            </w:r>
          </w:p>
        </w:tc>
        <w:tc>
          <w:tcPr>
            <w:tcW w:w="7746" w:type="dxa"/>
          </w:tcPr>
          <w:p>
            <w:pPr>
              <w:pStyle w:val="TableParagraph"/>
              <w:spacing w:before="102"/>
              <w:rPr>
                <w:sz w:val="21"/>
              </w:rPr>
            </w:pPr>
            <w:r>
              <w:rPr>
                <w:sz w:val="21"/>
              </w:rPr>
              <w:t>指因疾病或意外伤害导致双耳听力永久不可逆性丧失，在 500 赫兹、1000 赫兹和</w:t>
            </w:r>
          </w:p>
          <w:p>
            <w:pPr>
              <w:pStyle w:val="TableParagraph"/>
              <w:spacing w:line="273" w:lineRule="auto" w:before="37"/>
              <w:ind w:right="304"/>
              <w:rPr>
                <w:sz w:val="21"/>
              </w:rPr>
            </w:pPr>
            <w:r>
              <w:rPr>
                <w:sz w:val="21"/>
              </w:rPr>
              <w:t>2000</w:t>
            </w:r>
            <w:r>
              <w:rPr>
                <w:spacing w:val="-9"/>
                <w:sz w:val="21"/>
              </w:rPr>
              <w:t> 赫兹语音频率下，平均听阈大于 </w:t>
            </w:r>
            <w:r>
              <w:rPr>
                <w:sz w:val="21"/>
              </w:rPr>
              <w:t>90</w:t>
            </w:r>
            <w:r>
              <w:rPr>
                <w:spacing w:val="-7"/>
                <w:sz w:val="21"/>
              </w:rPr>
              <w:t> 分贝，且经纯音听力测试、声导抗检测</w:t>
            </w:r>
            <w:r>
              <w:rPr>
                <w:spacing w:val="-5"/>
                <w:sz w:val="21"/>
              </w:rPr>
              <w:t>或听觉诱发电位检测等证实。</w:t>
            </w:r>
          </w:p>
          <w:p>
            <w:pPr>
              <w:pStyle w:val="TableParagraph"/>
              <w:spacing w:line="312" w:lineRule="exact" w:before="3"/>
              <w:ind w:right="308"/>
              <w:rPr>
                <w:b/>
                <w:i/>
                <w:sz w:val="22"/>
              </w:rPr>
            </w:pPr>
            <w:r>
              <w:rPr>
                <w:b/>
                <w:i/>
                <w:spacing w:val="-7"/>
                <w:w w:val="95"/>
                <w:sz w:val="22"/>
              </w:rPr>
              <w:t>被保险人申请理赔时年龄必须在三周岁以上，并且提供理赔当时的听力丧失诊断及检查证据。</w:t>
            </w:r>
          </w:p>
        </w:tc>
      </w:tr>
    </w:tbl>
    <w:p>
      <w:pPr>
        <w:spacing w:after="0" w:line="312" w:lineRule="exact"/>
        <w:rPr>
          <w:sz w:val="22"/>
        </w:rPr>
        <w:sectPr>
          <w:pgSz w:w="11910" w:h="16840"/>
          <w:pgMar w:header="0" w:footer="358" w:top="1160" w:bottom="540" w:left="1360" w:right="56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3"/>
        <w:gridCol w:w="7729"/>
      </w:tblGrid>
      <w:tr>
        <w:trPr>
          <w:trHeight w:val="2564" w:hRule="atLeast"/>
        </w:trPr>
        <w:tc>
          <w:tcPr>
            <w:tcW w:w="2023" w:type="dxa"/>
          </w:tcPr>
          <w:p>
            <w:pPr>
              <w:pStyle w:val="TableParagraph"/>
              <w:spacing w:line="196" w:lineRule="exact"/>
              <w:ind w:left="200"/>
              <w:rPr>
                <w:rFonts w:ascii="Microsoft JhengHei" w:eastAsia="Microsoft JhengHei" w:hint="eastAsia"/>
                <w:b/>
                <w:sz w:val="21"/>
              </w:rPr>
            </w:pPr>
            <w:r>
              <w:rPr>
                <w:rFonts w:ascii="Microsoft JhengHei" w:eastAsia="Microsoft JhengHei" w:hint="eastAsia"/>
                <w:b/>
                <w:sz w:val="21"/>
              </w:rPr>
              <w:t>14.  双目失明－三</w:t>
            </w:r>
          </w:p>
          <w:p>
            <w:pPr>
              <w:pStyle w:val="TableParagraph"/>
              <w:spacing w:line="339" w:lineRule="exact"/>
              <w:ind w:left="619"/>
              <w:rPr>
                <w:rFonts w:ascii="Microsoft JhengHei" w:eastAsia="Microsoft JhengHei" w:hint="eastAsia"/>
                <w:b/>
                <w:sz w:val="21"/>
              </w:rPr>
            </w:pPr>
            <w:r>
              <w:rPr>
                <w:rFonts w:ascii="Microsoft JhengHei" w:eastAsia="Microsoft JhengHei" w:hint="eastAsia"/>
                <w:b/>
                <w:sz w:val="21"/>
              </w:rPr>
              <w:t>周岁始理赔</w:t>
            </w:r>
          </w:p>
        </w:tc>
        <w:tc>
          <w:tcPr>
            <w:tcW w:w="7729" w:type="dxa"/>
          </w:tcPr>
          <w:p>
            <w:pPr>
              <w:pStyle w:val="TableParagraph"/>
              <w:spacing w:line="218" w:lineRule="exact"/>
              <w:ind w:left="106"/>
              <w:rPr>
                <w:sz w:val="21"/>
              </w:rPr>
            </w:pPr>
            <w:r>
              <w:rPr>
                <w:sz w:val="21"/>
              </w:rPr>
              <w:t>指因疾病或意外伤害导致双眼视力永久不可逆性丧失，双眼中较好眼须满足下列</w:t>
            </w:r>
          </w:p>
          <w:p>
            <w:pPr>
              <w:pStyle w:val="TableParagraph"/>
              <w:spacing w:before="37"/>
              <w:ind w:left="106"/>
              <w:rPr>
                <w:sz w:val="21"/>
              </w:rPr>
            </w:pPr>
            <w:r>
              <w:rPr>
                <w:sz w:val="21"/>
              </w:rPr>
              <w:t>至少一项条件：</w:t>
            </w:r>
          </w:p>
          <w:p>
            <w:pPr>
              <w:pStyle w:val="TableParagraph"/>
              <w:spacing w:before="36"/>
              <w:ind w:left="106"/>
              <w:rPr>
                <w:sz w:val="21"/>
              </w:rPr>
            </w:pPr>
            <w:r>
              <w:rPr>
                <w:sz w:val="21"/>
              </w:rPr>
              <w:t>（1）眼球缺失或摘除；</w:t>
            </w:r>
          </w:p>
          <w:p>
            <w:pPr>
              <w:pStyle w:val="TableParagraph"/>
              <w:spacing w:line="273" w:lineRule="auto" w:before="36"/>
              <w:ind w:left="632" w:right="301" w:hanging="527"/>
              <w:rPr>
                <w:sz w:val="21"/>
              </w:rPr>
            </w:pPr>
            <w:r>
              <w:rPr>
                <w:sz w:val="21"/>
              </w:rPr>
              <w:t>（2）</w:t>
            </w:r>
            <w:r>
              <w:rPr>
                <w:spacing w:val="-5"/>
                <w:sz w:val="21"/>
              </w:rPr>
              <w:t>矫正视力低于 </w:t>
            </w:r>
            <w:r>
              <w:rPr>
                <w:sz w:val="21"/>
              </w:rPr>
              <w:t>0.02（</w:t>
            </w:r>
            <w:r>
              <w:rPr>
                <w:spacing w:val="-3"/>
                <w:sz w:val="21"/>
              </w:rPr>
              <w:t>采用国际标准视力表，如果使用其他视力表应进行换</w:t>
            </w:r>
            <w:r>
              <w:rPr>
                <w:spacing w:val="-3"/>
                <w:w w:val="100"/>
                <w:sz w:val="21"/>
              </w:rPr>
              <w:t>算</w:t>
            </w:r>
            <w:r>
              <w:rPr>
                <w:spacing w:val="-106"/>
                <w:w w:val="100"/>
                <w:sz w:val="21"/>
              </w:rPr>
              <w:t>）</w:t>
            </w:r>
            <w:r>
              <w:rPr>
                <w:w w:val="100"/>
                <w:sz w:val="21"/>
              </w:rPr>
              <w:t>；</w:t>
            </w:r>
          </w:p>
          <w:p>
            <w:pPr>
              <w:pStyle w:val="TableParagraph"/>
              <w:spacing w:before="7"/>
              <w:ind w:left="106"/>
              <w:rPr>
                <w:sz w:val="21"/>
              </w:rPr>
            </w:pPr>
            <w:r>
              <w:rPr>
                <w:sz w:val="21"/>
              </w:rPr>
              <w:t>（3）视野半径小于 5 度。</w:t>
            </w:r>
          </w:p>
          <w:p>
            <w:pPr>
              <w:pStyle w:val="TableParagraph"/>
              <w:spacing w:line="259" w:lineRule="auto" w:before="25"/>
              <w:ind w:left="106" w:right="307"/>
              <w:rPr>
                <w:b/>
                <w:i/>
                <w:sz w:val="22"/>
              </w:rPr>
            </w:pPr>
            <w:r>
              <w:rPr>
                <w:b/>
                <w:i/>
                <w:spacing w:val="-7"/>
                <w:w w:val="95"/>
                <w:sz w:val="22"/>
              </w:rPr>
              <w:t>被保险人申请理赔时年龄必须在三周岁以上，并且提供理赔当时的视力丧失诊断及检查证据。</w:t>
            </w:r>
          </w:p>
        </w:tc>
      </w:tr>
      <w:tr>
        <w:trPr>
          <w:trHeight w:val="1161" w:hRule="atLeast"/>
        </w:trPr>
        <w:tc>
          <w:tcPr>
            <w:tcW w:w="2023" w:type="dxa"/>
          </w:tcPr>
          <w:p>
            <w:pPr>
              <w:pStyle w:val="TableParagraph"/>
              <w:spacing w:before="17"/>
              <w:ind w:left="200"/>
              <w:rPr>
                <w:rFonts w:ascii="Microsoft JhengHei" w:eastAsia="Microsoft JhengHei" w:hint="eastAsia"/>
                <w:b/>
                <w:sz w:val="21"/>
              </w:rPr>
            </w:pPr>
            <w:r>
              <w:rPr>
                <w:rFonts w:ascii="Microsoft JhengHei" w:eastAsia="Microsoft JhengHei" w:hint="eastAsia"/>
                <w:b/>
                <w:sz w:val="21"/>
              </w:rPr>
              <w:t>15. 瘫 痪</w:t>
            </w:r>
          </w:p>
        </w:tc>
        <w:tc>
          <w:tcPr>
            <w:tcW w:w="7729" w:type="dxa"/>
          </w:tcPr>
          <w:p>
            <w:pPr>
              <w:pStyle w:val="TableParagraph"/>
              <w:spacing w:line="273" w:lineRule="auto" w:before="103"/>
              <w:ind w:left="106" w:right="301"/>
              <w:jc w:val="both"/>
              <w:rPr>
                <w:sz w:val="21"/>
              </w:rPr>
            </w:pPr>
            <w:r>
              <w:rPr>
                <w:spacing w:val="-5"/>
                <w:sz w:val="21"/>
              </w:rPr>
              <w:t>指因疾病或意外伤害导致两肢或两肢以上肢体机能永久完全丧失。肢体机能永久</w:t>
            </w:r>
            <w:r>
              <w:rPr>
                <w:spacing w:val="-11"/>
                <w:sz w:val="21"/>
              </w:rPr>
              <w:t>完全丧失，指疾病确诊 </w:t>
            </w:r>
            <w:r>
              <w:rPr>
                <w:sz w:val="21"/>
              </w:rPr>
              <w:t>180</w:t>
            </w:r>
            <w:r>
              <w:rPr>
                <w:spacing w:val="-12"/>
                <w:sz w:val="21"/>
              </w:rPr>
              <w:t> 天后或意外伤害发生 </w:t>
            </w:r>
            <w:r>
              <w:rPr>
                <w:sz w:val="21"/>
              </w:rPr>
              <w:t>180</w:t>
            </w:r>
            <w:r>
              <w:rPr>
                <w:spacing w:val="-10"/>
                <w:sz w:val="21"/>
              </w:rPr>
              <w:t> 天后，每肢三大关节中的两</w:t>
            </w:r>
            <w:r>
              <w:rPr>
                <w:spacing w:val="-5"/>
                <w:sz w:val="21"/>
              </w:rPr>
              <w:t>大关节仍然完全僵硬，或不能随意识活动。</w:t>
            </w:r>
          </w:p>
        </w:tc>
      </w:tr>
      <w:tr>
        <w:trPr>
          <w:trHeight w:val="539" w:hRule="atLeast"/>
        </w:trPr>
        <w:tc>
          <w:tcPr>
            <w:tcW w:w="2023" w:type="dxa"/>
          </w:tcPr>
          <w:p>
            <w:pPr>
              <w:pStyle w:val="TableParagraph"/>
              <w:spacing w:before="16"/>
              <w:ind w:left="200"/>
              <w:rPr>
                <w:rFonts w:ascii="Microsoft JhengHei" w:eastAsia="Microsoft JhengHei" w:hint="eastAsia"/>
                <w:b/>
                <w:sz w:val="21"/>
              </w:rPr>
            </w:pPr>
            <w:r>
              <w:rPr>
                <w:rFonts w:ascii="Microsoft JhengHei" w:eastAsia="Microsoft JhengHei" w:hint="eastAsia"/>
                <w:b/>
                <w:sz w:val="21"/>
              </w:rPr>
              <w:t>16.  心脏瓣膜手术</w:t>
            </w:r>
          </w:p>
        </w:tc>
        <w:tc>
          <w:tcPr>
            <w:tcW w:w="7729" w:type="dxa"/>
          </w:tcPr>
          <w:p>
            <w:pPr>
              <w:pStyle w:val="TableParagraph"/>
              <w:spacing w:before="102"/>
              <w:ind w:left="106"/>
              <w:rPr>
                <w:sz w:val="21"/>
              </w:rPr>
            </w:pPr>
            <w:r>
              <w:rPr>
                <w:sz w:val="21"/>
              </w:rPr>
              <w:t>指为治疗心脏瓣膜疾病，实际实施了开胸进行的心脏瓣膜置换或修复的手术。</w:t>
            </w:r>
          </w:p>
        </w:tc>
      </w:tr>
      <w:tr>
        <w:trPr>
          <w:trHeight w:val="2099" w:hRule="atLeast"/>
        </w:trPr>
        <w:tc>
          <w:tcPr>
            <w:tcW w:w="2023" w:type="dxa"/>
          </w:tcPr>
          <w:p>
            <w:pPr>
              <w:pStyle w:val="TableParagraph"/>
              <w:spacing w:line="204" w:lineRule="auto" w:before="72"/>
              <w:ind w:left="619" w:right="136" w:hanging="420"/>
              <w:rPr>
                <w:rFonts w:ascii="Microsoft JhengHei" w:eastAsia="Microsoft JhengHei" w:hint="eastAsia"/>
                <w:b/>
                <w:sz w:val="21"/>
              </w:rPr>
            </w:pPr>
            <w:r>
              <w:rPr>
                <w:rFonts w:ascii="Microsoft JhengHei" w:eastAsia="Microsoft JhengHei" w:hint="eastAsia"/>
                <w:b/>
                <w:sz w:val="21"/>
              </w:rPr>
              <w:t>17. 严重阿尔茨海默病</w:t>
            </w:r>
          </w:p>
        </w:tc>
        <w:tc>
          <w:tcPr>
            <w:tcW w:w="7729" w:type="dxa"/>
          </w:tcPr>
          <w:p>
            <w:pPr>
              <w:pStyle w:val="TableParagraph"/>
              <w:spacing w:line="273" w:lineRule="auto" w:before="103"/>
              <w:ind w:left="106" w:right="298"/>
              <w:jc w:val="both"/>
              <w:rPr>
                <w:sz w:val="21"/>
              </w:rPr>
            </w:pPr>
            <w:r>
              <w:rPr>
                <w:spacing w:val="-7"/>
                <w:sz w:val="21"/>
              </w:rPr>
              <w:t>指因大脑进行性、不可逆性改变导致智能严重衰退或丧失，临床表现为明显的认</w:t>
            </w:r>
            <w:r>
              <w:rPr>
                <w:spacing w:val="-8"/>
                <w:sz w:val="21"/>
              </w:rPr>
              <w:t>知能力障碍、行为异常和社交能力减退，其日常生活必须持续受到他人监护。须</w:t>
            </w:r>
            <w:r>
              <w:rPr>
                <w:w w:val="100"/>
                <w:sz w:val="21"/>
              </w:rPr>
              <w:t>由头颅断层扫描</w:t>
            </w:r>
            <w:r>
              <w:rPr>
                <w:spacing w:val="2"/>
                <w:w w:val="100"/>
                <w:sz w:val="21"/>
              </w:rPr>
              <w:t>（</w:t>
            </w:r>
            <w:r>
              <w:rPr>
                <w:spacing w:val="-3"/>
                <w:w w:val="100"/>
                <w:sz w:val="21"/>
              </w:rPr>
              <w:t>C</w:t>
            </w:r>
            <w:r>
              <w:rPr>
                <w:spacing w:val="1"/>
                <w:w w:val="100"/>
                <w:sz w:val="21"/>
              </w:rPr>
              <w:t>T</w:t>
            </w:r>
            <w:r>
              <w:rPr>
                <w:spacing w:val="-106"/>
                <w:w w:val="100"/>
                <w:sz w:val="21"/>
              </w:rPr>
              <w:t>）</w:t>
            </w:r>
            <w:r>
              <w:rPr>
                <w:w w:val="100"/>
                <w:sz w:val="21"/>
              </w:rPr>
              <w:t>、核磁共振检查</w:t>
            </w:r>
            <w:r>
              <w:rPr>
                <w:spacing w:val="2"/>
                <w:w w:val="100"/>
                <w:sz w:val="21"/>
              </w:rPr>
              <w:t>（</w:t>
            </w:r>
            <w:r>
              <w:rPr>
                <w:w w:val="100"/>
                <w:sz w:val="21"/>
              </w:rPr>
              <w:t>M</w:t>
            </w:r>
            <w:r>
              <w:rPr>
                <w:spacing w:val="-3"/>
                <w:w w:val="100"/>
                <w:sz w:val="21"/>
              </w:rPr>
              <w:t>R</w:t>
            </w:r>
            <w:r>
              <w:rPr>
                <w:spacing w:val="1"/>
                <w:w w:val="100"/>
                <w:sz w:val="21"/>
              </w:rPr>
              <w:t>I</w:t>
            </w:r>
            <w:r>
              <w:rPr>
                <w:w w:val="100"/>
                <w:sz w:val="21"/>
              </w:rPr>
              <w:t>）或正电子发射断层扫描</w:t>
            </w:r>
            <w:r>
              <w:rPr>
                <w:spacing w:val="3"/>
                <w:w w:val="100"/>
                <w:sz w:val="21"/>
              </w:rPr>
              <w:t>（</w:t>
            </w:r>
            <w:r>
              <w:rPr>
                <w:spacing w:val="-3"/>
                <w:w w:val="100"/>
                <w:sz w:val="21"/>
              </w:rPr>
              <w:t>P</w:t>
            </w:r>
            <w:r>
              <w:rPr>
                <w:w w:val="100"/>
                <w:sz w:val="21"/>
              </w:rPr>
              <w:t>E</w:t>
            </w:r>
            <w:r>
              <w:rPr>
                <w:spacing w:val="-1"/>
                <w:w w:val="100"/>
                <w:sz w:val="21"/>
              </w:rPr>
              <w:t>T</w:t>
            </w:r>
            <w:r>
              <w:rPr>
                <w:spacing w:val="1"/>
                <w:w w:val="100"/>
                <w:sz w:val="21"/>
              </w:rPr>
              <w:t>）等</w:t>
            </w:r>
            <w:r>
              <w:rPr>
                <w:spacing w:val="-6"/>
                <w:sz w:val="21"/>
              </w:rPr>
              <w:t>影像学检查证实，且自主生活能力完全丧失，无法独立完成六项基本日常生活活</w:t>
            </w:r>
            <w:r>
              <w:rPr>
                <w:spacing w:val="-4"/>
                <w:sz w:val="21"/>
              </w:rPr>
              <w:t>动中的三项或三项以上。</w:t>
            </w:r>
          </w:p>
          <w:p>
            <w:pPr>
              <w:pStyle w:val="TableParagraph"/>
              <w:spacing w:line="284" w:lineRule="exact"/>
              <w:ind w:left="106"/>
              <w:jc w:val="both"/>
              <w:rPr>
                <w:b/>
                <w:i/>
                <w:sz w:val="22"/>
              </w:rPr>
            </w:pPr>
            <w:r>
              <w:rPr>
                <w:b/>
                <w:i/>
                <w:w w:val="95"/>
                <w:sz w:val="22"/>
              </w:rPr>
              <w:t>神经官能症和精神疾病不在保障范围内。</w:t>
            </w:r>
          </w:p>
        </w:tc>
      </w:tr>
      <w:tr>
        <w:trPr>
          <w:trHeight w:val="2722" w:hRule="atLeast"/>
        </w:trPr>
        <w:tc>
          <w:tcPr>
            <w:tcW w:w="2023" w:type="dxa"/>
          </w:tcPr>
          <w:p>
            <w:pPr>
              <w:pStyle w:val="TableParagraph"/>
              <w:spacing w:before="16"/>
              <w:ind w:left="200"/>
              <w:rPr>
                <w:rFonts w:ascii="Microsoft JhengHei" w:eastAsia="Microsoft JhengHei" w:hint="eastAsia"/>
                <w:b/>
                <w:sz w:val="21"/>
              </w:rPr>
            </w:pPr>
            <w:r>
              <w:rPr>
                <w:rFonts w:ascii="Microsoft JhengHei" w:eastAsia="Microsoft JhengHei" w:hint="eastAsia"/>
                <w:b/>
                <w:sz w:val="21"/>
              </w:rPr>
              <w:t>18.  严重脑损伤</w:t>
            </w:r>
          </w:p>
        </w:tc>
        <w:tc>
          <w:tcPr>
            <w:tcW w:w="7729" w:type="dxa"/>
          </w:tcPr>
          <w:p>
            <w:pPr>
              <w:pStyle w:val="TableParagraph"/>
              <w:spacing w:line="273" w:lineRule="auto" w:before="102"/>
              <w:ind w:left="106" w:right="198"/>
              <w:rPr>
                <w:sz w:val="21"/>
              </w:rPr>
            </w:pPr>
            <w:r>
              <w:rPr>
                <w:spacing w:val="-6"/>
                <w:sz w:val="21"/>
              </w:rPr>
              <w:t>指因头部遭受机械性外力，引起脑重要部位损伤，导致神经系统永久性的功能障</w:t>
            </w:r>
            <w:r>
              <w:rPr>
                <w:spacing w:val="-13"/>
                <w:w w:val="100"/>
                <w:sz w:val="21"/>
              </w:rPr>
              <w:t>碍。须由头颅断层扫描</w:t>
            </w:r>
            <w:r>
              <w:rPr>
                <w:w w:val="100"/>
                <w:sz w:val="21"/>
              </w:rPr>
              <w:t>（C</w:t>
            </w:r>
            <w:r>
              <w:rPr>
                <w:spacing w:val="-3"/>
                <w:w w:val="100"/>
                <w:sz w:val="21"/>
              </w:rPr>
              <w:t>T</w:t>
            </w:r>
            <w:r>
              <w:rPr>
                <w:spacing w:val="-106"/>
                <w:w w:val="100"/>
                <w:sz w:val="21"/>
              </w:rPr>
              <w:t>）</w:t>
            </w:r>
            <w:r>
              <w:rPr>
                <w:spacing w:val="-14"/>
                <w:w w:val="100"/>
                <w:sz w:val="21"/>
              </w:rPr>
              <w:t>、核磁共振检查</w:t>
            </w:r>
            <w:r>
              <w:rPr>
                <w:w w:val="100"/>
                <w:sz w:val="21"/>
              </w:rPr>
              <w:t>（MR</w:t>
            </w:r>
            <w:r>
              <w:rPr>
                <w:spacing w:val="-3"/>
                <w:w w:val="100"/>
                <w:sz w:val="21"/>
              </w:rPr>
              <w:t>I</w:t>
            </w:r>
            <w:r>
              <w:rPr>
                <w:spacing w:val="-41"/>
                <w:w w:val="100"/>
                <w:sz w:val="21"/>
              </w:rPr>
              <w:t>）</w:t>
            </w:r>
            <w:r>
              <w:rPr>
                <w:spacing w:val="-8"/>
                <w:w w:val="100"/>
                <w:sz w:val="21"/>
              </w:rPr>
              <w:t>或正电子发射断层扫描</w:t>
            </w:r>
            <w:r>
              <w:rPr>
                <w:w w:val="100"/>
                <w:sz w:val="21"/>
              </w:rPr>
              <w:t>（</w:t>
            </w:r>
            <w:r>
              <w:rPr>
                <w:spacing w:val="-3"/>
                <w:w w:val="100"/>
                <w:sz w:val="21"/>
              </w:rPr>
              <w:t>P</w:t>
            </w:r>
            <w:r>
              <w:rPr>
                <w:w w:val="100"/>
                <w:sz w:val="21"/>
              </w:rPr>
              <w:t>E</w:t>
            </w:r>
            <w:r>
              <w:rPr>
                <w:spacing w:val="-3"/>
                <w:w w:val="100"/>
                <w:sz w:val="21"/>
              </w:rPr>
              <w:t>T</w:t>
            </w:r>
            <w:r>
              <w:rPr>
                <w:w w:val="100"/>
                <w:sz w:val="21"/>
              </w:rPr>
              <w:t>）</w:t>
            </w:r>
            <w:r>
              <w:rPr>
                <w:spacing w:val="-8"/>
                <w:sz w:val="21"/>
              </w:rPr>
              <w:t>等影像学检查证实。神经系统永久性的功能障碍，指脑损伤 </w:t>
            </w:r>
            <w:r>
              <w:rPr>
                <w:sz w:val="21"/>
              </w:rPr>
              <w:t>180</w:t>
            </w:r>
            <w:r>
              <w:rPr>
                <w:spacing w:val="-11"/>
                <w:sz w:val="21"/>
              </w:rPr>
              <w:t> 天后，仍遗留下</w:t>
            </w:r>
            <w:r>
              <w:rPr>
                <w:spacing w:val="-6"/>
                <w:sz w:val="21"/>
              </w:rPr>
              <w:t>列一种或一种以上障碍：</w:t>
            </w:r>
          </w:p>
          <w:p>
            <w:pPr>
              <w:pStyle w:val="TableParagraph"/>
              <w:spacing w:before="8"/>
              <w:ind w:left="106"/>
              <w:rPr>
                <w:sz w:val="21"/>
              </w:rPr>
            </w:pPr>
            <w:r>
              <w:rPr>
                <w:sz w:val="21"/>
              </w:rPr>
              <w:t>（1）一肢或一肢以上肢体机能完全丧失；</w:t>
            </w:r>
          </w:p>
          <w:p>
            <w:pPr>
              <w:pStyle w:val="TableParagraph"/>
              <w:spacing w:before="37"/>
              <w:ind w:left="106"/>
              <w:rPr>
                <w:sz w:val="21"/>
              </w:rPr>
            </w:pPr>
            <w:r>
              <w:rPr>
                <w:sz w:val="21"/>
              </w:rPr>
              <w:t>（2）语言能力或咀嚼吞咽能力完全丧失；</w:t>
            </w:r>
          </w:p>
          <w:p>
            <w:pPr>
              <w:pStyle w:val="TableParagraph"/>
              <w:spacing w:line="273" w:lineRule="auto" w:before="36"/>
              <w:ind w:left="632" w:right="308" w:hanging="527"/>
              <w:rPr>
                <w:sz w:val="21"/>
              </w:rPr>
            </w:pPr>
            <w:r>
              <w:rPr>
                <w:sz w:val="21"/>
              </w:rPr>
              <w:t>（3）自主生活能力完全丧失，无法独立完成六项基本日常生活活动中的三项或三项以上。</w:t>
            </w:r>
          </w:p>
        </w:tc>
      </w:tr>
      <w:tr>
        <w:trPr>
          <w:trHeight w:val="2100" w:hRule="atLeast"/>
        </w:trPr>
        <w:tc>
          <w:tcPr>
            <w:tcW w:w="2023" w:type="dxa"/>
          </w:tcPr>
          <w:p>
            <w:pPr>
              <w:pStyle w:val="TableParagraph"/>
              <w:spacing w:before="18"/>
              <w:ind w:left="200"/>
              <w:rPr>
                <w:rFonts w:ascii="Microsoft JhengHei" w:eastAsia="Microsoft JhengHei" w:hint="eastAsia"/>
                <w:b/>
                <w:sz w:val="21"/>
              </w:rPr>
            </w:pPr>
            <w:r>
              <w:rPr>
                <w:rFonts w:ascii="Microsoft JhengHei" w:eastAsia="Microsoft JhengHei" w:hint="eastAsia"/>
                <w:b/>
                <w:sz w:val="21"/>
              </w:rPr>
              <w:t>19.  严重帕金森病</w:t>
            </w:r>
          </w:p>
        </w:tc>
        <w:tc>
          <w:tcPr>
            <w:tcW w:w="7729" w:type="dxa"/>
          </w:tcPr>
          <w:p>
            <w:pPr>
              <w:pStyle w:val="TableParagraph"/>
              <w:spacing w:line="273" w:lineRule="auto" w:before="104"/>
              <w:ind w:left="106" w:right="304"/>
              <w:rPr>
                <w:sz w:val="21"/>
              </w:rPr>
            </w:pPr>
            <w:r>
              <w:rPr>
                <w:spacing w:val="-6"/>
                <w:sz w:val="21"/>
              </w:rPr>
              <w:t>是一种中枢神经系统的退行性疾病，临床表现为震颤麻痹、共济失调等。须满足</w:t>
            </w:r>
            <w:r>
              <w:rPr>
                <w:spacing w:val="-4"/>
                <w:sz w:val="21"/>
              </w:rPr>
              <w:t>下列全部条件：</w:t>
            </w:r>
          </w:p>
          <w:p>
            <w:pPr>
              <w:pStyle w:val="TableParagraph"/>
              <w:spacing w:before="8"/>
              <w:ind w:left="106"/>
              <w:rPr>
                <w:sz w:val="21"/>
              </w:rPr>
            </w:pPr>
            <w:r>
              <w:rPr>
                <w:sz w:val="21"/>
              </w:rPr>
              <w:t>（1）药物治疗无法控制病情；</w:t>
            </w:r>
          </w:p>
          <w:p>
            <w:pPr>
              <w:pStyle w:val="TableParagraph"/>
              <w:spacing w:line="273" w:lineRule="auto" w:before="37"/>
              <w:ind w:left="632" w:right="306" w:hanging="527"/>
              <w:rPr>
                <w:sz w:val="21"/>
              </w:rPr>
            </w:pPr>
            <w:r>
              <w:rPr>
                <w:sz w:val="21"/>
              </w:rPr>
              <w:t>（2）自主生活能力完全丧失，无法独立完成六项基本日常生活活动中的三项或三项以上。</w:t>
            </w:r>
          </w:p>
          <w:p>
            <w:pPr>
              <w:pStyle w:val="TableParagraph"/>
              <w:spacing w:line="284" w:lineRule="exact"/>
              <w:ind w:left="106"/>
              <w:rPr>
                <w:b/>
                <w:i/>
                <w:sz w:val="22"/>
              </w:rPr>
            </w:pPr>
            <w:r>
              <w:rPr>
                <w:b/>
                <w:i/>
                <w:w w:val="95"/>
                <w:sz w:val="22"/>
              </w:rPr>
              <w:t>继发性帕金森综合征不在保障范围内。</w:t>
            </w:r>
          </w:p>
        </w:tc>
      </w:tr>
      <w:tr>
        <w:trPr>
          <w:trHeight w:val="850" w:hRule="atLeast"/>
        </w:trPr>
        <w:tc>
          <w:tcPr>
            <w:tcW w:w="2023" w:type="dxa"/>
          </w:tcPr>
          <w:p>
            <w:pPr>
              <w:pStyle w:val="TableParagraph"/>
              <w:spacing w:before="17"/>
              <w:ind w:left="200"/>
              <w:rPr>
                <w:rFonts w:ascii="Microsoft JhengHei" w:eastAsia="Microsoft JhengHei" w:hint="eastAsia"/>
                <w:b/>
                <w:sz w:val="21"/>
              </w:rPr>
            </w:pPr>
            <w:r>
              <w:rPr>
                <w:rFonts w:ascii="Microsoft JhengHei" w:eastAsia="Microsoft JhengHei" w:hint="eastAsia"/>
                <w:b/>
                <w:sz w:val="21"/>
              </w:rPr>
              <w:t>20.  严重III 度烧伤</w:t>
            </w:r>
          </w:p>
        </w:tc>
        <w:tc>
          <w:tcPr>
            <w:tcW w:w="7729" w:type="dxa"/>
          </w:tcPr>
          <w:p>
            <w:pPr>
              <w:pStyle w:val="TableParagraph"/>
              <w:spacing w:line="273" w:lineRule="auto" w:before="103"/>
              <w:ind w:left="106" w:right="246"/>
              <w:rPr>
                <w:sz w:val="21"/>
              </w:rPr>
            </w:pPr>
            <w:r>
              <w:rPr>
                <w:sz w:val="21"/>
              </w:rPr>
              <w:t>指烧伤程度为Ⅲ度，且Ⅲ度烧伤面积达到全身体表面积的 20%或 20%以上。体表面积根据《中国新九分法》计算。</w:t>
            </w:r>
          </w:p>
        </w:tc>
      </w:tr>
      <w:tr>
        <w:trPr>
          <w:trHeight w:val="1162" w:hRule="atLeast"/>
        </w:trPr>
        <w:tc>
          <w:tcPr>
            <w:tcW w:w="2023" w:type="dxa"/>
          </w:tcPr>
          <w:p>
            <w:pPr>
              <w:pStyle w:val="TableParagraph"/>
              <w:spacing w:line="204" w:lineRule="auto" w:before="71"/>
              <w:ind w:left="619" w:right="136" w:hanging="420"/>
              <w:rPr>
                <w:rFonts w:ascii="Microsoft JhengHei" w:eastAsia="Microsoft JhengHei" w:hint="eastAsia"/>
                <w:b/>
                <w:sz w:val="21"/>
              </w:rPr>
            </w:pPr>
            <w:r>
              <w:rPr>
                <w:rFonts w:ascii="Microsoft JhengHei" w:eastAsia="Microsoft JhengHei" w:hint="eastAsia"/>
                <w:b/>
                <w:sz w:val="21"/>
              </w:rPr>
              <w:t>21. 严重原发性肺动脉高压</w:t>
            </w:r>
          </w:p>
        </w:tc>
        <w:tc>
          <w:tcPr>
            <w:tcW w:w="7729" w:type="dxa"/>
          </w:tcPr>
          <w:p>
            <w:pPr>
              <w:pStyle w:val="TableParagraph"/>
              <w:spacing w:line="273" w:lineRule="auto" w:before="102"/>
              <w:ind w:left="106" w:right="301"/>
              <w:jc w:val="both"/>
              <w:rPr>
                <w:sz w:val="21"/>
              </w:rPr>
            </w:pPr>
            <w:r>
              <w:rPr>
                <w:spacing w:val="-5"/>
                <w:sz w:val="21"/>
              </w:rPr>
              <w:t>指不明原因的肺动脉压力持续性增高，进行性发展而导致的慢性疾病，已经造成</w:t>
            </w:r>
            <w:r>
              <w:rPr>
                <w:spacing w:val="-11"/>
                <w:sz w:val="21"/>
              </w:rPr>
              <w:t>永久不可逆性的体力活动能力受限，达到美国纽约心脏病学会心功能状态分级 </w:t>
            </w:r>
            <w:r>
              <w:rPr>
                <w:sz w:val="21"/>
              </w:rPr>
              <w:t>IV </w:t>
            </w:r>
            <w:r>
              <w:rPr>
                <w:spacing w:val="-5"/>
                <w:sz w:val="21"/>
              </w:rPr>
              <w:t>级，且静息状态下肺动脉平均压超过 </w:t>
            </w:r>
            <w:r>
              <w:rPr>
                <w:sz w:val="21"/>
              </w:rPr>
              <w:t>30mmHg。</w:t>
            </w:r>
          </w:p>
        </w:tc>
      </w:tr>
      <w:tr>
        <w:trPr>
          <w:trHeight w:val="1002" w:hRule="atLeast"/>
        </w:trPr>
        <w:tc>
          <w:tcPr>
            <w:tcW w:w="2023" w:type="dxa"/>
          </w:tcPr>
          <w:p>
            <w:pPr>
              <w:pStyle w:val="TableParagraph"/>
              <w:spacing w:line="204" w:lineRule="auto" w:before="72"/>
              <w:ind w:left="619" w:right="136" w:hanging="420"/>
              <w:rPr>
                <w:rFonts w:ascii="Microsoft JhengHei" w:eastAsia="Microsoft JhengHei" w:hint="eastAsia"/>
                <w:b/>
                <w:sz w:val="21"/>
              </w:rPr>
            </w:pPr>
            <w:r>
              <w:rPr>
                <w:rFonts w:ascii="Microsoft JhengHei" w:eastAsia="Microsoft JhengHei" w:hint="eastAsia"/>
                <w:b/>
                <w:sz w:val="21"/>
              </w:rPr>
              <w:t>22. 严重运动神经元病</w:t>
            </w:r>
          </w:p>
        </w:tc>
        <w:tc>
          <w:tcPr>
            <w:tcW w:w="7729" w:type="dxa"/>
          </w:tcPr>
          <w:p>
            <w:pPr>
              <w:pStyle w:val="TableParagraph"/>
              <w:spacing w:line="310" w:lineRule="atLeast" w:before="68"/>
              <w:ind w:left="106" w:right="267"/>
              <w:jc w:val="both"/>
              <w:rPr>
                <w:sz w:val="21"/>
              </w:rPr>
            </w:pPr>
            <w:r>
              <w:rPr>
                <w:spacing w:val="-5"/>
                <w:sz w:val="21"/>
              </w:rPr>
              <w:t>是一组中枢神经系统运动神经元的进行性变性疾病，包括进行性脊肌萎缩症、进</w:t>
            </w:r>
            <w:r>
              <w:rPr>
                <w:spacing w:val="-8"/>
                <w:sz w:val="21"/>
              </w:rPr>
              <w:t>行性延髓麻痹症、原发性侧索硬化症、肌萎缩性侧索硬化症。须满足自主生活能</w:t>
            </w:r>
            <w:r>
              <w:rPr>
                <w:spacing w:val="-3"/>
                <w:sz w:val="21"/>
              </w:rPr>
              <w:t>力完全丧失，无法独立完成六项基本日常生活活动中的三项或三项以上的条件。</w:t>
            </w:r>
          </w:p>
        </w:tc>
      </w:tr>
    </w:tbl>
    <w:p>
      <w:pPr>
        <w:spacing w:after="0" w:line="310" w:lineRule="atLeast"/>
        <w:jc w:val="both"/>
        <w:rPr>
          <w:sz w:val="21"/>
        </w:rPr>
        <w:sectPr>
          <w:pgSz w:w="11910" w:h="16840"/>
          <w:pgMar w:header="0" w:footer="358" w:top="1380" w:bottom="540" w:left="1360" w:right="56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7"/>
        <w:gridCol w:w="7677"/>
      </w:tblGrid>
      <w:tr>
        <w:trPr>
          <w:trHeight w:val="1628" w:hRule="atLeast"/>
        </w:trPr>
        <w:tc>
          <w:tcPr>
            <w:tcW w:w="2007" w:type="dxa"/>
          </w:tcPr>
          <w:p>
            <w:pPr>
              <w:pStyle w:val="TableParagraph"/>
              <w:spacing w:line="196" w:lineRule="exact"/>
              <w:ind w:left="200"/>
              <w:rPr>
                <w:rFonts w:ascii="Microsoft JhengHei" w:eastAsia="Microsoft JhengHei" w:hint="eastAsia"/>
                <w:b/>
                <w:sz w:val="21"/>
              </w:rPr>
            </w:pPr>
            <w:r>
              <w:rPr>
                <w:rFonts w:ascii="Microsoft JhengHei" w:eastAsia="Microsoft JhengHei" w:hint="eastAsia"/>
                <w:b/>
                <w:sz w:val="21"/>
              </w:rPr>
              <w:t>23.  语言能力丧失</w:t>
            </w:r>
          </w:p>
          <w:p>
            <w:pPr>
              <w:pStyle w:val="TableParagraph"/>
              <w:spacing w:line="339" w:lineRule="exact"/>
              <w:ind w:left="619"/>
              <w:rPr>
                <w:rFonts w:ascii="Microsoft JhengHei" w:eastAsia="Microsoft JhengHei" w:hint="eastAsia"/>
                <w:b/>
                <w:sz w:val="21"/>
              </w:rPr>
            </w:pPr>
            <w:r>
              <w:rPr>
                <w:rFonts w:ascii="Microsoft JhengHei" w:eastAsia="Microsoft JhengHei" w:hint="eastAsia"/>
                <w:b/>
                <w:sz w:val="21"/>
              </w:rPr>
              <w:t>－三岁始理赔</w:t>
            </w:r>
          </w:p>
        </w:tc>
        <w:tc>
          <w:tcPr>
            <w:tcW w:w="7677" w:type="dxa"/>
          </w:tcPr>
          <w:p>
            <w:pPr>
              <w:pStyle w:val="TableParagraph"/>
              <w:spacing w:line="218" w:lineRule="exact"/>
              <w:rPr>
                <w:sz w:val="21"/>
              </w:rPr>
            </w:pPr>
            <w:r>
              <w:rPr>
                <w:sz w:val="21"/>
              </w:rPr>
              <w:t>指因疾病或意外伤害导致完全丧失语言能力，经过积极治疗至少 12 个月（声带</w:t>
            </w:r>
          </w:p>
          <w:p>
            <w:pPr>
              <w:pStyle w:val="TableParagraph"/>
              <w:spacing w:before="37"/>
              <w:rPr>
                <w:sz w:val="21"/>
              </w:rPr>
            </w:pP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before="25"/>
              <w:rPr>
                <w:b/>
                <w:i/>
                <w:sz w:val="22"/>
              </w:rPr>
            </w:pPr>
            <w:r>
              <w:rPr>
                <w:b/>
                <w:i/>
                <w:w w:val="95"/>
                <w:sz w:val="22"/>
              </w:rPr>
              <w:t>精神心理因素所致的语言能力丧失不在保障范围内。</w:t>
            </w:r>
          </w:p>
          <w:p>
            <w:pPr>
              <w:pStyle w:val="TableParagraph"/>
              <w:spacing w:line="259" w:lineRule="auto" w:before="24"/>
              <w:ind w:right="239"/>
              <w:rPr>
                <w:b/>
                <w:i/>
                <w:sz w:val="22"/>
              </w:rPr>
            </w:pPr>
            <w:r>
              <w:rPr>
                <w:b/>
                <w:i/>
                <w:spacing w:val="-7"/>
                <w:w w:val="95"/>
                <w:sz w:val="22"/>
              </w:rPr>
              <w:t>被保险人申请理赔时年龄必须在三周岁以上，并且提供理赔当时的语言能力丧失诊断及检查证据。</w:t>
            </w:r>
          </w:p>
        </w:tc>
      </w:tr>
      <w:tr>
        <w:trPr>
          <w:trHeight w:val="2410" w:hRule="atLeast"/>
        </w:trPr>
        <w:tc>
          <w:tcPr>
            <w:tcW w:w="2007" w:type="dxa"/>
          </w:tcPr>
          <w:p>
            <w:pPr>
              <w:pStyle w:val="TableParagraph"/>
              <w:spacing w:line="204" w:lineRule="auto" w:before="72"/>
              <w:ind w:left="619" w:right="120" w:hanging="420"/>
              <w:rPr>
                <w:rFonts w:ascii="Microsoft JhengHei" w:eastAsia="Microsoft JhengHei" w:hint="eastAsia"/>
                <w:b/>
                <w:sz w:val="21"/>
              </w:rPr>
            </w:pPr>
            <w:r>
              <w:rPr>
                <w:rFonts w:ascii="Microsoft JhengHei" w:eastAsia="Microsoft JhengHei" w:hint="eastAsia"/>
                <w:b/>
                <w:sz w:val="21"/>
              </w:rPr>
              <w:t>24. 重型再生障碍性贫血</w:t>
            </w:r>
          </w:p>
        </w:tc>
        <w:tc>
          <w:tcPr>
            <w:tcW w:w="7677" w:type="dxa"/>
          </w:tcPr>
          <w:p>
            <w:pPr>
              <w:pStyle w:val="TableParagraph"/>
              <w:spacing w:line="273" w:lineRule="auto" w:before="103"/>
              <w:ind w:right="197"/>
              <w:rPr>
                <w:sz w:val="21"/>
              </w:rPr>
            </w:pPr>
            <w:r>
              <w:rPr>
                <w:sz w:val="21"/>
              </w:rPr>
              <w:t>指因骨髓造血功能慢性持续性衰竭导致的贫血、中性粒细胞减少及血小板减少。须满足下列全部条件：</w:t>
            </w:r>
          </w:p>
          <w:p>
            <w:pPr>
              <w:pStyle w:val="TableParagraph"/>
              <w:spacing w:before="7"/>
              <w:rPr>
                <w:sz w:val="21"/>
              </w:rPr>
            </w:pPr>
            <w:r>
              <w:rPr>
                <w:sz w:val="21"/>
              </w:rPr>
              <w:t>（1）骨髓穿刺检查或骨髓活检结果支持诊断；</w:t>
            </w:r>
          </w:p>
          <w:p>
            <w:pPr>
              <w:pStyle w:val="TableParagraph"/>
              <w:spacing w:before="36"/>
              <w:rPr>
                <w:sz w:val="21"/>
              </w:rPr>
            </w:pPr>
            <w:r>
              <w:rPr>
                <w:sz w:val="21"/>
              </w:rPr>
              <w:t>（2）外周血象必须具备以下三项条件：</w:t>
            </w:r>
          </w:p>
          <w:p>
            <w:pPr>
              <w:pStyle w:val="TableParagraph"/>
              <w:spacing w:before="36"/>
              <w:ind w:left="648"/>
              <w:rPr>
                <w:sz w:val="21"/>
              </w:rPr>
            </w:pPr>
            <w:r>
              <w:rPr>
                <w:sz w:val="21"/>
              </w:rPr>
              <w:t>①中性粒细胞绝对值≤0.5×10</w:t>
            </w:r>
            <w:r>
              <w:rPr>
                <w:position w:val="11"/>
                <w:sz w:val="11"/>
              </w:rPr>
              <w:t>9</w:t>
            </w:r>
            <w:r>
              <w:rPr>
                <w:sz w:val="21"/>
              </w:rPr>
              <w:t>/L；</w:t>
            </w:r>
          </w:p>
          <w:p>
            <w:pPr>
              <w:pStyle w:val="TableParagraph"/>
              <w:spacing w:before="36"/>
              <w:ind w:left="648"/>
              <w:rPr>
                <w:sz w:val="21"/>
              </w:rPr>
            </w:pPr>
            <w:r>
              <w:rPr>
                <w:sz w:val="21"/>
              </w:rPr>
              <w:t>②网织红细胞＜1%；</w:t>
            </w:r>
          </w:p>
          <w:p>
            <w:pPr>
              <w:pStyle w:val="TableParagraph"/>
              <w:spacing w:before="36"/>
              <w:ind w:left="648"/>
              <w:rPr>
                <w:sz w:val="21"/>
              </w:rPr>
            </w:pPr>
            <w:r>
              <w:rPr>
                <w:sz w:val="21"/>
              </w:rPr>
              <w:t>③血小板绝对值≤20×10</w:t>
            </w:r>
            <w:r>
              <w:rPr>
                <w:position w:val="11"/>
                <w:sz w:val="11"/>
              </w:rPr>
              <w:t>9</w:t>
            </w:r>
            <w:r>
              <w:rPr>
                <w:sz w:val="21"/>
              </w:rPr>
              <w:t>/L。</w:t>
            </w:r>
          </w:p>
        </w:tc>
      </w:tr>
      <w:tr>
        <w:trPr>
          <w:trHeight w:val="1475" w:hRule="atLeast"/>
        </w:trPr>
        <w:tc>
          <w:tcPr>
            <w:tcW w:w="2007" w:type="dxa"/>
          </w:tcPr>
          <w:p>
            <w:pPr>
              <w:pStyle w:val="TableParagraph"/>
              <w:spacing w:before="17"/>
              <w:ind w:left="200"/>
              <w:rPr>
                <w:rFonts w:ascii="Microsoft JhengHei" w:eastAsia="Microsoft JhengHei" w:hint="eastAsia"/>
                <w:b/>
                <w:sz w:val="21"/>
              </w:rPr>
            </w:pPr>
            <w:r>
              <w:rPr>
                <w:rFonts w:ascii="Microsoft JhengHei" w:eastAsia="Microsoft JhengHei" w:hint="eastAsia"/>
                <w:b/>
                <w:sz w:val="21"/>
              </w:rPr>
              <w:t>25.  主动脉手术</w:t>
            </w:r>
          </w:p>
        </w:tc>
        <w:tc>
          <w:tcPr>
            <w:tcW w:w="7677" w:type="dxa"/>
          </w:tcPr>
          <w:p>
            <w:pPr>
              <w:pStyle w:val="TableParagraph"/>
              <w:spacing w:line="273" w:lineRule="auto" w:before="103"/>
              <w:ind w:right="233"/>
              <w:jc w:val="both"/>
              <w:rPr>
                <w:sz w:val="21"/>
              </w:rPr>
            </w:pPr>
            <w:r>
              <w:rPr>
                <w:spacing w:val="-7"/>
                <w:sz w:val="21"/>
              </w:rPr>
              <w:t>指为治疗主动脉疾病，实际实施了开胸或开腹进行的切除、置换、修补病损主动</w:t>
            </w:r>
            <w:r>
              <w:rPr>
                <w:spacing w:val="-8"/>
                <w:sz w:val="21"/>
              </w:rPr>
              <w:t>脉血管的手术。主动脉指胸主动脉和腹主动脉，不包括胸主动脉和腹主动脉的分</w:t>
            </w:r>
            <w:r>
              <w:rPr>
                <w:spacing w:val="-6"/>
                <w:sz w:val="21"/>
              </w:rPr>
              <w:t>支血管。</w:t>
            </w:r>
          </w:p>
          <w:p>
            <w:pPr>
              <w:pStyle w:val="TableParagraph"/>
              <w:spacing w:line="284" w:lineRule="exact"/>
              <w:jc w:val="both"/>
              <w:rPr>
                <w:b/>
                <w:i/>
                <w:sz w:val="22"/>
              </w:rPr>
            </w:pPr>
            <w:r>
              <w:rPr>
                <w:b/>
                <w:i/>
                <w:w w:val="95"/>
                <w:sz w:val="22"/>
              </w:rPr>
              <w:t>动脉内血管成形术不在保障范围内。</w:t>
            </w:r>
          </w:p>
        </w:tc>
      </w:tr>
      <w:tr>
        <w:trPr>
          <w:trHeight w:val="2097" w:hRule="atLeast"/>
        </w:trPr>
        <w:tc>
          <w:tcPr>
            <w:tcW w:w="2007" w:type="dxa"/>
          </w:tcPr>
          <w:p>
            <w:pPr>
              <w:pStyle w:val="TableParagraph"/>
              <w:spacing w:line="204" w:lineRule="auto" w:before="72"/>
              <w:ind w:left="619" w:right="120" w:hanging="420"/>
              <w:rPr>
                <w:rFonts w:ascii="Microsoft JhengHei" w:eastAsia="Microsoft JhengHei" w:hint="eastAsia"/>
                <w:b/>
                <w:sz w:val="21"/>
              </w:rPr>
            </w:pPr>
            <w:r>
              <w:rPr>
                <w:rFonts w:ascii="Microsoft JhengHei" w:eastAsia="Microsoft JhengHei" w:hint="eastAsia"/>
                <w:b/>
                <w:sz w:val="21"/>
              </w:rPr>
              <w:t>26. 慢性呼吸功能衰竭</w:t>
            </w:r>
          </w:p>
        </w:tc>
        <w:tc>
          <w:tcPr>
            <w:tcW w:w="7677" w:type="dxa"/>
          </w:tcPr>
          <w:p>
            <w:pPr>
              <w:pStyle w:val="TableParagraph"/>
              <w:spacing w:line="273" w:lineRule="auto" w:before="103"/>
              <w:ind w:right="189"/>
              <w:rPr>
                <w:sz w:val="21"/>
              </w:rPr>
            </w:pPr>
            <w:r>
              <w:rPr>
                <w:sz w:val="21"/>
              </w:rPr>
              <w:t>慢性肺部疾病导致永久不可逆性的慢性呼吸功能衰竭。慢性呼吸功能衰竭必须明确诊断并满足下列全部条件：</w:t>
            </w:r>
          </w:p>
          <w:p>
            <w:pPr>
              <w:pStyle w:val="TableParagraph"/>
              <w:spacing w:before="7"/>
              <w:rPr>
                <w:sz w:val="21"/>
              </w:rPr>
            </w:pPr>
            <w:r>
              <w:rPr>
                <w:sz w:val="21"/>
              </w:rPr>
              <w:t>（1）休息时出现呼吸困难；</w:t>
            </w:r>
          </w:p>
          <w:p>
            <w:pPr>
              <w:pStyle w:val="TableParagraph"/>
              <w:spacing w:before="36"/>
              <w:rPr>
                <w:sz w:val="21"/>
              </w:rPr>
            </w:pPr>
            <w:r>
              <w:rPr>
                <w:sz w:val="21"/>
              </w:rPr>
              <w:t>（2）动脉血氧分压（PaO2）&lt;50mmHg；</w:t>
            </w:r>
          </w:p>
          <w:p>
            <w:pPr>
              <w:pStyle w:val="TableParagraph"/>
              <w:spacing w:before="36"/>
              <w:rPr>
                <w:sz w:val="21"/>
              </w:rPr>
            </w:pPr>
            <w:r>
              <w:rPr>
                <w:sz w:val="21"/>
              </w:rPr>
              <w:t>（3）动脉血氧饱和度（SaO2）&lt;80%；</w:t>
            </w:r>
          </w:p>
          <w:p>
            <w:pPr>
              <w:pStyle w:val="TableParagraph"/>
              <w:spacing w:before="36"/>
              <w:rPr>
                <w:sz w:val="21"/>
              </w:rPr>
            </w:pPr>
            <w:r>
              <w:rPr>
                <w:sz w:val="21"/>
              </w:rPr>
              <w:t>（4）因缺氧必须接受持续的输氧治疗。</w:t>
            </w:r>
          </w:p>
        </w:tc>
      </w:tr>
      <w:tr>
        <w:trPr>
          <w:trHeight w:val="1787" w:hRule="atLeast"/>
        </w:trPr>
        <w:tc>
          <w:tcPr>
            <w:tcW w:w="2007" w:type="dxa"/>
          </w:tcPr>
          <w:p>
            <w:pPr>
              <w:pStyle w:val="TableParagraph"/>
              <w:spacing w:line="204" w:lineRule="auto" w:before="71"/>
              <w:ind w:left="619" w:right="120" w:hanging="420"/>
              <w:rPr>
                <w:rFonts w:ascii="Microsoft JhengHei" w:eastAsia="Microsoft JhengHei" w:hint="eastAsia"/>
                <w:b/>
                <w:sz w:val="21"/>
              </w:rPr>
            </w:pPr>
            <w:r>
              <w:rPr>
                <w:rFonts w:ascii="Microsoft JhengHei" w:eastAsia="Microsoft JhengHei" w:hint="eastAsia"/>
                <w:b/>
                <w:sz w:val="21"/>
              </w:rPr>
              <w:t>27. 严重多发性硬化</w:t>
            </w:r>
          </w:p>
        </w:tc>
        <w:tc>
          <w:tcPr>
            <w:tcW w:w="7677" w:type="dxa"/>
          </w:tcPr>
          <w:p>
            <w:pPr>
              <w:pStyle w:val="TableParagraph"/>
              <w:spacing w:line="273" w:lineRule="auto" w:before="102"/>
              <w:ind w:right="233"/>
              <w:jc w:val="both"/>
              <w:rPr>
                <w:sz w:val="21"/>
              </w:rPr>
            </w:pPr>
            <w:r>
              <w:rPr>
                <w:spacing w:val="-5"/>
                <w:sz w:val="21"/>
              </w:rPr>
              <w:t>多发性硬化为中枢神经系统白质多灶性脱髓鞘病变，病变有时累及灰质。多发性</w:t>
            </w:r>
            <w:r>
              <w:rPr>
                <w:spacing w:val="-7"/>
                <w:sz w:val="21"/>
              </w:rPr>
              <w:t>硬化必须明确诊断，并且已经造成永久不可逆的神经系统功能损害。永久不可逆的神经系统损害指被保险人持续 </w:t>
            </w:r>
            <w:r>
              <w:rPr>
                <w:sz w:val="21"/>
              </w:rPr>
              <w:t>180</w:t>
            </w:r>
            <w:r>
              <w:rPr>
                <w:spacing w:val="-7"/>
                <w:sz w:val="21"/>
              </w:rPr>
              <w:t> 天无法独立完成下列基本日常生活活动：</w:t>
            </w:r>
          </w:p>
          <w:p>
            <w:pPr>
              <w:pStyle w:val="TableParagraph"/>
              <w:spacing w:before="7"/>
              <w:jc w:val="both"/>
              <w:rPr>
                <w:sz w:val="21"/>
              </w:rPr>
            </w:pPr>
            <w:r>
              <w:rPr>
                <w:sz w:val="21"/>
              </w:rPr>
              <w:t>（1）移动：自己从一个房间移动到另一个房间；或者</w:t>
            </w:r>
          </w:p>
          <w:p>
            <w:pPr>
              <w:pStyle w:val="TableParagraph"/>
              <w:spacing w:before="37"/>
              <w:jc w:val="both"/>
              <w:rPr>
                <w:sz w:val="21"/>
              </w:rPr>
            </w:pPr>
            <w:r>
              <w:rPr>
                <w:sz w:val="21"/>
              </w:rPr>
              <w:t>（2）进食：自己从已准备好的碗或碟中取食物放入口中。</w:t>
            </w:r>
          </w:p>
        </w:tc>
      </w:tr>
      <w:tr>
        <w:trPr>
          <w:trHeight w:val="1787" w:hRule="atLeast"/>
        </w:trPr>
        <w:tc>
          <w:tcPr>
            <w:tcW w:w="2007" w:type="dxa"/>
          </w:tcPr>
          <w:p>
            <w:pPr>
              <w:pStyle w:val="TableParagraph"/>
              <w:spacing w:before="18"/>
              <w:ind w:left="200"/>
              <w:rPr>
                <w:rFonts w:ascii="Microsoft JhengHei" w:eastAsia="Microsoft JhengHei" w:hint="eastAsia"/>
                <w:b/>
                <w:sz w:val="21"/>
              </w:rPr>
            </w:pPr>
            <w:r>
              <w:rPr>
                <w:rFonts w:ascii="Microsoft JhengHei" w:eastAsia="Microsoft JhengHei" w:hint="eastAsia"/>
                <w:b/>
                <w:sz w:val="21"/>
              </w:rPr>
              <w:t>28.  脊髓灰质炎</w:t>
            </w:r>
          </w:p>
        </w:tc>
        <w:tc>
          <w:tcPr>
            <w:tcW w:w="7677" w:type="dxa"/>
          </w:tcPr>
          <w:p>
            <w:pPr>
              <w:pStyle w:val="TableParagraph"/>
              <w:spacing w:line="273" w:lineRule="auto" w:before="104"/>
              <w:ind w:right="233"/>
              <w:jc w:val="both"/>
              <w:rPr>
                <w:sz w:val="21"/>
              </w:rPr>
            </w:pPr>
            <w:r>
              <w:rPr>
                <w:spacing w:val="-5"/>
                <w:sz w:val="21"/>
              </w:rPr>
              <w:t>脊髓灰质炎是由于脊髓灰质炎病毒感染所致的瘫痪性疾病，临床表现为运动功能</w:t>
            </w:r>
            <w:r>
              <w:rPr>
                <w:spacing w:val="-4"/>
                <w:sz w:val="21"/>
              </w:rPr>
              <w:t>损害或呼吸无力。脊髓灰质炎必须明确诊断。</w:t>
            </w:r>
          </w:p>
          <w:p>
            <w:pPr>
              <w:pStyle w:val="TableParagraph"/>
              <w:spacing w:line="273" w:lineRule="auto" w:before="8"/>
              <w:ind w:right="238"/>
              <w:jc w:val="both"/>
              <w:rPr>
                <w:sz w:val="21"/>
              </w:rPr>
            </w:pPr>
            <w:r>
              <w:rPr>
                <w:sz w:val="21"/>
              </w:rPr>
              <w:t>本保单仅对脊髓灰质炎造成的神经系统功能损害导致被保险人一肢或一肢以上</w:t>
            </w:r>
            <w:r>
              <w:rPr>
                <w:spacing w:val="-14"/>
                <w:sz w:val="21"/>
              </w:rPr>
              <w:t>肢体机能永久完全丧失的情况予以理赔。肢体机能永久完全丧失，指疾病确诊 </w:t>
            </w:r>
            <w:r>
              <w:rPr>
                <w:spacing w:val="-3"/>
                <w:sz w:val="21"/>
              </w:rPr>
              <w:t>180 天后，每肢三大关节中的两大关节仍然完全僵硬，或不能随意识活动。</w:t>
            </w:r>
          </w:p>
        </w:tc>
      </w:tr>
      <w:tr>
        <w:trPr>
          <w:trHeight w:val="2099" w:hRule="atLeast"/>
        </w:trPr>
        <w:tc>
          <w:tcPr>
            <w:tcW w:w="2007" w:type="dxa"/>
          </w:tcPr>
          <w:p>
            <w:pPr>
              <w:pStyle w:val="TableParagraph"/>
              <w:spacing w:line="206" w:lineRule="auto" w:before="69"/>
              <w:ind w:left="619" w:right="120" w:hanging="420"/>
              <w:rPr>
                <w:rFonts w:ascii="Microsoft JhengHei" w:eastAsia="Microsoft JhengHei" w:hint="eastAsia"/>
                <w:b/>
                <w:sz w:val="21"/>
              </w:rPr>
            </w:pPr>
            <w:r>
              <w:rPr>
                <w:rFonts w:ascii="Microsoft JhengHei" w:eastAsia="Microsoft JhengHei" w:hint="eastAsia"/>
                <w:b/>
                <w:sz w:val="21"/>
              </w:rPr>
              <w:t>29. 全身性重症ft 无力</w:t>
            </w:r>
          </w:p>
        </w:tc>
        <w:tc>
          <w:tcPr>
            <w:tcW w:w="7677" w:type="dxa"/>
          </w:tcPr>
          <w:p>
            <w:pPr>
              <w:pStyle w:val="TableParagraph"/>
              <w:spacing w:before="104"/>
              <w:rPr>
                <w:sz w:val="21"/>
              </w:rPr>
            </w:pPr>
            <w:r>
              <w:rPr>
                <w:sz w:val="21"/>
              </w:rPr>
              <w:t>重症肌无力是一种神经肌肉接头传递障碍所致的疾病，表现为局部或全身骨骼肌</w:t>
            </w:r>
          </w:p>
          <w:p>
            <w:pPr>
              <w:pStyle w:val="TableParagraph"/>
              <w:spacing w:line="273" w:lineRule="auto" w:before="38"/>
              <w:ind w:right="198"/>
              <w:rPr>
                <w:sz w:val="21"/>
              </w:rPr>
            </w:pPr>
            <w:r>
              <w:rPr>
                <w:sz w:val="21"/>
              </w:rPr>
              <w:t>（特别是眼外肌）极易疲劳。疾病可以累及呼吸肌、上肢或下肢的近端肌群或全身肌肉，必须满足下列全部条件：</w:t>
            </w:r>
          </w:p>
          <w:p>
            <w:pPr>
              <w:pStyle w:val="TableParagraph"/>
              <w:spacing w:before="8"/>
              <w:rPr>
                <w:sz w:val="21"/>
              </w:rPr>
            </w:pPr>
            <w:r>
              <w:rPr>
                <w:sz w:val="21"/>
              </w:rPr>
              <w:t>（1）经药物治疗和胸腺切除治疗一年以上仍无法控制病情；</w:t>
            </w:r>
          </w:p>
          <w:p>
            <w:pPr>
              <w:pStyle w:val="TableParagraph"/>
              <w:spacing w:line="273" w:lineRule="auto" w:before="37"/>
              <w:ind w:left="648" w:right="240" w:hanging="527"/>
              <w:rPr>
                <w:sz w:val="21"/>
              </w:rPr>
            </w:pPr>
            <w:r>
              <w:rPr>
                <w:sz w:val="21"/>
              </w:rPr>
              <w:t>（2）自主生活能力完全丧失，无法独立完成六项基本日常生活活动中的三项或三项以上。</w:t>
            </w:r>
          </w:p>
        </w:tc>
      </w:tr>
      <w:tr>
        <w:trPr>
          <w:trHeight w:val="1001" w:hRule="atLeast"/>
        </w:trPr>
        <w:tc>
          <w:tcPr>
            <w:tcW w:w="2007" w:type="dxa"/>
          </w:tcPr>
          <w:p>
            <w:pPr>
              <w:pStyle w:val="TableParagraph"/>
              <w:spacing w:before="16"/>
              <w:ind w:left="200"/>
              <w:rPr>
                <w:rFonts w:ascii="Microsoft JhengHei" w:eastAsia="Microsoft JhengHei" w:hint="eastAsia"/>
                <w:b/>
                <w:sz w:val="21"/>
              </w:rPr>
            </w:pPr>
            <w:r>
              <w:rPr>
                <w:rFonts w:ascii="Microsoft JhengHei" w:eastAsia="Microsoft JhengHei" w:hint="eastAsia"/>
                <w:b/>
                <w:sz w:val="21"/>
              </w:rPr>
              <w:t>30.  严重冠心病</w:t>
            </w:r>
          </w:p>
        </w:tc>
        <w:tc>
          <w:tcPr>
            <w:tcW w:w="7677" w:type="dxa"/>
          </w:tcPr>
          <w:p>
            <w:pPr>
              <w:pStyle w:val="TableParagraph"/>
              <w:spacing w:line="310" w:lineRule="atLeast" w:before="67"/>
              <w:ind w:right="233"/>
              <w:jc w:val="both"/>
              <w:rPr>
                <w:sz w:val="21"/>
              </w:rPr>
            </w:pPr>
            <w:r>
              <w:rPr>
                <w:spacing w:val="-5"/>
                <w:sz w:val="21"/>
              </w:rPr>
              <w:t>指经根据冠状动脉造影检查结果明确诊断为三支主要血管</w:t>
            </w:r>
            <w:r>
              <w:rPr>
                <w:spacing w:val="-3"/>
                <w:sz w:val="21"/>
              </w:rPr>
              <w:t>（左冠状动脉主干和右</w:t>
            </w:r>
            <w:r>
              <w:rPr>
                <w:spacing w:val="-6"/>
                <w:sz w:val="21"/>
              </w:rPr>
              <w:t>冠状动脉，或前降支、左旋支和右冠状动脉</w:t>
            </w:r>
            <w:r>
              <w:rPr>
                <w:spacing w:val="-13"/>
                <w:sz w:val="21"/>
              </w:rPr>
              <w:t>）</w:t>
            </w:r>
            <w:r>
              <w:rPr>
                <w:spacing w:val="-5"/>
                <w:sz w:val="21"/>
              </w:rPr>
              <w:t>严重狭窄性病变</w:t>
            </w:r>
            <w:r>
              <w:rPr>
                <w:sz w:val="21"/>
              </w:rPr>
              <w:t>（</w:t>
            </w:r>
            <w:r>
              <w:rPr>
                <w:spacing w:val="-3"/>
                <w:sz w:val="21"/>
              </w:rPr>
              <w:t>至少一支血管管</w:t>
            </w:r>
            <w:r>
              <w:rPr>
                <w:spacing w:val="-9"/>
                <w:sz w:val="21"/>
              </w:rPr>
              <w:t>腔直径减少 </w:t>
            </w:r>
            <w:r>
              <w:rPr>
                <w:sz w:val="21"/>
              </w:rPr>
              <w:t>75</w:t>
            </w:r>
            <w:r>
              <w:rPr>
                <w:spacing w:val="-6"/>
                <w:sz w:val="21"/>
              </w:rPr>
              <w:t>%以上和其他两支血管管腔直径减少 </w:t>
            </w:r>
            <w:r>
              <w:rPr>
                <w:sz w:val="21"/>
              </w:rPr>
              <w:t>60%</w:t>
            </w:r>
            <w:r>
              <w:rPr>
                <w:spacing w:val="-2"/>
                <w:sz w:val="21"/>
              </w:rPr>
              <w:t>以上</w:t>
            </w:r>
            <w:r>
              <w:rPr>
                <w:spacing w:val="-106"/>
                <w:sz w:val="21"/>
              </w:rPr>
              <w:t>）</w:t>
            </w:r>
            <w:r>
              <w:rPr>
                <w:sz w:val="21"/>
              </w:rPr>
              <w:t>。</w:t>
            </w:r>
          </w:p>
        </w:tc>
      </w:tr>
    </w:tbl>
    <w:p>
      <w:pPr>
        <w:spacing w:after="0" w:line="310" w:lineRule="atLeast"/>
        <w:jc w:val="both"/>
        <w:rPr>
          <w:sz w:val="21"/>
        </w:rPr>
        <w:sectPr>
          <w:pgSz w:w="11910" w:h="16840"/>
          <w:pgMar w:header="0" w:footer="358" w:top="1380" w:bottom="540" w:left="1360" w:right="64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7"/>
        <w:gridCol w:w="7747"/>
      </w:tblGrid>
      <w:tr>
        <w:trPr>
          <w:trHeight w:val="383" w:hRule="atLeast"/>
        </w:trPr>
        <w:tc>
          <w:tcPr>
            <w:tcW w:w="2007" w:type="dxa"/>
          </w:tcPr>
          <w:p>
            <w:pPr>
              <w:pStyle w:val="TableParagraph"/>
              <w:ind w:left="0"/>
              <w:rPr>
                <w:rFonts w:ascii="Times New Roman"/>
                <w:sz w:val="20"/>
              </w:rPr>
            </w:pPr>
          </w:p>
        </w:tc>
        <w:tc>
          <w:tcPr>
            <w:tcW w:w="7747" w:type="dxa"/>
          </w:tcPr>
          <w:p>
            <w:pPr>
              <w:pStyle w:val="TableParagraph"/>
              <w:spacing w:line="218" w:lineRule="exact"/>
              <w:rPr>
                <w:b/>
                <w:i/>
                <w:sz w:val="22"/>
              </w:rPr>
            </w:pPr>
            <w:r>
              <w:rPr>
                <w:b/>
                <w:i/>
                <w:w w:val="95"/>
                <w:sz w:val="22"/>
              </w:rPr>
              <w:t>前降支、左旋支及右冠状动脉的分支血管的狭窄不作为本保障的衡量指标。</w:t>
            </w:r>
          </w:p>
        </w:tc>
      </w:tr>
      <w:tr>
        <w:trPr>
          <w:trHeight w:val="1163" w:hRule="atLeast"/>
        </w:trPr>
        <w:tc>
          <w:tcPr>
            <w:tcW w:w="2007" w:type="dxa"/>
          </w:tcPr>
          <w:p>
            <w:pPr>
              <w:pStyle w:val="TableParagraph"/>
              <w:spacing w:before="13"/>
              <w:ind w:left="200"/>
              <w:rPr>
                <w:rFonts w:ascii="Microsoft JhengHei" w:eastAsia="Microsoft JhengHei" w:hint="eastAsia"/>
                <w:b/>
                <w:sz w:val="21"/>
              </w:rPr>
            </w:pPr>
            <w:r>
              <w:rPr>
                <w:rFonts w:ascii="Microsoft JhengHei" w:eastAsia="Microsoft JhengHei" w:hint="eastAsia"/>
                <w:b/>
                <w:w w:val="105"/>
                <w:sz w:val="21"/>
              </w:rPr>
              <w:t>31. 严重心ft病</w:t>
            </w:r>
          </w:p>
        </w:tc>
        <w:tc>
          <w:tcPr>
            <w:tcW w:w="7747" w:type="dxa"/>
          </w:tcPr>
          <w:p>
            <w:pPr>
              <w:pStyle w:val="TableParagraph"/>
              <w:spacing w:line="273" w:lineRule="auto" w:before="99"/>
              <w:ind w:right="303"/>
              <w:jc w:val="both"/>
              <w:rPr>
                <w:sz w:val="21"/>
              </w:rPr>
            </w:pPr>
            <w:r>
              <w:rPr>
                <w:spacing w:val="-5"/>
                <w:sz w:val="21"/>
              </w:rPr>
              <w:t>指被保险人因心肌病导致慢性心功能损害造成永久不可逆性的心功能衰竭。心功</w:t>
            </w:r>
            <w:r>
              <w:rPr>
                <w:spacing w:val="-4"/>
                <w:sz w:val="21"/>
              </w:rPr>
              <w:t>能衰竭程度达到纽约心脏病学会的心功能分级标准之心功能 </w:t>
            </w:r>
            <w:r>
              <w:rPr>
                <w:sz w:val="21"/>
              </w:rPr>
              <w:t>IV</w:t>
            </w:r>
            <w:r>
              <w:rPr>
                <w:spacing w:val="-3"/>
                <w:sz w:val="21"/>
              </w:rPr>
              <w:t> 级。被保险人永久不可逆性的体力活动能力受限，不能从事任何体力活动。</w:t>
            </w:r>
          </w:p>
        </w:tc>
      </w:tr>
      <w:tr>
        <w:trPr>
          <w:trHeight w:val="3971" w:hRule="atLeast"/>
        </w:trPr>
        <w:tc>
          <w:tcPr>
            <w:tcW w:w="2007" w:type="dxa"/>
          </w:tcPr>
          <w:p>
            <w:pPr>
              <w:pStyle w:val="TableParagraph"/>
              <w:spacing w:line="204" w:lineRule="auto" w:before="68"/>
              <w:ind w:left="619" w:right="120" w:hanging="420"/>
              <w:rPr>
                <w:rFonts w:ascii="Microsoft JhengHei" w:eastAsia="Microsoft JhengHei" w:hint="eastAsia"/>
                <w:b/>
                <w:sz w:val="21"/>
              </w:rPr>
            </w:pPr>
            <w:r>
              <w:rPr>
                <w:rFonts w:ascii="Microsoft JhengHei" w:eastAsia="Microsoft JhengHei" w:hint="eastAsia"/>
                <w:b/>
                <w:sz w:val="21"/>
              </w:rPr>
              <w:t>32. 系统性红斑狼疮-III 型或以上狼疮性肾炎</w:t>
            </w:r>
          </w:p>
        </w:tc>
        <w:tc>
          <w:tcPr>
            <w:tcW w:w="7747" w:type="dxa"/>
          </w:tcPr>
          <w:p>
            <w:pPr>
              <w:pStyle w:val="TableParagraph"/>
              <w:spacing w:line="273" w:lineRule="auto" w:before="100"/>
              <w:ind w:right="303"/>
              <w:rPr>
                <w:sz w:val="21"/>
              </w:rPr>
            </w:pPr>
            <w:r>
              <w:rPr>
                <w:spacing w:val="-6"/>
                <w:sz w:val="21"/>
              </w:rPr>
              <w:t>系统性红斑狼疮是由多种因素引起，累及多系统的自身免疫性疾病。其特点是生</w:t>
            </w:r>
            <w:r>
              <w:rPr>
                <w:spacing w:val="-4"/>
                <w:sz w:val="21"/>
              </w:rPr>
              <w:t>成自身抗体对抗多种自身抗原。多见于育龄妇女。</w:t>
            </w:r>
          </w:p>
          <w:p>
            <w:pPr>
              <w:pStyle w:val="TableParagraph"/>
              <w:spacing w:line="273" w:lineRule="auto" w:before="8"/>
              <w:ind w:right="303"/>
              <w:rPr>
                <w:sz w:val="21"/>
              </w:rPr>
            </w:pPr>
            <w:r>
              <w:rPr>
                <w:spacing w:val="-4"/>
                <w:sz w:val="21"/>
              </w:rPr>
              <w:t>本保单所指的系统性红斑狼疮仅限于累及肾脏</w:t>
            </w:r>
            <w:r>
              <w:rPr>
                <w:sz w:val="21"/>
              </w:rPr>
              <w:t>（</w:t>
            </w:r>
            <w:r>
              <w:rPr>
                <w:spacing w:val="-8"/>
                <w:sz w:val="21"/>
              </w:rPr>
              <w:t>经肾脏活检确认的，符合 </w:t>
            </w:r>
            <w:r>
              <w:rPr>
                <w:sz w:val="21"/>
              </w:rPr>
              <w:t>WHO</w:t>
            </w:r>
            <w:r>
              <w:rPr>
                <w:spacing w:val="-19"/>
                <w:sz w:val="21"/>
              </w:rPr>
              <w:t> 诊</w:t>
            </w:r>
            <w:r>
              <w:rPr>
                <w:spacing w:val="-16"/>
                <w:sz w:val="21"/>
              </w:rPr>
              <w:t>断标准定义 </w:t>
            </w:r>
            <w:r>
              <w:rPr>
                <w:sz w:val="21"/>
              </w:rPr>
              <w:t>III</w:t>
            </w:r>
            <w:r>
              <w:rPr>
                <w:spacing w:val="-25"/>
                <w:sz w:val="21"/>
              </w:rPr>
              <w:t> 型至 </w:t>
            </w:r>
            <w:r>
              <w:rPr>
                <w:sz w:val="21"/>
              </w:rPr>
              <w:t>V</w:t>
            </w:r>
            <w:r>
              <w:rPr>
                <w:spacing w:val="-9"/>
                <w:sz w:val="21"/>
              </w:rPr>
              <w:t> 型狼疮性肾炎</w:t>
            </w:r>
            <w:r>
              <w:rPr>
                <w:sz w:val="21"/>
              </w:rPr>
              <w:t>）</w:t>
            </w:r>
            <w:r>
              <w:rPr>
                <w:spacing w:val="-3"/>
                <w:sz w:val="21"/>
              </w:rPr>
              <w:t>的系统性红斑狼疮。</w:t>
            </w:r>
          </w:p>
          <w:p>
            <w:pPr>
              <w:pStyle w:val="TableParagraph"/>
              <w:spacing w:line="259" w:lineRule="auto"/>
              <w:ind w:right="306"/>
              <w:rPr>
                <w:b/>
                <w:i/>
                <w:sz w:val="22"/>
              </w:rPr>
            </w:pPr>
            <w:r>
              <w:rPr>
                <w:b/>
                <w:i/>
                <w:spacing w:val="-6"/>
                <w:w w:val="95"/>
                <w:sz w:val="22"/>
              </w:rPr>
              <w:t>其他类型的红斑性狼疮，如盘状狼疮、仅累及血液及关节的狼疮不在本保单保障范围內。</w:t>
            </w:r>
          </w:p>
          <w:p>
            <w:pPr>
              <w:pStyle w:val="TableParagraph"/>
              <w:spacing w:before="22"/>
              <w:rPr>
                <w:sz w:val="21"/>
              </w:rPr>
            </w:pPr>
            <w:r>
              <w:rPr>
                <w:sz w:val="21"/>
              </w:rPr>
              <w:t>世界卫生组织（WHO）狼疮性肾炎分型：</w:t>
            </w:r>
          </w:p>
          <w:p>
            <w:pPr>
              <w:pStyle w:val="TableParagraph"/>
              <w:numPr>
                <w:ilvl w:val="0"/>
                <w:numId w:val="2"/>
              </w:numPr>
              <w:tabs>
                <w:tab w:pos="493" w:val="left" w:leader="none"/>
                <w:tab w:pos="3118" w:val="left" w:leader="none"/>
              </w:tabs>
              <w:spacing w:line="240" w:lineRule="auto" w:before="37" w:after="0"/>
              <w:ind w:left="492" w:right="0" w:hanging="159"/>
              <w:jc w:val="left"/>
              <w:rPr>
                <w:sz w:val="21"/>
              </w:rPr>
            </w:pPr>
            <w:r>
              <w:rPr>
                <w:sz w:val="21"/>
              </w:rPr>
              <w:t>型</w:t>
            </w:r>
            <w:r>
              <w:rPr>
                <w:spacing w:val="-3"/>
                <w:sz w:val="21"/>
              </w:rPr>
              <w:t>（</w:t>
            </w:r>
            <w:r>
              <w:rPr>
                <w:sz w:val="21"/>
              </w:rPr>
              <w:t>微</w:t>
            </w:r>
            <w:r>
              <w:rPr>
                <w:spacing w:val="-3"/>
                <w:sz w:val="21"/>
              </w:rPr>
              <w:t>小</w:t>
            </w:r>
            <w:r>
              <w:rPr>
                <w:sz w:val="21"/>
              </w:rPr>
              <w:t>病</w:t>
            </w:r>
            <w:r>
              <w:rPr>
                <w:spacing w:val="-3"/>
                <w:sz w:val="21"/>
              </w:rPr>
              <w:t>变</w:t>
            </w:r>
            <w:r>
              <w:rPr>
                <w:sz w:val="21"/>
              </w:rPr>
              <w:t>型）</w:t>
              <w:tab/>
            </w:r>
            <w:r>
              <w:rPr>
                <w:spacing w:val="-3"/>
                <w:sz w:val="21"/>
              </w:rPr>
              <w:t>镜</w:t>
            </w:r>
            <w:r>
              <w:rPr>
                <w:sz w:val="21"/>
              </w:rPr>
              <w:t>下</w:t>
            </w:r>
            <w:r>
              <w:rPr>
                <w:spacing w:val="-3"/>
                <w:sz w:val="21"/>
              </w:rPr>
              <w:t>阴</w:t>
            </w:r>
            <w:r>
              <w:rPr>
                <w:sz w:val="21"/>
              </w:rPr>
              <w:t>性</w:t>
            </w:r>
            <w:r>
              <w:rPr>
                <w:spacing w:val="-3"/>
                <w:sz w:val="21"/>
              </w:rPr>
              <w:t>，</w:t>
            </w:r>
            <w:r>
              <w:rPr>
                <w:sz w:val="21"/>
              </w:rPr>
              <w:t>尿</w:t>
            </w:r>
            <w:r>
              <w:rPr>
                <w:spacing w:val="-3"/>
                <w:sz w:val="21"/>
              </w:rPr>
              <w:t>液</w:t>
            </w:r>
            <w:r>
              <w:rPr>
                <w:sz w:val="21"/>
              </w:rPr>
              <w:t>正常</w:t>
            </w:r>
          </w:p>
          <w:p>
            <w:pPr>
              <w:pStyle w:val="TableParagraph"/>
              <w:numPr>
                <w:ilvl w:val="0"/>
                <w:numId w:val="2"/>
              </w:numPr>
              <w:tabs>
                <w:tab w:pos="599" w:val="left" w:leader="none"/>
                <w:tab w:pos="3118" w:val="left" w:leader="none"/>
              </w:tabs>
              <w:spacing w:line="240" w:lineRule="auto" w:before="37" w:after="0"/>
              <w:ind w:left="598" w:right="0" w:hanging="265"/>
              <w:jc w:val="left"/>
              <w:rPr>
                <w:sz w:val="21"/>
              </w:rPr>
            </w:pPr>
            <w:r>
              <w:rPr>
                <w:spacing w:val="-3"/>
                <w:sz w:val="21"/>
              </w:rPr>
              <w:t>型</w:t>
            </w:r>
            <w:r>
              <w:rPr>
                <w:sz w:val="21"/>
              </w:rPr>
              <w:t>（</w:t>
            </w:r>
            <w:r>
              <w:rPr>
                <w:spacing w:val="-3"/>
                <w:sz w:val="21"/>
              </w:rPr>
              <w:t>系</w:t>
            </w:r>
            <w:r>
              <w:rPr>
                <w:sz w:val="21"/>
              </w:rPr>
              <w:t>膜</w:t>
            </w:r>
            <w:r>
              <w:rPr>
                <w:spacing w:val="-3"/>
                <w:sz w:val="21"/>
              </w:rPr>
              <w:t>病</w:t>
            </w:r>
            <w:r>
              <w:rPr>
                <w:sz w:val="21"/>
              </w:rPr>
              <w:t>变</w:t>
            </w:r>
            <w:r>
              <w:rPr>
                <w:spacing w:val="-3"/>
                <w:sz w:val="21"/>
              </w:rPr>
              <w:t>型</w:t>
            </w:r>
            <w:r>
              <w:rPr>
                <w:sz w:val="21"/>
              </w:rPr>
              <w:t>）</w:t>
              <w:tab/>
            </w:r>
            <w:r>
              <w:rPr>
                <w:spacing w:val="-3"/>
                <w:sz w:val="21"/>
              </w:rPr>
              <w:t>中</w:t>
            </w:r>
            <w:r>
              <w:rPr>
                <w:sz w:val="21"/>
              </w:rPr>
              <w:t>度</w:t>
            </w:r>
            <w:r>
              <w:rPr>
                <w:spacing w:val="-3"/>
                <w:sz w:val="21"/>
              </w:rPr>
              <w:t>蛋</w:t>
            </w:r>
            <w:r>
              <w:rPr>
                <w:sz w:val="21"/>
              </w:rPr>
              <w:t>白</w:t>
            </w:r>
            <w:r>
              <w:rPr>
                <w:spacing w:val="-3"/>
                <w:sz w:val="21"/>
              </w:rPr>
              <w:t>尿</w:t>
            </w:r>
            <w:r>
              <w:rPr>
                <w:sz w:val="21"/>
              </w:rPr>
              <w:t>，</w:t>
            </w:r>
            <w:r>
              <w:rPr>
                <w:spacing w:val="-3"/>
                <w:sz w:val="21"/>
              </w:rPr>
              <w:t>偶</w:t>
            </w:r>
            <w:r>
              <w:rPr>
                <w:sz w:val="21"/>
              </w:rPr>
              <w:t>有</w:t>
            </w:r>
            <w:r>
              <w:rPr>
                <w:spacing w:val="-3"/>
                <w:sz w:val="21"/>
              </w:rPr>
              <w:t>尿</w:t>
            </w:r>
            <w:r>
              <w:rPr>
                <w:sz w:val="21"/>
              </w:rPr>
              <w:t>沉渣</w:t>
            </w:r>
            <w:r>
              <w:rPr>
                <w:spacing w:val="-3"/>
                <w:sz w:val="21"/>
              </w:rPr>
              <w:t>改</w:t>
            </w:r>
            <w:r>
              <w:rPr>
                <w:sz w:val="21"/>
              </w:rPr>
              <w:t>变</w:t>
            </w:r>
          </w:p>
          <w:p>
            <w:pPr>
              <w:pStyle w:val="TableParagraph"/>
              <w:numPr>
                <w:ilvl w:val="0"/>
                <w:numId w:val="2"/>
              </w:numPr>
              <w:tabs>
                <w:tab w:pos="704" w:val="left" w:leader="none"/>
              </w:tabs>
              <w:spacing w:line="240" w:lineRule="auto" w:before="37" w:after="0"/>
              <w:ind w:left="703" w:right="0" w:hanging="370"/>
              <w:jc w:val="left"/>
              <w:rPr>
                <w:sz w:val="21"/>
              </w:rPr>
            </w:pPr>
            <w:r>
              <w:rPr>
                <w:spacing w:val="-3"/>
                <w:sz w:val="21"/>
              </w:rPr>
              <w:t>型</w:t>
            </w:r>
            <w:r>
              <w:rPr>
                <w:sz w:val="21"/>
              </w:rPr>
              <w:t>（</w:t>
            </w:r>
            <w:r>
              <w:rPr>
                <w:spacing w:val="-3"/>
                <w:sz w:val="21"/>
              </w:rPr>
              <w:t>局灶及节段增生型</w:t>
            </w:r>
            <w:r>
              <w:rPr>
                <w:sz w:val="21"/>
              </w:rPr>
              <w:t>）</w:t>
            </w:r>
            <w:r>
              <w:rPr>
                <w:spacing w:val="-2"/>
                <w:sz w:val="21"/>
              </w:rPr>
              <w:t> 蛋白尿，尿沉渣改变</w:t>
            </w:r>
          </w:p>
          <w:p>
            <w:pPr>
              <w:pStyle w:val="TableParagraph"/>
              <w:numPr>
                <w:ilvl w:val="0"/>
                <w:numId w:val="2"/>
              </w:numPr>
              <w:tabs>
                <w:tab w:pos="599" w:val="left" w:leader="none"/>
                <w:tab w:pos="3118" w:val="left" w:leader="none"/>
              </w:tabs>
              <w:spacing w:line="240" w:lineRule="auto" w:before="36" w:after="0"/>
              <w:ind w:left="598" w:right="0" w:hanging="265"/>
              <w:jc w:val="left"/>
              <w:rPr>
                <w:sz w:val="21"/>
              </w:rPr>
            </w:pPr>
            <w:r>
              <w:rPr>
                <w:spacing w:val="-3"/>
                <w:sz w:val="21"/>
              </w:rPr>
              <w:t>型</w:t>
            </w:r>
            <w:r>
              <w:rPr>
                <w:sz w:val="21"/>
              </w:rPr>
              <w:t>（</w:t>
            </w:r>
            <w:r>
              <w:rPr>
                <w:spacing w:val="-3"/>
                <w:sz w:val="21"/>
              </w:rPr>
              <w:t>弥</w:t>
            </w:r>
            <w:r>
              <w:rPr>
                <w:sz w:val="21"/>
              </w:rPr>
              <w:t>漫</w:t>
            </w:r>
            <w:r>
              <w:rPr>
                <w:spacing w:val="-3"/>
                <w:sz w:val="21"/>
              </w:rPr>
              <w:t>增</w:t>
            </w:r>
            <w:r>
              <w:rPr>
                <w:sz w:val="21"/>
              </w:rPr>
              <w:t>生</w:t>
            </w:r>
            <w:r>
              <w:rPr>
                <w:spacing w:val="-3"/>
                <w:sz w:val="21"/>
              </w:rPr>
              <w:t>型</w:t>
            </w:r>
            <w:r>
              <w:rPr>
                <w:sz w:val="21"/>
              </w:rPr>
              <w:t>）</w:t>
              <w:tab/>
            </w:r>
            <w:r>
              <w:rPr>
                <w:spacing w:val="-3"/>
                <w:sz w:val="21"/>
              </w:rPr>
              <w:t>急</w:t>
            </w:r>
            <w:r>
              <w:rPr>
                <w:sz w:val="21"/>
              </w:rPr>
              <w:t>性</w:t>
            </w:r>
            <w:r>
              <w:rPr>
                <w:spacing w:val="-3"/>
                <w:sz w:val="21"/>
              </w:rPr>
              <w:t>肾</w:t>
            </w:r>
            <w:r>
              <w:rPr>
                <w:sz w:val="21"/>
              </w:rPr>
              <w:t>炎</w:t>
            </w:r>
            <w:r>
              <w:rPr>
                <w:spacing w:val="-3"/>
                <w:sz w:val="21"/>
              </w:rPr>
              <w:t>伴</w:t>
            </w:r>
            <w:r>
              <w:rPr>
                <w:sz w:val="21"/>
              </w:rPr>
              <w:t>有</w:t>
            </w:r>
            <w:r>
              <w:rPr>
                <w:spacing w:val="-3"/>
                <w:sz w:val="21"/>
              </w:rPr>
              <w:t>尿</w:t>
            </w:r>
            <w:r>
              <w:rPr>
                <w:sz w:val="21"/>
              </w:rPr>
              <w:t>沉</w:t>
            </w:r>
            <w:r>
              <w:rPr>
                <w:spacing w:val="-3"/>
                <w:sz w:val="21"/>
              </w:rPr>
              <w:t>渣</w:t>
            </w:r>
            <w:r>
              <w:rPr>
                <w:sz w:val="21"/>
              </w:rPr>
              <w:t>改变</w:t>
            </w:r>
            <w:r>
              <w:rPr>
                <w:spacing w:val="-3"/>
                <w:sz w:val="21"/>
              </w:rPr>
              <w:t>及</w:t>
            </w:r>
            <w:r>
              <w:rPr>
                <w:sz w:val="21"/>
              </w:rPr>
              <w:t>/</w:t>
            </w:r>
            <w:r>
              <w:rPr>
                <w:spacing w:val="-3"/>
                <w:sz w:val="21"/>
              </w:rPr>
              <w:t>或</w:t>
            </w:r>
            <w:r>
              <w:rPr>
                <w:sz w:val="21"/>
              </w:rPr>
              <w:t>肾</w:t>
            </w:r>
            <w:r>
              <w:rPr>
                <w:spacing w:val="-3"/>
                <w:sz w:val="21"/>
              </w:rPr>
              <w:t>病</w:t>
            </w:r>
            <w:r>
              <w:rPr>
                <w:sz w:val="21"/>
              </w:rPr>
              <w:t>综</w:t>
            </w:r>
            <w:r>
              <w:rPr>
                <w:spacing w:val="-3"/>
                <w:sz w:val="21"/>
              </w:rPr>
              <w:t>合</w:t>
            </w:r>
            <w:r>
              <w:rPr>
                <w:sz w:val="21"/>
              </w:rPr>
              <w:t>征</w:t>
            </w:r>
          </w:p>
          <w:p>
            <w:pPr>
              <w:pStyle w:val="TableParagraph"/>
              <w:numPr>
                <w:ilvl w:val="0"/>
                <w:numId w:val="2"/>
              </w:numPr>
              <w:tabs>
                <w:tab w:pos="493" w:val="left" w:leader="none"/>
                <w:tab w:pos="3118" w:val="left" w:leader="none"/>
              </w:tabs>
              <w:spacing w:line="240" w:lineRule="auto" w:before="36" w:after="0"/>
              <w:ind w:left="492" w:right="0" w:hanging="159"/>
              <w:jc w:val="left"/>
              <w:rPr>
                <w:sz w:val="21"/>
              </w:rPr>
            </w:pPr>
            <w:r>
              <w:rPr>
                <w:sz w:val="21"/>
              </w:rPr>
              <w:t>型</w:t>
            </w:r>
            <w:r>
              <w:rPr>
                <w:spacing w:val="-3"/>
                <w:sz w:val="21"/>
              </w:rPr>
              <w:t>（</w:t>
            </w:r>
            <w:r>
              <w:rPr>
                <w:sz w:val="21"/>
              </w:rPr>
              <w:t>膜</w:t>
            </w:r>
            <w:r>
              <w:rPr>
                <w:spacing w:val="-3"/>
                <w:sz w:val="21"/>
              </w:rPr>
              <w:t>型</w:t>
            </w:r>
            <w:r>
              <w:rPr>
                <w:sz w:val="21"/>
              </w:rPr>
              <w:t>）</w:t>
              <w:tab/>
            </w:r>
            <w:r>
              <w:rPr>
                <w:spacing w:val="-3"/>
                <w:sz w:val="21"/>
              </w:rPr>
              <w:t>肾</w:t>
            </w:r>
            <w:r>
              <w:rPr>
                <w:sz w:val="21"/>
              </w:rPr>
              <w:t>病</w:t>
            </w:r>
            <w:r>
              <w:rPr>
                <w:spacing w:val="-3"/>
                <w:sz w:val="21"/>
              </w:rPr>
              <w:t>综</w:t>
            </w:r>
            <w:r>
              <w:rPr>
                <w:sz w:val="21"/>
              </w:rPr>
              <w:t>合</w:t>
            </w:r>
            <w:r>
              <w:rPr>
                <w:spacing w:val="-3"/>
                <w:sz w:val="21"/>
              </w:rPr>
              <w:t>征</w:t>
            </w:r>
            <w:r>
              <w:rPr>
                <w:sz w:val="21"/>
              </w:rPr>
              <w:t>或</w:t>
            </w:r>
            <w:r>
              <w:rPr>
                <w:spacing w:val="-3"/>
                <w:sz w:val="21"/>
              </w:rPr>
              <w:t>重</w:t>
            </w:r>
            <w:r>
              <w:rPr>
                <w:sz w:val="21"/>
              </w:rPr>
              <w:t>度</w:t>
            </w:r>
            <w:r>
              <w:rPr>
                <w:spacing w:val="-3"/>
                <w:sz w:val="21"/>
              </w:rPr>
              <w:t>蛋</w:t>
            </w:r>
            <w:r>
              <w:rPr>
                <w:sz w:val="21"/>
              </w:rPr>
              <w:t>白尿</w:t>
            </w:r>
          </w:p>
        </w:tc>
      </w:tr>
      <w:tr>
        <w:trPr>
          <w:trHeight w:val="5220" w:hRule="atLeast"/>
        </w:trPr>
        <w:tc>
          <w:tcPr>
            <w:tcW w:w="2007" w:type="dxa"/>
          </w:tcPr>
          <w:p>
            <w:pPr>
              <w:pStyle w:val="TableParagraph"/>
              <w:spacing w:line="204" w:lineRule="auto" w:before="67"/>
              <w:ind w:left="619" w:right="120" w:hanging="420"/>
              <w:jc w:val="both"/>
              <w:rPr>
                <w:rFonts w:ascii="Microsoft JhengHei" w:eastAsia="Microsoft JhengHei" w:hint="eastAsia"/>
                <w:b/>
                <w:sz w:val="21"/>
              </w:rPr>
            </w:pPr>
            <w:r>
              <w:rPr>
                <w:rFonts w:ascii="Microsoft JhengHei" w:eastAsia="Microsoft JhengHei" w:hint="eastAsia"/>
                <w:b/>
                <w:sz w:val="21"/>
              </w:rPr>
              <w:t>33. 因职业关系导致的人类免疫缺陷病毒</w:t>
            </w:r>
          </w:p>
          <w:p>
            <w:pPr>
              <w:pStyle w:val="TableParagraph"/>
              <w:spacing w:line="312" w:lineRule="exact"/>
              <w:ind w:left="619"/>
              <w:rPr>
                <w:rFonts w:ascii="Microsoft JhengHei" w:eastAsia="Microsoft JhengHei" w:hint="eastAsia"/>
                <w:b/>
                <w:sz w:val="21"/>
              </w:rPr>
            </w:pPr>
            <w:r>
              <w:rPr>
                <w:rFonts w:ascii="Microsoft JhengHei" w:eastAsia="Microsoft JhengHei" w:hint="eastAsia"/>
                <w:b/>
                <w:w w:val="95"/>
                <w:sz w:val="21"/>
              </w:rPr>
              <w:t>（HIV）感染</w:t>
            </w:r>
          </w:p>
        </w:tc>
        <w:tc>
          <w:tcPr>
            <w:tcW w:w="7747" w:type="dxa"/>
          </w:tcPr>
          <w:p>
            <w:pPr>
              <w:pStyle w:val="TableParagraph"/>
              <w:spacing w:line="273" w:lineRule="auto" w:before="98"/>
              <w:ind w:right="303"/>
              <w:rPr>
                <w:sz w:val="21"/>
              </w:rPr>
            </w:pPr>
            <w:r>
              <w:rPr>
                <w:spacing w:val="-5"/>
                <w:sz w:val="21"/>
              </w:rPr>
              <w:t>被保险人在其常规职业工作过程中遭遇外伤，或者职业需要处理血液或者其他体</w:t>
            </w:r>
            <w:r>
              <w:rPr>
                <w:spacing w:val="-4"/>
                <w:w w:val="100"/>
                <w:sz w:val="21"/>
              </w:rPr>
              <w:t>液时感染上人类免疫缺陷病毒</w:t>
            </w:r>
            <w:r>
              <w:rPr>
                <w:spacing w:val="-3"/>
                <w:w w:val="100"/>
                <w:sz w:val="21"/>
              </w:rPr>
              <w:t>（</w:t>
            </w:r>
            <w:r>
              <w:rPr>
                <w:w w:val="100"/>
                <w:sz w:val="21"/>
              </w:rPr>
              <w:t>HIV</w:t>
            </w:r>
            <w:r>
              <w:rPr>
                <w:spacing w:val="-108"/>
                <w:w w:val="100"/>
                <w:sz w:val="21"/>
              </w:rPr>
              <w:t>）。</w:t>
            </w:r>
          </w:p>
          <w:p>
            <w:pPr>
              <w:pStyle w:val="TableParagraph"/>
              <w:spacing w:before="7"/>
              <w:rPr>
                <w:sz w:val="21"/>
              </w:rPr>
            </w:pPr>
            <w:r>
              <w:rPr>
                <w:sz w:val="21"/>
              </w:rPr>
              <w:t>必须满足下列全部条件：</w:t>
            </w:r>
          </w:p>
          <w:p>
            <w:pPr>
              <w:pStyle w:val="TableParagraph"/>
              <w:spacing w:line="273" w:lineRule="auto" w:before="37"/>
              <w:ind w:left="648" w:right="310" w:hanging="527"/>
              <w:rPr>
                <w:sz w:val="21"/>
              </w:rPr>
            </w:pPr>
            <w:r>
              <w:rPr>
                <w:sz w:val="21"/>
              </w:rPr>
              <w:t>（1）感染必须是在被保险人正在从事其职业工作中发生，该职业必须属于以下列表内的职业；</w:t>
            </w:r>
          </w:p>
          <w:p>
            <w:pPr>
              <w:pStyle w:val="TableParagraph"/>
              <w:spacing w:before="7"/>
              <w:rPr>
                <w:sz w:val="21"/>
              </w:rPr>
            </w:pPr>
            <w:r>
              <w:rPr>
                <w:sz w:val="21"/>
              </w:rPr>
              <w:t>（2）血清转化必须出现在事故发生后的 6 个月以内；</w:t>
            </w:r>
          </w:p>
          <w:p>
            <w:pPr>
              <w:pStyle w:val="TableParagraph"/>
              <w:spacing w:line="273" w:lineRule="auto" w:before="36"/>
              <w:ind w:left="648" w:right="250" w:hanging="527"/>
              <w:rPr>
                <w:sz w:val="21"/>
              </w:rPr>
            </w:pPr>
            <w:r>
              <w:rPr>
                <w:sz w:val="21"/>
              </w:rPr>
              <w:t>（3）必须提供被保险人在所报事故发生后的 5 天以内进行的检查报告，该报告必须显示被保险人血液 HIV 病毒阴性和/或 HIV 抗体阴性；</w:t>
            </w:r>
          </w:p>
          <w:p>
            <w:pPr>
              <w:pStyle w:val="TableParagraph"/>
              <w:spacing w:line="273" w:lineRule="auto" w:before="7"/>
              <w:ind w:left="648" w:right="305" w:hanging="527"/>
              <w:rPr>
                <w:sz w:val="21"/>
              </w:rPr>
            </w:pPr>
            <w:r>
              <w:rPr>
                <w:spacing w:val="-13"/>
                <w:sz w:val="21"/>
              </w:rPr>
              <w:t>（4）</w:t>
            </w:r>
            <w:r>
              <w:rPr>
                <w:spacing w:val="-8"/>
                <w:sz w:val="21"/>
              </w:rPr>
              <w:t>必须在事故发生后的 </w:t>
            </w:r>
            <w:r>
              <w:rPr>
                <w:sz w:val="21"/>
              </w:rPr>
              <w:t>12</w:t>
            </w:r>
            <w:r>
              <w:rPr>
                <w:spacing w:val="-12"/>
                <w:sz w:val="21"/>
              </w:rPr>
              <w:t> 个月内证实被保险人体内存在 </w:t>
            </w:r>
            <w:r>
              <w:rPr>
                <w:sz w:val="21"/>
              </w:rPr>
              <w:t>HIV</w:t>
            </w:r>
            <w:r>
              <w:rPr>
                <w:spacing w:val="-18"/>
                <w:sz w:val="21"/>
              </w:rPr>
              <w:t> 病毒或者 </w:t>
            </w:r>
            <w:r>
              <w:rPr>
                <w:sz w:val="21"/>
              </w:rPr>
              <w:t>HIV</w:t>
            </w:r>
            <w:r>
              <w:rPr>
                <w:spacing w:val="-25"/>
                <w:sz w:val="21"/>
              </w:rPr>
              <w:t> 抗体。</w:t>
            </w:r>
          </w:p>
          <w:p>
            <w:pPr>
              <w:pStyle w:val="TableParagraph"/>
              <w:spacing w:line="284" w:lineRule="exact"/>
              <w:rPr>
                <w:b/>
                <w:i/>
                <w:sz w:val="22"/>
              </w:rPr>
            </w:pPr>
            <w:r>
              <w:rPr>
                <w:b/>
                <w:i/>
                <w:w w:val="95"/>
                <w:sz w:val="22"/>
              </w:rPr>
              <w:t>职业限制如下所示:</w:t>
            </w:r>
          </w:p>
          <w:p>
            <w:pPr>
              <w:pStyle w:val="TableParagraph"/>
              <w:tabs>
                <w:tab w:pos="2338" w:val="left" w:leader="none"/>
              </w:tabs>
              <w:spacing w:before="25"/>
              <w:rPr>
                <w:b/>
                <w:i/>
                <w:sz w:val="22"/>
              </w:rPr>
            </w:pPr>
            <w:r>
              <w:rPr>
                <w:b/>
                <w:i/>
                <w:sz w:val="22"/>
              </w:rPr>
              <w:t>医生和牙科医生</w:t>
              <w:tab/>
            </w:r>
            <w:r>
              <w:rPr>
                <w:b/>
                <w:i/>
                <w:spacing w:val="-3"/>
                <w:w w:val="95"/>
                <w:sz w:val="22"/>
              </w:rPr>
              <w:t>护士</w:t>
            </w:r>
          </w:p>
          <w:p>
            <w:pPr>
              <w:pStyle w:val="TableParagraph"/>
              <w:tabs>
                <w:tab w:pos="2338" w:val="left" w:leader="none"/>
              </w:tabs>
              <w:spacing w:before="24"/>
              <w:rPr>
                <w:b/>
                <w:i/>
                <w:sz w:val="22"/>
              </w:rPr>
            </w:pPr>
            <w:r>
              <w:rPr>
                <w:b/>
                <w:i/>
                <w:sz w:val="22"/>
              </w:rPr>
              <w:t>医院化验室工作人员</w:t>
              <w:tab/>
            </w:r>
            <w:r>
              <w:rPr>
                <w:b/>
                <w:i/>
                <w:spacing w:val="-3"/>
                <w:w w:val="95"/>
                <w:sz w:val="22"/>
              </w:rPr>
              <w:t>医</w:t>
            </w:r>
            <w:r>
              <w:rPr>
                <w:b/>
                <w:i/>
                <w:w w:val="95"/>
                <w:sz w:val="22"/>
              </w:rPr>
              <w:t>院护工</w:t>
            </w:r>
          </w:p>
          <w:p>
            <w:pPr>
              <w:pStyle w:val="TableParagraph"/>
              <w:tabs>
                <w:tab w:pos="2338" w:val="left" w:leader="none"/>
              </w:tabs>
              <w:spacing w:line="259" w:lineRule="auto" w:before="24"/>
              <w:ind w:right="3930"/>
              <w:rPr>
                <w:b/>
                <w:i/>
                <w:sz w:val="22"/>
              </w:rPr>
            </w:pPr>
            <w:r>
              <w:rPr>
                <w:b/>
                <w:i/>
                <w:sz w:val="22"/>
              </w:rPr>
              <w:t>医生助理和牙医助理</w:t>
              <w:tab/>
            </w:r>
            <w:r>
              <w:rPr>
                <w:b/>
                <w:i/>
                <w:spacing w:val="-3"/>
                <w:w w:val="95"/>
                <w:sz w:val="22"/>
              </w:rPr>
              <w:t>救</w:t>
            </w:r>
            <w:r>
              <w:rPr>
                <w:b/>
                <w:i/>
                <w:w w:val="95"/>
                <w:sz w:val="22"/>
              </w:rPr>
              <w:t>护车工作人员 </w:t>
            </w:r>
            <w:r>
              <w:rPr>
                <w:b/>
                <w:i/>
                <w:sz w:val="22"/>
              </w:rPr>
              <w:t>助产士</w:t>
              <w:tab/>
            </w:r>
            <w:r>
              <w:rPr>
                <w:b/>
                <w:i/>
                <w:spacing w:val="-3"/>
                <w:w w:val="95"/>
                <w:sz w:val="22"/>
              </w:rPr>
              <w:t>消</w:t>
            </w:r>
            <w:r>
              <w:rPr>
                <w:b/>
                <w:i/>
                <w:w w:val="95"/>
                <w:sz w:val="22"/>
              </w:rPr>
              <w:t>防队员</w:t>
            </w:r>
          </w:p>
          <w:p>
            <w:pPr>
              <w:pStyle w:val="TableParagraph"/>
              <w:tabs>
                <w:tab w:pos="2338" w:val="left" w:leader="none"/>
              </w:tabs>
              <w:spacing w:before="6"/>
              <w:rPr>
                <w:b/>
                <w:i/>
                <w:sz w:val="22"/>
              </w:rPr>
            </w:pPr>
            <w:r>
              <w:rPr>
                <w:b/>
                <w:i/>
                <w:sz w:val="22"/>
              </w:rPr>
              <w:t>警察</w:t>
              <w:tab/>
            </w:r>
            <w:r>
              <w:rPr>
                <w:b/>
                <w:i/>
                <w:spacing w:val="-3"/>
                <w:w w:val="95"/>
                <w:sz w:val="22"/>
              </w:rPr>
              <w:t>狱警</w:t>
            </w:r>
          </w:p>
        </w:tc>
      </w:tr>
      <w:tr>
        <w:trPr>
          <w:trHeight w:val="3347" w:hRule="atLeast"/>
        </w:trPr>
        <w:tc>
          <w:tcPr>
            <w:tcW w:w="2007" w:type="dxa"/>
          </w:tcPr>
          <w:p>
            <w:pPr>
              <w:pStyle w:val="TableParagraph"/>
              <w:spacing w:line="204" w:lineRule="auto" w:before="68"/>
              <w:ind w:left="619" w:right="120" w:hanging="420"/>
              <w:jc w:val="both"/>
              <w:rPr>
                <w:rFonts w:ascii="Microsoft JhengHei" w:eastAsia="Microsoft JhengHei" w:hint="eastAsia"/>
                <w:b/>
                <w:sz w:val="21"/>
              </w:rPr>
            </w:pPr>
            <w:r>
              <w:rPr>
                <w:rFonts w:ascii="Microsoft JhengHei" w:eastAsia="Microsoft JhengHei" w:hint="eastAsia"/>
                <w:b/>
                <w:sz w:val="21"/>
              </w:rPr>
              <w:t>34. 经输血导致的人类免疫缺陷病毒（HIV） 感染</w:t>
            </w:r>
          </w:p>
        </w:tc>
        <w:tc>
          <w:tcPr>
            <w:tcW w:w="7747" w:type="dxa"/>
          </w:tcPr>
          <w:p>
            <w:pPr>
              <w:pStyle w:val="TableParagraph"/>
              <w:spacing w:before="99"/>
              <w:rPr>
                <w:sz w:val="21"/>
              </w:rPr>
            </w:pPr>
            <w:r>
              <w:rPr>
                <w:sz w:val="21"/>
              </w:rPr>
              <w:t>被保险人感染上人类免疫缺陷病毒（HIV）并且满足下列全部条件：</w:t>
            </w:r>
          </w:p>
          <w:p>
            <w:pPr>
              <w:pStyle w:val="TableParagraph"/>
              <w:spacing w:before="37"/>
              <w:rPr>
                <w:sz w:val="21"/>
              </w:rPr>
            </w:pPr>
            <w:r>
              <w:rPr>
                <w:sz w:val="21"/>
              </w:rPr>
              <w:t>（1）在保障起始日或复效日之后，被保险人因输血而感染 HIV；</w:t>
            </w:r>
          </w:p>
          <w:p>
            <w:pPr>
              <w:pStyle w:val="TableParagraph"/>
              <w:spacing w:line="273" w:lineRule="auto" w:before="37"/>
              <w:ind w:left="648" w:right="144" w:hanging="527"/>
              <w:rPr>
                <w:sz w:val="21"/>
              </w:rPr>
            </w:pPr>
            <w:r>
              <w:rPr>
                <w:sz w:val="21"/>
              </w:rPr>
              <w:t>（2）提供输血治疗的输血中心或医院出具该项输血感染属医疗责任事故的报告， 或者法院终审裁定为医疗责任并且不准上诉；</w:t>
            </w:r>
          </w:p>
          <w:p>
            <w:pPr>
              <w:pStyle w:val="TableParagraph"/>
              <w:spacing w:before="8"/>
              <w:rPr>
                <w:sz w:val="21"/>
              </w:rPr>
            </w:pPr>
            <w:r>
              <w:rPr>
                <w:sz w:val="21"/>
              </w:rPr>
              <w:t>（3）受感染的被保险人不是血友病患者。</w:t>
            </w:r>
          </w:p>
          <w:p>
            <w:pPr>
              <w:pStyle w:val="TableParagraph"/>
              <w:spacing w:before="25"/>
              <w:rPr>
                <w:b/>
                <w:i/>
                <w:sz w:val="22"/>
              </w:rPr>
            </w:pPr>
            <w:r>
              <w:rPr>
                <w:b/>
                <w:i/>
                <w:w w:val="95"/>
                <w:sz w:val="22"/>
              </w:rPr>
              <w:t>在任何治愈艾滋病（AIDS）或阻止 HIV 病毒作用的疗法被发现以后，或能防止</w:t>
            </w:r>
          </w:p>
          <w:p>
            <w:pPr>
              <w:pStyle w:val="TableParagraph"/>
              <w:spacing w:before="24"/>
              <w:rPr>
                <w:b/>
                <w:i/>
                <w:sz w:val="22"/>
              </w:rPr>
            </w:pPr>
            <w:r>
              <w:rPr>
                <w:b/>
                <w:i/>
                <w:w w:val="95"/>
                <w:sz w:val="22"/>
              </w:rPr>
              <w:t>AIDS 发生的医疗方法被研究出来以后，本保障将不再予以赔付。</w:t>
            </w:r>
          </w:p>
          <w:p>
            <w:pPr>
              <w:pStyle w:val="TableParagraph"/>
              <w:spacing w:line="259" w:lineRule="auto" w:before="24"/>
              <w:ind w:right="305"/>
              <w:jc w:val="both"/>
              <w:rPr>
                <w:b/>
                <w:i/>
                <w:sz w:val="22"/>
              </w:rPr>
            </w:pPr>
            <w:r>
              <w:rPr>
                <w:b/>
                <w:i/>
                <w:spacing w:val="-3"/>
                <w:w w:val="95"/>
                <w:sz w:val="22"/>
              </w:rPr>
              <w:t>任何因其他传播方式</w:t>
            </w:r>
            <w:r>
              <w:rPr>
                <w:b/>
                <w:i/>
                <w:w w:val="95"/>
                <w:sz w:val="22"/>
              </w:rPr>
              <w:t>（</w:t>
            </w:r>
            <w:r>
              <w:rPr>
                <w:b/>
                <w:i/>
                <w:spacing w:val="-5"/>
                <w:w w:val="95"/>
                <w:sz w:val="22"/>
              </w:rPr>
              <w:t>包括：性传播或静脉注射毒品</w:t>
            </w:r>
            <w:r>
              <w:rPr>
                <w:b/>
                <w:i/>
                <w:spacing w:val="-22"/>
                <w:w w:val="95"/>
                <w:sz w:val="22"/>
              </w:rPr>
              <w:t>）</w:t>
            </w:r>
            <w:r>
              <w:rPr>
                <w:b/>
                <w:i/>
                <w:spacing w:val="-8"/>
                <w:w w:val="95"/>
                <w:sz w:val="22"/>
              </w:rPr>
              <w:t>导致的 </w:t>
            </w:r>
            <w:r>
              <w:rPr>
                <w:b/>
                <w:i/>
                <w:w w:val="95"/>
                <w:sz w:val="22"/>
              </w:rPr>
              <w:t>HIV</w:t>
            </w:r>
            <w:r>
              <w:rPr>
                <w:b/>
                <w:i/>
                <w:spacing w:val="-6"/>
                <w:w w:val="95"/>
                <w:sz w:val="22"/>
              </w:rPr>
              <w:t> 感染不在本保</w:t>
            </w:r>
            <w:r>
              <w:rPr>
                <w:b/>
                <w:i/>
                <w:spacing w:val="-11"/>
                <w:w w:val="95"/>
                <w:sz w:val="22"/>
              </w:rPr>
              <w:t>单保障范围内。保险公司必须拥有获得使用被保险人的所有血液样本的权利和能</w:t>
            </w:r>
            <w:r>
              <w:rPr>
                <w:b/>
                <w:i/>
                <w:spacing w:val="-10"/>
                <w:w w:val="95"/>
                <w:sz w:val="22"/>
              </w:rPr>
              <w:t>够对这些样本进行独立检验的权利。</w:t>
            </w:r>
          </w:p>
        </w:tc>
      </w:tr>
      <w:tr>
        <w:trPr>
          <w:trHeight w:val="377" w:hRule="atLeast"/>
        </w:trPr>
        <w:tc>
          <w:tcPr>
            <w:tcW w:w="2007" w:type="dxa"/>
          </w:tcPr>
          <w:p>
            <w:pPr>
              <w:pStyle w:val="TableParagraph"/>
              <w:spacing w:line="346" w:lineRule="exact" w:before="12"/>
              <w:ind w:left="200"/>
              <w:rPr>
                <w:rFonts w:ascii="Microsoft JhengHei" w:eastAsia="Microsoft JhengHei" w:hint="eastAsia"/>
                <w:b/>
                <w:sz w:val="21"/>
              </w:rPr>
            </w:pPr>
            <w:r>
              <w:rPr>
                <w:rFonts w:ascii="Microsoft JhengHei" w:eastAsia="Microsoft JhengHei" w:hint="eastAsia"/>
                <w:b/>
                <w:sz w:val="21"/>
              </w:rPr>
              <w:t>35.  严重克隆病</w:t>
            </w:r>
          </w:p>
        </w:tc>
        <w:tc>
          <w:tcPr>
            <w:tcW w:w="7747" w:type="dxa"/>
          </w:tcPr>
          <w:p>
            <w:pPr>
              <w:pStyle w:val="TableParagraph"/>
              <w:spacing w:line="260" w:lineRule="exact" w:before="98"/>
              <w:rPr>
                <w:sz w:val="21"/>
              </w:rPr>
            </w:pPr>
            <w:r>
              <w:rPr>
                <w:sz w:val="21"/>
              </w:rPr>
              <w:t>克隆病是一种慢性肉芽肿性肠炎，具有特征性的克隆病病理组织学变化。诊断必</w:t>
            </w:r>
          </w:p>
        </w:tc>
      </w:tr>
    </w:tbl>
    <w:p>
      <w:pPr>
        <w:spacing w:after="0" w:line="260" w:lineRule="exact"/>
        <w:rPr>
          <w:sz w:val="21"/>
        </w:rPr>
        <w:sectPr>
          <w:pgSz w:w="11910" w:h="16840"/>
          <w:pgMar w:header="0" w:footer="358" w:top="1160" w:bottom="540" w:left="1360" w:right="56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7"/>
        <w:gridCol w:w="7744"/>
      </w:tblGrid>
      <w:tr>
        <w:trPr>
          <w:trHeight w:val="685" w:hRule="atLeast"/>
        </w:trPr>
        <w:tc>
          <w:tcPr>
            <w:tcW w:w="2007" w:type="dxa"/>
          </w:tcPr>
          <w:p>
            <w:pPr>
              <w:pStyle w:val="TableParagraph"/>
              <w:ind w:left="0"/>
              <w:rPr>
                <w:rFonts w:ascii="Times New Roman"/>
                <w:sz w:val="20"/>
              </w:rPr>
            </w:pPr>
          </w:p>
        </w:tc>
        <w:tc>
          <w:tcPr>
            <w:tcW w:w="7744" w:type="dxa"/>
          </w:tcPr>
          <w:p>
            <w:pPr>
              <w:pStyle w:val="TableParagraph"/>
              <w:spacing w:line="211" w:lineRule="exact"/>
              <w:rPr>
                <w:sz w:val="21"/>
              </w:rPr>
            </w:pPr>
            <w:r>
              <w:rPr>
                <w:sz w:val="21"/>
              </w:rPr>
              <w:t>须由病理检查结果证实。</w:t>
            </w:r>
          </w:p>
          <w:p>
            <w:pPr>
              <w:pStyle w:val="TableParagraph"/>
              <w:spacing w:before="25"/>
              <w:rPr>
                <w:b/>
                <w:i/>
                <w:sz w:val="22"/>
              </w:rPr>
            </w:pPr>
            <w:r>
              <w:rPr>
                <w:b/>
                <w:i/>
                <w:w w:val="95"/>
                <w:sz w:val="22"/>
              </w:rPr>
              <w:t>被保险人所患的克隆病必须已经造成瘘管形成并伴有肠梗阻或肠穿孔。</w:t>
            </w:r>
          </w:p>
        </w:tc>
      </w:tr>
      <w:tr>
        <w:trPr>
          <w:trHeight w:val="1788" w:hRule="atLeast"/>
        </w:trPr>
        <w:tc>
          <w:tcPr>
            <w:tcW w:w="2007" w:type="dxa"/>
          </w:tcPr>
          <w:p>
            <w:pPr>
              <w:pStyle w:val="TableParagraph"/>
              <w:spacing w:line="204" w:lineRule="auto" w:before="72"/>
              <w:ind w:left="619" w:right="120" w:hanging="420"/>
              <w:rPr>
                <w:rFonts w:ascii="Microsoft JhengHei" w:eastAsia="Microsoft JhengHei" w:hint="eastAsia"/>
                <w:b/>
                <w:sz w:val="21"/>
              </w:rPr>
            </w:pPr>
            <w:r>
              <w:rPr>
                <w:rFonts w:ascii="Microsoft JhengHei" w:eastAsia="Microsoft JhengHei" w:hint="eastAsia"/>
                <w:b/>
                <w:sz w:val="21"/>
              </w:rPr>
              <w:t>36. 严重溃疡性结肠炎</w:t>
            </w:r>
          </w:p>
        </w:tc>
        <w:tc>
          <w:tcPr>
            <w:tcW w:w="7744" w:type="dxa"/>
          </w:tcPr>
          <w:p>
            <w:pPr>
              <w:pStyle w:val="TableParagraph"/>
              <w:spacing w:line="273" w:lineRule="auto" w:before="103"/>
              <w:ind w:right="305"/>
              <w:jc w:val="both"/>
              <w:rPr>
                <w:sz w:val="21"/>
              </w:rPr>
            </w:pPr>
            <w:r>
              <w:rPr>
                <w:sz w:val="21"/>
              </w:rPr>
              <w:t>本保障所指的严重溃疡性结肠炎是指伴有致命性电解质紊乱的急性暴发性溃疡</w:t>
            </w:r>
            <w:r>
              <w:rPr>
                <w:spacing w:val="-7"/>
                <w:sz w:val="21"/>
              </w:rPr>
              <w:t>性结肠炎，病变累及全结肠，表现为严重的血便和系统性症状体征，治疗通常采</w:t>
            </w:r>
            <w:r>
              <w:rPr>
                <w:spacing w:val="-5"/>
                <w:sz w:val="21"/>
              </w:rPr>
              <w:t>取全结肠切除和回肠造瘘术。</w:t>
            </w:r>
          </w:p>
          <w:p>
            <w:pPr>
              <w:pStyle w:val="TableParagraph"/>
              <w:spacing w:line="259" w:lineRule="auto"/>
              <w:ind w:right="306"/>
              <w:jc w:val="both"/>
              <w:rPr>
                <w:b/>
                <w:i/>
                <w:sz w:val="22"/>
              </w:rPr>
            </w:pPr>
            <w:r>
              <w:rPr>
                <w:b/>
                <w:i/>
                <w:spacing w:val="-7"/>
                <w:w w:val="95"/>
                <w:sz w:val="22"/>
              </w:rPr>
              <w:t>溃疡性结肠炎必须根据组织病理学特点诊断，并且被保险人已经接受了结肠切除和/或回肠造瘘术。</w:t>
            </w:r>
          </w:p>
        </w:tc>
      </w:tr>
      <w:tr>
        <w:trPr>
          <w:trHeight w:val="2722" w:hRule="atLeast"/>
        </w:trPr>
        <w:tc>
          <w:tcPr>
            <w:tcW w:w="2007" w:type="dxa"/>
          </w:tcPr>
          <w:p>
            <w:pPr>
              <w:pStyle w:val="TableParagraph"/>
              <w:spacing w:before="17"/>
              <w:ind w:left="200"/>
              <w:rPr>
                <w:rFonts w:ascii="Microsoft JhengHei" w:eastAsia="Microsoft JhengHei" w:hint="eastAsia"/>
                <w:b/>
                <w:sz w:val="21"/>
              </w:rPr>
            </w:pPr>
            <w:r>
              <w:rPr>
                <w:rFonts w:ascii="Microsoft JhengHei" w:eastAsia="Microsoft JhengHei" w:hint="eastAsia"/>
                <w:b/>
                <w:sz w:val="21"/>
              </w:rPr>
              <w:t>37. 1 型糖尿病</w:t>
            </w:r>
          </w:p>
        </w:tc>
        <w:tc>
          <w:tcPr>
            <w:tcW w:w="7744" w:type="dxa"/>
          </w:tcPr>
          <w:p>
            <w:pPr>
              <w:pStyle w:val="TableParagraph"/>
              <w:spacing w:line="273" w:lineRule="auto" w:before="103"/>
              <w:ind w:right="300"/>
              <w:jc w:val="both"/>
              <w:rPr>
                <w:sz w:val="21"/>
              </w:rPr>
            </w:pPr>
            <w:r>
              <w:rPr>
                <w:sz w:val="21"/>
              </w:rPr>
              <w:t>1型糖尿病的特征为由于胰岛素分泌绝对不足引起严重胰岛素缺乏导致慢性血糖升高，需要依赖外源性胰岛素进行机体的葡萄糖代谢和维持生命。被保险人的1 型糖尿病必须明确诊断，而且有血胰岛素测定及血C肽或尿C肽测定结果支持诊断，并且满足下列全部条件：</w:t>
            </w:r>
          </w:p>
          <w:p>
            <w:pPr>
              <w:pStyle w:val="TableParagraph"/>
              <w:spacing w:before="7"/>
              <w:jc w:val="both"/>
              <w:rPr>
                <w:sz w:val="21"/>
              </w:rPr>
            </w:pPr>
            <w:r>
              <w:rPr>
                <w:sz w:val="21"/>
              </w:rPr>
              <w:t>（1）已经持续性地接受外源性胰岛素注射治疗连续180天以上；</w:t>
            </w:r>
          </w:p>
          <w:p>
            <w:pPr>
              <w:pStyle w:val="TableParagraph"/>
              <w:spacing w:before="36"/>
              <w:jc w:val="both"/>
              <w:rPr>
                <w:sz w:val="21"/>
              </w:rPr>
            </w:pPr>
            <w:r>
              <w:rPr>
                <w:sz w:val="21"/>
              </w:rPr>
              <w:t>（2）因需要已经接受了下列治疗：</w:t>
            </w:r>
          </w:p>
          <w:p>
            <w:pPr>
              <w:pStyle w:val="TableParagraph"/>
              <w:spacing w:before="37"/>
              <w:ind w:left="648"/>
              <w:rPr>
                <w:sz w:val="21"/>
              </w:rPr>
            </w:pPr>
            <w:r>
              <w:rPr>
                <w:sz w:val="21"/>
              </w:rPr>
              <w:t>①因严重心律失常植入了心脏起搏器；或</w:t>
            </w:r>
          </w:p>
          <w:p>
            <w:pPr>
              <w:pStyle w:val="TableParagraph"/>
              <w:spacing w:before="37"/>
              <w:ind w:left="648"/>
              <w:rPr>
                <w:sz w:val="21"/>
              </w:rPr>
            </w:pPr>
            <w:r>
              <w:rPr>
                <w:sz w:val="21"/>
              </w:rPr>
              <w:t>②因坏疽自跖趾关节或以上切除了一趾或多趾。</w:t>
            </w:r>
          </w:p>
        </w:tc>
      </w:tr>
      <w:tr>
        <w:trPr>
          <w:trHeight w:val="1162" w:hRule="atLeast"/>
        </w:trPr>
        <w:tc>
          <w:tcPr>
            <w:tcW w:w="2007" w:type="dxa"/>
          </w:tcPr>
          <w:p>
            <w:pPr>
              <w:pStyle w:val="TableParagraph"/>
              <w:spacing w:before="16"/>
              <w:ind w:left="200"/>
              <w:rPr>
                <w:rFonts w:ascii="Microsoft JhengHei" w:eastAsia="Microsoft JhengHei" w:hint="eastAsia"/>
                <w:b/>
                <w:sz w:val="21"/>
              </w:rPr>
            </w:pPr>
            <w:r>
              <w:rPr>
                <w:rFonts w:ascii="Microsoft JhengHei" w:eastAsia="Microsoft JhengHei" w:hint="eastAsia"/>
                <w:b/>
                <w:sz w:val="21"/>
              </w:rPr>
              <w:t>38.  肺源性心脏病</w:t>
            </w:r>
          </w:p>
        </w:tc>
        <w:tc>
          <w:tcPr>
            <w:tcW w:w="7744" w:type="dxa"/>
          </w:tcPr>
          <w:p>
            <w:pPr>
              <w:pStyle w:val="TableParagraph"/>
              <w:spacing w:line="273" w:lineRule="auto" w:before="102"/>
              <w:ind w:right="264"/>
              <w:jc w:val="both"/>
              <w:rPr>
                <w:sz w:val="21"/>
              </w:rPr>
            </w:pPr>
            <w:r>
              <w:rPr>
                <w:sz w:val="21"/>
              </w:rPr>
              <w:t>指被保人因慢性肺部疾病导致慢性心功能损害造成永久不可逆性的心功能衰竭。心功能衰竭程度达到纽约心脏病学会的心功能分级标准之心功能IV级。被保险人永久不可逆性的体力活动能力受限，不能从事任何体力活动。</w:t>
            </w:r>
          </w:p>
        </w:tc>
      </w:tr>
      <w:tr>
        <w:trPr>
          <w:trHeight w:val="1475" w:hRule="atLeast"/>
        </w:trPr>
        <w:tc>
          <w:tcPr>
            <w:tcW w:w="2007" w:type="dxa"/>
          </w:tcPr>
          <w:p>
            <w:pPr>
              <w:pStyle w:val="TableParagraph"/>
              <w:spacing w:before="18"/>
              <w:ind w:left="200"/>
              <w:rPr>
                <w:rFonts w:ascii="Microsoft JhengHei" w:eastAsia="Microsoft JhengHei" w:hint="eastAsia"/>
                <w:b/>
                <w:sz w:val="21"/>
              </w:rPr>
            </w:pPr>
            <w:r>
              <w:rPr>
                <w:rFonts w:ascii="Microsoft JhengHei" w:eastAsia="Microsoft JhengHei" w:hint="eastAsia"/>
                <w:b/>
                <w:sz w:val="21"/>
              </w:rPr>
              <w:t>39.  植物人状态</w:t>
            </w:r>
          </w:p>
        </w:tc>
        <w:tc>
          <w:tcPr>
            <w:tcW w:w="7744" w:type="dxa"/>
          </w:tcPr>
          <w:p>
            <w:pPr>
              <w:pStyle w:val="TableParagraph"/>
              <w:spacing w:line="273" w:lineRule="auto" w:before="104"/>
              <w:ind w:right="300"/>
              <w:jc w:val="both"/>
              <w:rPr>
                <w:sz w:val="21"/>
              </w:rPr>
            </w:pPr>
            <w:r>
              <w:rPr>
                <w:sz w:val="21"/>
              </w:rPr>
              <w:t>植物人状态系指由于严重颅脑外伤造成大脑和/或脑干严重损害导致完全永久性</w:t>
            </w:r>
            <w:r>
              <w:rPr>
                <w:spacing w:val="-5"/>
                <w:sz w:val="21"/>
              </w:rPr>
              <w:t>的对自身和环境的意识丧失和中枢神经系统功能丧失，仅残存植物神经功能的疾</w:t>
            </w:r>
            <w:r>
              <w:rPr>
                <w:spacing w:val="-4"/>
                <w:sz w:val="21"/>
              </w:rPr>
              <w:t>病状态。植物人状态必须明确诊断并且具有严重颅脑外伤和脑损害的证据。</w:t>
            </w:r>
          </w:p>
          <w:p>
            <w:pPr>
              <w:pStyle w:val="TableParagraph"/>
              <w:spacing w:line="284" w:lineRule="exact"/>
              <w:jc w:val="both"/>
              <w:rPr>
                <w:b/>
                <w:i/>
                <w:sz w:val="22"/>
              </w:rPr>
            </w:pPr>
            <w:r>
              <w:rPr>
                <w:b/>
                <w:i/>
                <w:w w:val="95"/>
                <w:sz w:val="22"/>
              </w:rPr>
              <w:t>植物人状态必须持续 30 天以上方可申请理赔。</w:t>
            </w:r>
          </w:p>
        </w:tc>
      </w:tr>
      <w:tr>
        <w:trPr>
          <w:trHeight w:val="3346" w:hRule="atLeast"/>
        </w:trPr>
        <w:tc>
          <w:tcPr>
            <w:tcW w:w="2007" w:type="dxa"/>
          </w:tcPr>
          <w:p>
            <w:pPr>
              <w:pStyle w:val="TableParagraph"/>
              <w:spacing w:line="204" w:lineRule="auto" w:before="70"/>
              <w:ind w:left="619" w:right="120" w:hanging="420"/>
              <w:rPr>
                <w:rFonts w:ascii="Microsoft JhengHei" w:eastAsia="Microsoft JhengHei" w:hint="eastAsia"/>
                <w:b/>
                <w:sz w:val="21"/>
              </w:rPr>
            </w:pPr>
            <w:r>
              <w:rPr>
                <w:rFonts w:ascii="Microsoft JhengHei" w:eastAsia="Microsoft JhengHei" w:hint="eastAsia"/>
                <w:b/>
                <w:sz w:val="21"/>
              </w:rPr>
              <w:t>40. 严重类风湿性关节炎</w:t>
            </w:r>
          </w:p>
        </w:tc>
        <w:tc>
          <w:tcPr>
            <w:tcW w:w="7744" w:type="dxa"/>
          </w:tcPr>
          <w:p>
            <w:pPr>
              <w:pStyle w:val="TableParagraph"/>
              <w:spacing w:line="273" w:lineRule="auto" w:before="102"/>
              <w:ind w:right="197"/>
              <w:rPr>
                <w:sz w:val="21"/>
              </w:rPr>
            </w:pPr>
            <w:r>
              <w:rPr>
                <w:spacing w:val="-5"/>
                <w:sz w:val="21"/>
              </w:rPr>
              <w:t>类风湿性关节炎为广泛分布的慢性进行性多关节病变，表现为关节严重变形，侵</w:t>
            </w:r>
            <w:r>
              <w:rPr>
                <w:spacing w:val="-8"/>
                <w:sz w:val="21"/>
              </w:rPr>
              <w:t>犯至少三个主要关节或关节组【如：双手</w:t>
            </w:r>
            <w:r>
              <w:rPr>
                <w:spacing w:val="-3"/>
                <w:sz w:val="21"/>
              </w:rPr>
              <w:t>（多手指</w:t>
            </w:r>
            <w:r>
              <w:rPr>
                <w:spacing w:val="-22"/>
                <w:sz w:val="21"/>
              </w:rPr>
              <w:t>）</w:t>
            </w:r>
            <w:r>
              <w:rPr>
                <w:spacing w:val="-10"/>
                <w:sz w:val="21"/>
              </w:rPr>
              <w:t>关节、双足</w:t>
            </w:r>
            <w:r>
              <w:rPr>
                <w:sz w:val="21"/>
              </w:rPr>
              <w:t>（</w:t>
            </w:r>
            <w:r>
              <w:rPr>
                <w:spacing w:val="-3"/>
                <w:sz w:val="21"/>
              </w:rPr>
              <w:t>多足趾</w:t>
            </w:r>
            <w:r>
              <w:rPr>
                <w:spacing w:val="-22"/>
                <w:sz w:val="21"/>
              </w:rPr>
              <w:t>）</w:t>
            </w:r>
            <w:r>
              <w:rPr>
                <w:spacing w:val="-2"/>
                <w:sz w:val="21"/>
              </w:rPr>
              <w:t>关节、</w:t>
            </w:r>
            <w:r>
              <w:rPr>
                <w:spacing w:val="-9"/>
                <w:sz w:val="21"/>
              </w:rPr>
              <w:t>双腕关节、双膝关节和双髋关节】。类风湿性关节炎必须明确诊断并且已经达到类风湿性关节炎功能分级 </w:t>
            </w:r>
            <w:r>
              <w:rPr>
                <w:sz w:val="21"/>
              </w:rPr>
              <w:t>III</w:t>
            </w:r>
            <w:r>
              <w:rPr>
                <w:spacing w:val="-11"/>
                <w:sz w:val="21"/>
              </w:rPr>
              <w:t> 级以上的功能障碍</w:t>
            </w:r>
            <w:r>
              <w:rPr>
                <w:spacing w:val="-3"/>
                <w:sz w:val="21"/>
              </w:rPr>
              <w:t>（</w:t>
            </w:r>
            <w:r>
              <w:rPr>
                <w:spacing w:val="-5"/>
                <w:sz w:val="21"/>
              </w:rPr>
              <w:t>关节活动严重限制，不能完成</w:t>
            </w:r>
            <w:r>
              <w:rPr>
                <w:spacing w:val="-4"/>
                <w:sz w:val="21"/>
              </w:rPr>
              <w:t>大部分的日常工作和活动</w:t>
            </w:r>
            <w:r>
              <w:rPr>
                <w:sz w:val="21"/>
              </w:rPr>
              <w:t>）</w:t>
            </w:r>
            <w:r>
              <w:rPr>
                <w:spacing w:val="-3"/>
                <w:sz w:val="21"/>
              </w:rPr>
              <w:t>并且满足下列全部条件：</w:t>
            </w:r>
          </w:p>
          <w:p>
            <w:pPr>
              <w:pStyle w:val="TableParagraph"/>
              <w:spacing w:before="8"/>
              <w:rPr>
                <w:sz w:val="21"/>
              </w:rPr>
            </w:pPr>
            <w:r>
              <w:rPr>
                <w:sz w:val="21"/>
              </w:rPr>
              <w:t>（1）晨僵；</w:t>
            </w:r>
          </w:p>
          <w:p>
            <w:pPr>
              <w:pStyle w:val="TableParagraph"/>
              <w:spacing w:before="37"/>
              <w:rPr>
                <w:sz w:val="21"/>
              </w:rPr>
            </w:pPr>
            <w:r>
              <w:rPr>
                <w:sz w:val="21"/>
              </w:rPr>
              <w:t>（2）对称性关节炎；</w:t>
            </w:r>
          </w:p>
          <w:p>
            <w:pPr>
              <w:pStyle w:val="TableParagraph"/>
              <w:spacing w:before="37"/>
              <w:rPr>
                <w:sz w:val="21"/>
              </w:rPr>
            </w:pPr>
            <w:r>
              <w:rPr>
                <w:sz w:val="21"/>
              </w:rPr>
              <w:t>（3）类风湿性皮下结节；</w:t>
            </w:r>
          </w:p>
          <w:p>
            <w:pPr>
              <w:pStyle w:val="TableParagraph"/>
              <w:spacing w:before="37"/>
              <w:rPr>
                <w:sz w:val="21"/>
              </w:rPr>
            </w:pPr>
            <w:r>
              <w:rPr>
                <w:sz w:val="21"/>
              </w:rPr>
              <w:t>（4）类风湿因子滴度升高；</w:t>
            </w:r>
          </w:p>
          <w:p>
            <w:pPr>
              <w:pStyle w:val="TableParagraph"/>
              <w:spacing w:before="37"/>
              <w:rPr>
                <w:sz w:val="21"/>
              </w:rPr>
            </w:pPr>
            <w:r>
              <w:rPr>
                <w:sz w:val="21"/>
              </w:rPr>
              <w:t>（5）X 线显示严重的关节（软骨和骨）破坏和关节畸形。</w:t>
            </w:r>
          </w:p>
        </w:tc>
      </w:tr>
      <w:tr>
        <w:trPr>
          <w:trHeight w:val="2101" w:hRule="atLeast"/>
        </w:trPr>
        <w:tc>
          <w:tcPr>
            <w:tcW w:w="2007" w:type="dxa"/>
          </w:tcPr>
          <w:p>
            <w:pPr>
              <w:pStyle w:val="TableParagraph"/>
              <w:spacing w:line="204" w:lineRule="auto" w:before="72"/>
              <w:ind w:left="619" w:right="120" w:hanging="420"/>
              <w:jc w:val="both"/>
              <w:rPr>
                <w:rFonts w:ascii="Microsoft JhengHei" w:eastAsia="Microsoft JhengHei" w:hint="eastAsia"/>
                <w:b/>
                <w:sz w:val="21"/>
              </w:rPr>
            </w:pPr>
            <w:r>
              <w:rPr>
                <w:rFonts w:ascii="Microsoft JhengHei" w:eastAsia="Microsoft JhengHei" w:hint="eastAsia"/>
                <w:b/>
                <w:sz w:val="21"/>
              </w:rPr>
              <w:t>41. 非阿尔茨海默病所致严重痴呆</w:t>
            </w:r>
          </w:p>
        </w:tc>
        <w:tc>
          <w:tcPr>
            <w:tcW w:w="7744" w:type="dxa"/>
          </w:tcPr>
          <w:p>
            <w:pPr>
              <w:pStyle w:val="TableParagraph"/>
              <w:spacing w:line="273" w:lineRule="auto" w:before="104"/>
              <w:ind w:right="300"/>
              <w:jc w:val="both"/>
              <w:rPr>
                <w:sz w:val="21"/>
              </w:rPr>
            </w:pPr>
            <w:r>
              <w:rPr>
                <w:sz w:val="21"/>
              </w:rPr>
              <w:t>指因阿尔茨海默病以外的脑的器质性疾病造成脑功能衰竭导致永久不可逆性的</w:t>
            </w:r>
            <w:r>
              <w:rPr>
                <w:spacing w:val="-7"/>
                <w:sz w:val="21"/>
              </w:rPr>
              <w:t>严重痴呆，临床表现为明显的认知能力障碍、行为异常和社交能力减退。被保险</w:t>
            </w:r>
            <w:r>
              <w:rPr>
                <w:spacing w:val="-8"/>
                <w:sz w:val="21"/>
              </w:rPr>
              <w:t>人自主生活能力完全丧失，无法独立完成六项基本日常生活活动中的三项或三项以上，日常生活必须持续受到他人监护。导致痴呆的疾病必须明确诊断，并且由</w:t>
            </w:r>
            <w:r>
              <w:rPr>
                <w:spacing w:val="-5"/>
                <w:sz w:val="21"/>
              </w:rPr>
              <w:t>完整的临床、实验室和影像学检查结果证实。</w:t>
            </w:r>
          </w:p>
          <w:p>
            <w:pPr>
              <w:pStyle w:val="TableParagraph"/>
              <w:spacing w:line="284" w:lineRule="exact"/>
              <w:jc w:val="both"/>
              <w:rPr>
                <w:b/>
                <w:i/>
                <w:sz w:val="22"/>
              </w:rPr>
            </w:pPr>
            <w:r>
              <w:rPr>
                <w:b/>
                <w:i/>
                <w:w w:val="95"/>
                <w:sz w:val="22"/>
              </w:rPr>
              <w:t>神经官能症和精神疾病不在保障范围内。</w:t>
            </w:r>
          </w:p>
        </w:tc>
      </w:tr>
      <w:tr>
        <w:trPr>
          <w:trHeight w:val="1002" w:hRule="atLeast"/>
        </w:trPr>
        <w:tc>
          <w:tcPr>
            <w:tcW w:w="2007" w:type="dxa"/>
          </w:tcPr>
          <w:p>
            <w:pPr>
              <w:pStyle w:val="TableParagraph"/>
              <w:spacing w:line="204" w:lineRule="auto" w:before="72"/>
              <w:ind w:left="619" w:right="120" w:hanging="420"/>
              <w:rPr>
                <w:rFonts w:ascii="Microsoft JhengHei" w:eastAsia="Microsoft JhengHei" w:hint="eastAsia"/>
                <w:b/>
                <w:sz w:val="21"/>
              </w:rPr>
            </w:pPr>
            <w:r>
              <w:rPr>
                <w:rFonts w:ascii="Microsoft JhengHei" w:eastAsia="Microsoft JhengHei" w:hint="eastAsia"/>
                <w:b/>
                <w:sz w:val="21"/>
              </w:rPr>
              <w:t>42. 多处臂丛神经根性撕脱</w:t>
            </w:r>
          </w:p>
        </w:tc>
        <w:tc>
          <w:tcPr>
            <w:tcW w:w="7744" w:type="dxa"/>
          </w:tcPr>
          <w:p>
            <w:pPr>
              <w:pStyle w:val="TableParagraph"/>
              <w:spacing w:line="310" w:lineRule="atLeast" w:before="68"/>
              <w:ind w:right="300"/>
              <w:jc w:val="both"/>
              <w:rPr>
                <w:sz w:val="21"/>
              </w:rPr>
            </w:pPr>
            <w:r>
              <w:rPr>
                <w:spacing w:val="-5"/>
                <w:sz w:val="21"/>
              </w:rPr>
              <w:t>由于疾病或意外导致至少两根臂丛神经根性撕脱，所造成的手臂感觉功能与运动</w:t>
            </w:r>
            <w:r>
              <w:rPr>
                <w:spacing w:val="-7"/>
                <w:sz w:val="21"/>
              </w:rPr>
              <w:t>功能完全永久性丧失。该病须由医院专科医生明确诊断，并且有电生理检查结果证实。</w:t>
            </w:r>
          </w:p>
        </w:tc>
      </w:tr>
    </w:tbl>
    <w:p>
      <w:pPr>
        <w:spacing w:after="0" w:line="310" w:lineRule="atLeast"/>
        <w:jc w:val="both"/>
        <w:rPr>
          <w:sz w:val="21"/>
        </w:rPr>
        <w:sectPr>
          <w:pgSz w:w="11910" w:h="16840"/>
          <w:pgMar w:header="0" w:footer="358" w:top="1160" w:bottom="540" w:left="1360" w:right="56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2"/>
        <w:gridCol w:w="7731"/>
      </w:tblGrid>
      <w:tr>
        <w:trPr>
          <w:trHeight w:val="2252" w:hRule="atLeast"/>
        </w:trPr>
        <w:tc>
          <w:tcPr>
            <w:tcW w:w="2022" w:type="dxa"/>
          </w:tcPr>
          <w:p>
            <w:pPr>
              <w:pStyle w:val="TableParagraph"/>
              <w:spacing w:line="196" w:lineRule="exact"/>
              <w:ind w:left="200"/>
              <w:rPr>
                <w:rFonts w:ascii="Microsoft JhengHei" w:eastAsia="Microsoft JhengHei" w:hint="eastAsia"/>
                <w:b/>
                <w:sz w:val="21"/>
              </w:rPr>
            </w:pPr>
            <w:r>
              <w:rPr>
                <w:rFonts w:ascii="Microsoft JhengHei" w:eastAsia="Microsoft JhengHei" w:hint="eastAsia"/>
                <w:b/>
                <w:sz w:val="21"/>
              </w:rPr>
              <w:t>43.  严重哮喘（25</w:t>
            </w:r>
          </w:p>
          <w:p>
            <w:pPr>
              <w:pStyle w:val="TableParagraph"/>
              <w:spacing w:line="339" w:lineRule="exact"/>
              <w:ind w:left="619"/>
              <w:rPr>
                <w:rFonts w:ascii="Microsoft JhengHei" w:eastAsia="Microsoft JhengHei" w:hint="eastAsia"/>
                <w:b/>
                <w:sz w:val="21"/>
              </w:rPr>
            </w:pPr>
            <w:r>
              <w:rPr>
                <w:rFonts w:ascii="Microsoft JhengHei" w:eastAsia="Microsoft JhengHei" w:hint="eastAsia"/>
                <w:b/>
                <w:sz w:val="21"/>
              </w:rPr>
              <w:t>周岁前理赔）</w:t>
            </w:r>
          </w:p>
        </w:tc>
        <w:tc>
          <w:tcPr>
            <w:tcW w:w="7731" w:type="dxa"/>
          </w:tcPr>
          <w:p>
            <w:pPr>
              <w:pStyle w:val="TableParagraph"/>
              <w:spacing w:line="218" w:lineRule="exact"/>
              <w:ind w:left="107"/>
              <w:rPr>
                <w:sz w:val="21"/>
              </w:rPr>
            </w:pPr>
            <w:r>
              <w:rPr>
                <w:sz w:val="21"/>
              </w:rPr>
              <w:t>指一种反复发作的严重支气管阻塞性疾病，经我们认可的专科医生确诊，且必须</w:t>
            </w:r>
          </w:p>
          <w:p>
            <w:pPr>
              <w:pStyle w:val="TableParagraph"/>
              <w:spacing w:before="37"/>
              <w:ind w:left="107"/>
              <w:rPr>
                <w:sz w:val="21"/>
              </w:rPr>
            </w:pPr>
            <w:r>
              <w:rPr>
                <w:sz w:val="21"/>
              </w:rPr>
              <w:t>同时符合下列标准：</w:t>
            </w:r>
          </w:p>
          <w:p>
            <w:pPr>
              <w:pStyle w:val="TableParagraph"/>
              <w:spacing w:before="37"/>
              <w:ind w:left="107"/>
              <w:rPr>
                <w:sz w:val="21"/>
              </w:rPr>
            </w:pPr>
            <w:r>
              <w:rPr>
                <w:sz w:val="21"/>
              </w:rPr>
              <w:t>（1）过去两年中曾因哮喘持续状态住院治疗，并提供完整住院记录；</w:t>
            </w:r>
          </w:p>
          <w:p>
            <w:pPr>
              <w:pStyle w:val="TableParagraph"/>
              <w:spacing w:before="36"/>
              <w:ind w:left="107"/>
              <w:rPr>
                <w:sz w:val="21"/>
              </w:rPr>
            </w:pPr>
            <w:r>
              <w:rPr>
                <w:sz w:val="21"/>
              </w:rPr>
              <w:t>（2）因慢性过度换气导致胸廓畸形；</w:t>
            </w:r>
          </w:p>
          <w:p>
            <w:pPr>
              <w:pStyle w:val="TableParagraph"/>
              <w:spacing w:before="36"/>
              <w:ind w:left="107"/>
              <w:rPr>
                <w:sz w:val="21"/>
              </w:rPr>
            </w:pPr>
            <w:r>
              <w:rPr>
                <w:sz w:val="21"/>
              </w:rPr>
              <w:t>（3）在家中需要医生处方的氧气治疗法；</w:t>
            </w:r>
          </w:p>
          <w:p>
            <w:pPr>
              <w:pStyle w:val="TableParagraph"/>
              <w:spacing w:before="36"/>
              <w:ind w:left="107"/>
              <w:rPr>
                <w:sz w:val="21"/>
              </w:rPr>
            </w:pPr>
            <w:r>
              <w:rPr>
                <w:sz w:val="21"/>
              </w:rPr>
              <w:t>（4）持续日常服用口服类固醇激素治疗持续至少六个月。</w:t>
            </w:r>
          </w:p>
          <w:p>
            <w:pPr>
              <w:pStyle w:val="TableParagraph"/>
              <w:spacing w:before="24"/>
              <w:ind w:left="107"/>
              <w:rPr>
                <w:b/>
                <w:i/>
                <w:sz w:val="22"/>
              </w:rPr>
            </w:pPr>
            <w:r>
              <w:rPr>
                <w:b/>
                <w:i/>
                <w:w w:val="95"/>
                <w:sz w:val="22"/>
              </w:rPr>
              <w:t>被保险人申请理赔时年龄必须在年满二十五周岁之前。</w:t>
            </w:r>
          </w:p>
        </w:tc>
      </w:tr>
      <w:tr>
        <w:trPr>
          <w:trHeight w:val="1475" w:hRule="atLeast"/>
        </w:trPr>
        <w:tc>
          <w:tcPr>
            <w:tcW w:w="2022" w:type="dxa"/>
          </w:tcPr>
          <w:p>
            <w:pPr>
              <w:pStyle w:val="TableParagraph"/>
              <w:spacing w:before="17"/>
              <w:ind w:left="200"/>
              <w:rPr>
                <w:rFonts w:ascii="Microsoft JhengHei" w:eastAsia="Microsoft JhengHei" w:hint="eastAsia"/>
                <w:b/>
                <w:sz w:val="21"/>
              </w:rPr>
            </w:pPr>
            <w:r>
              <w:rPr>
                <w:rFonts w:ascii="Microsoft JhengHei" w:eastAsia="Microsoft JhengHei" w:hint="eastAsia"/>
                <w:b/>
                <w:sz w:val="21"/>
              </w:rPr>
              <w:t>44.  严重川崎病</w:t>
            </w:r>
          </w:p>
        </w:tc>
        <w:tc>
          <w:tcPr>
            <w:tcW w:w="7731" w:type="dxa"/>
          </w:tcPr>
          <w:p>
            <w:pPr>
              <w:pStyle w:val="TableParagraph"/>
              <w:spacing w:line="273" w:lineRule="auto" w:before="103"/>
              <w:ind w:left="107" w:right="302"/>
              <w:rPr>
                <w:sz w:val="21"/>
              </w:rPr>
            </w:pPr>
            <w:r>
              <w:rPr>
                <w:spacing w:val="-6"/>
                <w:sz w:val="21"/>
              </w:rPr>
              <w:t>是指原因不明的系统性血管炎，本病须经专科医师明确诊断，并须满足下列全部条件：</w:t>
            </w:r>
          </w:p>
          <w:p>
            <w:pPr>
              <w:pStyle w:val="TableParagraph"/>
              <w:spacing w:before="7"/>
              <w:ind w:left="107"/>
              <w:rPr>
                <w:sz w:val="21"/>
              </w:rPr>
            </w:pPr>
            <w:r>
              <w:rPr>
                <w:sz w:val="21"/>
              </w:rPr>
              <w:t>（1）超声心动图显示川崎病并发冠状动脉瘤或其他心血管异常；</w:t>
            </w:r>
          </w:p>
          <w:p>
            <w:pPr>
              <w:pStyle w:val="TableParagraph"/>
              <w:spacing w:before="36"/>
              <w:ind w:left="107"/>
              <w:rPr>
                <w:sz w:val="21"/>
              </w:rPr>
            </w:pPr>
            <w:r>
              <w:rPr>
                <w:sz w:val="21"/>
              </w:rPr>
              <w:t>（2）已接受了针对川崎病并发冠状动脉瘤或其他心血管异常所进行的手术治疗。</w:t>
            </w:r>
          </w:p>
        </w:tc>
      </w:tr>
      <w:tr>
        <w:trPr>
          <w:trHeight w:val="1787" w:hRule="atLeast"/>
        </w:trPr>
        <w:tc>
          <w:tcPr>
            <w:tcW w:w="2022" w:type="dxa"/>
          </w:tcPr>
          <w:p>
            <w:pPr>
              <w:pStyle w:val="TableParagraph"/>
              <w:spacing w:line="204" w:lineRule="auto" w:before="72"/>
              <w:ind w:left="619" w:right="135" w:hanging="420"/>
              <w:rPr>
                <w:rFonts w:ascii="Microsoft JhengHei" w:eastAsia="Microsoft JhengHei" w:hint="eastAsia"/>
                <w:b/>
                <w:sz w:val="21"/>
              </w:rPr>
            </w:pPr>
            <w:r>
              <w:rPr>
                <w:rFonts w:ascii="Microsoft JhengHei" w:eastAsia="Microsoft JhengHei" w:hint="eastAsia"/>
                <w:b/>
                <w:sz w:val="21"/>
              </w:rPr>
              <w:t>45. 严重的系统性硬皮病</w:t>
            </w:r>
          </w:p>
        </w:tc>
        <w:tc>
          <w:tcPr>
            <w:tcW w:w="7731" w:type="dxa"/>
          </w:tcPr>
          <w:p>
            <w:pPr>
              <w:pStyle w:val="TableParagraph"/>
              <w:spacing w:line="273" w:lineRule="auto" w:before="104"/>
              <w:ind w:left="107" w:right="258"/>
              <w:rPr>
                <w:sz w:val="21"/>
              </w:rPr>
            </w:pPr>
            <w:r>
              <w:rPr>
                <w:sz w:val="21"/>
              </w:rPr>
              <w:t>指一种以局限性或弥漫性皮肤增厚和皮肤、血管、内脏器官异常纤维化为特征的结缔组织病。本病须经专科医师明确诊断，并须满足下列至少一项条件：</w:t>
            </w:r>
          </w:p>
          <w:p>
            <w:pPr>
              <w:pStyle w:val="TableParagraph"/>
              <w:spacing w:before="8"/>
              <w:ind w:left="107"/>
              <w:rPr>
                <w:sz w:val="21"/>
              </w:rPr>
            </w:pPr>
            <w:r>
              <w:rPr>
                <w:sz w:val="21"/>
              </w:rPr>
              <w:t>（1）肺脏：肺部病变进而发展为肺间质纤维化和肺动脉高压；</w:t>
            </w:r>
          </w:p>
          <w:p>
            <w:pPr>
              <w:pStyle w:val="TableParagraph"/>
              <w:spacing w:before="36"/>
              <w:ind w:left="107"/>
              <w:rPr>
                <w:sz w:val="21"/>
              </w:rPr>
            </w:pPr>
            <w:r>
              <w:rPr>
                <w:sz w:val="21"/>
              </w:rPr>
              <w:t>（2）心脏：心功能受损达到纽约心脏病学会的心功能分级标准之心功能 IV 级；</w:t>
            </w:r>
          </w:p>
          <w:p>
            <w:pPr>
              <w:pStyle w:val="TableParagraph"/>
              <w:spacing w:before="36"/>
              <w:ind w:left="107"/>
              <w:rPr>
                <w:sz w:val="21"/>
              </w:rPr>
            </w:pPr>
            <w:r>
              <w:rPr>
                <w:sz w:val="21"/>
              </w:rPr>
              <w:t>（3）肾脏：肾脏受损导致双肾功能慢性不可逆衰竭，达到尿毒症期。</w:t>
            </w:r>
          </w:p>
        </w:tc>
      </w:tr>
      <w:tr>
        <w:trPr>
          <w:trHeight w:val="1162" w:hRule="atLeast"/>
        </w:trPr>
        <w:tc>
          <w:tcPr>
            <w:tcW w:w="2022" w:type="dxa"/>
          </w:tcPr>
          <w:p>
            <w:pPr>
              <w:pStyle w:val="TableParagraph"/>
              <w:spacing w:line="204" w:lineRule="auto" w:before="71"/>
              <w:ind w:left="619" w:right="135" w:hanging="420"/>
              <w:rPr>
                <w:rFonts w:ascii="Microsoft JhengHei" w:eastAsia="Microsoft JhengHei" w:hint="eastAsia"/>
                <w:b/>
                <w:sz w:val="21"/>
              </w:rPr>
            </w:pPr>
            <w:r>
              <w:rPr>
                <w:rFonts w:ascii="Microsoft JhengHei" w:eastAsia="Microsoft JhengHei" w:hint="eastAsia"/>
                <w:b/>
                <w:sz w:val="21"/>
              </w:rPr>
              <w:t>46. 丝虫病所致象皮肿</w:t>
            </w:r>
          </w:p>
        </w:tc>
        <w:tc>
          <w:tcPr>
            <w:tcW w:w="7731" w:type="dxa"/>
          </w:tcPr>
          <w:p>
            <w:pPr>
              <w:pStyle w:val="TableParagraph"/>
              <w:spacing w:line="273" w:lineRule="auto" w:before="102"/>
              <w:ind w:left="107" w:right="302"/>
              <w:jc w:val="both"/>
              <w:rPr>
                <w:sz w:val="21"/>
              </w:rPr>
            </w:pPr>
            <w:r>
              <w:rPr>
                <w:spacing w:val="-5"/>
                <w:sz w:val="21"/>
              </w:rPr>
              <w:t>指因丝虫感染导致淋巴阻塞性出现严重淋巴水肿，达到国际淋巴学会淋巴肿分期</w:t>
            </w:r>
            <w:r>
              <w:rPr>
                <w:spacing w:val="-21"/>
                <w:sz w:val="21"/>
              </w:rPr>
              <w:t>第 </w:t>
            </w:r>
            <w:r>
              <w:rPr>
                <w:sz w:val="21"/>
              </w:rPr>
              <w:t>III</w:t>
            </w:r>
            <w:r>
              <w:rPr>
                <w:spacing w:val="-10"/>
                <w:sz w:val="21"/>
              </w:rPr>
              <w:t> 期，临床表现为肢体象皮肿，患肢较键肢增粗 </w:t>
            </w:r>
            <w:r>
              <w:rPr>
                <w:sz w:val="21"/>
              </w:rPr>
              <w:t>30</w:t>
            </w:r>
            <w:r>
              <w:rPr>
                <w:spacing w:val="-3"/>
                <w:sz w:val="21"/>
              </w:rPr>
              <w:t>%以上，日常生活不能自理。此病症须经专科医生根据临床表现和微丝蚴的化验结果确诊。</w:t>
            </w:r>
          </w:p>
        </w:tc>
      </w:tr>
      <w:tr>
        <w:trPr>
          <w:trHeight w:val="851" w:hRule="atLeast"/>
        </w:trPr>
        <w:tc>
          <w:tcPr>
            <w:tcW w:w="2022" w:type="dxa"/>
          </w:tcPr>
          <w:p>
            <w:pPr>
              <w:pStyle w:val="TableParagraph"/>
              <w:spacing w:before="18"/>
              <w:ind w:left="200"/>
              <w:rPr>
                <w:rFonts w:ascii="Microsoft JhengHei" w:eastAsia="Microsoft JhengHei" w:hint="eastAsia"/>
                <w:b/>
                <w:sz w:val="21"/>
              </w:rPr>
            </w:pPr>
            <w:r>
              <w:rPr>
                <w:rFonts w:ascii="Microsoft JhengHei" w:eastAsia="Microsoft JhengHei" w:hint="eastAsia"/>
                <w:b/>
                <w:sz w:val="21"/>
              </w:rPr>
              <w:t>47.  胰腺移植</w:t>
            </w:r>
          </w:p>
        </w:tc>
        <w:tc>
          <w:tcPr>
            <w:tcW w:w="7731" w:type="dxa"/>
          </w:tcPr>
          <w:p>
            <w:pPr>
              <w:pStyle w:val="TableParagraph"/>
              <w:spacing w:before="104"/>
              <w:ind w:left="107"/>
              <w:rPr>
                <w:sz w:val="21"/>
              </w:rPr>
            </w:pPr>
            <w:r>
              <w:rPr>
                <w:sz w:val="21"/>
              </w:rPr>
              <w:t>指因胰腺功能衰竭，已经实施了在全身麻醉下进行的胰腺的异体器官移植手术。</w:t>
            </w:r>
          </w:p>
          <w:p>
            <w:pPr>
              <w:pStyle w:val="TableParagraph"/>
              <w:spacing w:before="25"/>
              <w:ind w:left="107"/>
              <w:rPr>
                <w:b/>
                <w:i/>
                <w:sz w:val="22"/>
              </w:rPr>
            </w:pPr>
            <w:r>
              <w:rPr>
                <w:b/>
                <w:i/>
                <w:w w:val="95"/>
                <w:sz w:val="22"/>
              </w:rPr>
              <w:t>单纯胰岛移植、部分胰腺组织或细胞的移植不在本保障范围之内。</w:t>
            </w:r>
          </w:p>
        </w:tc>
      </w:tr>
      <w:tr>
        <w:trPr>
          <w:trHeight w:val="1163" w:hRule="atLeast"/>
        </w:trPr>
        <w:tc>
          <w:tcPr>
            <w:tcW w:w="2022" w:type="dxa"/>
          </w:tcPr>
          <w:p>
            <w:pPr>
              <w:pStyle w:val="TableParagraph"/>
              <w:spacing w:line="204" w:lineRule="auto" w:before="70"/>
              <w:ind w:left="619" w:right="135" w:hanging="420"/>
              <w:rPr>
                <w:rFonts w:ascii="Microsoft JhengHei" w:eastAsia="Microsoft JhengHei" w:hint="eastAsia"/>
                <w:b/>
                <w:sz w:val="21"/>
              </w:rPr>
            </w:pPr>
            <w:r>
              <w:rPr>
                <w:rFonts w:ascii="Microsoft JhengHei" w:eastAsia="Microsoft JhengHei" w:hint="eastAsia"/>
                <w:b/>
                <w:sz w:val="21"/>
              </w:rPr>
              <w:t>48. 急性坏死胰腺炎开腹手术</w:t>
            </w:r>
          </w:p>
        </w:tc>
        <w:tc>
          <w:tcPr>
            <w:tcW w:w="7731" w:type="dxa"/>
          </w:tcPr>
          <w:p>
            <w:pPr>
              <w:pStyle w:val="TableParagraph"/>
              <w:spacing w:line="273" w:lineRule="auto" w:before="102"/>
              <w:ind w:left="107" w:right="302"/>
              <w:rPr>
                <w:sz w:val="21"/>
              </w:rPr>
            </w:pPr>
            <w:r>
              <w:rPr>
                <w:spacing w:val="-6"/>
                <w:sz w:val="21"/>
              </w:rPr>
              <w:t>指为治疗急性坏死性胰腺炎，实际实施了开腹进行的坏死组织清除术、病灶切除</w:t>
            </w:r>
            <w:r>
              <w:rPr>
                <w:spacing w:val="-4"/>
                <w:sz w:val="21"/>
              </w:rPr>
              <w:t>术或胰腺部分切除术。</w:t>
            </w:r>
          </w:p>
          <w:p>
            <w:pPr>
              <w:pStyle w:val="TableParagraph"/>
              <w:spacing w:line="284" w:lineRule="exact"/>
              <w:ind w:left="107"/>
              <w:rPr>
                <w:b/>
                <w:i/>
                <w:sz w:val="22"/>
              </w:rPr>
            </w:pPr>
            <w:r>
              <w:rPr>
                <w:b/>
                <w:i/>
                <w:w w:val="95"/>
                <w:sz w:val="22"/>
              </w:rPr>
              <w:t>因酒精作用所致的急性胰腺炎不在保障范围内。</w:t>
            </w:r>
          </w:p>
        </w:tc>
      </w:tr>
      <w:tr>
        <w:trPr>
          <w:trHeight w:val="2100" w:hRule="atLeast"/>
        </w:trPr>
        <w:tc>
          <w:tcPr>
            <w:tcW w:w="2022" w:type="dxa"/>
          </w:tcPr>
          <w:p>
            <w:pPr>
              <w:pStyle w:val="TableParagraph"/>
              <w:spacing w:line="204" w:lineRule="auto" w:before="72"/>
              <w:ind w:left="619" w:right="135" w:hanging="420"/>
              <w:rPr>
                <w:rFonts w:ascii="Microsoft JhengHei" w:eastAsia="Microsoft JhengHei" w:hint="eastAsia"/>
                <w:b/>
                <w:sz w:val="21"/>
              </w:rPr>
            </w:pPr>
            <w:r>
              <w:rPr>
                <w:rFonts w:ascii="Microsoft JhengHei" w:eastAsia="Microsoft JhengHei" w:hint="eastAsia"/>
                <w:b/>
                <w:sz w:val="21"/>
              </w:rPr>
              <w:t>49. 慢性复发性胰腺炎</w:t>
            </w:r>
          </w:p>
        </w:tc>
        <w:tc>
          <w:tcPr>
            <w:tcW w:w="7731" w:type="dxa"/>
          </w:tcPr>
          <w:p>
            <w:pPr>
              <w:pStyle w:val="TableParagraph"/>
              <w:spacing w:line="273" w:lineRule="auto" w:before="103"/>
              <w:ind w:left="107" w:right="201"/>
              <w:rPr>
                <w:sz w:val="21"/>
              </w:rPr>
            </w:pPr>
            <w:r>
              <w:rPr>
                <w:spacing w:val="-5"/>
                <w:sz w:val="21"/>
              </w:rPr>
              <w:t>指慢性反复发作的胰腺炎症导致胰腺的广泛纤维化、坏死、弥漫性钙化及假性囊</w:t>
            </w:r>
            <w:r>
              <w:rPr>
                <w:spacing w:val="-15"/>
                <w:sz w:val="21"/>
              </w:rPr>
              <w:t>肿形成，造成胰腺功能障碍出现严重糖尿病和营养不良。必须满足以下所有条件：</w:t>
            </w:r>
          </w:p>
          <w:p>
            <w:pPr>
              <w:pStyle w:val="TableParagraph"/>
              <w:spacing w:line="273" w:lineRule="auto" w:before="7"/>
              <w:ind w:left="633" w:right="250" w:hanging="527"/>
              <w:rPr>
                <w:sz w:val="21"/>
              </w:rPr>
            </w:pPr>
            <w:r>
              <w:rPr>
                <w:sz w:val="21"/>
              </w:rPr>
              <w:t>（1）CT 显示胰腺广泛钙化或逆行胰胆管造影（ERCP）显示胰管扭曲、扩张和狭窄；</w:t>
            </w:r>
          </w:p>
          <w:p>
            <w:pPr>
              <w:pStyle w:val="TableParagraph"/>
              <w:spacing w:before="7"/>
              <w:ind w:left="107"/>
              <w:rPr>
                <w:sz w:val="21"/>
              </w:rPr>
            </w:pPr>
            <w:r>
              <w:rPr>
                <w:sz w:val="21"/>
              </w:rPr>
              <w:t>（2）接受胰岛素替代治疗和酶替代治疗 180 天以上。</w:t>
            </w:r>
          </w:p>
          <w:p>
            <w:pPr>
              <w:pStyle w:val="TableParagraph"/>
              <w:spacing w:before="25"/>
              <w:ind w:left="107"/>
              <w:rPr>
                <w:b/>
                <w:i/>
                <w:sz w:val="22"/>
              </w:rPr>
            </w:pPr>
            <w:r>
              <w:rPr>
                <w:b/>
                <w:i/>
                <w:w w:val="95"/>
                <w:sz w:val="22"/>
              </w:rPr>
              <w:t>酒精导致的慢性复发性胰腺炎不在本保障范围内。</w:t>
            </w:r>
          </w:p>
        </w:tc>
      </w:tr>
      <w:tr>
        <w:trPr>
          <w:trHeight w:val="1787" w:hRule="atLeast"/>
        </w:trPr>
        <w:tc>
          <w:tcPr>
            <w:tcW w:w="2022" w:type="dxa"/>
          </w:tcPr>
          <w:p>
            <w:pPr>
              <w:pStyle w:val="TableParagraph"/>
              <w:spacing w:before="17"/>
              <w:ind w:left="200"/>
              <w:rPr>
                <w:rFonts w:ascii="Microsoft JhengHei" w:eastAsia="Microsoft JhengHei" w:hint="eastAsia"/>
                <w:b/>
                <w:sz w:val="21"/>
              </w:rPr>
            </w:pPr>
            <w:r>
              <w:rPr>
                <w:rFonts w:ascii="Microsoft JhengHei" w:eastAsia="Microsoft JhengHei" w:hint="eastAsia"/>
                <w:b/>
                <w:sz w:val="21"/>
              </w:rPr>
              <w:t>50.  疯牛病</w:t>
            </w:r>
          </w:p>
        </w:tc>
        <w:tc>
          <w:tcPr>
            <w:tcW w:w="7731" w:type="dxa"/>
          </w:tcPr>
          <w:p>
            <w:pPr>
              <w:pStyle w:val="TableParagraph"/>
              <w:spacing w:line="273" w:lineRule="auto" w:before="103"/>
              <w:ind w:left="107" w:right="302"/>
              <w:jc w:val="both"/>
              <w:rPr>
                <w:sz w:val="21"/>
              </w:rPr>
            </w:pPr>
            <w:r>
              <w:rPr>
                <w:spacing w:val="-6"/>
                <w:sz w:val="21"/>
              </w:rPr>
              <w:t>是一种传染性海绵状脑病，临床表现为快速进行性痴呆、肌阵挛和特征性脑电图</w:t>
            </w:r>
            <w:r>
              <w:rPr>
                <w:spacing w:val="-9"/>
                <w:sz w:val="21"/>
              </w:rPr>
              <w:t>变化。本病须经三级医院的专科医生根据 </w:t>
            </w:r>
            <w:r>
              <w:rPr>
                <w:sz w:val="21"/>
              </w:rPr>
              <w:t>WHO</w:t>
            </w:r>
            <w:r>
              <w:rPr>
                <w:spacing w:val="-9"/>
                <w:sz w:val="21"/>
              </w:rPr>
              <w:t> 诊断标准明确诊断，并且被保险人自主生活能力完全丧失，无法独立完成六项基本日常生活活动中的三项或三项以上。</w:t>
            </w:r>
          </w:p>
          <w:p>
            <w:pPr>
              <w:pStyle w:val="TableParagraph"/>
              <w:spacing w:line="284" w:lineRule="exact"/>
              <w:ind w:left="107"/>
              <w:jc w:val="both"/>
              <w:rPr>
                <w:b/>
                <w:i/>
                <w:sz w:val="22"/>
              </w:rPr>
            </w:pPr>
            <w:r>
              <w:rPr>
                <w:b/>
                <w:i/>
                <w:w w:val="95"/>
                <w:sz w:val="22"/>
              </w:rPr>
              <w:t>疑似病例不在本保障范围内。</w:t>
            </w:r>
          </w:p>
        </w:tc>
      </w:tr>
      <w:tr>
        <w:trPr>
          <w:trHeight w:val="1473" w:hRule="atLeast"/>
        </w:trPr>
        <w:tc>
          <w:tcPr>
            <w:tcW w:w="2022" w:type="dxa"/>
          </w:tcPr>
          <w:p>
            <w:pPr>
              <w:pStyle w:val="TableParagraph"/>
              <w:spacing w:before="16"/>
              <w:ind w:left="200"/>
              <w:rPr>
                <w:rFonts w:ascii="Microsoft JhengHei" w:eastAsia="Microsoft JhengHei" w:hint="eastAsia"/>
                <w:b/>
                <w:sz w:val="21"/>
              </w:rPr>
            </w:pPr>
            <w:r>
              <w:rPr>
                <w:rFonts w:ascii="Microsoft JhengHei" w:eastAsia="Microsoft JhengHei" w:hint="eastAsia"/>
                <w:b/>
                <w:sz w:val="21"/>
              </w:rPr>
              <w:t>51.  肾髓质囊性病</w:t>
            </w:r>
          </w:p>
        </w:tc>
        <w:tc>
          <w:tcPr>
            <w:tcW w:w="7731" w:type="dxa"/>
          </w:tcPr>
          <w:p>
            <w:pPr>
              <w:pStyle w:val="TableParagraph"/>
              <w:spacing w:before="102"/>
              <w:ind w:left="107"/>
              <w:rPr>
                <w:sz w:val="21"/>
              </w:rPr>
            </w:pPr>
            <w:r>
              <w:rPr>
                <w:sz w:val="21"/>
              </w:rPr>
              <w:t>肾髓质囊性病的诊断须同时符合下列要求：</w:t>
            </w:r>
          </w:p>
          <w:p>
            <w:pPr>
              <w:pStyle w:val="TableParagraph"/>
              <w:spacing w:before="37"/>
              <w:ind w:left="107"/>
              <w:rPr>
                <w:sz w:val="21"/>
              </w:rPr>
            </w:pPr>
            <w:r>
              <w:rPr>
                <w:sz w:val="21"/>
              </w:rPr>
              <w:t>（1）肾髓质有囊肿、肾小管萎缩及间质纤维化等病理改变；</w:t>
            </w:r>
          </w:p>
          <w:p>
            <w:pPr>
              <w:pStyle w:val="TableParagraph"/>
              <w:spacing w:before="37"/>
              <w:ind w:left="107"/>
              <w:rPr>
                <w:sz w:val="21"/>
              </w:rPr>
            </w:pPr>
            <w:r>
              <w:rPr>
                <w:sz w:val="21"/>
              </w:rPr>
              <w:t>（2）肾功能衰竭；</w:t>
            </w:r>
          </w:p>
          <w:p>
            <w:pPr>
              <w:pStyle w:val="TableParagraph"/>
              <w:spacing w:before="37"/>
              <w:ind w:left="107"/>
              <w:rPr>
                <w:sz w:val="21"/>
              </w:rPr>
            </w:pPr>
            <w:r>
              <w:rPr>
                <w:sz w:val="21"/>
              </w:rPr>
              <w:t>（3）诊断须由肾组织活检确定。</w:t>
            </w:r>
          </w:p>
        </w:tc>
      </w:tr>
      <w:tr>
        <w:trPr>
          <w:trHeight w:val="379" w:hRule="atLeast"/>
        </w:trPr>
        <w:tc>
          <w:tcPr>
            <w:tcW w:w="2022" w:type="dxa"/>
          </w:tcPr>
          <w:p>
            <w:pPr>
              <w:pStyle w:val="TableParagraph"/>
              <w:spacing w:line="342" w:lineRule="exact" w:before="18"/>
              <w:ind w:left="200"/>
              <w:rPr>
                <w:rFonts w:ascii="Microsoft JhengHei" w:eastAsia="Microsoft JhengHei" w:hint="eastAsia"/>
                <w:b/>
                <w:sz w:val="21"/>
              </w:rPr>
            </w:pPr>
            <w:r>
              <w:rPr>
                <w:rFonts w:ascii="Microsoft JhengHei" w:eastAsia="Microsoft JhengHei" w:hint="eastAsia"/>
                <w:b/>
                <w:sz w:val="21"/>
              </w:rPr>
              <w:t>52.  严重的原发性</w:t>
            </w:r>
          </w:p>
        </w:tc>
        <w:tc>
          <w:tcPr>
            <w:tcW w:w="7731" w:type="dxa"/>
          </w:tcPr>
          <w:p>
            <w:pPr>
              <w:pStyle w:val="TableParagraph"/>
              <w:spacing w:line="256" w:lineRule="exact" w:before="104"/>
              <w:ind w:left="107"/>
              <w:rPr>
                <w:sz w:val="21"/>
              </w:rPr>
            </w:pPr>
            <w:r>
              <w:rPr>
                <w:sz w:val="21"/>
              </w:rPr>
              <w:t>原发性硬化性胆管炎指一种胆汁淤积综合征，其特征是肝内、肝外胆道因非细菌</w:t>
            </w:r>
          </w:p>
        </w:tc>
      </w:tr>
    </w:tbl>
    <w:p>
      <w:pPr>
        <w:spacing w:after="0" w:line="256" w:lineRule="exact"/>
        <w:rPr>
          <w:sz w:val="21"/>
        </w:rPr>
        <w:sectPr>
          <w:pgSz w:w="11910" w:h="16840"/>
          <w:pgMar w:header="0" w:footer="358" w:top="1160" w:bottom="540" w:left="1360" w:right="56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7"/>
        <w:gridCol w:w="7742"/>
      </w:tblGrid>
      <w:tr>
        <w:trPr>
          <w:trHeight w:val="2252" w:hRule="atLeast"/>
        </w:trPr>
        <w:tc>
          <w:tcPr>
            <w:tcW w:w="2007" w:type="dxa"/>
          </w:tcPr>
          <w:p>
            <w:pPr>
              <w:pStyle w:val="TableParagraph"/>
              <w:spacing w:line="222" w:lineRule="exact"/>
              <w:ind w:left="619"/>
              <w:rPr>
                <w:rFonts w:ascii="Microsoft JhengHei" w:eastAsia="Microsoft JhengHei" w:hint="eastAsia"/>
                <w:b/>
                <w:sz w:val="21"/>
              </w:rPr>
            </w:pPr>
            <w:r>
              <w:rPr>
                <w:rFonts w:ascii="Microsoft JhengHei" w:eastAsia="Microsoft JhengHei" w:hint="eastAsia"/>
                <w:b/>
                <w:sz w:val="21"/>
              </w:rPr>
              <w:t>硬化性胆管炎</w:t>
            </w:r>
          </w:p>
        </w:tc>
        <w:tc>
          <w:tcPr>
            <w:tcW w:w="7742" w:type="dxa"/>
          </w:tcPr>
          <w:p>
            <w:pPr>
              <w:pStyle w:val="TableParagraph"/>
              <w:spacing w:line="218" w:lineRule="exact"/>
              <w:rPr>
                <w:sz w:val="21"/>
              </w:rPr>
            </w:pPr>
            <w:r>
              <w:rPr>
                <w:sz w:val="21"/>
              </w:rPr>
              <w:t>性炎症、慢性纤维化逐渐狭窄，并最终导致完全阻塞而发展为胆汁於积性肝硬化。</w:t>
            </w:r>
          </w:p>
          <w:p>
            <w:pPr>
              <w:pStyle w:val="TableParagraph"/>
              <w:spacing w:before="37"/>
              <w:rPr>
                <w:sz w:val="21"/>
              </w:rPr>
            </w:pPr>
            <w:r>
              <w:rPr>
                <w:sz w:val="21"/>
              </w:rPr>
              <w:t>须满足下列全部条件：</w:t>
            </w:r>
          </w:p>
          <w:p>
            <w:pPr>
              <w:pStyle w:val="TableParagraph"/>
              <w:spacing w:before="37"/>
              <w:rPr>
                <w:sz w:val="21"/>
              </w:rPr>
            </w:pPr>
            <w:r>
              <w:rPr>
                <w:sz w:val="21"/>
              </w:rPr>
              <w:t>（1）持续性黄疸病史；</w:t>
            </w:r>
          </w:p>
          <w:p>
            <w:pPr>
              <w:pStyle w:val="TableParagraph"/>
              <w:spacing w:before="36"/>
              <w:rPr>
                <w:sz w:val="21"/>
              </w:rPr>
            </w:pPr>
            <w:r>
              <w:rPr>
                <w:sz w:val="21"/>
              </w:rPr>
              <w:t>（2）总胆红素和直接胆红素同时升高，血清 ALP&gt;200U/L；</w:t>
            </w:r>
          </w:p>
          <w:p>
            <w:pPr>
              <w:pStyle w:val="TableParagraph"/>
              <w:spacing w:before="36"/>
              <w:rPr>
                <w:sz w:val="21"/>
              </w:rPr>
            </w:pPr>
            <w:r>
              <w:rPr>
                <w:sz w:val="21"/>
              </w:rPr>
              <w:t>（3）经内镜逆行胰胆管造影（ERCP）影像学检查确诊；</w:t>
            </w:r>
          </w:p>
          <w:p>
            <w:pPr>
              <w:pStyle w:val="TableParagraph"/>
              <w:spacing w:before="36"/>
              <w:rPr>
                <w:sz w:val="21"/>
              </w:rPr>
            </w:pPr>
            <w:r>
              <w:rPr>
                <w:sz w:val="21"/>
              </w:rPr>
              <w:t>（4）出现胆汁於积性肝硬化或门脉高压。</w:t>
            </w:r>
          </w:p>
          <w:p>
            <w:pPr>
              <w:pStyle w:val="TableParagraph"/>
              <w:spacing w:before="24"/>
              <w:rPr>
                <w:b/>
                <w:i/>
                <w:sz w:val="22"/>
              </w:rPr>
            </w:pPr>
            <w:r>
              <w:rPr>
                <w:b/>
                <w:i/>
                <w:w w:val="95"/>
                <w:sz w:val="22"/>
              </w:rPr>
              <w:t>因肿瘤或胆管损伤等继发性的硬化性胆管炎不在保障范围内。</w:t>
            </w:r>
          </w:p>
        </w:tc>
      </w:tr>
      <w:tr>
        <w:trPr>
          <w:trHeight w:val="3660" w:hRule="atLeast"/>
        </w:trPr>
        <w:tc>
          <w:tcPr>
            <w:tcW w:w="2007" w:type="dxa"/>
          </w:tcPr>
          <w:p>
            <w:pPr>
              <w:pStyle w:val="TableParagraph"/>
              <w:spacing w:line="204" w:lineRule="auto" w:before="72"/>
              <w:ind w:left="619" w:right="120" w:hanging="420"/>
              <w:jc w:val="both"/>
              <w:rPr>
                <w:rFonts w:ascii="Microsoft JhengHei" w:eastAsia="Microsoft JhengHei" w:hint="eastAsia"/>
                <w:b/>
                <w:sz w:val="21"/>
              </w:rPr>
            </w:pPr>
            <w:r>
              <w:rPr>
                <w:rFonts w:ascii="Microsoft JhengHei" w:eastAsia="Microsoft JhengHei" w:hint="eastAsia"/>
                <w:b/>
                <w:sz w:val="21"/>
              </w:rPr>
              <w:t>53. 特发性慢性肾上腺皮质功能减退</w:t>
            </w:r>
          </w:p>
        </w:tc>
        <w:tc>
          <w:tcPr>
            <w:tcW w:w="7742" w:type="dxa"/>
          </w:tcPr>
          <w:p>
            <w:pPr>
              <w:pStyle w:val="TableParagraph"/>
              <w:spacing w:line="273" w:lineRule="auto" w:before="103"/>
              <w:ind w:right="246"/>
              <w:rPr>
                <w:sz w:val="21"/>
              </w:rPr>
            </w:pPr>
            <w:r>
              <w:rPr>
                <w:sz w:val="21"/>
              </w:rPr>
              <w:t>指自身免疫性肾上腺炎（既往称：特发性肾上腺皮质萎缩）导致肾上腺萎缩和慢性肾上腺皮质功能减退。必须满足所有以下条件：</w:t>
            </w:r>
          </w:p>
          <w:p>
            <w:pPr>
              <w:pStyle w:val="TableParagraph"/>
              <w:spacing w:before="7"/>
              <w:rPr>
                <w:sz w:val="21"/>
              </w:rPr>
            </w:pPr>
            <w:r>
              <w:rPr>
                <w:sz w:val="21"/>
              </w:rPr>
              <w:t>（1）必须由专科医生明确诊断，符合所有以下诊断标准：</w:t>
            </w:r>
          </w:p>
          <w:p>
            <w:pPr>
              <w:pStyle w:val="TableParagraph"/>
              <w:spacing w:before="36"/>
              <w:ind w:left="648"/>
              <w:rPr>
                <w:sz w:val="21"/>
              </w:rPr>
            </w:pPr>
            <w:r>
              <w:rPr>
                <w:sz w:val="21"/>
              </w:rPr>
              <w:t>①血浆促肾上腺皮质激素（ACTH）水平测定，&gt;100pg/ml；</w:t>
            </w:r>
          </w:p>
          <w:p>
            <w:pPr>
              <w:pStyle w:val="TableParagraph"/>
              <w:spacing w:line="273" w:lineRule="auto" w:before="36"/>
              <w:ind w:left="857" w:right="298" w:hanging="209"/>
              <w:rPr>
                <w:sz w:val="21"/>
              </w:rPr>
            </w:pPr>
            <w:r>
              <w:rPr>
                <w:spacing w:val="-9"/>
                <w:sz w:val="21"/>
              </w:rPr>
              <w:t>②血浆肾素活性、血管紧张素 </w:t>
            </w:r>
            <w:r>
              <w:rPr>
                <w:sz w:val="21"/>
              </w:rPr>
              <w:t>II</w:t>
            </w:r>
            <w:r>
              <w:rPr>
                <w:spacing w:val="-9"/>
                <w:sz w:val="21"/>
              </w:rPr>
              <w:t> 和醛固酮测定，显示为原发性肾上腺皮质</w:t>
            </w:r>
            <w:r>
              <w:rPr>
                <w:spacing w:val="-5"/>
                <w:sz w:val="21"/>
              </w:rPr>
              <w:t>功能减退症；</w:t>
            </w:r>
          </w:p>
          <w:p>
            <w:pPr>
              <w:pStyle w:val="TableParagraph"/>
              <w:spacing w:line="273" w:lineRule="auto" w:before="7"/>
              <w:ind w:left="857" w:right="301" w:hanging="209"/>
              <w:rPr>
                <w:sz w:val="21"/>
              </w:rPr>
            </w:pPr>
            <w:r>
              <w:rPr>
                <w:sz w:val="21"/>
              </w:rPr>
              <w:t>③促肾上腺皮质激素（ACTH）刺激试验显示为原发性肾上腺皮质功能减退症。</w:t>
            </w:r>
          </w:p>
          <w:p>
            <w:pPr>
              <w:pStyle w:val="TableParagraph"/>
              <w:spacing w:before="7"/>
              <w:rPr>
                <w:sz w:val="21"/>
              </w:rPr>
            </w:pPr>
            <w:r>
              <w:rPr>
                <w:sz w:val="21"/>
              </w:rPr>
              <w:t>（2）已经采用皮质类固醇替代治疗 180 天以上。</w:t>
            </w:r>
          </w:p>
          <w:p>
            <w:pPr>
              <w:pStyle w:val="TableParagraph"/>
              <w:spacing w:line="259" w:lineRule="auto" w:before="25"/>
              <w:ind w:right="248"/>
              <w:rPr>
                <w:b/>
                <w:i/>
                <w:sz w:val="22"/>
              </w:rPr>
            </w:pPr>
            <w:r>
              <w:rPr>
                <w:b/>
                <w:i/>
                <w:w w:val="95"/>
                <w:sz w:val="22"/>
              </w:rPr>
              <w:t>肾上腺结核、HIV 感染或艾滋病、感染、肿瘤所致的原发性肾上腺皮质功能减退和继发性肾上腺皮质功能减退不在本保障范围内。</w:t>
            </w:r>
          </w:p>
        </w:tc>
      </w:tr>
      <w:tr>
        <w:trPr>
          <w:trHeight w:val="1161" w:hRule="atLeast"/>
        </w:trPr>
        <w:tc>
          <w:tcPr>
            <w:tcW w:w="2007" w:type="dxa"/>
          </w:tcPr>
          <w:p>
            <w:pPr>
              <w:pStyle w:val="TableParagraph"/>
              <w:spacing w:line="204" w:lineRule="auto" w:before="72"/>
              <w:ind w:left="619" w:right="120" w:hanging="420"/>
              <w:rPr>
                <w:rFonts w:ascii="Microsoft JhengHei" w:eastAsia="Microsoft JhengHei" w:hint="eastAsia"/>
                <w:b/>
                <w:sz w:val="21"/>
              </w:rPr>
            </w:pPr>
            <w:r>
              <w:rPr>
                <w:rFonts w:ascii="Microsoft JhengHei" w:eastAsia="Microsoft JhengHei" w:hint="eastAsia"/>
                <w:b/>
                <w:sz w:val="21"/>
              </w:rPr>
              <w:t>54. 溶血性链球菌引起的坏疽</w:t>
            </w:r>
          </w:p>
        </w:tc>
        <w:tc>
          <w:tcPr>
            <w:tcW w:w="7742" w:type="dxa"/>
          </w:tcPr>
          <w:p>
            <w:pPr>
              <w:pStyle w:val="TableParagraph"/>
              <w:spacing w:line="273" w:lineRule="auto" w:before="103"/>
              <w:ind w:right="298"/>
              <w:jc w:val="both"/>
              <w:rPr>
                <w:sz w:val="21"/>
              </w:rPr>
            </w:pPr>
            <w:r>
              <w:rPr>
                <w:sz w:val="21"/>
              </w:rPr>
              <w:t>包围肢体或躯干的浅筋膜和/或深筋膜受到溶血性链球菌的感染，病情在短时间</w:t>
            </w:r>
            <w:r>
              <w:rPr>
                <w:spacing w:val="-6"/>
                <w:sz w:val="21"/>
              </w:rPr>
              <w:t>内急剧恶化，必须立刻进行手术及清创术。最后的诊断必须由微生物或病理学专</w:t>
            </w:r>
            <w:r>
              <w:rPr>
                <w:spacing w:val="-4"/>
                <w:sz w:val="21"/>
              </w:rPr>
              <w:t>家进行相关检查后证实。</w:t>
            </w:r>
          </w:p>
        </w:tc>
      </w:tr>
      <w:tr>
        <w:trPr>
          <w:trHeight w:val="1476" w:hRule="atLeast"/>
        </w:trPr>
        <w:tc>
          <w:tcPr>
            <w:tcW w:w="2007" w:type="dxa"/>
          </w:tcPr>
          <w:p>
            <w:pPr>
              <w:pStyle w:val="TableParagraph"/>
              <w:spacing w:before="16"/>
              <w:ind w:left="200"/>
              <w:rPr>
                <w:rFonts w:ascii="Microsoft JhengHei" w:eastAsia="Microsoft JhengHei" w:hint="eastAsia"/>
                <w:b/>
                <w:sz w:val="21"/>
              </w:rPr>
            </w:pPr>
            <w:r>
              <w:rPr>
                <w:rFonts w:ascii="Microsoft JhengHei" w:eastAsia="Microsoft JhengHei" w:hint="eastAsia"/>
                <w:b/>
                <w:sz w:val="21"/>
              </w:rPr>
              <w:t>55.  颅脑手术</w:t>
            </w:r>
          </w:p>
        </w:tc>
        <w:tc>
          <w:tcPr>
            <w:tcW w:w="7742" w:type="dxa"/>
          </w:tcPr>
          <w:p>
            <w:pPr>
              <w:pStyle w:val="TableParagraph"/>
              <w:spacing w:line="273" w:lineRule="auto" w:before="102"/>
              <w:ind w:right="308"/>
              <w:rPr>
                <w:sz w:val="21"/>
              </w:rPr>
            </w:pPr>
            <w:r>
              <w:rPr>
                <w:sz w:val="21"/>
              </w:rPr>
              <w:t>被保险人确已实施全麻下的开颅手术</w:t>
            </w:r>
            <w:r>
              <w:rPr>
                <w:spacing w:val="2"/>
                <w:sz w:val="21"/>
              </w:rPr>
              <w:t>（</w:t>
            </w:r>
            <w:r>
              <w:rPr>
                <w:sz w:val="21"/>
              </w:rPr>
              <w:t>不包括颅骨钻孔手术和经鼻蝶窦入颅手术</w:t>
            </w:r>
            <w:r>
              <w:rPr>
                <w:spacing w:val="-106"/>
                <w:sz w:val="21"/>
              </w:rPr>
              <w:t>）</w:t>
            </w:r>
            <w:r>
              <w:rPr>
                <w:sz w:val="21"/>
              </w:rPr>
              <w:t>。</w:t>
            </w:r>
          </w:p>
          <w:p>
            <w:pPr>
              <w:pStyle w:val="TableParagraph"/>
              <w:spacing w:line="284" w:lineRule="exact"/>
              <w:rPr>
                <w:b/>
                <w:i/>
                <w:sz w:val="22"/>
              </w:rPr>
            </w:pPr>
            <w:r>
              <w:rPr>
                <w:b/>
                <w:i/>
                <w:w w:val="95"/>
                <w:sz w:val="22"/>
              </w:rPr>
              <w:t>因外伤而实施的脑外科手术不在保障范围之内。</w:t>
            </w:r>
          </w:p>
          <w:p>
            <w:pPr>
              <w:pStyle w:val="TableParagraph"/>
              <w:spacing w:before="25"/>
              <w:rPr>
                <w:b/>
                <w:i/>
                <w:sz w:val="22"/>
              </w:rPr>
            </w:pPr>
            <w:r>
              <w:rPr>
                <w:b/>
                <w:i/>
                <w:w w:val="95"/>
                <w:sz w:val="22"/>
              </w:rPr>
              <w:t>理赔时必须提供由神经外科医生出具的诊断书及手术报告。</w:t>
            </w:r>
          </w:p>
        </w:tc>
      </w:tr>
      <w:tr>
        <w:trPr>
          <w:trHeight w:val="2409" w:hRule="atLeast"/>
        </w:trPr>
        <w:tc>
          <w:tcPr>
            <w:tcW w:w="2007" w:type="dxa"/>
          </w:tcPr>
          <w:p>
            <w:pPr>
              <w:pStyle w:val="TableParagraph"/>
              <w:spacing w:line="204" w:lineRule="auto" w:before="72"/>
              <w:ind w:left="619" w:right="120" w:hanging="420"/>
              <w:rPr>
                <w:rFonts w:ascii="Microsoft JhengHei" w:eastAsia="Microsoft JhengHei" w:hint="eastAsia"/>
                <w:b/>
                <w:sz w:val="21"/>
              </w:rPr>
            </w:pPr>
            <w:r>
              <w:rPr>
                <w:rFonts w:ascii="Microsoft JhengHei" w:eastAsia="Microsoft JhengHei" w:hint="eastAsia"/>
                <w:b/>
                <w:sz w:val="21"/>
              </w:rPr>
              <w:t>56. 严重ft营养不良症</w:t>
            </w:r>
          </w:p>
        </w:tc>
        <w:tc>
          <w:tcPr>
            <w:tcW w:w="7742" w:type="dxa"/>
          </w:tcPr>
          <w:p>
            <w:pPr>
              <w:pStyle w:val="TableParagraph"/>
              <w:spacing w:line="273" w:lineRule="auto" w:before="103"/>
              <w:ind w:right="298"/>
              <w:rPr>
                <w:sz w:val="21"/>
              </w:rPr>
            </w:pPr>
            <w:r>
              <w:rPr>
                <w:spacing w:val="-6"/>
                <w:sz w:val="21"/>
              </w:rPr>
              <w:t>指一组遗传性肌肉变性病变，临床特征为与神经系统无关的骨骼肌肉对称地进行</w:t>
            </w:r>
            <w:r>
              <w:rPr>
                <w:spacing w:val="-4"/>
                <w:sz w:val="21"/>
              </w:rPr>
              <w:t>性无力和萎缩。其诊断需满足下列全部条件：</w:t>
            </w:r>
          </w:p>
          <w:p>
            <w:pPr>
              <w:pStyle w:val="TableParagraph"/>
              <w:spacing w:before="7"/>
              <w:rPr>
                <w:sz w:val="21"/>
              </w:rPr>
            </w:pPr>
            <w:r>
              <w:rPr>
                <w:sz w:val="21"/>
              </w:rPr>
              <w:t>（1）肌电图显示典型肌营养不良症的阳性改变；</w:t>
            </w:r>
          </w:p>
          <w:p>
            <w:pPr>
              <w:pStyle w:val="TableParagraph"/>
              <w:spacing w:line="273" w:lineRule="auto" w:before="36"/>
              <w:ind w:left="648" w:right="301" w:hanging="527"/>
              <w:rPr>
                <w:sz w:val="21"/>
              </w:rPr>
            </w:pPr>
            <w:r>
              <w:rPr>
                <w:sz w:val="21"/>
              </w:rPr>
              <w:t>（2）肌肉活检的病理学诊断符合肌营养不良症的肌肉细胞变性\坏死等阳性改变；</w:t>
            </w:r>
          </w:p>
          <w:p>
            <w:pPr>
              <w:pStyle w:val="TableParagraph"/>
              <w:spacing w:line="273" w:lineRule="auto" w:before="7"/>
              <w:ind w:left="648" w:right="305" w:hanging="527"/>
              <w:rPr>
                <w:sz w:val="21"/>
              </w:rPr>
            </w:pPr>
            <w:r>
              <w:rPr>
                <w:sz w:val="21"/>
              </w:rPr>
              <w:t>（3）已导致被保险人持续超过三个月无法独立完成六项基本日常生活活动中的三项或三项以上。</w:t>
            </w:r>
          </w:p>
        </w:tc>
      </w:tr>
      <w:tr>
        <w:trPr>
          <w:trHeight w:val="2099" w:hRule="atLeast"/>
        </w:trPr>
        <w:tc>
          <w:tcPr>
            <w:tcW w:w="2007" w:type="dxa"/>
          </w:tcPr>
          <w:p>
            <w:pPr>
              <w:pStyle w:val="TableParagraph"/>
              <w:spacing w:before="16"/>
              <w:ind w:left="200"/>
              <w:rPr>
                <w:rFonts w:ascii="Microsoft JhengHei" w:eastAsia="Microsoft JhengHei" w:hint="eastAsia"/>
                <w:b/>
                <w:sz w:val="21"/>
              </w:rPr>
            </w:pPr>
            <w:r>
              <w:rPr>
                <w:rFonts w:ascii="Microsoft JhengHei" w:eastAsia="Microsoft JhengHei" w:hint="eastAsia"/>
                <w:b/>
                <w:w w:val="105"/>
                <w:sz w:val="21"/>
              </w:rPr>
              <w:t>57. 严重心ft炎</w:t>
            </w:r>
          </w:p>
        </w:tc>
        <w:tc>
          <w:tcPr>
            <w:tcW w:w="7742" w:type="dxa"/>
          </w:tcPr>
          <w:p>
            <w:pPr>
              <w:pStyle w:val="TableParagraph"/>
              <w:spacing w:line="273" w:lineRule="auto" w:before="102"/>
              <w:ind w:right="308"/>
              <w:rPr>
                <w:sz w:val="21"/>
              </w:rPr>
            </w:pPr>
            <w:r>
              <w:rPr>
                <w:sz w:val="21"/>
              </w:rPr>
              <w:t>指被保险人因严重心肌炎性病变导致心功能损害造成持续的永久不可逆性的心功能衰竭。必须满足所有以下条件：</w:t>
            </w:r>
          </w:p>
          <w:p>
            <w:pPr>
              <w:pStyle w:val="TableParagraph"/>
              <w:spacing w:line="273" w:lineRule="auto" w:before="7"/>
              <w:ind w:left="648" w:right="300" w:hanging="527"/>
              <w:rPr>
                <w:sz w:val="21"/>
              </w:rPr>
            </w:pPr>
            <w:r>
              <w:rPr>
                <w:sz w:val="21"/>
              </w:rPr>
              <w:t>（1）心功能衰竭程度达到纽约心脏病学会的心功能分级标准之心功能IV级，或左室射血分数低于30%；</w:t>
            </w:r>
          </w:p>
          <w:p>
            <w:pPr>
              <w:pStyle w:val="TableParagraph"/>
              <w:spacing w:before="7"/>
              <w:rPr>
                <w:sz w:val="21"/>
              </w:rPr>
            </w:pPr>
            <w:r>
              <w:rPr>
                <w:sz w:val="21"/>
              </w:rPr>
              <w:t>（2）持续不间断180天以上；</w:t>
            </w:r>
          </w:p>
          <w:p>
            <w:pPr>
              <w:pStyle w:val="TableParagraph"/>
              <w:spacing w:before="36"/>
              <w:rPr>
                <w:sz w:val="21"/>
              </w:rPr>
            </w:pPr>
            <w:r>
              <w:rPr>
                <w:sz w:val="21"/>
              </w:rPr>
              <w:t>（3）被保险人永久不可逆性的体力活动能力受限，不能从事任何体力活动。</w:t>
            </w:r>
          </w:p>
        </w:tc>
      </w:tr>
      <w:tr>
        <w:trPr>
          <w:trHeight w:val="1314" w:hRule="atLeast"/>
        </w:trPr>
        <w:tc>
          <w:tcPr>
            <w:tcW w:w="2007" w:type="dxa"/>
          </w:tcPr>
          <w:p>
            <w:pPr>
              <w:pStyle w:val="TableParagraph"/>
              <w:spacing w:line="339" w:lineRule="exact" w:before="18"/>
              <w:ind w:left="200"/>
              <w:rPr>
                <w:rFonts w:ascii="Microsoft JhengHei" w:eastAsia="Microsoft JhengHei" w:hint="eastAsia"/>
                <w:b/>
                <w:sz w:val="21"/>
              </w:rPr>
            </w:pPr>
            <w:r>
              <w:rPr>
                <w:rFonts w:ascii="Microsoft JhengHei" w:eastAsia="Microsoft JhengHei" w:hint="eastAsia"/>
                <w:b/>
                <w:sz w:val="21"/>
              </w:rPr>
              <w:t>58.  肝豆状核变性</w:t>
            </w:r>
          </w:p>
          <w:p>
            <w:pPr>
              <w:pStyle w:val="TableParagraph"/>
              <w:spacing w:line="204" w:lineRule="auto" w:before="28"/>
              <w:ind w:left="619" w:right="199"/>
              <w:rPr>
                <w:rFonts w:ascii="Microsoft JhengHei" w:eastAsia="Microsoft JhengHei" w:hint="eastAsia"/>
                <w:b/>
                <w:sz w:val="21"/>
              </w:rPr>
            </w:pPr>
            <w:r>
              <w:rPr>
                <w:rFonts w:ascii="Microsoft JhengHei" w:eastAsia="Microsoft JhengHei" w:hint="eastAsia"/>
                <w:b/>
                <w:w w:val="95"/>
                <w:sz w:val="21"/>
              </w:rPr>
              <w:t>(或称 Wilson </w:t>
            </w:r>
            <w:r>
              <w:rPr>
                <w:rFonts w:ascii="Microsoft JhengHei" w:eastAsia="Microsoft JhengHei" w:hint="eastAsia"/>
                <w:b/>
                <w:sz w:val="21"/>
              </w:rPr>
              <w:t>病)</w:t>
            </w:r>
          </w:p>
        </w:tc>
        <w:tc>
          <w:tcPr>
            <w:tcW w:w="7742" w:type="dxa"/>
          </w:tcPr>
          <w:p>
            <w:pPr>
              <w:pStyle w:val="TableParagraph"/>
              <w:spacing w:line="273" w:lineRule="auto" w:before="104"/>
              <w:ind w:right="254"/>
              <w:rPr>
                <w:sz w:val="21"/>
              </w:rPr>
            </w:pPr>
            <w:r>
              <w:rPr>
                <w:sz w:val="21"/>
              </w:rPr>
              <w:t>指一种常染色体隐性遗传的铜代谢缺陷病，以不同程度的肝细胞损害、脑退行性病变和角膜边缘有铜盐沉着环为其临床特征，并须满足下列全部条件：</w:t>
            </w:r>
          </w:p>
          <w:p>
            <w:pPr>
              <w:pStyle w:val="TableParagraph"/>
              <w:spacing w:before="8"/>
              <w:rPr>
                <w:sz w:val="21"/>
              </w:rPr>
            </w:pPr>
            <w:r>
              <w:rPr>
                <w:sz w:val="21"/>
              </w:rPr>
              <w:t>（1）典型症状；</w:t>
            </w:r>
          </w:p>
          <w:p>
            <w:pPr>
              <w:pStyle w:val="TableParagraph"/>
              <w:spacing w:line="255" w:lineRule="exact" w:before="37"/>
              <w:rPr>
                <w:sz w:val="21"/>
              </w:rPr>
            </w:pPr>
            <w:r>
              <w:rPr>
                <w:w w:val="100"/>
                <w:sz w:val="21"/>
              </w:rPr>
              <w:t>（2</w:t>
            </w:r>
            <w:r>
              <w:rPr>
                <w:spacing w:val="-2"/>
                <w:w w:val="100"/>
                <w:sz w:val="21"/>
              </w:rPr>
              <w:t>）</w:t>
            </w:r>
            <w:r>
              <w:rPr>
                <w:spacing w:val="-3"/>
                <w:w w:val="100"/>
                <w:sz w:val="21"/>
              </w:rPr>
              <w:t>角膜色素环</w:t>
            </w:r>
            <w:r>
              <w:rPr>
                <w:spacing w:val="-1"/>
                <w:w w:val="100"/>
                <w:sz w:val="21"/>
              </w:rPr>
              <w:t>（</w:t>
            </w:r>
            <w:r>
              <w:rPr>
                <w:spacing w:val="-3"/>
                <w:w w:val="100"/>
                <w:sz w:val="21"/>
              </w:rPr>
              <w:t>K</w:t>
            </w:r>
            <w:r>
              <w:rPr>
                <w:w w:val="100"/>
                <w:sz w:val="21"/>
              </w:rPr>
              <w:t>-F</w:t>
            </w:r>
            <w:r>
              <w:rPr>
                <w:spacing w:val="-2"/>
                <w:sz w:val="21"/>
              </w:rPr>
              <w:t> </w:t>
            </w:r>
            <w:r>
              <w:rPr>
                <w:spacing w:val="-3"/>
                <w:w w:val="100"/>
                <w:sz w:val="21"/>
              </w:rPr>
              <w:t>环</w:t>
            </w:r>
            <w:r>
              <w:rPr>
                <w:spacing w:val="-106"/>
                <w:w w:val="100"/>
                <w:sz w:val="21"/>
              </w:rPr>
              <w:t>）</w:t>
            </w:r>
            <w:r>
              <w:rPr>
                <w:w w:val="100"/>
                <w:sz w:val="21"/>
              </w:rPr>
              <w:t>；</w:t>
            </w:r>
          </w:p>
        </w:tc>
      </w:tr>
    </w:tbl>
    <w:p>
      <w:pPr>
        <w:spacing w:after="0" w:line="255" w:lineRule="exact"/>
        <w:rPr>
          <w:sz w:val="21"/>
        </w:rPr>
        <w:sectPr>
          <w:pgSz w:w="11910" w:h="16840"/>
          <w:pgMar w:header="0" w:footer="358" w:top="1160" w:bottom="540" w:left="1360" w:right="56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2"/>
        <w:gridCol w:w="7627"/>
      </w:tblGrid>
      <w:tr>
        <w:trPr>
          <w:trHeight w:val="684" w:hRule="atLeast"/>
        </w:trPr>
        <w:tc>
          <w:tcPr>
            <w:tcW w:w="2022" w:type="dxa"/>
          </w:tcPr>
          <w:p>
            <w:pPr>
              <w:pStyle w:val="TableParagraph"/>
              <w:ind w:left="0"/>
              <w:rPr>
                <w:rFonts w:ascii="Times New Roman"/>
                <w:sz w:val="20"/>
              </w:rPr>
            </w:pPr>
          </w:p>
        </w:tc>
        <w:tc>
          <w:tcPr>
            <w:tcW w:w="7627" w:type="dxa"/>
          </w:tcPr>
          <w:p>
            <w:pPr>
              <w:pStyle w:val="TableParagraph"/>
              <w:spacing w:line="211" w:lineRule="exact"/>
              <w:ind w:left="107"/>
              <w:rPr>
                <w:sz w:val="21"/>
              </w:rPr>
            </w:pPr>
            <w:r>
              <w:rPr>
                <w:sz w:val="21"/>
              </w:rPr>
              <w:t>（3）血清铜和血清铜蓝蛋白降低，尿铜增加；</w:t>
            </w:r>
          </w:p>
          <w:p>
            <w:pPr>
              <w:pStyle w:val="TableParagraph"/>
              <w:spacing w:before="37"/>
              <w:ind w:left="107"/>
              <w:rPr>
                <w:sz w:val="21"/>
              </w:rPr>
            </w:pPr>
            <w:r>
              <w:rPr>
                <w:sz w:val="21"/>
              </w:rPr>
              <w:t>（4）经肝脏活检确诊。</w:t>
            </w:r>
          </w:p>
        </w:tc>
      </w:tr>
      <w:tr>
        <w:trPr>
          <w:trHeight w:val="1164" w:hRule="atLeast"/>
        </w:trPr>
        <w:tc>
          <w:tcPr>
            <w:tcW w:w="2022" w:type="dxa"/>
          </w:tcPr>
          <w:p>
            <w:pPr>
              <w:pStyle w:val="TableParagraph"/>
              <w:spacing w:line="339" w:lineRule="exact" w:before="18"/>
              <w:ind w:left="200"/>
              <w:rPr>
                <w:rFonts w:ascii="Microsoft JhengHei" w:eastAsia="Microsoft JhengHei" w:hint="eastAsia"/>
                <w:b/>
                <w:sz w:val="21"/>
              </w:rPr>
            </w:pPr>
            <w:r>
              <w:rPr>
                <w:rFonts w:ascii="Microsoft JhengHei" w:eastAsia="Microsoft JhengHei" w:hint="eastAsia"/>
                <w:b/>
                <w:sz w:val="21"/>
              </w:rPr>
              <w:t>59.  侵蚀性葡萄胎</w:t>
            </w:r>
          </w:p>
          <w:p>
            <w:pPr>
              <w:pStyle w:val="TableParagraph"/>
              <w:spacing w:line="204" w:lineRule="auto" w:before="28"/>
              <w:ind w:left="619" w:right="272"/>
              <w:rPr>
                <w:rFonts w:ascii="Microsoft JhengHei" w:eastAsia="Microsoft JhengHei" w:hint="eastAsia"/>
                <w:b/>
                <w:sz w:val="21"/>
              </w:rPr>
            </w:pPr>
            <w:r>
              <w:rPr>
                <w:rFonts w:ascii="Microsoft JhengHei" w:eastAsia="Microsoft JhengHei" w:hint="eastAsia"/>
                <w:b/>
                <w:sz w:val="21"/>
              </w:rPr>
              <w:t>(或称恶性葡萄胎)</w:t>
            </w:r>
          </w:p>
        </w:tc>
        <w:tc>
          <w:tcPr>
            <w:tcW w:w="7627" w:type="dxa"/>
          </w:tcPr>
          <w:p>
            <w:pPr>
              <w:pStyle w:val="TableParagraph"/>
              <w:spacing w:line="273" w:lineRule="auto" w:before="104"/>
              <w:ind w:left="107" w:right="204"/>
              <w:rPr>
                <w:sz w:val="21"/>
              </w:rPr>
            </w:pPr>
            <w:r>
              <w:rPr>
                <w:sz w:val="21"/>
              </w:rPr>
              <w:t>该类疾病是指异常增生的绒毛组织浸润性生长侵入子宫肌层或转移至其他器官或组织的葡萄胎，并已经进行化疗或手术治疗的。</w:t>
            </w:r>
          </w:p>
        </w:tc>
      </w:tr>
      <w:tr>
        <w:trPr>
          <w:trHeight w:val="1475" w:hRule="atLeast"/>
        </w:trPr>
        <w:tc>
          <w:tcPr>
            <w:tcW w:w="2022" w:type="dxa"/>
          </w:tcPr>
          <w:p>
            <w:pPr>
              <w:pStyle w:val="TableParagraph"/>
              <w:spacing w:line="204" w:lineRule="auto" w:before="72"/>
              <w:ind w:left="619" w:right="135" w:hanging="420"/>
              <w:rPr>
                <w:rFonts w:ascii="Microsoft JhengHei" w:eastAsia="Microsoft JhengHei" w:hint="eastAsia"/>
                <w:b/>
                <w:sz w:val="21"/>
              </w:rPr>
            </w:pPr>
            <w:r>
              <w:rPr>
                <w:rFonts w:ascii="Microsoft JhengHei" w:eastAsia="Microsoft JhengHei" w:hint="eastAsia"/>
                <w:b/>
                <w:sz w:val="21"/>
              </w:rPr>
              <w:t>60. 破裂脑动脉瘤夹闭手术</w:t>
            </w:r>
          </w:p>
        </w:tc>
        <w:tc>
          <w:tcPr>
            <w:tcW w:w="7627" w:type="dxa"/>
          </w:tcPr>
          <w:p>
            <w:pPr>
              <w:pStyle w:val="TableParagraph"/>
              <w:spacing w:line="273" w:lineRule="auto" w:before="103"/>
              <w:ind w:left="107" w:right="154"/>
              <w:rPr>
                <w:sz w:val="21"/>
              </w:rPr>
            </w:pPr>
            <w:r>
              <w:rPr>
                <w:sz w:val="21"/>
              </w:rPr>
              <w:t>指因脑动脉瘤破裂造成蛛网膜下腔出血，被保险人实际接受了在全麻下进行的开颅动脉瘤夹闭手术。</w:t>
            </w:r>
          </w:p>
          <w:p>
            <w:pPr>
              <w:pStyle w:val="TableParagraph"/>
              <w:spacing w:line="259" w:lineRule="auto"/>
              <w:ind w:left="107" w:right="169"/>
              <w:rPr>
                <w:b/>
                <w:i/>
                <w:sz w:val="22"/>
              </w:rPr>
            </w:pPr>
            <w:r>
              <w:rPr>
                <w:b/>
                <w:i/>
                <w:w w:val="95"/>
                <w:sz w:val="22"/>
              </w:rPr>
              <w:t>脑动脉瘤（未破裂）预防性手术、颅骨打孔手术、动脉瘤栓塞手术、血管内手术及其他颅脑手术不在本保障范围内。</w:t>
            </w:r>
          </w:p>
        </w:tc>
      </w:tr>
      <w:tr>
        <w:trPr>
          <w:trHeight w:val="850" w:hRule="atLeast"/>
        </w:trPr>
        <w:tc>
          <w:tcPr>
            <w:tcW w:w="2022" w:type="dxa"/>
          </w:tcPr>
          <w:p>
            <w:pPr>
              <w:pStyle w:val="TableParagraph"/>
              <w:spacing w:line="204" w:lineRule="auto" w:before="70"/>
              <w:ind w:left="619" w:right="135" w:hanging="420"/>
              <w:rPr>
                <w:rFonts w:ascii="Microsoft JhengHei" w:eastAsia="Microsoft JhengHei" w:hint="eastAsia"/>
                <w:b/>
                <w:sz w:val="21"/>
              </w:rPr>
            </w:pPr>
            <w:r>
              <w:rPr>
                <w:rFonts w:ascii="Microsoft JhengHei" w:eastAsia="Microsoft JhengHei" w:hint="eastAsia"/>
                <w:b/>
                <w:sz w:val="21"/>
              </w:rPr>
              <w:t>61. 需手术切除的嗜铬细胞瘤</w:t>
            </w:r>
          </w:p>
        </w:tc>
        <w:tc>
          <w:tcPr>
            <w:tcW w:w="7627" w:type="dxa"/>
          </w:tcPr>
          <w:p>
            <w:pPr>
              <w:pStyle w:val="TableParagraph"/>
              <w:spacing w:line="273" w:lineRule="auto" w:before="102"/>
              <w:ind w:left="107" w:right="153"/>
              <w:rPr>
                <w:sz w:val="21"/>
              </w:rPr>
            </w:pPr>
            <w:r>
              <w:rPr>
                <w:sz w:val="21"/>
              </w:rPr>
              <w:t>是指肾上腺或嗜铬外组织出现神经内分泌肿瘤，并分泌过多的儿茶酚胺类，需要并实际进行了手术切除肿瘤。嗜铬细胞瘤的诊断必须由内分泌专科医生确定。</w:t>
            </w:r>
          </w:p>
        </w:tc>
      </w:tr>
      <w:tr>
        <w:trPr>
          <w:trHeight w:val="2099" w:hRule="atLeast"/>
        </w:trPr>
        <w:tc>
          <w:tcPr>
            <w:tcW w:w="2022" w:type="dxa"/>
          </w:tcPr>
          <w:p>
            <w:pPr>
              <w:pStyle w:val="TableParagraph"/>
              <w:spacing w:line="204" w:lineRule="auto" w:before="72"/>
              <w:ind w:left="619" w:right="135" w:hanging="420"/>
              <w:rPr>
                <w:rFonts w:ascii="Microsoft JhengHei" w:eastAsia="Microsoft JhengHei" w:hint="eastAsia"/>
                <w:b/>
                <w:sz w:val="21"/>
              </w:rPr>
            </w:pPr>
            <w:r>
              <w:rPr>
                <w:rFonts w:ascii="Microsoft JhengHei" w:eastAsia="Microsoft JhengHei" w:hint="eastAsia"/>
                <w:b/>
                <w:sz w:val="21"/>
              </w:rPr>
              <w:t>62. 进行性核上性麻痹</w:t>
            </w:r>
          </w:p>
          <w:p>
            <w:pPr>
              <w:pStyle w:val="TableParagraph"/>
              <w:spacing w:line="204" w:lineRule="auto"/>
              <w:ind w:left="619"/>
              <w:rPr>
                <w:rFonts w:ascii="Microsoft JhengHei" w:hAnsi="Microsoft JhengHei"/>
                <w:b/>
                <w:sz w:val="21"/>
              </w:rPr>
            </w:pPr>
            <w:r>
              <w:rPr>
                <w:rFonts w:ascii="Microsoft JhengHei" w:hAnsi="Microsoft JhengHei"/>
                <w:b/>
                <w:w w:val="85"/>
                <w:sz w:val="21"/>
              </w:rPr>
              <w:t>(Steele-Rchar </w:t>
            </w:r>
            <w:r>
              <w:rPr>
                <w:rFonts w:ascii="Microsoft JhengHei" w:hAnsi="Microsoft JhengHei"/>
                <w:b/>
                <w:sz w:val="21"/>
              </w:rPr>
              <w:t>dson—</w:t>
            </w:r>
          </w:p>
          <w:p>
            <w:pPr>
              <w:pStyle w:val="TableParagraph"/>
              <w:spacing w:line="204" w:lineRule="auto"/>
              <w:ind w:left="619" w:right="178"/>
              <w:rPr>
                <w:rFonts w:ascii="Microsoft JhengHei" w:eastAsia="Microsoft JhengHei" w:hint="eastAsia"/>
                <w:b/>
                <w:sz w:val="21"/>
              </w:rPr>
            </w:pPr>
            <w:r>
              <w:rPr>
                <w:rFonts w:ascii="Microsoft JhengHei" w:eastAsia="Microsoft JhengHei" w:hint="eastAsia"/>
                <w:b/>
                <w:w w:val="95"/>
                <w:sz w:val="21"/>
              </w:rPr>
              <w:t>Olszewski 综</w:t>
            </w:r>
            <w:r>
              <w:rPr>
                <w:rFonts w:ascii="Microsoft JhengHei" w:eastAsia="Microsoft JhengHei" w:hint="eastAsia"/>
                <w:b/>
                <w:sz w:val="21"/>
              </w:rPr>
              <w:t>合征)</w:t>
            </w:r>
          </w:p>
        </w:tc>
        <w:tc>
          <w:tcPr>
            <w:tcW w:w="7627" w:type="dxa"/>
          </w:tcPr>
          <w:p>
            <w:pPr>
              <w:pStyle w:val="TableParagraph"/>
              <w:spacing w:line="273" w:lineRule="auto" w:before="103"/>
              <w:ind w:left="107" w:right="198"/>
              <w:jc w:val="both"/>
              <w:rPr>
                <w:sz w:val="21"/>
              </w:rPr>
            </w:pPr>
            <w:r>
              <w:rPr>
                <w:spacing w:val="-3"/>
                <w:sz w:val="21"/>
              </w:rPr>
              <w:t>进行性核上性麻痹</w:t>
            </w:r>
            <w:r>
              <w:rPr>
                <w:sz w:val="21"/>
              </w:rPr>
              <w:t>（PSP）</w:t>
            </w:r>
            <w:r>
              <w:rPr>
                <w:spacing w:val="-5"/>
                <w:sz w:val="21"/>
              </w:rPr>
              <w:t>又称 </w:t>
            </w:r>
            <w:r>
              <w:rPr>
                <w:sz w:val="21"/>
              </w:rPr>
              <w:t>Steele-Rchardson—Olszewski</w:t>
            </w:r>
            <w:r>
              <w:rPr>
                <w:spacing w:val="-5"/>
                <w:sz w:val="21"/>
              </w:rPr>
              <w:t> 综合征，是一种</w:t>
            </w:r>
            <w:r>
              <w:rPr>
                <w:spacing w:val="-7"/>
                <w:sz w:val="21"/>
              </w:rPr>
              <w:t>少见的神经系统变性疾病，以假球麻痹、垂直性核上性眼肌麻痹、锥体外系肌僵</w:t>
            </w:r>
            <w:r>
              <w:rPr>
                <w:spacing w:val="-5"/>
                <w:sz w:val="21"/>
              </w:rPr>
              <w:t>直、步态共济失调和轻度痴呆为主要临床特征。</w:t>
            </w:r>
            <w:r>
              <w:rPr>
                <w:sz w:val="21"/>
              </w:rPr>
              <w:t>PSP</w:t>
            </w:r>
            <w:r>
              <w:rPr>
                <w:spacing w:val="-3"/>
                <w:sz w:val="21"/>
              </w:rPr>
              <w:t> 必须由三级甲等医院的神经</w:t>
            </w:r>
            <w:r>
              <w:rPr>
                <w:spacing w:val="-7"/>
                <w:sz w:val="21"/>
              </w:rPr>
              <w:t>内科专科医生确诊，并且被保险人自主生活能力完全丧失，无法独立完成六项基</w:t>
            </w:r>
            <w:r>
              <w:rPr>
                <w:spacing w:val="-5"/>
                <w:sz w:val="21"/>
              </w:rPr>
              <w:t>本日常生活活动中的三项或三项以上。</w:t>
            </w:r>
          </w:p>
        </w:tc>
      </w:tr>
      <w:tr>
        <w:trPr>
          <w:trHeight w:val="1475" w:hRule="atLeast"/>
        </w:trPr>
        <w:tc>
          <w:tcPr>
            <w:tcW w:w="2022" w:type="dxa"/>
          </w:tcPr>
          <w:p>
            <w:pPr>
              <w:pStyle w:val="TableParagraph"/>
              <w:spacing w:line="204" w:lineRule="auto" w:before="71"/>
              <w:ind w:left="619" w:right="135" w:hanging="420"/>
              <w:rPr>
                <w:rFonts w:ascii="Microsoft JhengHei" w:eastAsia="Microsoft JhengHei" w:hint="eastAsia"/>
                <w:b/>
                <w:sz w:val="21"/>
              </w:rPr>
            </w:pPr>
            <w:r>
              <w:rPr>
                <w:rFonts w:ascii="Microsoft JhengHei" w:eastAsia="Microsoft JhengHei" w:hint="eastAsia"/>
                <w:b/>
                <w:sz w:val="21"/>
              </w:rPr>
              <w:t>63. 严重幼年型类风湿性关节炎</w:t>
            </w:r>
          </w:p>
        </w:tc>
        <w:tc>
          <w:tcPr>
            <w:tcW w:w="7627" w:type="dxa"/>
          </w:tcPr>
          <w:p>
            <w:pPr>
              <w:pStyle w:val="TableParagraph"/>
              <w:spacing w:line="273" w:lineRule="auto" w:before="102"/>
              <w:ind w:left="107" w:right="154"/>
              <w:rPr>
                <w:sz w:val="21"/>
              </w:rPr>
            </w:pPr>
            <w:r>
              <w:rPr>
                <w:sz w:val="21"/>
              </w:rPr>
              <w:t>幼年型类风湿关节炎是一种儿童期发病的慢性关节炎，其特点为在高热和系统性病征出现数月后发生关节炎。</w:t>
            </w:r>
          </w:p>
          <w:p>
            <w:pPr>
              <w:pStyle w:val="TableParagraph"/>
              <w:spacing w:line="259" w:lineRule="auto"/>
              <w:ind w:left="107" w:right="211"/>
              <w:rPr>
                <w:b/>
                <w:i/>
                <w:sz w:val="22"/>
              </w:rPr>
            </w:pPr>
            <w:r>
              <w:rPr>
                <w:b/>
                <w:i/>
                <w:w w:val="95"/>
                <w:sz w:val="22"/>
              </w:rPr>
              <w:t>本保单仅对实际接受了膝关节或髋关节置换手术治疗的严重的幼年型类风湿关节炎予以理赔。</w:t>
            </w:r>
          </w:p>
        </w:tc>
      </w:tr>
      <w:tr>
        <w:trPr>
          <w:trHeight w:val="2100" w:hRule="atLeast"/>
        </w:trPr>
        <w:tc>
          <w:tcPr>
            <w:tcW w:w="2022" w:type="dxa"/>
          </w:tcPr>
          <w:p>
            <w:pPr>
              <w:pStyle w:val="TableParagraph"/>
              <w:spacing w:line="204" w:lineRule="auto" w:before="72"/>
              <w:ind w:left="619" w:right="135" w:hanging="420"/>
              <w:rPr>
                <w:rFonts w:ascii="Microsoft JhengHei" w:eastAsia="Microsoft JhengHei" w:hint="eastAsia"/>
                <w:b/>
                <w:sz w:val="21"/>
              </w:rPr>
            </w:pPr>
            <w:r>
              <w:rPr>
                <w:rFonts w:ascii="Microsoft JhengHei" w:eastAsia="Microsoft JhengHei" w:hint="eastAsia"/>
                <w:b/>
                <w:sz w:val="21"/>
              </w:rPr>
              <w:t>64. 严重肠道疾病并发症(本项保险责任仅在被保险人 18 周岁以前提供保障)</w:t>
            </w:r>
          </w:p>
        </w:tc>
        <w:tc>
          <w:tcPr>
            <w:tcW w:w="7627" w:type="dxa"/>
          </w:tcPr>
          <w:p>
            <w:pPr>
              <w:pStyle w:val="TableParagraph"/>
              <w:spacing w:before="103"/>
              <w:ind w:left="107"/>
              <w:rPr>
                <w:sz w:val="21"/>
              </w:rPr>
            </w:pPr>
            <w:r>
              <w:rPr>
                <w:sz w:val="21"/>
              </w:rPr>
              <w:t>严重肠道疾病或外伤导致小肠损害并发症，必须满足以下所有条件：</w:t>
            </w:r>
          </w:p>
          <w:p>
            <w:pPr>
              <w:pStyle w:val="TableParagraph"/>
              <w:spacing w:before="37"/>
              <w:ind w:left="107"/>
              <w:rPr>
                <w:sz w:val="21"/>
              </w:rPr>
            </w:pPr>
            <w:r>
              <w:rPr>
                <w:sz w:val="21"/>
              </w:rPr>
              <w:t>（1）至少切除了三分之二小肠；</w:t>
            </w:r>
          </w:p>
          <w:p>
            <w:pPr>
              <w:pStyle w:val="TableParagraph"/>
              <w:spacing w:before="36"/>
              <w:ind w:left="107"/>
              <w:rPr>
                <w:sz w:val="21"/>
              </w:rPr>
            </w:pPr>
            <w:r>
              <w:rPr>
                <w:sz w:val="21"/>
              </w:rPr>
              <w:t>（2）完全肠外营养支持 3 个月以上。</w:t>
            </w:r>
          </w:p>
          <w:p>
            <w:pPr>
              <w:pStyle w:val="TableParagraph"/>
              <w:spacing w:before="24"/>
              <w:ind w:left="107"/>
              <w:rPr>
                <w:b/>
                <w:i/>
                <w:sz w:val="22"/>
              </w:rPr>
            </w:pPr>
            <w:r>
              <w:rPr>
                <w:b/>
                <w:i/>
                <w:w w:val="95"/>
                <w:sz w:val="22"/>
              </w:rPr>
              <w:t>本项保险责任仅在被保险人 18 周岁以前提供保障。</w:t>
            </w:r>
          </w:p>
        </w:tc>
      </w:tr>
      <w:tr>
        <w:trPr>
          <w:trHeight w:val="2410" w:hRule="atLeast"/>
        </w:trPr>
        <w:tc>
          <w:tcPr>
            <w:tcW w:w="2022" w:type="dxa"/>
          </w:tcPr>
          <w:p>
            <w:pPr>
              <w:pStyle w:val="TableParagraph"/>
              <w:spacing w:line="204" w:lineRule="auto" w:before="72"/>
              <w:ind w:left="619" w:right="106" w:hanging="420"/>
              <w:jc w:val="both"/>
              <w:rPr>
                <w:rFonts w:ascii="Microsoft JhengHei" w:eastAsia="Microsoft JhengHei" w:hint="eastAsia"/>
                <w:b/>
                <w:sz w:val="21"/>
              </w:rPr>
            </w:pPr>
            <w:r>
              <w:rPr>
                <w:rFonts w:ascii="Microsoft JhengHei" w:eastAsia="Microsoft JhengHei" w:hint="eastAsia"/>
                <w:b/>
                <w:sz w:val="21"/>
              </w:rPr>
              <w:t>65. 严重瑞氏综合</w:t>
            </w:r>
            <w:r>
              <w:rPr>
                <w:rFonts w:ascii="Microsoft JhengHei" w:eastAsia="Microsoft JhengHei" w:hint="eastAsia"/>
                <w:b/>
                <w:spacing w:val="-51"/>
                <w:sz w:val="21"/>
              </w:rPr>
              <w:t>症</w:t>
            </w:r>
            <w:r>
              <w:rPr>
                <w:rFonts w:ascii="Microsoft JhengHei" w:eastAsia="Microsoft JhengHei" w:hint="eastAsia"/>
                <w:b/>
                <w:sz w:val="21"/>
              </w:rPr>
              <w:t>（Reye</w:t>
            </w:r>
            <w:r>
              <w:rPr>
                <w:rFonts w:ascii="Microsoft JhengHei" w:eastAsia="Microsoft JhengHei" w:hint="eastAsia"/>
                <w:b/>
                <w:spacing w:val="-15"/>
                <w:sz w:val="21"/>
              </w:rPr>
              <w:t> 综合</w:t>
            </w:r>
            <w:r>
              <w:rPr>
                <w:rFonts w:ascii="Microsoft JhengHei" w:eastAsia="Microsoft JhengHei" w:hint="eastAsia"/>
                <w:b/>
                <w:spacing w:val="-1"/>
                <w:sz w:val="21"/>
              </w:rPr>
              <w:t>征，也称赖氏</w:t>
            </w:r>
            <w:r>
              <w:rPr>
                <w:rFonts w:ascii="Microsoft JhengHei" w:eastAsia="Microsoft JhengHei" w:hint="eastAsia"/>
                <w:b/>
                <w:spacing w:val="-2"/>
                <w:sz w:val="21"/>
              </w:rPr>
              <w:t>综合征、雷氏</w:t>
            </w:r>
            <w:r>
              <w:rPr>
                <w:rFonts w:ascii="Microsoft JhengHei" w:eastAsia="Microsoft JhengHei" w:hint="eastAsia"/>
                <w:b/>
                <w:spacing w:val="-3"/>
                <w:sz w:val="21"/>
              </w:rPr>
              <w:t>综合征</w:t>
            </w:r>
            <w:r>
              <w:rPr>
                <w:rFonts w:ascii="Microsoft JhengHei" w:eastAsia="Microsoft JhengHei" w:hint="eastAsia"/>
                <w:b/>
                <w:sz w:val="21"/>
              </w:rPr>
              <w:t>）</w:t>
            </w:r>
          </w:p>
        </w:tc>
        <w:tc>
          <w:tcPr>
            <w:tcW w:w="7627" w:type="dxa"/>
          </w:tcPr>
          <w:p>
            <w:pPr>
              <w:pStyle w:val="TableParagraph"/>
              <w:spacing w:line="273" w:lineRule="auto" w:before="103"/>
              <w:ind w:left="107" w:right="198"/>
              <w:jc w:val="both"/>
              <w:rPr>
                <w:sz w:val="21"/>
              </w:rPr>
            </w:pPr>
            <w:r>
              <w:rPr>
                <w:spacing w:val="-7"/>
                <w:sz w:val="21"/>
              </w:rPr>
              <w:t>瑞氏综合征是线粒体功能障碍性疾病。导致脂肪代谢障碍，引起短链脂肪酸、血氨升高，造成脑水肿。主要临床表现为急性发热、反复呕吐、惊厥及意识障碍等等。</w:t>
            </w:r>
          </w:p>
          <w:p>
            <w:pPr>
              <w:pStyle w:val="TableParagraph"/>
              <w:spacing w:before="7"/>
              <w:ind w:left="107"/>
              <w:jc w:val="both"/>
              <w:rPr>
                <w:sz w:val="21"/>
              </w:rPr>
            </w:pPr>
            <w:r>
              <w:rPr>
                <w:sz w:val="21"/>
              </w:rPr>
              <w:t>瑞氏综合征需由三级医院的儿科专科医生确诊，并符合下列所有条件：</w:t>
            </w:r>
          </w:p>
          <w:p>
            <w:pPr>
              <w:pStyle w:val="TableParagraph"/>
              <w:spacing w:before="37"/>
              <w:ind w:left="107"/>
              <w:jc w:val="both"/>
              <w:rPr>
                <w:sz w:val="21"/>
              </w:rPr>
            </w:pPr>
            <w:r>
              <w:rPr>
                <w:sz w:val="21"/>
              </w:rPr>
              <w:t>（1）有脑水肿和颅内压升高的脑脊液检查和影像学检查证据；</w:t>
            </w:r>
          </w:p>
          <w:p>
            <w:pPr>
              <w:pStyle w:val="TableParagraph"/>
              <w:spacing w:before="37"/>
              <w:ind w:left="107"/>
              <w:jc w:val="both"/>
              <w:rPr>
                <w:sz w:val="21"/>
              </w:rPr>
            </w:pPr>
            <w:r>
              <w:rPr>
                <w:sz w:val="21"/>
              </w:rPr>
              <w:t>（2）血氨超过正常值的 3 倍；</w:t>
            </w:r>
          </w:p>
          <w:p>
            <w:pPr>
              <w:pStyle w:val="TableParagraph"/>
              <w:spacing w:before="37"/>
              <w:ind w:left="107"/>
              <w:jc w:val="both"/>
              <w:rPr>
                <w:sz w:val="21"/>
              </w:rPr>
            </w:pPr>
            <w:r>
              <w:rPr>
                <w:sz w:val="21"/>
              </w:rPr>
              <w:t>（3）临床出现昏迷，病程至少达到疾病分期第 3 期。</w:t>
            </w:r>
          </w:p>
        </w:tc>
      </w:tr>
      <w:tr>
        <w:trPr>
          <w:trHeight w:val="2249" w:hRule="atLeast"/>
        </w:trPr>
        <w:tc>
          <w:tcPr>
            <w:tcW w:w="2022" w:type="dxa"/>
          </w:tcPr>
          <w:p>
            <w:pPr>
              <w:pStyle w:val="TableParagraph"/>
              <w:spacing w:line="204" w:lineRule="auto" w:before="71"/>
              <w:ind w:left="619" w:right="135" w:hanging="420"/>
              <w:rPr>
                <w:rFonts w:ascii="Microsoft JhengHei" w:eastAsia="Microsoft JhengHei" w:hint="eastAsia"/>
                <w:b/>
                <w:sz w:val="21"/>
              </w:rPr>
            </w:pPr>
            <w:r>
              <w:rPr>
                <w:rFonts w:ascii="Microsoft JhengHei" w:eastAsia="Microsoft JhengHei" w:hint="eastAsia"/>
                <w:b/>
                <w:sz w:val="21"/>
              </w:rPr>
              <w:t>66. 严重自身免疫性肝炎</w:t>
            </w:r>
          </w:p>
        </w:tc>
        <w:tc>
          <w:tcPr>
            <w:tcW w:w="7627" w:type="dxa"/>
          </w:tcPr>
          <w:p>
            <w:pPr>
              <w:pStyle w:val="TableParagraph"/>
              <w:spacing w:line="273" w:lineRule="auto" w:before="102"/>
              <w:ind w:left="107" w:right="198"/>
              <w:jc w:val="both"/>
              <w:rPr>
                <w:sz w:val="21"/>
              </w:rPr>
            </w:pPr>
            <w:r>
              <w:rPr>
                <w:spacing w:val="-5"/>
                <w:sz w:val="21"/>
              </w:rPr>
              <w:t>自身免疫性肝炎是一种原因不明的慢性肝脏的坏死性炎性疾病，机体免疫机制被</w:t>
            </w:r>
            <w:r>
              <w:rPr>
                <w:spacing w:val="-8"/>
                <w:sz w:val="21"/>
              </w:rPr>
              <w:t>破坏，产生针对肝脏自身抗原的抗体导致自身免疫反应，从而破坏肝细胞造成肝</w:t>
            </w:r>
            <w:r>
              <w:rPr>
                <w:spacing w:val="-5"/>
                <w:sz w:val="21"/>
              </w:rPr>
              <w:t>脏炎症坏死，进而发展为肝硬化。必须满足所有以下条件：</w:t>
            </w:r>
          </w:p>
          <w:p>
            <w:pPr>
              <w:pStyle w:val="TableParagraph"/>
              <w:spacing w:before="7"/>
              <w:ind w:left="107"/>
              <w:rPr>
                <w:sz w:val="21"/>
              </w:rPr>
            </w:pPr>
            <w:r>
              <w:rPr>
                <w:sz w:val="21"/>
              </w:rPr>
              <w:t>（1）高γ球蛋白血症；</w:t>
            </w:r>
          </w:p>
          <w:p>
            <w:pPr>
              <w:pStyle w:val="TableParagraph"/>
              <w:spacing w:line="273" w:lineRule="auto" w:before="37"/>
              <w:ind w:left="633" w:right="198" w:hanging="527"/>
              <w:rPr>
                <w:sz w:val="21"/>
              </w:rPr>
            </w:pPr>
            <w:r>
              <w:rPr>
                <w:sz w:val="21"/>
              </w:rPr>
              <w:t>（2）血液中存在高水平的自身免疫抗体，如ANA（抗核抗体）、SMA（抗平滑肌抗体）、抗LKM1抗体或抗-SLA/LP抗体；</w:t>
            </w:r>
          </w:p>
          <w:p>
            <w:pPr>
              <w:pStyle w:val="TableParagraph"/>
              <w:spacing w:line="255" w:lineRule="exact" w:before="7"/>
              <w:ind w:left="107"/>
              <w:jc w:val="both"/>
              <w:rPr>
                <w:sz w:val="21"/>
              </w:rPr>
            </w:pPr>
            <w:r>
              <w:rPr>
                <w:sz w:val="21"/>
              </w:rPr>
              <w:t>（3）肝脏活检证实免疫性肝炎；</w:t>
            </w:r>
          </w:p>
        </w:tc>
      </w:tr>
    </w:tbl>
    <w:p>
      <w:pPr>
        <w:spacing w:after="0" w:line="255" w:lineRule="exact"/>
        <w:jc w:val="both"/>
        <w:rPr>
          <w:sz w:val="21"/>
        </w:rPr>
        <w:sectPr>
          <w:pgSz w:w="11910" w:h="16840"/>
          <w:pgMar w:header="0" w:footer="358" w:top="1160" w:bottom="540" w:left="1360" w:right="66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2"/>
        <w:gridCol w:w="7716"/>
      </w:tblGrid>
      <w:tr>
        <w:trPr>
          <w:trHeight w:val="372" w:hRule="atLeast"/>
        </w:trPr>
        <w:tc>
          <w:tcPr>
            <w:tcW w:w="2022" w:type="dxa"/>
          </w:tcPr>
          <w:p>
            <w:pPr>
              <w:pStyle w:val="TableParagraph"/>
              <w:ind w:left="0"/>
              <w:rPr>
                <w:rFonts w:ascii="Times New Roman"/>
                <w:sz w:val="20"/>
              </w:rPr>
            </w:pPr>
          </w:p>
        </w:tc>
        <w:tc>
          <w:tcPr>
            <w:tcW w:w="7716" w:type="dxa"/>
          </w:tcPr>
          <w:p>
            <w:pPr>
              <w:pStyle w:val="TableParagraph"/>
              <w:spacing w:line="211" w:lineRule="exact"/>
              <w:ind w:left="107"/>
              <w:rPr>
                <w:sz w:val="21"/>
              </w:rPr>
            </w:pPr>
            <w:r>
              <w:rPr>
                <w:sz w:val="21"/>
              </w:rPr>
              <w:t>（4）临床已经出现腹水、食道静脉曲张和脾肿大等肝硬化表现。</w:t>
            </w:r>
          </w:p>
        </w:tc>
      </w:tr>
      <w:tr>
        <w:trPr>
          <w:trHeight w:val="2412" w:hRule="atLeast"/>
        </w:trPr>
        <w:tc>
          <w:tcPr>
            <w:tcW w:w="2022" w:type="dxa"/>
          </w:tcPr>
          <w:p>
            <w:pPr>
              <w:pStyle w:val="TableParagraph"/>
              <w:spacing w:line="204" w:lineRule="auto" w:before="73"/>
              <w:ind w:left="619" w:right="106" w:hanging="420"/>
              <w:rPr>
                <w:rFonts w:ascii="Microsoft JhengHei" w:eastAsia="Microsoft JhengHei" w:hint="eastAsia"/>
                <w:b/>
                <w:sz w:val="21"/>
              </w:rPr>
            </w:pPr>
            <w:r>
              <w:rPr>
                <w:rFonts w:ascii="Microsoft JhengHei" w:eastAsia="Microsoft JhengHei" w:hint="eastAsia"/>
                <w:b/>
                <w:sz w:val="21"/>
              </w:rPr>
              <w:t>67. 严重的III 度房室传导阻滞</w:t>
            </w:r>
          </w:p>
        </w:tc>
        <w:tc>
          <w:tcPr>
            <w:tcW w:w="7716" w:type="dxa"/>
          </w:tcPr>
          <w:p>
            <w:pPr>
              <w:pStyle w:val="TableParagraph"/>
              <w:spacing w:line="273" w:lineRule="auto" w:before="104"/>
              <w:ind w:left="107" w:right="287"/>
              <w:rPr>
                <w:sz w:val="21"/>
              </w:rPr>
            </w:pPr>
            <w:r>
              <w:rPr>
                <w:spacing w:val="-6"/>
                <w:sz w:val="21"/>
              </w:rPr>
              <w:t>指心房激动在房室交界区、房室束及其分支内发生阻滞，不能正常地传到心室的</w:t>
            </w:r>
            <w:r>
              <w:rPr>
                <w:spacing w:val="-4"/>
                <w:sz w:val="21"/>
              </w:rPr>
              <w:t>心脏传导性疾病，须满足下列所有条件：</w:t>
            </w:r>
          </w:p>
          <w:p>
            <w:pPr>
              <w:pStyle w:val="TableParagraph"/>
              <w:spacing w:before="7"/>
              <w:ind w:left="107"/>
              <w:rPr>
                <w:sz w:val="21"/>
              </w:rPr>
            </w:pPr>
            <w:r>
              <w:rPr>
                <w:sz w:val="21"/>
              </w:rPr>
              <w:t>（1）心电图显示房室搏动彼此独立，心室率&lt;40次/分钟；</w:t>
            </w:r>
          </w:p>
          <w:p>
            <w:pPr>
              <w:pStyle w:val="TableParagraph"/>
              <w:spacing w:before="36"/>
              <w:ind w:left="107"/>
              <w:rPr>
                <w:sz w:val="21"/>
              </w:rPr>
            </w:pPr>
            <w:r>
              <w:rPr>
                <w:sz w:val="21"/>
              </w:rPr>
              <w:t>（2）动态心电图显示至少3秒的RR间期；</w:t>
            </w:r>
          </w:p>
          <w:p>
            <w:pPr>
              <w:pStyle w:val="TableParagraph"/>
              <w:spacing w:before="36"/>
              <w:ind w:left="107"/>
              <w:rPr>
                <w:sz w:val="21"/>
              </w:rPr>
            </w:pPr>
            <w:r>
              <w:rPr>
                <w:sz w:val="21"/>
              </w:rPr>
              <w:t>（3）出现阿-斯综合征或心力衰竭的表现；</w:t>
            </w:r>
          </w:p>
          <w:p>
            <w:pPr>
              <w:pStyle w:val="TableParagraph"/>
              <w:spacing w:line="273" w:lineRule="auto" w:before="36"/>
              <w:ind w:left="633" w:right="289" w:hanging="527"/>
              <w:rPr>
                <w:sz w:val="21"/>
              </w:rPr>
            </w:pPr>
            <w:r>
              <w:rPr>
                <w:sz w:val="21"/>
              </w:rPr>
              <w:t>（4）必须持续性依赖心脏起搏器维持心脏正常功能，且已经放置永久性心脏起搏器。</w:t>
            </w:r>
          </w:p>
        </w:tc>
      </w:tr>
      <w:tr>
        <w:trPr>
          <w:trHeight w:val="1787" w:hRule="atLeast"/>
        </w:trPr>
        <w:tc>
          <w:tcPr>
            <w:tcW w:w="2022" w:type="dxa"/>
          </w:tcPr>
          <w:p>
            <w:pPr>
              <w:pStyle w:val="TableParagraph"/>
              <w:spacing w:line="204" w:lineRule="auto" w:before="72"/>
              <w:ind w:left="619" w:right="135" w:hanging="420"/>
              <w:rPr>
                <w:rFonts w:ascii="Microsoft JhengHei" w:eastAsia="Microsoft JhengHei" w:hint="eastAsia"/>
                <w:b/>
                <w:sz w:val="21"/>
              </w:rPr>
            </w:pPr>
            <w:r>
              <w:rPr>
                <w:rFonts w:ascii="Microsoft JhengHei" w:eastAsia="Microsoft JhengHei" w:hint="eastAsia"/>
                <w:b/>
                <w:sz w:val="21"/>
              </w:rPr>
              <w:t>68. 细菌性脑脊髓膜炎</w:t>
            </w:r>
          </w:p>
        </w:tc>
        <w:tc>
          <w:tcPr>
            <w:tcW w:w="7716" w:type="dxa"/>
          </w:tcPr>
          <w:p>
            <w:pPr>
              <w:pStyle w:val="TableParagraph"/>
              <w:spacing w:before="104"/>
              <w:ind w:left="107"/>
              <w:rPr>
                <w:sz w:val="21"/>
              </w:rPr>
            </w:pPr>
            <w:r>
              <w:rPr>
                <w:sz w:val="21"/>
              </w:rPr>
              <w:t>指因脑膜炎双球菌感染引起脑脊髓膜化脓性病变，且导致永久性神经损害，持续</w:t>
            </w:r>
          </w:p>
          <w:p>
            <w:pPr>
              <w:pStyle w:val="TableParagraph"/>
              <w:spacing w:before="37"/>
              <w:ind w:left="107"/>
              <w:rPr>
                <w:sz w:val="21"/>
              </w:rPr>
            </w:pPr>
            <w:r>
              <w:rPr>
                <w:sz w:val="21"/>
              </w:rPr>
              <w:t>90天以上，并且脑脊液检查显示脑膜炎双球菌阳性。</w:t>
            </w:r>
          </w:p>
          <w:p>
            <w:pPr>
              <w:pStyle w:val="TableParagraph"/>
              <w:spacing w:line="273" w:lineRule="auto" w:before="37"/>
              <w:ind w:left="107" w:right="287"/>
              <w:jc w:val="both"/>
              <w:rPr>
                <w:sz w:val="21"/>
              </w:rPr>
            </w:pPr>
            <w:r>
              <w:rPr>
                <w:spacing w:val="-6"/>
                <w:sz w:val="21"/>
              </w:rPr>
              <w:t>永久性神经损害是指由细菌性脑脊髓膜炎引起的耳聋、失明、动眼神经麻痹、瘫</w:t>
            </w:r>
            <w:r>
              <w:rPr>
                <w:spacing w:val="-5"/>
                <w:sz w:val="21"/>
              </w:rPr>
              <w:t>痪、脑积水、智力或性情中度以上的损害，且上述症状持续 </w:t>
            </w:r>
            <w:r>
              <w:rPr>
                <w:sz w:val="21"/>
              </w:rPr>
              <w:t>90 天以上仍无改善迹象。</w:t>
            </w:r>
          </w:p>
        </w:tc>
      </w:tr>
      <w:tr>
        <w:trPr>
          <w:trHeight w:val="3659" w:hRule="atLeast"/>
        </w:trPr>
        <w:tc>
          <w:tcPr>
            <w:tcW w:w="2022" w:type="dxa"/>
          </w:tcPr>
          <w:p>
            <w:pPr>
              <w:pStyle w:val="TableParagraph"/>
              <w:spacing w:line="204" w:lineRule="auto" w:before="72"/>
              <w:ind w:left="619" w:right="135" w:hanging="420"/>
              <w:rPr>
                <w:rFonts w:ascii="Microsoft JhengHei" w:eastAsia="Microsoft JhengHei" w:hint="eastAsia"/>
                <w:b/>
                <w:sz w:val="21"/>
              </w:rPr>
            </w:pPr>
            <w:r>
              <w:rPr>
                <w:rFonts w:ascii="Microsoft JhengHei" w:eastAsia="Microsoft JhengHei" w:hint="eastAsia"/>
                <w:b/>
                <w:sz w:val="21"/>
              </w:rPr>
              <w:t>69. 严重感染性心内膜炎</w:t>
            </w:r>
          </w:p>
        </w:tc>
        <w:tc>
          <w:tcPr>
            <w:tcW w:w="7716" w:type="dxa"/>
          </w:tcPr>
          <w:p>
            <w:pPr>
              <w:pStyle w:val="TableParagraph"/>
              <w:spacing w:before="103"/>
              <w:ind w:left="107"/>
              <w:rPr>
                <w:sz w:val="21"/>
              </w:rPr>
            </w:pPr>
            <w:r>
              <w:rPr>
                <w:sz w:val="21"/>
              </w:rPr>
              <w:t>因感染性病原体造成心脏内膜发炎，并符合下列所有条件：</w:t>
            </w:r>
          </w:p>
          <w:p>
            <w:pPr>
              <w:pStyle w:val="TableParagraph"/>
              <w:spacing w:before="37"/>
              <w:ind w:left="107"/>
              <w:rPr>
                <w:sz w:val="21"/>
              </w:rPr>
            </w:pPr>
            <w:r>
              <w:rPr>
                <w:sz w:val="21"/>
              </w:rPr>
              <w:t>（1）血液培养测试结果为阳性，证实存在感染病原体：</w:t>
            </w:r>
          </w:p>
          <w:p>
            <w:pPr>
              <w:pStyle w:val="TableParagraph"/>
              <w:spacing w:line="273" w:lineRule="auto" w:before="37"/>
              <w:ind w:left="842" w:right="292" w:hanging="209"/>
              <w:rPr>
                <w:sz w:val="21"/>
              </w:rPr>
            </w:pPr>
            <w:r>
              <w:rPr>
                <w:sz w:val="21"/>
              </w:rPr>
              <w:t>①微生物：在赘生物、栓塞的赘生物或心脏内脓疡经培养或组织检查证实有微生物；或</w:t>
            </w:r>
          </w:p>
          <w:p>
            <w:pPr>
              <w:pStyle w:val="TableParagraph"/>
              <w:spacing w:line="273" w:lineRule="auto" w:before="7"/>
              <w:ind w:left="842" w:right="292" w:hanging="209"/>
              <w:rPr>
                <w:sz w:val="21"/>
              </w:rPr>
            </w:pPr>
            <w:r>
              <w:rPr>
                <w:sz w:val="21"/>
              </w:rPr>
              <w:t>②病理性病灶：组织病理学检查证实赘生物或心脏内脓疡有活动性心内膜炎；或</w:t>
            </w:r>
          </w:p>
          <w:p>
            <w:pPr>
              <w:pStyle w:val="TableParagraph"/>
              <w:spacing w:before="7"/>
              <w:ind w:left="633"/>
              <w:rPr>
                <w:sz w:val="21"/>
              </w:rPr>
            </w:pPr>
            <w:r>
              <w:rPr>
                <w:sz w:val="21"/>
              </w:rPr>
              <w:t>③分别两次血液培养证实有典型的病原体且与心内膜炎吻合；或</w:t>
            </w:r>
          </w:p>
          <w:p>
            <w:pPr>
              <w:pStyle w:val="TableParagraph"/>
              <w:spacing w:before="37"/>
              <w:ind w:left="633"/>
              <w:rPr>
                <w:sz w:val="21"/>
              </w:rPr>
            </w:pPr>
            <w:r>
              <w:rPr>
                <w:sz w:val="21"/>
              </w:rPr>
              <w:t>④持续血液培养证实有病原体阳性反应，且与心内膜炎吻合。</w:t>
            </w:r>
          </w:p>
          <w:p>
            <w:pPr>
              <w:pStyle w:val="TableParagraph"/>
              <w:spacing w:line="273" w:lineRule="auto" w:before="37"/>
              <w:ind w:left="633" w:right="289" w:hanging="527"/>
              <w:rPr>
                <w:sz w:val="21"/>
              </w:rPr>
            </w:pPr>
            <w:r>
              <w:rPr>
                <w:spacing w:val="-11"/>
                <w:sz w:val="21"/>
              </w:rPr>
              <w:t>（2）</w:t>
            </w:r>
            <w:r>
              <w:rPr>
                <w:spacing w:val="-5"/>
                <w:sz w:val="21"/>
              </w:rPr>
              <w:t>心内膜炎引起中度心瓣膜闭锁不全</w:t>
            </w:r>
            <w:r>
              <w:rPr>
                <w:sz w:val="21"/>
              </w:rPr>
              <w:t>（</w:t>
            </w:r>
            <w:r>
              <w:rPr>
                <w:spacing w:val="-7"/>
                <w:sz w:val="21"/>
              </w:rPr>
              <w:t>指返流分数 </w:t>
            </w:r>
            <w:r>
              <w:rPr>
                <w:sz w:val="21"/>
              </w:rPr>
              <w:t>20</w:t>
            </w:r>
            <w:r>
              <w:rPr>
                <w:spacing w:val="-2"/>
                <w:sz w:val="21"/>
              </w:rPr>
              <w:t>%或以上</w:t>
            </w:r>
            <w:r>
              <w:rPr>
                <w:spacing w:val="-29"/>
                <w:sz w:val="21"/>
              </w:rPr>
              <w:t>）</w:t>
            </w:r>
            <w:r>
              <w:rPr>
                <w:spacing w:val="-3"/>
                <w:sz w:val="21"/>
              </w:rPr>
              <w:t>或中度心瓣膜</w:t>
            </w:r>
            <w:r>
              <w:rPr>
                <w:spacing w:val="-3"/>
                <w:w w:val="100"/>
                <w:sz w:val="21"/>
              </w:rPr>
              <w:t>狭窄（指心瓣膜开口范围小于或等于正常的</w:t>
            </w:r>
            <w:r>
              <w:rPr>
                <w:spacing w:val="-3"/>
                <w:sz w:val="21"/>
              </w:rPr>
              <w:t> </w:t>
            </w:r>
            <w:r>
              <w:rPr>
                <w:spacing w:val="-3"/>
                <w:w w:val="100"/>
                <w:sz w:val="21"/>
              </w:rPr>
              <w:t>3</w:t>
            </w:r>
            <w:r>
              <w:rPr>
                <w:w w:val="100"/>
                <w:sz w:val="21"/>
              </w:rPr>
              <w:t>0</w:t>
            </w:r>
            <w:r>
              <w:rPr>
                <w:spacing w:val="-1"/>
                <w:w w:val="100"/>
                <w:sz w:val="21"/>
              </w:rPr>
              <w:t>%</w:t>
            </w:r>
            <w:r>
              <w:rPr>
                <w:spacing w:val="-108"/>
                <w:w w:val="100"/>
                <w:sz w:val="21"/>
              </w:rPr>
              <w:t>）</w:t>
            </w:r>
            <w:r>
              <w:rPr>
                <w:spacing w:val="-2"/>
                <w:w w:val="100"/>
                <w:sz w:val="21"/>
              </w:rPr>
              <w:t>；及</w:t>
            </w:r>
          </w:p>
          <w:p>
            <w:pPr>
              <w:pStyle w:val="TableParagraph"/>
              <w:spacing w:before="7"/>
              <w:ind w:left="107"/>
              <w:rPr>
                <w:sz w:val="21"/>
              </w:rPr>
            </w:pPr>
            <w:r>
              <w:rPr>
                <w:sz w:val="21"/>
              </w:rPr>
              <w:t>（3）心内膜炎及心瓣膜病损须经心脏专科医生确诊。</w:t>
            </w:r>
          </w:p>
        </w:tc>
      </w:tr>
      <w:tr>
        <w:trPr>
          <w:trHeight w:val="3347" w:hRule="atLeast"/>
        </w:trPr>
        <w:tc>
          <w:tcPr>
            <w:tcW w:w="2022" w:type="dxa"/>
          </w:tcPr>
          <w:p>
            <w:pPr>
              <w:pStyle w:val="TableParagraph"/>
              <w:spacing w:line="204" w:lineRule="auto" w:before="73"/>
              <w:ind w:left="619" w:right="135" w:hanging="420"/>
              <w:rPr>
                <w:rFonts w:ascii="Microsoft JhengHei" w:eastAsia="Microsoft JhengHei" w:hint="eastAsia"/>
                <w:b/>
                <w:sz w:val="21"/>
              </w:rPr>
            </w:pPr>
            <w:r>
              <w:rPr>
                <w:rFonts w:ascii="Microsoft JhengHei" w:eastAsia="Microsoft JhengHei" w:hint="eastAsia"/>
                <w:b/>
                <w:sz w:val="21"/>
              </w:rPr>
              <w:t>70. 严重的骨髓增生异常综合征</w:t>
            </w:r>
          </w:p>
        </w:tc>
        <w:tc>
          <w:tcPr>
            <w:tcW w:w="7716" w:type="dxa"/>
          </w:tcPr>
          <w:p>
            <w:pPr>
              <w:pStyle w:val="TableParagraph"/>
              <w:spacing w:line="273" w:lineRule="auto" w:before="104"/>
              <w:ind w:left="107" w:right="290"/>
              <w:jc w:val="both"/>
              <w:rPr>
                <w:sz w:val="21"/>
              </w:rPr>
            </w:pPr>
            <w:r>
              <w:rPr>
                <w:spacing w:val="-3"/>
                <w:sz w:val="21"/>
              </w:rPr>
              <w:t>骨髓增生异常综合征</w:t>
            </w:r>
            <w:r>
              <w:rPr>
                <w:sz w:val="21"/>
              </w:rPr>
              <w:t>（myelodysplastic syndromes，MDS）</w:t>
            </w:r>
            <w:r>
              <w:rPr>
                <w:spacing w:val="-3"/>
                <w:sz w:val="21"/>
              </w:rPr>
              <w:t>是起源于造血干细胞</w:t>
            </w:r>
            <w:r>
              <w:rPr>
                <w:spacing w:val="-6"/>
                <w:sz w:val="21"/>
              </w:rPr>
              <w:t>的一组异质性髓系克隆性疾病，特点是髓系细胞发育异常，表现为无效造血、难</w:t>
            </w:r>
            <w:r>
              <w:rPr>
                <w:sz w:val="21"/>
              </w:rPr>
              <w:t>治性血细胞减少，本合同所指的严重的骨髓异常增生综合征需满足下列所有条件：</w:t>
            </w:r>
          </w:p>
          <w:p>
            <w:pPr>
              <w:pStyle w:val="TableParagraph"/>
              <w:spacing w:line="273" w:lineRule="auto" w:before="7"/>
              <w:ind w:left="633" w:right="294" w:hanging="527"/>
              <w:rPr>
                <w:sz w:val="21"/>
              </w:rPr>
            </w:pPr>
            <w:r>
              <w:rPr>
                <w:sz w:val="21"/>
              </w:rPr>
              <w:t>（1）由设有专门血液病专科的公立三级甲等医院血液病专科的主治级别以上的医师确诊；</w:t>
            </w:r>
          </w:p>
          <w:p>
            <w:pPr>
              <w:pStyle w:val="TableParagraph"/>
              <w:spacing w:before="7"/>
              <w:ind w:left="107"/>
              <w:rPr>
                <w:sz w:val="21"/>
              </w:rPr>
            </w:pPr>
            <w:r>
              <w:rPr>
                <w:sz w:val="21"/>
              </w:rPr>
              <w:t>（2）骨髓涂片检查同时符合发育异常细胞比例&gt;10%、原始细胞比例&gt;15%；</w:t>
            </w:r>
          </w:p>
          <w:p>
            <w:pPr>
              <w:pStyle w:val="TableParagraph"/>
              <w:spacing w:before="37"/>
              <w:ind w:left="107"/>
              <w:rPr>
                <w:sz w:val="21"/>
              </w:rPr>
            </w:pPr>
            <w:r>
              <w:rPr>
                <w:sz w:val="21"/>
              </w:rPr>
              <w:t>（3）已接受至少累计三十日的化疗或已接受骨髓移植治疗。</w:t>
            </w:r>
          </w:p>
          <w:p>
            <w:pPr>
              <w:pStyle w:val="TableParagraph"/>
              <w:spacing w:line="259" w:lineRule="auto" w:before="25"/>
              <w:ind w:left="107" w:right="1490"/>
              <w:rPr>
                <w:b/>
                <w:i/>
                <w:sz w:val="22"/>
              </w:rPr>
            </w:pPr>
            <w:r>
              <w:rPr>
                <w:b/>
                <w:i/>
                <w:w w:val="95"/>
                <w:sz w:val="22"/>
              </w:rPr>
              <w:t>化疗日数的计算以被保险人实际服用、注射化疗药物的天数为准。疑似病例不在保障范围之内。</w:t>
            </w:r>
          </w:p>
        </w:tc>
      </w:tr>
      <w:tr>
        <w:trPr>
          <w:trHeight w:val="1787" w:hRule="atLeast"/>
        </w:trPr>
        <w:tc>
          <w:tcPr>
            <w:tcW w:w="2022" w:type="dxa"/>
          </w:tcPr>
          <w:p>
            <w:pPr>
              <w:pStyle w:val="TableParagraph"/>
              <w:spacing w:before="16"/>
              <w:ind w:left="200"/>
              <w:rPr>
                <w:rFonts w:ascii="Microsoft JhengHei" w:eastAsia="Microsoft JhengHei" w:hint="eastAsia"/>
                <w:b/>
                <w:sz w:val="21"/>
              </w:rPr>
            </w:pPr>
            <w:r>
              <w:rPr>
                <w:rFonts w:ascii="Microsoft JhengHei" w:eastAsia="Microsoft JhengHei" w:hint="eastAsia"/>
                <w:b/>
                <w:sz w:val="21"/>
              </w:rPr>
              <w:t>71.  严重癫痫</w:t>
            </w:r>
          </w:p>
        </w:tc>
        <w:tc>
          <w:tcPr>
            <w:tcW w:w="7716" w:type="dxa"/>
          </w:tcPr>
          <w:p>
            <w:pPr>
              <w:pStyle w:val="TableParagraph"/>
              <w:spacing w:before="102"/>
              <w:ind w:left="107"/>
              <w:rPr>
                <w:sz w:val="21"/>
              </w:rPr>
            </w:pPr>
            <w:r>
              <w:rPr>
                <w:sz w:val="21"/>
              </w:rPr>
              <w:t>本病的诊断须由神经科或儿科专科医生根据典型临床症状和脑电图及 MRI、PET、</w:t>
            </w:r>
          </w:p>
          <w:p>
            <w:pPr>
              <w:pStyle w:val="TableParagraph"/>
              <w:spacing w:line="273" w:lineRule="auto" w:before="38"/>
              <w:ind w:left="107" w:right="287"/>
              <w:jc w:val="both"/>
              <w:rPr>
                <w:sz w:val="21"/>
              </w:rPr>
            </w:pPr>
            <w:r>
              <w:rPr>
                <w:sz w:val="21"/>
              </w:rPr>
              <w:t>CT</w:t>
            </w:r>
            <w:r>
              <w:rPr>
                <w:spacing w:val="-16"/>
                <w:sz w:val="21"/>
              </w:rPr>
              <w:t> 等影相学检查做出。理赔时必须提供 </w:t>
            </w:r>
            <w:r>
              <w:rPr>
                <w:sz w:val="21"/>
              </w:rPr>
              <w:t>6</w:t>
            </w:r>
            <w:r>
              <w:rPr>
                <w:spacing w:val="-8"/>
                <w:sz w:val="21"/>
              </w:rPr>
              <w:t> 个月以上的相关病历记录证明被保险人</w:t>
            </w:r>
            <w:r>
              <w:rPr>
                <w:spacing w:val="-7"/>
                <w:sz w:val="21"/>
              </w:rPr>
              <w:t>存在经抗癫痫药物治疗无效而反复发作的强直阵挛性发作或癫痫大发作，且已行</w:t>
            </w:r>
            <w:r>
              <w:rPr>
                <w:spacing w:val="-5"/>
                <w:sz w:val="21"/>
              </w:rPr>
              <w:t>神经外科手术以治疗反复发作的癫痫。</w:t>
            </w:r>
          </w:p>
          <w:p>
            <w:pPr>
              <w:pStyle w:val="TableParagraph"/>
              <w:spacing w:line="284" w:lineRule="exact"/>
              <w:ind w:left="107"/>
              <w:jc w:val="both"/>
              <w:rPr>
                <w:b/>
                <w:i/>
                <w:sz w:val="22"/>
              </w:rPr>
            </w:pPr>
            <w:r>
              <w:rPr>
                <w:b/>
                <w:i/>
                <w:w w:val="95"/>
                <w:sz w:val="22"/>
              </w:rPr>
              <w:t>发热性惊厥以及没有全身性发作的失神发作（癫痫小发作）不在本保障范围内。</w:t>
            </w:r>
          </w:p>
        </w:tc>
      </w:tr>
      <w:tr>
        <w:trPr>
          <w:trHeight w:val="1002" w:hRule="atLeast"/>
        </w:trPr>
        <w:tc>
          <w:tcPr>
            <w:tcW w:w="2022" w:type="dxa"/>
          </w:tcPr>
          <w:p>
            <w:pPr>
              <w:pStyle w:val="TableParagraph"/>
              <w:spacing w:line="204" w:lineRule="auto" w:before="72"/>
              <w:ind w:left="619" w:right="135" w:hanging="420"/>
              <w:rPr>
                <w:rFonts w:ascii="Microsoft JhengHei" w:eastAsia="Microsoft JhengHei" w:hint="eastAsia"/>
                <w:b/>
                <w:sz w:val="21"/>
              </w:rPr>
            </w:pPr>
            <w:r>
              <w:rPr>
                <w:rFonts w:ascii="Microsoft JhengHei" w:eastAsia="Microsoft JhengHei" w:hint="eastAsia"/>
                <w:b/>
                <w:sz w:val="21"/>
              </w:rPr>
              <w:t>72. 自体造血干细胞移植</w:t>
            </w:r>
          </w:p>
        </w:tc>
        <w:tc>
          <w:tcPr>
            <w:tcW w:w="7716" w:type="dxa"/>
          </w:tcPr>
          <w:p>
            <w:pPr>
              <w:pStyle w:val="TableParagraph"/>
              <w:spacing w:line="310" w:lineRule="atLeast" w:before="68"/>
              <w:ind w:left="107" w:right="287"/>
              <w:jc w:val="both"/>
              <w:rPr>
                <w:sz w:val="21"/>
              </w:rPr>
            </w:pPr>
            <w:r>
              <w:rPr>
                <w:spacing w:val="-5"/>
                <w:sz w:val="21"/>
              </w:rPr>
              <w:t>指由于患者自身骨髓造血功能异常或为了达到治疗肿瘤的目的，采集患者自己的</w:t>
            </w:r>
            <w:r>
              <w:rPr>
                <w:spacing w:val="-7"/>
                <w:sz w:val="21"/>
              </w:rPr>
              <w:t>一部分造血干细胞，分离并深低温保存，再回输给患者使患者的造血功能和免疫</w:t>
            </w:r>
            <w:r>
              <w:rPr>
                <w:spacing w:val="-5"/>
                <w:sz w:val="21"/>
              </w:rPr>
              <w:t>功能重新恢复的一种治疗方法。</w:t>
            </w:r>
          </w:p>
        </w:tc>
      </w:tr>
    </w:tbl>
    <w:p>
      <w:pPr>
        <w:spacing w:after="0" w:line="310" w:lineRule="atLeast"/>
        <w:jc w:val="both"/>
        <w:rPr>
          <w:sz w:val="21"/>
        </w:rPr>
        <w:sectPr>
          <w:pgSz w:w="11910" w:h="16840"/>
          <w:pgMar w:header="0" w:footer="358" w:top="1160" w:bottom="540" w:left="1360" w:right="58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7"/>
        <w:gridCol w:w="7747"/>
      </w:tblGrid>
      <w:tr>
        <w:trPr>
          <w:trHeight w:val="383" w:hRule="atLeast"/>
        </w:trPr>
        <w:tc>
          <w:tcPr>
            <w:tcW w:w="2007" w:type="dxa"/>
          </w:tcPr>
          <w:p>
            <w:pPr>
              <w:pStyle w:val="TableParagraph"/>
              <w:ind w:left="0"/>
              <w:rPr>
                <w:rFonts w:ascii="Times New Roman"/>
                <w:sz w:val="20"/>
              </w:rPr>
            </w:pPr>
          </w:p>
        </w:tc>
        <w:tc>
          <w:tcPr>
            <w:tcW w:w="7747" w:type="dxa"/>
          </w:tcPr>
          <w:p>
            <w:pPr>
              <w:pStyle w:val="TableParagraph"/>
              <w:spacing w:line="218" w:lineRule="exact"/>
              <w:rPr>
                <w:b/>
                <w:i/>
                <w:sz w:val="22"/>
              </w:rPr>
            </w:pPr>
            <w:r>
              <w:rPr>
                <w:b/>
                <w:i/>
                <w:w w:val="95"/>
                <w:sz w:val="22"/>
              </w:rPr>
              <w:t>该治疗须由专科医生认为在临床上是必需的。</w:t>
            </w:r>
          </w:p>
        </w:tc>
      </w:tr>
      <w:tr>
        <w:trPr>
          <w:trHeight w:val="1787" w:hRule="atLeast"/>
        </w:trPr>
        <w:tc>
          <w:tcPr>
            <w:tcW w:w="2007" w:type="dxa"/>
          </w:tcPr>
          <w:p>
            <w:pPr>
              <w:pStyle w:val="TableParagraph"/>
              <w:spacing w:line="204" w:lineRule="auto" w:before="68"/>
              <w:ind w:left="619" w:right="120" w:hanging="420"/>
              <w:rPr>
                <w:rFonts w:ascii="Microsoft JhengHei" w:eastAsia="Microsoft JhengHei" w:hint="eastAsia"/>
                <w:b/>
                <w:sz w:val="21"/>
              </w:rPr>
            </w:pPr>
            <w:r>
              <w:rPr>
                <w:rFonts w:ascii="Microsoft JhengHei" w:eastAsia="Microsoft JhengHei" w:hint="eastAsia"/>
                <w:b/>
                <w:sz w:val="21"/>
              </w:rPr>
              <w:t>73. 肺淋巴管ft瘤病</w:t>
            </w:r>
          </w:p>
        </w:tc>
        <w:tc>
          <w:tcPr>
            <w:tcW w:w="7747" w:type="dxa"/>
          </w:tcPr>
          <w:p>
            <w:pPr>
              <w:pStyle w:val="TableParagraph"/>
              <w:spacing w:line="273" w:lineRule="auto" w:before="99"/>
              <w:ind w:right="306"/>
              <w:rPr>
                <w:sz w:val="21"/>
              </w:rPr>
            </w:pPr>
            <w:r>
              <w:rPr>
                <w:spacing w:val="-6"/>
                <w:sz w:val="21"/>
              </w:rPr>
              <w:t>肺淋巴管肌瘤病是一种弥漫性肺部疾病，主要病理改变为肺间质、支气管、血管</w:t>
            </w:r>
            <w:r>
              <w:rPr>
                <w:spacing w:val="-4"/>
                <w:sz w:val="21"/>
              </w:rPr>
              <w:t>和淋巴管内出现未成熟的平滑肌异常增生，同时需满足下列条件：</w:t>
            </w:r>
          </w:p>
          <w:p>
            <w:pPr>
              <w:pStyle w:val="TableParagraph"/>
              <w:spacing w:before="7"/>
              <w:rPr>
                <w:sz w:val="21"/>
              </w:rPr>
            </w:pPr>
            <w:r>
              <w:rPr>
                <w:sz w:val="21"/>
              </w:rPr>
              <w:t>（1）经组织病理学诊断；</w:t>
            </w:r>
          </w:p>
          <w:p>
            <w:pPr>
              <w:pStyle w:val="TableParagraph"/>
              <w:spacing w:before="36"/>
              <w:rPr>
                <w:sz w:val="21"/>
              </w:rPr>
            </w:pPr>
            <w:r>
              <w:rPr>
                <w:sz w:val="21"/>
              </w:rPr>
              <w:t>（2）CT 显示双肺弥漫性囊性改变；</w:t>
            </w:r>
          </w:p>
          <w:p>
            <w:pPr>
              <w:pStyle w:val="TableParagraph"/>
              <w:spacing w:before="36"/>
              <w:rPr>
                <w:sz w:val="21"/>
              </w:rPr>
            </w:pPr>
            <w:r>
              <w:rPr>
                <w:sz w:val="21"/>
              </w:rPr>
              <w:t>（3）血气提示低氧血症。</w:t>
            </w:r>
          </w:p>
        </w:tc>
      </w:tr>
      <w:tr>
        <w:trPr>
          <w:trHeight w:val="1162" w:hRule="atLeast"/>
        </w:trPr>
        <w:tc>
          <w:tcPr>
            <w:tcW w:w="2007" w:type="dxa"/>
          </w:tcPr>
          <w:p>
            <w:pPr>
              <w:pStyle w:val="TableParagraph"/>
              <w:spacing w:line="204" w:lineRule="auto" w:before="68"/>
              <w:ind w:left="619" w:right="120" w:hanging="420"/>
              <w:rPr>
                <w:rFonts w:ascii="Microsoft JhengHei" w:eastAsia="Microsoft JhengHei" w:hint="eastAsia"/>
                <w:b/>
                <w:sz w:val="21"/>
              </w:rPr>
            </w:pPr>
            <w:r>
              <w:rPr>
                <w:rFonts w:ascii="Microsoft JhengHei" w:eastAsia="Microsoft JhengHei" w:hint="eastAsia"/>
                <w:b/>
                <w:sz w:val="21"/>
              </w:rPr>
              <w:t>74. 肺泡蛋白质沉积症</w:t>
            </w:r>
          </w:p>
        </w:tc>
        <w:tc>
          <w:tcPr>
            <w:tcW w:w="7747" w:type="dxa"/>
          </w:tcPr>
          <w:p>
            <w:pPr>
              <w:pStyle w:val="TableParagraph"/>
              <w:spacing w:line="273" w:lineRule="auto" w:before="100"/>
              <w:ind w:right="303"/>
              <w:jc w:val="both"/>
              <w:rPr>
                <w:sz w:val="21"/>
              </w:rPr>
            </w:pPr>
            <w:r>
              <w:rPr>
                <w:spacing w:val="-7"/>
                <w:sz w:val="21"/>
              </w:rPr>
              <w:t>指肺泡和细支气管腔内充满不可溶性富磷脂蛋白的疾病，胸部 </w:t>
            </w:r>
            <w:r>
              <w:rPr>
                <w:sz w:val="21"/>
              </w:rPr>
              <w:t>X</w:t>
            </w:r>
            <w:r>
              <w:rPr>
                <w:spacing w:val="-7"/>
                <w:sz w:val="21"/>
              </w:rPr>
              <w:t> 线呈双肺弥漫性肺部磨玻璃影，病理学检查肺泡内充满有过碘酸雪夫（PAS）染色阳性的蛋白样</w:t>
            </w:r>
            <w:r>
              <w:rPr>
                <w:spacing w:val="-5"/>
                <w:sz w:val="21"/>
              </w:rPr>
              <w:t>物质，并且接受了肺灌洗治疗。</w:t>
            </w:r>
          </w:p>
        </w:tc>
      </w:tr>
      <w:tr>
        <w:trPr>
          <w:trHeight w:val="851" w:hRule="atLeast"/>
        </w:trPr>
        <w:tc>
          <w:tcPr>
            <w:tcW w:w="2007" w:type="dxa"/>
          </w:tcPr>
          <w:p>
            <w:pPr>
              <w:pStyle w:val="TableParagraph"/>
              <w:spacing w:before="12"/>
              <w:ind w:left="200"/>
              <w:rPr>
                <w:rFonts w:ascii="Microsoft JhengHei" w:eastAsia="Microsoft JhengHei" w:hint="eastAsia"/>
                <w:b/>
                <w:sz w:val="21"/>
              </w:rPr>
            </w:pPr>
            <w:r>
              <w:rPr>
                <w:rFonts w:ascii="Microsoft JhengHei" w:eastAsia="Microsoft JhengHei" w:hint="eastAsia"/>
                <w:b/>
                <w:sz w:val="21"/>
              </w:rPr>
              <w:t>75.  小肠移植</w:t>
            </w:r>
          </w:p>
        </w:tc>
        <w:tc>
          <w:tcPr>
            <w:tcW w:w="7747" w:type="dxa"/>
          </w:tcPr>
          <w:p>
            <w:pPr>
              <w:pStyle w:val="TableParagraph"/>
              <w:spacing w:line="273" w:lineRule="auto" w:before="98"/>
              <w:ind w:right="313"/>
              <w:rPr>
                <w:sz w:val="21"/>
              </w:rPr>
            </w:pPr>
            <w:r>
              <w:rPr>
                <w:sz w:val="21"/>
              </w:rPr>
              <w:t>指因肠道疾病或外伤，已经实施了在全身麻醉下进行的小肠的异体器官移植手术。此手术必须由专科医生认为是医学上必需的情况下进行。</w:t>
            </w:r>
          </w:p>
        </w:tc>
      </w:tr>
      <w:tr>
        <w:trPr>
          <w:trHeight w:val="3971" w:hRule="atLeast"/>
        </w:trPr>
        <w:tc>
          <w:tcPr>
            <w:tcW w:w="2007" w:type="dxa"/>
          </w:tcPr>
          <w:p>
            <w:pPr>
              <w:pStyle w:val="TableParagraph"/>
              <w:spacing w:line="204" w:lineRule="auto" w:before="69"/>
              <w:ind w:left="619" w:right="120" w:hanging="420"/>
              <w:rPr>
                <w:rFonts w:ascii="Microsoft JhengHei" w:eastAsia="Microsoft JhengHei" w:hint="eastAsia"/>
                <w:b/>
                <w:sz w:val="21"/>
              </w:rPr>
            </w:pPr>
            <w:r>
              <w:rPr>
                <w:rFonts w:ascii="Microsoft JhengHei" w:eastAsia="Microsoft JhengHei" w:hint="eastAsia"/>
                <w:b/>
                <w:sz w:val="21"/>
              </w:rPr>
              <w:t>76. 疾病或外伤所致智力障碍</w:t>
            </w:r>
          </w:p>
        </w:tc>
        <w:tc>
          <w:tcPr>
            <w:tcW w:w="7747" w:type="dxa"/>
          </w:tcPr>
          <w:p>
            <w:pPr>
              <w:pStyle w:val="TableParagraph"/>
              <w:spacing w:line="273" w:lineRule="auto" w:before="100"/>
              <w:ind w:right="303"/>
              <w:jc w:val="both"/>
              <w:rPr>
                <w:sz w:val="21"/>
              </w:rPr>
            </w:pPr>
            <w:r>
              <w:rPr>
                <w:spacing w:val="-6"/>
                <w:w w:val="100"/>
                <w:sz w:val="21"/>
              </w:rPr>
              <w:t>因严重头部创伤或疾病造成被保险人智力低常</w:t>
            </w:r>
            <w:r>
              <w:rPr>
                <w:w w:val="100"/>
                <w:sz w:val="21"/>
              </w:rPr>
              <w:t>（</w:t>
            </w:r>
            <w:r>
              <w:rPr>
                <w:spacing w:val="-3"/>
                <w:w w:val="100"/>
                <w:sz w:val="21"/>
              </w:rPr>
              <w:t>智力低于常态</w:t>
            </w:r>
            <w:r>
              <w:rPr>
                <w:spacing w:val="-106"/>
                <w:w w:val="100"/>
                <w:sz w:val="21"/>
              </w:rPr>
              <w:t>）</w:t>
            </w:r>
            <w:r>
              <w:rPr>
                <w:spacing w:val="-22"/>
                <w:w w:val="100"/>
                <w:sz w:val="21"/>
              </w:rPr>
              <w:t>。根据智商</w:t>
            </w:r>
            <w:r>
              <w:rPr>
                <w:w w:val="100"/>
                <w:sz w:val="21"/>
              </w:rPr>
              <w:t>（</w:t>
            </w:r>
            <w:r>
              <w:rPr>
                <w:spacing w:val="-3"/>
                <w:w w:val="100"/>
                <w:sz w:val="21"/>
              </w:rPr>
              <w:t>I</w:t>
            </w:r>
            <w:r>
              <w:rPr>
                <w:w w:val="100"/>
                <w:sz w:val="21"/>
              </w:rPr>
              <w:t>Q</w:t>
            </w:r>
            <w:r>
              <w:rPr>
                <w:spacing w:val="-106"/>
                <w:w w:val="100"/>
                <w:sz w:val="21"/>
              </w:rPr>
              <w:t>），</w:t>
            </w:r>
            <w:r>
              <w:rPr>
                <w:spacing w:val="-15"/>
                <w:w w:val="100"/>
                <w:sz w:val="21"/>
              </w:rPr>
              <w:t>智力低常分为轻度</w:t>
            </w:r>
            <w:r>
              <w:rPr>
                <w:w w:val="100"/>
                <w:sz w:val="21"/>
              </w:rPr>
              <w:t>（</w:t>
            </w:r>
            <w:r>
              <w:rPr>
                <w:spacing w:val="-3"/>
                <w:w w:val="100"/>
                <w:sz w:val="21"/>
              </w:rPr>
              <w:t>I</w:t>
            </w:r>
            <w:r>
              <w:rPr>
                <w:w w:val="100"/>
                <w:sz w:val="21"/>
              </w:rPr>
              <w:t>Q5</w:t>
            </w:r>
            <w:r>
              <w:rPr>
                <w:spacing w:val="-1"/>
                <w:w w:val="100"/>
                <w:sz w:val="21"/>
              </w:rPr>
              <w:t>0</w:t>
            </w:r>
            <w:r>
              <w:rPr>
                <w:spacing w:val="-3"/>
                <w:w w:val="100"/>
                <w:sz w:val="21"/>
              </w:rPr>
              <w:t>-7</w:t>
            </w:r>
            <w:r>
              <w:rPr>
                <w:w w:val="100"/>
                <w:sz w:val="21"/>
              </w:rPr>
              <w:t>0</w:t>
            </w:r>
            <w:r>
              <w:rPr>
                <w:spacing w:val="-106"/>
                <w:w w:val="100"/>
                <w:sz w:val="21"/>
              </w:rPr>
              <w:t>）</w:t>
            </w:r>
            <w:r>
              <w:rPr>
                <w:spacing w:val="-66"/>
                <w:w w:val="100"/>
                <w:sz w:val="21"/>
              </w:rPr>
              <w:t>；中度</w:t>
            </w:r>
            <w:r>
              <w:rPr>
                <w:w w:val="100"/>
                <w:sz w:val="21"/>
              </w:rPr>
              <w:t>（I</w:t>
            </w:r>
            <w:r>
              <w:rPr>
                <w:spacing w:val="-3"/>
                <w:w w:val="100"/>
                <w:sz w:val="21"/>
              </w:rPr>
              <w:t>Q</w:t>
            </w:r>
            <w:r>
              <w:rPr>
                <w:w w:val="100"/>
                <w:sz w:val="21"/>
              </w:rPr>
              <w:t>3</w:t>
            </w:r>
            <w:r>
              <w:rPr>
                <w:spacing w:val="-1"/>
                <w:w w:val="100"/>
                <w:sz w:val="21"/>
              </w:rPr>
              <w:t>5</w:t>
            </w:r>
            <w:r>
              <w:rPr>
                <w:w w:val="100"/>
                <w:sz w:val="21"/>
              </w:rPr>
              <w:t>-</w:t>
            </w:r>
            <w:r>
              <w:rPr>
                <w:spacing w:val="-3"/>
                <w:w w:val="100"/>
                <w:sz w:val="21"/>
              </w:rPr>
              <w:t>5</w:t>
            </w:r>
            <w:r>
              <w:rPr>
                <w:w w:val="100"/>
                <w:sz w:val="21"/>
              </w:rPr>
              <w:t>0</w:t>
            </w:r>
            <w:r>
              <w:rPr>
                <w:spacing w:val="-106"/>
                <w:w w:val="100"/>
                <w:sz w:val="21"/>
              </w:rPr>
              <w:t>）</w:t>
            </w:r>
            <w:r>
              <w:rPr>
                <w:spacing w:val="-66"/>
                <w:w w:val="100"/>
                <w:sz w:val="21"/>
              </w:rPr>
              <w:t>；重度</w:t>
            </w:r>
            <w:r>
              <w:rPr>
                <w:w w:val="100"/>
                <w:sz w:val="21"/>
              </w:rPr>
              <w:t>（</w:t>
            </w:r>
            <w:r>
              <w:rPr>
                <w:spacing w:val="-3"/>
                <w:w w:val="100"/>
                <w:sz w:val="21"/>
              </w:rPr>
              <w:t>I</w:t>
            </w:r>
            <w:r>
              <w:rPr>
                <w:w w:val="100"/>
                <w:sz w:val="21"/>
              </w:rPr>
              <w:t>Q2</w:t>
            </w:r>
            <w:r>
              <w:rPr>
                <w:spacing w:val="-1"/>
                <w:w w:val="100"/>
                <w:sz w:val="21"/>
              </w:rPr>
              <w:t>0</w:t>
            </w:r>
            <w:r>
              <w:rPr>
                <w:w w:val="100"/>
                <w:sz w:val="21"/>
              </w:rPr>
              <w:t>-3</w:t>
            </w:r>
            <w:r>
              <w:rPr>
                <w:spacing w:val="-3"/>
                <w:w w:val="100"/>
                <w:sz w:val="21"/>
              </w:rPr>
              <w:t>5</w:t>
            </w:r>
            <w:r>
              <w:rPr>
                <w:spacing w:val="-97"/>
                <w:w w:val="100"/>
                <w:sz w:val="21"/>
              </w:rPr>
              <w:t>）</w:t>
            </w:r>
            <w:r>
              <w:rPr>
                <w:spacing w:val="-27"/>
                <w:w w:val="100"/>
                <w:sz w:val="21"/>
              </w:rPr>
              <w:t>和极重度</w:t>
            </w:r>
            <w:r>
              <w:rPr>
                <w:w w:val="100"/>
                <w:sz w:val="21"/>
              </w:rPr>
              <w:t>（I</w:t>
            </w:r>
            <w:r>
              <w:rPr>
                <w:spacing w:val="-3"/>
                <w:w w:val="100"/>
                <w:sz w:val="21"/>
              </w:rPr>
              <w:t>Q</w:t>
            </w:r>
            <w:r>
              <w:rPr>
                <w:w w:val="100"/>
                <w:sz w:val="21"/>
              </w:rPr>
              <w:t>&lt;2</w:t>
            </w:r>
            <w:r>
              <w:rPr>
                <w:spacing w:val="-1"/>
                <w:w w:val="100"/>
                <w:sz w:val="21"/>
              </w:rPr>
              <w:t>0</w:t>
            </w:r>
            <w:r>
              <w:rPr>
                <w:spacing w:val="-108"/>
                <w:w w:val="100"/>
                <w:sz w:val="21"/>
              </w:rPr>
              <w:t>）。</w:t>
            </w:r>
            <w:r>
              <w:rPr>
                <w:spacing w:val="-5"/>
                <w:sz w:val="21"/>
              </w:rPr>
              <w:t>智商的检测必须由我们认可的专职心理测验工作者进行，心理测验工作者必须持</w:t>
            </w:r>
            <w:r>
              <w:rPr>
                <w:spacing w:val="-7"/>
                <w:sz w:val="21"/>
              </w:rPr>
              <w:t>有由心理测量专业委员会资格认定书。根据被保险人年龄采用对应的智力量表如</w:t>
            </w:r>
            <w:r>
              <w:rPr>
                <w:spacing w:val="-5"/>
                <w:sz w:val="21"/>
              </w:rPr>
              <w:t>韦克斯勒智力量表</w:t>
            </w:r>
            <w:r>
              <w:rPr>
                <w:spacing w:val="-3"/>
                <w:sz w:val="21"/>
              </w:rPr>
              <w:t>（儿童智力量表或成人智力量表</w:t>
            </w:r>
            <w:r>
              <w:rPr>
                <w:spacing w:val="-108"/>
                <w:sz w:val="21"/>
              </w:rPr>
              <w:t>）</w:t>
            </w:r>
            <w:r>
              <w:rPr>
                <w:sz w:val="21"/>
              </w:rPr>
              <w:t>。</w:t>
            </w:r>
          </w:p>
          <w:p>
            <w:pPr>
              <w:pStyle w:val="TableParagraph"/>
              <w:spacing w:before="7"/>
              <w:rPr>
                <w:sz w:val="21"/>
              </w:rPr>
            </w:pPr>
            <w:r>
              <w:rPr>
                <w:sz w:val="21"/>
              </w:rPr>
              <w:t>理赔时必须满足下列全部条件：</w:t>
            </w:r>
          </w:p>
          <w:p>
            <w:pPr>
              <w:pStyle w:val="TableParagraph"/>
              <w:spacing w:line="273" w:lineRule="auto" w:before="36"/>
              <w:ind w:left="648" w:right="310" w:hanging="527"/>
              <w:rPr>
                <w:sz w:val="21"/>
              </w:rPr>
            </w:pPr>
            <w:r>
              <w:rPr>
                <w:sz w:val="21"/>
              </w:rPr>
              <w:t>（1）造成被保险人智力低常（智力低于常态）的严重头部创伤或疾病（以入院日期为准）发生在被保险人 6 周岁以后；</w:t>
            </w:r>
          </w:p>
          <w:p>
            <w:pPr>
              <w:pStyle w:val="TableParagraph"/>
              <w:spacing w:before="7"/>
              <w:rPr>
                <w:sz w:val="21"/>
              </w:rPr>
            </w:pPr>
            <w:r>
              <w:rPr>
                <w:sz w:val="21"/>
              </w:rPr>
              <w:t>（2）儿科主任医师确诊被保险人由于严重头部创伤或疾病造成智力低常；</w:t>
            </w:r>
          </w:p>
          <w:p>
            <w:pPr>
              <w:pStyle w:val="TableParagraph"/>
              <w:spacing w:line="273" w:lineRule="auto" w:before="37"/>
              <w:ind w:left="648" w:right="198" w:hanging="527"/>
              <w:rPr>
                <w:sz w:val="21"/>
              </w:rPr>
            </w:pPr>
            <w:r>
              <w:rPr>
                <w:spacing w:val="-7"/>
                <w:sz w:val="21"/>
              </w:rPr>
              <w:t>（3）</w:t>
            </w:r>
            <w:r>
              <w:rPr>
                <w:spacing w:val="-4"/>
                <w:sz w:val="21"/>
              </w:rPr>
              <w:t>专职合格心理检测工作者适时做的心理检测证实被保险人智力低常</w:t>
            </w:r>
            <w:r>
              <w:rPr>
                <w:sz w:val="21"/>
              </w:rPr>
              <w:t>（</w:t>
            </w:r>
            <w:r>
              <w:rPr>
                <w:spacing w:val="-2"/>
                <w:sz w:val="21"/>
              </w:rPr>
              <w:t>轻度、</w:t>
            </w:r>
            <w:r>
              <w:rPr>
                <w:spacing w:val="-3"/>
                <w:w w:val="100"/>
                <w:sz w:val="21"/>
              </w:rPr>
              <w:t>中度、重度或极重度</w:t>
            </w:r>
            <w:r>
              <w:rPr>
                <w:spacing w:val="-106"/>
                <w:w w:val="100"/>
                <w:sz w:val="21"/>
              </w:rPr>
              <w:t>）</w:t>
            </w:r>
            <w:r>
              <w:rPr>
                <w:w w:val="100"/>
                <w:sz w:val="21"/>
              </w:rPr>
              <w:t>；</w:t>
            </w:r>
          </w:p>
          <w:p>
            <w:pPr>
              <w:pStyle w:val="TableParagraph"/>
              <w:spacing w:before="8"/>
              <w:rPr>
                <w:sz w:val="21"/>
              </w:rPr>
            </w:pPr>
            <w:r>
              <w:rPr>
                <w:sz w:val="21"/>
              </w:rPr>
              <w:t>（4）被保险人的智力低常自确认日起持续 180 天以上。</w:t>
            </w:r>
          </w:p>
        </w:tc>
      </w:tr>
      <w:tr>
        <w:trPr>
          <w:trHeight w:val="1541" w:hRule="atLeast"/>
        </w:trPr>
        <w:tc>
          <w:tcPr>
            <w:tcW w:w="2007" w:type="dxa"/>
          </w:tcPr>
          <w:p>
            <w:pPr>
              <w:pStyle w:val="TableParagraph"/>
              <w:spacing w:before="13"/>
              <w:ind w:left="200"/>
              <w:rPr>
                <w:rFonts w:ascii="Microsoft JhengHei" w:eastAsia="Microsoft JhengHei" w:hint="eastAsia"/>
                <w:b/>
                <w:sz w:val="21"/>
              </w:rPr>
            </w:pPr>
            <w:r>
              <w:rPr>
                <w:rFonts w:ascii="Microsoft JhengHei" w:eastAsia="Microsoft JhengHei" w:hint="eastAsia"/>
                <w:b/>
                <w:sz w:val="21"/>
              </w:rPr>
              <w:t>77.  骨生长不全症</w:t>
            </w:r>
          </w:p>
        </w:tc>
        <w:tc>
          <w:tcPr>
            <w:tcW w:w="7747" w:type="dxa"/>
          </w:tcPr>
          <w:p>
            <w:pPr>
              <w:pStyle w:val="TableParagraph"/>
              <w:spacing w:line="273" w:lineRule="auto" w:before="99"/>
              <w:ind w:right="305"/>
              <w:jc w:val="both"/>
              <w:rPr>
                <w:sz w:val="21"/>
              </w:rPr>
            </w:pPr>
            <w:r>
              <w:rPr>
                <w:spacing w:val="-8"/>
                <w:sz w:val="21"/>
              </w:rPr>
              <w:t>指一种胶原病，特征为骨易碎，骨质疏松和易骨折。该病有 </w:t>
            </w:r>
            <w:r>
              <w:rPr>
                <w:sz w:val="21"/>
              </w:rPr>
              <w:t>4</w:t>
            </w:r>
            <w:r>
              <w:rPr>
                <w:spacing w:val="-12"/>
                <w:sz w:val="21"/>
              </w:rPr>
              <w:t> 种类型：</w:t>
            </w:r>
            <w:r>
              <w:rPr>
                <w:spacing w:val="-4"/>
                <w:sz w:val="21"/>
              </w:rPr>
              <w:t>I</w:t>
            </w:r>
            <w:r>
              <w:rPr>
                <w:spacing w:val="0"/>
                <w:sz w:val="21"/>
              </w:rPr>
              <w:t> 型、</w:t>
            </w:r>
            <w:r>
              <w:rPr>
                <w:sz w:val="21"/>
              </w:rPr>
              <w:t>II </w:t>
            </w:r>
            <w:r>
              <w:rPr>
                <w:spacing w:val="-4"/>
                <w:sz w:val="21"/>
              </w:rPr>
              <w:t>型、</w:t>
            </w:r>
            <w:r>
              <w:rPr>
                <w:sz w:val="21"/>
              </w:rPr>
              <w:t>III</w:t>
            </w:r>
            <w:r>
              <w:rPr>
                <w:spacing w:val="-19"/>
                <w:sz w:val="21"/>
              </w:rPr>
              <w:t> 型、</w:t>
            </w:r>
            <w:r>
              <w:rPr>
                <w:sz w:val="21"/>
              </w:rPr>
              <w:t>IV</w:t>
            </w:r>
            <w:r>
              <w:rPr>
                <w:spacing w:val="-16"/>
                <w:sz w:val="21"/>
              </w:rPr>
              <w:t> 型。只保障 </w:t>
            </w:r>
            <w:r>
              <w:rPr>
                <w:sz w:val="21"/>
              </w:rPr>
              <w:t>III</w:t>
            </w:r>
            <w:r>
              <w:rPr>
                <w:spacing w:val="-9"/>
                <w:sz w:val="21"/>
              </w:rPr>
              <w:t> 型成骨不全的情形。其主要临床特点有：发展迟</w:t>
            </w:r>
            <w:r>
              <w:rPr>
                <w:spacing w:val="-5"/>
                <w:sz w:val="21"/>
              </w:rPr>
              <w:t>缓、多发性骨折、进行性脊柱后侧凸及听力损害。</w:t>
            </w:r>
            <w:r>
              <w:rPr>
                <w:sz w:val="21"/>
              </w:rPr>
              <w:t>III</w:t>
            </w:r>
            <w:r>
              <w:rPr>
                <w:spacing w:val="-3"/>
                <w:sz w:val="21"/>
              </w:rPr>
              <w:t> 型成骨不全的诊断必须根据身体检查，家族史</w:t>
            </w:r>
            <w:r>
              <w:rPr>
                <w:sz w:val="21"/>
              </w:rPr>
              <w:t>，X</w:t>
            </w:r>
            <w:r>
              <w:rPr>
                <w:spacing w:val="-6"/>
                <w:sz w:val="21"/>
              </w:rPr>
              <w:t> 线检查和皮肤活检报告资料确诊。</w:t>
            </w:r>
          </w:p>
        </w:tc>
      </w:tr>
      <w:tr>
        <w:trPr>
          <w:trHeight w:val="982" w:hRule="atLeast"/>
        </w:trPr>
        <w:tc>
          <w:tcPr>
            <w:tcW w:w="2007" w:type="dxa"/>
          </w:tcPr>
          <w:p>
            <w:pPr>
              <w:pStyle w:val="TableParagraph"/>
              <w:spacing w:before="80"/>
              <w:ind w:left="200"/>
              <w:rPr>
                <w:rFonts w:ascii="Microsoft JhengHei" w:eastAsia="Microsoft JhengHei" w:hint="eastAsia"/>
                <w:b/>
                <w:sz w:val="21"/>
              </w:rPr>
            </w:pPr>
            <w:r>
              <w:rPr>
                <w:rFonts w:ascii="Microsoft JhengHei" w:eastAsia="Microsoft JhengHei" w:hint="eastAsia"/>
                <w:b/>
                <w:sz w:val="21"/>
              </w:rPr>
              <w:t>78.  严重面部烧伤</w:t>
            </w:r>
          </w:p>
        </w:tc>
        <w:tc>
          <w:tcPr>
            <w:tcW w:w="7747" w:type="dxa"/>
          </w:tcPr>
          <w:p>
            <w:pPr>
              <w:pStyle w:val="TableParagraph"/>
              <w:spacing w:line="273" w:lineRule="auto" w:before="166"/>
              <w:ind w:right="248"/>
              <w:rPr>
                <w:sz w:val="21"/>
              </w:rPr>
            </w:pPr>
            <w:r>
              <w:rPr>
                <w:sz w:val="21"/>
              </w:rPr>
              <w:t>指面部烧伤程度为Ⅲ度，且Ⅲ度烧伤的面积达到面部表面积的 80％或者 80％以上，体表面积根据《中国新九分法》计算。</w:t>
            </w:r>
          </w:p>
        </w:tc>
      </w:tr>
      <w:tr>
        <w:trPr>
          <w:trHeight w:val="2231" w:hRule="atLeast"/>
        </w:trPr>
        <w:tc>
          <w:tcPr>
            <w:tcW w:w="2007" w:type="dxa"/>
          </w:tcPr>
          <w:p>
            <w:pPr>
              <w:pStyle w:val="TableParagraph"/>
              <w:spacing w:line="204" w:lineRule="auto" w:before="133"/>
              <w:ind w:left="619" w:right="120" w:hanging="420"/>
              <w:rPr>
                <w:rFonts w:ascii="Microsoft JhengHei" w:eastAsia="Microsoft JhengHei" w:hint="eastAsia"/>
                <w:b/>
                <w:sz w:val="21"/>
              </w:rPr>
            </w:pPr>
            <w:r>
              <w:rPr>
                <w:rFonts w:ascii="Microsoft JhengHei" w:eastAsia="Microsoft JhengHei" w:hint="eastAsia"/>
                <w:b/>
                <w:sz w:val="21"/>
              </w:rPr>
              <w:t>79. 亚急性硬化性全脑炎</w:t>
            </w:r>
          </w:p>
        </w:tc>
        <w:tc>
          <w:tcPr>
            <w:tcW w:w="7747" w:type="dxa"/>
          </w:tcPr>
          <w:p>
            <w:pPr>
              <w:pStyle w:val="TableParagraph"/>
              <w:spacing w:line="273" w:lineRule="auto" w:before="164"/>
              <w:ind w:right="259"/>
              <w:rPr>
                <w:sz w:val="21"/>
              </w:rPr>
            </w:pPr>
            <w:r>
              <w:rPr>
                <w:sz w:val="21"/>
              </w:rPr>
              <w:t>是麻疹或麻疹样病毒所致的一种中枢神经系统慢性感染。中枢神经系统呈现灰质和白质破坏为特征的慢性和急性混合存在的炎症。必须满足以下所有条件：</w:t>
            </w:r>
          </w:p>
          <w:p>
            <w:pPr>
              <w:pStyle w:val="TableParagraph"/>
              <w:spacing w:line="273" w:lineRule="auto" w:before="7"/>
              <w:ind w:left="648" w:right="250" w:hanging="527"/>
              <w:rPr>
                <w:sz w:val="21"/>
              </w:rPr>
            </w:pPr>
            <w:r>
              <w:rPr>
                <w:sz w:val="21"/>
              </w:rPr>
              <w:t>（1）脑电图存在周期性复合波、脑脊液 r-球蛋白升高、脑脊液和血清中麻疹抗体 滴定度升高</w:t>
            </w:r>
          </w:p>
          <w:p>
            <w:pPr>
              <w:pStyle w:val="TableParagraph"/>
              <w:spacing w:line="273" w:lineRule="auto" w:before="7"/>
              <w:ind w:left="648" w:right="310" w:hanging="527"/>
              <w:rPr>
                <w:sz w:val="21"/>
              </w:rPr>
            </w:pPr>
            <w:r>
              <w:rPr>
                <w:sz w:val="21"/>
              </w:rPr>
              <w:t>（2）被保险人出现运动障碍，自主生活能力完全丧失，无法独立完成六项基本日常生活活动中的三项或三项以上。</w:t>
            </w:r>
          </w:p>
        </w:tc>
      </w:tr>
      <w:tr>
        <w:trPr>
          <w:trHeight w:val="1380" w:hRule="atLeast"/>
        </w:trPr>
        <w:tc>
          <w:tcPr>
            <w:tcW w:w="2007" w:type="dxa"/>
          </w:tcPr>
          <w:p>
            <w:pPr>
              <w:pStyle w:val="TableParagraph"/>
              <w:spacing w:line="204" w:lineRule="auto" w:before="134"/>
              <w:ind w:left="619" w:right="120" w:hanging="420"/>
              <w:rPr>
                <w:rFonts w:ascii="Microsoft JhengHei" w:eastAsia="Microsoft JhengHei" w:hint="eastAsia"/>
                <w:b/>
                <w:sz w:val="21"/>
              </w:rPr>
            </w:pPr>
            <w:r>
              <w:rPr>
                <w:rFonts w:ascii="Microsoft JhengHei" w:eastAsia="Microsoft JhengHei" w:hint="eastAsia"/>
                <w:b/>
                <w:sz w:val="21"/>
              </w:rPr>
              <w:t>80. 脊髓小脑变性症</w:t>
            </w:r>
          </w:p>
        </w:tc>
        <w:tc>
          <w:tcPr>
            <w:tcW w:w="7747" w:type="dxa"/>
          </w:tcPr>
          <w:p>
            <w:pPr>
              <w:pStyle w:val="TableParagraph"/>
              <w:spacing w:before="166"/>
              <w:rPr>
                <w:sz w:val="21"/>
              </w:rPr>
            </w:pPr>
            <w:r>
              <w:rPr>
                <w:sz w:val="21"/>
              </w:rPr>
              <w:t>指一组以小脑萎缩和共济失调为主要临床特点的疾病。必须符合所有以下条件：</w:t>
            </w:r>
          </w:p>
          <w:p>
            <w:pPr>
              <w:pStyle w:val="TableParagraph"/>
              <w:spacing w:line="273" w:lineRule="auto" w:before="37"/>
              <w:ind w:left="648" w:right="310" w:hanging="527"/>
              <w:rPr>
                <w:sz w:val="21"/>
              </w:rPr>
            </w:pPr>
            <w:r>
              <w:rPr>
                <w:sz w:val="21"/>
              </w:rPr>
              <w:t>（1）脊髓小脑变性症必须由本公司认可的神经内科专科医生确诊，并有以下全部证据支持：</w:t>
            </w:r>
          </w:p>
          <w:p>
            <w:pPr>
              <w:pStyle w:val="TableParagraph"/>
              <w:spacing w:line="259" w:lineRule="exact" w:before="7"/>
              <w:ind w:left="648"/>
              <w:rPr>
                <w:sz w:val="21"/>
              </w:rPr>
            </w:pPr>
            <w:r>
              <w:rPr>
                <w:sz w:val="21"/>
              </w:rPr>
              <w:t>①影像学检查证实存在小脑萎缩；</w:t>
            </w:r>
          </w:p>
        </w:tc>
      </w:tr>
    </w:tbl>
    <w:p>
      <w:pPr>
        <w:spacing w:after="0" w:line="259" w:lineRule="exact"/>
        <w:rPr>
          <w:sz w:val="21"/>
        </w:rPr>
        <w:sectPr>
          <w:pgSz w:w="11910" w:h="16840"/>
          <w:pgMar w:header="0" w:footer="358" w:top="1160" w:bottom="540" w:left="1360" w:right="56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8"/>
        <w:gridCol w:w="1952"/>
        <w:gridCol w:w="7730"/>
      </w:tblGrid>
      <w:tr>
        <w:trPr>
          <w:trHeight w:val="1062" w:hRule="atLeast"/>
        </w:trPr>
        <w:tc>
          <w:tcPr>
            <w:tcW w:w="858" w:type="dxa"/>
          </w:tcPr>
          <w:p>
            <w:pPr>
              <w:pStyle w:val="TableParagraph"/>
              <w:ind w:left="0"/>
              <w:rPr>
                <w:rFonts w:ascii="Times New Roman"/>
                <w:sz w:val="20"/>
              </w:rPr>
            </w:pPr>
          </w:p>
        </w:tc>
        <w:tc>
          <w:tcPr>
            <w:tcW w:w="1952" w:type="dxa"/>
          </w:tcPr>
          <w:p>
            <w:pPr>
              <w:pStyle w:val="TableParagraph"/>
              <w:ind w:left="0"/>
              <w:rPr>
                <w:rFonts w:ascii="Times New Roman"/>
                <w:sz w:val="20"/>
              </w:rPr>
            </w:pPr>
          </w:p>
        </w:tc>
        <w:tc>
          <w:tcPr>
            <w:tcW w:w="7730" w:type="dxa"/>
          </w:tcPr>
          <w:p>
            <w:pPr>
              <w:pStyle w:val="TableParagraph"/>
              <w:spacing w:line="211" w:lineRule="exact"/>
              <w:ind w:left="633"/>
              <w:rPr>
                <w:sz w:val="21"/>
              </w:rPr>
            </w:pPr>
            <w:r>
              <w:rPr>
                <w:sz w:val="21"/>
              </w:rPr>
              <w:t>②临床表现存在共济失调、语言障碍和肌张力异常；</w:t>
            </w:r>
          </w:p>
          <w:p>
            <w:pPr>
              <w:pStyle w:val="TableParagraph"/>
              <w:spacing w:line="273" w:lineRule="auto" w:before="37"/>
              <w:ind w:left="633" w:right="306" w:hanging="527"/>
              <w:rPr>
                <w:sz w:val="21"/>
              </w:rPr>
            </w:pPr>
            <w:r>
              <w:rPr>
                <w:sz w:val="21"/>
              </w:rPr>
              <w:t>（2）被保险人运动功能严重障碍，自主生活能力完全丧失，无法独立完成六项基本日常生活活动中的三项或三项以上。</w:t>
            </w:r>
          </w:p>
        </w:tc>
      </w:tr>
      <w:tr>
        <w:trPr>
          <w:trHeight w:val="983" w:hRule="atLeast"/>
        </w:trPr>
        <w:tc>
          <w:tcPr>
            <w:tcW w:w="858" w:type="dxa"/>
          </w:tcPr>
          <w:p>
            <w:pPr>
              <w:pStyle w:val="TableParagraph"/>
              <w:ind w:left="0"/>
              <w:rPr>
                <w:rFonts w:ascii="Times New Roman"/>
                <w:sz w:val="20"/>
              </w:rPr>
            </w:pPr>
          </w:p>
        </w:tc>
        <w:tc>
          <w:tcPr>
            <w:tcW w:w="1952" w:type="dxa"/>
          </w:tcPr>
          <w:p>
            <w:pPr>
              <w:pStyle w:val="TableParagraph"/>
              <w:spacing w:line="204" w:lineRule="auto" w:before="138"/>
              <w:ind w:left="549" w:right="135" w:hanging="420"/>
              <w:rPr>
                <w:rFonts w:ascii="Microsoft JhengHei" w:eastAsia="Microsoft JhengHei" w:hint="eastAsia"/>
                <w:b/>
                <w:sz w:val="21"/>
              </w:rPr>
            </w:pPr>
            <w:r>
              <w:rPr>
                <w:rFonts w:ascii="Microsoft JhengHei" w:eastAsia="Microsoft JhengHei" w:hint="eastAsia"/>
                <w:b/>
                <w:sz w:val="21"/>
              </w:rPr>
              <w:t>81. 进行性多灶性白质脑病</w:t>
            </w:r>
          </w:p>
        </w:tc>
        <w:tc>
          <w:tcPr>
            <w:tcW w:w="7730" w:type="dxa"/>
          </w:tcPr>
          <w:p>
            <w:pPr>
              <w:pStyle w:val="TableParagraph"/>
              <w:spacing w:line="273" w:lineRule="auto" w:before="170"/>
              <w:ind w:left="107" w:right="302"/>
              <w:rPr>
                <w:sz w:val="21"/>
              </w:rPr>
            </w:pPr>
            <w:r>
              <w:rPr>
                <w:spacing w:val="-6"/>
                <w:sz w:val="21"/>
              </w:rPr>
              <w:t>是一种亚急性脱髓鞘性脑病，常常发生于免疫缺陷的病人。此症必须由本公司认</w:t>
            </w:r>
            <w:r>
              <w:rPr>
                <w:spacing w:val="-4"/>
                <w:sz w:val="21"/>
              </w:rPr>
              <w:t>可的神经科专科医生根据脑组织活检确诊。</w:t>
            </w:r>
          </w:p>
        </w:tc>
      </w:tr>
      <w:tr>
        <w:trPr>
          <w:trHeight w:val="1543" w:hRule="atLeast"/>
        </w:trPr>
        <w:tc>
          <w:tcPr>
            <w:tcW w:w="858" w:type="dxa"/>
          </w:tcPr>
          <w:p>
            <w:pPr>
              <w:pStyle w:val="TableParagraph"/>
              <w:ind w:left="0"/>
              <w:rPr>
                <w:rFonts w:ascii="Times New Roman"/>
                <w:sz w:val="20"/>
              </w:rPr>
            </w:pPr>
          </w:p>
        </w:tc>
        <w:tc>
          <w:tcPr>
            <w:tcW w:w="1952" w:type="dxa"/>
          </w:tcPr>
          <w:p>
            <w:pPr>
              <w:pStyle w:val="TableParagraph"/>
              <w:spacing w:line="204" w:lineRule="auto" w:before="137"/>
              <w:ind w:left="549" w:right="135" w:hanging="420"/>
              <w:rPr>
                <w:rFonts w:ascii="Microsoft JhengHei" w:eastAsia="Microsoft JhengHei" w:hint="eastAsia"/>
                <w:b/>
                <w:sz w:val="21"/>
              </w:rPr>
            </w:pPr>
            <w:r>
              <w:rPr>
                <w:rFonts w:ascii="Microsoft JhengHei" w:eastAsia="Microsoft JhengHei" w:hint="eastAsia"/>
                <w:b/>
                <w:sz w:val="21"/>
              </w:rPr>
              <w:t>82. 弥漫性血管内凝血</w:t>
            </w:r>
          </w:p>
        </w:tc>
        <w:tc>
          <w:tcPr>
            <w:tcW w:w="7730" w:type="dxa"/>
          </w:tcPr>
          <w:p>
            <w:pPr>
              <w:pStyle w:val="TableParagraph"/>
              <w:spacing w:line="273" w:lineRule="auto" w:before="168"/>
              <w:ind w:left="107" w:right="301"/>
              <w:jc w:val="both"/>
              <w:rPr>
                <w:sz w:val="21"/>
              </w:rPr>
            </w:pPr>
            <w:r>
              <w:rPr>
                <w:spacing w:val="-5"/>
                <w:sz w:val="21"/>
              </w:rPr>
              <w:t>指血液凝固系统和纤溶系统的过度活动导致微血管血栓形成、血小板及凝血因子</w:t>
            </w:r>
            <w:r>
              <w:rPr>
                <w:spacing w:val="-7"/>
                <w:sz w:val="21"/>
              </w:rPr>
              <w:t>耗竭和严重出血，此症必须由本公司认可的专科医生确诊，并且已经达到临床分</w:t>
            </w:r>
            <w:r>
              <w:rPr>
                <w:w w:val="100"/>
                <w:sz w:val="21"/>
              </w:rPr>
              <w:t>期的中期（消耗性低凝期</w:t>
            </w:r>
            <w:r>
              <w:rPr>
                <w:spacing w:val="1"/>
                <w:w w:val="100"/>
                <w:sz w:val="21"/>
              </w:rPr>
              <w:t>）</w:t>
            </w:r>
            <w:r>
              <w:rPr>
                <w:w w:val="100"/>
                <w:sz w:val="21"/>
              </w:rPr>
              <w:t>或后期（继发性纤溶亢进期</w:t>
            </w:r>
            <w:r>
              <w:rPr>
                <w:spacing w:val="-104"/>
                <w:w w:val="100"/>
                <w:sz w:val="21"/>
              </w:rPr>
              <w:t>）</w:t>
            </w:r>
            <w:r>
              <w:rPr>
                <w:w w:val="100"/>
                <w:sz w:val="21"/>
              </w:rPr>
              <w:t>，需要输注血浆和浓缩</w:t>
            </w:r>
            <w:r>
              <w:rPr>
                <w:spacing w:val="-3"/>
                <w:sz w:val="21"/>
              </w:rPr>
              <w:t>血小板进行治疗。</w:t>
            </w:r>
          </w:p>
        </w:tc>
      </w:tr>
      <w:tr>
        <w:trPr>
          <w:trHeight w:val="894" w:hRule="atLeast"/>
        </w:trPr>
        <w:tc>
          <w:tcPr>
            <w:tcW w:w="858" w:type="dxa"/>
          </w:tcPr>
          <w:p>
            <w:pPr>
              <w:pStyle w:val="TableParagraph"/>
              <w:spacing w:before="100"/>
              <w:ind w:left="0" w:right="129"/>
              <w:jc w:val="right"/>
              <w:rPr>
                <w:b/>
                <w:sz w:val="21"/>
              </w:rPr>
            </w:pPr>
            <w:r>
              <w:rPr>
                <w:b/>
                <w:sz w:val="21"/>
              </w:rPr>
              <w:t>10.10</w:t>
            </w:r>
          </w:p>
        </w:tc>
        <w:tc>
          <w:tcPr>
            <w:tcW w:w="1952" w:type="dxa"/>
          </w:tcPr>
          <w:p>
            <w:pPr>
              <w:pStyle w:val="TableParagraph"/>
              <w:spacing w:before="100"/>
              <w:ind w:left="129"/>
              <w:rPr>
                <w:b/>
                <w:sz w:val="21"/>
              </w:rPr>
            </w:pPr>
            <w:r>
              <w:rPr>
                <w:b/>
                <w:sz w:val="21"/>
              </w:rPr>
              <w:t>现金价值</w:t>
            </w:r>
          </w:p>
        </w:tc>
        <w:tc>
          <w:tcPr>
            <w:tcW w:w="7730" w:type="dxa"/>
          </w:tcPr>
          <w:p>
            <w:pPr>
              <w:pStyle w:val="TableParagraph"/>
              <w:spacing w:line="273" w:lineRule="auto" w:before="100"/>
              <w:ind w:left="107" w:right="304"/>
              <w:rPr>
                <w:sz w:val="21"/>
              </w:rPr>
            </w:pPr>
            <w:r>
              <w:rPr>
                <w:spacing w:val="-6"/>
                <w:sz w:val="21"/>
              </w:rPr>
              <w:t>指保险合同所具有的价值，通常体现为解除合同时，根据精算原理计算的，由我</w:t>
            </w:r>
            <w:r>
              <w:rPr>
                <w:spacing w:val="-4"/>
                <w:sz w:val="21"/>
              </w:rPr>
              <w:t>们退还的那部分金额。</w:t>
            </w:r>
          </w:p>
        </w:tc>
      </w:tr>
      <w:tr>
        <w:trPr>
          <w:trHeight w:val="2142" w:hRule="atLeast"/>
        </w:trPr>
        <w:tc>
          <w:tcPr>
            <w:tcW w:w="858" w:type="dxa"/>
          </w:tcPr>
          <w:p>
            <w:pPr>
              <w:pStyle w:val="TableParagraph"/>
              <w:spacing w:before="143"/>
              <w:ind w:left="0" w:right="129"/>
              <w:jc w:val="right"/>
              <w:rPr>
                <w:b/>
                <w:sz w:val="21"/>
              </w:rPr>
            </w:pPr>
            <w:r>
              <w:rPr>
                <w:b/>
                <w:sz w:val="21"/>
              </w:rPr>
              <w:t>10.11</w:t>
            </w:r>
          </w:p>
        </w:tc>
        <w:tc>
          <w:tcPr>
            <w:tcW w:w="1952" w:type="dxa"/>
          </w:tcPr>
          <w:p>
            <w:pPr>
              <w:pStyle w:val="TableParagraph"/>
              <w:spacing w:before="143"/>
              <w:ind w:left="129"/>
              <w:rPr>
                <w:b/>
                <w:sz w:val="21"/>
              </w:rPr>
            </w:pPr>
            <w:r>
              <w:rPr>
                <w:b/>
                <w:sz w:val="21"/>
              </w:rPr>
              <w:t>专科医生</w:t>
            </w:r>
          </w:p>
        </w:tc>
        <w:tc>
          <w:tcPr>
            <w:tcW w:w="7730" w:type="dxa"/>
          </w:tcPr>
          <w:p>
            <w:pPr>
              <w:pStyle w:val="TableParagraph"/>
              <w:spacing w:before="143"/>
              <w:ind w:left="107"/>
              <w:rPr>
                <w:sz w:val="21"/>
              </w:rPr>
            </w:pPr>
            <w:r>
              <w:rPr>
                <w:sz w:val="21"/>
              </w:rPr>
              <w:t>专科医生应当同时满足以下四项资格条件：</w:t>
            </w:r>
          </w:p>
          <w:p>
            <w:pPr>
              <w:pStyle w:val="TableParagraph"/>
              <w:spacing w:before="37"/>
              <w:ind w:left="107"/>
              <w:rPr>
                <w:sz w:val="21"/>
              </w:rPr>
            </w:pPr>
            <w:r>
              <w:rPr>
                <w:sz w:val="21"/>
              </w:rPr>
              <w:t>（1）具有有效的中华人民共和国《医师资格证书》；</w:t>
            </w:r>
          </w:p>
          <w:p>
            <w:pPr>
              <w:pStyle w:val="TableParagraph"/>
              <w:spacing w:before="37"/>
              <w:ind w:left="107"/>
              <w:rPr>
                <w:sz w:val="21"/>
              </w:rPr>
            </w:pPr>
            <w:r>
              <w:rPr>
                <w:spacing w:val="-16"/>
                <w:sz w:val="21"/>
              </w:rPr>
              <w:t>（2）</w:t>
            </w:r>
            <w:r>
              <w:rPr>
                <w:spacing w:val="-14"/>
                <w:sz w:val="21"/>
              </w:rPr>
              <w:t>具有有效的中华人民共和国《医师执业证书》，并按期到相关部门登记注册；</w:t>
            </w:r>
          </w:p>
          <w:p>
            <w:pPr>
              <w:pStyle w:val="TableParagraph"/>
              <w:spacing w:line="273" w:lineRule="auto" w:before="37"/>
              <w:ind w:left="633" w:right="308" w:hanging="527"/>
              <w:rPr>
                <w:sz w:val="21"/>
              </w:rPr>
            </w:pPr>
            <w:r>
              <w:rPr>
                <w:sz w:val="21"/>
              </w:rPr>
              <w:t>（3）具有有效的中华人民共和国主治医师或主治医师以上职称的《医师职称证书》；</w:t>
            </w:r>
          </w:p>
          <w:p>
            <w:pPr>
              <w:pStyle w:val="TableParagraph"/>
              <w:spacing w:before="7"/>
              <w:ind w:left="107"/>
              <w:rPr>
                <w:sz w:val="21"/>
              </w:rPr>
            </w:pPr>
            <w:r>
              <w:rPr>
                <w:sz w:val="21"/>
              </w:rPr>
              <w:t>（4）在二级或二级以上医院的相应科室从事临床工作三年以上。</w:t>
            </w:r>
          </w:p>
        </w:tc>
      </w:tr>
      <w:tr>
        <w:trPr>
          <w:trHeight w:val="1475" w:hRule="atLeast"/>
        </w:trPr>
        <w:tc>
          <w:tcPr>
            <w:tcW w:w="858" w:type="dxa"/>
          </w:tcPr>
          <w:p>
            <w:pPr>
              <w:pStyle w:val="TableParagraph"/>
              <w:spacing w:before="100"/>
              <w:ind w:left="0" w:right="129"/>
              <w:jc w:val="right"/>
              <w:rPr>
                <w:b/>
                <w:sz w:val="21"/>
              </w:rPr>
            </w:pPr>
            <w:r>
              <w:rPr>
                <w:b/>
                <w:sz w:val="21"/>
              </w:rPr>
              <w:t>10.12</w:t>
            </w:r>
          </w:p>
        </w:tc>
        <w:tc>
          <w:tcPr>
            <w:tcW w:w="1952" w:type="dxa"/>
          </w:tcPr>
          <w:p>
            <w:pPr>
              <w:pStyle w:val="TableParagraph"/>
              <w:spacing w:before="100"/>
              <w:ind w:left="129"/>
              <w:rPr>
                <w:b/>
                <w:sz w:val="21"/>
              </w:rPr>
            </w:pPr>
            <w:r>
              <w:rPr>
                <w:b/>
                <w:sz w:val="21"/>
              </w:rPr>
              <w:t>疾病终末期阶段</w:t>
            </w:r>
          </w:p>
        </w:tc>
        <w:tc>
          <w:tcPr>
            <w:tcW w:w="7730" w:type="dxa"/>
          </w:tcPr>
          <w:p>
            <w:pPr>
              <w:pStyle w:val="TableParagraph"/>
              <w:spacing w:line="273" w:lineRule="auto" w:before="100"/>
              <w:ind w:left="107" w:right="257"/>
              <w:rPr>
                <w:sz w:val="21"/>
              </w:rPr>
            </w:pPr>
            <w:r>
              <w:rPr>
                <w:sz w:val="21"/>
              </w:rPr>
              <w:t>疾病终末期阶段需由专科医生出具诊断证明和提交临床检查证据，证明被保险人所患疾病同时满足以下两个条件：</w:t>
            </w:r>
          </w:p>
          <w:p>
            <w:pPr>
              <w:pStyle w:val="TableParagraph"/>
              <w:spacing w:before="7"/>
              <w:ind w:left="107"/>
              <w:rPr>
                <w:sz w:val="21"/>
              </w:rPr>
            </w:pPr>
            <w:r>
              <w:rPr>
                <w:sz w:val="21"/>
              </w:rPr>
              <w:t>（</w:t>
            </w:r>
            <w:r>
              <w:rPr>
                <w:rFonts w:ascii="Times New Roman" w:eastAsia="Times New Roman"/>
                <w:sz w:val="21"/>
              </w:rPr>
              <w:t>1</w:t>
            </w:r>
            <w:r>
              <w:rPr>
                <w:sz w:val="21"/>
              </w:rPr>
              <w:t>）依现有医疗技术无法缓解；</w:t>
            </w:r>
          </w:p>
          <w:p>
            <w:pPr>
              <w:pStyle w:val="TableParagraph"/>
              <w:spacing w:before="21"/>
              <w:ind w:left="107"/>
              <w:rPr>
                <w:sz w:val="21"/>
              </w:rPr>
            </w:pPr>
            <w:r>
              <w:rPr>
                <w:sz w:val="21"/>
              </w:rPr>
              <w:t>（2）根据临床医学经验判断被保险人存活期低于六个月。</w:t>
            </w:r>
          </w:p>
        </w:tc>
      </w:tr>
      <w:tr>
        <w:trPr>
          <w:trHeight w:val="1162" w:hRule="atLeast"/>
        </w:trPr>
        <w:tc>
          <w:tcPr>
            <w:tcW w:w="858" w:type="dxa"/>
          </w:tcPr>
          <w:p>
            <w:pPr>
              <w:pStyle w:val="TableParagraph"/>
              <w:spacing w:before="99"/>
              <w:ind w:left="0" w:right="129"/>
              <w:jc w:val="right"/>
              <w:rPr>
                <w:b/>
                <w:sz w:val="21"/>
              </w:rPr>
            </w:pPr>
            <w:r>
              <w:rPr>
                <w:b/>
                <w:sz w:val="21"/>
              </w:rPr>
              <w:t>10.13</w:t>
            </w:r>
          </w:p>
        </w:tc>
        <w:tc>
          <w:tcPr>
            <w:tcW w:w="1952" w:type="dxa"/>
          </w:tcPr>
          <w:p>
            <w:pPr>
              <w:pStyle w:val="TableParagraph"/>
              <w:spacing w:before="99"/>
              <w:ind w:left="129"/>
              <w:rPr>
                <w:b/>
                <w:sz w:val="21"/>
              </w:rPr>
            </w:pPr>
            <w:r>
              <w:rPr>
                <w:b/>
                <w:sz w:val="21"/>
              </w:rPr>
              <w:t>毒品</w:t>
            </w:r>
          </w:p>
        </w:tc>
        <w:tc>
          <w:tcPr>
            <w:tcW w:w="7730" w:type="dxa"/>
          </w:tcPr>
          <w:p>
            <w:pPr>
              <w:pStyle w:val="TableParagraph"/>
              <w:spacing w:line="273" w:lineRule="auto" w:before="99"/>
              <w:ind w:left="107" w:right="198"/>
              <w:rPr>
                <w:sz w:val="21"/>
              </w:rPr>
            </w:pPr>
            <w:r>
              <w:rPr>
                <w:spacing w:val="-6"/>
                <w:sz w:val="21"/>
              </w:rPr>
              <w:t>指中华人民共和国刑法规定的鸦片、海洛因、甲基苯丙胺</w:t>
            </w:r>
            <w:r>
              <w:rPr>
                <w:spacing w:val="-3"/>
                <w:sz w:val="21"/>
              </w:rPr>
              <w:t>（</w:t>
            </w:r>
            <w:r>
              <w:rPr>
                <w:sz w:val="21"/>
              </w:rPr>
              <w:t>冰毒</w:t>
            </w:r>
            <w:r>
              <w:rPr>
                <w:spacing w:val="-108"/>
                <w:sz w:val="21"/>
              </w:rPr>
              <w:t>）</w:t>
            </w:r>
            <w:r>
              <w:rPr>
                <w:spacing w:val="-5"/>
                <w:sz w:val="21"/>
              </w:rPr>
              <w:t>、吗啡、大麻、</w:t>
            </w:r>
            <w:r>
              <w:rPr>
                <w:spacing w:val="-6"/>
                <w:sz w:val="21"/>
              </w:rPr>
              <w:t>可卡因以及国家规定管制的其他能够使人形成瘾癖的麻醉药品和精神药品，但不</w:t>
            </w:r>
            <w:r>
              <w:rPr>
                <w:spacing w:val="-4"/>
                <w:sz w:val="21"/>
              </w:rPr>
              <w:t>包括由医生开具并遵医嘱使用的用于治疗疾病但含有毒品成分的处方药品。</w:t>
            </w:r>
          </w:p>
        </w:tc>
      </w:tr>
      <w:tr>
        <w:trPr>
          <w:trHeight w:val="1162" w:hRule="atLeast"/>
        </w:trPr>
        <w:tc>
          <w:tcPr>
            <w:tcW w:w="858" w:type="dxa"/>
          </w:tcPr>
          <w:p>
            <w:pPr>
              <w:pStyle w:val="TableParagraph"/>
              <w:spacing w:before="100"/>
              <w:ind w:left="0" w:right="129"/>
              <w:jc w:val="right"/>
              <w:rPr>
                <w:b/>
                <w:sz w:val="21"/>
              </w:rPr>
            </w:pPr>
            <w:r>
              <w:rPr>
                <w:b/>
                <w:sz w:val="21"/>
              </w:rPr>
              <w:t>10.14</w:t>
            </w:r>
          </w:p>
        </w:tc>
        <w:tc>
          <w:tcPr>
            <w:tcW w:w="1952" w:type="dxa"/>
          </w:tcPr>
          <w:p>
            <w:pPr>
              <w:pStyle w:val="TableParagraph"/>
              <w:spacing w:before="100"/>
              <w:ind w:left="129"/>
              <w:rPr>
                <w:b/>
                <w:sz w:val="21"/>
              </w:rPr>
            </w:pPr>
            <w:r>
              <w:rPr>
                <w:b/>
                <w:sz w:val="21"/>
              </w:rPr>
              <w:t>酒后驾驶</w:t>
            </w:r>
          </w:p>
        </w:tc>
        <w:tc>
          <w:tcPr>
            <w:tcW w:w="7730" w:type="dxa"/>
          </w:tcPr>
          <w:p>
            <w:pPr>
              <w:pStyle w:val="TableParagraph"/>
              <w:spacing w:line="273" w:lineRule="auto" w:before="100"/>
              <w:ind w:left="107" w:right="302"/>
              <w:jc w:val="both"/>
              <w:rPr>
                <w:sz w:val="21"/>
              </w:rPr>
            </w:pPr>
            <w:r>
              <w:rPr>
                <w:spacing w:val="-8"/>
                <w:sz w:val="21"/>
              </w:rPr>
              <w:t>指经检测或鉴定，发生事故时车辆驾驶人员每百毫升血液中的酒精含量达到或超</w:t>
            </w:r>
            <w:r>
              <w:rPr>
                <w:spacing w:val="-9"/>
                <w:sz w:val="21"/>
              </w:rPr>
              <w:t>过一定的标准，公安机关交通管理部门依据《道路交通安全法》的规定认定为饮</w:t>
            </w:r>
            <w:r>
              <w:rPr>
                <w:spacing w:val="-5"/>
                <w:sz w:val="21"/>
              </w:rPr>
              <w:t>酒后驾驶或醉酒后驾驶。</w:t>
            </w:r>
          </w:p>
        </w:tc>
      </w:tr>
      <w:tr>
        <w:trPr>
          <w:trHeight w:val="2099" w:hRule="atLeast"/>
        </w:trPr>
        <w:tc>
          <w:tcPr>
            <w:tcW w:w="858" w:type="dxa"/>
          </w:tcPr>
          <w:p>
            <w:pPr>
              <w:pStyle w:val="TableParagraph"/>
              <w:spacing w:before="99"/>
              <w:ind w:left="0" w:right="129"/>
              <w:jc w:val="right"/>
              <w:rPr>
                <w:b/>
                <w:sz w:val="21"/>
              </w:rPr>
            </w:pPr>
            <w:r>
              <w:rPr>
                <w:b/>
                <w:sz w:val="21"/>
              </w:rPr>
              <w:t>10.15</w:t>
            </w:r>
          </w:p>
        </w:tc>
        <w:tc>
          <w:tcPr>
            <w:tcW w:w="1952" w:type="dxa"/>
          </w:tcPr>
          <w:p>
            <w:pPr>
              <w:pStyle w:val="TableParagraph"/>
              <w:spacing w:line="273" w:lineRule="auto" w:before="99"/>
              <w:ind w:left="129" w:right="105"/>
              <w:rPr>
                <w:b/>
                <w:sz w:val="21"/>
              </w:rPr>
            </w:pPr>
            <w:r>
              <w:rPr>
                <w:b/>
                <w:sz w:val="21"/>
              </w:rPr>
              <w:t>无合法有效驾驶证驾驶</w:t>
            </w:r>
          </w:p>
        </w:tc>
        <w:tc>
          <w:tcPr>
            <w:tcW w:w="7730" w:type="dxa"/>
          </w:tcPr>
          <w:p>
            <w:pPr>
              <w:pStyle w:val="TableParagraph"/>
              <w:spacing w:before="99"/>
              <w:ind w:left="107"/>
              <w:rPr>
                <w:sz w:val="21"/>
              </w:rPr>
            </w:pPr>
            <w:r>
              <w:rPr>
                <w:sz w:val="21"/>
              </w:rPr>
              <w:t>指下列情形之一：</w:t>
            </w:r>
          </w:p>
          <w:p>
            <w:pPr>
              <w:pStyle w:val="TableParagraph"/>
              <w:spacing w:before="36"/>
              <w:ind w:left="107"/>
              <w:rPr>
                <w:sz w:val="21"/>
              </w:rPr>
            </w:pPr>
            <w:r>
              <w:rPr>
                <w:sz w:val="21"/>
              </w:rPr>
              <w:t>（1）没有驾驶证驾驶；</w:t>
            </w:r>
          </w:p>
          <w:p>
            <w:pPr>
              <w:pStyle w:val="TableParagraph"/>
              <w:spacing w:before="36"/>
              <w:ind w:left="107"/>
              <w:rPr>
                <w:sz w:val="21"/>
              </w:rPr>
            </w:pPr>
            <w:r>
              <w:rPr>
                <w:sz w:val="21"/>
              </w:rPr>
              <w:t>（2）驾驶与驾驶证准驾车型不相符合的车辆；</w:t>
            </w:r>
          </w:p>
          <w:p>
            <w:pPr>
              <w:pStyle w:val="TableParagraph"/>
              <w:spacing w:before="36"/>
              <w:ind w:left="107"/>
              <w:rPr>
                <w:sz w:val="21"/>
              </w:rPr>
            </w:pPr>
            <w:r>
              <w:rPr>
                <w:sz w:val="21"/>
              </w:rPr>
              <w:t>（3）持审验不合格的驾驶证驾驶；</w:t>
            </w:r>
          </w:p>
          <w:p>
            <w:pPr>
              <w:pStyle w:val="TableParagraph"/>
              <w:spacing w:line="273" w:lineRule="auto" w:before="37"/>
              <w:ind w:left="633" w:right="308" w:hanging="527"/>
              <w:rPr>
                <w:sz w:val="21"/>
              </w:rPr>
            </w:pPr>
            <w:r>
              <w:rPr>
                <w:sz w:val="21"/>
              </w:rPr>
              <w:t>（4）持学习驾驶证学习驾车时，无教练员随车指导，或不按指定时间、路线学习驾车。</w:t>
            </w:r>
          </w:p>
        </w:tc>
      </w:tr>
      <w:tr>
        <w:trPr>
          <w:trHeight w:val="1163" w:hRule="atLeast"/>
        </w:trPr>
        <w:tc>
          <w:tcPr>
            <w:tcW w:w="858" w:type="dxa"/>
          </w:tcPr>
          <w:p>
            <w:pPr>
              <w:pStyle w:val="TableParagraph"/>
              <w:spacing w:before="100"/>
              <w:ind w:left="0" w:right="129"/>
              <w:jc w:val="right"/>
              <w:rPr>
                <w:b/>
                <w:sz w:val="21"/>
              </w:rPr>
            </w:pPr>
            <w:r>
              <w:rPr>
                <w:b/>
                <w:sz w:val="21"/>
              </w:rPr>
              <w:t>10.16</w:t>
            </w:r>
          </w:p>
        </w:tc>
        <w:tc>
          <w:tcPr>
            <w:tcW w:w="1952" w:type="dxa"/>
          </w:tcPr>
          <w:p>
            <w:pPr>
              <w:pStyle w:val="TableParagraph"/>
              <w:spacing w:before="100"/>
              <w:ind w:left="129"/>
              <w:rPr>
                <w:b/>
                <w:sz w:val="21"/>
              </w:rPr>
            </w:pPr>
            <w:r>
              <w:rPr>
                <w:b/>
                <w:sz w:val="21"/>
              </w:rPr>
              <w:t>无有效行驶证</w:t>
            </w:r>
          </w:p>
        </w:tc>
        <w:tc>
          <w:tcPr>
            <w:tcW w:w="7730" w:type="dxa"/>
          </w:tcPr>
          <w:p>
            <w:pPr>
              <w:pStyle w:val="TableParagraph"/>
              <w:spacing w:before="100"/>
              <w:ind w:left="107"/>
              <w:rPr>
                <w:sz w:val="21"/>
              </w:rPr>
            </w:pPr>
            <w:r>
              <w:rPr>
                <w:sz w:val="21"/>
              </w:rPr>
              <w:t>指下列情形之一：</w:t>
            </w:r>
          </w:p>
          <w:p>
            <w:pPr>
              <w:pStyle w:val="TableParagraph"/>
              <w:spacing w:before="36"/>
              <w:ind w:left="107"/>
              <w:rPr>
                <w:sz w:val="21"/>
              </w:rPr>
            </w:pPr>
            <w:r>
              <w:rPr>
                <w:sz w:val="21"/>
              </w:rPr>
              <w:t>（1）机动车被依法注销登记的；</w:t>
            </w:r>
          </w:p>
          <w:p>
            <w:pPr>
              <w:pStyle w:val="TableParagraph"/>
              <w:spacing w:before="36"/>
              <w:ind w:left="107"/>
              <w:rPr>
                <w:sz w:val="21"/>
              </w:rPr>
            </w:pPr>
            <w:r>
              <w:rPr>
                <w:sz w:val="21"/>
              </w:rPr>
              <w:t>（2）未依法按时进行或通过机动车安全技术检验。</w:t>
            </w:r>
          </w:p>
        </w:tc>
      </w:tr>
      <w:tr>
        <w:trPr>
          <w:trHeight w:val="687" w:hRule="atLeast"/>
        </w:trPr>
        <w:tc>
          <w:tcPr>
            <w:tcW w:w="858" w:type="dxa"/>
          </w:tcPr>
          <w:p>
            <w:pPr>
              <w:pStyle w:val="TableParagraph"/>
              <w:spacing w:before="100"/>
              <w:ind w:left="0" w:right="129"/>
              <w:jc w:val="right"/>
              <w:rPr>
                <w:b/>
                <w:sz w:val="21"/>
              </w:rPr>
            </w:pPr>
            <w:r>
              <w:rPr>
                <w:b/>
                <w:sz w:val="21"/>
              </w:rPr>
              <w:t>10.17</w:t>
            </w:r>
          </w:p>
        </w:tc>
        <w:tc>
          <w:tcPr>
            <w:tcW w:w="1952" w:type="dxa"/>
          </w:tcPr>
          <w:p>
            <w:pPr>
              <w:pStyle w:val="TableParagraph"/>
              <w:spacing w:before="100"/>
              <w:ind w:left="129"/>
              <w:rPr>
                <w:b/>
                <w:sz w:val="21"/>
              </w:rPr>
            </w:pPr>
            <w:r>
              <w:rPr>
                <w:b/>
                <w:sz w:val="21"/>
              </w:rPr>
              <w:t>机动车</w:t>
            </w:r>
          </w:p>
        </w:tc>
        <w:tc>
          <w:tcPr>
            <w:tcW w:w="7730" w:type="dxa"/>
          </w:tcPr>
          <w:p>
            <w:pPr>
              <w:pStyle w:val="TableParagraph"/>
              <w:spacing w:line="310" w:lineRule="atLeast" w:before="65"/>
              <w:ind w:left="107" w:right="301"/>
              <w:rPr>
                <w:sz w:val="21"/>
              </w:rPr>
            </w:pPr>
            <w:r>
              <w:rPr>
                <w:spacing w:val="-6"/>
                <w:sz w:val="21"/>
              </w:rPr>
              <w:t>指以动力装置驱动或牵引，上道路行驶的供人员乘用或用于运送物品以及进行工</w:t>
            </w:r>
            <w:r>
              <w:rPr>
                <w:spacing w:val="-4"/>
                <w:sz w:val="21"/>
              </w:rPr>
              <w:t>程专项作业的轮式车辆。</w:t>
            </w:r>
          </w:p>
        </w:tc>
      </w:tr>
    </w:tbl>
    <w:p>
      <w:pPr>
        <w:spacing w:after="0" w:line="310" w:lineRule="atLeast"/>
        <w:rPr>
          <w:sz w:val="21"/>
        </w:rPr>
        <w:sectPr>
          <w:pgSz w:w="11910" w:h="16840"/>
          <w:pgMar w:header="0" w:footer="358" w:top="1160" w:bottom="540" w:left="580" w:right="56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8"/>
        <w:gridCol w:w="1952"/>
        <w:gridCol w:w="7732"/>
      </w:tblGrid>
      <w:tr>
        <w:trPr>
          <w:trHeight w:val="1312" w:hRule="atLeast"/>
        </w:trPr>
        <w:tc>
          <w:tcPr>
            <w:tcW w:w="858" w:type="dxa"/>
          </w:tcPr>
          <w:p>
            <w:pPr>
              <w:pStyle w:val="TableParagraph"/>
              <w:spacing w:line="205" w:lineRule="exact"/>
              <w:ind w:left="0" w:right="129"/>
              <w:jc w:val="right"/>
              <w:rPr>
                <w:b/>
                <w:sz w:val="21"/>
              </w:rPr>
            </w:pPr>
            <w:r>
              <w:rPr>
                <w:b/>
                <w:sz w:val="21"/>
              </w:rPr>
              <w:t>10.18</w:t>
            </w:r>
          </w:p>
        </w:tc>
        <w:tc>
          <w:tcPr>
            <w:tcW w:w="1952" w:type="dxa"/>
          </w:tcPr>
          <w:p>
            <w:pPr>
              <w:pStyle w:val="TableParagraph"/>
              <w:spacing w:line="205" w:lineRule="exact"/>
              <w:ind w:left="129"/>
              <w:rPr>
                <w:b/>
                <w:sz w:val="21"/>
              </w:rPr>
            </w:pPr>
            <w:r>
              <w:rPr>
                <w:b/>
                <w:sz w:val="21"/>
              </w:rPr>
              <w:t>感染艾滋病病毒或</w:t>
            </w:r>
          </w:p>
          <w:p>
            <w:pPr>
              <w:pStyle w:val="TableParagraph"/>
              <w:spacing w:before="37"/>
              <w:ind w:left="129"/>
              <w:rPr>
                <w:b/>
                <w:sz w:val="21"/>
              </w:rPr>
            </w:pPr>
            <w:r>
              <w:rPr>
                <w:b/>
                <w:sz w:val="21"/>
              </w:rPr>
              <w:t>患艾滋病</w:t>
            </w:r>
          </w:p>
        </w:tc>
        <w:tc>
          <w:tcPr>
            <w:tcW w:w="7732" w:type="dxa"/>
          </w:tcPr>
          <w:p>
            <w:pPr>
              <w:pStyle w:val="TableParagraph"/>
              <w:spacing w:line="205" w:lineRule="exact"/>
              <w:ind w:left="107"/>
              <w:rPr>
                <w:sz w:val="21"/>
              </w:rPr>
            </w:pPr>
            <w:r>
              <w:rPr>
                <w:sz w:val="21"/>
              </w:rPr>
              <w:t>艾滋病病毒指人类免疫缺陷病毒，英文缩写为 HIV。艾滋病指人类免疫缺陷病毒</w:t>
            </w:r>
          </w:p>
          <w:p>
            <w:pPr>
              <w:pStyle w:val="TableParagraph"/>
              <w:spacing w:line="273" w:lineRule="auto" w:before="37"/>
              <w:ind w:left="107" w:right="203"/>
              <w:rPr>
                <w:sz w:val="21"/>
              </w:rPr>
            </w:pPr>
            <w:r>
              <w:rPr>
                <w:spacing w:val="-9"/>
                <w:sz w:val="21"/>
              </w:rPr>
              <w:t>引起的获得性免疫缺陷综合征，英文缩写为 </w:t>
            </w:r>
            <w:r>
              <w:rPr>
                <w:sz w:val="21"/>
              </w:rPr>
              <w:t>AIDS</w:t>
            </w:r>
            <w:r>
              <w:rPr>
                <w:spacing w:val="-8"/>
                <w:sz w:val="21"/>
              </w:rPr>
              <w:t>。在人体血液或其他样本中检测</w:t>
            </w:r>
            <w:r>
              <w:rPr>
                <w:spacing w:val="-13"/>
                <w:sz w:val="21"/>
              </w:rPr>
              <w:t>到艾滋病病毒或其抗体呈阳性，没有出现临床症状或体征的，为感染艾滋病病毒； </w:t>
            </w:r>
            <w:r>
              <w:rPr>
                <w:spacing w:val="-6"/>
                <w:sz w:val="21"/>
              </w:rPr>
              <w:t>如果同时出现了明显临床症状或体征的，为患艾滋病。</w:t>
            </w:r>
          </w:p>
        </w:tc>
      </w:tr>
      <w:tr>
        <w:trPr>
          <w:trHeight w:val="850" w:hRule="atLeast"/>
        </w:trPr>
        <w:tc>
          <w:tcPr>
            <w:tcW w:w="858" w:type="dxa"/>
          </w:tcPr>
          <w:p>
            <w:pPr>
              <w:pStyle w:val="TableParagraph"/>
              <w:spacing w:before="94"/>
              <w:ind w:left="0" w:right="129"/>
              <w:jc w:val="right"/>
              <w:rPr>
                <w:b/>
                <w:sz w:val="21"/>
              </w:rPr>
            </w:pPr>
            <w:r>
              <w:rPr>
                <w:b/>
                <w:sz w:val="21"/>
              </w:rPr>
              <w:t>10.19</w:t>
            </w:r>
          </w:p>
        </w:tc>
        <w:tc>
          <w:tcPr>
            <w:tcW w:w="1952" w:type="dxa"/>
          </w:tcPr>
          <w:p>
            <w:pPr>
              <w:pStyle w:val="TableParagraph"/>
              <w:spacing w:before="94"/>
              <w:ind w:left="129"/>
              <w:rPr>
                <w:b/>
                <w:sz w:val="21"/>
              </w:rPr>
            </w:pPr>
            <w:r>
              <w:rPr>
                <w:b/>
                <w:sz w:val="21"/>
              </w:rPr>
              <w:t>遗传性疾病</w:t>
            </w:r>
          </w:p>
        </w:tc>
        <w:tc>
          <w:tcPr>
            <w:tcW w:w="7732" w:type="dxa"/>
          </w:tcPr>
          <w:p>
            <w:pPr>
              <w:pStyle w:val="TableParagraph"/>
              <w:spacing w:line="273" w:lineRule="auto" w:before="94"/>
              <w:ind w:left="107" w:right="198"/>
              <w:rPr>
                <w:sz w:val="21"/>
              </w:rPr>
            </w:pPr>
            <w:r>
              <w:rPr>
                <w:spacing w:val="-9"/>
                <w:sz w:val="21"/>
              </w:rPr>
              <w:t>指生殖细胞或受精卵的遗传物质</w:t>
            </w:r>
            <w:r>
              <w:rPr>
                <w:sz w:val="21"/>
              </w:rPr>
              <w:t>（</w:t>
            </w:r>
            <w:r>
              <w:rPr>
                <w:spacing w:val="-3"/>
                <w:sz w:val="21"/>
              </w:rPr>
              <w:t>染色体和基因</w:t>
            </w:r>
            <w:r>
              <w:rPr>
                <w:spacing w:val="-73"/>
                <w:sz w:val="21"/>
              </w:rPr>
              <w:t>）</w:t>
            </w:r>
            <w:r>
              <w:rPr>
                <w:spacing w:val="-3"/>
                <w:sz w:val="21"/>
              </w:rPr>
              <w:t>发生突变或畸变所引起的疾病， 通常具有由亲代传至后代的垂直传递的特征。</w:t>
            </w:r>
          </w:p>
        </w:tc>
      </w:tr>
      <w:tr>
        <w:trPr>
          <w:trHeight w:val="1162" w:hRule="atLeast"/>
        </w:trPr>
        <w:tc>
          <w:tcPr>
            <w:tcW w:w="858" w:type="dxa"/>
          </w:tcPr>
          <w:p>
            <w:pPr>
              <w:pStyle w:val="TableParagraph"/>
              <w:spacing w:before="93"/>
              <w:ind w:left="0" w:right="129"/>
              <w:jc w:val="right"/>
              <w:rPr>
                <w:b/>
                <w:sz w:val="21"/>
              </w:rPr>
            </w:pPr>
            <w:r>
              <w:rPr>
                <w:b/>
                <w:sz w:val="21"/>
              </w:rPr>
              <w:t>10.20</w:t>
            </w:r>
          </w:p>
        </w:tc>
        <w:tc>
          <w:tcPr>
            <w:tcW w:w="1952" w:type="dxa"/>
          </w:tcPr>
          <w:p>
            <w:pPr>
              <w:pStyle w:val="TableParagraph"/>
              <w:spacing w:line="273" w:lineRule="auto" w:before="93"/>
              <w:ind w:left="129" w:right="105"/>
              <w:rPr>
                <w:b/>
                <w:sz w:val="21"/>
              </w:rPr>
            </w:pPr>
            <w:r>
              <w:rPr>
                <w:b/>
                <w:sz w:val="21"/>
              </w:rPr>
              <w:t>先天性畸形、变形或染色体异常</w:t>
            </w:r>
          </w:p>
        </w:tc>
        <w:tc>
          <w:tcPr>
            <w:tcW w:w="7732" w:type="dxa"/>
          </w:tcPr>
          <w:p>
            <w:pPr>
              <w:pStyle w:val="TableParagraph"/>
              <w:spacing w:line="273" w:lineRule="auto" w:before="93"/>
              <w:ind w:left="107" w:right="306"/>
              <w:jc w:val="both"/>
              <w:rPr>
                <w:sz w:val="21"/>
              </w:rPr>
            </w:pPr>
            <w:r>
              <w:rPr>
                <w:spacing w:val="-6"/>
                <w:sz w:val="21"/>
              </w:rPr>
              <w:t>指被保险人出生时就具有的畸形、变形或染色体异常。先天性畸形、变形和染色</w:t>
            </w:r>
            <w:r>
              <w:rPr>
                <w:spacing w:val="-5"/>
                <w:sz w:val="21"/>
              </w:rPr>
              <w:t>体异常依照世界卫生组织《疾病和有关健康问题的国际统计分类》</w:t>
            </w:r>
            <w:r>
              <w:rPr>
                <w:sz w:val="21"/>
              </w:rPr>
              <w:t>（ICD-10）</w:t>
            </w:r>
            <w:r>
              <w:rPr>
                <w:spacing w:val="-10"/>
                <w:sz w:val="21"/>
              </w:rPr>
              <w:t>确</w:t>
            </w:r>
            <w:r>
              <w:rPr>
                <w:sz w:val="21"/>
              </w:rPr>
              <w:t>定。</w:t>
            </w:r>
          </w:p>
        </w:tc>
      </w:tr>
      <w:tr>
        <w:trPr>
          <w:trHeight w:val="1163" w:hRule="atLeast"/>
        </w:trPr>
        <w:tc>
          <w:tcPr>
            <w:tcW w:w="858" w:type="dxa"/>
          </w:tcPr>
          <w:p>
            <w:pPr>
              <w:pStyle w:val="TableParagraph"/>
              <w:spacing w:before="94"/>
              <w:ind w:left="0" w:right="129"/>
              <w:jc w:val="right"/>
              <w:rPr>
                <w:b/>
                <w:sz w:val="21"/>
              </w:rPr>
            </w:pPr>
            <w:r>
              <w:rPr>
                <w:b/>
                <w:sz w:val="21"/>
              </w:rPr>
              <w:t>10.21</w:t>
            </w:r>
          </w:p>
        </w:tc>
        <w:tc>
          <w:tcPr>
            <w:tcW w:w="1952" w:type="dxa"/>
          </w:tcPr>
          <w:p>
            <w:pPr>
              <w:pStyle w:val="TableParagraph"/>
              <w:spacing w:before="94"/>
              <w:ind w:left="129"/>
              <w:rPr>
                <w:b/>
                <w:sz w:val="21"/>
              </w:rPr>
            </w:pPr>
            <w:r>
              <w:rPr>
                <w:b/>
                <w:sz w:val="21"/>
              </w:rPr>
              <w:t>医疗机构</w:t>
            </w:r>
          </w:p>
        </w:tc>
        <w:tc>
          <w:tcPr>
            <w:tcW w:w="7732" w:type="dxa"/>
          </w:tcPr>
          <w:p>
            <w:pPr>
              <w:pStyle w:val="TableParagraph"/>
              <w:spacing w:line="273" w:lineRule="auto" w:before="94"/>
              <w:ind w:left="107" w:right="267"/>
              <w:jc w:val="both"/>
              <w:rPr>
                <w:sz w:val="21"/>
              </w:rPr>
            </w:pPr>
            <w:r>
              <w:rPr>
                <w:sz w:val="21"/>
              </w:rPr>
              <w:t>指经中华人民共和国卫生部门正式评定的二级或以上之公立医院，但不包括上述医院的分院、联合病房或联合病床，精神病院，专供康复、休养、戒毒、戒酒、护理、养老等非以直接诊治病人为目的的医疗机构。</w:t>
            </w:r>
          </w:p>
        </w:tc>
      </w:tr>
      <w:tr>
        <w:trPr>
          <w:trHeight w:val="1162" w:hRule="atLeast"/>
        </w:trPr>
        <w:tc>
          <w:tcPr>
            <w:tcW w:w="858" w:type="dxa"/>
          </w:tcPr>
          <w:p>
            <w:pPr>
              <w:pStyle w:val="TableParagraph"/>
              <w:spacing w:before="93"/>
              <w:ind w:left="0" w:right="129"/>
              <w:jc w:val="right"/>
              <w:rPr>
                <w:b/>
                <w:sz w:val="21"/>
              </w:rPr>
            </w:pPr>
            <w:r>
              <w:rPr>
                <w:b/>
                <w:sz w:val="21"/>
              </w:rPr>
              <w:t>10.22</w:t>
            </w:r>
          </w:p>
        </w:tc>
        <w:tc>
          <w:tcPr>
            <w:tcW w:w="1952" w:type="dxa"/>
          </w:tcPr>
          <w:p>
            <w:pPr>
              <w:pStyle w:val="TableParagraph"/>
              <w:spacing w:before="93"/>
              <w:ind w:left="129"/>
              <w:rPr>
                <w:b/>
                <w:sz w:val="21"/>
              </w:rPr>
            </w:pPr>
            <w:r>
              <w:rPr>
                <w:b/>
                <w:sz w:val="21"/>
              </w:rPr>
              <w:t>利息</w:t>
            </w:r>
          </w:p>
        </w:tc>
        <w:tc>
          <w:tcPr>
            <w:tcW w:w="7732" w:type="dxa"/>
          </w:tcPr>
          <w:p>
            <w:pPr>
              <w:pStyle w:val="TableParagraph"/>
              <w:spacing w:line="273" w:lineRule="auto" w:before="93"/>
              <w:ind w:left="107" w:right="303"/>
              <w:jc w:val="both"/>
              <w:rPr>
                <w:sz w:val="21"/>
              </w:rPr>
            </w:pPr>
            <w:r>
              <w:rPr>
                <w:sz w:val="21"/>
              </w:rPr>
              <w:t>本附加合同保单质押借款的利息按我们收到保单质押借款申请书时已宣布的借</w:t>
            </w:r>
            <w:r>
              <w:rPr>
                <w:spacing w:val="-11"/>
                <w:sz w:val="21"/>
              </w:rPr>
              <w:t>款利率计算，我们在每年的 </w:t>
            </w:r>
            <w:r>
              <w:rPr>
                <w:sz w:val="21"/>
              </w:rPr>
              <w:t>1</w:t>
            </w:r>
            <w:r>
              <w:rPr>
                <w:spacing w:val="-34"/>
                <w:sz w:val="21"/>
              </w:rPr>
              <w:t> 月 </w:t>
            </w:r>
            <w:r>
              <w:rPr>
                <w:sz w:val="21"/>
              </w:rPr>
              <w:t>1</w:t>
            </w:r>
            <w:r>
              <w:rPr>
                <w:spacing w:val="-26"/>
                <w:sz w:val="21"/>
              </w:rPr>
              <w:t> 日和 </w:t>
            </w:r>
            <w:r>
              <w:rPr>
                <w:sz w:val="21"/>
              </w:rPr>
              <w:t>7</w:t>
            </w:r>
            <w:r>
              <w:rPr>
                <w:spacing w:val="-34"/>
                <w:sz w:val="21"/>
              </w:rPr>
              <w:t> 月 </w:t>
            </w:r>
            <w:r>
              <w:rPr>
                <w:sz w:val="21"/>
              </w:rPr>
              <w:t>1</w:t>
            </w:r>
            <w:r>
              <w:rPr>
                <w:spacing w:val="-9"/>
                <w:sz w:val="21"/>
              </w:rPr>
              <w:t> 日根据监管规定和市场情况宣布两</w:t>
            </w:r>
            <w:r>
              <w:rPr>
                <w:spacing w:val="-5"/>
                <w:sz w:val="21"/>
              </w:rPr>
              <w:t>次借款利率。</w:t>
            </w:r>
          </w:p>
        </w:tc>
      </w:tr>
      <w:tr>
        <w:trPr>
          <w:trHeight w:val="540" w:hRule="atLeast"/>
        </w:trPr>
        <w:tc>
          <w:tcPr>
            <w:tcW w:w="858" w:type="dxa"/>
          </w:tcPr>
          <w:p>
            <w:pPr>
              <w:pStyle w:val="TableParagraph"/>
              <w:ind w:left="0"/>
              <w:rPr>
                <w:rFonts w:ascii="Times New Roman"/>
                <w:sz w:val="20"/>
              </w:rPr>
            </w:pPr>
          </w:p>
        </w:tc>
        <w:tc>
          <w:tcPr>
            <w:tcW w:w="1952" w:type="dxa"/>
          </w:tcPr>
          <w:p>
            <w:pPr>
              <w:pStyle w:val="TableParagraph"/>
              <w:ind w:left="0"/>
              <w:rPr>
                <w:rFonts w:ascii="Times New Roman"/>
                <w:sz w:val="20"/>
              </w:rPr>
            </w:pPr>
          </w:p>
        </w:tc>
        <w:tc>
          <w:tcPr>
            <w:tcW w:w="7732" w:type="dxa"/>
          </w:tcPr>
          <w:p>
            <w:pPr>
              <w:pStyle w:val="TableParagraph"/>
              <w:spacing w:before="94"/>
              <w:ind w:left="107"/>
              <w:rPr>
                <w:sz w:val="21"/>
              </w:rPr>
            </w:pPr>
            <w:r>
              <w:rPr>
                <w:sz w:val="21"/>
              </w:rPr>
              <w:t>借款利率适用于本附加合同自动垫交的保险费和补交保险费的利息计算。</w:t>
            </w:r>
          </w:p>
        </w:tc>
      </w:tr>
      <w:tr>
        <w:trPr>
          <w:trHeight w:val="850" w:hRule="atLeast"/>
        </w:trPr>
        <w:tc>
          <w:tcPr>
            <w:tcW w:w="858" w:type="dxa"/>
          </w:tcPr>
          <w:p>
            <w:pPr>
              <w:pStyle w:val="TableParagraph"/>
              <w:spacing w:before="94"/>
              <w:ind w:left="0" w:right="129"/>
              <w:jc w:val="right"/>
              <w:rPr>
                <w:b/>
                <w:sz w:val="21"/>
              </w:rPr>
            </w:pPr>
            <w:r>
              <w:rPr>
                <w:b/>
                <w:sz w:val="21"/>
              </w:rPr>
              <w:t>10.23</w:t>
            </w:r>
          </w:p>
        </w:tc>
        <w:tc>
          <w:tcPr>
            <w:tcW w:w="1952" w:type="dxa"/>
          </w:tcPr>
          <w:p>
            <w:pPr>
              <w:pStyle w:val="TableParagraph"/>
              <w:spacing w:before="94"/>
              <w:ind w:left="129"/>
              <w:rPr>
                <w:b/>
                <w:sz w:val="21"/>
              </w:rPr>
            </w:pPr>
            <w:r>
              <w:rPr>
                <w:b/>
                <w:sz w:val="21"/>
              </w:rPr>
              <w:t>永久不可逆</w:t>
            </w:r>
          </w:p>
        </w:tc>
        <w:tc>
          <w:tcPr>
            <w:tcW w:w="7732" w:type="dxa"/>
          </w:tcPr>
          <w:p>
            <w:pPr>
              <w:pStyle w:val="TableParagraph"/>
              <w:spacing w:line="273" w:lineRule="auto" w:before="94"/>
              <w:ind w:left="107" w:right="306"/>
              <w:rPr>
                <w:sz w:val="21"/>
              </w:rPr>
            </w:pPr>
            <w:r>
              <w:rPr>
                <w:spacing w:val="-7"/>
                <w:sz w:val="21"/>
              </w:rPr>
              <w:t>指自疾病确诊或意外发生之日起，经过积极治疗 </w:t>
            </w:r>
            <w:r>
              <w:rPr>
                <w:sz w:val="21"/>
              </w:rPr>
              <w:t>180</w:t>
            </w:r>
            <w:r>
              <w:rPr>
                <w:spacing w:val="-9"/>
                <w:sz w:val="21"/>
              </w:rPr>
              <w:t> 天后，仍无法通过现有医疗</w:t>
            </w:r>
            <w:r>
              <w:rPr>
                <w:spacing w:val="-5"/>
                <w:sz w:val="21"/>
              </w:rPr>
              <w:t>手段恢复。</w:t>
            </w:r>
          </w:p>
        </w:tc>
      </w:tr>
      <w:tr>
        <w:trPr>
          <w:trHeight w:val="1517" w:hRule="atLeast"/>
        </w:trPr>
        <w:tc>
          <w:tcPr>
            <w:tcW w:w="858" w:type="dxa"/>
          </w:tcPr>
          <w:p>
            <w:pPr>
              <w:pStyle w:val="TableParagraph"/>
              <w:spacing w:before="93"/>
              <w:ind w:left="0" w:right="129"/>
              <w:jc w:val="right"/>
              <w:rPr>
                <w:b/>
                <w:sz w:val="21"/>
              </w:rPr>
            </w:pPr>
            <w:r>
              <w:rPr>
                <w:b/>
                <w:sz w:val="21"/>
              </w:rPr>
              <w:t>10.24</w:t>
            </w:r>
          </w:p>
        </w:tc>
        <w:tc>
          <w:tcPr>
            <w:tcW w:w="1952" w:type="dxa"/>
          </w:tcPr>
          <w:p>
            <w:pPr>
              <w:pStyle w:val="TableParagraph"/>
              <w:spacing w:line="273" w:lineRule="auto" w:before="93"/>
              <w:ind w:left="129" w:right="130"/>
              <w:rPr>
                <w:b/>
                <w:sz w:val="21"/>
              </w:rPr>
            </w:pPr>
            <w:r>
              <w:rPr>
                <w:b/>
                <w:sz w:val="21"/>
              </w:rPr>
              <w:t>六项基本日常生活活动</w:t>
            </w:r>
          </w:p>
        </w:tc>
        <w:tc>
          <w:tcPr>
            <w:tcW w:w="7732" w:type="dxa"/>
          </w:tcPr>
          <w:p>
            <w:pPr>
              <w:pStyle w:val="TableParagraph"/>
              <w:spacing w:line="273" w:lineRule="auto" w:before="93"/>
              <w:ind w:left="107" w:right="267"/>
              <w:jc w:val="both"/>
              <w:rPr>
                <w:sz w:val="21"/>
              </w:rPr>
            </w:pPr>
            <w:r>
              <w:rPr>
                <w:spacing w:val="-12"/>
                <w:w w:val="100"/>
                <w:sz w:val="21"/>
              </w:rPr>
              <w:t>六项基本日常生活活动是指：</w:t>
            </w:r>
            <w:r>
              <w:rPr>
                <w:w w:val="100"/>
                <w:sz w:val="21"/>
              </w:rPr>
              <w:t>（1</w:t>
            </w:r>
            <w:r>
              <w:rPr>
                <w:spacing w:val="-10"/>
                <w:w w:val="100"/>
                <w:sz w:val="21"/>
              </w:rPr>
              <w:t>）</w:t>
            </w:r>
            <w:r>
              <w:rPr>
                <w:spacing w:val="-12"/>
                <w:w w:val="100"/>
                <w:sz w:val="21"/>
              </w:rPr>
              <w:t>穿衣：自己能够穿衣及脱衣；</w:t>
            </w:r>
            <w:r>
              <w:rPr>
                <w:w w:val="100"/>
                <w:sz w:val="21"/>
              </w:rPr>
              <w:t>（2</w:t>
            </w:r>
            <w:r>
              <w:rPr>
                <w:spacing w:val="-10"/>
                <w:w w:val="100"/>
                <w:sz w:val="21"/>
              </w:rPr>
              <w:t>）</w:t>
            </w:r>
            <w:r>
              <w:rPr>
                <w:spacing w:val="-3"/>
                <w:w w:val="100"/>
                <w:sz w:val="21"/>
              </w:rPr>
              <w:t>移动：自己</w:t>
            </w:r>
            <w:r>
              <w:rPr>
                <w:spacing w:val="-13"/>
                <w:w w:val="100"/>
                <w:sz w:val="21"/>
              </w:rPr>
              <w:t>从一个房间到另一个房间；</w:t>
            </w:r>
            <w:r>
              <w:rPr>
                <w:w w:val="100"/>
                <w:sz w:val="21"/>
              </w:rPr>
              <w:t>（3</w:t>
            </w:r>
            <w:r>
              <w:rPr>
                <w:spacing w:val="-8"/>
                <w:w w:val="100"/>
                <w:sz w:val="21"/>
              </w:rPr>
              <w:t>）</w:t>
            </w:r>
            <w:r>
              <w:rPr>
                <w:spacing w:val="-11"/>
                <w:w w:val="100"/>
                <w:sz w:val="21"/>
              </w:rPr>
              <w:t>行动：自己上下床或上下轮椅；</w:t>
            </w:r>
            <w:r>
              <w:rPr>
                <w:spacing w:val="-2"/>
                <w:w w:val="100"/>
                <w:sz w:val="21"/>
              </w:rPr>
              <w:t>（</w:t>
            </w:r>
            <w:r>
              <w:rPr>
                <w:w w:val="100"/>
                <w:sz w:val="21"/>
              </w:rPr>
              <w:t>4</w:t>
            </w:r>
            <w:r>
              <w:rPr>
                <w:spacing w:val="-8"/>
                <w:w w:val="100"/>
                <w:sz w:val="21"/>
              </w:rPr>
              <w:t>）</w:t>
            </w:r>
            <w:r>
              <w:rPr>
                <w:spacing w:val="-4"/>
                <w:w w:val="100"/>
                <w:sz w:val="21"/>
              </w:rPr>
              <w:t>如厕：自己</w:t>
            </w:r>
            <w:r>
              <w:rPr>
                <w:spacing w:val="-16"/>
                <w:w w:val="100"/>
                <w:sz w:val="21"/>
              </w:rPr>
              <w:t>控制进行大小便；</w:t>
            </w:r>
            <w:r>
              <w:rPr>
                <w:w w:val="100"/>
                <w:sz w:val="21"/>
              </w:rPr>
              <w:t>（</w:t>
            </w:r>
            <w:r>
              <w:rPr>
                <w:spacing w:val="-3"/>
                <w:w w:val="100"/>
                <w:sz w:val="21"/>
              </w:rPr>
              <w:t>5</w:t>
            </w:r>
            <w:r>
              <w:rPr>
                <w:w w:val="100"/>
                <w:sz w:val="21"/>
              </w:rPr>
              <w:t>）</w:t>
            </w:r>
            <w:r>
              <w:rPr>
                <w:spacing w:val="-8"/>
                <w:w w:val="100"/>
                <w:sz w:val="21"/>
              </w:rPr>
              <w:t>进食：自己从已准备好的碗或碟中取食物放入口中；</w:t>
            </w:r>
            <w:r>
              <w:rPr>
                <w:spacing w:val="-3"/>
                <w:w w:val="100"/>
                <w:sz w:val="21"/>
              </w:rPr>
              <w:t>（</w:t>
            </w:r>
            <w:r>
              <w:rPr>
                <w:w w:val="100"/>
                <w:sz w:val="21"/>
              </w:rPr>
              <w:t>6）</w:t>
            </w:r>
            <w:r>
              <w:rPr>
                <w:spacing w:val="-3"/>
                <w:sz w:val="21"/>
              </w:rPr>
              <w:t>洗澡：自己进行淋浴或盆浴。</w:t>
            </w:r>
          </w:p>
        </w:tc>
      </w:tr>
      <w:tr>
        <w:trPr>
          <w:trHeight w:val="936" w:hRule="atLeast"/>
        </w:trPr>
        <w:tc>
          <w:tcPr>
            <w:tcW w:w="858" w:type="dxa"/>
          </w:tcPr>
          <w:p>
            <w:pPr>
              <w:pStyle w:val="TableParagraph"/>
              <w:spacing w:before="136"/>
              <w:ind w:left="0" w:right="129"/>
              <w:jc w:val="right"/>
              <w:rPr>
                <w:b/>
                <w:sz w:val="21"/>
              </w:rPr>
            </w:pPr>
            <w:r>
              <w:rPr>
                <w:b/>
                <w:sz w:val="21"/>
              </w:rPr>
              <w:t>10.25</w:t>
            </w:r>
          </w:p>
        </w:tc>
        <w:tc>
          <w:tcPr>
            <w:tcW w:w="1952" w:type="dxa"/>
          </w:tcPr>
          <w:p>
            <w:pPr>
              <w:pStyle w:val="TableParagraph"/>
              <w:spacing w:before="136"/>
              <w:ind w:left="129"/>
              <w:rPr>
                <w:b/>
                <w:sz w:val="21"/>
              </w:rPr>
            </w:pPr>
            <w:r>
              <w:rPr>
                <w:b/>
                <w:sz w:val="21"/>
              </w:rPr>
              <w:t>肢体机能完全丧失</w:t>
            </w:r>
          </w:p>
        </w:tc>
        <w:tc>
          <w:tcPr>
            <w:tcW w:w="7732" w:type="dxa"/>
          </w:tcPr>
          <w:p>
            <w:pPr>
              <w:pStyle w:val="TableParagraph"/>
              <w:spacing w:line="273" w:lineRule="auto" w:before="136"/>
              <w:ind w:left="107" w:right="259"/>
              <w:rPr>
                <w:sz w:val="21"/>
              </w:rPr>
            </w:pPr>
            <w:r>
              <w:rPr>
                <w:sz w:val="21"/>
              </w:rPr>
              <w:t>指肢体的三大关节中的两大关节僵硬，或不能随意识活动。肢体是指包括肩关节的整个上肢或包括髋关节的整个下肢。</w:t>
            </w:r>
          </w:p>
        </w:tc>
      </w:tr>
      <w:tr>
        <w:trPr>
          <w:trHeight w:val="1353" w:hRule="atLeast"/>
        </w:trPr>
        <w:tc>
          <w:tcPr>
            <w:tcW w:w="858" w:type="dxa"/>
          </w:tcPr>
          <w:p>
            <w:pPr>
              <w:pStyle w:val="TableParagraph"/>
              <w:spacing w:before="136"/>
              <w:ind w:left="0" w:right="129"/>
              <w:jc w:val="right"/>
              <w:rPr>
                <w:b/>
                <w:sz w:val="21"/>
              </w:rPr>
            </w:pPr>
            <w:r>
              <w:rPr>
                <w:b/>
                <w:sz w:val="21"/>
              </w:rPr>
              <w:t>10.26</w:t>
            </w:r>
          </w:p>
        </w:tc>
        <w:tc>
          <w:tcPr>
            <w:tcW w:w="1952" w:type="dxa"/>
          </w:tcPr>
          <w:p>
            <w:pPr>
              <w:pStyle w:val="TableParagraph"/>
              <w:spacing w:line="273" w:lineRule="auto" w:before="136"/>
              <w:ind w:left="129" w:right="130"/>
              <w:rPr>
                <w:b/>
                <w:sz w:val="21"/>
              </w:rPr>
            </w:pPr>
            <w:r>
              <w:rPr>
                <w:b/>
                <w:sz w:val="21"/>
              </w:rPr>
              <w:t>语言能力或咀嚼吞咽能力完全丧失</w:t>
            </w:r>
          </w:p>
        </w:tc>
        <w:tc>
          <w:tcPr>
            <w:tcW w:w="7732" w:type="dxa"/>
          </w:tcPr>
          <w:p>
            <w:pPr>
              <w:pStyle w:val="TableParagraph"/>
              <w:spacing w:line="310" w:lineRule="atLeast" w:before="101"/>
              <w:ind w:left="107" w:right="304"/>
              <w:jc w:val="both"/>
              <w:rPr>
                <w:sz w:val="21"/>
              </w:rPr>
            </w:pPr>
            <w:r>
              <w:rPr>
                <w:spacing w:val="-6"/>
                <w:sz w:val="21"/>
              </w:rPr>
              <w:t>语言能力完全丧失，指无法发出四种语音</w:t>
            </w:r>
            <w:r>
              <w:rPr>
                <w:sz w:val="21"/>
              </w:rPr>
              <w:t>（</w:t>
            </w:r>
            <w:r>
              <w:rPr>
                <w:spacing w:val="-6"/>
                <w:sz w:val="21"/>
              </w:rPr>
              <w:t>包括口唇音、齿舌音、口盖音和喉头音</w:t>
            </w:r>
            <w:r>
              <w:rPr>
                <w:spacing w:val="-36"/>
                <w:sz w:val="21"/>
              </w:rPr>
              <w:t>）</w:t>
            </w:r>
            <w:r>
              <w:rPr>
                <w:spacing w:val="-11"/>
                <w:sz w:val="21"/>
              </w:rPr>
              <w:t>中的任何三种、或声带全部切除，或因大脑语言中枢受伤害而患失语症。 咀</w:t>
            </w:r>
            <w:r>
              <w:rPr>
                <w:spacing w:val="-9"/>
                <w:sz w:val="21"/>
              </w:rPr>
              <w:t>嚼吞咽能力完全丧失，指因牙齿以外的原因导致器质障碍或机能障碍，以致不能</w:t>
            </w:r>
            <w:r>
              <w:rPr>
                <w:spacing w:val="-5"/>
                <w:sz w:val="21"/>
              </w:rPr>
              <w:t>作咀嚼吞咽运动，除流质食物外不能摄取或吞咽的状态。</w:t>
            </w:r>
          </w:p>
        </w:tc>
      </w:tr>
    </w:tbl>
    <w:sectPr>
      <w:pgSz w:w="11910" w:h="16840"/>
      <w:pgMar w:header="0" w:footer="358" w:top="1400" w:bottom="540" w:left="5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黑体">
    <w:altName w:val="黑体"/>
    <w:charset w:val="86"/>
    <w:family w:val="modern"/>
    <w:pitch w:val="fixed"/>
  </w:font>
  <w:font w:name="仿宋">
    <w:altName w:val="仿宋"/>
    <w:charset w:val="86"/>
    <w:family w:val="modern"/>
    <w:pitch w:val="fixed"/>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64.010010pt;margin-top:808.995972pt;width:67.4pt;height:12pt;mso-position-horizontal-relative:page;mso-position-vertical-relative:page;z-index:-54064"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pacing w:val="-3"/>
                    <w:sz w:val="18"/>
                  </w:rPr>
                  <w:t>页</w:t>
                </w:r>
                <w:r>
                  <w:rPr>
                    <w:rFonts w:ascii="Times New Roman" w:eastAsia="Times New Roman"/>
                    <w:sz w:val="18"/>
                  </w:rPr>
                  <w:t>,</w:t>
                </w:r>
                <w:r>
                  <w:rPr>
                    <w:spacing w:val="-23"/>
                    <w:sz w:val="18"/>
                  </w:rPr>
                  <w:t>共 </w:t>
                </w:r>
                <w:r>
                  <w:rPr>
                    <w:rFonts w:ascii="Times New Roman" w:eastAsia="Times New Roman"/>
                    <w:sz w:val="18"/>
                  </w:rPr>
                  <w:t>25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492" w:hanging="159"/>
        <w:jc w:val="left"/>
      </w:pPr>
      <w:rPr>
        <w:rFonts w:hint="default" w:ascii="宋体" w:hAnsi="宋体" w:eastAsia="宋体" w:cs="宋体"/>
        <w:w w:val="100"/>
        <w:sz w:val="21"/>
        <w:szCs w:val="21"/>
      </w:rPr>
    </w:lvl>
    <w:lvl w:ilvl="1">
      <w:start w:val="0"/>
      <w:numFmt w:val="bullet"/>
      <w:lvlText w:val="•"/>
      <w:lvlJc w:val="left"/>
      <w:pPr>
        <w:ind w:left="1224" w:hanging="159"/>
      </w:pPr>
      <w:rPr>
        <w:rFonts w:hint="default"/>
      </w:rPr>
    </w:lvl>
    <w:lvl w:ilvl="2">
      <w:start w:val="0"/>
      <w:numFmt w:val="bullet"/>
      <w:lvlText w:val="•"/>
      <w:lvlJc w:val="left"/>
      <w:pPr>
        <w:ind w:left="1949" w:hanging="159"/>
      </w:pPr>
      <w:rPr>
        <w:rFonts w:hint="default"/>
      </w:rPr>
    </w:lvl>
    <w:lvl w:ilvl="3">
      <w:start w:val="0"/>
      <w:numFmt w:val="bullet"/>
      <w:lvlText w:val="•"/>
      <w:lvlJc w:val="left"/>
      <w:pPr>
        <w:ind w:left="2674" w:hanging="159"/>
      </w:pPr>
      <w:rPr>
        <w:rFonts w:hint="default"/>
      </w:rPr>
    </w:lvl>
    <w:lvl w:ilvl="4">
      <w:start w:val="0"/>
      <w:numFmt w:val="bullet"/>
      <w:lvlText w:val="•"/>
      <w:lvlJc w:val="left"/>
      <w:pPr>
        <w:ind w:left="3398" w:hanging="159"/>
      </w:pPr>
      <w:rPr>
        <w:rFonts w:hint="default"/>
      </w:rPr>
    </w:lvl>
    <w:lvl w:ilvl="5">
      <w:start w:val="0"/>
      <w:numFmt w:val="bullet"/>
      <w:lvlText w:val="•"/>
      <w:lvlJc w:val="left"/>
      <w:pPr>
        <w:ind w:left="4123" w:hanging="159"/>
      </w:pPr>
      <w:rPr>
        <w:rFonts w:hint="default"/>
      </w:rPr>
    </w:lvl>
    <w:lvl w:ilvl="6">
      <w:start w:val="0"/>
      <w:numFmt w:val="bullet"/>
      <w:lvlText w:val="•"/>
      <w:lvlJc w:val="left"/>
      <w:pPr>
        <w:ind w:left="4848" w:hanging="159"/>
      </w:pPr>
      <w:rPr>
        <w:rFonts w:hint="default"/>
      </w:rPr>
    </w:lvl>
    <w:lvl w:ilvl="7">
      <w:start w:val="0"/>
      <w:numFmt w:val="bullet"/>
      <w:lvlText w:val="•"/>
      <w:lvlJc w:val="left"/>
      <w:pPr>
        <w:ind w:left="5572" w:hanging="159"/>
      </w:pPr>
      <w:rPr>
        <w:rFonts w:hint="default"/>
      </w:rPr>
    </w:lvl>
    <w:lvl w:ilvl="8">
      <w:start w:val="0"/>
      <w:numFmt w:val="bullet"/>
      <w:lvlText w:val="•"/>
      <w:lvlJc w:val="left"/>
      <w:pPr>
        <w:ind w:left="6297" w:hanging="159"/>
      </w:pPr>
      <w:rPr>
        <w:rFonts w:hint="default"/>
      </w:rPr>
    </w:lvl>
  </w:abstractNum>
  <w:abstractNum w:abstractNumId="0">
    <w:multiLevelType w:val="hybridMultilevel"/>
    <w:lvl w:ilvl="0">
      <w:start w:val="0"/>
      <w:numFmt w:val="bullet"/>
      <w:lvlText w:val=""/>
      <w:lvlJc w:val="left"/>
      <w:pPr>
        <w:ind w:left="1554" w:hanging="334"/>
      </w:pPr>
      <w:rPr>
        <w:rFonts w:hint="default" w:ascii="Wingdings" w:hAnsi="Wingdings" w:eastAsia="Wingdings" w:cs="Wingdings"/>
        <w:w w:val="100"/>
        <w:sz w:val="21"/>
        <w:szCs w:val="21"/>
      </w:rPr>
    </w:lvl>
    <w:lvl w:ilvl="1">
      <w:start w:val="0"/>
      <w:numFmt w:val="bullet"/>
      <w:lvlText w:val="•"/>
      <w:lvlJc w:val="left"/>
      <w:pPr>
        <w:ind w:left="2486" w:hanging="334"/>
      </w:pPr>
      <w:rPr>
        <w:rFonts w:hint="default"/>
      </w:rPr>
    </w:lvl>
    <w:lvl w:ilvl="2">
      <w:start w:val="0"/>
      <w:numFmt w:val="bullet"/>
      <w:lvlText w:val="•"/>
      <w:lvlJc w:val="left"/>
      <w:pPr>
        <w:ind w:left="3413" w:hanging="334"/>
      </w:pPr>
      <w:rPr>
        <w:rFonts w:hint="default"/>
      </w:rPr>
    </w:lvl>
    <w:lvl w:ilvl="3">
      <w:start w:val="0"/>
      <w:numFmt w:val="bullet"/>
      <w:lvlText w:val="•"/>
      <w:lvlJc w:val="left"/>
      <w:pPr>
        <w:ind w:left="4339" w:hanging="334"/>
      </w:pPr>
      <w:rPr>
        <w:rFonts w:hint="default"/>
      </w:rPr>
    </w:lvl>
    <w:lvl w:ilvl="4">
      <w:start w:val="0"/>
      <w:numFmt w:val="bullet"/>
      <w:lvlText w:val="•"/>
      <w:lvlJc w:val="left"/>
      <w:pPr>
        <w:ind w:left="5266" w:hanging="334"/>
      </w:pPr>
      <w:rPr>
        <w:rFonts w:hint="default"/>
      </w:rPr>
    </w:lvl>
    <w:lvl w:ilvl="5">
      <w:start w:val="0"/>
      <w:numFmt w:val="bullet"/>
      <w:lvlText w:val="•"/>
      <w:lvlJc w:val="left"/>
      <w:pPr>
        <w:ind w:left="6193" w:hanging="334"/>
      </w:pPr>
      <w:rPr>
        <w:rFonts w:hint="default"/>
      </w:rPr>
    </w:lvl>
    <w:lvl w:ilvl="6">
      <w:start w:val="0"/>
      <w:numFmt w:val="bullet"/>
      <w:lvlText w:val="•"/>
      <w:lvlJc w:val="left"/>
      <w:pPr>
        <w:ind w:left="7119" w:hanging="334"/>
      </w:pPr>
      <w:rPr>
        <w:rFonts w:hint="default"/>
      </w:rPr>
    </w:lvl>
    <w:lvl w:ilvl="7">
      <w:start w:val="0"/>
      <w:numFmt w:val="bullet"/>
      <w:lvlText w:val="•"/>
      <w:lvlJc w:val="left"/>
      <w:pPr>
        <w:ind w:left="8046" w:hanging="334"/>
      </w:pPr>
      <w:rPr>
        <w:rFonts w:hint="default"/>
      </w:rPr>
    </w:lvl>
    <w:lvl w:ilvl="8">
      <w:start w:val="0"/>
      <w:numFmt w:val="bullet"/>
      <w:lvlText w:val="•"/>
      <w:lvlJc w:val="left"/>
      <w:pPr>
        <w:ind w:left="8973" w:hanging="334"/>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22"/>
      <w:ind w:left="1554" w:hanging="334"/>
    </w:pPr>
    <w:rPr>
      <w:rFonts w:ascii="宋体" w:hAnsi="宋体" w:eastAsia="宋体" w:cs="宋体"/>
    </w:rPr>
  </w:style>
  <w:style w:styleId="TableParagraph" w:type="paragraph">
    <w:name w:val="Table Paragraph"/>
    <w:basedOn w:val="Normal"/>
    <w:uiPriority w:val="1"/>
    <w:qFormat/>
    <w:pPr>
      <w:ind w:left="12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wenxuan</dc:creator>
  <dc:title>鸿运两全保险（分红型，C款）条款</dc:title>
  <dcterms:created xsi:type="dcterms:W3CDTF">2018-10-20T02:45:17Z</dcterms:created>
  <dcterms:modified xsi:type="dcterms:W3CDTF">2018-10-20T02:45:17Z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2017-02-23T00:00:00Z</vt:filetime>
  </property>
  <property fmtid="{D5CDD505-2E9C-101B-9397-08002B2CF9AE}" pid="3" name="Creator">
    <vt:lpwstr>Microsoft® Word 2010</vt:lpwstr>
  </property>
  <property fmtid="{D5CDD505-2E9C-101B-9397-08002B2CF9AE}" pid="4" name="LastSaved">
    <vt:filetime>2018-10-19T00:00:00Z</vt:filetime>
  </property>
</Properties>
</file>