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4" w:lineRule="exact" w:before="0"/>
        <w:ind w:left="707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5829300</wp:posOffset>
            </wp:positionH>
            <wp:positionV relativeFrom="paragraph">
              <wp:posOffset>256793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30"/>
        <w:ind w:left="7267" w:right="314" w:firstLine="0"/>
        <w:jc w:val="center"/>
        <w:rPr>
          <w:sz w:val="20"/>
        </w:rPr>
      </w:pPr>
      <w:r>
        <w:rPr>
          <w:w w:val="95"/>
          <w:sz w:val="20"/>
        </w:rPr>
        <w:t>中新大东方[2013] </w:t>
      </w:r>
      <w:r>
        <w:rPr>
          <w:sz w:val="20"/>
        </w:rPr>
        <w:t>疾病保险 003 号</w:t>
      </w:r>
    </w:p>
    <w:p>
      <w:pPr>
        <w:pStyle w:val="BodyText"/>
        <w:ind w:left="0"/>
        <w:rPr>
          <w:sz w:val="20"/>
        </w:rPr>
      </w:pPr>
    </w:p>
    <w:p>
      <w:pPr>
        <w:pStyle w:val="BodyText"/>
        <w:spacing w:before="1"/>
        <w:ind w:left="0"/>
        <w:rPr>
          <w:sz w:val="29"/>
        </w:rPr>
      </w:pPr>
    </w:p>
    <w:p>
      <w:pPr>
        <w:spacing w:line="473" w:lineRule="exact" w:before="0"/>
        <w:ind w:left="820" w:right="0" w:firstLine="0"/>
        <w:jc w:val="left"/>
        <w:rPr>
          <w:rFonts w:ascii="Microsoft JhengHei UI" w:eastAsia="Microsoft JhengHei UI" w:hint="eastAsia"/>
          <w:b/>
          <w:sz w:val="30"/>
        </w:rPr>
      </w:pPr>
      <w:r>
        <w:rPr>
          <w:rFonts w:ascii="Microsoft JhengHei UI" w:eastAsia="Microsoft JhengHei UI" w:hint="eastAsia"/>
          <w:b/>
          <w:sz w:val="30"/>
        </w:rPr>
        <w:t>中新大东方附加顺鸿终身提前给付重大疾病保险条款</w:t>
      </w:r>
    </w:p>
    <w:p>
      <w:pPr>
        <w:pStyle w:val="BodyText"/>
        <w:spacing w:before="67"/>
        <w:ind w:left="1980"/>
      </w:pPr>
      <w:r>
        <w:rPr/>
        <w:t>感谢您选择了本公司 </w:t>
      </w:r>
      <w:r>
        <w:rPr>
          <w:rFonts w:ascii="Microsoft JhengHei UI" w:eastAsia="Microsoft JhengHei UI" w:hint="eastAsia"/>
          <w:b/>
        </w:rPr>
        <w:t>- </w:t>
      </w:r>
      <w:r>
        <w:rPr/>
        <w:t>中新大东方人寿保险有限公司</w:t>
      </w:r>
    </w:p>
    <w:p>
      <w:pPr>
        <w:pStyle w:val="BodyText"/>
        <w:ind w:left="0"/>
        <w:rPr>
          <w:sz w:val="27"/>
        </w:rPr>
      </w:pPr>
    </w:p>
    <w:p>
      <w:pPr>
        <w:pStyle w:val="Heading1"/>
        <w:spacing w:line="240" w:lineRule="auto"/>
        <w:ind w:left="3495" w:right="4115"/>
      </w:pPr>
      <w:r>
        <w:rPr/>
        <w:t>阅  读  指  引</w:t>
      </w:r>
    </w:p>
    <w:p>
      <w:pPr>
        <w:pStyle w:val="BodyText"/>
        <w:spacing w:line="273" w:lineRule="auto" w:before="129"/>
        <w:ind w:left="429" w:right="764"/>
      </w:pPr>
      <w:r>
        <w:rPr/>
        <w:t>本阅读指引旨在提示您本条款中的重要事项，对“中新大东方附加顺鸿终身提前给付重</w:t>
      </w:r>
      <w:r>
        <w:rPr>
          <w:w w:val="95"/>
        </w:rPr>
        <w:t>大疾病保险合同”内容的解释以条款为准。</w:t>
      </w:r>
    </w:p>
    <w:p>
      <w:pPr>
        <w:pStyle w:val="Heading2"/>
        <w:spacing w:line="306" w:lineRule="exact"/>
        <w:ind w:left="435" w:firstLine="0"/>
        <w:jc w:val="both"/>
      </w:pPr>
      <w:r>
        <w:rPr>
          <w:w w:val="95"/>
        </w:rPr>
        <w:t>您的权益</w:t>
      </w:r>
    </w:p>
    <w:p>
      <w:pPr>
        <w:pStyle w:val="ListParagraph"/>
        <w:numPr>
          <w:ilvl w:val="0"/>
          <w:numId w:val="1"/>
        </w:numPr>
        <w:tabs>
          <w:tab w:pos="850" w:val="left" w:leader="none"/>
        </w:tabs>
        <w:spacing w:line="240" w:lineRule="auto" w:before="16" w:after="0"/>
        <w:ind w:left="849" w:right="0" w:hanging="420"/>
        <w:jc w:val="both"/>
        <w:rPr>
          <w:sz w:val="21"/>
        </w:rPr>
      </w:pPr>
      <w:r>
        <w:rPr>
          <w:w w:val="95"/>
          <w:sz w:val="21"/>
        </w:rPr>
        <w:t>您可以选择将投保日期回溯（4）</w:t>
      </w:r>
    </w:p>
    <w:p>
      <w:pPr>
        <w:pStyle w:val="ListParagraph"/>
        <w:numPr>
          <w:ilvl w:val="0"/>
          <w:numId w:val="1"/>
        </w:numPr>
        <w:tabs>
          <w:tab w:pos="850" w:val="left" w:leader="none"/>
        </w:tabs>
        <w:spacing w:line="240" w:lineRule="auto" w:before="22" w:after="0"/>
        <w:ind w:left="849" w:right="0" w:hanging="420"/>
        <w:jc w:val="both"/>
        <w:rPr>
          <w:sz w:val="21"/>
        </w:rPr>
      </w:pPr>
      <w:r>
        <w:rPr>
          <w:w w:val="99"/>
          <w:sz w:val="21"/>
        </w:rPr>
        <w:t>被保险人享有本公司提供的保障</w:t>
      </w:r>
      <w:r>
        <w:rPr>
          <w:spacing w:val="-1"/>
          <w:w w:val="99"/>
          <w:sz w:val="21"/>
        </w:rPr>
        <w:t>（</w:t>
      </w:r>
      <w:r>
        <w:rPr>
          <w:w w:val="93"/>
          <w:sz w:val="21"/>
        </w:rPr>
        <w:t>5</w:t>
      </w:r>
      <w:r>
        <w:rPr>
          <w:spacing w:val="-1"/>
          <w:w w:val="43"/>
          <w:sz w:val="21"/>
        </w:rPr>
        <w:t>.</w:t>
      </w:r>
      <w:r>
        <w:rPr>
          <w:w w:val="93"/>
          <w:sz w:val="21"/>
        </w:rPr>
        <w:t>3</w:t>
      </w:r>
      <w:r>
        <w:rPr>
          <w:w w:val="99"/>
          <w:sz w:val="21"/>
        </w:rPr>
        <w:t>）</w:t>
      </w:r>
    </w:p>
    <w:p>
      <w:pPr>
        <w:pStyle w:val="ListParagraph"/>
        <w:numPr>
          <w:ilvl w:val="0"/>
          <w:numId w:val="1"/>
        </w:numPr>
        <w:tabs>
          <w:tab w:pos="850" w:val="left" w:leader="none"/>
        </w:tabs>
        <w:spacing w:line="274" w:lineRule="exact" w:before="22" w:after="0"/>
        <w:ind w:left="849" w:right="0" w:hanging="420"/>
        <w:jc w:val="both"/>
        <w:rPr>
          <w:sz w:val="21"/>
        </w:rPr>
      </w:pPr>
      <w:r>
        <w:rPr>
          <w:w w:val="99"/>
          <w:sz w:val="21"/>
        </w:rPr>
        <w:t>您有退保的权利</w:t>
      </w:r>
      <w:r>
        <w:rPr>
          <w:spacing w:val="-1"/>
          <w:w w:val="99"/>
          <w:sz w:val="21"/>
        </w:rPr>
        <w:t>（</w:t>
      </w:r>
      <w:r>
        <w:rPr>
          <w:w w:val="93"/>
          <w:sz w:val="21"/>
        </w:rPr>
        <w:t>8</w:t>
      </w:r>
      <w:r>
        <w:rPr>
          <w:spacing w:val="-1"/>
          <w:w w:val="43"/>
          <w:sz w:val="21"/>
        </w:rPr>
        <w:t>.</w:t>
      </w:r>
      <w:r>
        <w:rPr>
          <w:w w:val="93"/>
          <w:sz w:val="21"/>
        </w:rPr>
        <w:t>3</w:t>
      </w:r>
      <w:r>
        <w:rPr>
          <w:w w:val="99"/>
          <w:sz w:val="21"/>
        </w:rPr>
        <w:t>）</w:t>
      </w:r>
    </w:p>
    <w:p>
      <w:pPr>
        <w:pStyle w:val="Heading2"/>
        <w:spacing w:line="317" w:lineRule="exact"/>
        <w:ind w:left="435" w:firstLine="0"/>
        <w:jc w:val="both"/>
      </w:pPr>
      <w:r>
        <w:rPr>
          <w:w w:val="95"/>
        </w:rPr>
        <w:t>特别注意事项</w:t>
      </w:r>
    </w:p>
    <w:p>
      <w:pPr>
        <w:pStyle w:val="ListParagraph"/>
        <w:numPr>
          <w:ilvl w:val="0"/>
          <w:numId w:val="1"/>
        </w:numPr>
        <w:tabs>
          <w:tab w:pos="856" w:val="left" w:leader="none"/>
        </w:tabs>
        <w:spacing w:line="332" w:lineRule="exact" w:before="0" w:after="0"/>
        <w:ind w:left="855" w:right="0" w:hanging="420"/>
        <w:jc w:val="both"/>
        <w:rPr>
          <w:rFonts w:ascii="Microsoft JhengHei UI" w:eastAsia="Microsoft JhengHei UI" w:hint="eastAsia"/>
          <w:b/>
          <w:sz w:val="21"/>
        </w:rPr>
      </w:pPr>
      <w:r>
        <w:rPr>
          <w:rFonts w:ascii="Microsoft JhengHei UI" w:eastAsia="Microsoft JhengHei UI" w:hint="eastAsia"/>
          <w:b/>
          <w:w w:val="95"/>
          <w:sz w:val="21"/>
        </w:rPr>
        <w:t>在某些情况下，本公司不承担保险责任</w:t>
      </w:r>
      <w:r>
        <w:rPr>
          <w:rFonts w:ascii="Microsoft JhengHei UI" w:eastAsia="Microsoft JhengHei UI" w:hint="eastAsia"/>
          <w:b/>
          <w:spacing w:val="1"/>
          <w:w w:val="95"/>
          <w:sz w:val="21"/>
        </w:rPr>
        <w:t>（5.4）</w:t>
      </w:r>
    </w:p>
    <w:p>
      <w:pPr>
        <w:pStyle w:val="ListParagraph"/>
        <w:numPr>
          <w:ilvl w:val="0"/>
          <w:numId w:val="1"/>
        </w:numPr>
        <w:tabs>
          <w:tab w:pos="850" w:val="left" w:leader="none"/>
        </w:tabs>
        <w:spacing w:line="240" w:lineRule="auto" w:before="13" w:after="0"/>
        <w:ind w:left="849" w:right="0" w:hanging="420"/>
        <w:jc w:val="both"/>
        <w:rPr>
          <w:sz w:val="21"/>
        </w:rPr>
      </w:pPr>
      <w:r>
        <w:rPr>
          <w:w w:val="99"/>
          <w:sz w:val="21"/>
        </w:rPr>
        <w:t>在保险期间内本公司可能会调整保险费率</w:t>
      </w:r>
      <w:r>
        <w:rPr>
          <w:spacing w:val="-1"/>
          <w:w w:val="99"/>
          <w:sz w:val="21"/>
        </w:rPr>
        <w:t>（</w:t>
      </w:r>
      <w:r>
        <w:rPr>
          <w:w w:val="93"/>
          <w:sz w:val="21"/>
        </w:rPr>
        <w:t>6</w:t>
      </w:r>
      <w:r>
        <w:rPr>
          <w:spacing w:val="-1"/>
          <w:w w:val="43"/>
          <w:sz w:val="21"/>
        </w:rPr>
        <w:t>.</w:t>
      </w:r>
      <w:r>
        <w:rPr>
          <w:w w:val="93"/>
          <w:sz w:val="21"/>
        </w:rPr>
        <w:t>2</w:t>
      </w:r>
      <w:r>
        <w:rPr>
          <w:w w:val="99"/>
          <w:sz w:val="21"/>
        </w:rPr>
        <w:t>）</w:t>
      </w:r>
    </w:p>
    <w:p>
      <w:pPr>
        <w:pStyle w:val="ListParagraph"/>
        <w:numPr>
          <w:ilvl w:val="0"/>
          <w:numId w:val="1"/>
        </w:numPr>
        <w:tabs>
          <w:tab w:pos="850" w:val="left" w:leader="none"/>
        </w:tabs>
        <w:spacing w:line="240" w:lineRule="auto" w:before="22" w:after="0"/>
        <w:ind w:left="849" w:right="0" w:hanging="420"/>
        <w:jc w:val="both"/>
        <w:rPr>
          <w:sz w:val="21"/>
        </w:rPr>
      </w:pPr>
      <w:r>
        <w:rPr>
          <w:w w:val="99"/>
          <w:sz w:val="21"/>
        </w:rPr>
        <w:t>没有按时交纳保险费将会导致合同中止</w:t>
      </w:r>
      <w:r>
        <w:rPr>
          <w:spacing w:val="-1"/>
          <w:w w:val="99"/>
          <w:sz w:val="21"/>
        </w:rPr>
        <w:t>（</w:t>
      </w:r>
      <w:r>
        <w:rPr>
          <w:w w:val="93"/>
          <w:sz w:val="21"/>
        </w:rPr>
        <w:t>8</w:t>
      </w:r>
      <w:r>
        <w:rPr>
          <w:spacing w:val="-1"/>
          <w:w w:val="43"/>
          <w:sz w:val="21"/>
        </w:rPr>
        <w:t>.</w:t>
      </w:r>
      <w:r>
        <w:rPr>
          <w:w w:val="93"/>
          <w:sz w:val="21"/>
        </w:rPr>
        <w:t>1</w:t>
      </w:r>
      <w:r>
        <w:rPr>
          <w:w w:val="99"/>
          <w:sz w:val="21"/>
        </w:rPr>
        <w:t>）</w:t>
      </w:r>
    </w:p>
    <w:p>
      <w:pPr>
        <w:pStyle w:val="ListParagraph"/>
        <w:numPr>
          <w:ilvl w:val="0"/>
          <w:numId w:val="1"/>
        </w:numPr>
        <w:tabs>
          <w:tab w:pos="850" w:val="left" w:leader="none"/>
        </w:tabs>
        <w:spacing w:line="240" w:lineRule="auto" w:before="22" w:after="0"/>
        <w:ind w:left="849" w:right="0" w:hanging="420"/>
        <w:jc w:val="both"/>
        <w:rPr>
          <w:sz w:val="21"/>
        </w:rPr>
      </w:pPr>
      <w:r>
        <w:rPr>
          <w:w w:val="99"/>
          <w:sz w:val="21"/>
        </w:rPr>
        <w:t>退保会给您带来一定损失，请慎重决策</w:t>
      </w:r>
      <w:r>
        <w:rPr>
          <w:spacing w:val="-1"/>
          <w:w w:val="99"/>
          <w:sz w:val="21"/>
        </w:rPr>
        <w:t>（</w:t>
      </w:r>
      <w:r>
        <w:rPr>
          <w:w w:val="93"/>
          <w:sz w:val="21"/>
        </w:rPr>
        <w:t>8</w:t>
      </w:r>
      <w:r>
        <w:rPr>
          <w:spacing w:val="-1"/>
          <w:w w:val="43"/>
          <w:sz w:val="21"/>
        </w:rPr>
        <w:t>.</w:t>
      </w:r>
      <w:r>
        <w:rPr>
          <w:w w:val="93"/>
          <w:sz w:val="21"/>
        </w:rPr>
        <w:t>3</w:t>
      </w:r>
      <w:r>
        <w:rPr>
          <w:w w:val="99"/>
          <w:sz w:val="21"/>
        </w:rPr>
        <w:t>）</w:t>
      </w:r>
    </w:p>
    <w:p>
      <w:pPr>
        <w:pStyle w:val="ListParagraph"/>
        <w:numPr>
          <w:ilvl w:val="0"/>
          <w:numId w:val="1"/>
        </w:numPr>
        <w:tabs>
          <w:tab w:pos="850" w:val="left" w:leader="none"/>
        </w:tabs>
        <w:spacing w:line="240" w:lineRule="auto" w:before="22" w:after="0"/>
        <w:ind w:left="849" w:right="0" w:hanging="420"/>
        <w:jc w:val="both"/>
        <w:rPr>
          <w:sz w:val="21"/>
        </w:rPr>
      </w:pPr>
      <w:r>
        <w:rPr>
          <w:spacing w:val="-1"/>
          <w:w w:val="99"/>
          <w:sz w:val="21"/>
        </w:rPr>
        <w:t>主险合同的某些变动会导致本附加险合同效力终止</w:t>
      </w:r>
      <w:r>
        <w:rPr>
          <w:spacing w:val="-1"/>
          <w:w w:val="58"/>
          <w:sz w:val="21"/>
        </w:rPr>
        <w:t>(</w:t>
      </w:r>
      <w:r>
        <w:rPr>
          <w:w w:val="93"/>
          <w:sz w:val="21"/>
        </w:rPr>
        <w:t>8</w:t>
      </w:r>
      <w:r>
        <w:rPr>
          <w:spacing w:val="-1"/>
          <w:w w:val="43"/>
          <w:sz w:val="21"/>
        </w:rPr>
        <w:t>.</w:t>
      </w:r>
      <w:r>
        <w:rPr>
          <w:w w:val="93"/>
          <w:sz w:val="21"/>
        </w:rPr>
        <w:t>4</w:t>
      </w:r>
      <w:r>
        <w:rPr>
          <w:w w:val="58"/>
          <w:sz w:val="21"/>
        </w:rPr>
        <w:t>)</w:t>
      </w:r>
    </w:p>
    <w:p>
      <w:pPr>
        <w:pStyle w:val="ListParagraph"/>
        <w:numPr>
          <w:ilvl w:val="0"/>
          <w:numId w:val="1"/>
        </w:numPr>
        <w:tabs>
          <w:tab w:pos="850" w:val="left" w:leader="none"/>
        </w:tabs>
        <w:spacing w:line="240" w:lineRule="auto" w:before="22" w:after="0"/>
        <w:ind w:left="849" w:right="0" w:hanging="420"/>
        <w:jc w:val="both"/>
        <w:rPr>
          <w:sz w:val="21"/>
        </w:rPr>
      </w:pPr>
      <w:r>
        <w:rPr>
          <w:w w:val="95"/>
          <w:sz w:val="21"/>
        </w:rPr>
        <w:t>您有如实告知的义务（10）</w:t>
      </w:r>
    </w:p>
    <w:p>
      <w:pPr>
        <w:pStyle w:val="ListParagraph"/>
        <w:numPr>
          <w:ilvl w:val="0"/>
          <w:numId w:val="1"/>
        </w:numPr>
        <w:tabs>
          <w:tab w:pos="850" w:val="left" w:leader="none"/>
        </w:tabs>
        <w:spacing w:line="240" w:lineRule="auto" w:before="22" w:after="0"/>
        <w:ind w:left="849" w:right="0" w:hanging="420"/>
        <w:jc w:val="both"/>
        <w:rPr>
          <w:sz w:val="21"/>
        </w:rPr>
      </w:pPr>
      <w:r>
        <w:rPr>
          <w:w w:val="95"/>
          <w:sz w:val="21"/>
        </w:rPr>
        <w:t>本公司对一些重要术语作了显著标记，并进行了解释（11）</w:t>
      </w:r>
    </w:p>
    <w:p>
      <w:pPr>
        <w:pStyle w:val="ListParagraph"/>
        <w:numPr>
          <w:ilvl w:val="0"/>
          <w:numId w:val="1"/>
        </w:numPr>
        <w:tabs>
          <w:tab w:pos="850" w:val="left" w:leader="none"/>
        </w:tabs>
        <w:spacing w:line="240" w:lineRule="auto" w:before="22" w:after="0"/>
        <w:ind w:left="849" w:right="0" w:hanging="420"/>
        <w:jc w:val="both"/>
        <w:rPr>
          <w:sz w:val="21"/>
        </w:rPr>
      </w:pPr>
      <w:r>
        <w:rPr>
          <w:spacing w:val="-1"/>
          <w:w w:val="99"/>
          <w:sz w:val="21"/>
        </w:rPr>
        <w:t>请仔细阅读本条款中关于重大疾病的释义</w:t>
      </w:r>
      <w:r>
        <w:rPr>
          <w:spacing w:val="-1"/>
          <w:w w:val="58"/>
          <w:sz w:val="21"/>
        </w:rPr>
        <w:t>(</w:t>
      </w:r>
      <w:r>
        <w:rPr>
          <w:w w:val="93"/>
          <w:sz w:val="21"/>
        </w:rPr>
        <w:t>11</w:t>
      </w:r>
      <w:r>
        <w:rPr>
          <w:spacing w:val="-1"/>
          <w:w w:val="43"/>
          <w:sz w:val="21"/>
        </w:rPr>
        <w:t>.</w:t>
      </w:r>
      <w:r>
        <w:rPr>
          <w:w w:val="93"/>
          <w:sz w:val="21"/>
        </w:rPr>
        <w:t>3</w:t>
      </w:r>
      <w:r>
        <w:rPr>
          <w:w w:val="58"/>
          <w:sz w:val="21"/>
        </w:rPr>
        <w:t>)</w:t>
      </w:r>
    </w:p>
    <w:p>
      <w:pPr>
        <w:pStyle w:val="BodyText"/>
        <w:spacing w:before="3"/>
        <w:ind w:left="0"/>
        <w:rPr>
          <w:sz w:val="26"/>
        </w:rPr>
      </w:pPr>
    </w:p>
    <w:p>
      <w:pPr>
        <w:pStyle w:val="BodyText"/>
        <w:spacing w:line="273" w:lineRule="auto" w:before="1"/>
        <w:ind w:left="429" w:right="774"/>
        <w:jc w:val="both"/>
      </w:pPr>
      <w:r>
        <w:rPr/>
        <w:t>条款是保险合同的重要组成部分，条款特别是保险责任、责任免除等免除您责任的部分关系到您及被保险人、受益人的切身利益，请详细阅读本条款（特别是以黑体字标识的</w:t>
      </w:r>
      <w:r>
        <w:rPr>
          <w:w w:val="95"/>
        </w:rPr>
        <w:t>内容</w:t>
      </w:r>
      <w:r>
        <w:rPr>
          <w:spacing w:val="-104"/>
          <w:w w:val="95"/>
        </w:rPr>
        <w:t>）</w:t>
      </w:r>
      <w:r>
        <w:rPr>
          <w:w w:val="95"/>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6"/>
        </w:rPr>
      </w:pPr>
    </w:p>
    <w:p>
      <w:pPr>
        <w:spacing w:before="67"/>
        <w:ind w:left="120" w:right="0" w:firstLine="0"/>
        <w:jc w:val="left"/>
        <w:rPr>
          <w:sz w:val="18"/>
        </w:rPr>
      </w:pPr>
      <w:r>
        <w:rPr>
          <w:sz w:val="18"/>
        </w:rPr>
        <w:t>中新大东方附加顺鸿终身提前给付重大疾病保险费率表</w:t>
      </w:r>
    </w:p>
    <w:p>
      <w:pPr>
        <w:spacing w:after="0"/>
        <w:jc w:val="left"/>
        <w:rPr>
          <w:sz w:val="18"/>
        </w:rPr>
        <w:sectPr>
          <w:type w:val="continuous"/>
          <w:pgSz w:w="11910" w:h="16840"/>
          <w:pgMar w:top="720" w:bottom="280" w:left="1680" w:right="1040"/>
        </w:sectPr>
      </w:pPr>
    </w:p>
    <w:p>
      <w:pPr>
        <w:pStyle w:val="Heading1"/>
        <w:ind w:left="3913" w:right="3896"/>
      </w:pPr>
      <w:r>
        <w:rPr/>
        <w:t>目  录</w:t>
      </w:r>
    </w:p>
    <w:p>
      <w:pPr>
        <w:spacing w:after="0"/>
        <w:sectPr>
          <w:footerReference w:type="default" r:id="rId6"/>
          <w:pgSz w:w="11910" w:h="16840"/>
          <w:pgMar w:footer="1090" w:header="0" w:top="1460" w:bottom="1698" w:left="1680" w:right="1680"/>
          <w:pgNumType w:start="2"/>
        </w:sectPr>
      </w:pPr>
    </w:p>
    <w:sdt>
      <w:sdtPr>
        <w:docPartObj>
          <w:docPartGallery w:val="Table of Contents"/>
          <w:docPartUnique/>
        </w:docPartObj>
      </w:sdtPr>
      <w:sdtEndPr/>
      <w:sdtContent>
        <w:p>
          <w:pPr>
            <w:pStyle w:val="TOC1"/>
            <w:numPr>
              <w:ilvl w:val="0"/>
              <w:numId w:val="2"/>
            </w:numPr>
            <w:tabs>
              <w:tab w:pos="959" w:val="left" w:leader="none"/>
              <w:tab w:pos="960" w:val="left" w:leader="none"/>
              <w:tab w:pos="8415" w:val="right" w:leader="dot"/>
            </w:tabs>
            <w:spacing w:line="240" w:lineRule="auto" w:before="130" w:after="0"/>
            <w:ind w:left="960" w:right="0" w:hanging="840"/>
            <w:jc w:val="left"/>
            <w:rPr>
              <w:rFonts w:ascii="Times New Roman" w:eastAsia="Times New Roman"/>
            </w:rPr>
          </w:pPr>
          <w:hyperlink w:history="true" w:anchor="_TOC_250075">
            <w:r>
              <w:rPr/>
              <w:t>合同成立</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4">
            <w:r>
              <w:rPr/>
              <w:t>投保年龄</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3">
            <w:r>
              <w:rPr/>
              <w:t>合同生效</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2">
            <w:r>
              <w:rPr/>
              <w:t>投保日期回溯选择权</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1">
            <w:r>
              <w:rPr/>
              <w:t>保险责任</w:t>
              <w:tab/>
            </w:r>
            <w:r>
              <w:rPr>
                <w:rFonts w:ascii="Times New Roman" w:eastAsia="Times New Roman"/>
              </w:rPr>
              <w:t>3</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70">
            <w:r>
              <w:rPr/>
              <w:t>保险责任的开始</w:t>
              <w:tab/>
            </w:r>
            <w:r>
              <w:rPr>
                <w:rFonts w:ascii="Times New Roman" w:eastAsia="Times New Roman"/>
              </w:rPr>
              <w:t>3</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9">
            <w:r>
              <w:rPr/>
              <w:t>保险期间</w:t>
              <w:tab/>
            </w:r>
            <w:r>
              <w:rPr>
                <w:rFonts w:ascii="Times New Roman" w:eastAsia="Times New Roman"/>
              </w:rPr>
              <w:t>3</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8">
            <w:r>
              <w:rPr/>
              <w:t>本公司承担的保险责任</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7">
            <w:r>
              <w:rPr/>
              <w:t>责任免除</w:t>
              <w:tab/>
            </w:r>
            <w:r>
              <w:rPr>
                <w:rFonts w:ascii="Times New Roman" w:eastAsia="Times New Roman"/>
              </w:rPr>
              <w:t>4</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6">
            <w:r>
              <w:rPr/>
              <w:t>保险费</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5">
            <w:r>
              <w:rPr/>
              <w:t>保险费支付</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4">
            <w:r>
              <w:rPr/>
              <w:t>保险费率调整</w:t>
              <w:tab/>
            </w:r>
            <w:r>
              <w:rPr>
                <w:rFonts w:ascii="Times New Roman" w:eastAsia="Times New Roman"/>
              </w:rPr>
              <w:t>4</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3">
            <w:r>
              <w:rPr/>
              <w:t>保险金的领取</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2">
            <w:r>
              <w:rPr/>
              <w:t>重大疾病保险金受益人</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1">
            <w:r>
              <w:rPr/>
              <w:t>重大疾病保险金的申请</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0">
            <w:r>
              <w:rPr/>
              <w:t>特别注意事项</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9">
            <w:r>
              <w:rPr/>
              <w:t>保险金的给付</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8">
            <w:r>
              <w:rPr/>
              <w:t>保险金诉讼时效</w:t>
              <w:tab/>
            </w:r>
            <w:r>
              <w:rPr>
                <w:rFonts w:ascii="Times New Roman" w:eastAsia="Times New Roman"/>
              </w:rPr>
              <w:t>5</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57">
            <w:r>
              <w:rPr/>
              <w:t>合同效力的变动</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6">
            <w:r>
              <w:rPr/>
              <w:t>合同效力的中止</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5">
            <w:r>
              <w:rPr/>
              <w:t>合同效力的恢复</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hAnsi="Times New Roman" w:eastAsia="Times New Roman"/>
            </w:rPr>
          </w:pPr>
          <w:hyperlink w:history="true" w:anchor="_TOC_250054">
            <w:r>
              <w:rPr/>
              <w:t>合同的解除——退保</w:t>
              <w:tab/>
            </w:r>
            <w:r>
              <w:rPr>
                <w:rFonts w:ascii="Times New Roman" w:hAnsi="Times New Roman" w:eastAsia="Times New Roman"/>
              </w:rPr>
              <w:t>6</w:t>
            </w:r>
          </w:hyperlink>
        </w:p>
        <w:p>
          <w:pPr>
            <w:pStyle w:val="TOC4"/>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3">
            <w:r>
              <w:rPr/>
              <w:t>犹豫期</w:t>
              <w:tab/>
            </w:r>
            <w:r>
              <w:rPr>
                <w:rFonts w:ascii="Times New Roman" w:eastAsia="Times New Roman"/>
              </w:rPr>
              <w:t>6</w:t>
            </w:r>
          </w:hyperlink>
        </w:p>
        <w:p>
          <w:pPr>
            <w:pStyle w:val="TOC4"/>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2">
            <w:r>
              <w:rPr/>
              <w:t>犹豫期之后申请退保</w:t>
              <w:tab/>
            </w:r>
            <w:r>
              <w:rPr>
                <w:rFonts w:ascii="Times New Roman" w:eastAsia="Times New Roman"/>
              </w:rPr>
              <w:t>6</w:t>
            </w:r>
          </w:hyperlink>
        </w:p>
        <w:p>
          <w:pPr>
            <w:pStyle w:val="TOC4"/>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1">
            <w:r>
              <w:rPr/>
              <w:t>退保申请</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0">
            <w:r>
              <w:rPr/>
              <w:t>合同的终止</w:t>
              <w:tab/>
            </w:r>
            <w:r>
              <w:rPr>
                <w:rFonts w:ascii="Times New Roman" w:eastAsia="Times New Roman"/>
              </w:rPr>
              <w:t>6</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9">
            <w:r>
              <w:rPr/>
              <w:t>被保险人年龄确定错误处理</w:t>
              <w:tab/>
            </w:r>
            <w:r>
              <w:rPr>
                <w:rFonts w:ascii="Times New Roman" w:eastAsia="Times New Roman"/>
              </w:rPr>
              <w:t>7</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8">
            <w:r>
              <w:rPr/>
              <w:t>适用主险条款</w:t>
              <w:tab/>
            </w:r>
            <w:r>
              <w:rPr>
                <w:rFonts w:ascii="Times New Roman" w:eastAsia="Times New Roman"/>
              </w:rPr>
              <w:t>7</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7">
            <w:r>
              <w:rPr/>
              <w:t>释义</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46">
            <w:r>
              <w:rPr/>
              <w:t>周岁</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45">
            <w:r>
              <w:rPr/>
              <w:t>医院</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44">
            <w:r>
              <w:rPr/>
              <w:t>30</w:t>
            </w:r>
            <w:r>
              <w:rPr>
                <w:spacing w:val="-56"/>
              </w:rPr>
              <w:t> </w:t>
            </w:r>
            <w:r>
              <w:rPr/>
              <w:t>种重大疾病</w:t>
              <w:tab/>
            </w:r>
            <w:r>
              <w:rPr>
                <w:rFonts w:ascii="Times New Roman" w:eastAsia="Times New Roman"/>
              </w:rPr>
              <w:t>7</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43">
            <w:r>
              <w:rPr/>
              <w:t>恶性肿瘤</w:t>
              <w:tab/>
            </w:r>
            <w:r>
              <w:rPr>
                <w:rFonts w:ascii="Times New Roman" w:eastAsia="Times New Roman"/>
              </w:rPr>
              <w:t>8</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42">
            <w:r>
              <w:rPr/>
              <w:t>急性心肌梗塞</w:t>
              <w:tab/>
            </w:r>
            <w:r>
              <w:rPr>
                <w:rFonts w:ascii="Times New Roman" w:eastAsia="Times New Roman"/>
              </w:rPr>
              <w:t>8</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41">
            <w:r>
              <w:rPr/>
              <w:t>脑中风后遗症</w:t>
              <w:tab/>
            </w:r>
            <w:r>
              <w:rPr>
                <w:rFonts w:ascii="Times New Roman" w:eastAsia="Times New Roman"/>
              </w:rPr>
              <w:t>8</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40">
            <w:r>
              <w:rPr/>
              <w:t>重大器官移植术或造血干细胞移植术</w:t>
              <w:tab/>
            </w:r>
            <w:r>
              <w:rPr>
                <w:rFonts w:ascii="Times New Roman" w:eastAsia="Times New Roman"/>
              </w:rPr>
              <w:t>8</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39">
            <w:r>
              <w:rPr/>
              <w:t>冠状动脉搭桥术（或称冠状动脉旁路移植术）</w:t>
              <w:tab/>
            </w:r>
            <w:r>
              <w:rPr>
                <w:rFonts w:ascii="Times New Roman" w:eastAsia="Times New Roman"/>
              </w:rPr>
              <w:t>9</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38">
            <w:r>
              <w:rPr/>
              <w:t>终末期肾病（或称慢性肾功能衰竭尿毒症期）</w:t>
              <w:tab/>
            </w:r>
            <w:r>
              <w:rPr>
                <w:rFonts w:ascii="Times New Roman" w:eastAsia="Times New Roman"/>
              </w:rPr>
              <w:t>9</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37">
            <w:r>
              <w:rPr/>
              <w:t>多个肢体缺失</w:t>
              <w:tab/>
            </w:r>
            <w:r>
              <w:rPr>
                <w:rFonts w:ascii="Times New Roman" w:eastAsia="Times New Roman"/>
              </w:rPr>
              <w:t>9</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36">
            <w:r>
              <w:rPr/>
              <w:t>急性或亚急性重症肝炎</w:t>
              <w:tab/>
            </w:r>
            <w:r>
              <w:rPr>
                <w:rFonts w:ascii="Times New Roman" w:eastAsia="Times New Roman"/>
              </w:rPr>
              <w:t>9</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35">
            <w:r>
              <w:rPr/>
              <w:t>良性脑肿瘤</w:t>
              <w:tab/>
            </w:r>
            <w:r>
              <w:rPr>
                <w:rFonts w:ascii="Times New Roman" w:eastAsia="Times New Roman"/>
              </w:rPr>
              <w:t>9</w:t>
            </w:r>
          </w:hyperlink>
        </w:p>
        <w:p>
          <w:pPr>
            <w:pStyle w:val="TOC4"/>
            <w:numPr>
              <w:ilvl w:val="2"/>
              <w:numId w:val="2"/>
            </w:numPr>
            <w:tabs>
              <w:tab w:pos="2008" w:val="left" w:leader="none"/>
              <w:tab w:pos="2009" w:val="left" w:leader="none"/>
              <w:tab w:pos="8415" w:val="right" w:leader="dot"/>
            </w:tabs>
            <w:spacing w:line="240" w:lineRule="auto" w:before="21" w:after="20"/>
            <w:ind w:left="2008" w:right="0" w:hanging="1048"/>
            <w:jc w:val="left"/>
            <w:rPr>
              <w:rFonts w:ascii="Times New Roman" w:eastAsia="Times New Roman"/>
            </w:rPr>
          </w:pPr>
          <w:hyperlink w:history="true" w:anchor="_TOC_250034">
            <w:r>
              <w:rPr/>
              <w:t>慢性肝功能衰竭失代偿期</w:t>
              <w:tab/>
            </w:r>
            <w:r>
              <w:rPr>
                <w:rFonts w:ascii="Times New Roman" w:eastAsia="Times New Roman"/>
              </w:rPr>
              <w:t>9</w:t>
            </w:r>
          </w:hyperlink>
        </w:p>
        <w:p>
          <w:pPr>
            <w:pStyle w:val="TOC4"/>
            <w:numPr>
              <w:ilvl w:val="2"/>
              <w:numId w:val="2"/>
            </w:numPr>
            <w:tabs>
              <w:tab w:pos="2008" w:val="left" w:leader="none"/>
              <w:tab w:pos="2009" w:val="left" w:leader="none"/>
              <w:tab w:pos="8415" w:val="right" w:leader="dot"/>
            </w:tabs>
            <w:spacing w:line="240" w:lineRule="auto" w:before="35" w:after="0"/>
            <w:ind w:left="2008" w:right="0" w:hanging="1048"/>
            <w:jc w:val="left"/>
            <w:rPr>
              <w:rFonts w:ascii="Times New Roman" w:eastAsia="Times New Roman"/>
            </w:rPr>
          </w:pPr>
          <w:hyperlink w:history="true" w:anchor="_TOC_250033">
            <w:r>
              <w:rPr/>
              <w:t>脑炎后遗症或脑膜炎后遗症</w:t>
              <w:tab/>
            </w:r>
            <w:r>
              <w:rPr>
                <w:rFonts w:ascii="Times New Roman" w:eastAsia="Times New Roman"/>
              </w:rPr>
              <w:t>9</w:t>
            </w:r>
          </w:hyperlink>
        </w:p>
        <w:p>
          <w:pPr>
            <w:pStyle w:val="TOC4"/>
            <w:numPr>
              <w:ilvl w:val="2"/>
              <w:numId w:val="2"/>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32">
            <w:r>
              <w:rPr/>
              <w:t>深度昏迷</w:t>
              <w:tab/>
            </w:r>
            <w:r>
              <w:rPr>
                <w:rFonts w:ascii="Times New Roman" w:eastAsia="Times New Roman"/>
              </w:rPr>
              <w:t>10</w:t>
            </w:r>
          </w:hyperlink>
        </w:p>
        <w:p>
          <w:pPr>
            <w:pStyle w:val="TOC4"/>
            <w:numPr>
              <w:ilvl w:val="2"/>
              <w:numId w:val="2"/>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31">
            <w:r>
              <w:rPr/>
              <w:t>双耳失聪</w:t>
              <w:tab/>
            </w:r>
            <w:r>
              <w:rPr>
                <w:rFonts w:ascii="Times New Roman" w:eastAsia="Times New Roman"/>
              </w:rPr>
              <w:t>10</w:t>
            </w:r>
          </w:hyperlink>
        </w:p>
        <w:p>
          <w:pPr>
            <w:pStyle w:val="TOC4"/>
            <w:numPr>
              <w:ilvl w:val="2"/>
              <w:numId w:val="2"/>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30">
            <w:r>
              <w:rPr/>
              <w:t>双目失明</w:t>
              <w:tab/>
            </w:r>
            <w:r>
              <w:rPr>
                <w:rFonts w:ascii="Times New Roman" w:eastAsia="Times New Roman"/>
              </w:rPr>
              <w:t>10</w:t>
            </w:r>
          </w:hyperlink>
        </w:p>
        <w:p>
          <w:pPr>
            <w:pStyle w:val="TOC4"/>
            <w:tabs>
              <w:tab w:pos="2008" w:val="left" w:leader="none"/>
              <w:tab w:pos="8415" w:val="right" w:leader="dot"/>
            </w:tabs>
            <w:ind w:left="960" w:firstLine="0"/>
            <w:rPr>
              <w:rFonts w:ascii="Times New Roman" w:eastAsia="Times New Roman"/>
            </w:rPr>
          </w:pPr>
          <w:hyperlink w:history="true" w:anchor="_TOC_250029">
            <w:r>
              <w:rPr/>
              <w:t>11.3.15.</w:t>
              <w:tab/>
              <w:t>瘫痪</w:t>
              <w:tab/>
            </w:r>
            <w:r>
              <w:rPr>
                <w:rFonts w:ascii="Times New Roman" w:eastAsia="Times New Roman"/>
              </w:rPr>
              <w:t>10</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8">
            <w:r>
              <w:rPr/>
              <w:t>心脏瓣膜手术</w:t>
              <w:tab/>
            </w:r>
            <w:r>
              <w:rPr>
                <w:rFonts w:ascii="Times New Roman" w:eastAsia="Times New Roman"/>
              </w:rPr>
              <w:t>10</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7">
            <w:r>
              <w:rPr/>
              <w:t>严重阿尔茨海默病</w:t>
              <w:tab/>
            </w:r>
            <w:r>
              <w:rPr>
                <w:rFonts w:ascii="Times New Roman" w:eastAsia="Times New Roman"/>
              </w:rPr>
              <w:t>10</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6">
            <w:r>
              <w:rPr/>
              <w:t>严重脑损伤</w:t>
              <w:tab/>
            </w:r>
            <w:r>
              <w:rPr>
                <w:rFonts w:ascii="Times New Roman" w:eastAsia="Times New Roman"/>
              </w:rPr>
              <w:t>10</w:t>
            </w:r>
          </w:hyperlink>
        </w:p>
        <w:p>
          <w:pPr>
            <w:pStyle w:val="TOC4"/>
            <w:numPr>
              <w:ilvl w:val="2"/>
              <w:numId w:val="3"/>
            </w:numPr>
            <w:tabs>
              <w:tab w:pos="2008" w:val="left" w:leader="none"/>
              <w:tab w:pos="2009" w:val="left" w:leader="none"/>
              <w:tab w:pos="8420" w:val="right" w:leader="dot"/>
            </w:tabs>
            <w:spacing w:line="240" w:lineRule="auto" w:before="21" w:after="0"/>
            <w:ind w:left="2008" w:right="0" w:hanging="1048"/>
            <w:jc w:val="left"/>
            <w:rPr>
              <w:rFonts w:ascii="Times New Roman" w:eastAsia="Times New Roman"/>
            </w:rPr>
          </w:pPr>
          <w:hyperlink w:history="true" w:anchor="_TOC_250025">
            <w:r>
              <w:rPr/>
              <w:t>严重帕金森病</w:t>
              <w:tab/>
            </w:r>
            <w:r>
              <w:rPr>
                <w:rFonts w:ascii="Times New Roman" w:eastAsia="Times New Roman"/>
              </w:rPr>
              <w:t>11</w:t>
            </w:r>
          </w:hyperlink>
        </w:p>
        <w:p>
          <w:pPr>
            <w:pStyle w:val="TOC4"/>
            <w:numPr>
              <w:ilvl w:val="2"/>
              <w:numId w:val="3"/>
            </w:numPr>
            <w:tabs>
              <w:tab w:pos="2008" w:val="left" w:leader="none"/>
              <w:tab w:pos="2009" w:val="left" w:leader="none"/>
              <w:tab w:pos="8420" w:val="right" w:leader="dot"/>
            </w:tabs>
            <w:spacing w:line="240" w:lineRule="auto" w:before="21" w:after="0"/>
            <w:ind w:left="2008" w:right="0" w:hanging="1048"/>
            <w:jc w:val="left"/>
            <w:rPr>
              <w:rFonts w:ascii="Times New Roman" w:eastAsia="Times New Roman"/>
            </w:rPr>
          </w:pPr>
          <w:hyperlink w:history="true" w:anchor="_TOC_250024">
            <w:r>
              <w:rPr/>
              <w:t>严重</w:t>
            </w:r>
            <w:r>
              <w:rPr>
                <w:spacing w:val="-55"/>
              </w:rPr>
              <w:t> </w:t>
            </w:r>
            <w:r>
              <w:rPr/>
              <w:t>III</w:t>
            </w:r>
            <w:r>
              <w:rPr>
                <w:spacing w:val="-54"/>
              </w:rPr>
              <w:t> </w:t>
            </w:r>
            <w:r>
              <w:rPr/>
              <w:t>度烧伤</w:t>
              <w:tab/>
            </w:r>
            <w:r>
              <w:rPr>
                <w:rFonts w:ascii="Times New Roman" w:eastAsia="Times New Roman"/>
              </w:rPr>
              <w:t>11</w:t>
            </w:r>
          </w:hyperlink>
        </w:p>
        <w:p>
          <w:pPr>
            <w:pStyle w:val="TOC4"/>
            <w:numPr>
              <w:ilvl w:val="2"/>
              <w:numId w:val="3"/>
            </w:numPr>
            <w:tabs>
              <w:tab w:pos="2008" w:val="left" w:leader="none"/>
              <w:tab w:pos="2009" w:val="left" w:leader="none"/>
              <w:tab w:pos="8420" w:val="right" w:leader="dot"/>
            </w:tabs>
            <w:spacing w:line="240" w:lineRule="auto" w:before="21" w:after="0"/>
            <w:ind w:left="2008" w:right="0" w:hanging="1048"/>
            <w:jc w:val="left"/>
            <w:rPr>
              <w:rFonts w:ascii="Times New Roman" w:eastAsia="Times New Roman"/>
            </w:rPr>
          </w:pPr>
          <w:hyperlink w:history="true" w:anchor="_TOC_250023">
            <w:r>
              <w:rPr/>
              <w:t>严重原发性肺动脉高压</w:t>
              <w:tab/>
            </w:r>
            <w:r>
              <w:rPr>
                <w:rFonts w:ascii="Times New Roman" w:eastAsia="Times New Roman"/>
              </w:rPr>
              <w:t>11</w:t>
            </w:r>
          </w:hyperlink>
        </w:p>
        <w:p>
          <w:pPr>
            <w:pStyle w:val="TOC4"/>
            <w:numPr>
              <w:ilvl w:val="2"/>
              <w:numId w:val="3"/>
            </w:numPr>
            <w:tabs>
              <w:tab w:pos="2008" w:val="left" w:leader="none"/>
              <w:tab w:pos="2009" w:val="left" w:leader="none"/>
              <w:tab w:pos="8420" w:val="right" w:leader="dot"/>
            </w:tabs>
            <w:spacing w:line="240" w:lineRule="auto" w:before="21" w:after="0"/>
            <w:ind w:left="2008" w:right="0" w:hanging="1048"/>
            <w:jc w:val="left"/>
            <w:rPr>
              <w:rFonts w:ascii="Times New Roman" w:eastAsia="Times New Roman"/>
            </w:rPr>
          </w:pPr>
          <w:hyperlink w:history="true" w:anchor="_TOC_250022">
            <w:r>
              <w:rPr/>
              <w:t>严重运动神经元病</w:t>
              <w:tab/>
            </w:r>
            <w:r>
              <w:rPr>
                <w:rFonts w:ascii="Times New Roman" w:eastAsia="Times New Roman"/>
              </w:rPr>
              <w:t>11</w:t>
            </w:r>
          </w:hyperlink>
        </w:p>
        <w:p>
          <w:pPr>
            <w:pStyle w:val="TOC4"/>
            <w:numPr>
              <w:ilvl w:val="2"/>
              <w:numId w:val="3"/>
            </w:numPr>
            <w:tabs>
              <w:tab w:pos="2008" w:val="left" w:leader="none"/>
              <w:tab w:pos="2009" w:val="left" w:leader="none"/>
              <w:tab w:pos="8420" w:val="right" w:leader="dot"/>
            </w:tabs>
            <w:spacing w:line="240" w:lineRule="auto" w:before="21" w:after="0"/>
            <w:ind w:left="2008" w:right="0" w:hanging="1048"/>
            <w:jc w:val="left"/>
            <w:rPr>
              <w:rFonts w:ascii="Times New Roman" w:eastAsia="Times New Roman"/>
            </w:rPr>
          </w:pPr>
          <w:hyperlink w:history="true" w:anchor="_TOC_250021">
            <w:r>
              <w:rPr/>
              <w:t>语言能力丧失</w:t>
              <w:tab/>
            </w:r>
            <w:r>
              <w:rPr>
                <w:rFonts w:ascii="Times New Roman" w:eastAsia="Times New Roman"/>
              </w:rPr>
              <w:t>11</w:t>
            </w:r>
          </w:hyperlink>
        </w:p>
        <w:p>
          <w:pPr>
            <w:pStyle w:val="TOC4"/>
            <w:numPr>
              <w:ilvl w:val="2"/>
              <w:numId w:val="3"/>
            </w:numPr>
            <w:tabs>
              <w:tab w:pos="2008" w:val="left" w:leader="none"/>
              <w:tab w:pos="2009" w:val="left" w:leader="none"/>
              <w:tab w:pos="8420" w:val="right" w:leader="dot"/>
            </w:tabs>
            <w:spacing w:line="240" w:lineRule="auto" w:before="21" w:after="0"/>
            <w:ind w:left="2008" w:right="0" w:hanging="1048"/>
            <w:jc w:val="left"/>
            <w:rPr>
              <w:rFonts w:ascii="Times New Roman" w:eastAsia="Times New Roman"/>
            </w:rPr>
          </w:pPr>
          <w:hyperlink w:history="true" w:anchor="_TOC_250020">
            <w:r>
              <w:rPr/>
              <w:t>重型再生障碍性贫血</w:t>
              <w:tab/>
            </w:r>
            <w:r>
              <w:rPr>
                <w:rFonts w:ascii="Times New Roman" w:eastAsia="Times New Roman"/>
              </w:rPr>
              <w:t>11</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9">
            <w:r>
              <w:rPr/>
              <w:t>主动脉手术</w:t>
              <w:tab/>
            </w:r>
            <w:r>
              <w:rPr>
                <w:rFonts w:ascii="Times New Roman" w:eastAsia="Times New Roman"/>
              </w:rPr>
              <w:t>12</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8">
            <w:r>
              <w:rPr/>
              <w:t>系统性红斑狼疮</w:t>
            </w:r>
            <w:r>
              <w:rPr>
                <w:spacing w:val="-3"/>
              </w:rPr>
              <w:t> </w:t>
            </w:r>
            <w:r>
              <w:rPr/>
              <w:t>－</w:t>
            </w:r>
            <w:r>
              <w:rPr>
                <w:spacing w:val="-5"/>
              </w:rPr>
              <w:t> </w:t>
            </w:r>
            <w:r>
              <w:rPr/>
              <w:t>III</w:t>
            </w:r>
            <w:r>
              <w:rPr>
                <w:spacing w:val="-55"/>
              </w:rPr>
              <w:t> </w:t>
            </w:r>
            <w:r>
              <w:rPr/>
              <w:t>型或以上狼疮性肾炎</w:t>
              <w:tab/>
            </w:r>
            <w:r>
              <w:rPr>
                <w:rFonts w:ascii="Times New Roman" w:eastAsia="Times New Roman"/>
              </w:rPr>
              <w:t>12</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7">
            <w:r>
              <w:rPr>
                <w:spacing w:val="1"/>
                <w:w w:val="99"/>
              </w:rPr>
              <w:t>经</w:t>
            </w:r>
            <w:r>
              <w:rPr>
                <w:w w:val="99"/>
              </w:rPr>
              <w:t>输</w:t>
            </w:r>
            <w:r>
              <w:rPr>
                <w:spacing w:val="1"/>
                <w:w w:val="99"/>
              </w:rPr>
              <w:t>血</w:t>
            </w:r>
            <w:r>
              <w:rPr>
                <w:w w:val="99"/>
              </w:rPr>
              <w:t>导</w:t>
            </w:r>
            <w:r>
              <w:rPr>
                <w:spacing w:val="1"/>
                <w:w w:val="99"/>
              </w:rPr>
              <w:t>致</w:t>
            </w:r>
            <w:r>
              <w:rPr>
                <w:w w:val="99"/>
              </w:rPr>
              <w:t>的</w:t>
            </w:r>
            <w:r>
              <w:rPr>
                <w:spacing w:val="1"/>
                <w:w w:val="99"/>
              </w:rPr>
              <w:t>人</w:t>
            </w:r>
            <w:r>
              <w:rPr>
                <w:w w:val="99"/>
              </w:rPr>
              <w:t>类</w:t>
            </w:r>
            <w:r>
              <w:rPr>
                <w:spacing w:val="1"/>
                <w:w w:val="99"/>
              </w:rPr>
              <w:t>免</w:t>
            </w:r>
            <w:r>
              <w:rPr>
                <w:w w:val="99"/>
              </w:rPr>
              <w:t>疫</w:t>
            </w:r>
            <w:r>
              <w:rPr>
                <w:spacing w:val="1"/>
                <w:w w:val="99"/>
              </w:rPr>
              <w:t>缺</w:t>
            </w:r>
            <w:r>
              <w:rPr>
                <w:w w:val="99"/>
              </w:rPr>
              <w:t>陷</w:t>
            </w:r>
            <w:r>
              <w:rPr>
                <w:spacing w:val="1"/>
                <w:w w:val="99"/>
              </w:rPr>
              <w:t>病</w:t>
            </w:r>
            <w:r>
              <w:rPr>
                <w:w w:val="99"/>
              </w:rPr>
              <w:t>毒</w:t>
            </w:r>
            <w:r>
              <w:rPr>
                <w:spacing w:val="1"/>
                <w:w w:val="99"/>
              </w:rPr>
              <w:t>（</w:t>
            </w:r>
            <w:r>
              <w:rPr>
                <w:spacing w:val="-1"/>
                <w:w w:val="151"/>
              </w:rPr>
              <w:t>H</w:t>
            </w:r>
            <w:r>
              <w:rPr>
                <w:w w:val="70"/>
              </w:rPr>
              <w:t>I</w:t>
            </w:r>
            <w:r>
              <w:rPr>
                <w:spacing w:val="1"/>
                <w:w w:val="134"/>
              </w:rPr>
              <w:t>V</w:t>
            </w:r>
            <w:r>
              <w:rPr>
                <w:spacing w:val="1"/>
                <w:w w:val="99"/>
              </w:rPr>
              <w:t>）</w:t>
            </w:r>
            <w:r>
              <w:rPr>
                <w:w w:val="99"/>
              </w:rPr>
              <w:t>感染</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2</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6">
            <w:r>
              <w:rPr/>
              <w:t>严重多发性硬化</w:t>
              <w:tab/>
            </w:r>
            <w:r>
              <w:rPr>
                <w:rFonts w:ascii="Times New Roman" w:eastAsia="Times New Roman"/>
              </w:rPr>
              <w:t>12</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5">
            <w:r>
              <w:rPr/>
              <w:t>严重类风湿性关节炎</w:t>
              <w:tab/>
            </w:r>
            <w:r>
              <w:rPr>
                <w:rFonts w:ascii="Times New Roman" w:eastAsia="Times New Roman"/>
              </w:rPr>
              <w:t>13</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4">
            <w:r>
              <w:rPr/>
              <w:t>慢性呼吸功能衰竭</w:t>
              <w:tab/>
            </w:r>
            <w:r>
              <w:rPr>
                <w:rFonts w:ascii="Times New Roman" w:eastAsia="Times New Roman"/>
              </w:rPr>
              <w:t>13</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13">
            <w:r>
              <w:rPr/>
              <w:t>肢体机能完全丧失</w:t>
              <w:tab/>
            </w:r>
            <w:r>
              <w:rPr>
                <w:rFonts w:ascii="Times New Roman" w:eastAsia="Times New Roman"/>
              </w:rPr>
              <w:t>13</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12">
            <w:r>
              <w:rPr/>
              <w:t>语言能力或咀嚼吞咽能力完全丧失</w:t>
              <w:tab/>
            </w:r>
            <w:r>
              <w:rPr>
                <w:rFonts w:ascii="Times New Roman" w:eastAsia="Times New Roman"/>
              </w:rPr>
              <w:t>13</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11">
            <w:r>
              <w:rPr/>
              <w:t>六项基本日常生活活动</w:t>
              <w:tab/>
            </w:r>
            <w:r>
              <w:rPr>
                <w:rFonts w:ascii="Times New Roman" w:eastAsia="Times New Roman"/>
              </w:rPr>
              <w:t>13</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10">
            <w:r>
              <w:rPr/>
              <w:t>永久不可逆</w:t>
              <w:tab/>
            </w:r>
            <w:r>
              <w:rPr>
                <w:rFonts w:ascii="Times New Roman" w:eastAsia="Times New Roman"/>
              </w:rPr>
              <w:t>13</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09">
            <w:r>
              <w:rPr/>
              <w:t>专科医生</w:t>
              <w:tab/>
            </w:r>
            <w:r>
              <w:rPr>
                <w:rFonts w:ascii="Times New Roman" w:eastAsia="Times New Roman"/>
              </w:rPr>
              <w:t>14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08">
            <w:r>
              <w:rPr/>
              <w:t>本条款约定确诊日</w:t>
              <w:tab/>
            </w:r>
            <w:r>
              <w:rPr>
                <w:rFonts w:ascii="Times New Roman" w:eastAsia="Times New Roman"/>
              </w:rPr>
              <w:t>14</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7">
            <w:r>
              <w:rPr/>
              <w:t>酒后驾驶</w:t>
              <w:tab/>
            </w:r>
            <w:r>
              <w:rPr>
                <w:rFonts w:ascii="Times New Roman" w:eastAsia="Times New Roman"/>
              </w:rPr>
              <w:t>14</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6">
            <w:r>
              <w:rPr/>
              <w:t>无合法有效驾驶证驾驶</w:t>
              <w:tab/>
            </w:r>
            <w:r>
              <w:rPr>
                <w:rFonts w:ascii="Times New Roman" w:eastAsia="Times New Roman"/>
              </w:rPr>
              <w:t>14</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5">
            <w:r>
              <w:rPr/>
              <w:t>无有效行驶证</w:t>
              <w:tab/>
            </w:r>
            <w:r>
              <w:rPr>
                <w:rFonts w:ascii="Times New Roman" w:eastAsia="Times New Roman"/>
              </w:rPr>
              <w:t>14</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4">
            <w:r>
              <w:rPr/>
              <w:t>机动车</w:t>
              <w:tab/>
            </w:r>
            <w:r>
              <w:rPr>
                <w:rFonts w:ascii="Times New Roman" w:eastAsia="Times New Roman"/>
              </w:rPr>
              <w:t>14</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3">
            <w:r>
              <w:rPr/>
              <w:t>感染艾滋病病毒或患艾滋病</w:t>
              <w:tab/>
            </w:r>
            <w:r>
              <w:rPr>
                <w:rFonts w:ascii="Times New Roman" w:eastAsia="Times New Roman"/>
              </w:rPr>
              <w:t>14</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2">
            <w:r>
              <w:rPr/>
              <w:t>遗传性疾病</w:t>
              <w:tab/>
            </w:r>
            <w:r>
              <w:rPr>
                <w:rFonts w:ascii="Times New Roman" w:eastAsia="Times New Roman"/>
              </w:rPr>
              <w:t>14</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1">
            <w:r>
              <w:rPr/>
              <w:t>先天性畸形、变形或染色体异常</w:t>
              <w:tab/>
            </w:r>
            <w:r>
              <w:rPr>
                <w:rFonts w:ascii="Times New Roman" w:eastAsia="Times New Roman"/>
              </w:rPr>
              <w:t>15</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0">
            <w:r>
              <w:rPr/>
              <w:t>银行转账交费</w:t>
              <w:tab/>
            </w:r>
            <w:r>
              <w:rPr>
                <w:rFonts w:ascii="Times New Roman" w:eastAsia="Times New Roman"/>
              </w:rPr>
              <w:t>15</w:t>
            </w:r>
          </w:hyperlink>
        </w:p>
      </w:sdtContent>
    </w:sdt>
    <w:p>
      <w:pPr>
        <w:spacing w:after="0" w:line="240" w:lineRule="auto"/>
        <w:jc w:val="left"/>
        <w:rPr>
          <w:rFonts w:ascii="Times New Roman" w:eastAsia="Times New Roman"/>
        </w:rPr>
        <w:sectPr>
          <w:type w:val="continuous"/>
          <w:pgSz w:w="11910" w:h="16840"/>
          <w:pgMar w:top="1380" w:bottom="1698" w:left="1680" w:right="1680"/>
        </w:sectPr>
      </w:pPr>
    </w:p>
    <w:p>
      <w:pPr>
        <w:spacing w:line="429" w:lineRule="exact" w:before="0"/>
        <w:ind w:left="1050" w:right="0" w:firstLine="0"/>
        <w:jc w:val="left"/>
        <w:rPr>
          <w:rFonts w:ascii="Microsoft JhengHei UI" w:eastAsia="Microsoft JhengHei UI" w:hint="eastAsia"/>
          <w:b/>
          <w:sz w:val="28"/>
        </w:rPr>
      </w:pPr>
      <w:bookmarkStart w:name="合同成立" w:id="1"/>
      <w:bookmarkEnd w:id="1"/>
      <w:r>
        <w:rPr/>
      </w:r>
      <w:bookmarkStart w:name="投保年龄" w:id="2"/>
      <w:bookmarkEnd w:id="2"/>
      <w:r>
        <w:rPr/>
      </w:r>
      <w:bookmarkStart w:name="合同生效" w:id="3"/>
      <w:bookmarkEnd w:id="3"/>
      <w:r>
        <w:rPr/>
      </w:r>
      <w:bookmarkStart w:name="投保日期回溯选择权" w:id="4"/>
      <w:bookmarkEnd w:id="4"/>
      <w:r>
        <w:rPr/>
      </w:r>
      <w:bookmarkStart w:name="保险责任" w:id="5"/>
      <w:bookmarkEnd w:id="5"/>
      <w:r>
        <w:rPr/>
      </w:r>
      <w:bookmarkStart w:name="保险责任的开始" w:id="6"/>
      <w:bookmarkEnd w:id="6"/>
      <w:r>
        <w:rPr/>
      </w:r>
      <w:bookmarkStart w:name="保险期间" w:id="7"/>
      <w:bookmarkEnd w:id="7"/>
      <w:r>
        <w:rPr/>
      </w:r>
      <w:r>
        <w:rPr>
          <w:rFonts w:ascii="Microsoft JhengHei UI" w:eastAsia="Microsoft JhengHei UI" w:hint="eastAsia"/>
          <w:b/>
          <w:sz w:val="28"/>
        </w:rPr>
        <w:t>中新大东方附加顺鸿终身提前给付重大疾病保险条款</w:t>
      </w:r>
    </w:p>
    <w:p>
      <w:pPr>
        <w:pStyle w:val="BodyText"/>
        <w:spacing w:line="273" w:lineRule="auto" w:before="130"/>
        <w:ind w:right="1311" w:firstLine="1260"/>
      </w:pPr>
      <w:r>
        <w:rPr>
          <w:w w:val="95"/>
        </w:rPr>
        <w:t>（中新大东方[2013]120 号 呈报中国保险监督管理委员会备案） </w:t>
      </w:r>
      <w:r>
        <w:rPr>
          <w:w w:val="99"/>
        </w:rPr>
        <w:t>在本条款中，“您”指投保人，“本公司”指中新大东方人寿保险有限公司。</w:t>
      </w:r>
    </w:p>
    <w:p>
      <w:pPr>
        <w:pStyle w:val="BodyText"/>
        <w:spacing w:line="273" w:lineRule="auto" w:before="8"/>
        <w:ind w:right="117"/>
      </w:pPr>
      <w:r>
        <w:rPr>
          <w:spacing w:val="-4"/>
        </w:rPr>
        <w:t>“中新大东方附加顺鸿终身提前给付重大疾病保险合同” 在以下条款中简称为 “本附加险</w:t>
      </w:r>
      <w:r>
        <w:rPr>
          <w:spacing w:val="-4"/>
          <w:w w:val="95"/>
        </w:rPr>
        <w:t>合同”。</w:t>
      </w:r>
    </w:p>
    <w:p>
      <w:pPr>
        <w:pStyle w:val="BodyText"/>
        <w:spacing w:before="2"/>
        <w:ind w:left="0"/>
      </w:pPr>
    </w:p>
    <w:p>
      <w:pPr>
        <w:pStyle w:val="Heading2"/>
        <w:numPr>
          <w:ilvl w:val="0"/>
          <w:numId w:val="4"/>
        </w:numPr>
        <w:tabs>
          <w:tab w:pos="550" w:val="left" w:leader="none"/>
          <w:tab w:pos="552" w:val="left" w:leader="none"/>
        </w:tabs>
        <w:spacing w:line="240" w:lineRule="auto" w:before="0" w:after="0"/>
        <w:ind w:left="551" w:right="0" w:hanging="431"/>
        <w:jc w:val="left"/>
      </w:pPr>
      <w:bookmarkStart w:name="_TOC_250075" w:id="8"/>
      <w:bookmarkEnd w:id="8"/>
      <w:r>
        <w:rPr>
          <w:w w:val="95"/>
        </w:rPr>
        <w:t>合同成立</w:t>
      </w:r>
    </w:p>
    <w:p>
      <w:pPr>
        <w:pStyle w:val="BodyText"/>
        <w:spacing w:before="12"/>
        <w:ind w:left="0"/>
        <w:rPr>
          <w:rFonts w:ascii="Microsoft JhengHei UI"/>
          <w:b/>
          <w:sz w:val="20"/>
        </w:rPr>
      </w:pPr>
    </w:p>
    <w:p>
      <w:pPr>
        <w:pStyle w:val="BodyText"/>
        <w:spacing w:line="273" w:lineRule="auto"/>
        <w:ind w:right="117"/>
      </w:pPr>
      <w:r>
        <w:rPr>
          <w:spacing w:val="-2"/>
        </w:rPr>
        <w:t>本附加险合同由主保险合同</w:t>
      </w:r>
      <w:r>
        <w:rPr/>
        <w:t>（</w:t>
      </w:r>
      <w:r>
        <w:rPr>
          <w:spacing w:val="-6"/>
        </w:rPr>
        <w:t>以下简称“主险合同”</w:t>
      </w:r>
      <w:r>
        <w:rPr>
          <w:spacing w:val="-19"/>
        </w:rPr>
        <w:t>）</w:t>
      </w:r>
      <w:r>
        <w:rPr>
          <w:spacing w:val="-3"/>
        </w:rPr>
        <w:t>投保人提出申请，经本公司同意而成</w:t>
      </w:r>
      <w:r>
        <w:rPr>
          <w:spacing w:val="-3"/>
          <w:w w:val="95"/>
        </w:rPr>
        <w:t>立。</w:t>
      </w:r>
    </w:p>
    <w:p>
      <w:pPr>
        <w:pStyle w:val="BodyText"/>
        <w:spacing w:before="7"/>
      </w:pPr>
      <w:r>
        <w:rPr>
          <w:w w:val="95"/>
        </w:rPr>
        <w:t>本附加险只可附加于“中新大东方顺鸿终身寿险(分红型)”。</w:t>
      </w:r>
    </w:p>
    <w:p>
      <w:pPr>
        <w:pStyle w:val="BodyText"/>
        <w:spacing w:before="6"/>
        <w:ind w:left="0"/>
        <w:rPr>
          <w:sz w:val="23"/>
        </w:rPr>
      </w:pPr>
    </w:p>
    <w:p>
      <w:pPr>
        <w:pStyle w:val="Heading2"/>
        <w:numPr>
          <w:ilvl w:val="0"/>
          <w:numId w:val="4"/>
        </w:numPr>
        <w:tabs>
          <w:tab w:pos="550" w:val="left" w:leader="none"/>
          <w:tab w:pos="552" w:val="left" w:leader="none"/>
        </w:tabs>
        <w:spacing w:line="240" w:lineRule="auto" w:before="1" w:after="0"/>
        <w:ind w:left="551" w:right="0" w:hanging="431"/>
        <w:jc w:val="left"/>
      </w:pPr>
      <w:bookmarkStart w:name="_TOC_250074" w:id="9"/>
      <w:bookmarkEnd w:id="9"/>
      <w:r>
        <w:rPr>
          <w:w w:val="95"/>
        </w:rPr>
        <w:t>投保年龄</w:t>
      </w:r>
    </w:p>
    <w:p>
      <w:pPr>
        <w:pStyle w:val="BodyText"/>
        <w:spacing w:before="9"/>
        <w:ind w:left="0"/>
        <w:rPr>
          <w:rFonts w:ascii="Microsoft JhengHei UI"/>
          <w:b/>
          <w:sz w:val="17"/>
        </w:rPr>
      </w:pPr>
    </w:p>
    <w:p>
      <w:pPr>
        <w:pStyle w:val="BodyText"/>
      </w:pPr>
      <w:r>
        <w:rPr>
          <w:spacing w:val="-1"/>
          <w:w w:val="99"/>
        </w:rPr>
        <w:t>投保年龄指您投保时被保险人的年龄，投保年龄以</w:t>
      </w:r>
      <w:r>
        <w:rPr>
          <w:rFonts w:ascii="Microsoft JhengHei UI" w:eastAsia="Microsoft JhengHei UI" w:hint="eastAsia"/>
          <w:b/>
          <w:spacing w:val="-48"/>
          <w:w w:val="99"/>
        </w:rPr>
        <w:t>周</w:t>
      </w:r>
      <w:r>
        <w:rPr>
          <w:spacing w:val="-267"/>
          <w:w w:val="99"/>
          <w:position w:val="1"/>
        </w:rPr>
        <w:t>岁</w:t>
      </w:r>
      <w:r>
        <w:rPr>
          <w:spacing w:val="-264"/>
          <w:w w:val="99"/>
        </w:rPr>
        <w:t>岁岁</w:t>
      </w:r>
      <w:r>
        <w:rPr>
          <w:spacing w:val="-51"/>
          <w:w w:val="99"/>
        </w:rPr>
        <w:t>岁</w:t>
      </w:r>
      <w:r>
        <w:rPr>
          <w:spacing w:val="0"/>
          <w:w w:val="58"/>
        </w:rPr>
        <w:t>(</w:t>
      </w:r>
      <w:r>
        <w:rPr>
          <w:w w:val="99"/>
        </w:rPr>
        <w:t>见释义</w:t>
      </w:r>
      <w:r>
        <w:rPr>
          <w:w w:val="93"/>
        </w:rPr>
        <w:t>11</w:t>
      </w:r>
      <w:r>
        <w:rPr>
          <w:spacing w:val="-1"/>
          <w:w w:val="43"/>
        </w:rPr>
        <w:t>.</w:t>
      </w:r>
      <w:r>
        <w:rPr>
          <w:w w:val="93"/>
        </w:rPr>
        <w:t>1</w:t>
      </w:r>
      <w:r>
        <w:rPr>
          <w:spacing w:val="0"/>
          <w:w w:val="58"/>
        </w:rPr>
        <w:t>)</w:t>
      </w:r>
      <w:r>
        <w:rPr>
          <w:w w:val="99"/>
        </w:rPr>
        <w:t>计算。</w:t>
      </w:r>
    </w:p>
    <w:p>
      <w:pPr>
        <w:pStyle w:val="BodyText"/>
        <w:spacing w:line="273" w:lineRule="auto" w:before="13"/>
        <w:ind w:right="115"/>
      </w:pPr>
      <w:r>
        <w:rPr>
          <w:spacing w:val="-1"/>
          <w:w w:val="95"/>
        </w:rPr>
        <w:t>本附加险合同接受的被保险人投保年龄范围为：</w:t>
      </w:r>
      <w:r>
        <w:rPr>
          <w:spacing w:val="-11"/>
          <w:w w:val="95"/>
        </w:rPr>
        <w:t>0</w:t>
      </w:r>
      <w:r>
        <w:rPr>
          <w:w w:val="95"/>
        </w:rPr>
        <w:t>周岁至60</w:t>
      </w:r>
      <w:r>
        <w:rPr>
          <w:spacing w:val="-7"/>
          <w:w w:val="95"/>
        </w:rPr>
        <w:t>周岁。投保时，被保险人为</w:t>
      </w:r>
      <w:r>
        <w:rPr>
          <w:w w:val="95"/>
        </w:rPr>
        <w:t>0周岁   的，应当为出生满30日且已健康出院的婴儿。</w:t>
      </w:r>
    </w:p>
    <w:p>
      <w:pPr>
        <w:pStyle w:val="BodyText"/>
        <w:spacing w:before="4"/>
        <w:ind w:left="0"/>
      </w:pPr>
    </w:p>
    <w:p>
      <w:pPr>
        <w:pStyle w:val="Heading2"/>
        <w:numPr>
          <w:ilvl w:val="0"/>
          <w:numId w:val="4"/>
        </w:numPr>
        <w:tabs>
          <w:tab w:pos="550" w:val="left" w:leader="none"/>
          <w:tab w:pos="552" w:val="left" w:leader="none"/>
        </w:tabs>
        <w:spacing w:line="240" w:lineRule="auto" w:before="0" w:after="0"/>
        <w:ind w:left="551" w:right="0" w:hanging="431"/>
        <w:jc w:val="left"/>
      </w:pPr>
      <w:bookmarkStart w:name="_TOC_250073" w:id="10"/>
      <w:bookmarkEnd w:id="10"/>
      <w:r>
        <w:rPr>
          <w:w w:val="95"/>
        </w:rPr>
        <w:t>合同生效</w:t>
      </w:r>
    </w:p>
    <w:p>
      <w:pPr>
        <w:pStyle w:val="BodyText"/>
        <w:spacing w:before="9"/>
        <w:ind w:left="0"/>
        <w:rPr>
          <w:rFonts w:ascii="Microsoft JhengHei UI"/>
          <w:b/>
          <w:sz w:val="20"/>
        </w:rPr>
      </w:pPr>
    </w:p>
    <w:p>
      <w:pPr>
        <w:pStyle w:val="BodyText"/>
        <w:spacing w:line="273" w:lineRule="auto"/>
        <w:ind w:right="119"/>
      </w:pPr>
      <w:r>
        <w:rPr>
          <w:spacing w:val="-9"/>
          <w:w w:val="95"/>
        </w:rPr>
        <w:t>除另有约定外，本附加合同须与主险合同同时投保，本附加合同的成立日及生效日与主险合   同相同，并在保险单上载明。</w:t>
      </w:r>
    </w:p>
    <w:p>
      <w:pPr>
        <w:pStyle w:val="BodyText"/>
        <w:spacing w:before="7"/>
      </w:pPr>
      <w:r>
        <w:rPr>
          <w:w w:val="95"/>
        </w:rPr>
        <w:t>保单年度、保单月度、保险费约定支付日均依据本附加合同的生效日为基础进行计算。</w:t>
      </w:r>
    </w:p>
    <w:p>
      <w:pPr>
        <w:pStyle w:val="BodyText"/>
        <w:spacing w:before="7"/>
        <w:ind w:left="0"/>
        <w:rPr>
          <w:sz w:val="23"/>
        </w:rPr>
      </w:pPr>
    </w:p>
    <w:p>
      <w:pPr>
        <w:pStyle w:val="Heading2"/>
        <w:numPr>
          <w:ilvl w:val="0"/>
          <w:numId w:val="4"/>
        </w:numPr>
        <w:tabs>
          <w:tab w:pos="550" w:val="left" w:leader="none"/>
          <w:tab w:pos="552" w:val="left" w:leader="none"/>
        </w:tabs>
        <w:spacing w:line="240" w:lineRule="auto" w:before="0" w:after="0"/>
        <w:ind w:left="551" w:right="0" w:hanging="431"/>
        <w:jc w:val="left"/>
      </w:pPr>
      <w:bookmarkStart w:name="_TOC_250072" w:id="11"/>
      <w:bookmarkEnd w:id="11"/>
      <w:r>
        <w:rPr>
          <w:w w:val="95"/>
        </w:rPr>
        <w:t>投保日期回溯选择权</w:t>
      </w:r>
    </w:p>
    <w:p>
      <w:pPr>
        <w:pStyle w:val="BodyText"/>
        <w:spacing w:before="12"/>
        <w:ind w:left="0"/>
        <w:rPr>
          <w:rFonts w:ascii="Microsoft JhengHei UI"/>
          <w:b/>
          <w:sz w:val="20"/>
        </w:rPr>
      </w:pPr>
    </w:p>
    <w:p>
      <w:pPr>
        <w:pStyle w:val="BodyText"/>
        <w:spacing w:line="273" w:lineRule="auto"/>
        <w:ind w:right="117"/>
      </w:pPr>
      <w:r>
        <w:rPr>
          <w:spacing w:val="-5"/>
        </w:rPr>
        <w:t>您可以选择将投保日期回溯到投保前的某一日期，本公司将根据此回溯日期对应的年龄计算</w:t>
      </w:r>
      <w:r>
        <w:rPr>
          <w:spacing w:val="-7"/>
        </w:rPr>
        <w:t>您应交纳的保险费。本附加险合同的生效条件和合同生效日仍遵循以上第 </w:t>
      </w:r>
      <w:r>
        <w:rPr/>
        <w:t>3</w:t>
      </w:r>
      <w:r>
        <w:rPr>
          <w:spacing w:val="-10"/>
        </w:rPr>
        <w:t> 条的规定。</w:t>
      </w:r>
    </w:p>
    <w:p>
      <w:pPr>
        <w:pStyle w:val="BodyText"/>
        <w:spacing w:before="1"/>
        <w:ind w:left="0"/>
      </w:pPr>
    </w:p>
    <w:p>
      <w:pPr>
        <w:pStyle w:val="Heading2"/>
        <w:numPr>
          <w:ilvl w:val="0"/>
          <w:numId w:val="4"/>
        </w:numPr>
        <w:tabs>
          <w:tab w:pos="550" w:val="left" w:leader="none"/>
          <w:tab w:pos="552" w:val="left" w:leader="none"/>
        </w:tabs>
        <w:spacing w:line="240" w:lineRule="auto" w:before="1" w:after="0"/>
        <w:ind w:left="551" w:right="0" w:hanging="431"/>
        <w:jc w:val="left"/>
      </w:pPr>
      <w:bookmarkStart w:name="_TOC_250071" w:id="12"/>
      <w:bookmarkEnd w:id="12"/>
      <w:r>
        <w:rPr>
          <w:w w:val="95"/>
        </w:rPr>
        <w:t>保险责任</w:t>
      </w:r>
    </w:p>
    <w:p>
      <w:pPr>
        <w:pStyle w:val="BodyText"/>
        <w:spacing w:before="11"/>
        <w:ind w:left="0"/>
        <w:rPr>
          <w:rFonts w:ascii="Microsoft JhengHei UI"/>
          <w:b/>
          <w:sz w:val="17"/>
        </w:rPr>
      </w:pPr>
    </w:p>
    <w:p>
      <w:pPr>
        <w:pStyle w:val="Heading2"/>
        <w:numPr>
          <w:ilvl w:val="1"/>
          <w:numId w:val="4"/>
        </w:numPr>
        <w:tabs>
          <w:tab w:pos="692" w:val="left" w:leader="none"/>
          <w:tab w:pos="693" w:val="left" w:leader="none"/>
        </w:tabs>
        <w:spacing w:line="240" w:lineRule="auto" w:before="1" w:after="0"/>
        <w:ind w:left="692" w:right="0" w:hanging="566"/>
        <w:jc w:val="left"/>
      </w:pPr>
      <w:bookmarkStart w:name="_TOC_250070" w:id="13"/>
      <w:bookmarkEnd w:id="13"/>
      <w:r>
        <w:rPr>
          <w:w w:val="95"/>
        </w:rPr>
        <w:t>保险责任的开始</w:t>
      </w:r>
    </w:p>
    <w:p>
      <w:pPr>
        <w:pStyle w:val="BodyText"/>
        <w:spacing w:before="6"/>
        <w:ind w:left="0"/>
        <w:rPr>
          <w:rFonts w:ascii="Microsoft JhengHei UI"/>
          <w:b/>
          <w:sz w:val="16"/>
        </w:rPr>
      </w:pPr>
    </w:p>
    <w:p>
      <w:pPr>
        <w:pStyle w:val="BodyText"/>
      </w:pPr>
      <w:r>
        <w:rPr>
          <w:w w:val="95"/>
        </w:rPr>
        <w:t>本公司承担的保险责任自本附加险合同约定的等待期后开始。</w:t>
      </w:r>
    </w:p>
    <w:p>
      <w:pPr>
        <w:pStyle w:val="BodyText"/>
        <w:spacing w:before="3"/>
        <w:ind w:left="0"/>
        <w:rPr>
          <w:sz w:val="26"/>
        </w:rPr>
      </w:pPr>
    </w:p>
    <w:p>
      <w:pPr>
        <w:pStyle w:val="BodyText"/>
        <w:spacing w:line="312" w:lineRule="exact" w:before="1"/>
        <w:ind w:right="109"/>
        <w:jc w:val="both"/>
      </w:pPr>
      <w:r>
        <w:rPr>
          <w:spacing w:val="-10"/>
          <w:w w:val="99"/>
        </w:rPr>
        <w:t>等待期：从本附加险合同生效</w:t>
      </w:r>
      <w:r>
        <w:rPr>
          <w:w w:val="99"/>
        </w:rPr>
        <w:t>（或最后复效</w:t>
      </w:r>
      <w:r>
        <w:rPr>
          <w:spacing w:val="-53"/>
          <w:w w:val="99"/>
        </w:rPr>
        <w:t>）</w:t>
      </w:r>
      <w:r>
        <w:rPr>
          <w:w w:val="99"/>
        </w:rPr>
        <w:t>之日起</w:t>
      </w:r>
      <w:r>
        <w:rPr/>
        <w:t> </w:t>
      </w:r>
      <w:r>
        <w:rPr>
          <w:w w:val="93"/>
        </w:rPr>
        <w:t>90</w:t>
      </w:r>
      <w:r>
        <w:rPr>
          <w:spacing w:val="-52"/>
        </w:rPr>
        <w:t> </w:t>
      </w:r>
      <w:r>
        <w:rPr>
          <w:spacing w:val="-10"/>
          <w:w w:val="99"/>
        </w:rPr>
        <w:t>日内，被保险人经</w:t>
      </w:r>
      <w:r>
        <w:rPr>
          <w:rFonts w:ascii="Microsoft JhengHei UI" w:eastAsia="Microsoft JhengHei UI" w:hint="eastAsia"/>
          <w:b/>
          <w:spacing w:val="-48"/>
          <w:w w:val="99"/>
        </w:rPr>
        <w:t>医</w:t>
      </w:r>
      <w:r>
        <w:rPr>
          <w:spacing w:val="-267"/>
          <w:w w:val="99"/>
          <w:position w:val="1"/>
        </w:rPr>
        <w:t>院</w:t>
      </w:r>
      <w:r>
        <w:rPr>
          <w:spacing w:val="-214"/>
          <w:w w:val="99"/>
        </w:rPr>
        <w:t>院院院</w:t>
      </w:r>
      <w:r>
        <w:rPr>
          <w:spacing w:val="-44"/>
          <w:w w:val="99"/>
        </w:rPr>
        <w:t>（</w:t>
      </w:r>
      <w:r>
        <w:rPr>
          <w:w w:val="99"/>
        </w:rPr>
        <w:t>见释义</w:t>
      </w:r>
      <w:r>
        <w:rPr/>
        <w:t> </w:t>
      </w:r>
      <w:r>
        <w:rPr>
          <w:w w:val="93"/>
        </w:rPr>
        <w:t>11</w:t>
      </w:r>
      <w:r>
        <w:rPr>
          <w:spacing w:val="-1"/>
          <w:w w:val="43"/>
        </w:rPr>
        <w:t>.</w:t>
      </w:r>
      <w:r>
        <w:rPr>
          <w:w w:val="93"/>
        </w:rPr>
        <w:t>2</w:t>
      </w:r>
      <w:r>
        <w:rPr>
          <w:w w:val="49"/>
        </w:rPr>
        <w:t>）</w:t>
      </w:r>
      <w:r>
        <w:rPr>
          <w:spacing w:val="3"/>
          <w:w w:val="99"/>
        </w:rPr>
        <w:t>诊断初次发生本附加险合同所界定的</w:t>
      </w:r>
      <w:r>
        <w:rPr>
          <w:rFonts w:ascii="Microsoft JhengHei UI" w:eastAsia="Microsoft JhengHei UI" w:hint="eastAsia"/>
          <w:b/>
          <w:spacing w:val="-48"/>
          <w:w w:val="78"/>
        </w:rPr>
        <w:t>3</w:t>
      </w:r>
      <w:r>
        <w:rPr>
          <w:spacing w:val="-156"/>
          <w:w w:val="93"/>
          <w:position w:val="1"/>
        </w:rPr>
        <w:t>0</w:t>
      </w:r>
      <w:r>
        <w:rPr>
          <w:spacing w:val="-152"/>
          <w:w w:val="93"/>
        </w:rPr>
        <w:t>0</w:t>
      </w:r>
      <w:r>
        <w:rPr>
          <w:spacing w:val="-154"/>
          <w:w w:val="93"/>
        </w:rPr>
        <w:t>0</w:t>
      </w:r>
      <w:r>
        <w:rPr>
          <w:spacing w:val="-11"/>
          <w:w w:val="93"/>
        </w:rPr>
        <w:t>0</w:t>
      </w:r>
      <w:r>
        <w:rPr>
          <w:spacing w:val="-267"/>
          <w:w w:val="99"/>
          <w:position w:val="1"/>
        </w:rPr>
        <w:t>种</w:t>
      </w:r>
      <w:r>
        <w:rPr>
          <w:spacing w:val="-264"/>
          <w:w w:val="99"/>
        </w:rPr>
        <w:t>种种</w:t>
      </w:r>
      <w:r>
        <w:rPr>
          <w:spacing w:val="-62"/>
          <w:w w:val="99"/>
        </w:rPr>
        <w:t>种</w:t>
      </w:r>
      <w:r>
        <w:rPr>
          <w:spacing w:val="-267"/>
          <w:w w:val="99"/>
          <w:position w:val="1"/>
        </w:rPr>
        <w:t>重</w:t>
      </w:r>
      <w:r>
        <w:rPr>
          <w:spacing w:val="-264"/>
          <w:w w:val="99"/>
        </w:rPr>
        <w:t>重重</w:t>
      </w:r>
      <w:r>
        <w:rPr>
          <w:spacing w:val="-62"/>
          <w:w w:val="99"/>
        </w:rPr>
        <w:t>重</w:t>
      </w:r>
      <w:r>
        <w:rPr>
          <w:spacing w:val="-267"/>
          <w:w w:val="99"/>
          <w:position w:val="1"/>
        </w:rPr>
        <w:t>大</w:t>
      </w:r>
      <w:r>
        <w:rPr>
          <w:spacing w:val="-264"/>
          <w:w w:val="99"/>
        </w:rPr>
        <w:t>大大</w:t>
      </w:r>
      <w:r>
        <w:rPr>
          <w:spacing w:val="-62"/>
          <w:w w:val="99"/>
        </w:rPr>
        <w:t>大</w:t>
      </w:r>
      <w:r>
        <w:rPr>
          <w:spacing w:val="-267"/>
          <w:w w:val="99"/>
          <w:position w:val="1"/>
        </w:rPr>
        <w:t>疾</w:t>
      </w:r>
      <w:r>
        <w:rPr>
          <w:spacing w:val="-264"/>
          <w:w w:val="99"/>
        </w:rPr>
        <w:t>疾疾</w:t>
      </w:r>
      <w:r>
        <w:rPr>
          <w:spacing w:val="-62"/>
          <w:w w:val="99"/>
        </w:rPr>
        <w:t>疾</w:t>
      </w:r>
      <w:r>
        <w:rPr>
          <w:spacing w:val="-267"/>
          <w:w w:val="99"/>
          <w:position w:val="1"/>
        </w:rPr>
        <w:t>病</w:t>
      </w:r>
      <w:r>
        <w:rPr>
          <w:spacing w:val="-264"/>
          <w:w w:val="99"/>
        </w:rPr>
        <w:t>病病</w:t>
      </w:r>
      <w:r>
        <w:rPr>
          <w:spacing w:val="-55"/>
          <w:w w:val="99"/>
        </w:rPr>
        <w:t>病</w:t>
      </w:r>
      <w:r>
        <w:rPr>
          <w:spacing w:val="-42"/>
          <w:w w:val="99"/>
        </w:rPr>
        <w:t>（</w:t>
      </w:r>
      <w:r>
        <w:rPr>
          <w:w w:val="99"/>
        </w:rPr>
        <w:t>见释义</w:t>
      </w:r>
      <w:r>
        <w:rPr/>
        <w:t> </w:t>
      </w:r>
      <w:r>
        <w:rPr>
          <w:w w:val="93"/>
        </w:rPr>
        <w:t>11</w:t>
      </w:r>
      <w:r>
        <w:rPr>
          <w:spacing w:val="-1"/>
          <w:w w:val="43"/>
        </w:rPr>
        <w:t>.</w:t>
      </w:r>
      <w:r>
        <w:rPr>
          <w:spacing w:val="-12"/>
          <w:w w:val="93"/>
        </w:rPr>
        <w:t>3</w:t>
      </w:r>
      <w:r>
        <w:rPr>
          <w:spacing w:val="-42"/>
          <w:w w:val="99"/>
        </w:rPr>
        <w:t>）</w:t>
      </w:r>
      <w:r>
        <w:rPr>
          <w:w w:val="99"/>
        </w:rPr>
        <w:t>中的任何一种，本公司</w:t>
      </w:r>
      <w:r>
        <w:rPr>
          <w:spacing w:val="1"/>
          <w:w w:val="99"/>
        </w:rPr>
        <w:t>    </w:t>
      </w:r>
      <w:r>
        <w:rPr>
          <w:spacing w:val="-2"/>
        </w:rPr>
        <w:t>不承担保险责任，本公司退还本附加险合同的现金价值，本附加险合同终止，这 </w:t>
      </w:r>
      <w:r>
        <w:rPr/>
        <w:t>90</w:t>
      </w:r>
      <w:r>
        <w:rPr>
          <w:spacing w:val="-16"/>
        </w:rPr>
        <w:t> 日为等</w:t>
      </w:r>
      <w:r>
        <w:rPr>
          <w:spacing w:val="-16"/>
          <w:w w:val="95"/>
        </w:rPr>
        <w:t>待期。</w:t>
      </w:r>
    </w:p>
    <w:p>
      <w:pPr>
        <w:pStyle w:val="Heading2"/>
        <w:numPr>
          <w:ilvl w:val="1"/>
          <w:numId w:val="4"/>
        </w:numPr>
        <w:tabs>
          <w:tab w:pos="692" w:val="left" w:leader="none"/>
          <w:tab w:pos="693" w:val="left" w:leader="none"/>
        </w:tabs>
        <w:spacing w:line="240" w:lineRule="auto" w:before="213" w:after="0"/>
        <w:ind w:left="692" w:right="0" w:hanging="566"/>
        <w:jc w:val="left"/>
      </w:pPr>
      <w:bookmarkStart w:name="_TOC_250069" w:id="14"/>
      <w:bookmarkEnd w:id="14"/>
      <w:r>
        <w:rPr>
          <w:w w:val="95"/>
        </w:rPr>
        <w:t>保险期间</w:t>
      </w:r>
    </w:p>
    <w:p>
      <w:pPr>
        <w:pStyle w:val="BodyText"/>
        <w:spacing w:before="8"/>
        <w:ind w:left="0"/>
        <w:rPr>
          <w:rFonts w:ascii="Microsoft JhengHei UI"/>
          <w:b/>
          <w:sz w:val="16"/>
        </w:rPr>
      </w:pPr>
    </w:p>
    <w:p>
      <w:pPr>
        <w:pStyle w:val="BodyText"/>
      </w:pPr>
      <w:r>
        <w:rPr>
          <w:w w:val="95"/>
        </w:rPr>
        <w:t>本附加险合同的保险期间为终身，自本附加险合同生效日零时起至被保险人身故时止。</w:t>
      </w:r>
    </w:p>
    <w:p>
      <w:pPr>
        <w:spacing w:after="0"/>
        <w:sectPr>
          <w:pgSz w:w="11910" w:h="16840"/>
          <w:pgMar w:header="0" w:footer="1090" w:top="1460" w:bottom="1280" w:left="1680" w:right="1680"/>
        </w:sectPr>
      </w:pPr>
    </w:p>
    <w:p>
      <w:pPr>
        <w:pStyle w:val="Heading2"/>
        <w:numPr>
          <w:ilvl w:val="1"/>
          <w:numId w:val="4"/>
        </w:numPr>
        <w:tabs>
          <w:tab w:pos="692" w:val="left" w:leader="none"/>
          <w:tab w:pos="693" w:val="left" w:leader="none"/>
        </w:tabs>
        <w:spacing w:line="240" w:lineRule="auto" w:before="5" w:after="0"/>
        <w:ind w:left="692" w:right="0" w:hanging="566"/>
        <w:jc w:val="left"/>
      </w:pPr>
      <w:bookmarkStart w:name="_TOC_250068" w:id="15"/>
      <w:bookmarkStart w:name="本公司承担的保险责任" w:id="16"/>
      <w:r>
        <w:rPr>
          <w:b w:val="0"/>
        </w:rPr>
      </w:r>
      <w:bookmarkStart w:name="责任免除" w:id="17"/>
      <w:bookmarkEnd w:id="17"/>
      <w:r>
        <w:rPr>
          <w:b w:val="0"/>
        </w:rPr>
      </w:r>
      <w:bookmarkStart w:name="保险费" w:id="18"/>
      <w:bookmarkEnd w:id="18"/>
      <w:r>
        <w:rPr>
          <w:b w:val="0"/>
        </w:rPr>
      </w:r>
      <w:bookmarkStart w:name="保险费支付" w:id="19"/>
      <w:bookmarkEnd w:id="19"/>
      <w:r>
        <w:rPr>
          <w:b w:val="0"/>
        </w:rPr>
      </w:r>
      <w:bookmarkStart w:name="保险费率调整" w:id="20"/>
      <w:bookmarkEnd w:id="20"/>
      <w:r>
        <w:rPr>
          <w:b w:val="0"/>
        </w:rPr>
      </w:r>
      <w:bookmarkStart w:name="保险费率调整" w:id="21"/>
      <w:bookmarkEnd w:id="15"/>
      <w:r>
        <w:rPr>
          <w:w w:val="95"/>
        </w:rPr>
        <w:t>本公司承担的保险责任</w:t>
      </w:r>
    </w:p>
    <w:p>
      <w:pPr>
        <w:pStyle w:val="BodyText"/>
        <w:spacing w:before="6"/>
        <w:ind w:left="0"/>
        <w:rPr>
          <w:rFonts w:ascii="Microsoft JhengHei UI"/>
          <w:b/>
          <w:sz w:val="16"/>
        </w:rPr>
      </w:pPr>
    </w:p>
    <w:p>
      <w:pPr>
        <w:pStyle w:val="BodyText"/>
        <w:spacing w:line="249" w:lineRule="auto"/>
        <w:ind w:right="110"/>
        <w:jc w:val="both"/>
      </w:pPr>
      <w:r>
        <w:rPr>
          <w:spacing w:val="-5"/>
        </w:rPr>
        <w:t>在等待期后本附加险合同的责任有效期内：被保险人经医院确诊初次发生本附加险合同所界</w:t>
      </w:r>
      <w:r>
        <w:rPr>
          <w:w w:val="99"/>
        </w:rPr>
        <w:t>定的</w:t>
      </w:r>
      <w:r>
        <w:rPr/>
        <w:t> </w:t>
      </w:r>
      <w:r>
        <w:rPr>
          <w:w w:val="93"/>
        </w:rPr>
        <w:t>30</w:t>
      </w:r>
      <w:r>
        <w:rPr/>
        <w:t> </w:t>
      </w:r>
      <w:r>
        <w:rPr>
          <w:w w:val="99"/>
        </w:rPr>
        <w:t>种重大疾病中的任何一种，从</w:t>
      </w:r>
      <w:r>
        <w:rPr>
          <w:rFonts w:ascii="Microsoft JhengHei UI" w:eastAsia="Microsoft JhengHei UI" w:hint="eastAsia"/>
          <w:b/>
          <w:spacing w:val="-48"/>
          <w:w w:val="99"/>
        </w:rPr>
        <w:t>本</w:t>
      </w:r>
      <w:r>
        <w:rPr>
          <w:spacing w:val="-267"/>
          <w:w w:val="99"/>
          <w:position w:val="1"/>
        </w:rPr>
        <w:t>条</w:t>
      </w:r>
      <w:r>
        <w:rPr>
          <w:spacing w:val="-264"/>
          <w:w w:val="99"/>
        </w:rPr>
        <w:t>条条</w:t>
      </w:r>
      <w:r>
        <w:rPr>
          <w:spacing w:val="-62"/>
          <w:w w:val="99"/>
        </w:rPr>
        <w:t>条</w:t>
      </w:r>
      <w:r>
        <w:rPr>
          <w:spacing w:val="-267"/>
          <w:w w:val="99"/>
          <w:position w:val="1"/>
        </w:rPr>
        <w:t>款</w:t>
      </w:r>
      <w:r>
        <w:rPr>
          <w:spacing w:val="-264"/>
          <w:w w:val="99"/>
        </w:rPr>
        <w:t>款款</w:t>
      </w:r>
      <w:r>
        <w:rPr>
          <w:spacing w:val="-62"/>
          <w:w w:val="99"/>
        </w:rPr>
        <w:t>款</w:t>
      </w:r>
      <w:r>
        <w:rPr>
          <w:spacing w:val="-267"/>
          <w:w w:val="99"/>
          <w:position w:val="1"/>
        </w:rPr>
        <w:t>约</w:t>
      </w:r>
      <w:r>
        <w:rPr>
          <w:spacing w:val="-264"/>
          <w:w w:val="99"/>
        </w:rPr>
        <w:t>约约</w:t>
      </w:r>
      <w:r>
        <w:rPr>
          <w:spacing w:val="-165"/>
          <w:w w:val="99"/>
        </w:rPr>
        <w:t>约定</w:t>
      </w:r>
      <w:r>
        <w:rPr>
          <w:spacing w:val="-263"/>
          <w:w w:val="99"/>
          <w:position w:val="1"/>
        </w:rPr>
        <w:t>定</w:t>
      </w:r>
      <w:r>
        <w:rPr>
          <w:spacing w:val="-164"/>
          <w:w w:val="99"/>
        </w:rPr>
        <w:t>定定</w:t>
      </w:r>
      <w:r>
        <w:rPr>
          <w:spacing w:val="-267"/>
          <w:w w:val="99"/>
          <w:position w:val="1"/>
        </w:rPr>
        <w:t>确</w:t>
      </w:r>
      <w:r>
        <w:rPr>
          <w:spacing w:val="-264"/>
          <w:w w:val="99"/>
        </w:rPr>
        <w:t>确确</w:t>
      </w:r>
      <w:r>
        <w:rPr>
          <w:spacing w:val="-62"/>
          <w:w w:val="99"/>
        </w:rPr>
        <w:t>确</w:t>
      </w:r>
      <w:r>
        <w:rPr>
          <w:spacing w:val="-267"/>
          <w:w w:val="99"/>
          <w:position w:val="1"/>
        </w:rPr>
        <w:t>诊</w:t>
      </w:r>
      <w:r>
        <w:rPr>
          <w:spacing w:val="-264"/>
          <w:w w:val="99"/>
        </w:rPr>
        <w:t>诊诊</w:t>
      </w:r>
      <w:r>
        <w:rPr>
          <w:spacing w:val="-62"/>
          <w:w w:val="99"/>
        </w:rPr>
        <w:t>诊</w:t>
      </w:r>
      <w:r>
        <w:rPr>
          <w:spacing w:val="-267"/>
          <w:w w:val="99"/>
          <w:position w:val="1"/>
        </w:rPr>
        <w:t>日</w:t>
      </w:r>
      <w:r>
        <w:rPr>
          <w:spacing w:val="-264"/>
          <w:w w:val="99"/>
        </w:rPr>
        <w:t>日日</w:t>
      </w:r>
      <w:r>
        <w:rPr>
          <w:spacing w:val="-39"/>
          <w:w w:val="99"/>
        </w:rPr>
        <w:t>日</w:t>
      </w:r>
      <w:r>
        <w:rPr>
          <w:spacing w:val="1"/>
          <w:w w:val="99"/>
        </w:rPr>
        <w:t>（</w:t>
      </w:r>
      <w:r>
        <w:rPr>
          <w:spacing w:val="0"/>
          <w:w w:val="99"/>
        </w:rPr>
        <w:t>见释义</w:t>
      </w:r>
      <w:r>
        <w:rPr>
          <w:spacing w:val="-50"/>
        </w:rPr>
        <w:t> </w:t>
      </w:r>
      <w:r>
        <w:rPr>
          <w:w w:val="93"/>
        </w:rPr>
        <w:t>11</w:t>
      </w:r>
      <w:r>
        <w:rPr>
          <w:spacing w:val="-1"/>
          <w:w w:val="43"/>
        </w:rPr>
        <w:t>.</w:t>
      </w:r>
      <w:r>
        <w:rPr>
          <w:spacing w:val="1"/>
          <w:w w:val="93"/>
        </w:rPr>
        <w:t>9</w:t>
      </w:r>
      <w:r>
        <w:rPr>
          <w:spacing w:val="1"/>
          <w:w w:val="99"/>
        </w:rPr>
        <w:t>）</w:t>
      </w:r>
      <w:r>
        <w:rPr>
          <w:spacing w:val="0"/>
          <w:w w:val="99"/>
        </w:rPr>
        <w:t>起本公司将本附加   险</w:t>
      </w:r>
      <w:r>
        <w:rPr>
          <w:spacing w:val="-3"/>
        </w:rPr>
        <w:t>合同所附主险合同身故保险金作为重大疾病保险金提前一次性给付予被保险人，本附加险合</w:t>
      </w:r>
      <w:r>
        <w:rPr>
          <w:spacing w:val="-3"/>
          <w:w w:val="95"/>
        </w:rPr>
        <w:t>同与所附主险合同终止。</w:t>
      </w:r>
    </w:p>
    <w:p>
      <w:pPr>
        <w:pStyle w:val="BodyText"/>
        <w:spacing w:before="1"/>
        <w:ind w:left="0"/>
        <w:rPr>
          <w:sz w:val="18"/>
        </w:rPr>
      </w:pPr>
    </w:p>
    <w:p>
      <w:pPr>
        <w:pStyle w:val="Heading2"/>
        <w:numPr>
          <w:ilvl w:val="1"/>
          <w:numId w:val="4"/>
        </w:numPr>
        <w:tabs>
          <w:tab w:pos="692" w:val="left" w:leader="none"/>
          <w:tab w:pos="693" w:val="left" w:leader="none"/>
        </w:tabs>
        <w:spacing w:line="240" w:lineRule="auto" w:before="0" w:after="0"/>
        <w:ind w:left="692" w:right="0" w:hanging="566"/>
        <w:jc w:val="left"/>
      </w:pPr>
      <w:bookmarkStart w:name="_TOC_250067" w:id="22"/>
      <w:bookmarkEnd w:id="22"/>
      <w:r>
        <w:rPr>
          <w:w w:val="95"/>
        </w:rPr>
        <w:t>责任免除</w:t>
      </w:r>
    </w:p>
    <w:p>
      <w:pPr>
        <w:pStyle w:val="BodyText"/>
        <w:spacing w:before="15"/>
        <w:ind w:left="0"/>
        <w:rPr>
          <w:rFonts w:ascii="Microsoft JhengHei UI"/>
          <w:b/>
          <w:sz w:val="15"/>
        </w:rPr>
      </w:pPr>
    </w:p>
    <w:p>
      <w:pPr>
        <w:pStyle w:val="BodyText"/>
        <w:ind w:right="119"/>
      </w:pPr>
      <w:r>
        <w:rPr>
          <w:w w:val="95"/>
        </w:rPr>
        <w:t>因下列情形之一导致被保险人发Th</w:t>
      </w:r>
      <w:r>
        <w:rPr>
          <w:spacing w:val="-6"/>
          <w:w w:val="95"/>
        </w:rPr>
        <w:t>本附加险合同所界定的重大疾病的，本公司不承担给付保   险金的责任：</w:t>
      </w:r>
    </w:p>
    <w:p>
      <w:pPr>
        <w:pStyle w:val="ListParagraph"/>
        <w:numPr>
          <w:ilvl w:val="0"/>
          <w:numId w:val="5"/>
        </w:numPr>
        <w:tabs>
          <w:tab w:pos="539" w:val="left" w:leader="none"/>
          <w:tab w:pos="540" w:val="left" w:leader="none"/>
        </w:tabs>
        <w:spacing w:line="240" w:lineRule="auto" w:before="15" w:after="0"/>
        <w:ind w:left="533" w:right="0" w:hanging="413"/>
        <w:jc w:val="left"/>
        <w:rPr>
          <w:sz w:val="21"/>
        </w:rPr>
      </w:pPr>
      <w:r>
        <w:rPr>
          <w:w w:val="95"/>
          <w:sz w:val="21"/>
        </w:rPr>
        <w:t>投保人对被保险人的故意杀害、故意伤害；</w:t>
      </w:r>
    </w:p>
    <w:p>
      <w:pPr>
        <w:pStyle w:val="ListParagraph"/>
        <w:numPr>
          <w:ilvl w:val="0"/>
          <w:numId w:val="5"/>
        </w:numPr>
        <w:tabs>
          <w:tab w:pos="539" w:val="left" w:leader="none"/>
          <w:tab w:pos="540" w:val="left" w:leader="none"/>
        </w:tabs>
        <w:spacing w:line="240" w:lineRule="auto" w:before="39" w:after="0"/>
        <w:ind w:left="533" w:right="0" w:hanging="413"/>
        <w:jc w:val="left"/>
        <w:rPr>
          <w:sz w:val="21"/>
        </w:rPr>
      </w:pPr>
      <w:r>
        <w:rPr>
          <w:w w:val="95"/>
          <w:sz w:val="21"/>
        </w:rPr>
        <w:t>被保险人故意犯罪或抗拒依法采取的刑事强制措施；</w:t>
      </w:r>
    </w:p>
    <w:p>
      <w:pPr>
        <w:pStyle w:val="ListParagraph"/>
        <w:numPr>
          <w:ilvl w:val="0"/>
          <w:numId w:val="5"/>
        </w:numPr>
        <w:tabs>
          <w:tab w:pos="539" w:val="left" w:leader="none"/>
          <w:tab w:pos="540" w:val="left" w:leader="none"/>
        </w:tabs>
        <w:spacing w:line="260" w:lineRule="exact" w:before="36" w:after="0"/>
        <w:ind w:left="533" w:right="0" w:hanging="413"/>
        <w:jc w:val="left"/>
        <w:rPr>
          <w:sz w:val="21"/>
        </w:rPr>
      </w:pPr>
      <w:r>
        <w:rPr>
          <w:w w:val="95"/>
          <w:sz w:val="21"/>
        </w:rPr>
        <w:t>被保险人服用、吸食或注射毒品；</w:t>
      </w:r>
    </w:p>
    <w:p>
      <w:pPr>
        <w:pStyle w:val="ListParagraph"/>
        <w:numPr>
          <w:ilvl w:val="0"/>
          <w:numId w:val="5"/>
        </w:numPr>
        <w:tabs>
          <w:tab w:pos="539" w:val="left" w:leader="none"/>
          <w:tab w:pos="540" w:val="left" w:leader="none"/>
        </w:tabs>
        <w:spacing w:line="204" w:lineRule="auto" w:before="39" w:after="0"/>
        <w:ind w:left="533" w:right="178" w:hanging="413"/>
        <w:jc w:val="left"/>
        <w:rPr>
          <w:sz w:val="21"/>
        </w:rPr>
      </w:pPr>
      <w:r>
        <w:rPr>
          <w:spacing w:val="-2"/>
          <w:w w:val="95"/>
          <w:sz w:val="21"/>
        </w:rPr>
        <w:t>被保险人</w:t>
      </w:r>
      <w:r>
        <w:rPr>
          <w:rFonts w:ascii="Microsoft JhengHei" w:eastAsia="Microsoft JhengHei" w:hint="eastAsia"/>
          <w:b/>
          <w:spacing w:val="-43"/>
          <w:w w:val="95"/>
          <w:sz w:val="21"/>
        </w:rPr>
        <w:t>酒</w:t>
      </w:r>
      <w:r>
        <w:rPr>
          <w:spacing w:val="-105"/>
          <w:w w:val="95"/>
          <w:position w:val="1"/>
          <w:sz w:val="21"/>
        </w:rPr>
        <w:t>后驾</w:t>
      </w:r>
      <w:r>
        <w:rPr>
          <w:spacing w:val="-79"/>
          <w:w w:val="95"/>
          <w:sz w:val="21"/>
        </w:rPr>
        <w:t>后驾后驾后驾</w:t>
      </w:r>
      <w:r>
        <w:rPr>
          <w:spacing w:val="-209"/>
          <w:w w:val="95"/>
          <w:position w:val="1"/>
          <w:sz w:val="21"/>
        </w:rPr>
        <w:t>驶</w:t>
      </w:r>
      <w:r>
        <w:rPr>
          <w:spacing w:val="-209"/>
          <w:w w:val="95"/>
          <w:sz w:val="21"/>
        </w:rPr>
        <w:t>驶驶</w:t>
      </w:r>
      <w:r>
        <w:rPr>
          <w:spacing w:val="-10"/>
          <w:w w:val="95"/>
          <w:sz w:val="21"/>
        </w:rPr>
        <w:t>驶(见释义</w:t>
      </w:r>
      <w:r>
        <w:rPr>
          <w:w w:val="95"/>
          <w:sz w:val="21"/>
        </w:rPr>
        <w:t>11.10</w:t>
      </w:r>
      <w:r>
        <w:rPr>
          <w:spacing w:val="-2"/>
          <w:w w:val="95"/>
          <w:sz w:val="21"/>
        </w:rPr>
        <w:t>)、</w:t>
      </w:r>
      <w:r>
        <w:rPr>
          <w:spacing w:val="-209"/>
          <w:w w:val="95"/>
          <w:position w:val="1"/>
          <w:sz w:val="21"/>
        </w:rPr>
        <w:t>无</w:t>
      </w:r>
      <w:r>
        <w:rPr>
          <w:spacing w:val="-209"/>
          <w:w w:val="95"/>
          <w:sz w:val="21"/>
        </w:rPr>
        <w:t>无无</w:t>
      </w:r>
      <w:r>
        <w:rPr>
          <w:spacing w:val="-49"/>
          <w:w w:val="95"/>
          <w:sz w:val="21"/>
        </w:rPr>
        <w:t>无</w:t>
      </w:r>
      <w:r>
        <w:rPr>
          <w:spacing w:val="-105"/>
          <w:w w:val="95"/>
          <w:position w:val="1"/>
          <w:sz w:val="21"/>
        </w:rPr>
        <w:t>合法</w:t>
      </w:r>
      <w:r>
        <w:rPr>
          <w:spacing w:val="-79"/>
          <w:w w:val="95"/>
          <w:sz w:val="21"/>
        </w:rPr>
        <w:t>合法合法合法</w:t>
      </w:r>
      <w:r>
        <w:rPr>
          <w:spacing w:val="-105"/>
          <w:w w:val="95"/>
          <w:position w:val="1"/>
          <w:sz w:val="21"/>
        </w:rPr>
        <w:t>有效</w:t>
      </w:r>
      <w:r>
        <w:rPr>
          <w:spacing w:val="-79"/>
          <w:w w:val="95"/>
          <w:sz w:val="21"/>
        </w:rPr>
        <w:t>有效有效有效</w:t>
      </w:r>
      <w:r>
        <w:rPr>
          <w:spacing w:val="-105"/>
          <w:w w:val="95"/>
          <w:position w:val="1"/>
          <w:sz w:val="21"/>
        </w:rPr>
        <w:t>驾驶</w:t>
      </w:r>
      <w:r>
        <w:rPr>
          <w:spacing w:val="-79"/>
          <w:w w:val="95"/>
          <w:sz w:val="21"/>
        </w:rPr>
        <w:t>驾驶驾驶驾驶</w:t>
      </w:r>
      <w:r>
        <w:rPr>
          <w:spacing w:val="-105"/>
          <w:w w:val="95"/>
          <w:position w:val="1"/>
          <w:sz w:val="21"/>
        </w:rPr>
        <w:t>证驾</w:t>
      </w:r>
      <w:r>
        <w:rPr>
          <w:spacing w:val="-87"/>
          <w:w w:val="95"/>
          <w:sz w:val="21"/>
        </w:rPr>
        <w:t>证驾证驾证驾</w:t>
      </w:r>
      <w:r>
        <w:rPr>
          <w:spacing w:val="-209"/>
          <w:w w:val="95"/>
          <w:position w:val="1"/>
          <w:sz w:val="21"/>
        </w:rPr>
        <w:t>驶</w:t>
      </w:r>
      <w:r>
        <w:rPr>
          <w:spacing w:val="-209"/>
          <w:w w:val="95"/>
          <w:sz w:val="21"/>
        </w:rPr>
        <w:t>驶驶</w:t>
      </w:r>
      <w:r>
        <w:rPr>
          <w:spacing w:val="356"/>
          <w:w w:val="95"/>
          <w:sz w:val="21"/>
        </w:rPr>
        <w:t> </w:t>
      </w:r>
      <w:r>
        <w:rPr>
          <w:spacing w:val="-8"/>
          <w:w w:val="95"/>
          <w:sz w:val="21"/>
        </w:rPr>
        <w:t>驶(见释义</w:t>
      </w:r>
      <w:r>
        <w:rPr>
          <w:w w:val="95"/>
          <w:sz w:val="21"/>
        </w:rPr>
        <w:t>11.11</w:t>
      </w:r>
      <w:r>
        <w:rPr>
          <w:spacing w:val="-2"/>
          <w:w w:val="95"/>
          <w:sz w:val="21"/>
        </w:rPr>
        <w:t>)，及驾驶</w:t>
      </w:r>
      <w:r>
        <w:rPr>
          <w:spacing w:val="-209"/>
          <w:w w:val="95"/>
          <w:position w:val="1"/>
          <w:sz w:val="21"/>
        </w:rPr>
        <w:t>无</w:t>
      </w:r>
      <w:r>
        <w:rPr>
          <w:spacing w:val="-209"/>
          <w:w w:val="95"/>
          <w:sz w:val="21"/>
        </w:rPr>
        <w:t>无无</w:t>
      </w:r>
      <w:r>
        <w:rPr>
          <w:w w:val="95"/>
          <w:sz w:val="21"/>
        </w:rPr>
        <w:t>无</w:t>
      </w:r>
      <w:r>
        <w:rPr>
          <w:rFonts w:ascii="Microsoft JhengHei" w:eastAsia="Microsoft JhengHei" w:hint="eastAsia"/>
          <w:b/>
          <w:spacing w:val="-43"/>
          <w:w w:val="95"/>
          <w:sz w:val="21"/>
        </w:rPr>
        <w:t>有</w:t>
      </w:r>
      <w:r>
        <w:rPr>
          <w:spacing w:val="-105"/>
          <w:w w:val="95"/>
          <w:position w:val="1"/>
          <w:sz w:val="21"/>
        </w:rPr>
        <w:t>效行</w:t>
      </w:r>
      <w:r>
        <w:rPr>
          <w:spacing w:val="-79"/>
          <w:w w:val="95"/>
          <w:sz w:val="21"/>
        </w:rPr>
        <w:t>效行效行效行</w:t>
      </w:r>
      <w:r>
        <w:rPr>
          <w:spacing w:val="-105"/>
          <w:w w:val="95"/>
          <w:position w:val="1"/>
          <w:sz w:val="21"/>
        </w:rPr>
        <w:t>驶证</w:t>
      </w:r>
      <w:r>
        <w:rPr>
          <w:spacing w:val="-47"/>
          <w:w w:val="95"/>
          <w:sz w:val="21"/>
        </w:rPr>
        <w:t>驶证驶证驶证(见释义</w:t>
      </w:r>
      <w:r>
        <w:rPr>
          <w:w w:val="95"/>
          <w:sz w:val="21"/>
        </w:rPr>
        <w:t>11.12</w:t>
      </w:r>
      <w:r>
        <w:rPr>
          <w:spacing w:val="-4"/>
          <w:w w:val="95"/>
          <w:sz w:val="21"/>
        </w:rPr>
        <w:t>)的</w:t>
      </w:r>
      <w:r>
        <w:rPr>
          <w:spacing w:val="-209"/>
          <w:w w:val="95"/>
          <w:position w:val="1"/>
          <w:sz w:val="21"/>
        </w:rPr>
        <w:t>机</w:t>
      </w:r>
      <w:r>
        <w:rPr>
          <w:spacing w:val="-209"/>
          <w:w w:val="95"/>
          <w:sz w:val="21"/>
        </w:rPr>
        <w:t>机机</w:t>
      </w:r>
      <w:r>
        <w:rPr>
          <w:spacing w:val="-49"/>
          <w:w w:val="95"/>
          <w:sz w:val="21"/>
        </w:rPr>
        <w:t>机</w:t>
      </w:r>
      <w:r>
        <w:rPr>
          <w:spacing w:val="-105"/>
          <w:w w:val="95"/>
          <w:position w:val="1"/>
          <w:sz w:val="21"/>
        </w:rPr>
        <w:t>动车</w:t>
      </w:r>
      <w:r>
        <w:rPr>
          <w:spacing w:val="-58"/>
          <w:w w:val="95"/>
          <w:sz w:val="21"/>
        </w:rPr>
        <w:t>动车动车动车(见    释义11.13)；</w:t>
      </w:r>
    </w:p>
    <w:p>
      <w:pPr>
        <w:pStyle w:val="ListParagraph"/>
        <w:numPr>
          <w:ilvl w:val="0"/>
          <w:numId w:val="5"/>
        </w:numPr>
        <w:tabs>
          <w:tab w:pos="539" w:val="left" w:leader="none"/>
          <w:tab w:pos="540" w:val="left" w:leader="none"/>
        </w:tabs>
        <w:spacing w:line="312" w:lineRule="exact" w:before="0" w:after="0"/>
        <w:ind w:left="533" w:right="0" w:hanging="413"/>
        <w:jc w:val="left"/>
        <w:rPr>
          <w:sz w:val="21"/>
        </w:rPr>
      </w:pPr>
      <w:r>
        <w:rPr>
          <w:spacing w:val="-2"/>
          <w:w w:val="95"/>
          <w:sz w:val="21"/>
        </w:rPr>
        <w:t>被保险人</w:t>
      </w:r>
      <w:r>
        <w:rPr>
          <w:rFonts w:ascii="Microsoft JhengHei" w:eastAsia="Microsoft JhengHei" w:hint="eastAsia"/>
          <w:b/>
          <w:spacing w:val="-43"/>
          <w:w w:val="95"/>
          <w:sz w:val="21"/>
        </w:rPr>
        <w:t>感</w:t>
      </w:r>
      <w:r>
        <w:rPr>
          <w:spacing w:val="-105"/>
          <w:w w:val="95"/>
          <w:position w:val="1"/>
          <w:sz w:val="21"/>
        </w:rPr>
        <w:t>染艾</w:t>
      </w:r>
      <w:r>
        <w:rPr>
          <w:spacing w:val="-79"/>
          <w:w w:val="95"/>
          <w:sz w:val="21"/>
        </w:rPr>
        <w:t>染艾染艾染艾</w:t>
      </w:r>
      <w:r>
        <w:rPr>
          <w:spacing w:val="-105"/>
          <w:w w:val="95"/>
          <w:position w:val="1"/>
          <w:sz w:val="21"/>
        </w:rPr>
        <w:t>滋病</w:t>
      </w:r>
      <w:r>
        <w:rPr>
          <w:spacing w:val="-79"/>
          <w:w w:val="95"/>
          <w:sz w:val="21"/>
        </w:rPr>
        <w:t>滋病滋病滋病</w:t>
      </w:r>
      <w:r>
        <w:rPr>
          <w:spacing w:val="-105"/>
          <w:w w:val="95"/>
          <w:position w:val="1"/>
          <w:sz w:val="21"/>
        </w:rPr>
        <w:t>病毒</w:t>
      </w:r>
      <w:r>
        <w:rPr>
          <w:spacing w:val="-79"/>
          <w:w w:val="95"/>
          <w:sz w:val="21"/>
        </w:rPr>
        <w:t>病毒病毒病毒</w:t>
      </w:r>
      <w:r>
        <w:rPr>
          <w:spacing w:val="-105"/>
          <w:w w:val="95"/>
          <w:position w:val="1"/>
          <w:sz w:val="21"/>
        </w:rPr>
        <w:t>或患</w:t>
      </w:r>
      <w:r>
        <w:rPr>
          <w:spacing w:val="-79"/>
          <w:w w:val="95"/>
          <w:sz w:val="21"/>
        </w:rPr>
        <w:t>或患或患或患</w:t>
      </w:r>
      <w:r>
        <w:rPr>
          <w:spacing w:val="-105"/>
          <w:w w:val="95"/>
          <w:position w:val="1"/>
          <w:sz w:val="21"/>
        </w:rPr>
        <w:t>艾滋</w:t>
      </w:r>
      <w:r>
        <w:rPr>
          <w:spacing w:val="-79"/>
          <w:w w:val="95"/>
          <w:sz w:val="21"/>
        </w:rPr>
        <w:t>艾滋艾滋艾滋</w:t>
      </w:r>
      <w:r>
        <w:rPr>
          <w:spacing w:val="-209"/>
          <w:w w:val="95"/>
          <w:position w:val="1"/>
          <w:sz w:val="21"/>
        </w:rPr>
        <w:t>病</w:t>
      </w:r>
      <w:r>
        <w:rPr>
          <w:spacing w:val="-209"/>
          <w:w w:val="95"/>
          <w:sz w:val="21"/>
        </w:rPr>
        <w:t>病病</w:t>
      </w:r>
      <w:r>
        <w:rPr>
          <w:spacing w:val="-8"/>
          <w:w w:val="95"/>
          <w:sz w:val="21"/>
        </w:rPr>
        <w:t>病(见释义</w:t>
      </w:r>
      <w:r>
        <w:rPr>
          <w:w w:val="95"/>
          <w:sz w:val="21"/>
        </w:rPr>
        <w:t>11.14)；</w:t>
      </w:r>
    </w:p>
    <w:p>
      <w:pPr>
        <w:pStyle w:val="ListParagraph"/>
        <w:numPr>
          <w:ilvl w:val="0"/>
          <w:numId w:val="5"/>
        </w:numPr>
        <w:tabs>
          <w:tab w:pos="539" w:val="left" w:leader="none"/>
          <w:tab w:pos="540" w:val="left" w:leader="none"/>
        </w:tabs>
        <w:spacing w:line="240" w:lineRule="auto" w:before="13" w:after="0"/>
        <w:ind w:left="533" w:right="0" w:hanging="413"/>
        <w:jc w:val="left"/>
        <w:rPr>
          <w:sz w:val="21"/>
        </w:rPr>
      </w:pPr>
      <w:r>
        <w:rPr>
          <w:w w:val="95"/>
          <w:sz w:val="21"/>
        </w:rPr>
        <w:t>战争、军事冲突、暴乱或武装叛乱；</w:t>
      </w:r>
    </w:p>
    <w:p>
      <w:pPr>
        <w:pStyle w:val="ListParagraph"/>
        <w:numPr>
          <w:ilvl w:val="0"/>
          <w:numId w:val="5"/>
        </w:numPr>
        <w:tabs>
          <w:tab w:pos="539" w:val="left" w:leader="none"/>
          <w:tab w:pos="540" w:val="left" w:leader="none"/>
        </w:tabs>
        <w:spacing w:line="240" w:lineRule="auto" w:before="36" w:after="0"/>
        <w:ind w:left="533" w:right="0" w:hanging="413"/>
        <w:jc w:val="left"/>
        <w:rPr>
          <w:sz w:val="21"/>
        </w:rPr>
      </w:pPr>
      <w:r>
        <w:rPr>
          <w:w w:val="95"/>
          <w:sz w:val="21"/>
        </w:rPr>
        <w:t>核爆炸、核辐射或核污染；</w:t>
      </w:r>
    </w:p>
    <w:p>
      <w:pPr>
        <w:pStyle w:val="ListParagraph"/>
        <w:numPr>
          <w:ilvl w:val="0"/>
          <w:numId w:val="5"/>
        </w:numPr>
        <w:tabs>
          <w:tab w:pos="533" w:val="left" w:leader="none"/>
          <w:tab w:pos="534" w:val="left" w:leader="none"/>
        </w:tabs>
        <w:spacing w:line="335" w:lineRule="exact" w:before="0" w:after="0"/>
        <w:ind w:left="533" w:right="0" w:hanging="413"/>
        <w:jc w:val="left"/>
        <w:rPr>
          <w:sz w:val="21"/>
        </w:rPr>
      </w:pPr>
      <w:r>
        <w:rPr>
          <w:rFonts w:ascii="Microsoft JhengHei" w:eastAsia="Microsoft JhengHei" w:hint="eastAsia"/>
          <w:b/>
          <w:spacing w:val="-43"/>
          <w:w w:val="95"/>
          <w:sz w:val="21"/>
        </w:rPr>
        <w:t>遗</w:t>
      </w:r>
      <w:r>
        <w:rPr>
          <w:spacing w:val="-105"/>
          <w:w w:val="95"/>
          <w:position w:val="1"/>
          <w:sz w:val="21"/>
        </w:rPr>
        <w:t>传性</w:t>
      </w:r>
      <w:r>
        <w:rPr>
          <w:spacing w:val="-79"/>
          <w:w w:val="95"/>
          <w:sz w:val="21"/>
        </w:rPr>
        <w:t>传性传性传性</w:t>
      </w:r>
      <w:r>
        <w:rPr>
          <w:spacing w:val="-105"/>
          <w:w w:val="95"/>
          <w:position w:val="1"/>
          <w:sz w:val="21"/>
        </w:rPr>
        <w:t>疾病</w:t>
      </w:r>
      <w:r>
        <w:rPr>
          <w:spacing w:val="-47"/>
          <w:w w:val="95"/>
          <w:sz w:val="21"/>
        </w:rPr>
        <w:t>疾病疾病疾病(见释义</w:t>
      </w:r>
      <w:r>
        <w:rPr>
          <w:w w:val="95"/>
          <w:sz w:val="21"/>
        </w:rPr>
        <w:t>11.15</w:t>
      </w:r>
      <w:r>
        <w:rPr>
          <w:spacing w:val="-4"/>
          <w:w w:val="95"/>
          <w:sz w:val="21"/>
        </w:rPr>
        <w:t>)、</w:t>
      </w:r>
      <w:r>
        <w:rPr>
          <w:spacing w:val="-209"/>
          <w:w w:val="95"/>
          <w:position w:val="1"/>
          <w:sz w:val="21"/>
        </w:rPr>
        <w:t>先</w:t>
      </w:r>
      <w:r>
        <w:rPr>
          <w:spacing w:val="-209"/>
          <w:w w:val="95"/>
          <w:sz w:val="21"/>
        </w:rPr>
        <w:t>先先</w:t>
      </w:r>
      <w:r>
        <w:rPr>
          <w:spacing w:val="-49"/>
          <w:w w:val="95"/>
          <w:sz w:val="21"/>
        </w:rPr>
        <w:t>先</w:t>
      </w:r>
      <w:r>
        <w:rPr>
          <w:spacing w:val="-105"/>
          <w:w w:val="95"/>
          <w:position w:val="1"/>
          <w:sz w:val="21"/>
        </w:rPr>
        <w:t>天性</w:t>
      </w:r>
      <w:r>
        <w:rPr>
          <w:spacing w:val="-68"/>
          <w:w w:val="95"/>
          <w:sz w:val="21"/>
        </w:rPr>
        <w:t>天性天性天性畸</w:t>
      </w:r>
      <w:r>
        <w:rPr>
          <w:spacing w:val="-209"/>
          <w:w w:val="95"/>
          <w:sz w:val="21"/>
        </w:rPr>
        <w:t>形</w:t>
      </w:r>
      <w:r>
        <w:rPr>
          <w:spacing w:val="-105"/>
          <w:w w:val="95"/>
          <w:position w:val="1"/>
          <w:sz w:val="21"/>
        </w:rPr>
        <w:t>畸形</w:t>
      </w:r>
      <w:r>
        <w:rPr>
          <w:spacing w:val="-65"/>
          <w:w w:val="95"/>
          <w:sz w:val="21"/>
        </w:rPr>
        <w:t>畸形畸形</w:t>
      </w:r>
      <w:r>
        <w:rPr>
          <w:spacing w:val="-105"/>
          <w:w w:val="95"/>
          <w:position w:val="1"/>
          <w:sz w:val="21"/>
        </w:rPr>
        <w:t>、变</w:t>
      </w:r>
      <w:r>
        <w:rPr>
          <w:spacing w:val="-79"/>
          <w:w w:val="95"/>
          <w:sz w:val="21"/>
        </w:rPr>
        <w:t>、变、变、变</w:t>
      </w:r>
      <w:r>
        <w:rPr>
          <w:spacing w:val="-105"/>
          <w:w w:val="95"/>
          <w:position w:val="1"/>
          <w:sz w:val="21"/>
        </w:rPr>
        <w:t>形或</w:t>
      </w:r>
      <w:r>
        <w:rPr>
          <w:spacing w:val="-79"/>
          <w:w w:val="95"/>
          <w:sz w:val="21"/>
        </w:rPr>
        <w:t>形或形或形或</w:t>
      </w:r>
      <w:r>
        <w:rPr>
          <w:spacing w:val="-143"/>
          <w:w w:val="95"/>
          <w:position w:val="1"/>
          <w:sz w:val="21"/>
        </w:rPr>
        <w:t>染色</w:t>
      </w:r>
      <w:r>
        <w:rPr>
          <w:spacing w:val="306"/>
          <w:w w:val="95"/>
          <w:position w:val="1"/>
          <w:sz w:val="21"/>
        </w:rPr>
        <w:t> </w:t>
      </w:r>
      <w:r>
        <w:rPr>
          <w:spacing w:val="-79"/>
          <w:w w:val="95"/>
          <w:sz w:val="21"/>
        </w:rPr>
        <w:t>染色染色染色</w:t>
      </w:r>
      <w:r>
        <w:rPr>
          <w:spacing w:val="-105"/>
          <w:w w:val="95"/>
          <w:position w:val="1"/>
          <w:sz w:val="21"/>
        </w:rPr>
        <w:t>体异</w:t>
      </w:r>
      <w:r>
        <w:rPr>
          <w:spacing w:val="-79"/>
          <w:w w:val="95"/>
          <w:sz w:val="21"/>
        </w:rPr>
        <w:t>体异体异体异</w:t>
      </w:r>
      <w:r>
        <w:rPr>
          <w:spacing w:val="-209"/>
          <w:w w:val="95"/>
          <w:position w:val="1"/>
          <w:sz w:val="21"/>
        </w:rPr>
        <w:t>常</w:t>
      </w:r>
      <w:r>
        <w:rPr>
          <w:spacing w:val="-209"/>
          <w:w w:val="95"/>
          <w:sz w:val="21"/>
        </w:rPr>
        <w:t>常常</w:t>
      </w:r>
      <w:r>
        <w:rPr>
          <w:spacing w:val="-8"/>
          <w:w w:val="95"/>
          <w:sz w:val="21"/>
        </w:rPr>
        <w:t>常(见释义</w:t>
      </w:r>
      <w:r>
        <w:rPr>
          <w:w w:val="95"/>
          <w:sz w:val="21"/>
        </w:rPr>
        <w:t>11.16)。</w:t>
      </w:r>
    </w:p>
    <w:p>
      <w:pPr>
        <w:pStyle w:val="BodyText"/>
        <w:ind w:left="0"/>
        <w:rPr>
          <w:sz w:val="22"/>
        </w:rPr>
      </w:pPr>
    </w:p>
    <w:p>
      <w:pPr>
        <w:pStyle w:val="BodyText"/>
        <w:spacing w:line="273" w:lineRule="auto" w:before="35"/>
        <w:ind w:right="116"/>
      </w:pPr>
      <w:r>
        <w:rPr>
          <w:spacing w:val="-8"/>
          <w:w w:val="95"/>
        </w:rPr>
        <w:t>因上述第</w:t>
      </w:r>
      <w:r>
        <w:rPr>
          <w:spacing w:val="-10"/>
          <w:w w:val="95"/>
        </w:rPr>
        <w:t>（1）</w:t>
      </w:r>
      <w:r>
        <w:rPr>
          <w:w w:val="95"/>
        </w:rPr>
        <w:t>项情形导致被保险人发Th</w:t>
      </w:r>
      <w:r>
        <w:rPr>
          <w:spacing w:val="-2"/>
          <w:w w:val="95"/>
        </w:rPr>
        <w:t>本附加合同所界定的重大疾病的，本附加合同终止</w:t>
      </w:r>
      <w:r>
        <w:rPr>
          <w:w w:val="90"/>
        </w:rPr>
        <w:t>，  </w:t>
      </w:r>
      <w:r>
        <w:rPr>
          <w:w w:val="95"/>
        </w:rPr>
        <w:t>本公司向重大疾病保险金受益人退还本附加合同终止时的现金价值。</w:t>
      </w:r>
    </w:p>
    <w:p>
      <w:pPr>
        <w:pStyle w:val="BodyText"/>
        <w:ind w:right="117"/>
      </w:pPr>
      <w:r>
        <w:rPr>
          <w:w w:val="95"/>
        </w:rPr>
        <w:t>因上述其他情形导致被保险人发Th</w:t>
      </w:r>
      <w:r>
        <w:rPr>
          <w:spacing w:val="-6"/>
          <w:w w:val="95"/>
        </w:rPr>
        <w:t>本附加合同所界定的重大疾病的，本附加合同终止，本公   司向您退还本附加合同终止时的现金价值。</w:t>
      </w:r>
    </w:p>
    <w:p>
      <w:pPr>
        <w:pStyle w:val="BodyText"/>
        <w:spacing w:before="11"/>
        <w:ind w:left="0"/>
      </w:pPr>
    </w:p>
    <w:p>
      <w:pPr>
        <w:pStyle w:val="Heading2"/>
        <w:numPr>
          <w:ilvl w:val="0"/>
          <w:numId w:val="6"/>
        </w:numPr>
        <w:tabs>
          <w:tab w:pos="550" w:val="left" w:leader="none"/>
          <w:tab w:pos="552" w:val="left" w:leader="none"/>
        </w:tabs>
        <w:spacing w:line="240" w:lineRule="auto" w:before="0" w:after="0"/>
        <w:ind w:left="551" w:right="0" w:hanging="431"/>
        <w:jc w:val="left"/>
        <w:rPr>
          <w:rFonts w:ascii="Malgun Gothic" w:eastAsia="Malgun Gothic" w:hint="eastAsia"/>
        </w:rPr>
      </w:pPr>
      <w:bookmarkStart w:name="_TOC_250066" w:id="23"/>
      <w:bookmarkEnd w:id="23"/>
      <w:r>
        <w:rPr>
          <w:w w:val="95"/>
        </w:rPr>
        <w:t>保险费</w:t>
      </w:r>
    </w:p>
    <w:p>
      <w:pPr>
        <w:pStyle w:val="BodyText"/>
        <w:spacing w:before="11"/>
        <w:ind w:left="0"/>
        <w:rPr>
          <w:rFonts w:ascii="Microsoft JhengHei UI"/>
          <w:b/>
          <w:sz w:val="17"/>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65" w:id="24"/>
      <w:bookmarkEnd w:id="24"/>
      <w:r>
        <w:rPr>
          <w:w w:val="95"/>
        </w:rPr>
        <w:t>保险费支付</w:t>
      </w:r>
    </w:p>
    <w:p>
      <w:pPr>
        <w:pStyle w:val="BodyText"/>
        <w:spacing w:before="6"/>
        <w:ind w:left="0"/>
        <w:rPr>
          <w:rFonts w:ascii="Microsoft JhengHei UI"/>
          <w:b/>
          <w:sz w:val="16"/>
        </w:rPr>
      </w:pPr>
    </w:p>
    <w:p>
      <w:pPr>
        <w:pStyle w:val="BodyText"/>
        <w:spacing w:line="273" w:lineRule="auto"/>
        <w:ind w:right="117"/>
      </w:pPr>
      <w:r>
        <w:rPr>
          <w:spacing w:val="-4"/>
          <w:w w:val="95"/>
        </w:rPr>
        <w:t>本附加险合同的交费方式和交费期间由您和本公司约定，并在保险单上载明。分期支付保险   费的，在支付首期保险费后，您应当在每个保险费约定支付日支付其余各期的保险费。</w:t>
      </w:r>
    </w:p>
    <w:p>
      <w:pPr>
        <w:pStyle w:val="BodyText"/>
        <w:spacing w:line="312" w:lineRule="exact" w:before="3"/>
        <w:ind w:right="208"/>
      </w:pPr>
      <w:r>
        <w:rPr>
          <w:spacing w:val="-3"/>
          <w:w w:val="99"/>
        </w:rPr>
        <w:t>保险费的支付方式为</w:t>
      </w:r>
      <w:r>
        <w:rPr>
          <w:rFonts w:ascii="Microsoft JhengHei UI" w:eastAsia="Microsoft JhengHei UI" w:hint="eastAsia"/>
          <w:b/>
          <w:spacing w:val="-48"/>
          <w:w w:val="99"/>
        </w:rPr>
        <w:t>银</w:t>
      </w:r>
      <w:r>
        <w:rPr>
          <w:w w:val="99"/>
          <w:position w:val="1"/>
        </w:rPr>
        <w:t>行</w:t>
      </w:r>
      <w:r>
        <w:rPr>
          <w:spacing w:val="-476"/>
          <w:w w:val="99"/>
          <w:position w:val="1"/>
        </w:rPr>
        <w:t>转</w:t>
      </w:r>
      <w:r>
        <w:rPr>
          <w:w w:val="99"/>
        </w:rPr>
        <w:t>行</w:t>
      </w:r>
      <w:r>
        <w:rPr>
          <w:spacing w:val="-471"/>
          <w:w w:val="99"/>
        </w:rPr>
        <w:t>转</w:t>
      </w:r>
      <w:r>
        <w:rPr>
          <w:w w:val="99"/>
        </w:rPr>
        <w:t>行</w:t>
      </w:r>
      <w:r>
        <w:rPr>
          <w:spacing w:val="-474"/>
          <w:w w:val="99"/>
        </w:rPr>
        <w:t>转</w:t>
      </w:r>
      <w:r>
        <w:rPr>
          <w:spacing w:val="-31"/>
          <w:w w:val="99"/>
        </w:rPr>
        <w:t>行转</w:t>
      </w:r>
      <w:r>
        <w:rPr>
          <w:w w:val="99"/>
          <w:position w:val="1"/>
        </w:rPr>
        <w:t>账</w:t>
      </w:r>
      <w:r>
        <w:rPr>
          <w:spacing w:val="-476"/>
          <w:w w:val="99"/>
          <w:position w:val="1"/>
        </w:rPr>
        <w:t>交</w:t>
      </w:r>
      <w:r>
        <w:rPr>
          <w:w w:val="99"/>
        </w:rPr>
        <w:t>账</w:t>
      </w:r>
      <w:r>
        <w:rPr>
          <w:spacing w:val="-471"/>
          <w:w w:val="99"/>
        </w:rPr>
        <w:t>交</w:t>
      </w:r>
      <w:r>
        <w:rPr>
          <w:w w:val="99"/>
        </w:rPr>
        <w:t>账</w:t>
      </w:r>
      <w:r>
        <w:rPr>
          <w:spacing w:val="-474"/>
          <w:w w:val="99"/>
        </w:rPr>
        <w:t>交</w:t>
      </w:r>
      <w:r>
        <w:rPr>
          <w:spacing w:val="-31"/>
          <w:w w:val="99"/>
        </w:rPr>
        <w:t>账交</w:t>
      </w:r>
      <w:r>
        <w:rPr>
          <w:spacing w:val="-267"/>
          <w:w w:val="99"/>
          <w:position w:val="1"/>
        </w:rPr>
        <w:t>费</w:t>
      </w:r>
      <w:r>
        <w:rPr>
          <w:spacing w:val="-264"/>
          <w:w w:val="99"/>
        </w:rPr>
        <w:t>费费</w:t>
      </w:r>
      <w:r>
        <w:rPr>
          <w:spacing w:val="-46"/>
          <w:w w:val="99"/>
        </w:rPr>
        <w:t>费</w:t>
      </w:r>
      <w:r>
        <w:rPr>
          <w:spacing w:val="1"/>
          <w:w w:val="99"/>
        </w:rPr>
        <w:t>（</w:t>
      </w:r>
      <w:r>
        <w:rPr>
          <w:spacing w:val="-1"/>
          <w:w w:val="99"/>
        </w:rPr>
        <w:t>见释义</w:t>
      </w:r>
      <w:r>
        <w:rPr>
          <w:w w:val="93"/>
        </w:rPr>
        <w:t>11</w:t>
      </w:r>
      <w:r>
        <w:rPr>
          <w:spacing w:val="-1"/>
          <w:w w:val="43"/>
        </w:rPr>
        <w:t>.</w:t>
      </w:r>
      <w:r>
        <w:rPr>
          <w:w w:val="93"/>
        </w:rPr>
        <w:t>1</w:t>
      </w:r>
      <w:r>
        <w:rPr>
          <w:spacing w:val="1"/>
          <w:w w:val="93"/>
        </w:rPr>
        <w:t>7</w:t>
      </w:r>
      <w:r>
        <w:rPr>
          <w:spacing w:val="1"/>
          <w:w w:val="99"/>
        </w:rPr>
        <w:t>）</w:t>
      </w:r>
      <w:r>
        <w:rPr>
          <w:w w:val="99"/>
        </w:rPr>
        <w:t>。在此交费方式下，请您确</w:t>
      </w:r>
      <w:r>
        <w:rPr>
          <w:spacing w:val="-159"/>
          <w:w w:val="99"/>
        </w:rPr>
        <w:t>保</w:t>
      </w:r>
      <w:r>
        <w:rPr>
          <w:w w:val="95"/>
        </w:rPr>
        <w:t>帐号准确以及交费期间内帐户余额充足。</w:t>
      </w:r>
    </w:p>
    <w:p>
      <w:pPr>
        <w:pStyle w:val="Heading2"/>
        <w:numPr>
          <w:ilvl w:val="1"/>
          <w:numId w:val="6"/>
        </w:numPr>
        <w:tabs>
          <w:tab w:pos="692" w:val="left" w:leader="none"/>
          <w:tab w:pos="693" w:val="left" w:leader="none"/>
        </w:tabs>
        <w:spacing w:line="240" w:lineRule="auto" w:before="213" w:after="0"/>
        <w:ind w:left="692" w:right="0" w:hanging="572"/>
        <w:jc w:val="left"/>
        <w:rPr>
          <w:rFonts w:ascii="宋体" w:eastAsia="宋体" w:hint="eastAsia"/>
        </w:rPr>
      </w:pPr>
      <w:bookmarkStart w:name="_TOC_250064" w:id="25"/>
      <w:bookmarkEnd w:id="25"/>
      <w:r>
        <w:rPr>
          <w:w w:val="95"/>
        </w:rPr>
        <w:t>保险费率调整</w:t>
      </w:r>
    </w:p>
    <w:p>
      <w:pPr>
        <w:pStyle w:val="BodyText"/>
        <w:spacing w:before="8"/>
        <w:ind w:left="0"/>
        <w:rPr>
          <w:rFonts w:ascii="Microsoft JhengHei UI"/>
          <w:b/>
          <w:sz w:val="16"/>
        </w:rPr>
      </w:pPr>
    </w:p>
    <w:p>
      <w:pPr>
        <w:pStyle w:val="BodyText"/>
        <w:spacing w:line="273" w:lineRule="auto"/>
        <w:ind w:right="117"/>
        <w:jc w:val="both"/>
      </w:pPr>
      <w:r>
        <w:rPr>
          <w:spacing w:val="-4"/>
        </w:rPr>
        <w:t>本公司保留于每个保单周年日审核调整本附加险保险费率的权利。调整保险费率是对所有被</w:t>
      </w:r>
      <w:r>
        <w:rPr>
          <w:spacing w:val="-4"/>
          <w:w w:val="95"/>
        </w:rPr>
        <w:t>保险人或同一投保年龄的所有被保险人适用的保险费率进行调整。本公司调整保险费率后</w:t>
      </w:r>
      <w:r>
        <w:rPr>
          <w:spacing w:val="-4"/>
          <w:w w:val="85"/>
        </w:rPr>
        <w:t>，  </w:t>
      </w:r>
      <w:r>
        <w:rPr>
          <w:spacing w:val="-4"/>
          <w:w w:val="95"/>
        </w:rPr>
        <w:t>您应支付的续期保险费将按调整后的保险费率计算。</w:t>
      </w:r>
    </w:p>
    <w:p>
      <w:pPr>
        <w:spacing w:after="0" w:line="273" w:lineRule="auto"/>
        <w:jc w:val="both"/>
        <w:sectPr>
          <w:pgSz w:w="11910" w:h="16840"/>
          <w:pgMar w:header="0" w:footer="1090" w:top="1340" w:bottom="1280" w:left="1680" w:right="1680"/>
        </w:sectPr>
      </w:pPr>
    </w:p>
    <w:p>
      <w:pPr>
        <w:pStyle w:val="Heading2"/>
        <w:numPr>
          <w:ilvl w:val="0"/>
          <w:numId w:val="6"/>
        </w:numPr>
        <w:tabs>
          <w:tab w:pos="552" w:val="left" w:leader="none"/>
        </w:tabs>
        <w:spacing w:line="240" w:lineRule="auto" w:before="5" w:after="0"/>
        <w:ind w:left="551" w:right="0" w:hanging="431"/>
        <w:jc w:val="both"/>
        <w:rPr>
          <w:rFonts w:ascii="宋体" w:eastAsia="宋体" w:hint="eastAsia"/>
        </w:rPr>
      </w:pPr>
      <w:bookmarkStart w:name="_TOC_250063" w:id="26"/>
      <w:bookmarkStart w:name="保险金的领取" w:id="27"/>
      <w:r>
        <w:rPr>
          <w:b w:val="0"/>
        </w:rPr>
      </w:r>
      <w:bookmarkStart w:name="重大疾病保险金受益人" w:id="28"/>
      <w:bookmarkEnd w:id="28"/>
      <w:r>
        <w:rPr>
          <w:b w:val="0"/>
        </w:rPr>
      </w:r>
      <w:bookmarkStart w:name="重大疾病保险金的申请" w:id="29"/>
      <w:bookmarkEnd w:id="29"/>
      <w:r>
        <w:rPr>
          <w:b w:val="0"/>
        </w:rPr>
      </w:r>
      <w:bookmarkStart w:name="特别注意事项" w:id="30"/>
      <w:bookmarkEnd w:id="30"/>
      <w:r>
        <w:rPr>
          <w:b w:val="0"/>
        </w:rPr>
      </w:r>
      <w:bookmarkStart w:name="保险金的给付" w:id="31"/>
      <w:bookmarkEnd w:id="31"/>
      <w:r>
        <w:rPr>
          <w:b w:val="0"/>
        </w:rPr>
      </w:r>
      <w:bookmarkStart w:name="保险金诉讼时效" w:id="32"/>
      <w:bookmarkEnd w:id="32"/>
      <w:r>
        <w:rPr>
          <w:b w:val="0"/>
        </w:rPr>
      </w:r>
      <w:bookmarkStart w:name="合同效力的变动" w:id="33"/>
      <w:bookmarkEnd w:id="33"/>
      <w:r>
        <w:rPr>
          <w:b w:val="0"/>
        </w:rPr>
      </w:r>
      <w:bookmarkStart w:name="合同效力的中止" w:id="34"/>
      <w:bookmarkEnd w:id="34"/>
      <w:r>
        <w:rPr>
          <w:b w:val="0"/>
        </w:rPr>
      </w:r>
      <w:bookmarkStart w:name="合同效力的中止" w:id="35"/>
      <w:bookmarkEnd w:id="26"/>
      <w:r>
        <w:rPr>
          <w:w w:val="95"/>
        </w:rPr>
        <w:t>保险金的领取</w:t>
      </w:r>
    </w:p>
    <w:p>
      <w:pPr>
        <w:pStyle w:val="BodyText"/>
        <w:spacing w:before="9"/>
        <w:ind w:left="0"/>
        <w:rPr>
          <w:rFonts w:ascii="Microsoft JhengHei UI"/>
          <w:b/>
          <w:sz w:val="17"/>
        </w:rPr>
      </w:pPr>
    </w:p>
    <w:p>
      <w:pPr>
        <w:pStyle w:val="Heading2"/>
        <w:numPr>
          <w:ilvl w:val="1"/>
          <w:numId w:val="6"/>
        </w:numPr>
        <w:tabs>
          <w:tab w:pos="693" w:val="left" w:leader="none"/>
        </w:tabs>
        <w:spacing w:line="240" w:lineRule="auto" w:before="0" w:after="0"/>
        <w:ind w:left="692" w:right="0" w:hanging="566"/>
        <w:jc w:val="both"/>
      </w:pPr>
      <w:bookmarkStart w:name="_TOC_250062" w:id="36"/>
      <w:bookmarkEnd w:id="36"/>
      <w:r>
        <w:rPr>
          <w:w w:val="95"/>
        </w:rPr>
        <w:t>重大疾病保险金受益人</w:t>
      </w:r>
    </w:p>
    <w:p>
      <w:pPr>
        <w:pStyle w:val="BodyText"/>
        <w:spacing w:before="8"/>
        <w:ind w:left="0"/>
        <w:rPr>
          <w:rFonts w:ascii="Microsoft JhengHei UI"/>
          <w:b/>
          <w:sz w:val="16"/>
        </w:rPr>
      </w:pPr>
    </w:p>
    <w:p>
      <w:pPr>
        <w:pStyle w:val="BodyText"/>
        <w:jc w:val="both"/>
      </w:pPr>
      <w:r>
        <w:rPr>
          <w:w w:val="95"/>
        </w:rPr>
        <w:t>重大疾病保险金的受益人为被保险人本人，您或被保险人可依法指定或变更受益人。</w:t>
      </w:r>
    </w:p>
    <w:p>
      <w:pPr>
        <w:pStyle w:val="BodyText"/>
        <w:spacing w:before="9"/>
        <w:ind w:left="0"/>
        <w:rPr>
          <w:sz w:val="18"/>
        </w:rPr>
      </w:pPr>
    </w:p>
    <w:p>
      <w:pPr>
        <w:pStyle w:val="Heading2"/>
        <w:numPr>
          <w:ilvl w:val="1"/>
          <w:numId w:val="6"/>
        </w:numPr>
        <w:tabs>
          <w:tab w:pos="693" w:val="left" w:leader="none"/>
        </w:tabs>
        <w:spacing w:line="240" w:lineRule="auto" w:before="1" w:after="0"/>
        <w:ind w:left="692" w:right="0" w:hanging="566"/>
        <w:jc w:val="both"/>
      </w:pPr>
      <w:bookmarkStart w:name="_TOC_250061" w:id="37"/>
      <w:bookmarkEnd w:id="37"/>
      <w:r>
        <w:rPr/>
        <w:t>重大疾病保险金的申请</w:t>
      </w:r>
    </w:p>
    <w:p>
      <w:pPr>
        <w:pStyle w:val="BodyText"/>
        <w:spacing w:before="6"/>
        <w:ind w:left="0"/>
        <w:rPr>
          <w:rFonts w:ascii="Microsoft JhengHei UI"/>
          <w:b/>
          <w:sz w:val="16"/>
        </w:rPr>
      </w:pPr>
    </w:p>
    <w:p>
      <w:pPr>
        <w:pStyle w:val="BodyText"/>
        <w:jc w:val="both"/>
      </w:pPr>
      <w:r>
        <w:rPr>
          <w:w w:val="95"/>
        </w:rPr>
        <w:t>由重大疾病保险金受益人填写理赔申请书，并提供下列证明和资料的原件：</w:t>
      </w:r>
    </w:p>
    <w:p>
      <w:pPr>
        <w:pStyle w:val="ListParagraph"/>
        <w:numPr>
          <w:ilvl w:val="0"/>
          <w:numId w:val="7"/>
        </w:numPr>
        <w:tabs>
          <w:tab w:pos="959" w:val="left" w:leader="none"/>
          <w:tab w:pos="960" w:val="left" w:leader="none"/>
        </w:tabs>
        <w:spacing w:line="240" w:lineRule="auto" w:before="36" w:after="0"/>
        <w:ind w:left="960" w:right="0" w:hanging="420"/>
        <w:jc w:val="left"/>
        <w:rPr>
          <w:sz w:val="21"/>
        </w:rPr>
      </w:pPr>
      <w:r>
        <w:rPr>
          <w:w w:val="95"/>
          <w:sz w:val="21"/>
        </w:rPr>
        <w:t>本附加险合同；</w:t>
      </w:r>
    </w:p>
    <w:p>
      <w:pPr>
        <w:pStyle w:val="ListParagraph"/>
        <w:numPr>
          <w:ilvl w:val="0"/>
          <w:numId w:val="7"/>
        </w:numPr>
        <w:tabs>
          <w:tab w:pos="959" w:val="left" w:leader="none"/>
          <w:tab w:pos="960" w:val="left" w:leader="none"/>
        </w:tabs>
        <w:spacing w:line="240" w:lineRule="auto" w:before="36" w:after="0"/>
        <w:ind w:left="960" w:right="0" w:hanging="420"/>
        <w:jc w:val="left"/>
        <w:rPr>
          <w:sz w:val="21"/>
        </w:rPr>
      </w:pPr>
      <w:r>
        <w:rPr>
          <w:w w:val="95"/>
          <w:sz w:val="21"/>
        </w:rPr>
        <w:t>受益人的有效身份证明文件；</w:t>
      </w:r>
    </w:p>
    <w:p>
      <w:pPr>
        <w:pStyle w:val="ListParagraph"/>
        <w:numPr>
          <w:ilvl w:val="0"/>
          <w:numId w:val="7"/>
        </w:numPr>
        <w:tabs>
          <w:tab w:pos="959" w:val="left" w:leader="none"/>
          <w:tab w:pos="960" w:val="left" w:leader="none"/>
        </w:tabs>
        <w:spacing w:line="240" w:lineRule="auto" w:before="36" w:after="0"/>
        <w:ind w:left="960" w:right="0" w:hanging="420"/>
        <w:jc w:val="left"/>
        <w:rPr>
          <w:sz w:val="21"/>
        </w:rPr>
      </w:pPr>
      <w:r>
        <w:rPr>
          <w:w w:val="95"/>
          <w:sz w:val="21"/>
        </w:rPr>
        <w:t>被保险人的重大疾病诊断证明书；</w:t>
      </w:r>
    </w:p>
    <w:p>
      <w:pPr>
        <w:pStyle w:val="ListParagraph"/>
        <w:numPr>
          <w:ilvl w:val="0"/>
          <w:numId w:val="7"/>
        </w:numPr>
        <w:tabs>
          <w:tab w:pos="959" w:val="left" w:leader="none"/>
          <w:tab w:pos="960" w:val="left" w:leader="none"/>
        </w:tabs>
        <w:spacing w:line="240" w:lineRule="auto" w:before="36" w:after="0"/>
        <w:ind w:left="960" w:right="0" w:hanging="420"/>
        <w:jc w:val="left"/>
        <w:rPr>
          <w:sz w:val="21"/>
        </w:rPr>
      </w:pPr>
      <w:r>
        <w:rPr>
          <w:w w:val="95"/>
          <w:sz w:val="21"/>
        </w:rPr>
        <w:t>所能提供的与确认保险事故的性质、原因等有关的其他证明和资料。</w:t>
      </w:r>
    </w:p>
    <w:p>
      <w:pPr>
        <w:pStyle w:val="BodyText"/>
        <w:spacing w:before="12"/>
        <w:ind w:left="0"/>
        <w:rPr>
          <w:sz w:val="18"/>
        </w:rPr>
      </w:pPr>
    </w:p>
    <w:p>
      <w:pPr>
        <w:pStyle w:val="Heading2"/>
        <w:numPr>
          <w:ilvl w:val="1"/>
          <w:numId w:val="6"/>
        </w:numPr>
        <w:tabs>
          <w:tab w:pos="693" w:val="left" w:leader="none"/>
        </w:tabs>
        <w:spacing w:line="240" w:lineRule="auto" w:before="0" w:after="0"/>
        <w:ind w:left="692" w:right="0" w:hanging="566"/>
        <w:jc w:val="both"/>
      </w:pPr>
      <w:bookmarkStart w:name="_TOC_250060" w:id="38"/>
      <w:bookmarkEnd w:id="38"/>
      <w:r>
        <w:rPr>
          <w:w w:val="95"/>
        </w:rPr>
        <w:t>特别注意事项</w:t>
      </w:r>
    </w:p>
    <w:p>
      <w:pPr>
        <w:pStyle w:val="BodyText"/>
        <w:spacing w:before="6"/>
        <w:ind w:left="0"/>
        <w:rPr>
          <w:rFonts w:ascii="Microsoft JhengHei UI"/>
          <w:b/>
          <w:sz w:val="16"/>
        </w:rPr>
      </w:pPr>
    </w:p>
    <w:p>
      <w:pPr>
        <w:pStyle w:val="BodyText"/>
        <w:spacing w:line="273" w:lineRule="auto"/>
        <w:ind w:right="197"/>
      </w:pPr>
      <w:r>
        <w:rPr>
          <w:spacing w:val="-8"/>
          <w:w w:val="95"/>
        </w:rPr>
        <w:t>以上证明和资料不完整的，本公司将及时一次性通知受益人或者被保险人补充提供有关的证   明和资料。</w:t>
      </w:r>
    </w:p>
    <w:p>
      <w:pPr>
        <w:pStyle w:val="BodyText"/>
        <w:spacing w:before="5"/>
        <w:ind w:left="0"/>
        <w:rPr>
          <w:sz w:val="24"/>
        </w:rPr>
      </w:pPr>
    </w:p>
    <w:p>
      <w:pPr>
        <w:pStyle w:val="BodyText"/>
      </w:pPr>
      <w:r>
        <w:rPr>
          <w:w w:val="95"/>
        </w:rPr>
        <w:t>保险金作为被保险人遗产时，继承人还必须提供可证明其合法继承权的相关权利文件。</w:t>
      </w:r>
    </w:p>
    <w:p>
      <w:pPr>
        <w:pStyle w:val="BodyText"/>
        <w:spacing w:line="273" w:lineRule="auto" w:before="36"/>
        <w:ind w:right="197"/>
        <w:jc w:val="both"/>
      </w:pPr>
      <w:r>
        <w:rPr>
          <w:spacing w:val="-9"/>
          <w:w w:val="95"/>
        </w:rPr>
        <w:t>受益人、被保险人或者继承人为无民事行为能力人或者限制民事行为能力人时，由其合法监   </w:t>
      </w:r>
      <w:r>
        <w:rPr>
          <w:spacing w:val="-14"/>
          <w:w w:val="95"/>
        </w:rPr>
        <w:t>护人代其申请领取保险金，其合法监护人还必须提供受益人或者继承人为无民事行为能力人   或者限制民事行为能力人的证明和监护人具有合法监护的证明。</w:t>
      </w:r>
    </w:p>
    <w:p>
      <w:pPr>
        <w:pStyle w:val="Heading2"/>
        <w:numPr>
          <w:ilvl w:val="1"/>
          <w:numId w:val="6"/>
        </w:numPr>
        <w:tabs>
          <w:tab w:pos="692" w:val="left" w:leader="none"/>
          <w:tab w:pos="693" w:val="left" w:leader="none"/>
        </w:tabs>
        <w:spacing w:line="240" w:lineRule="auto" w:before="216" w:after="0"/>
        <w:ind w:left="692" w:right="0" w:hanging="566"/>
        <w:jc w:val="left"/>
      </w:pPr>
      <w:bookmarkStart w:name="_TOC_250059" w:id="39"/>
      <w:bookmarkEnd w:id="39"/>
      <w:r>
        <w:rPr>
          <w:w w:val="95"/>
        </w:rPr>
        <w:t>保险金的给付</w:t>
      </w:r>
    </w:p>
    <w:p>
      <w:pPr>
        <w:pStyle w:val="BodyText"/>
        <w:spacing w:before="9"/>
        <w:ind w:left="0"/>
        <w:rPr>
          <w:rFonts w:ascii="Microsoft JhengHei UI"/>
          <w:b/>
          <w:sz w:val="16"/>
        </w:rPr>
      </w:pPr>
    </w:p>
    <w:p>
      <w:pPr>
        <w:pStyle w:val="BodyText"/>
        <w:spacing w:line="273" w:lineRule="auto"/>
        <w:ind w:right="198"/>
      </w:pPr>
      <w:r>
        <w:rPr>
          <w:spacing w:val="-4"/>
          <w:w w:val="95"/>
        </w:rPr>
        <w:t>本公司在收到理赔申请书及合同约定的证明和资料后，将及时作出核定；情形复杂的，在</w:t>
      </w:r>
      <w:r>
        <w:rPr>
          <w:w w:val="95"/>
        </w:rPr>
        <w:t>30   日内作出核定，本附加险合同另有约定的除外。</w:t>
      </w:r>
    </w:p>
    <w:p>
      <w:pPr>
        <w:pStyle w:val="BodyText"/>
        <w:spacing w:line="273" w:lineRule="auto" w:before="7"/>
        <w:ind w:right="201"/>
      </w:pPr>
      <w:r>
        <w:rPr>
          <w:spacing w:val="-5"/>
          <w:w w:val="95"/>
        </w:rPr>
        <w:t>对属于保险责任的，本公司在与受益人或被保险人达成给付保险金的协议后</w:t>
      </w:r>
      <w:r>
        <w:rPr>
          <w:w w:val="95"/>
        </w:rPr>
        <w:t>10</w:t>
      </w:r>
      <w:r>
        <w:rPr>
          <w:spacing w:val="-7"/>
          <w:w w:val="95"/>
        </w:rPr>
        <w:t>日内，履行给   付保险金的义务。</w:t>
      </w:r>
    </w:p>
    <w:p>
      <w:pPr>
        <w:pStyle w:val="BodyText"/>
        <w:spacing w:line="273" w:lineRule="auto" w:before="7"/>
        <w:ind w:right="197"/>
        <w:jc w:val="both"/>
      </w:pPr>
      <w:r>
        <w:rPr>
          <w:spacing w:val="-5"/>
        </w:rPr>
        <w:t>本公司未及时履行前款规定义务的，除支付保险金外，应当赔偿受益人或者被保险人因此受</w:t>
      </w:r>
      <w:r>
        <w:rPr>
          <w:spacing w:val="-11"/>
          <w:w w:val="95"/>
        </w:rPr>
        <w:t>到的利息损失。利息按照本公司确定的利率按单利计算，且本公司确定的利率不低于中国人   民银行公布的金融机构人民币活期存款基准利率。</w:t>
      </w:r>
    </w:p>
    <w:p>
      <w:pPr>
        <w:pStyle w:val="BodyText"/>
        <w:spacing w:line="273" w:lineRule="auto" w:before="7"/>
        <w:ind w:right="216"/>
      </w:pPr>
      <w:r>
        <w:rPr>
          <w:w w:val="95"/>
        </w:rPr>
        <w:t>对不属于保险责任的，本公司自作出核定之日起3日内向受益人发出拒绝给付保险金通知书   并说明理由。</w:t>
      </w:r>
    </w:p>
    <w:p>
      <w:pPr>
        <w:pStyle w:val="Heading2"/>
        <w:numPr>
          <w:ilvl w:val="1"/>
          <w:numId w:val="6"/>
        </w:numPr>
        <w:tabs>
          <w:tab w:pos="693" w:val="left" w:leader="none"/>
        </w:tabs>
        <w:spacing w:line="240" w:lineRule="auto" w:before="216" w:after="0"/>
        <w:ind w:left="692" w:right="0" w:hanging="566"/>
        <w:jc w:val="both"/>
      </w:pPr>
      <w:bookmarkStart w:name="_TOC_250058" w:id="40"/>
      <w:bookmarkEnd w:id="40"/>
      <w:r>
        <w:rPr>
          <w:w w:val="95"/>
        </w:rPr>
        <w:t>保险金诉讼时效</w:t>
      </w:r>
    </w:p>
    <w:p>
      <w:pPr>
        <w:pStyle w:val="BodyText"/>
        <w:spacing w:before="6"/>
        <w:ind w:left="0"/>
        <w:rPr>
          <w:rFonts w:ascii="Microsoft JhengHei UI"/>
          <w:b/>
          <w:sz w:val="16"/>
        </w:rPr>
      </w:pPr>
    </w:p>
    <w:p>
      <w:pPr>
        <w:pStyle w:val="BodyText"/>
        <w:jc w:val="both"/>
      </w:pPr>
      <w:r>
        <w:rPr>
          <w:w w:val="95"/>
        </w:rPr>
        <w:t>受益人请求给付保险金的诉讼时效为二年，自其知道或者应当知道保险事故发生之日起算。</w:t>
      </w:r>
    </w:p>
    <w:p>
      <w:pPr>
        <w:pStyle w:val="BodyText"/>
        <w:spacing w:before="6"/>
        <w:ind w:left="0"/>
        <w:rPr>
          <w:sz w:val="23"/>
        </w:rPr>
      </w:pPr>
    </w:p>
    <w:p>
      <w:pPr>
        <w:pStyle w:val="Heading2"/>
        <w:numPr>
          <w:ilvl w:val="0"/>
          <w:numId w:val="6"/>
        </w:numPr>
        <w:tabs>
          <w:tab w:pos="552" w:val="left" w:leader="none"/>
        </w:tabs>
        <w:spacing w:line="240" w:lineRule="auto" w:before="1" w:after="0"/>
        <w:ind w:left="551" w:right="0" w:hanging="431"/>
        <w:jc w:val="both"/>
        <w:rPr>
          <w:rFonts w:ascii="Malgun Gothic" w:eastAsia="Malgun Gothic" w:hint="eastAsia"/>
        </w:rPr>
      </w:pPr>
      <w:bookmarkStart w:name="_TOC_250057" w:id="41"/>
      <w:bookmarkEnd w:id="41"/>
      <w:r>
        <w:rPr>
          <w:w w:val="95"/>
        </w:rPr>
        <w:t>合同效力的变动</w:t>
      </w:r>
    </w:p>
    <w:p>
      <w:pPr>
        <w:pStyle w:val="BodyText"/>
        <w:spacing w:before="11"/>
        <w:ind w:left="0"/>
        <w:rPr>
          <w:rFonts w:ascii="Microsoft JhengHei UI"/>
          <w:b/>
          <w:sz w:val="17"/>
        </w:rPr>
      </w:pPr>
    </w:p>
    <w:p>
      <w:pPr>
        <w:pStyle w:val="Heading2"/>
        <w:numPr>
          <w:ilvl w:val="1"/>
          <w:numId w:val="6"/>
        </w:numPr>
        <w:tabs>
          <w:tab w:pos="693" w:val="left" w:leader="none"/>
        </w:tabs>
        <w:spacing w:line="240" w:lineRule="auto" w:before="1" w:after="0"/>
        <w:ind w:left="692" w:right="0" w:hanging="566"/>
        <w:jc w:val="both"/>
      </w:pPr>
      <w:bookmarkStart w:name="_TOC_250056" w:id="42"/>
      <w:bookmarkEnd w:id="42"/>
      <w:r>
        <w:rPr>
          <w:w w:val="95"/>
        </w:rPr>
        <w:t>合同效力的中止</w:t>
      </w:r>
    </w:p>
    <w:p>
      <w:pPr>
        <w:pStyle w:val="BodyText"/>
        <w:spacing w:before="6"/>
        <w:ind w:left="0"/>
        <w:rPr>
          <w:rFonts w:ascii="Microsoft JhengHei UI"/>
          <w:b/>
          <w:sz w:val="16"/>
        </w:rPr>
      </w:pPr>
    </w:p>
    <w:p>
      <w:pPr>
        <w:pStyle w:val="BodyText"/>
        <w:spacing w:line="273" w:lineRule="auto"/>
        <w:ind w:right="143"/>
      </w:pPr>
      <w:r>
        <w:rPr>
          <w:w w:val="95"/>
        </w:rPr>
        <w:t>如果您在保险费支付宽限期结束后未支付到期应交的保险费，除本附加险合同另有约定外，  本附加险合同自宽限期满次日零时起效力中止。</w:t>
      </w:r>
    </w:p>
    <w:p>
      <w:pPr>
        <w:spacing w:after="0" w:line="273" w:lineRule="auto"/>
        <w:sectPr>
          <w:pgSz w:w="11910" w:h="16840"/>
          <w:pgMar w:header="0" w:footer="1090" w:top="1340" w:bottom="1280" w:left="1680" w:right="1600"/>
        </w:sectPr>
      </w:pPr>
    </w:p>
    <w:p>
      <w:pPr>
        <w:pStyle w:val="BodyText"/>
        <w:spacing w:before="7"/>
      </w:pPr>
      <w:bookmarkStart w:name="合同效力的恢复" w:id="43"/>
      <w:bookmarkEnd w:id="43"/>
      <w:r>
        <w:rPr/>
      </w:r>
      <w:bookmarkStart w:name="合同的解除——退保" w:id="44"/>
      <w:bookmarkEnd w:id="44"/>
      <w:r>
        <w:rPr/>
      </w:r>
      <w:bookmarkStart w:name="8.3.1.犹豫期" w:id="45"/>
      <w:bookmarkEnd w:id="45"/>
      <w:r>
        <w:rPr/>
      </w:r>
      <w:bookmarkStart w:name="8.3.2.犹豫期之后申请退保" w:id="46"/>
      <w:bookmarkEnd w:id="46"/>
      <w:r>
        <w:rPr/>
      </w:r>
      <w:bookmarkStart w:name="8.3.3.退保申请" w:id="47"/>
      <w:bookmarkEnd w:id="47"/>
      <w:r>
        <w:rPr/>
      </w:r>
      <w:bookmarkStart w:name="合同的终止" w:id="48"/>
      <w:bookmarkEnd w:id="48"/>
      <w:r>
        <w:rPr/>
      </w:r>
      <w:r>
        <w:rPr>
          <w:w w:val="95"/>
        </w:rPr>
        <w:t>在本附加险合同效力中止期间，本公司不承担保险责任。</w:t>
      </w:r>
    </w:p>
    <w:p>
      <w:pPr>
        <w:pStyle w:val="BodyText"/>
        <w:spacing w:before="11"/>
        <w:ind w:left="0"/>
        <w:rPr>
          <w:sz w:val="17"/>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55" w:id="49"/>
      <w:bookmarkEnd w:id="49"/>
      <w:r>
        <w:rPr>
          <w:w w:val="95"/>
        </w:rPr>
        <w:t>合同效力的恢复</w:t>
      </w:r>
    </w:p>
    <w:p>
      <w:pPr>
        <w:pStyle w:val="BodyText"/>
        <w:spacing w:before="8"/>
        <w:ind w:left="0"/>
        <w:rPr>
          <w:rFonts w:ascii="Microsoft JhengHei UI"/>
          <w:b/>
          <w:sz w:val="16"/>
        </w:rPr>
      </w:pPr>
    </w:p>
    <w:p>
      <w:pPr>
        <w:pStyle w:val="BodyText"/>
        <w:spacing w:line="273" w:lineRule="auto"/>
        <w:ind w:right="117"/>
        <w:jc w:val="both"/>
      </w:pPr>
      <w:r>
        <w:rPr/>
        <w:t>本附加险合同效力中止后2年内，您申请恢复合同效力的，应填写复效申请书，并按本公司</w:t>
      </w:r>
      <w:r>
        <w:rPr>
          <w:spacing w:val="-3"/>
          <w:w w:val="95"/>
        </w:rPr>
        <w:t>的规定提供被保险人健康声明书或本公司指定的医院出具的体检报告书。经本公司与您协商   并达成协议，自您补交各项欠款及应付利息后的次日零时起，本附加险合同效力恢复。</w:t>
      </w:r>
    </w:p>
    <w:p>
      <w:pPr>
        <w:pStyle w:val="BodyText"/>
        <w:spacing w:line="273" w:lineRule="auto" w:before="5"/>
        <w:ind w:right="119"/>
        <w:jc w:val="both"/>
      </w:pPr>
      <w:r>
        <w:rPr/>
        <w:t>自本附加险合同效力中止之日起满2年您和本公司未达成协议的，本公司有权解除合同，本</w:t>
      </w:r>
      <w:r>
        <w:rPr>
          <w:spacing w:val="-6"/>
          <w:w w:val="95"/>
        </w:rPr>
        <w:t>附加险合同自解除之日起终止。本公司解除合同的，向您退还本附加险合同效力中止时的现   金价值。</w:t>
      </w:r>
    </w:p>
    <w:p>
      <w:pPr>
        <w:pStyle w:val="BodyText"/>
        <w:spacing w:before="8"/>
        <w:ind w:left="0"/>
        <w:rPr>
          <w:sz w:val="24"/>
        </w:rPr>
      </w:pPr>
    </w:p>
    <w:p>
      <w:pPr>
        <w:pStyle w:val="BodyText"/>
      </w:pPr>
      <w:r>
        <w:rPr>
          <w:w w:val="95"/>
        </w:rPr>
        <w:t>主险合同效力中止期间，本附加险合同不得单独申请复效。</w:t>
      </w:r>
    </w:p>
    <w:p>
      <w:pPr>
        <w:pStyle w:val="BodyText"/>
        <w:spacing w:before="10"/>
        <w:ind w:left="0"/>
        <w:rPr>
          <w:sz w:val="18"/>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54" w:id="50"/>
      <w:bookmarkEnd w:id="50"/>
      <w:r>
        <w:rPr>
          <w:w w:val="95"/>
        </w:rPr>
        <w:t>合同的解除——退保</w:t>
      </w:r>
    </w:p>
    <w:p>
      <w:pPr>
        <w:pStyle w:val="Heading2"/>
        <w:numPr>
          <w:ilvl w:val="2"/>
          <w:numId w:val="6"/>
        </w:numPr>
        <w:tabs>
          <w:tab w:pos="669" w:val="left" w:leader="none"/>
        </w:tabs>
        <w:spacing w:line="240" w:lineRule="auto" w:before="222" w:after="0"/>
        <w:ind w:left="668" w:right="0" w:hanging="542"/>
        <w:jc w:val="left"/>
      </w:pPr>
      <w:bookmarkStart w:name="_TOC_250053" w:id="51"/>
      <w:bookmarkEnd w:id="51"/>
      <w:r>
        <w:rPr>
          <w:w w:val="95"/>
        </w:rPr>
        <w:t>犹豫期</w:t>
      </w:r>
    </w:p>
    <w:p>
      <w:pPr>
        <w:pStyle w:val="BodyText"/>
        <w:spacing w:before="9"/>
        <w:ind w:left="0"/>
        <w:rPr>
          <w:rFonts w:ascii="Microsoft JhengHei UI"/>
          <w:b/>
          <w:sz w:val="16"/>
        </w:rPr>
      </w:pPr>
    </w:p>
    <w:p>
      <w:pPr>
        <w:pStyle w:val="BodyText"/>
        <w:spacing w:line="273" w:lineRule="auto"/>
        <w:ind w:right="117"/>
        <w:jc w:val="both"/>
      </w:pPr>
      <w:r>
        <w:rPr>
          <w:spacing w:val="-3"/>
          <w:w w:val="95"/>
        </w:rPr>
        <w:t>自您签收到本附加险合同之日起，本公司给予您</w:t>
      </w:r>
      <w:r>
        <w:rPr>
          <w:w w:val="95"/>
        </w:rPr>
        <w:t>10</w:t>
      </w:r>
      <w:r>
        <w:rPr>
          <w:spacing w:val="-6"/>
          <w:w w:val="95"/>
        </w:rPr>
        <w:t>日的犹豫期。在此期间请您认真审视本附   </w:t>
      </w:r>
      <w:r>
        <w:rPr>
          <w:spacing w:val="-11"/>
          <w:w w:val="95"/>
        </w:rPr>
        <w:t>加险合同，如果您认为本附加险合同与您的需求不相符，您可以在此期间提出解除本附加险   合同，本公司将退还您已支付的全部保险费。</w:t>
      </w:r>
    </w:p>
    <w:p>
      <w:pPr>
        <w:pStyle w:val="BodyText"/>
        <w:spacing w:line="273" w:lineRule="auto" w:before="5"/>
        <w:ind w:right="117"/>
        <w:jc w:val="both"/>
      </w:pPr>
      <w:r>
        <w:rPr>
          <w:spacing w:val="-6"/>
          <w:w w:val="95"/>
        </w:rPr>
        <w:t>解除本附加险合同时，您须填写申请书，并提供本附加险合同、您的有效身份证明文件及您   </w:t>
      </w:r>
      <w:r>
        <w:rPr>
          <w:spacing w:val="-11"/>
          <w:w w:val="95"/>
        </w:rPr>
        <w:t>所交保险费的发票。自本公司收到您的申请书时起，本附加险合同即被解除，本附加险合同   解除前发生的保险事故，本公司不承担给付保险金的责任。</w:t>
      </w:r>
    </w:p>
    <w:p>
      <w:pPr>
        <w:pStyle w:val="Heading2"/>
        <w:numPr>
          <w:ilvl w:val="2"/>
          <w:numId w:val="6"/>
        </w:numPr>
        <w:tabs>
          <w:tab w:pos="669" w:val="left" w:leader="none"/>
        </w:tabs>
        <w:spacing w:line="240" w:lineRule="auto" w:before="218" w:after="0"/>
        <w:ind w:left="668" w:right="0" w:hanging="542"/>
        <w:jc w:val="left"/>
      </w:pPr>
      <w:bookmarkStart w:name="_TOC_250052" w:id="52"/>
      <w:bookmarkEnd w:id="52"/>
      <w:r>
        <w:rPr>
          <w:w w:val="95"/>
        </w:rPr>
        <w:t>犹豫期之后申请退保</w:t>
      </w:r>
    </w:p>
    <w:p>
      <w:pPr>
        <w:pStyle w:val="BodyText"/>
        <w:spacing w:before="5"/>
        <w:ind w:left="0"/>
        <w:rPr>
          <w:rFonts w:ascii="Microsoft JhengHei UI"/>
          <w:b/>
          <w:sz w:val="16"/>
        </w:rPr>
      </w:pPr>
    </w:p>
    <w:p>
      <w:pPr>
        <w:pStyle w:val="BodyText"/>
        <w:spacing w:line="273" w:lineRule="auto" w:before="1"/>
        <w:ind w:right="117"/>
      </w:pPr>
      <w:r>
        <w:rPr>
          <w:w w:val="95"/>
        </w:rPr>
        <w:t>如您在犹豫期后申请解除本附加险合同，自本公司收到退保申请时起，本附加险合同终止</w:t>
      </w:r>
      <w:r>
        <w:rPr>
          <w:w w:val="85"/>
        </w:rPr>
        <w:t>。  </w:t>
      </w:r>
      <w:r>
        <w:rPr>
          <w:w w:val="95"/>
        </w:rPr>
        <w:t>本公司自收到退保申请之日起30日内向您退还本附加险合同终止时的现金价值。</w:t>
      </w:r>
    </w:p>
    <w:p>
      <w:pPr>
        <w:pStyle w:val="BodyText"/>
        <w:spacing w:before="4"/>
        <w:ind w:left="0"/>
        <w:rPr>
          <w:sz w:val="25"/>
        </w:rPr>
      </w:pPr>
    </w:p>
    <w:p>
      <w:pPr>
        <w:pStyle w:val="BodyText"/>
        <w:spacing w:before="1"/>
        <w:jc w:val="both"/>
      </w:pPr>
      <w:r>
        <w:rPr>
          <w:w w:val="95"/>
        </w:rPr>
        <w:t>您在犹豫期后解除合同会遭受一定损失。</w:t>
      </w:r>
    </w:p>
    <w:p>
      <w:pPr>
        <w:pStyle w:val="BodyText"/>
        <w:spacing w:before="1"/>
        <w:ind w:left="0"/>
        <w:rPr>
          <w:sz w:val="18"/>
        </w:rPr>
      </w:pPr>
    </w:p>
    <w:p>
      <w:pPr>
        <w:pStyle w:val="Heading2"/>
        <w:numPr>
          <w:ilvl w:val="2"/>
          <w:numId w:val="6"/>
        </w:numPr>
        <w:tabs>
          <w:tab w:pos="669" w:val="left" w:leader="none"/>
        </w:tabs>
        <w:spacing w:line="240" w:lineRule="auto" w:before="0" w:after="0"/>
        <w:ind w:left="668" w:right="0" w:hanging="542"/>
        <w:jc w:val="both"/>
      </w:pPr>
      <w:bookmarkStart w:name="_TOC_250051" w:id="53"/>
      <w:bookmarkEnd w:id="53"/>
      <w:r>
        <w:rPr>
          <w:w w:val="95"/>
        </w:rPr>
        <w:t>退保申请</w:t>
      </w:r>
    </w:p>
    <w:p>
      <w:pPr>
        <w:pStyle w:val="BodyText"/>
        <w:spacing w:before="6"/>
        <w:ind w:left="0"/>
        <w:rPr>
          <w:rFonts w:ascii="Microsoft JhengHei UI"/>
          <w:b/>
          <w:sz w:val="16"/>
        </w:rPr>
      </w:pPr>
    </w:p>
    <w:p>
      <w:pPr>
        <w:pStyle w:val="BodyText"/>
        <w:jc w:val="both"/>
      </w:pPr>
      <w:r>
        <w:rPr>
          <w:w w:val="95"/>
        </w:rPr>
        <w:t>申请退保时需要填写保全业务申请书，并提供下列证明、资料的原件：</w:t>
      </w:r>
    </w:p>
    <w:p>
      <w:pPr>
        <w:pStyle w:val="BodyText"/>
        <w:spacing w:before="36"/>
        <w:ind w:left="328"/>
      </w:pPr>
      <w:r>
        <w:rPr>
          <w:w w:val="93"/>
        </w:rPr>
        <w:t>1</w:t>
      </w:r>
      <w:r>
        <w:rPr>
          <w:spacing w:val="-1"/>
          <w:w w:val="43"/>
        </w:rPr>
        <w:t>.</w:t>
      </w:r>
      <w:r>
        <w:rPr>
          <w:w w:val="99"/>
        </w:rPr>
        <w:t>您的有效身份证明文件；</w:t>
      </w:r>
    </w:p>
    <w:p>
      <w:pPr>
        <w:pStyle w:val="BodyText"/>
        <w:spacing w:before="36"/>
        <w:ind w:left="328"/>
      </w:pPr>
      <w:r>
        <w:rPr>
          <w:w w:val="93"/>
        </w:rPr>
        <w:t>2</w:t>
      </w:r>
      <w:r>
        <w:rPr>
          <w:spacing w:val="-1"/>
          <w:w w:val="43"/>
        </w:rPr>
        <w:t>.</w:t>
      </w:r>
      <w:r>
        <w:rPr>
          <w:w w:val="99"/>
        </w:rPr>
        <w:t>本附加险合同。</w:t>
      </w:r>
    </w:p>
    <w:p>
      <w:pPr>
        <w:pStyle w:val="BodyText"/>
        <w:spacing w:before="10"/>
        <w:ind w:left="0"/>
        <w:rPr>
          <w:sz w:val="18"/>
        </w:rPr>
      </w:pPr>
    </w:p>
    <w:p>
      <w:pPr>
        <w:pStyle w:val="Heading2"/>
        <w:numPr>
          <w:ilvl w:val="1"/>
          <w:numId w:val="6"/>
        </w:numPr>
        <w:tabs>
          <w:tab w:pos="693" w:val="left" w:leader="none"/>
        </w:tabs>
        <w:spacing w:line="240" w:lineRule="auto" w:before="0" w:after="0"/>
        <w:ind w:left="692" w:right="0" w:hanging="566"/>
        <w:jc w:val="both"/>
      </w:pPr>
      <w:bookmarkStart w:name="_TOC_250050" w:id="54"/>
      <w:bookmarkEnd w:id="54"/>
      <w:r>
        <w:rPr>
          <w:w w:val="95"/>
        </w:rPr>
        <w:t>合同的终止</w:t>
      </w:r>
    </w:p>
    <w:p>
      <w:pPr>
        <w:pStyle w:val="BodyText"/>
        <w:spacing w:before="8"/>
        <w:ind w:left="0"/>
        <w:rPr>
          <w:rFonts w:ascii="Microsoft JhengHei UI"/>
          <w:b/>
          <w:sz w:val="16"/>
        </w:rPr>
      </w:pPr>
    </w:p>
    <w:p>
      <w:pPr>
        <w:pStyle w:val="BodyText"/>
        <w:spacing w:before="1"/>
        <w:jc w:val="both"/>
      </w:pPr>
      <w:r>
        <w:rPr>
          <w:w w:val="95"/>
        </w:rPr>
        <w:t>本附加险合同将于下述情况之一出现自动终止：</w:t>
      </w:r>
    </w:p>
    <w:p>
      <w:pPr>
        <w:pStyle w:val="BodyText"/>
        <w:spacing w:before="37"/>
        <w:ind w:left="213"/>
        <w:jc w:val="both"/>
      </w:pPr>
      <w:r>
        <w:rPr>
          <w:w w:val="95"/>
        </w:rPr>
        <w:t>1．主险合同效力终止；</w:t>
      </w:r>
    </w:p>
    <w:p>
      <w:pPr>
        <w:pStyle w:val="BodyText"/>
        <w:spacing w:before="37"/>
        <w:ind w:left="213"/>
        <w:jc w:val="both"/>
      </w:pPr>
      <w:r>
        <w:rPr>
          <w:w w:val="95"/>
        </w:rPr>
        <w:t>2．主险合同变更为减额交清保险；</w:t>
      </w:r>
    </w:p>
    <w:p>
      <w:pPr>
        <w:pStyle w:val="BodyText"/>
        <w:spacing w:before="37"/>
        <w:ind w:left="213"/>
        <w:jc w:val="both"/>
      </w:pPr>
      <w:r>
        <w:rPr>
          <w:w w:val="95"/>
        </w:rPr>
        <w:t>3．本附加险合同到期终止；</w:t>
      </w:r>
    </w:p>
    <w:p>
      <w:pPr>
        <w:pStyle w:val="BodyText"/>
        <w:spacing w:before="37"/>
        <w:ind w:left="213"/>
        <w:jc w:val="both"/>
      </w:pPr>
      <w:r>
        <w:rPr>
          <w:w w:val="95"/>
        </w:rPr>
        <w:t>4．本附加险合同其他条款所列合同终止情况。</w:t>
      </w:r>
    </w:p>
    <w:p>
      <w:pPr>
        <w:spacing w:after="0"/>
        <w:jc w:val="both"/>
        <w:sectPr>
          <w:pgSz w:w="11910" w:h="16840"/>
          <w:pgMar w:header="0" w:footer="1090" w:top="1400" w:bottom="1280" w:left="1680" w:right="1680"/>
        </w:sectPr>
      </w:pPr>
    </w:p>
    <w:p>
      <w:pPr>
        <w:pStyle w:val="Heading2"/>
        <w:numPr>
          <w:ilvl w:val="0"/>
          <w:numId w:val="6"/>
        </w:numPr>
        <w:tabs>
          <w:tab w:pos="550" w:val="left" w:leader="none"/>
          <w:tab w:pos="552" w:val="left" w:leader="none"/>
        </w:tabs>
        <w:spacing w:line="354" w:lineRule="exact" w:before="0" w:after="0"/>
        <w:ind w:left="551" w:right="0" w:hanging="431"/>
        <w:jc w:val="left"/>
        <w:rPr>
          <w:rFonts w:ascii="Malgun Gothic" w:eastAsia="Malgun Gothic" w:hint="eastAsia"/>
        </w:rPr>
      </w:pPr>
      <w:bookmarkStart w:name="_TOC_250049" w:id="55"/>
      <w:bookmarkStart w:name="被保险人年龄确定错误处理" w:id="56"/>
      <w:r>
        <w:rPr>
          <w:b w:val="0"/>
        </w:rPr>
      </w:r>
      <w:bookmarkStart w:name="适用主险条款" w:id="57"/>
      <w:bookmarkEnd w:id="57"/>
      <w:r>
        <w:rPr>
          <w:b w:val="0"/>
        </w:rPr>
      </w:r>
      <w:bookmarkStart w:name="释义" w:id="58"/>
      <w:bookmarkEnd w:id="58"/>
      <w:r>
        <w:rPr>
          <w:b w:val="0"/>
        </w:rPr>
      </w:r>
      <w:bookmarkStart w:name="周岁" w:id="59"/>
      <w:bookmarkEnd w:id="59"/>
      <w:r>
        <w:rPr>
          <w:b w:val="0"/>
        </w:rPr>
      </w:r>
      <w:bookmarkStart w:name="医院" w:id="60"/>
      <w:bookmarkEnd w:id="60"/>
      <w:r>
        <w:rPr>
          <w:b w:val="0"/>
        </w:rPr>
      </w:r>
      <w:bookmarkStart w:name="30种重大疾病" w:id="61"/>
      <w:bookmarkEnd w:id="61"/>
      <w:r>
        <w:rPr>
          <w:b w:val="0"/>
        </w:rPr>
      </w:r>
      <w:bookmarkStart w:name="30种重大疾病" w:id="62"/>
      <w:bookmarkEnd w:id="55"/>
      <w:r>
        <w:rPr>
          <w:w w:val="95"/>
        </w:rPr>
        <w:t>被保险人年龄确定错误处理</w:t>
      </w:r>
    </w:p>
    <w:p>
      <w:pPr>
        <w:pStyle w:val="BodyText"/>
        <w:spacing w:before="9"/>
        <w:ind w:left="0"/>
        <w:rPr>
          <w:rFonts w:ascii="Microsoft JhengHei UI"/>
          <w:b/>
          <w:sz w:val="20"/>
        </w:rPr>
      </w:pPr>
    </w:p>
    <w:p>
      <w:pPr>
        <w:pStyle w:val="BodyText"/>
        <w:spacing w:line="273" w:lineRule="auto"/>
        <w:ind w:right="121"/>
      </w:pPr>
      <w:r>
        <w:rPr>
          <w:spacing w:val="-8"/>
          <w:w w:val="95"/>
        </w:rPr>
        <w:t>您在申请投保时，应将与有效身份证件相符的被保险人的出生日期在投保单上填明，如果发   生错误将按照下列方式处理：</w:t>
      </w:r>
    </w:p>
    <w:p>
      <w:pPr>
        <w:pStyle w:val="BodyText"/>
        <w:spacing w:line="273" w:lineRule="auto" w:before="7"/>
        <w:ind w:right="117"/>
      </w:pPr>
      <w:r>
        <w:rPr/>
        <w:t>（1）您申报的被保险人年龄不真实，并且其真实年龄不符合本附加险合同约定投保年龄限</w:t>
      </w:r>
      <w:r>
        <w:rPr>
          <w:w w:val="95"/>
        </w:rPr>
        <w:t>制的，本公司有权解除合同。对于解除本附加险合同的，本附加险合同自解除之日起终止，  </w:t>
      </w:r>
      <w:r>
        <w:rPr/>
        <w:t>本公司向您退还本附加险合同终止时的现金价值。对于本附加险合同解除前发生的保险事</w:t>
      </w:r>
      <w:r>
        <w:rPr>
          <w:spacing w:val="-4"/>
          <w:w w:val="99"/>
        </w:rPr>
        <w:t>故，本公司不承担给付保险金的责任。本公司行使合同解除权适用主险合同“</w:t>
      </w:r>
      <w:r>
        <w:rPr>
          <w:w w:val="93"/>
        </w:rPr>
        <w:t>13</w:t>
      </w:r>
      <w:r>
        <w:rPr>
          <w:spacing w:val="-1"/>
          <w:w w:val="43"/>
        </w:rPr>
        <w:t>.</w:t>
      </w:r>
      <w:r>
        <w:rPr>
          <w:spacing w:val="1"/>
          <w:w w:val="93"/>
        </w:rPr>
        <w:t>2</w:t>
      </w:r>
      <w:r>
        <w:rPr>
          <w:w w:val="99"/>
        </w:rPr>
        <w:t>合同解除</w:t>
      </w:r>
      <w:r>
        <w:rPr>
          <w:w w:val="95"/>
        </w:rPr>
        <w:t>权的限制”的规定。</w:t>
      </w:r>
    </w:p>
    <w:p>
      <w:pPr>
        <w:pStyle w:val="BodyText"/>
        <w:spacing w:line="273" w:lineRule="auto" w:before="7"/>
        <w:ind w:right="117"/>
        <w:jc w:val="both"/>
      </w:pPr>
      <w:r>
        <w:rPr/>
        <w:t>（2）如果您申报的被保险人年龄不真实，致使您实交的保险费少于应交保险费的，本公司</w:t>
      </w:r>
      <w:r>
        <w:rPr>
          <w:spacing w:val="-6"/>
          <w:w w:val="95"/>
        </w:rPr>
        <w:t>有权更正并要求您补交保险费。如果已发生保险事故，本公司将按实交保险费和应交保险费   的比例给付保险金。</w:t>
      </w:r>
    </w:p>
    <w:p>
      <w:pPr>
        <w:pStyle w:val="BodyText"/>
        <w:spacing w:line="273" w:lineRule="auto" w:before="7"/>
        <w:ind w:right="136"/>
      </w:pPr>
      <w:r>
        <w:rPr>
          <w:w w:val="95"/>
        </w:rPr>
        <w:t>（3）如果您申报的被保险人年龄不真实，致使您实交的保险费多于应交保险费的，本公司   将无息退还多收的保险费给您。</w:t>
      </w:r>
    </w:p>
    <w:p>
      <w:pPr>
        <w:pStyle w:val="BodyText"/>
        <w:spacing w:before="4"/>
        <w:ind w:left="0"/>
      </w:pPr>
    </w:p>
    <w:p>
      <w:pPr>
        <w:pStyle w:val="Heading2"/>
        <w:numPr>
          <w:ilvl w:val="0"/>
          <w:numId w:val="6"/>
        </w:numPr>
        <w:tabs>
          <w:tab w:pos="552" w:val="left" w:leader="none"/>
        </w:tabs>
        <w:spacing w:line="240" w:lineRule="auto" w:before="0" w:after="0"/>
        <w:ind w:left="551" w:right="0" w:hanging="431"/>
        <w:jc w:val="left"/>
        <w:rPr>
          <w:rFonts w:ascii="Malgun Gothic" w:eastAsia="Malgun Gothic" w:hint="eastAsia"/>
        </w:rPr>
      </w:pPr>
      <w:bookmarkStart w:name="_TOC_250048" w:id="63"/>
      <w:bookmarkEnd w:id="63"/>
      <w:r>
        <w:rPr>
          <w:w w:val="95"/>
        </w:rPr>
        <w:t>适用主险条款</w:t>
      </w:r>
    </w:p>
    <w:p>
      <w:pPr>
        <w:pStyle w:val="BodyText"/>
        <w:spacing w:before="11"/>
        <w:ind w:left="0"/>
        <w:rPr>
          <w:rFonts w:ascii="Microsoft JhengHei UI"/>
          <w:b/>
          <w:sz w:val="20"/>
        </w:rPr>
      </w:pPr>
    </w:p>
    <w:p>
      <w:pPr>
        <w:pStyle w:val="BodyText"/>
        <w:spacing w:before="1"/>
      </w:pPr>
      <w:r>
        <w:rPr>
          <w:w w:val="95"/>
        </w:rPr>
        <w:t>下列各项条款，适用主险合同条款：</w:t>
      </w:r>
    </w:p>
    <w:p>
      <w:pPr>
        <w:pStyle w:val="ListParagraph"/>
        <w:numPr>
          <w:ilvl w:val="0"/>
          <w:numId w:val="8"/>
        </w:numPr>
        <w:tabs>
          <w:tab w:pos="539" w:val="left" w:leader="none"/>
          <w:tab w:pos="540" w:val="left" w:leader="none"/>
        </w:tabs>
        <w:spacing w:line="240" w:lineRule="auto" w:before="37" w:after="0"/>
        <w:ind w:left="540" w:right="0" w:hanging="420"/>
        <w:jc w:val="left"/>
        <w:rPr>
          <w:sz w:val="21"/>
        </w:rPr>
      </w:pPr>
      <w:r>
        <w:rPr>
          <w:w w:val="95"/>
          <w:sz w:val="21"/>
        </w:rPr>
        <w:t>宽限期；</w:t>
      </w:r>
    </w:p>
    <w:p>
      <w:pPr>
        <w:pStyle w:val="ListParagraph"/>
        <w:numPr>
          <w:ilvl w:val="0"/>
          <w:numId w:val="8"/>
        </w:numPr>
        <w:tabs>
          <w:tab w:pos="539" w:val="left" w:leader="none"/>
          <w:tab w:pos="540" w:val="left" w:leader="none"/>
        </w:tabs>
        <w:spacing w:line="240" w:lineRule="auto" w:before="34" w:after="0"/>
        <w:ind w:left="540" w:right="0" w:hanging="420"/>
        <w:jc w:val="left"/>
        <w:rPr>
          <w:sz w:val="21"/>
        </w:rPr>
      </w:pPr>
      <w:r>
        <w:rPr>
          <w:w w:val="95"/>
          <w:sz w:val="21"/>
        </w:rPr>
        <w:t>保险事故的通知；</w:t>
      </w:r>
    </w:p>
    <w:p>
      <w:pPr>
        <w:pStyle w:val="ListParagraph"/>
        <w:numPr>
          <w:ilvl w:val="0"/>
          <w:numId w:val="8"/>
        </w:numPr>
        <w:tabs>
          <w:tab w:pos="539" w:val="left" w:leader="none"/>
          <w:tab w:pos="540" w:val="left" w:leader="none"/>
        </w:tabs>
        <w:spacing w:line="240" w:lineRule="auto" w:before="36" w:after="0"/>
        <w:ind w:left="540" w:right="0" w:hanging="420"/>
        <w:jc w:val="left"/>
        <w:rPr>
          <w:sz w:val="21"/>
        </w:rPr>
      </w:pPr>
      <w:r>
        <w:rPr>
          <w:w w:val="95"/>
          <w:sz w:val="21"/>
        </w:rPr>
        <w:t>未还款项；</w:t>
      </w:r>
    </w:p>
    <w:p>
      <w:pPr>
        <w:pStyle w:val="ListParagraph"/>
        <w:numPr>
          <w:ilvl w:val="0"/>
          <w:numId w:val="8"/>
        </w:numPr>
        <w:tabs>
          <w:tab w:pos="539" w:val="left" w:leader="none"/>
          <w:tab w:pos="540" w:val="left" w:leader="none"/>
        </w:tabs>
        <w:spacing w:line="240" w:lineRule="auto" w:before="36" w:after="0"/>
        <w:ind w:left="540" w:right="0" w:hanging="420"/>
        <w:jc w:val="left"/>
        <w:rPr>
          <w:sz w:val="21"/>
        </w:rPr>
      </w:pPr>
      <w:r>
        <w:rPr>
          <w:w w:val="95"/>
          <w:sz w:val="21"/>
        </w:rPr>
        <w:t>委托代办业务；</w:t>
      </w:r>
    </w:p>
    <w:p>
      <w:pPr>
        <w:pStyle w:val="ListParagraph"/>
        <w:numPr>
          <w:ilvl w:val="0"/>
          <w:numId w:val="8"/>
        </w:numPr>
        <w:tabs>
          <w:tab w:pos="539" w:val="left" w:leader="none"/>
          <w:tab w:pos="540" w:val="left" w:leader="none"/>
        </w:tabs>
        <w:spacing w:line="240" w:lineRule="auto" w:before="36" w:after="0"/>
        <w:ind w:left="540" w:right="0" w:hanging="420"/>
        <w:jc w:val="left"/>
        <w:rPr>
          <w:sz w:val="21"/>
        </w:rPr>
      </w:pPr>
      <w:r>
        <w:rPr>
          <w:w w:val="95"/>
          <w:sz w:val="21"/>
        </w:rPr>
        <w:t>明确说明与如实告知；</w:t>
      </w:r>
    </w:p>
    <w:p>
      <w:pPr>
        <w:pStyle w:val="ListParagraph"/>
        <w:numPr>
          <w:ilvl w:val="0"/>
          <w:numId w:val="8"/>
        </w:numPr>
        <w:tabs>
          <w:tab w:pos="539" w:val="left" w:leader="none"/>
          <w:tab w:pos="540" w:val="left" w:leader="none"/>
        </w:tabs>
        <w:spacing w:line="240" w:lineRule="auto" w:before="36" w:after="0"/>
        <w:ind w:left="540" w:right="0" w:hanging="420"/>
        <w:jc w:val="left"/>
        <w:rPr>
          <w:sz w:val="21"/>
        </w:rPr>
      </w:pPr>
      <w:r>
        <w:rPr>
          <w:w w:val="95"/>
          <w:sz w:val="21"/>
        </w:rPr>
        <w:t>合同解除权的限制；</w:t>
      </w:r>
    </w:p>
    <w:p>
      <w:pPr>
        <w:pStyle w:val="ListParagraph"/>
        <w:numPr>
          <w:ilvl w:val="0"/>
          <w:numId w:val="8"/>
        </w:numPr>
        <w:tabs>
          <w:tab w:pos="539" w:val="left" w:leader="none"/>
          <w:tab w:pos="540" w:val="left" w:leader="none"/>
        </w:tabs>
        <w:spacing w:line="240" w:lineRule="auto" w:before="36" w:after="0"/>
        <w:ind w:left="540" w:right="0" w:hanging="420"/>
        <w:jc w:val="left"/>
        <w:rPr>
          <w:sz w:val="21"/>
        </w:rPr>
      </w:pPr>
      <w:r>
        <w:rPr>
          <w:w w:val="95"/>
          <w:sz w:val="21"/>
        </w:rPr>
        <w:t>合同的变更；</w:t>
      </w:r>
    </w:p>
    <w:p>
      <w:pPr>
        <w:pStyle w:val="ListParagraph"/>
        <w:numPr>
          <w:ilvl w:val="0"/>
          <w:numId w:val="8"/>
        </w:numPr>
        <w:tabs>
          <w:tab w:pos="539" w:val="left" w:leader="none"/>
          <w:tab w:pos="540" w:val="left" w:leader="none"/>
        </w:tabs>
        <w:spacing w:line="240" w:lineRule="auto" w:before="36" w:after="0"/>
        <w:ind w:left="540" w:right="0" w:hanging="420"/>
        <w:jc w:val="left"/>
        <w:rPr>
          <w:sz w:val="21"/>
        </w:rPr>
      </w:pPr>
      <w:r>
        <w:rPr>
          <w:w w:val="95"/>
          <w:sz w:val="21"/>
        </w:rPr>
        <w:t>现金价值权益；</w:t>
      </w:r>
    </w:p>
    <w:p>
      <w:pPr>
        <w:pStyle w:val="ListParagraph"/>
        <w:numPr>
          <w:ilvl w:val="0"/>
          <w:numId w:val="8"/>
        </w:numPr>
        <w:tabs>
          <w:tab w:pos="539" w:val="left" w:leader="none"/>
          <w:tab w:pos="540" w:val="left" w:leader="none"/>
        </w:tabs>
        <w:spacing w:line="240" w:lineRule="auto" w:before="39" w:after="0"/>
        <w:ind w:left="540" w:right="0" w:hanging="420"/>
        <w:jc w:val="left"/>
        <w:rPr>
          <w:sz w:val="21"/>
        </w:rPr>
      </w:pPr>
      <w:r>
        <w:rPr>
          <w:w w:val="95"/>
          <w:sz w:val="21"/>
        </w:rPr>
        <w:t>争议处理。</w:t>
      </w:r>
    </w:p>
    <w:p>
      <w:pPr>
        <w:pStyle w:val="BodyText"/>
        <w:spacing w:before="5"/>
        <w:ind w:left="0"/>
        <w:rPr>
          <w:sz w:val="23"/>
        </w:rPr>
      </w:pPr>
    </w:p>
    <w:p>
      <w:pPr>
        <w:pStyle w:val="Heading2"/>
        <w:numPr>
          <w:ilvl w:val="0"/>
          <w:numId w:val="9"/>
        </w:numPr>
        <w:tabs>
          <w:tab w:pos="552" w:val="left" w:leader="none"/>
        </w:tabs>
        <w:spacing w:line="240" w:lineRule="auto" w:before="0" w:after="0"/>
        <w:ind w:left="551" w:right="0" w:hanging="431"/>
        <w:jc w:val="left"/>
      </w:pPr>
      <w:bookmarkStart w:name="_TOC_250047" w:id="64"/>
      <w:bookmarkEnd w:id="64"/>
      <w:r>
        <w:rPr>
          <w:w w:val="95"/>
        </w:rPr>
        <w:t>释义</w:t>
      </w:r>
    </w:p>
    <w:p>
      <w:pPr>
        <w:pStyle w:val="BodyText"/>
        <w:spacing w:before="11"/>
        <w:ind w:left="0"/>
        <w:rPr>
          <w:rFonts w:ascii="Microsoft JhengHei UI"/>
          <w:b/>
          <w:sz w:val="17"/>
        </w:rPr>
      </w:pPr>
    </w:p>
    <w:p>
      <w:pPr>
        <w:pStyle w:val="Heading2"/>
        <w:numPr>
          <w:ilvl w:val="1"/>
          <w:numId w:val="9"/>
        </w:numPr>
        <w:tabs>
          <w:tab w:pos="693" w:val="left" w:leader="none"/>
        </w:tabs>
        <w:spacing w:line="240" w:lineRule="auto" w:before="0" w:after="0"/>
        <w:ind w:left="692" w:right="0" w:hanging="566"/>
        <w:jc w:val="left"/>
      </w:pPr>
      <w:bookmarkStart w:name="_TOC_250046" w:id="65"/>
      <w:bookmarkEnd w:id="65"/>
      <w:r>
        <w:rPr>
          <w:w w:val="95"/>
        </w:rPr>
        <w:t>周岁</w:t>
      </w:r>
    </w:p>
    <w:p>
      <w:pPr>
        <w:pStyle w:val="BodyText"/>
        <w:spacing w:before="5"/>
        <w:ind w:left="0"/>
        <w:rPr>
          <w:rFonts w:ascii="Microsoft JhengHei UI"/>
          <w:b/>
          <w:sz w:val="16"/>
        </w:rPr>
      </w:pPr>
    </w:p>
    <w:p>
      <w:pPr>
        <w:pStyle w:val="BodyText"/>
        <w:spacing w:line="273" w:lineRule="auto" w:before="1"/>
        <w:ind w:right="60"/>
      </w:pPr>
      <w:r>
        <w:rPr/>
        <w:t>指以法定身份证明文件中记载的出生日期为基础</w:t>
      </w:r>
      <w:r>
        <w:rPr>
          <w:w w:val="75"/>
        </w:rPr>
        <w:t>, </w:t>
      </w:r>
      <w:r>
        <w:rPr/>
        <w:t>按照公历的年、月、日，从周岁生日的第</w:t>
      </w:r>
      <w:r>
        <w:rPr>
          <w:w w:val="95"/>
        </w:rPr>
        <w:t>二天起计算的年龄。</w:t>
      </w:r>
    </w:p>
    <w:p>
      <w:pPr>
        <w:pStyle w:val="Heading2"/>
        <w:numPr>
          <w:ilvl w:val="1"/>
          <w:numId w:val="9"/>
        </w:numPr>
        <w:tabs>
          <w:tab w:pos="798" w:val="left" w:leader="none"/>
          <w:tab w:pos="799" w:val="left" w:leader="none"/>
        </w:tabs>
        <w:spacing w:line="240" w:lineRule="auto" w:before="216" w:after="0"/>
        <w:ind w:left="798" w:right="0" w:hanging="672"/>
        <w:jc w:val="left"/>
      </w:pPr>
      <w:bookmarkStart w:name="_TOC_250045" w:id="66"/>
      <w:bookmarkEnd w:id="66"/>
      <w:r>
        <w:rPr>
          <w:w w:val="95"/>
        </w:rPr>
        <w:t>医院</w:t>
      </w:r>
    </w:p>
    <w:p>
      <w:pPr>
        <w:pStyle w:val="BodyText"/>
        <w:spacing w:before="8"/>
        <w:ind w:left="0"/>
        <w:rPr>
          <w:rFonts w:ascii="Microsoft JhengHei UI"/>
          <w:b/>
          <w:sz w:val="16"/>
        </w:rPr>
      </w:pPr>
    </w:p>
    <w:p>
      <w:pPr>
        <w:pStyle w:val="BodyText"/>
      </w:pPr>
      <w:r>
        <w:rPr>
          <w:w w:val="95"/>
        </w:rPr>
        <w:t>指国家卫生机构认可的公立二级甲等（含）以上的医院。</w:t>
      </w:r>
    </w:p>
    <w:p>
      <w:pPr>
        <w:pStyle w:val="BodyText"/>
        <w:spacing w:before="10"/>
        <w:ind w:left="0"/>
        <w:rPr>
          <w:sz w:val="18"/>
        </w:rPr>
      </w:pPr>
    </w:p>
    <w:p>
      <w:pPr>
        <w:pStyle w:val="Heading2"/>
        <w:numPr>
          <w:ilvl w:val="1"/>
          <w:numId w:val="9"/>
        </w:numPr>
        <w:tabs>
          <w:tab w:pos="693" w:val="left" w:leader="none"/>
        </w:tabs>
        <w:spacing w:line="240" w:lineRule="auto" w:before="0" w:after="0"/>
        <w:ind w:left="692" w:right="0" w:hanging="566"/>
        <w:jc w:val="left"/>
      </w:pPr>
      <w:bookmarkStart w:name="_TOC_250044" w:id="67"/>
      <w:bookmarkEnd w:id="67"/>
      <w:r>
        <w:rPr>
          <w:w w:val="95"/>
        </w:rPr>
        <w:t>30 种重大疾病</w:t>
      </w:r>
    </w:p>
    <w:p>
      <w:pPr>
        <w:pStyle w:val="BodyText"/>
        <w:spacing w:before="6"/>
        <w:ind w:left="0"/>
        <w:rPr>
          <w:rFonts w:ascii="Microsoft JhengHei UI"/>
          <w:b/>
          <w:sz w:val="16"/>
        </w:rPr>
      </w:pPr>
    </w:p>
    <w:p>
      <w:pPr>
        <w:pStyle w:val="BodyText"/>
        <w:spacing w:line="273" w:lineRule="auto"/>
        <w:ind w:right="117"/>
        <w:jc w:val="both"/>
      </w:pPr>
      <w:r>
        <w:rPr>
          <w:w w:val="95"/>
        </w:rPr>
        <w:t>本产品提供30</w:t>
      </w:r>
      <w:r>
        <w:rPr>
          <w:spacing w:val="-7"/>
          <w:w w:val="95"/>
        </w:rPr>
        <w:t>种重大疾病保障。其中恶性肿瘤、急性心肌梗塞、脑中风后遗症、冠状动脉搭   桥术</w:t>
      </w:r>
      <w:r>
        <w:rPr>
          <w:spacing w:val="-7"/>
          <w:w w:val="90"/>
        </w:rPr>
        <w:t>(</w:t>
      </w:r>
      <w:r>
        <w:rPr>
          <w:spacing w:val="-7"/>
          <w:w w:val="95"/>
        </w:rPr>
        <w:t>或称冠状动脉旁路移植术</w:t>
      </w:r>
      <w:r>
        <w:rPr>
          <w:spacing w:val="-7"/>
          <w:w w:val="90"/>
        </w:rPr>
        <w:t>)</w:t>
      </w:r>
      <w:r>
        <w:rPr>
          <w:spacing w:val="-8"/>
          <w:w w:val="95"/>
        </w:rPr>
        <w:t>、重大器官移植术或造血干细胞移植术、终末期肾病</w:t>
      </w:r>
      <w:r>
        <w:rPr>
          <w:w w:val="90"/>
        </w:rPr>
        <w:t>(</w:t>
      </w:r>
      <w:r>
        <w:rPr>
          <w:w w:val="95"/>
        </w:rPr>
        <w:t>或称慢  性肾功能衰竭尿毒症期</w:t>
      </w:r>
      <w:r>
        <w:rPr>
          <w:w w:val="90"/>
        </w:rPr>
        <w:t>)6</w:t>
      </w:r>
      <w:r>
        <w:rPr>
          <w:spacing w:val="-5"/>
          <w:w w:val="95"/>
        </w:rPr>
        <w:t>种重大疾病为《中国保险行业协会重大疾病使用规范》规定重大疾  </w:t>
      </w:r>
      <w:r>
        <w:rPr>
          <w:spacing w:val="-6"/>
          <w:w w:val="95"/>
        </w:rPr>
        <w:t>病保险产品必须包含的疾病种类。系统性红斑狼疮</w:t>
      </w:r>
      <w:r>
        <w:rPr>
          <w:w w:val="90"/>
        </w:rPr>
        <w:t>(III</w:t>
      </w:r>
      <w:r>
        <w:rPr>
          <w:w w:val="95"/>
        </w:rPr>
        <w:t>型或以上狼疮性肾炎</w:t>
      </w:r>
      <w:r>
        <w:rPr>
          <w:w w:val="90"/>
        </w:rPr>
        <w:t>)</w:t>
      </w:r>
      <w:r>
        <w:rPr>
          <w:spacing w:val="-3"/>
          <w:w w:val="95"/>
        </w:rPr>
        <w:t>、经输血导致的</w:t>
      </w:r>
    </w:p>
    <w:p>
      <w:pPr>
        <w:spacing w:after="0" w:line="273" w:lineRule="auto"/>
        <w:jc w:val="both"/>
        <w:sectPr>
          <w:pgSz w:w="11910" w:h="16840"/>
          <w:pgMar w:header="0" w:footer="1090" w:top="1340" w:bottom="1280" w:left="1680" w:right="1680"/>
        </w:sectPr>
      </w:pPr>
    </w:p>
    <w:p>
      <w:pPr>
        <w:pStyle w:val="BodyText"/>
        <w:spacing w:line="273" w:lineRule="auto" w:before="35"/>
        <w:ind w:right="199"/>
        <w:jc w:val="both"/>
      </w:pPr>
      <w:bookmarkStart w:name="恶性肿瘤" w:id="68"/>
      <w:bookmarkEnd w:id="68"/>
      <w:r>
        <w:rPr/>
      </w:r>
      <w:bookmarkStart w:name="急性心肌梗塞" w:id="69"/>
      <w:bookmarkEnd w:id="69"/>
      <w:r>
        <w:rPr/>
      </w:r>
      <w:bookmarkStart w:name="脑中风后遗症" w:id="70"/>
      <w:bookmarkEnd w:id="70"/>
      <w:r>
        <w:rPr/>
      </w:r>
      <w:bookmarkStart w:name="重大器官移植术或造血干细胞移植术" w:id="71"/>
      <w:bookmarkEnd w:id="71"/>
      <w:r>
        <w:rPr/>
      </w:r>
      <w:r>
        <w:rPr>
          <w:spacing w:val="-2"/>
          <w:w w:val="99"/>
        </w:rPr>
        <w:t>人类免疫缺陷病毒</w:t>
      </w:r>
      <w:r>
        <w:rPr>
          <w:w w:val="99"/>
        </w:rPr>
        <w:t>（</w:t>
      </w:r>
      <w:r>
        <w:rPr>
          <w:spacing w:val="-1"/>
          <w:w w:val="151"/>
        </w:rPr>
        <w:t>H</w:t>
      </w:r>
      <w:r>
        <w:rPr>
          <w:w w:val="70"/>
        </w:rPr>
        <w:t>I</w:t>
      </w:r>
      <w:r>
        <w:rPr>
          <w:spacing w:val="1"/>
          <w:w w:val="134"/>
        </w:rPr>
        <w:t>V</w:t>
      </w:r>
      <w:r>
        <w:rPr>
          <w:spacing w:val="-10"/>
          <w:w w:val="99"/>
        </w:rPr>
        <w:t>）</w:t>
      </w:r>
      <w:r>
        <w:rPr>
          <w:spacing w:val="-4"/>
          <w:w w:val="99"/>
        </w:rPr>
        <w:t>感染、严重多发性硬化、严重类风湿性关节炎、慢性呼吸功能衰</w:t>
      </w:r>
      <w:r>
        <w:rPr>
          <w:spacing w:val="-4"/>
          <w:w w:val="95"/>
        </w:rPr>
        <w:t>竭5种重大疾病为我司根据产品设计需求选用。其余19种重大疾病保险为本公司根据中国保   险行业协会重大疾病使用规范选择使用。</w:t>
      </w:r>
    </w:p>
    <w:p>
      <w:pPr>
        <w:pStyle w:val="BodyText"/>
        <w:spacing w:before="5"/>
        <w:ind w:left="0"/>
        <w:rPr>
          <w:sz w:val="24"/>
        </w:rPr>
      </w:pPr>
    </w:p>
    <w:p>
      <w:pPr>
        <w:pStyle w:val="BodyText"/>
        <w:spacing w:line="273" w:lineRule="auto"/>
        <w:ind w:right="197"/>
      </w:pPr>
      <w:r>
        <w:rPr>
          <w:spacing w:val="-7"/>
          <w:w w:val="95"/>
        </w:rPr>
        <w:t>本附加合同所保障的重大疾病，是指被保险人在主险合同有效且等待期后本附加合同的责任   </w:t>
      </w:r>
      <w:r>
        <w:rPr>
          <w:spacing w:val="-7"/>
        </w:rPr>
        <w:t>有效期间内经专科医生明确诊断初次患下列疾病或初次达到下列疾病状态或在医院初次接</w:t>
      </w:r>
      <w:r>
        <w:rPr>
          <w:spacing w:val="-7"/>
          <w:w w:val="95"/>
        </w:rPr>
        <w:t>受下列手术：</w:t>
      </w:r>
    </w:p>
    <w:p>
      <w:pPr>
        <w:pStyle w:val="BodyText"/>
        <w:spacing w:before="11"/>
        <w:ind w:left="0"/>
        <w:rPr>
          <w:sz w:val="38"/>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43" w:id="72"/>
      <w:bookmarkEnd w:id="72"/>
      <w:r>
        <w:rPr>
          <w:w w:val="95"/>
        </w:rPr>
        <w:t>恶性肿瘤</w:t>
      </w:r>
    </w:p>
    <w:p>
      <w:pPr>
        <w:pStyle w:val="BodyText"/>
        <w:spacing w:before="8"/>
        <w:ind w:left="0"/>
        <w:rPr>
          <w:rFonts w:ascii="Microsoft JhengHei UI"/>
          <w:b/>
          <w:sz w:val="16"/>
        </w:rPr>
      </w:pPr>
    </w:p>
    <w:p>
      <w:pPr>
        <w:pStyle w:val="BodyText"/>
        <w:spacing w:line="273" w:lineRule="auto"/>
        <w:ind w:right="197"/>
        <w:jc w:val="both"/>
      </w:pPr>
      <w:r>
        <w:rPr>
          <w:spacing w:val="-4"/>
          <w:w w:val="95"/>
        </w:rPr>
        <w:t>指恶性细胞不受控制的进行性增长和扩散，浸润和破坏周围正常组织，可以经血管、淋巴管   </w:t>
      </w:r>
      <w:r>
        <w:rPr>
          <w:spacing w:val="-9"/>
        </w:rPr>
        <w:t>和体腔扩散转移到身体其它部位的疾病。经病理学检查结果明确诊断，临床诊断属于世界卫</w:t>
      </w:r>
      <w:r>
        <w:rPr>
          <w:spacing w:val="-6"/>
          <w:w w:val="99"/>
        </w:rPr>
        <w:t>生组织《疾病和有关健康问题的国际统计分类》</w:t>
      </w:r>
      <w:r>
        <w:rPr>
          <w:w w:val="99"/>
        </w:rPr>
        <w:t>（</w:t>
      </w:r>
      <w:r>
        <w:rPr>
          <w:w w:val="70"/>
        </w:rPr>
        <w:t>I</w:t>
      </w:r>
      <w:r>
        <w:rPr>
          <w:spacing w:val="-1"/>
          <w:w w:val="126"/>
        </w:rPr>
        <w:t>C</w:t>
      </w:r>
      <w:r>
        <w:rPr>
          <w:spacing w:val="1"/>
          <w:w w:val="153"/>
        </w:rPr>
        <w:t>D</w:t>
      </w:r>
      <w:r>
        <w:rPr>
          <w:spacing w:val="-1"/>
          <w:w w:val="62"/>
        </w:rPr>
        <w:t>-</w:t>
      </w:r>
      <w:r>
        <w:rPr>
          <w:w w:val="93"/>
        </w:rPr>
        <w:t>1</w:t>
      </w:r>
      <w:r>
        <w:rPr>
          <w:spacing w:val="1"/>
          <w:w w:val="93"/>
        </w:rPr>
        <w:t>0</w:t>
      </w:r>
      <w:r>
        <w:rPr>
          <w:spacing w:val="1"/>
          <w:w w:val="99"/>
        </w:rPr>
        <w:t>）</w:t>
      </w:r>
      <w:r>
        <w:rPr>
          <w:w w:val="99"/>
        </w:rPr>
        <w:t>的恶性肿瘤范畴。</w:t>
      </w:r>
    </w:p>
    <w:p>
      <w:pPr>
        <w:pStyle w:val="BodyText"/>
        <w:spacing w:before="7"/>
      </w:pPr>
      <w:r>
        <w:rPr>
          <w:w w:val="95"/>
        </w:rPr>
        <w:t>下列疾病不在保障范围内：</w:t>
      </w:r>
    </w:p>
    <w:p>
      <w:pPr>
        <w:pStyle w:val="BodyText"/>
        <w:spacing w:before="36"/>
      </w:pPr>
      <w:r>
        <w:rPr>
          <w:w w:val="95"/>
        </w:rPr>
        <w:t>（1）原位癌；</w:t>
      </w:r>
    </w:p>
    <w:p>
      <w:pPr>
        <w:pStyle w:val="BodyText"/>
        <w:spacing w:before="36"/>
      </w:pPr>
      <w:r>
        <w:rPr>
          <w:w w:val="99"/>
        </w:rPr>
        <w:t>（</w:t>
      </w:r>
      <w:r>
        <w:rPr>
          <w:w w:val="93"/>
        </w:rPr>
        <w:t>2</w:t>
      </w:r>
      <w:r>
        <w:rPr>
          <w:spacing w:val="1"/>
          <w:w w:val="99"/>
        </w:rPr>
        <w:t>）</w:t>
      </w:r>
      <w:r>
        <w:rPr>
          <w:w w:val="99"/>
        </w:rPr>
        <w:t>相当于</w:t>
      </w:r>
      <w:r>
        <w:rPr>
          <w:spacing w:val="-53"/>
        </w:rPr>
        <w:t> </w:t>
      </w:r>
      <w:r>
        <w:rPr>
          <w:spacing w:val="0"/>
          <w:w w:val="122"/>
        </w:rPr>
        <w:t>B</w:t>
      </w:r>
      <w:r>
        <w:rPr>
          <w:w w:val="45"/>
        </w:rPr>
        <w:t>i</w:t>
      </w:r>
      <w:r>
        <w:rPr>
          <w:spacing w:val="-1"/>
          <w:w w:val="101"/>
        </w:rPr>
        <w:t>n</w:t>
      </w:r>
      <w:r>
        <w:rPr>
          <w:spacing w:val="0"/>
          <w:w w:val="82"/>
        </w:rPr>
        <w:t>e</w:t>
      </w:r>
      <w:r>
        <w:rPr>
          <w:w w:val="58"/>
        </w:rPr>
        <w:t>t</w:t>
      </w:r>
      <w:r>
        <w:rPr>
          <w:spacing w:val="-51"/>
        </w:rPr>
        <w:t> </w:t>
      </w:r>
      <w:r>
        <w:rPr>
          <w:w w:val="99"/>
        </w:rPr>
        <w:t>分期方案</w:t>
      </w:r>
      <w:r>
        <w:rPr>
          <w:spacing w:val="-53"/>
        </w:rPr>
        <w:t> </w:t>
      </w:r>
      <w:r>
        <w:rPr>
          <w:w w:val="134"/>
        </w:rPr>
        <w:t>A</w:t>
      </w:r>
      <w:r>
        <w:rPr>
          <w:spacing w:val="-55"/>
        </w:rPr>
        <w:t> </w:t>
      </w:r>
      <w:r>
        <w:rPr>
          <w:w w:val="99"/>
        </w:rPr>
        <w:t>期程度的慢性淋巴细胞白血病；</w:t>
      </w:r>
    </w:p>
    <w:p>
      <w:pPr>
        <w:pStyle w:val="BodyText"/>
        <w:spacing w:before="36"/>
      </w:pPr>
      <w:r>
        <w:rPr>
          <w:w w:val="99"/>
        </w:rPr>
        <w:t>（</w:t>
      </w:r>
      <w:r>
        <w:rPr>
          <w:w w:val="93"/>
        </w:rPr>
        <w:t>3</w:t>
      </w:r>
      <w:r>
        <w:rPr>
          <w:spacing w:val="1"/>
          <w:w w:val="99"/>
        </w:rPr>
        <w:t>）</w:t>
      </w:r>
      <w:r>
        <w:rPr>
          <w:w w:val="99"/>
        </w:rPr>
        <w:t>相当于</w:t>
      </w:r>
      <w:r>
        <w:rPr>
          <w:spacing w:val="-53"/>
        </w:rPr>
        <w:t> </w:t>
      </w:r>
      <w:r>
        <w:rPr>
          <w:w w:val="134"/>
        </w:rPr>
        <w:t>A</w:t>
      </w:r>
      <w:r>
        <w:rPr>
          <w:spacing w:val="-1"/>
          <w:w w:val="101"/>
        </w:rPr>
        <w:t>n</w:t>
      </w:r>
      <w:r>
        <w:rPr>
          <w:w w:val="101"/>
        </w:rPr>
        <w:t>n</w:t>
      </w:r>
      <w:r>
        <w:rPr>
          <w:spacing w:val="-51"/>
        </w:rPr>
        <w:t> </w:t>
      </w:r>
      <w:r>
        <w:rPr>
          <w:w w:val="134"/>
        </w:rPr>
        <w:t>A</w:t>
      </w:r>
      <w:r>
        <w:rPr>
          <w:w w:val="66"/>
        </w:rPr>
        <w:t>r</w:t>
      </w:r>
      <w:r>
        <w:rPr>
          <w:spacing w:val="-1"/>
          <w:w w:val="101"/>
        </w:rPr>
        <w:t>b</w:t>
      </w:r>
      <w:r>
        <w:rPr>
          <w:spacing w:val="0"/>
          <w:w w:val="101"/>
        </w:rPr>
        <w:t>o</w:t>
      </w:r>
      <w:r>
        <w:rPr>
          <w:w w:val="66"/>
        </w:rPr>
        <w:t>r</w:t>
      </w:r>
      <w:r>
        <w:rPr>
          <w:spacing w:val="-50"/>
        </w:rPr>
        <w:t> </w:t>
      </w:r>
      <w:r>
        <w:rPr>
          <w:w w:val="99"/>
        </w:rPr>
        <w:t>分期方案</w:t>
      </w:r>
      <w:r>
        <w:rPr>
          <w:spacing w:val="-53"/>
        </w:rPr>
        <w:t> </w:t>
      </w:r>
      <w:r>
        <w:rPr>
          <w:w w:val="70"/>
        </w:rPr>
        <w:t>I</w:t>
      </w:r>
      <w:r>
        <w:rPr>
          <w:spacing w:val="-52"/>
        </w:rPr>
        <w:t> </w:t>
      </w:r>
      <w:r>
        <w:rPr>
          <w:w w:val="99"/>
        </w:rPr>
        <w:t>期程度的何杰金氏病；</w:t>
      </w:r>
    </w:p>
    <w:p>
      <w:pPr>
        <w:pStyle w:val="BodyText"/>
        <w:spacing w:before="36"/>
      </w:pPr>
      <w:r>
        <w:rPr>
          <w:w w:val="99"/>
        </w:rPr>
        <w:t>（</w:t>
      </w:r>
      <w:r>
        <w:rPr>
          <w:w w:val="93"/>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spacing w:before="166"/>
        <w:ind w:left="120" w:right="0" w:firstLine="0"/>
        <w:jc w:val="left"/>
        <w:rPr>
          <w:sz w:val="21"/>
        </w:rPr>
      </w:pPr>
      <w:r>
        <w:rPr>
          <w:w w:val="99"/>
          <w:sz w:val="21"/>
        </w:rPr>
        <w:t>（</w:t>
      </w:r>
      <w:r>
        <w:rPr>
          <w:w w:val="93"/>
          <w:sz w:val="21"/>
        </w:rPr>
        <w:t>5</w:t>
      </w:r>
      <w:r>
        <w:rPr>
          <w:spacing w:val="11"/>
          <w:w w:val="99"/>
          <w:sz w:val="21"/>
        </w:rPr>
        <w:t>）</w:t>
      </w:r>
      <w:r>
        <w:rPr>
          <w:rFonts w:ascii="Times New Roman" w:eastAsia="Times New Roman"/>
          <w:i/>
          <w:spacing w:val="-59"/>
          <w:w w:val="99"/>
          <w:position w:val="6"/>
          <w:sz w:val="25"/>
        </w:rPr>
        <w:t>T</w:t>
      </w:r>
      <w:r>
        <w:rPr>
          <w:rFonts w:ascii="Times New Roman" w:eastAsia="Times New Roman"/>
          <w:i/>
          <w:spacing w:val="-60"/>
          <w:w w:val="99"/>
          <w:position w:val="6"/>
          <w:sz w:val="25"/>
        </w:rPr>
        <w:t>N</w:t>
      </w:r>
      <w:r>
        <w:rPr>
          <w:rFonts w:ascii="Times New Roman" w:eastAsia="Times New Roman"/>
          <w:i/>
          <w:w w:val="99"/>
          <w:position w:val="6"/>
          <w:sz w:val="25"/>
        </w:rPr>
        <w:t>M</w:t>
      </w:r>
      <w:r>
        <w:rPr>
          <w:rFonts w:ascii="Times New Roman" w:eastAsia="Times New Roman"/>
          <w:i/>
          <w:spacing w:val="-40"/>
          <w:position w:val="6"/>
          <w:sz w:val="25"/>
        </w:rPr>
        <w:t> </w:t>
      </w:r>
      <w:r>
        <w:rPr>
          <w:spacing w:val="2"/>
          <w:w w:val="99"/>
          <w:sz w:val="21"/>
        </w:rPr>
        <w:t>分期为</w:t>
      </w:r>
      <w:r>
        <w:rPr>
          <w:rFonts w:ascii="Times New Roman" w:eastAsia="Times New Roman"/>
          <w:i/>
          <w:spacing w:val="-66"/>
          <w:w w:val="100"/>
          <w:position w:val="12"/>
          <w:sz w:val="24"/>
        </w:rPr>
        <w:t>T</w:t>
      </w:r>
      <w:r>
        <w:rPr>
          <w:rFonts w:ascii="Times New Roman" w:eastAsia="Times New Roman"/>
          <w:spacing w:val="5"/>
          <w:w w:val="101"/>
          <w:position w:val="6"/>
          <w:sz w:val="14"/>
        </w:rPr>
        <w:t>1</w:t>
      </w:r>
      <w:r>
        <w:rPr>
          <w:rFonts w:ascii="Times New Roman" w:eastAsia="Times New Roman"/>
          <w:i/>
          <w:spacing w:val="-28"/>
          <w:w w:val="100"/>
          <w:position w:val="12"/>
          <w:sz w:val="24"/>
        </w:rPr>
        <w:t>N</w:t>
      </w:r>
      <w:r>
        <w:rPr>
          <w:rFonts w:ascii="Times New Roman" w:eastAsia="Times New Roman"/>
          <w:spacing w:val="10"/>
          <w:w w:val="101"/>
          <w:position w:val="6"/>
          <w:sz w:val="14"/>
        </w:rPr>
        <w:t>0</w:t>
      </w:r>
      <w:r>
        <w:rPr>
          <w:rFonts w:ascii="Times New Roman" w:eastAsia="Times New Roman"/>
          <w:i/>
          <w:spacing w:val="-16"/>
          <w:w w:val="101"/>
          <w:position w:val="12"/>
          <w:sz w:val="24"/>
        </w:rPr>
        <w:t>M</w:t>
      </w:r>
      <w:r>
        <w:rPr>
          <w:rFonts w:ascii="Times New Roman" w:eastAsia="Times New Roman"/>
          <w:w w:val="101"/>
          <w:position w:val="6"/>
          <w:sz w:val="14"/>
        </w:rPr>
        <w:t>0</w:t>
      </w:r>
      <w:r>
        <w:rPr>
          <w:rFonts w:ascii="Times New Roman" w:eastAsia="Times New Roman"/>
          <w:spacing w:val="-5"/>
          <w:position w:val="6"/>
          <w:sz w:val="14"/>
        </w:rPr>
        <w:t> </w:t>
      </w:r>
      <w:r>
        <w:rPr>
          <w:w w:val="99"/>
          <w:sz w:val="21"/>
        </w:rPr>
        <w:t>期或更轻分期的前列腺癌；</w:t>
      </w:r>
    </w:p>
    <w:p>
      <w:pPr>
        <w:pStyle w:val="BodyText"/>
        <w:spacing w:before="119"/>
      </w:pPr>
      <w:r>
        <w:rPr>
          <w:w w:val="95"/>
        </w:rPr>
        <w:t>（6）感染艾滋病病毒或患艾滋病期间所患恶性肿瘤。</w:t>
      </w:r>
    </w:p>
    <w:p>
      <w:pPr>
        <w:pStyle w:val="Heading2"/>
        <w:numPr>
          <w:ilvl w:val="2"/>
          <w:numId w:val="9"/>
        </w:numPr>
        <w:tabs>
          <w:tab w:pos="1206" w:val="left" w:leader="none"/>
          <w:tab w:pos="1207" w:val="left" w:leader="none"/>
        </w:tabs>
        <w:spacing w:line="240" w:lineRule="auto" w:before="229" w:after="0"/>
        <w:ind w:left="1206" w:right="0" w:hanging="1086"/>
        <w:jc w:val="left"/>
      </w:pPr>
      <w:bookmarkStart w:name="_TOC_250042" w:id="73"/>
      <w:bookmarkEnd w:id="73"/>
      <w:r>
        <w:rPr>
          <w:w w:val="95"/>
        </w:rPr>
        <w:t>急性心肌梗塞</w:t>
      </w:r>
    </w:p>
    <w:p>
      <w:pPr>
        <w:pStyle w:val="BodyText"/>
        <w:spacing w:before="6"/>
        <w:ind w:left="0"/>
        <w:rPr>
          <w:rFonts w:ascii="Microsoft JhengHei UI"/>
          <w:b/>
          <w:sz w:val="16"/>
        </w:rPr>
      </w:pPr>
    </w:p>
    <w:p>
      <w:pPr>
        <w:pStyle w:val="BodyText"/>
      </w:pPr>
      <w:r>
        <w:rPr>
          <w:w w:val="95"/>
        </w:rPr>
        <w:t>指因冠状动脉阻塞导致的相应区域供血不足造成部分心肌坏死。须满足下列至少三项条件：</w:t>
      </w:r>
    </w:p>
    <w:p>
      <w:pPr>
        <w:pStyle w:val="BodyText"/>
        <w:spacing w:before="37"/>
      </w:pPr>
      <w:r>
        <w:rPr>
          <w:w w:val="95"/>
        </w:rPr>
        <w:t>（1）典型临床表现，例如急性胸痛等；</w:t>
      </w:r>
    </w:p>
    <w:p>
      <w:pPr>
        <w:pStyle w:val="BodyText"/>
        <w:spacing w:before="37"/>
      </w:pPr>
      <w:r>
        <w:rPr>
          <w:w w:val="95"/>
        </w:rPr>
        <w:t>（2）新近的心电图改变提示急性心肌梗塞；</w:t>
      </w:r>
    </w:p>
    <w:p>
      <w:pPr>
        <w:pStyle w:val="BodyText"/>
        <w:spacing w:before="37"/>
      </w:pPr>
      <w:r>
        <w:rPr>
          <w:w w:val="95"/>
        </w:rPr>
        <w:t>（3）心肌酶或肌钙蛋白有诊断意义的升高，或呈符合急性心肌梗塞的动态性变化；</w:t>
      </w:r>
    </w:p>
    <w:p>
      <w:pPr>
        <w:pStyle w:val="BodyText"/>
        <w:spacing w:before="37"/>
      </w:pPr>
      <w:r>
        <w:rPr/>
        <w:t>（4）发病 90 天后，经检查证实左心室功能降低，如左心室射血分数低于 50%。</w:t>
      </w:r>
    </w:p>
    <w:p>
      <w:pPr>
        <w:pStyle w:val="Heading2"/>
        <w:numPr>
          <w:ilvl w:val="2"/>
          <w:numId w:val="9"/>
        </w:numPr>
        <w:tabs>
          <w:tab w:pos="1206" w:val="left" w:leader="none"/>
          <w:tab w:pos="1207" w:val="left" w:leader="none"/>
        </w:tabs>
        <w:spacing w:line="240" w:lineRule="auto" w:before="229" w:after="0"/>
        <w:ind w:left="1206" w:right="0" w:hanging="1086"/>
        <w:jc w:val="left"/>
      </w:pPr>
      <w:bookmarkStart w:name="_TOC_250041" w:id="74"/>
      <w:bookmarkEnd w:id="74"/>
      <w:r>
        <w:rPr>
          <w:w w:val="95"/>
        </w:rPr>
        <w:t>脑中风后遗症</w:t>
      </w:r>
    </w:p>
    <w:p>
      <w:pPr>
        <w:pStyle w:val="BodyText"/>
        <w:spacing w:before="6"/>
        <w:ind w:left="0"/>
        <w:rPr>
          <w:rFonts w:ascii="Microsoft JhengHei UI"/>
          <w:b/>
          <w:sz w:val="16"/>
        </w:rPr>
      </w:pPr>
    </w:p>
    <w:p>
      <w:pPr>
        <w:pStyle w:val="BodyText"/>
        <w:spacing w:line="273" w:lineRule="auto"/>
        <w:ind w:right="197"/>
      </w:pPr>
      <w:r>
        <w:rPr>
          <w:w w:val="95"/>
        </w:rPr>
        <w:t>指因脑血管的突发病变引起脑血管出血、栓塞或梗塞，并导致神经系统永久性的功能障碍</w:t>
      </w:r>
      <w:r>
        <w:rPr>
          <w:w w:val="90"/>
        </w:rPr>
        <w:t>。  </w:t>
      </w:r>
      <w:r>
        <w:rPr>
          <w:spacing w:val="-4"/>
        </w:rPr>
        <w:t>神经系统永久性的功能障碍，指疾病确诊 </w:t>
      </w:r>
      <w:r>
        <w:rPr/>
        <w:t>180</w:t>
      </w:r>
      <w:r>
        <w:rPr>
          <w:spacing w:val="-9"/>
        </w:rPr>
        <w:t> 天后，仍遗留下列一种或一种以上障碍：</w:t>
      </w:r>
    </w:p>
    <w:p>
      <w:pPr>
        <w:pStyle w:val="BodyText"/>
        <w:spacing w:line="288" w:lineRule="exact"/>
      </w:pPr>
      <w:r>
        <w:rPr>
          <w:w w:val="99"/>
        </w:rPr>
        <w:t>（</w:t>
      </w:r>
      <w:r>
        <w:rPr>
          <w:w w:val="93"/>
        </w:rPr>
        <w:t>1</w:t>
      </w:r>
      <w:r>
        <w:rPr>
          <w:spacing w:val="1"/>
          <w:w w:val="99"/>
        </w:rPr>
        <w:t>）</w:t>
      </w:r>
      <w:r>
        <w:rPr>
          <w:spacing w:val="-4"/>
          <w:w w:val="99"/>
        </w:rPr>
        <w:t>一肢或一肢以上</w:t>
      </w:r>
      <w:r>
        <w:rPr>
          <w:rFonts w:ascii="Microsoft JhengHei UI" w:eastAsia="Microsoft JhengHei UI" w:hint="eastAsia"/>
          <w:b/>
          <w:spacing w:val="-48"/>
          <w:w w:val="99"/>
        </w:rPr>
        <w:t>肢</w:t>
      </w:r>
      <w:r>
        <w:rPr>
          <w:w w:val="99"/>
          <w:position w:val="1"/>
        </w:rPr>
        <w:t>体</w:t>
      </w:r>
      <w:r>
        <w:rPr>
          <w:spacing w:val="-476"/>
          <w:w w:val="99"/>
          <w:position w:val="1"/>
        </w:rPr>
        <w:t>机</w:t>
      </w:r>
      <w:r>
        <w:rPr>
          <w:w w:val="99"/>
        </w:rPr>
        <w:t>体</w:t>
      </w:r>
      <w:r>
        <w:rPr>
          <w:spacing w:val="-471"/>
          <w:w w:val="99"/>
        </w:rPr>
        <w:t>机</w:t>
      </w:r>
      <w:r>
        <w:rPr>
          <w:w w:val="99"/>
        </w:rPr>
        <w:t>体</w:t>
      </w:r>
      <w:r>
        <w:rPr>
          <w:spacing w:val="-474"/>
          <w:w w:val="99"/>
        </w:rPr>
        <w:t>机</w:t>
      </w:r>
      <w:r>
        <w:rPr>
          <w:spacing w:val="-31"/>
          <w:w w:val="99"/>
        </w:rPr>
        <w:t>体机</w:t>
      </w:r>
      <w:r>
        <w:rPr>
          <w:w w:val="99"/>
          <w:position w:val="1"/>
        </w:rPr>
        <w:t>能</w:t>
      </w:r>
      <w:r>
        <w:rPr>
          <w:spacing w:val="-476"/>
          <w:w w:val="99"/>
          <w:position w:val="1"/>
        </w:rPr>
        <w:t>完</w:t>
      </w:r>
      <w:r>
        <w:rPr>
          <w:w w:val="99"/>
        </w:rPr>
        <w:t>能</w:t>
      </w:r>
      <w:r>
        <w:rPr>
          <w:spacing w:val="-471"/>
          <w:w w:val="99"/>
        </w:rPr>
        <w:t>完</w:t>
      </w:r>
      <w:r>
        <w:rPr>
          <w:w w:val="99"/>
        </w:rPr>
        <w:t>能</w:t>
      </w:r>
      <w:r>
        <w:rPr>
          <w:spacing w:val="-474"/>
          <w:w w:val="99"/>
        </w:rPr>
        <w:t>完</w:t>
      </w:r>
      <w:r>
        <w:rPr>
          <w:spacing w:val="-31"/>
          <w:w w:val="99"/>
        </w:rPr>
        <w:t>能完</w:t>
      </w:r>
      <w:r>
        <w:rPr>
          <w:w w:val="99"/>
          <w:position w:val="1"/>
        </w:rPr>
        <w:t>全</w:t>
      </w:r>
      <w:r>
        <w:rPr>
          <w:spacing w:val="-476"/>
          <w:w w:val="99"/>
          <w:position w:val="1"/>
        </w:rPr>
        <w:t>丧</w:t>
      </w:r>
      <w:r>
        <w:rPr>
          <w:w w:val="99"/>
        </w:rPr>
        <w:t>全</w:t>
      </w:r>
      <w:r>
        <w:rPr>
          <w:spacing w:val="-471"/>
          <w:w w:val="99"/>
        </w:rPr>
        <w:t>丧</w:t>
      </w:r>
      <w:r>
        <w:rPr>
          <w:w w:val="99"/>
        </w:rPr>
        <w:t>全</w:t>
      </w:r>
      <w:r>
        <w:rPr>
          <w:spacing w:val="-474"/>
          <w:w w:val="99"/>
        </w:rPr>
        <w:t>丧</w:t>
      </w:r>
      <w:r>
        <w:rPr>
          <w:spacing w:val="-31"/>
          <w:w w:val="99"/>
        </w:rPr>
        <w:t>全丧</w:t>
      </w:r>
      <w:r>
        <w:rPr>
          <w:spacing w:val="-267"/>
          <w:w w:val="99"/>
          <w:position w:val="1"/>
        </w:rPr>
        <w:t>失</w:t>
      </w:r>
      <w:r>
        <w:rPr>
          <w:spacing w:val="-264"/>
          <w:w w:val="99"/>
        </w:rPr>
        <w:t>失失</w:t>
      </w:r>
      <w:r>
        <w:rPr>
          <w:spacing w:val="-43"/>
          <w:w w:val="99"/>
        </w:rPr>
        <w:t>失</w:t>
      </w:r>
      <w:r>
        <w:rPr>
          <w:spacing w:val="1"/>
          <w:w w:val="99"/>
        </w:rPr>
        <w:t>（</w:t>
      </w:r>
      <w:r>
        <w:rPr>
          <w:w w:val="99"/>
        </w:rPr>
        <w:t>见释义</w:t>
      </w:r>
      <w:r>
        <w:rPr>
          <w:spacing w:val="-53"/>
        </w:rPr>
        <w:t> </w:t>
      </w:r>
      <w:r>
        <w:rPr>
          <w:w w:val="93"/>
        </w:rPr>
        <w:t>11</w:t>
      </w:r>
      <w:r>
        <w:rPr>
          <w:spacing w:val="-1"/>
          <w:w w:val="43"/>
        </w:rPr>
        <w:t>.</w:t>
      </w:r>
      <w:r>
        <w:rPr>
          <w:w w:val="93"/>
        </w:rPr>
        <w:t>4</w:t>
      </w:r>
      <w:r>
        <w:rPr>
          <w:spacing w:val="-104"/>
          <w:w w:val="99"/>
        </w:rPr>
        <w:t>）</w:t>
      </w:r>
      <w:r>
        <w:rPr>
          <w:w w:val="99"/>
        </w:rPr>
        <w:t>；</w:t>
      </w:r>
    </w:p>
    <w:p>
      <w:pPr>
        <w:pStyle w:val="BodyText"/>
        <w:spacing w:line="312" w:lineRule="exact"/>
      </w:pPr>
      <w:r>
        <w:rPr>
          <w:spacing w:val="-7"/>
        </w:rPr>
        <w:t>（2）</w:t>
      </w:r>
      <w:r>
        <w:rPr>
          <w:rFonts w:ascii="Microsoft JhengHei UI" w:eastAsia="Microsoft JhengHei UI" w:hint="eastAsia"/>
          <w:b/>
          <w:spacing w:val="-48"/>
        </w:rPr>
        <w:t>语</w:t>
      </w:r>
      <w:r>
        <w:rPr>
          <w:spacing w:val="-105"/>
          <w:position w:val="1"/>
        </w:rPr>
        <w:t>言能</w:t>
      </w:r>
      <w:r>
        <w:rPr>
          <w:spacing w:val="-81"/>
        </w:rPr>
        <w:t>言能言能言能</w:t>
      </w:r>
      <w:r>
        <w:rPr>
          <w:spacing w:val="-105"/>
          <w:position w:val="1"/>
        </w:rPr>
        <w:t>力或</w:t>
      </w:r>
      <w:r>
        <w:rPr>
          <w:spacing w:val="-81"/>
        </w:rPr>
        <w:t>力或力或力或</w:t>
      </w:r>
      <w:r>
        <w:rPr>
          <w:spacing w:val="-105"/>
          <w:position w:val="1"/>
        </w:rPr>
        <w:t>咀嚼</w:t>
      </w:r>
      <w:r>
        <w:rPr>
          <w:spacing w:val="-81"/>
        </w:rPr>
        <w:t>咀嚼咀嚼咀嚼</w:t>
      </w:r>
      <w:r>
        <w:rPr>
          <w:spacing w:val="-105"/>
          <w:position w:val="1"/>
        </w:rPr>
        <w:t>吞咽</w:t>
      </w:r>
      <w:r>
        <w:rPr>
          <w:spacing w:val="-81"/>
        </w:rPr>
        <w:t>吞咽吞咽吞咽</w:t>
      </w:r>
      <w:r>
        <w:rPr>
          <w:spacing w:val="-105"/>
          <w:position w:val="1"/>
        </w:rPr>
        <w:t>能力</w:t>
      </w:r>
      <w:r>
        <w:rPr>
          <w:spacing w:val="-81"/>
        </w:rPr>
        <w:t>能力能力能力</w:t>
      </w:r>
      <w:r>
        <w:rPr>
          <w:spacing w:val="-105"/>
          <w:position w:val="1"/>
        </w:rPr>
        <w:t>完全</w:t>
      </w:r>
      <w:r>
        <w:rPr>
          <w:spacing w:val="-81"/>
        </w:rPr>
        <w:t>完全完全完全</w:t>
      </w:r>
      <w:r>
        <w:rPr>
          <w:spacing w:val="-105"/>
          <w:position w:val="1"/>
        </w:rPr>
        <w:t>丧失</w:t>
      </w:r>
      <w:r>
        <w:rPr>
          <w:spacing w:val="-77"/>
        </w:rPr>
        <w:t>丧失丧失丧失</w:t>
      </w:r>
      <w:r>
        <w:rPr/>
        <w:t>（见释义</w:t>
      </w:r>
      <w:r>
        <w:rPr>
          <w:spacing w:val="-101"/>
          <w:w w:val="93"/>
        </w:rPr>
        <w:t>11</w:t>
      </w:r>
      <w:r>
        <w:rPr>
          <w:spacing w:val="-102"/>
          <w:w w:val="43"/>
        </w:rPr>
        <w:t>.</w:t>
      </w:r>
      <w:r>
        <w:rPr>
          <w:spacing w:val="-99"/>
          <w:w w:val="93"/>
        </w:rPr>
        <w:t>5</w:t>
      </w:r>
      <w:r>
        <w:rPr>
          <w:spacing w:val="-207"/>
          <w:w w:val="99"/>
        </w:rPr>
        <w:t>）</w:t>
      </w:r>
      <w:r>
        <w:rPr>
          <w:spacing w:val="-101"/>
          <w:w w:val="99"/>
        </w:rPr>
        <w:t>；</w:t>
      </w:r>
    </w:p>
    <w:p>
      <w:pPr>
        <w:pStyle w:val="BodyText"/>
        <w:spacing w:line="312" w:lineRule="exact" w:before="27"/>
        <w:ind w:right="190"/>
      </w:pPr>
      <w:r>
        <w:rPr>
          <w:spacing w:val="1"/>
          <w:w w:val="99"/>
        </w:rPr>
        <w:t>（</w:t>
      </w:r>
      <w:r>
        <w:rPr>
          <w:w w:val="93"/>
        </w:rPr>
        <w:t>3</w:t>
      </w:r>
      <w:r>
        <w:rPr>
          <w:spacing w:val="1"/>
          <w:w w:val="99"/>
        </w:rPr>
        <w:t>）</w:t>
      </w:r>
      <w:r>
        <w:rPr>
          <w:w w:val="99"/>
        </w:rPr>
        <w:t>自主生活能力完全丧失，无法独立完成</w:t>
      </w:r>
      <w:r>
        <w:rPr>
          <w:rFonts w:ascii="Microsoft JhengHei UI" w:eastAsia="Microsoft JhengHei UI" w:hint="eastAsia"/>
          <w:b/>
          <w:spacing w:val="-48"/>
          <w:w w:val="99"/>
        </w:rPr>
        <w:t>六</w:t>
      </w:r>
      <w:r>
        <w:rPr>
          <w:spacing w:val="-267"/>
          <w:w w:val="99"/>
          <w:position w:val="1"/>
        </w:rPr>
        <w:t>项</w:t>
      </w:r>
      <w:r>
        <w:rPr>
          <w:spacing w:val="-264"/>
          <w:w w:val="99"/>
        </w:rPr>
        <w:t>项项</w:t>
      </w:r>
      <w:r>
        <w:rPr>
          <w:spacing w:val="-62"/>
          <w:w w:val="99"/>
        </w:rPr>
        <w:t>项</w:t>
      </w:r>
      <w:r>
        <w:rPr>
          <w:spacing w:val="-267"/>
          <w:w w:val="99"/>
          <w:position w:val="1"/>
        </w:rPr>
        <w:t>基</w:t>
      </w:r>
      <w:r>
        <w:rPr>
          <w:spacing w:val="-264"/>
          <w:w w:val="99"/>
        </w:rPr>
        <w:t>基基</w:t>
      </w:r>
      <w:r>
        <w:rPr>
          <w:spacing w:val="-62"/>
          <w:w w:val="99"/>
        </w:rPr>
        <w:t>基</w:t>
      </w:r>
      <w:r>
        <w:rPr>
          <w:spacing w:val="-267"/>
          <w:w w:val="99"/>
          <w:position w:val="1"/>
        </w:rPr>
        <w:t>本</w:t>
      </w:r>
      <w:r>
        <w:rPr>
          <w:spacing w:val="-264"/>
          <w:w w:val="99"/>
        </w:rPr>
        <w:t>本本</w:t>
      </w:r>
      <w:r>
        <w:rPr>
          <w:spacing w:val="-165"/>
          <w:w w:val="99"/>
        </w:rPr>
        <w:t>本日</w:t>
      </w:r>
      <w:r>
        <w:rPr>
          <w:spacing w:val="-263"/>
          <w:w w:val="99"/>
          <w:position w:val="1"/>
        </w:rPr>
        <w:t>日</w:t>
      </w:r>
      <w:r>
        <w:rPr>
          <w:spacing w:val="-164"/>
          <w:w w:val="99"/>
        </w:rPr>
        <w:t>日日</w:t>
      </w:r>
      <w:r>
        <w:rPr>
          <w:spacing w:val="-267"/>
          <w:w w:val="99"/>
          <w:position w:val="1"/>
        </w:rPr>
        <w:t>常</w:t>
      </w:r>
      <w:r>
        <w:rPr>
          <w:spacing w:val="-264"/>
          <w:w w:val="99"/>
        </w:rPr>
        <w:t>常常</w:t>
      </w:r>
      <w:r>
        <w:rPr>
          <w:spacing w:val="-62"/>
          <w:w w:val="99"/>
        </w:rPr>
        <w:t>常</w:t>
      </w:r>
      <w:r>
        <w:rPr>
          <w:spacing w:val="-267"/>
          <w:w w:val="99"/>
          <w:position w:val="1"/>
        </w:rPr>
        <w:t>生</w:t>
      </w:r>
      <w:r>
        <w:rPr>
          <w:spacing w:val="-264"/>
          <w:w w:val="99"/>
        </w:rPr>
        <w:t>生生</w:t>
      </w:r>
      <w:r>
        <w:rPr>
          <w:spacing w:val="-62"/>
          <w:w w:val="99"/>
        </w:rPr>
        <w:t>生</w:t>
      </w:r>
      <w:r>
        <w:rPr>
          <w:spacing w:val="-267"/>
          <w:w w:val="99"/>
          <w:position w:val="1"/>
        </w:rPr>
        <w:t>活</w:t>
      </w:r>
      <w:r>
        <w:rPr>
          <w:spacing w:val="-264"/>
          <w:w w:val="99"/>
        </w:rPr>
        <w:t>活活</w:t>
      </w:r>
      <w:r>
        <w:rPr>
          <w:spacing w:val="-43"/>
          <w:w w:val="99"/>
        </w:rPr>
        <w:t>活</w:t>
      </w:r>
      <w:r>
        <w:rPr>
          <w:spacing w:val="1"/>
          <w:w w:val="99"/>
        </w:rPr>
        <w:t>（</w:t>
      </w:r>
      <w:r>
        <w:rPr>
          <w:spacing w:val="0"/>
          <w:w w:val="99"/>
        </w:rPr>
        <w:t>见释义</w:t>
      </w:r>
      <w:r>
        <w:rPr/>
        <w:t> </w:t>
      </w:r>
      <w:r>
        <w:rPr>
          <w:w w:val="93"/>
        </w:rPr>
        <w:t>11</w:t>
      </w:r>
      <w:r>
        <w:rPr>
          <w:spacing w:val="-1"/>
          <w:w w:val="43"/>
        </w:rPr>
        <w:t>.</w:t>
      </w:r>
      <w:r>
        <w:rPr>
          <w:w w:val="93"/>
        </w:rPr>
        <w:t>6</w:t>
      </w:r>
      <w:r>
        <w:rPr>
          <w:spacing w:val="1"/>
          <w:w w:val="99"/>
        </w:rPr>
        <w:t>）</w:t>
      </w:r>
      <w:r>
        <w:rPr>
          <w:spacing w:val="0"/>
          <w:w w:val="99"/>
        </w:rPr>
        <w:t>活动中的三   </w:t>
      </w:r>
      <w:r>
        <w:rPr>
          <w:w w:val="95"/>
        </w:rPr>
        <w:t>项或三项以上。</w:t>
      </w:r>
    </w:p>
    <w:p>
      <w:pPr>
        <w:pStyle w:val="Heading2"/>
        <w:numPr>
          <w:ilvl w:val="2"/>
          <w:numId w:val="9"/>
        </w:numPr>
        <w:tabs>
          <w:tab w:pos="1206" w:val="left" w:leader="none"/>
          <w:tab w:pos="1207" w:val="left" w:leader="none"/>
        </w:tabs>
        <w:spacing w:line="240" w:lineRule="auto" w:before="194" w:after="0"/>
        <w:ind w:left="1206" w:right="0" w:hanging="1086"/>
        <w:jc w:val="left"/>
      </w:pPr>
      <w:bookmarkStart w:name="_TOC_250040" w:id="75"/>
      <w:bookmarkEnd w:id="75"/>
      <w:r>
        <w:rPr>
          <w:w w:val="95"/>
        </w:rPr>
        <w:t>重大器官移植术或造血干细胞移植术</w:t>
      </w:r>
    </w:p>
    <w:p>
      <w:pPr>
        <w:pStyle w:val="BodyText"/>
        <w:spacing w:before="9"/>
        <w:ind w:left="0"/>
        <w:rPr>
          <w:rFonts w:ascii="Microsoft JhengHei UI"/>
          <w:b/>
          <w:sz w:val="16"/>
        </w:rPr>
      </w:pPr>
    </w:p>
    <w:p>
      <w:pPr>
        <w:pStyle w:val="BodyText"/>
        <w:spacing w:line="273" w:lineRule="auto"/>
        <w:ind w:right="197"/>
      </w:pPr>
      <w:r>
        <w:rPr>
          <w:spacing w:val="-6"/>
          <w:w w:val="95"/>
        </w:rPr>
        <w:t>重大器官移植术，指因相应器官功能衰竭，已经实施了肾脏、肝脏、心脏或肺脏的异体移植   手术。</w:t>
      </w:r>
    </w:p>
    <w:p>
      <w:pPr>
        <w:pStyle w:val="BodyText"/>
        <w:spacing w:line="273" w:lineRule="auto" w:before="5"/>
        <w:ind w:right="197"/>
      </w:pPr>
      <w:r>
        <w:rPr>
          <w:spacing w:val="-7"/>
        </w:rPr>
        <w:t>造血干细胞移植术，指因造血功能损害或造血系统恶性肿瘤，已经实施了造血干细胞</w:t>
      </w:r>
      <w:r>
        <w:rPr/>
        <w:t>（包括</w:t>
      </w:r>
      <w:r>
        <w:rPr>
          <w:w w:val="95"/>
        </w:rPr>
        <w:t>骨髓造血干细胞、外周血造血干细胞和脐血造血干细胞）的异体移植手术。</w:t>
      </w:r>
    </w:p>
    <w:p>
      <w:pPr>
        <w:spacing w:after="0" w:line="273" w:lineRule="auto"/>
        <w:sectPr>
          <w:footerReference w:type="default" r:id="rId7"/>
          <w:pgSz w:w="11910" w:h="16840"/>
          <w:pgMar w:footer="1090" w:header="0" w:top="1360" w:bottom="1280" w:left="1680" w:right="1600"/>
          <w:pgNumType w:start="9"/>
        </w:sectPr>
      </w:pPr>
    </w:p>
    <w:p>
      <w:pPr>
        <w:pStyle w:val="Heading2"/>
        <w:numPr>
          <w:ilvl w:val="2"/>
          <w:numId w:val="9"/>
        </w:numPr>
        <w:tabs>
          <w:tab w:pos="1206" w:val="left" w:leader="none"/>
          <w:tab w:pos="1207" w:val="left" w:leader="none"/>
        </w:tabs>
        <w:spacing w:line="354" w:lineRule="exact" w:before="0" w:after="0"/>
        <w:ind w:left="1206" w:right="0" w:hanging="1086"/>
        <w:jc w:val="left"/>
      </w:pPr>
      <w:bookmarkStart w:name="_TOC_250039" w:id="76"/>
      <w:bookmarkStart w:name="冠状动脉搭桥术（或称冠状动脉旁路移植术）" w:id="77"/>
      <w:r>
        <w:rPr>
          <w:b w:val="0"/>
        </w:rPr>
      </w:r>
      <w:bookmarkStart w:name="终末期肾病（或称慢性肾功能衰竭尿毒症期）" w:id="78"/>
      <w:bookmarkEnd w:id="78"/>
      <w:r>
        <w:rPr>
          <w:b w:val="0"/>
        </w:rPr>
      </w:r>
      <w:bookmarkStart w:name="多个肢体缺失" w:id="79"/>
      <w:bookmarkEnd w:id="79"/>
      <w:r>
        <w:rPr>
          <w:b w:val="0"/>
        </w:rPr>
      </w:r>
      <w:bookmarkStart w:name="急性或亚急性重症肝炎" w:id="80"/>
      <w:bookmarkEnd w:id="80"/>
      <w:r>
        <w:rPr>
          <w:b w:val="0"/>
        </w:rPr>
      </w:r>
      <w:bookmarkStart w:name="良性脑肿瘤" w:id="81"/>
      <w:bookmarkEnd w:id="81"/>
      <w:r>
        <w:rPr>
          <w:b w:val="0"/>
        </w:rPr>
      </w:r>
      <w:bookmarkStart w:name="慢性肝功能衰竭失代偿期" w:id="82"/>
      <w:bookmarkEnd w:id="82"/>
      <w:r>
        <w:rPr>
          <w:b w:val="0"/>
        </w:rPr>
      </w:r>
      <w:bookmarkStart w:name="脑炎后遗症或脑膜炎后遗症" w:id="83"/>
      <w:bookmarkEnd w:id="83"/>
      <w:r>
        <w:rPr>
          <w:b w:val="0"/>
        </w:rPr>
      </w:r>
      <w:bookmarkStart w:name="脑炎后遗症或脑膜炎后遗症" w:id="84"/>
      <w:bookmarkEnd w:id="84"/>
      <w:r>
        <w:rPr>
          <w:w w:val="95"/>
        </w:rPr>
        <w:t>冠状动脉搭桥术</w:t>
      </w:r>
      <w:bookmarkEnd w:id="76"/>
      <w:r>
        <w:rPr>
          <w:w w:val="95"/>
        </w:rPr>
        <w:t>（或称冠状动脉旁路移植术）</w:t>
      </w:r>
    </w:p>
    <w:p>
      <w:pPr>
        <w:pStyle w:val="BodyText"/>
        <w:spacing w:before="6"/>
        <w:ind w:left="0"/>
        <w:rPr>
          <w:rFonts w:ascii="Microsoft JhengHei UI"/>
          <w:b/>
          <w:sz w:val="16"/>
        </w:rPr>
      </w:pPr>
    </w:p>
    <w:p>
      <w:pPr>
        <w:pStyle w:val="BodyText"/>
      </w:pPr>
      <w:r>
        <w:rPr>
          <w:w w:val="95"/>
        </w:rPr>
        <w:t>指为治疗严重的冠心病，实际实施了开胸进行的冠状动脉血管旁路移植的手术。</w:t>
      </w:r>
    </w:p>
    <w:p>
      <w:pPr>
        <w:pStyle w:val="BodyText"/>
        <w:spacing w:line="273" w:lineRule="auto" w:before="36"/>
        <w:ind w:right="117"/>
      </w:pPr>
      <w:r>
        <w:rPr>
          <w:spacing w:val="-6"/>
          <w:w w:val="95"/>
        </w:rPr>
        <w:t>冠状动脉支架植入术、心导管球囊扩张术、激光射频技术及其他非开胸的介入手术、腔镜手   术不在保障范围内。</w:t>
      </w:r>
    </w:p>
    <w:p>
      <w:pPr>
        <w:pStyle w:val="Heading2"/>
        <w:numPr>
          <w:ilvl w:val="2"/>
          <w:numId w:val="9"/>
        </w:numPr>
        <w:tabs>
          <w:tab w:pos="1206" w:val="left" w:leader="none"/>
          <w:tab w:pos="1207" w:val="left" w:leader="none"/>
        </w:tabs>
        <w:spacing w:line="240" w:lineRule="auto" w:before="199" w:after="0"/>
        <w:ind w:left="1206" w:right="0" w:hanging="1086"/>
        <w:jc w:val="left"/>
      </w:pPr>
      <w:bookmarkStart w:name="_TOC_250038" w:id="85"/>
      <w:bookmarkEnd w:id="85"/>
      <w:r>
        <w:rPr>
          <w:w w:val="95"/>
        </w:rPr>
        <w:t>终末期肾病（或称慢性肾功能衰竭尿毒症期）</w:t>
      </w:r>
    </w:p>
    <w:p>
      <w:pPr>
        <w:pStyle w:val="BodyText"/>
        <w:spacing w:before="6"/>
        <w:ind w:left="0"/>
        <w:rPr>
          <w:rFonts w:ascii="Microsoft JhengHei UI"/>
          <w:b/>
          <w:sz w:val="16"/>
        </w:rPr>
      </w:pPr>
    </w:p>
    <w:p>
      <w:pPr>
        <w:pStyle w:val="BodyText"/>
        <w:spacing w:line="273" w:lineRule="auto"/>
        <w:ind w:right="119"/>
      </w:pPr>
      <w:r>
        <w:rPr>
          <w:spacing w:val="-2"/>
        </w:rPr>
        <w:t>指双肾功能慢性不可逆性衰竭，达到尿毒症期，经诊断后已经进行了至少 </w:t>
      </w:r>
      <w:r>
        <w:rPr/>
        <w:t>90</w:t>
      </w:r>
      <w:r>
        <w:rPr>
          <w:spacing w:val="-10"/>
        </w:rPr>
        <w:t> 天的规律性透</w:t>
      </w:r>
      <w:r>
        <w:rPr>
          <w:spacing w:val="-10"/>
          <w:w w:val="95"/>
        </w:rPr>
        <w:t>析治疗或实施了肾脏移植手术。</w:t>
      </w:r>
    </w:p>
    <w:p>
      <w:pPr>
        <w:pStyle w:val="Heading2"/>
        <w:numPr>
          <w:ilvl w:val="2"/>
          <w:numId w:val="9"/>
        </w:numPr>
        <w:tabs>
          <w:tab w:pos="1206" w:val="left" w:leader="none"/>
          <w:tab w:pos="1207" w:val="left" w:leader="none"/>
        </w:tabs>
        <w:spacing w:line="240" w:lineRule="auto" w:before="197" w:after="0"/>
        <w:ind w:left="1206" w:right="0" w:hanging="1086"/>
        <w:jc w:val="left"/>
      </w:pPr>
      <w:bookmarkStart w:name="_TOC_250037" w:id="86"/>
      <w:bookmarkEnd w:id="86"/>
      <w:r>
        <w:rPr>
          <w:w w:val="95"/>
        </w:rPr>
        <w:t>多个肢体缺失</w:t>
      </w:r>
    </w:p>
    <w:p>
      <w:pPr>
        <w:pStyle w:val="BodyText"/>
        <w:spacing w:before="8"/>
        <w:ind w:left="0"/>
        <w:rPr>
          <w:rFonts w:ascii="Microsoft JhengHei UI"/>
          <w:b/>
          <w:sz w:val="16"/>
        </w:rPr>
      </w:pPr>
    </w:p>
    <w:p>
      <w:pPr>
        <w:pStyle w:val="BodyText"/>
        <w:spacing w:line="273" w:lineRule="auto"/>
        <w:ind w:right="121"/>
      </w:pPr>
      <w:r>
        <w:rPr>
          <w:spacing w:val="-2"/>
          <w:w w:val="95"/>
        </w:rPr>
        <w:t>指因疾病或意外伤害导致两个或两个以上肢体自腕关节或踝关节近端</w:t>
      </w:r>
      <w:r>
        <w:rPr>
          <w:w w:val="95"/>
        </w:rPr>
        <w:t>（靠近躯干端</w:t>
      </w:r>
      <w:r>
        <w:rPr>
          <w:spacing w:val="-46"/>
          <w:w w:val="95"/>
        </w:rPr>
        <w:t>）</w:t>
      </w:r>
      <w:r>
        <w:rPr>
          <w:w w:val="95"/>
        </w:rPr>
        <w:t>以上完   全性断离。</w:t>
      </w:r>
    </w:p>
    <w:p>
      <w:pPr>
        <w:pStyle w:val="Heading2"/>
        <w:numPr>
          <w:ilvl w:val="2"/>
          <w:numId w:val="9"/>
        </w:numPr>
        <w:tabs>
          <w:tab w:pos="1206" w:val="left" w:leader="none"/>
          <w:tab w:pos="1207" w:val="left" w:leader="none"/>
        </w:tabs>
        <w:spacing w:line="240" w:lineRule="auto" w:before="196" w:after="0"/>
        <w:ind w:left="1206" w:right="0" w:hanging="1086"/>
        <w:jc w:val="left"/>
      </w:pPr>
      <w:bookmarkStart w:name="_TOC_250036" w:id="87"/>
      <w:bookmarkEnd w:id="87"/>
      <w:r>
        <w:rPr>
          <w:w w:val="95"/>
        </w:rPr>
        <w:t>急性或亚急性重症肝炎</w:t>
      </w:r>
    </w:p>
    <w:p>
      <w:pPr>
        <w:pStyle w:val="BodyText"/>
        <w:spacing w:before="5"/>
        <w:ind w:left="0"/>
        <w:rPr>
          <w:rFonts w:ascii="Microsoft JhengHei UI"/>
          <w:b/>
          <w:sz w:val="16"/>
        </w:rPr>
      </w:pPr>
    </w:p>
    <w:p>
      <w:pPr>
        <w:pStyle w:val="BodyText"/>
        <w:spacing w:line="273" w:lineRule="auto" w:before="1"/>
        <w:ind w:right="117"/>
      </w:pPr>
      <w:r>
        <w:rPr>
          <w:spacing w:val="-5"/>
        </w:rPr>
        <w:t>指因肝炎病毒感染引起肝脏组织弥漫性坏死，导致急性肝功能衰竭，且经血清学或病毒学检</w:t>
      </w:r>
      <w:r>
        <w:rPr>
          <w:spacing w:val="-5"/>
          <w:w w:val="95"/>
        </w:rPr>
        <w:t>查证实，并须满足下列全部条件：</w:t>
      </w:r>
    </w:p>
    <w:p>
      <w:pPr>
        <w:pStyle w:val="BodyText"/>
        <w:spacing w:before="8"/>
      </w:pPr>
      <w:r>
        <w:rPr>
          <w:w w:val="95"/>
        </w:rPr>
        <w:t>（1）重度黄疸或黄疸迅速加重；</w:t>
      </w:r>
    </w:p>
    <w:p>
      <w:pPr>
        <w:pStyle w:val="BodyText"/>
        <w:spacing w:before="37"/>
      </w:pPr>
      <w:r>
        <w:rPr>
          <w:w w:val="95"/>
        </w:rPr>
        <w:t>（2）肝性脑病；</w:t>
      </w:r>
    </w:p>
    <w:p>
      <w:pPr>
        <w:pStyle w:val="BodyText"/>
        <w:spacing w:before="37"/>
      </w:pPr>
      <w:r>
        <w:rPr/>
        <w:t>（3）B 超或其他影像学检查显示肝脏体积急速萎缩；</w:t>
      </w:r>
    </w:p>
    <w:p>
      <w:pPr>
        <w:pStyle w:val="BodyText"/>
        <w:spacing w:before="37"/>
      </w:pPr>
      <w:r>
        <w:rPr>
          <w:w w:val="95"/>
        </w:rPr>
        <w:t>（4）肝功能指标进行性恶化。</w:t>
      </w:r>
    </w:p>
    <w:p>
      <w:pPr>
        <w:pStyle w:val="Heading2"/>
        <w:numPr>
          <w:ilvl w:val="2"/>
          <w:numId w:val="9"/>
        </w:numPr>
        <w:tabs>
          <w:tab w:pos="1206" w:val="left" w:leader="none"/>
          <w:tab w:pos="1207" w:val="left" w:leader="none"/>
        </w:tabs>
        <w:spacing w:line="240" w:lineRule="auto" w:before="226" w:after="0"/>
        <w:ind w:left="1206" w:right="0" w:hanging="1086"/>
        <w:jc w:val="left"/>
      </w:pPr>
      <w:bookmarkStart w:name="_TOC_250035" w:id="88"/>
      <w:bookmarkEnd w:id="88"/>
      <w:r>
        <w:rPr>
          <w:w w:val="95"/>
        </w:rPr>
        <w:t>良性脑肿瘤</w:t>
      </w:r>
    </w:p>
    <w:p>
      <w:pPr>
        <w:pStyle w:val="BodyText"/>
        <w:spacing w:before="8"/>
        <w:ind w:left="0"/>
        <w:rPr>
          <w:rFonts w:ascii="Microsoft JhengHei UI"/>
          <w:b/>
          <w:sz w:val="16"/>
        </w:rPr>
      </w:pPr>
    </w:p>
    <w:p>
      <w:pPr>
        <w:pStyle w:val="BodyText"/>
        <w:spacing w:line="273" w:lineRule="auto"/>
        <w:ind w:right="115"/>
        <w:jc w:val="both"/>
      </w:pPr>
      <w:r>
        <w:rPr>
          <w:spacing w:val="-7"/>
        </w:rPr>
        <w:t>指脑的良性肿瘤，已经引起颅内压增高，临床表现为视神经乳头水肿、精神症状、癫痫及运</w:t>
      </w:r>
      <w:r>
        <w:rPr>
          <w:spacing w:val="-1"/>
          <w:w w:val="99"/>
        </w:rPr>
        <w:t>动感觉障碍等，并危及生命。须由头颅断层扫描</w:t>
      </w:r>
      <w:r>
        <w:rPr>
          <w:spacing w:val="1"/>
          <w:w w:val="99"/>
        </w:rPr>
        <w:t>（</w:t>
      </w:r>
      <w:r>
        <w:rPr>
          <w:spacing w:val="-1"/>
          <w:w w:val="126"/>
        </w:rPr>
        <w:t>C</w:t>
      </w:r>
      <w:r>
        <w:rPr>
          <w:spacing w:val="0"/>
          <w:w w:val="122"/>
        </w:rPr>
        <w:t>T</w:t>
      </w:r>
      <w:r>
        <w:rPr>
          <w:spacing w:val="-104"/>
          <w:w w:val="99"/>
        </w:rPr>
        <w:t>）</w:t>
      </w:r>
      <w:r>
        <w:rPr>
          <w:spacing w:val="-1"/>
          <w:w w:val="99"/>
        </w:rPr>
        <w:t>、核磁共振检查</w:t>
      </w:r>
      <w:r>
        <w:rPr>
          <w:w w:val="99"/>
        </w:rPr>
        <w:t>（</w:t>
      </w:r>
      <w:r>
        <w:rPr>
          <w:spacing w:val="-2"/>
          <w:w w:val="165"/>
        </w:rPr>
        <w:t>M</w:t>
      </w:r>
      <w:r>
        <w:rPr>
          <w:spacing w:val="0"/>
          <w:w w:val="124"/>
        </w:rPr>
        <w:t>R</w:t>
      </w:r>
      <w:r>
        <w:rPr>
          <w:spacing w:val="1"/>
          <w:w w:val="70"/>
        </w:rPr>
        <w:t>I</w:t>
      </w:r>
      <w:r>
        <w:rPr>
          <w:w w:val="99"/>
        </w:rPr>
        <w:t>）或正电子发</w:t>
      </w:r>
      <w:r>
        <w:rPr>
          <w:spacing w:val="-1"/>
        </w:rPr>
        <w:t>射断层扫描</w:t>
      </w:r>
      <w:r>
        <w:rPr/>
        <w:t>（PET）等影像学检查证实，并须满足下列至少一项条件：</w:t>
      </w:r>
    </w:p>
    <w:p>
      <w:pPr>
        <w:pStyle w:val="BodyText"/>
        <w:spacing w:before="7"/>
      </w:pPr>
      <w:r>
        <w:rPr>
          <w:w w:val="95"/>
        </w:rPr>
        <w:t>（1）实际实施了开颅进行的脑肿瘤完全切除或部分切除的手术；</w:t>
      </w:r>
    </w:p>
    <w:p>
      <w:pPr>
        <w:pStyle w:val="BodyText"/>
        <w:spacing w:before="36"/>
      </w:pPr>
      <w:r>
        <w:rPr>
          <w:w w:val="95"/>
        </w:rPr>
        <w:t>（2）实际实施了对脑肿瘤进行的放射治疗。</w:t>
      </w:r>
    </w:p>
    <w:p>
      <w:pPr>
        <w:pStyle w:val="BodyText"/>
        <w:spacing w:before="36"/>
      </w:pPr>
      <w:r>
        <w:rPr>
          <w:w w:val="95"/>
        </w:rPr>
        <w:t>脑垂体瘤、脑囊肿、脑血管性疾病不在保障范围内。</w:t>
      </w:r>
    </w:p>
    <w:p>
      <w:pPr>
        <w:pStyle w:val="Heading2"/>
        <w:numPr>
          <w:ilvl w:val="2"/>
          <w:numId w:val="9"/>
        </w:numPr>
        <w:tabs>
          <w:tab w:pos="1206" w:val="left" w:leader="none"/>
          <w:tab w:pos="1207" w:val="left" w:leader="none"/>
        </w:tabs>
        <w:spacing w:line="240" w:lineRule="auto" w:before="226" w:after="0"/>
        <w:ind w:left="1206" w:right="0" w:hanging="1086"/>
        <w:jc w:val="left"/>
      </w:pPr>
      <w:bookmarkStart w:name="_TOC_250034" w:id="89"/>
      <w:bookmarkEnd w:id="89"/>
      <w:r>
        <w:rPr>
          <w:w w:val="95"/>
        </w:rPr>
        <w:t>慢性肝功能衰竭失代偿期</w:t>
      </w:r>
    </w:p>
    <w:p>
      <w:pPr>
        <w:pStyle w:val="BodyText"/>
        <w:spacing w:before="8"/>
        <w:ind w:left="0"/>
        <w:rPr>
          <w:rFonts w:ascii="Microsoft JhengHei UI"/>
          <w:b/>
          <w:sz w:val="16"/>
        </w:rPr>
      </w:pPr>
    </w:p>
    <w:p>
      <w:pPr>
        <w:pStyle w:val="BodyText"/>
      </w:pPr>
      <w:r>
        <w:rPr>
          <w:w w:val="95"/>
        </w:rPr>
        <w:t>指因慢性肝脏疾病导致肝功能衰竭。须满足下列全部条件：</w:t>
      </w:r>
    </w:p>
    <w:p>
      <w:pPr>
        <w:pStyle w:val="BodyText"/>
        <w:spacing w:before="36"/>
      </w:pPr>
      <w:r>
        <w:rPr>
          <w:w w:val="95"/>
        </w:rPr>
        <w:t>（1）持续性黄疸；</w:t>
      </w:r>
    </w:p>
    <w:p>
      <w:pPr>
        <w:pStyle w:val="BodyText"/>
        <w:spacing w:before="36"/>
      </w:pPr>
      <w:r>
        <w:rPr>
          <w:w w:val="95"/>
        </w:rPr>
        <w:t>（2）腹水；</w:t>
      </w:r>
    </w:p>
    <w:p>
      <w:pPr>
        <w:pStyle w:val="BodyText"/>
        <w:spacing w:before="36"/>
      </w:pPr>
      <w:r>
        <w:rPr>
          <w:w w:val="95"/>
        </w:rPr>
        <w:t>（3）肝性脑病；</w:t>
      </w:r>
    </w:p>
    <w:p>
      <w:pPr>
        <w:pStyle w:val="BodyText"/>
        <w:spacing w:line="273" w:lineRule="auto" w:before="36"/>
        <w:ind w:right="3287"/>
      </w:pPr>
      <w:r>
        <w:rPr>
          <w:w w:val="95"/>
        </w:rPr>
        <w:t>（4）充血性脾肿大伴脾功能亢进或食管胃底静脉曲张。 因酗酒或药物滥用导致的肝功能衰竭不在保障范围内。</w:t>
      </w:r>
    </w:p>
    <w:p>
      <w:pPr>
        <w:pStyle w:val="Heading2"/>
        <w:numPr>
          <w:ilvl w:val="2"/>
          <w:numId w:val="9"/>
        </w:numPr>
        <w:tabs>
          <w:tab w:pos="1206" w:val="left" w:leader="none"/>
          <w:tab w:pos="1207" w:val="left" w:leader="none"/>
        </w:tabs>
        <w:spacing w:line="240" w:lineRule="auto" w:before="197" w:after="0"/>
        <w:ind w:left="1206" w:right="0" w:hanging="1086"/>
        <w:jc w:val="left"/>
      </w:pPr>
      <w:bookmarkStart w:name="_TOC_250033" w:id="90"/>
      <w:bookmarkEnd w:id="90"/>
      <w:r>
        <w:rPr>
          <w:w w:val="95"/>
        </w:rPr>
        <w:t>脑炎后遗症或脑膜炎后遗症</w:t>
      </w:r>
    </w:p>
    <w:p>
      <w:pPr>
        <w:pStyle w:val="BodyText"/>
        <w:spacing w:before="1"/>
        <w:ind w:left="0"/>
        <w:rPr>
          <w:rFonts w:ascii="Microsoft JhengHei UI"/>
          <w:b/>
          <w:sz w:val="16"/>
        </w:rPr>
      </w:pPr>
    </w:p>
    <w:p>
      <w:pPr>
        <w:pStyle w:val="BodyText"/>
        <w:spacing w:before="1"/>
      </w:pPr>
      <w:r>
        <w:rPr>
          <w:w w:val="95"/>
        </w:rPr>
        <w:t>指因患脑炎或脑膜炎导致的神经系统永久性的功能障碍。神经系统永久性的功能障碍，指疾</w:t>
      </w:r>
    </w:p>
    <w:p>
      <w:pPr>
        <w:spacing w:after="0"/>
        <w:sectPr>
          <w:footerReference w:type="default" r:id="rId8"/>
          <w:pgSz w:w="11910" w:h="16840"/>
          <w:pgMar w:footer="1090" w:header="0" w:top="1340" w:bottom="1280" w:left="1680" w:right="1680"/>
          <w:pgNumType w:start="10"/>
        </w:sectPr>
      </w:pPr>
    </w:p>
    <w:p>
      <w:pPr>
        <w:pStyle w:val="BodyText"/>
        <w:spacing w:before="50"/>
        <w:jc w:val="both"/>
      </w:pPr>
      <w:bookmarkStart w:name="深度昏迷" w:id="91"/>
      <w:bookmarkEnd w:id="91"/>
      <w:r>
        <w:rPr/>
      </w:r>
      <w:bookmarkStart w:name="双耳失聪" w:id="92"/>
      <w:bookmarkEnd w:id="92"/>
      <w:r>
        <w:rPr/>
      </w:r>
      <w:bookmarkStart w:name="双目失明" w:id="93"/>
      <w:bookmarkEnd w:id="93"/>
      <w:r>
        <w:rPr/>
      </w:r>
      <w:bookmarkStart w:name="瘫痪" w:id="94"/>
      <w:bookmarkEnd w:id="94"/>
      <w:r>
        <w:rPr/>
      </w:r>
      <w:bookmarkStart w:name="心脏瓣膜手术" w:id="95"/>
      <w:bookmarkEnd w:id="95"/>
      <w:r>
        <w:rPr/>
      </w:r>
      <w:bookmarkStart w:name="严重阿尔茨海默病" w:id="96"/>
      <w:bookmarkEnd w:id="96"/>
      <w:r>
        <w:rPr/>
      </w:r>
      <w:bookmarkStart w:name="严重脑损伤" w:id="97"/>
      <w:bookmarkEnd w:id="97"/>
      <w:r>
        <w:rPr/>
      </w:r>
      <w:r>
        <w:rPr>
          <w:w w:val="95"/>
        </w:rPr>
        <w:t>病确诊180天后，仍遗留下列一种或一种以上障碍：</w:t>
      </w:r>
    </w:p>
    <w:p>
      <w:pPr>
        <w:pStyle w:val="BodyText"/>
        <w:spacing w:before="29"/>
        <w:jc w:val="both"/>
      </w:pPr>
      <w:r>
        <w:rPr>
          <w:w w:val="95"/>
        </w:rPr>
        <w:t>（1）一肢或一肢以上肢体机能完全丧失；</w:t>
      </w:r>
    </w:p>
    <w:p>
      <w:pPr>
        <w:pStyle w:val="BodyText"/>
        <w:spacing w:before="29"/>
        <w:jc w:val="both"/>
      </w:pPr>
      <w:r>
        <w:rPr>
          <w:w w:val="95"/>
        </w:rPr>
        <w:t>（2）语言能力或咀嚼吞咽能力完全丧失；</w:t>
      </w:r>
    </w:p>
    <w:p>
      <w:pPr>
        <w:pStyle w:val="BodyText"/>
        <w:spacing w:before="29"/>
        <w:jc w:val="both"/>
      </w:pPr>
      <w:r>
        <w:rPr>
          <w:w w:val="95"/>
        </w:rPr>
        <w:t>（3）自主生活能力完全丧失，无法独立完成六项基本日常生活活动中的三项或三项以上。</w:t>
      </w:r>
    </w:p>
    <w:p>
      <w:pPr>
        <w:pStyle w:val="Heading2"/>
        <w:numPr>
          <w:ilvl w:val="2"/>
          <w:numId w:val="9"/>
        </w:numPr>
        <w:tabs>
          <w:tab w:pos="1207" w:val="left" w:leader="none"/>
        </w:tabs>
        <w:spacing w:line="240" w:lineRule="auto" w:before="226" w:after="0"/>
        <w:ind w:left="1206" w:right="0" w:hanging="1086"/>
        <w:jc w:val="both"/>
      </w:pPr>
      <w:bookmarkStart w:name="_TOC_250032" w:id="98"/>
      <w:bookmarkEnd w:id="98"/>
      <w:r>
        <w:rPr>
          <w:w w:val="95"/>
        </w:rPr>
        <w:t>深度昏迷</w:t>
      </w:r>
    </w:p>
    <w:p>
      <w:pPr>
        <w:pStyle w:val="BodyText"/>
        <w:spacing w:before="6"/>
        <w:ind w:left="0"/>
        <w:rPr>
          <w:rFonts w:ascii="Microsoft JhengHei UI"/>
          <w:b/>
          <w:sz w:val="16"/>
        </w:rPr>
      </w:pPr>
    </w:p>
    <w:p>
      <w:pPr>
        <w:pStyle w:val="BodyText"/>
        <w:spacing w:line="273" w:lineRule="auto"/>
        <w:ind w:right="110"/>
        <w:jc w:val="both"/>
      </w:pPr>
      <w:r>
        <w:rPr>
          <w:spacing w:val="-5"/>
        </w:rPr>
        <w:t>指因疾病或意外伤害导致意识丧失，对外界刺激和体内需求均无反应，昏迷程度按照格拉斯</w:t>
      </w:r>
      <w:r>
        <w:rPr>
          <w:spacing w:val="-3"/>
          <w:w w:val="99"/>
        </w:rPr>
        <w:t>哥昏迷分级</w:t>
      </w:r>
      <w:r>
        <w:rPr>
          <w:w w:val="99"/>
        </w:rPr>
        <w:t>（</w:t>
      </w:r>
      <w:r>
        <w:rPr>
          <w:spacing w:val="-1"/>
          <w:w w:val="153"/>
        </w:rPr>
        <w:t>G</w:t>
      </w:r>
      <w:r>
        <w:rPr>
          <w:w w:val="45"/>
        </w:rPr>
        <w:t>l</w:t>
      </w:r>
      <w:r>
        <w:rPr>
          <w:spacing w:val="0"/>
          <w:w w:val="80"/>
        </w:rPr>
        <w:t>a</w:t>
      </w:r>
      <w:r>
        <w:rPr>
          <w:w w:val="72"/>
        </w:rPr>
        <w:t>s</w:t>
      </w:r>
      <w:r>
        <w:rPr>
          <w:w w:val="89"/>
        </w:rPr>
        <w:t>g</w:t>
      </w:r>
      <w:r>
        <w:rPr>
          <w:spacing w:val="-1"/>
          <w:w w:val="101"/>
        </w:rPr>
        <w:t>o</w:t>
      </w:r>
      <w:r>
        <w:rPr>
          <w:w w:val="132"/>
        </w:rPr>
        <w:t>w</w:t>
      </w:r>
      <w:r>
        <w:rPr>
          <w:spacing w:val="-50"/>
        </w:rPr>
        <w:t> </w:t>
      </w:r>
      <w:r>
        <w:rPr>
          <w:spacing w:val="-1"/>
          <w:w w:val="82"/>
        </w:rPr>
        <w:t>c</w:t>
      </w:r>
      <w:r>
        <w:rPr>
          <w:spacing w:val="0"/>
          <w:w w:val="101"/>
        </w:rPr>
        <w:t>o</w:t>
      </w:r>
      <w:r>
        <w:rPr>
          <w:spacing w:val="-1"/>
          <w:w w:val="153"/>
        </w:rPr>
        <w:t>m</w:t>
      </w:r>
      <w:r>
        <w:rPr>
          <w:w w:val="80"/>
        </w:rPr>
        <w:t>a</w:t>
      </w:r>
      <w:r>
        <w:rPr>
          <w:spacing w:val="-49"/>
        </w:rPr>
        <w:t> </w:t>
      </w:r>
      <w:r>
        <w:rPr>
          <w:w w:val="72"/>
        </w:rPr>
        <w:t>s</w:t>
      </w:r>
      <w:r>
        <w:rPr>
          <w:spacing w:val="-1"/>
          <w:w w:val="82"/>
        </w:rPr>
        <w:t>c</w:t>
      </w:r>
      <w:r>
        <w:rPr>
          <w:spacing w:val="-1"/>
          <w:w w:val="80"/>
        </w:rPr>
        <w:t>a</w:t>
      </w:r>
      <w:r>
        <w:rPr>
          <w:w w:val="45"/>
        </w:rPr>
        <w:t>l</w:t>
      </w:r>
      <w:r>
        <w:rPr>
          <w:spacing w:val="0"/>
          <w:w w:val="82"/>
        </w:rPr>
        <w:t>e</w:t>
      </w:r>
      <w:r>
        <w:rPr>
          <w:spacing w:val="-15"/>
          <w:w w:val="99"/>
        </w:rPr>
        <w:t>）</w:t>
      </w:r>
      <w:r>
        <w:rPr>
          <w:w w:val="99"/>
        </w:rPr>
        <w:t>结果为</w:t>
      </w:r>
      <w:r>
        <w:rPr>
          <w:spacing w:val="-50"/>
        </w:rPr>
        <w:t> </w:t>
      </w:r>
      <w:r>
        <w:rPr>
          <w:w w:val="93"/>
        </w:rPr>
        <w:t>5</w:t>
      </w:r>
      <w:r>
        <w:rPr>
          <w:spacing w:val="-52"/>
        </w:rPr>
        <w:t> </w:t>
      </w:r>
      <w:r>
        <w:rPr>
          <w:w w:val="99"/>
        </w:rPr>
        <w:t>分或</w:t>
      </w:r>
      <w:r>
        <w:rPr>
          <w:spacing w:val="-50"/>
        </w:rPr>
        <w:t> </w:t>
      </w:r>
      <w:r>
        <w:rPr>
          <w:w w:val="93"/>
        </w:rPr>
        <w:t>5</w:t>
      </w:r>
      <w:r>
        <w:rPr>
          <w:spacing w:val="-52"/>
        </w:rPr>
        <w:t> </w:t>
      </w:r>
      <w:r>
        <w:rPr>
          <w:spacing w:val="-3"/>
          <w:w w:val="99"/>
        </w:rPr>
        <w:t>分以下，且已经持续使用呼吸机及其他生</w:t>
      </w:r>
      <w:r>
        <w:rPr>
          <w:spacing w:val="-13"/>
        </w:rPr>
        <w:t>命维持系统 </w:t>
      </w:r>
      <w:r>
        <w:rPr/>
        <w:t>96</w:t>
      </w:r>
      <w:r>
        <w:rPr>
          <w:spacing w:val="-11"/>
        </w:rPr>
        <w:t> 小时以上。</w:t>
      </w:r>
    </w:p>
    <w:p>
      <w:pPr>
        <w:pStyle w:val="BodyText"/>
        <w:spacing w:before="7"/>
      </w:pPr>
      <w:r>
        <w:rPr>
          <w:w w:val="95"/>
        </w:rPr>
        <w:t>因酗酒或药物滥用导致的深度昏迷不在保障范围内。</w:t>
      </w:r>
    </w:p>
    <w:p>
      <w:pPr>
        <w:pStyle w:val="Heading2"/>
        <w:numPr>
          <w:ilvl w:val="2"/>
          <w:numId w:val="9"/>
        </w:numPr>
        <w:tabs>
          <w:tab w:pos="1206" w:val="left" w:leader="none"/>
          <w:tab w:pos="1207" w:val="left" w:leader="none"/>
        </w:tabs>
        <w:spacing w:line="240" w:lineRule="auto" w:before="226" w:after="0"/>
        <w:ind w:left="1206" w:right="0" w:hanging="1086"/>
        <w:jc w:val="left"/>
      </w:pPr>
      <w:bookmarkStart w:name="_TOC_250031" w:id="99"/>
      <w:bookmarkEnd w:id="99"/>
      <w:r>
        <w:rPr>
          <w:w w:val="95"/>
        </w:rPr>
        <w:t>双耳失聪</w:t>
      </w:r>
    </w:p>
    <w:p>
      <w:pPr>
        <w:pStyle w:val="BodyText"/>
        <w:spacing w:line="259" w:lineRule="auto" w:before="224"/>
        <w:ind w:right="106"/>
        <w:jc w:val="both"/>
      </w:pPr>
      <w:r>
        <w:rPr>
          <w:spacing w:val="3"/>
          <w:w w:val="99"/>
        </w:rPr>
        <w:t>指因疾病或意外伤害导致双耳听力</w:t>
      </w:r>
      <w:r>
        <w:rPr>
          <w:rFonts w:ascii="Microsoft JhengHei UI" w:eastAsia="Microsoft JhengHei UI" w:hint="eastAsia"/>
          <w:b/>
          <w:spacing w:val="-57"/>
          <w:w w:val="99"/>
        </w:rPr>
        <w:t>永</w:t>
      </w:r>
      <w:r>
        <w:rPr>
          <w:spacing w:val="-267"/>
          <w:w w:val="99"/>
          <w:position w:val="1"/>
        </w:rPr>
        <w:t>久</w:t>
      </w:r>
      <w:r>
        <w:rPr>
          <w:spacing w:val="-264"/>
          <w:w w:val="99"/>
        </w:rPr>
        <w:t>久久</w:t>
      </w:r>
      <w:r>
        <w:rPr>
          <w:spacing w:val="-57"/>
          <w:w w:val="99"/>
        </w:rPr>
        <w:t>久</w:t>
      </w:r>
      <w:r>
        <w:rPr>
          <w:spacing w:val="-267"/>
          <w:w w:val="99"/>
          <w:position w:val="1"/>
        </w:rPr>
        <w:t>不</w:t>
      </w:r>
      <w:r>
        <w:rPr>
          <w:spacing w:val="-264"/>
          <w:w w:val="99"/>
        </w:rPr>
        <w:t>不不</w:t>
      </w:r>
      <w:r>
        <w:rPr>
          <w:spacing w:val="-57"/>
          <w:w w:val="99"/>
        </w:rPr>
        <w:t>不</w:t>
      </w:r>
      <w:r>
        <w:rPr>
          <w:spacing w:val="-267"/>
          <w:w w:val="99"/>
          <w:position w:val="1"/>
        </w:rPr>
        <w:t>可</w:t>
      </w:r>
      <w:r>
        <w:rPr>
          <w:spacing w:val="-264"/>
          <w:w w:val="99"/>
        </w:rPr>
        <w:t>可可</w:t>
      </w:r>
      <w:r>
        <w:rPr>
          <w:spacing w:val="-57"/>
          <w:w w:val="99"/>
        </w:rPr>
        <w:t>可</w:t>
      </w:r>
      <w:r>
        <w:rPr>
          <w:spacing w:val="-267"/>
          <w:w w:val="99"/>
          <w:position w:val="1"/>
        </w:rPr>
        <w:t>逆</w:t>
      </w:r>
      <w:r>
        <w:rPr>
          <w:spacing w:val="-264"/>
          <w:w w:val="99"/>
        </w:rPr>
        <w:t>逆逆</w:t>
      </w:r>
      <w:r>
        <w:rPr>
          <w:spacing w:val="-41"/>
          <w:w w:val="99"/>
        </w:rPr>
        <w:t>逆</w:t>
      </w:r>
      <w:r>
        <w:rPr>
          <w:spacing w:val="6"/>
          <w:w w:val="99"/>
        </w:rPr>
        <w:t>（</w:t>
      </w:r>
      <w:r>
        <w:rPr>
          <w:spacing w:val="2"/>
          <w:w w:val="99"/>
        </w:rPr>
        <w:t>见释义</w:t>
      </w:r>
      <w:r>
        <w:rPr>
          <w:spacing w:val="-46"/>
        </w:rPr>
        <w:t> </w:t>
      </w:r>
      <w:r>
        <w:rPr>
          <w:w w:val="93"/>
        </w:rPr>
        <w:t>11</w:t>
      </w:r>
      <w:r>
        <w:rPr>
          <w:spacing w:val="-1"/>
          <w:w w:val="43"/>
        </w:rPr>
        <w:t>.</w:t>
      </w:r>
      <w:r>
        <w:rPr>
          <w:spacing w:val="6"/>
          <w:w w:val="93"/>
        </w:rPr>
        <w:t>7</w:t>
      </w:r>
      <w:r>
        <w:rPr>
          <w:spacing w:val="3"/>
          <w:w w:val="99"/>
        </w:rPr>
        <w:t>）</w:t>
      </w:r>
      <w:r>
        <w:rPr>
          <w:spacing w:val="2"/>
          <w:w w:val="99"/>
        </w:rPr>
        <w:t>性丧失，在</w:t>
      </w:r>
      <w:r>
        <w:rPr>
          <w:spacing w:val="-41"/>
        </w:rPr>
        <w:t> </w:t>
      </w:r>
      <w:r>
        <w:rPr>
          <w:w w:val="93"/>
        </w:rPr>
        <w:t>500</w:t>
      </w:r>
      <w:r>
        <w:rPr>
          <w:spacing w:val="-47"/>
        </w:rPr>
        <w:t> </w:t>
      </w:r>
      <w:r>
        <w:rPr>
          <w:spacing w:val="5"/>
          <w:w w:val="99"/>
        </w:rPr>
        <w:t>赫兹、</w:t>
      </w:r>
      <w:r>
        <w:rPr>
          <w:w w:val="93"/>
        </w:rPr>
        <w:t>10</w:t>
      </w:r>
      <w:r>
        <w:rPr>
          <w:spacing w:val="1"/>
          <w:w w:val="93"/>
        </w:rPr>
        <w:t>0</w:t>
      </w:r>
      <w:r>
        <w:rPr>
          <w:w w:val="93"/>
        </w:rPr>
        <w:t>0</w:t>
      </w:r>
      <w:r>
        <w:rPr>
          <w:spacing w:val="1"/>
          <w:w w:val="99"/>
        </w:rPr>
        <w:t>  </w:t>
      </w:r>
      <w:r>
        <w:rPr>
          <w:spacing w:val="-16"/>
        </w:rPr>
        <w:t>赫兹和 </w:t>
      </w:r>
      <w:r>
        <w:rPr/>
        <w:t>2000</w:t>
      </w:r>
      <w:r>
        <w:rPr>
          <w:spacing w:val="-14"/>
        </w:rPr>
        <w:t> 赫兹语音频率下，平均听阈大于 </w:t>
      </w:r>
      <w:r>
        <w:rPr/>
        <w:t>90</w:t>
      </w:r>
      <w:r>
        <w:rPr>
          <w:spacing w:val="-11"/>
        </w:rPr>
        <w:t> 分贝，且经纯音听力测试、声导抗检测或听</w:t>
      </w:r>
      <w:r>
        <w:rPr>
          <w:spacing w:val="-11"/>
          <w:w w:val="95"/>
        </w:rPr>
        <w:t>觉诱发电位检测等证实。</w:t>
      </w:r>
    </w:p>
    <w:p>
      <w:pPr>
        <w:pStyle w:val="Heading2"/>
        <w:numPr>
          <w:ilvl w:val="2"/>
          <w:numId w:val="9"/>
        </w:numPr>
        <w:tabs>
          <w:tab w:pos="1206" w:val="left" w:leader="none"/>
          <w:tab w:pos="1207" w:val="left" w:leader="none"/>
        </w:tabs>
        <w:spacing w:line="240" w:lineRule="auto" w:before="210" w:after="0"/>
        <w:ind w:left="1206" w:right="0" w:hanging="1086"/>
        <w:jc w:val="left"/>
      </w:pPr>
      <w:bookmarkStart w:name="_TOC_250030" w:id="100"/>
      <w:bookmarkEnd w:id="100"/>
      <w:r>
        <w:rPr>
          <w:w w:val="95"/>
        </w:rPr>
        <w:t>双目失明</w:t>
      </w:r>
    </w:p>
    <w:p>
      <w:pPr>
        <w:pStyle w:val="BodyText"/>
        <w:spacing w:before="6"/>
        <w:ind w:left="0"/>
        <w:rPr>
          <w:rFonts w:ascii="Microsoft JhengHei UI"/>
          <w:b/>
          <w:sz w:val="16"/>
        </w:rPr>
      </w:pPr>
    </w:p>
    <w:p>
      <w:pPr>
        <w:pStyle w:val="BodyText"/>
        <w:spacing w:line="273" w:lineRule="auto"/>
        <w:ind w:right="117"/>
      </w:pPr>
      <w:r>
        <w:rPr>
          <w:spacing w:val="-4"/>
        </w:rPr>
        <w:t>指因疾病或意外伤害导致双眼视力永久不可逆性丧失，双眼中较好眼须满足下列至少一项条</w:t>
      </w:r>
      <w:r>
        <w:rPr>
          <w:spacing w:val="-4"/>
          <w:w w:val="95"/>
        </w:rPr>
        <w:t>件：</w:t>
      </w:r>
    </w:p>
    <w:p>
      <w:pPr>
        <w:pStyle w:val="BodyText"/>
        <w:spacing w:before="7"/>
        <w:jc w:val="both"/>
      </w:pPr>
      <w:r>
        <w:rPr>
          <w:w w:val="95"/>
        </w:rPr>
        <w:t>（1）眼球缺失或摘除；</w:t>
      </w:r>
    </w:p>
    <w:p>
      <w:pPr>
        <w:pStyle w:val="BodyText"/>
        <w:spacing w:before="37"/>
        <w:jc w:val="both"/>
      </w:pPr>
      <w:r>
        <w:rPr>
          <w:w w:val="99"/>
        </w:rPr>
        <w:t>（</w:t>
      </w:r>
      <w:r>
        <w:rPr>
          <w:w w:val="93"/>
        </w:rPr>
        <w:t>2</w:t>
      </w:r>
      <w:r>
        <w:rPr>
          <w:spacing w:val="1"/>
          <w:w w:val="99"/>
        </w:rPr>
        <w:t>）</w:t>
      </w:r>
      <w:r>
        <w:rPr>
          <w:w w:val="99"/>
        </w:rPr>
        <w:t>矫正视力低于</w:t>
      </w:r>
      <w:r>
        <w:rPr>
          <w:spacing w:val="-50"/>
        </w:rPr>
        <w:t> </w:t>
      </w:r>
      <w:r>
        <w:rPr>
          <w:w w:val="93"/>
        </w:rPr>
        <w:t>0</w:t>
      </w:r>
      <w:r>
        <w:rPr>
          <w:spacing w:val="-1"/>
          <w:w w:val="43"/>
        </w:rPr>
        <w:t>.</w:t>
      </w:r>
      <w:r>
        <w:rPr>
          <w:w w:val="93"/>
        </w:rPr>
        <w:t>02</w:t>
      </w:r>
      <w:r>
        <w:rPr>
          <w:spacing w:val="1"/>
          <w:w w:val="99"/>
        </w:rPr>
        <w:t>（</w:t>
      </w:r>
      <w:r>
        <w:rPr>
          <w:spacing w:val="-1"/>
          <w:w w:val="99"/>
        </w:rPr>
        <w:t>采用国际标准视力表，如果使用其他视力表应进行换算</w:t>
      </w:r>
      <w:r>
        <w:rPr>
          <w:spacing w:val="-104"/>
          <w:w w:val="99"/>
        </w:rPr>
        <w:t>）</w:t>
      </w:r>
      <w:r>
        <w:rPr>
          <w:w w:val="99"/>
        </w:rPr>
        <w:t>；</w:t>
      </w:r>
    </w:p>
    <w:p>
      <w:pPr>
        <w:pStyle w:val="BodyText"/>
        <w:spacing w:before="37"/>
        <w:jc w:val="both"/>
      </w:pPr>
      <w:r>
        <w:rPr/>
        <w:t>（3）视野半径小于 5 度。</w:t>
      </w:r>
    </w:p>
    <w:p>
      <w:pPr>
        <w:pStyle w:val="Heading2"/>
        <w:numPr>
          <w:ilvl w:val="2"/>
          <w:numId w:val="9"/>
        </w:numPr>
        <w:tabs>
          <w:tab w:pos="1207" w:val="left" w:leader="none"/>
        </w:tabs>
        <w:spacing w:line="240" w:lineRule="auto" w:before="226" w:after="0"/>
        <w:ind w:left="1206" w:right="0" w:hanging="1086"/>
        <w:jc w:val="both"/>
      </w:pPr>
      <w:bookmarkStart w:name="_TOC_250029" w:id="101"/>
      <w:bookmarkEnd w:id="101"/>
      <w:r>
        <w:rPr>
          <w:w w:val="95"/>
        </w:rPr>
        <w:t>瘫痪</w:t>
      </w:r>
    </w:p>
    <w:p>
      <w:pPr>
        <w:pStyle w:val="BodyText"/>
        <w:spacing w:before="8"/>
        <w:ind w:left="0"/>
        <w:rPr>
          <w:rFonts w:ascii="Microsoft JhengHei UI"/>
          <w:b/>
          <w:sz w:val="16"/>
        </w:rPr>
      </w:pPr>
    </w:p>
    <w:p>
      <w:pPr>
        <w:pStyle w:val="BodyText"/>
        <w:spacing w:line="273" w:lineRule="auto"/>
        <w:ind w:right="114"/>
        <w:jc w:val="both"/>
      </w:pPr>
      <w:r>
        <w:rPr>
          <w:w w:val="95"/>
        </w:rPr>
        <w:t>指因疾病或意外伤害导致两肢或两肢以上肢体机能永久完全丧失。肢体机能永久完全丧失</w:t>
      </w:r>
      <w:r>
        <w:rPr>
          <w:w w:val="90"/>
        </w:rPr>
        <w:t>，  </w:t>
      </w:r>
      <w:r>
        <w:rPr>
          <w:spacing w:val="-13"/>
        </w:rPr>
        <w:t>指疾病确诊 </w:t>
      </w:r>
      <w:r>
        <w:rPr/>
        <w:t>180</w:t>
      </w:r>
      <w:r>
        <w:rPr>
          <w:spacing w:val="-16"/>
        </w:rPr>
        <w:t> 天后或意外伤害发生 </w:t>
      </w:r>
      <w:r>
        <w:rPr/>
        <w:t>180</w:t>
      </w:r>
      <w:r>
        <w:rPr>
          <w:spacing w:val="-9"/>
        </w:rPr>
        <w:t> 天后，每肢三大关节中的两大关节仍然完全僵硬， </w:t>
      </w:r>
      <w:r>
        <w:rPr>
          <w:spacing w:val="-9"/>
          <w:w w:val="95"/>
        </w:rPr>
        <w:t>或不能随意识活动。</w:t>
      </w:r>
    </w:p>
    <w:p>
      <w:pPr>
        <w:pStyle w:val="Heading2"/>
        <w:numPr>
          <w:ilvl w:val="2"/>
          <w:numId w:val="9"/>
        </w:numPr>
        <w:tabs>
          <w:tab w:pos="1206" w:val="left" w:leader="none"/>
          <w:tab w:pos="1207" w:val="left" w:leader="none"/>
        </w:tabs>
        <w:spacing w:line="240" w:lineRule="auto" w:before="197" w:after="0"/>
        <w:ind w:left="1206" w:right="0" w:hanging="1086"/>
        <w:jc w:val="left"/>
      </w:pPr>
      <w:bookmarkStart w:name="_TOC_250028" w:id="102"/>
      <w:bookmarkEnd w:id="102"/>
      <w:r>
        <w:rPr>
          <w:w w:val="95"/>
        </w:rPr>
        <w:t>心脏瓣膜手术</w:t>
      </w:r>
    </w:p>
    <w:p>
      <w:pPr>
        <w:pStyle w:val="BodyText"/>
        <w:spacing w:before="8"/>
        <w:ind w:left="0"/>
        <w:rPr>
          <w:rFonts w:ascii="Microsoft JhengHei UI"/>
          <w:b/>
          <w:sz w:val="16"/>
        </w:rPr>
      </w:pPr>
    </w:p>
    <w:p>
      <w:pPr>
        <w:pStyle w:val="BodyText"/>
      </w:pPr>
      <w:r>
        <w:rPr>
          <w:w w:val="95"/>
        </w:rPr>
        <w:t>指为治疗心脏瓣膜疾病，实际实施了开胸进行的心脏瓣膜置换或修复的手术。</w:t>
      </w:r>
    </w:p>
    <w:p>
      <w:pPr>
        <w:pStyle w:val="Heading2"/>
        <w:numPr>
          <w:ilvl w:val="2"/>
          <w:numId w:val="9"/>
        </w:numPr>
        <w:tabs>
          <w:tab w:pos="1206" w:val="left" w:leader="none"/>
          <w:tab w:pos="1207" w:val="left" w:leader="none"/>
        </w:tabs>
        <w:spacing w:line="240" w:lineRule="auto" w:before="226" w:after="0"/>
        <w:ind w:left="1206" w:right="0" w:hanging="1086"/>
        <w:jc w:val="left"/>
      </w:pPr>
      <w:bookmarkStart w:name="_TOC_250027" w:id="103"/>
      <w:bookmarkEnd w:id="103"/>
      <w:r>
        <w:rPr>
          <w:w w:val="95"/>
        </w:rPr>
        <w:t>严重阿尔茨海默病</w:t>
      </w:r>
    </w:p>
    <w:p>
      <w:pPr>
        <w:pStyle w:val="BodyText"/>
        <w:spacing w:before="6"/>
        <w:ind w:left="0"/>
        <w:rPr>
          <w:rFonts w:ascii="Microsoft JhengHei UI"/>
          <w:b/>
          <w:sz w:val="16"/>
        </w:rPr>
      </w:pPr>
    </w:p>
    <w:p>
      <w:pPr>
        <w:pStyle w:val="BodyText"/>
        <w:spacing w:line="273" w:lineRule="auto"/>
        <w:ind w:right="116"/>
        <w:jc w:val="both"/>
      </w:pPr>
      <w:r>
        <w:rPr>
          <w:spacing w:val="-14"/>
          <w:w w:val="95"/>
        </w:rPr>
        <w:t>指因大脑进行性、不可逆性改变导致智能严重衰退或丧失，临床表现为明显的认知能力障碍</w:t>
      </w:r>
      <w:r>
        <w:rPr>
          <w:w w:val="90"/>
        </w:rPr>
        <w:t>、</w:t>
      </w:r>
      <w:r>
        <w:rPr>
          <w:spacing w:val="1"/>
          <w:w w:val="99"/>
        </w:rPr>
        <w:t>行</w:t>
      </w:r>
      <w:r>
        <w:rPr>
          <w:w w:val="99"/>
        </w:rPr>
        <w:t>为异常和社交能力减退，其日常生活必须持续受到他人监护。须从头颅断层扫描</w:t>
      </w:r>
      <w:r>
        <w:rPr>
          <w:spacing w:val="-1"/>
          <w:w w:val="99"/>
        </w:rPr>
        <w:t>（</w:t>
      </w:r>
      <w:r>
        <w:rPr>
          <w:spacing w:val="-1"/>
          <w:w w:val="126"/>
        </w:rPr>
        <w:t>C</w:t>
      </w:r>
      <w:r>
        <w:rPr>
          <w:spacing w:val="2"/>
          <w:w w:val="122"/>
        </w:rPr>
        <w:t>T</w:t>
      </w:r>
      <w:r>
        <w:rPr>
          <w:spacing w:val="-104"/>
          <w:w w:val="99"/>
        </w:rPr>
        <w:t>）</w:t>
      </w:r>
      <w:r>
        <w:rPr>
          <w:w w:val="79"/>
        </w:rPr>
        <w:t>、</w:t>
      </w:r>
      <w:r>
        <w:rPr>
          <w:spacing w:val="1"/>
          <w:w w:val="99"/>
        </w:rPr>
        <w:t>核</w:t>
      </w:r>
      <w:r>
        <w:rPr>
          <w:spacing w:val="-1"/>
          <w:w w:val="99"/>
        </w:rPr>
        <w:t>磁共振检查</w:t>
      </w:r>
      <w:r>
        <w:rPr>
          <w:w w:val="99"/>
        </w:rPr>
        <w:t>（</w:t>
      </w:r>
      <w:r>
        <w:rPr>
          <w:spacing w:val="-2"/>
          <w:w w:val="165"/>
        </w:rPr>
        <w:t>M</w:t>
      </w:r>
      <w:r>
        <w:rPr>
          <w:spacing w:val="0"/>
          <w:w w:val="124"/>
        </w:rPr>
        <w:t>R</w:t>
      </w:r>
      <w:r>
        <w:rPr>
          <w:spacing w:val="1"/>
          <w:w w:val="70"/>
        </w:rPr>
        <w:t>I</w:t>
      </w:r>
      <w:r>
        <w:rPr>
          <w:spacing w:val="-5"/>
          <w:w w:val="99"/>
        </w:rPr>
        <w:t>）</w:t>
      </w:r>
      <w:r>
        <w:rPr>
          <w:spacing w:val="-1"/>
          <w:w w:val="99"/>
        </w:rPr>
        <w:t>或正电子发射断层扫描</w:t>
      </w:r>
      <w:r>
        <w:rPr>
          <w:w w:val="99"/>
        </w:rPr>
        <w:t>（</w:t>
      </w:r>
      <w:r>
        <w:rPr>
          <w:w w:val="111"/>
        </w:rPr>
        <w:t>P</w:t>
      </w:r>
      <w:r>
        <w:rPr>
          <w:spacing w:val="-1"/>
          <w:w w:val="130"/>
        </w:rPr>
        <w:t>E</w:t>
      </w:r>
      <w:r>
        <w:rPr>
          <w:spacing w:val="0"/>
          <w:w w:val="122"/>
        </w:rPr>
        <w:t>T</w:t>
      </w:r>
      <w:r>
        <w:rPr>
          <w:spacing w:val="-3"/>
          <w:w w:val="99"/>
        </w:rPr>
        <w:t>）</w:t>
      </w:r>
      <w:r>
        <w:rPr>
          <w:spacing w:val="-2"/>
          <w:w w:val="99"/>
        </w:rPr>
        <w:t>等影像学检查证实，且自主生活能力</w:t>
      </w:r>
      <w:r>
        <w:rPr>
          <w:w w:val="95"/>
        </w:rPr>
        <w:t>完全丧失，无法独立完成六项基本日常生活活动中的三项或三项以上。</w:t>
      </w:r>
    </w:p>
    <w:p>
      <w:pPr>
        <w:pStyle w:val="BodyText"/>
        <w:spacing w:before="7"/>
        <w:jc w:val="both"/>
      </w:pPr>
      <w:r>
        <w:rPr>
          <w:w w:val="95"/>
        </w:rPr>
        <w:t>神经官能症和精神疾病不在保障范围内。</w:t>
      </w:r>
    </w:p>
    <w:p>
      <w:pPr>
        <w:pStyle w:val="Heading2"/>
        <w:numPr>
          <w:ilvl w:val="2"/>
          <w:numId w:val="9"/>
        </w:numPr>
        <w:tabs>
          <w:tab w:pos="1207" w:val="left" w:leader="none"/>
        </w:tabs>
        <w:spacing w:line="240" w:lineRule="auto" w:before="229" w:after="0"/>
        <w:ind w:left="1206" w:right="0" w:hanging="1086"/>
        <w:jc w:val="both"/>
      </w:pPr>
      <w:bookmarkStart w:name="_TOC_250026" w:id="104"/>
      <w:bookmarkEnd w:id="104"/>
      <w:r>
        <w:rPr>
          <w:w w:val="95"/>
        </w:rPr>
        <w:t>严重脑损伤</w:t>
      </w:r>
    </w:p>
    <w:p>
      <w:pPr>
        <w:pStyle w:val="BodyText"/>
        <w:spacing w:before="6"/>
        <w:ind w:left="0"/>
        <w:rPr>
          <w:rFonts w:ascii="Microsoft JhengHei UI"/>
          <w:b/>
          <w:sz w:val="16"/>
        </w:rPr>
      </w:pPr>
    </w:p>
    <w:p>
      <w:pPr>
        <w:pStyle w:val="BodyText"/>
        <w:jc w:val="both"/>
      </w:pPr>
      <w:r>
        <w:rPr>
          <w:w w:val="95"/>
        </w:rPr>
        <w:t>指因头部遭受机械性外力，引起脑重要部位损伤，导致神经系统永久性的功能障碍。须由头</w:t>
      </w:r>
    </w:p>
    <w:p>
      <w:pPr>
        <w:spacing w:after="0"/>
        <w:jc w:val="both"/>
        <w:sectPr>
          <w:pgSz w:w="11910" w:h="16840"/>
          <w:pgMar w:header="0" w:footer="1090" w:top="1340" w:bottom="1280" w:left="1680" w:right="1680"/>
        </w:sectPr>
      </w:pPr>
    </w:p>
    <w:p>
      <w:pPr>
        <w:pStyle w:val="BodyText"/>
        <w:spacing w:line="273" w:lineRule="auto" w:before="35"/>
        <w:ind w:right="105"/>
      </w:pPr>
      <w:bookmarkStart w:name="严重帕金森病" w:id="105"/>
      <w:bookmarkEnd w:id="105"/>
      <w:r>
        <w:rPr/>
      </w:r>
      <w:bookmarkStart w:name="严重III度烧伤" w:id="106"/>
      <w:bookmarkEnd w:id="106"/>
      <w:r>
        <w:rPr/>
      </w:r>
      <w:bookmarkStart w:name="严重原发性肺动脉高压" w:id="107"/>
      <w:bookmarkEnd w:id="107"/>
      <w:r>
        <w:rPr/>
      </w:r>
      <w:bookmarkStart w:name="严重运动神经元病" w:id="108"/>
      <w:bookmarkEnd w:id="108"/>
      <w:r>
        <w:rPr/>
      </w:r>
      <w:bookmarkStart w:name="语言能力丧失" w:id="109"/>
      <w:bookmarkEnd w:id="109"/>
      <w:r>
        <w:rPr/>
      </w:r>
      <w:bookmarkStart w:name="重型再生障碍性贫血" w:id="110"/>
      <w:bookmarkEnd w:id="110"/>
      <w:r>
        <w:rPr/>
      </w:r>
      <w:r>
        <w:rPr>
          <w:w w:val="99"/>
        </w:rPr>
        <w:t>颅断层扫描</w:t>
      </w:r>
      <w:r>
        <w:rPr>
          <w:spacing w:val="3"/>
          <w:w w:val="99"/>
        </w:rPr>
        <w:t>（</w:t>
      </w:r>
      <w:r>
        <w:rPr>
          <w:spacing w:val="-1"/>
          <w:w w:val="126"/>
        </w:rPr>
        <w:t>C</w:t>
      </w:r>
      <w:r>
        <w:rPr>
          <w:spacing w:val="2"/>
          <w:w w:val="122"/>
        </w:rPr>
        <w:t>T</w:t>
      </w:r>
      <w:r>
        <w:rPr>
          <w:spacing w:val="-104"/>
          <w:w w:val="99"/>
        </w:rPr>
        <w:t>）</w:t>
      </w:r>
      <w:r>
        <w:rPr>
          <w:w w:val="99"/>
        </w:rPr>
        <w:t>、核磁共振检查</w:t>
      </w:r>
      <w:r>
        <w:rPr>
          <w:spacing w:val="8"/>
          <w:w w:val="99"/>
        </w:rPr>
        <w:t>（</w:t>
      </w:r>
      <w:r>
        <w:rPr>
          <w:spacing w:val="-2"/>
          <w:w w:val="165"/>
        </w:rPr>
        <w:t>M</w:t>
      </w:r>
      <w:r>
        <w:rPr>
          <w:spacing w:val="0"/>
          <w:w w:val="124"/>
        </w:rPr>
        <w:t>R</w:t>
      </w:r>
      <w:r>
        <w:rPr>
          <w:w w:val="70"/>
        </w:rPr>
        <w:t>I</w:t>
      </w:r>
      <w:r>
        <w:rPr>
          <w:spacing w:val="1"/>
          <w:w w:val="99"/>
        </w:rPr>
        <w:t>）</w:t>
      </w:r>
      <w:r>
        <w:rPr>
          <w:w w:val="99"/>
        </w:rPr>
        <w:t>或正电子发射断层扫描</w:t>
      </w:r>
      <w:r>
        <w:rPr>
          <w:spacing w:val="10"/>
          <w:w w:val="99"/>
        </w:rPr>
        <w:t>（</w:t>
      </w:r>
      <w:r>
        <w:rPr>
          <w:w w:val="111"/>
        </w:rPr>
        <w:t>P</w:t>
      </w:r>
      <w:r>
        <w:rPr>
          <w:spacing w:val="-1"/>
          <w:w w:val="130"/>
        </w:rPr>
        <w:t>E</w:t>
      </w:r>
      <w:r>
        <w:rPr>
          <w:spacing w:val="2"/>
          <w:w w:val="122"/>
        </w:rPr>
        <w:t>T</w:t>
      </w:r>
      <w:r>
        <w:rPr>
          <w:spacing w:val="1"/>
          <w:w w:val="99"/>
        </w:rPr>
        <w:t>）</w:t>
      </w:r>
      <w:r>
        <w:rPr>
          <w:w w:val="99"/>
        </w:rPr>
        <w:t>等影像学检查证</w:t>
      </w:r>
      <w:r>
        <w:rPr>
          <w:spacing w:val="-4"/>
        </w:rPr>
        <w:t>实。神经性系统永久性的功能障碍，指脑损伤 </w:t>
      </w:r>
      <w:r>
        <w:rPr/>
        <w:t>180</w:t>
      </w:r>
      <w:r>
        <w:rPr>
          <w:spacing w:val="-9"/>
        </w:rPr>
        <w:t> 天后，仍遗留下列一种或一种以上障碍：</w:t>
      </w:r>
    </w:p>
    <w:p>
      <w:pPr>
        <w:pStyle w:val="BodyText"/>
        <w:spacing w:before="7"/>
      </w:pPr>
      <w:r>
        <w:rPr>
          <w:w w:val="95"/>
        </w:rPr>
        <w:t>（1）一肢或一肢以上肢体机能完全丧失；</w:t>
      </w:r>
    </w:p>
    <w:p>
      <w:pPr>
        <w:pStyle w:val="BodyText"/>
        <w:spacing w:before="36"/>
      </w:pPr>
      <w:r>
        <w:rPr>
          <w:w w:val="95"/>
        </w:rPr>
        <w:t>（2）语言能力或咀嚼吞咽能力完全丧失；</w:t>
      </w:r>
    </w:p>
    <w:p>
      <w:pPr>
        <w:pStyle w:val="BodyText"/>
        <w:spacing w:before="36"/>
      </w:pPr>
      <w:r>
        <w:rPr>
          <w:w w:val="95"/>
        </w:rPr>
        <w:t>（3）自主生活能力完全丧失，无法独立完成六项基本日常生活活动中的三项或三项以上。</w:t>
      </w:r>
    </w:p>
    <w:p>
      <w:pPr>
        <w:pStyle w:val="Heading2"/>
        <w:numPr>
          <w:ilvl w:val="2"/>
          <w:numId w:val="9"/>
        </w:numPr>
        <w:tabs>
          <w:tab w:pos="1206" w:val="left" w:leader="none"/>
          <w:tab w:pos="1207" w:val="left" w:leader="none"/>
        </w:tabs>
        <w:spacing w:line="240" w:lineRule="auto" w:before="226" w:after="0"/>
        <w:ind w:left="1206" w:right="0" w:hanging="1086"/>
        <w:jc w:val="left"/>
      </w:pPr>
      <w:bookmarkStart w:name="_TOC_250025" w:id="111"/>
      <w:bookmarkEnd w:id="111"/>
      <w:r>
        <w:rPr>
          <w:w w:val="95"/>
        </w:rPr>
        <w:t>严重帕金森病</w:t>
      </w:r>
    </w:p>
    <w:p>
      <w:pPr>
        <w:pStyle w:val="BodyText"/>
        <w:spacing w:before="6"/>
        <w:ind w:left="0"/>
        <w:rPr>
          <w:rFonts w:ascii="Microsoft JhengHei UI"/>
          <w:b/>
          <w:sz w:val="16"/>
        </w:rPr>
      </w:pPr>
    </w:p>
    <w:p>
      <w:pPr>
        <w:pStyle w:val="BodyText"/>
        <w:spacing w:line="273" w:lineRule="auto"/>
        <w:ind w:right="177"/>
      </w:pPr>
      <w:r>
        <w:rPr>
          <w:spacing w:val="-5"/>
        </w:rPr>
        <w:t>是一种中枢神经系统的退行性疾病，临床表现为震颤麻痹、共济失调等。须满足下列全部条</w:t>
      </w:r>
      <w:r>
        <w:rPr>
          <w:spacing w:val="-5"/>
          <w:w w:val="95"/>
        </w:rPr>
        <w:t>件：</w:t>
      </w:r>
    </w:p>
    <w:p>
      <w:pPr>
        <w:pStyle w:val="BodyText"/>
        <w:spacing w:before="7"/>
      </w:pPr>
      <w:r>
        <w:rPr>
          <w:w w:val="95"/>
        </w:rPr>
        <w:t>（1）药物治疗无法控制病情；</w:t>
      </w:r>
    </w:p>
    <w:p>
      <w:pPr>
        <w:pStyle w:val="BodyText"/>
        <w:spacing w:line="273" w:lineRule="auto" w:before="39"/>
        <w:ind w:right="196"/>
      </w:pPr>
      <w:r>
        <w:rPr>
          <w:w w:val="95"/>
        </w:rPr>
        <w:t>（2）自主生活能力完全丧失，无法独立完成六项基本日常生活活动中的三项或三项以上。   继发性帕金森综合症不在保障范围内。</w:t>
      </w:r>
    </w:p>
    <w:p>
      <w:pPr>
        <w:pStyle w:val="Heading2"/>
        <w:numPr>
          <w:ilvl w:val="2"/>
          <w:numId w:val="9"/>
        </w:numPr>
        <w:tabs>
          <w:tab w:pos="1206" w:val="left" w:leader="none"/>
          <w:tab w:pos="1207" w:val="left" w:leader="none"/>
        </w:tabs>
        <w:spacing w:line="240" w:lineRule="auto" w:before="197" w:after="0"/>
        <w:ind w:left="1206" w:right="0" w:hanging="1086"/>
        <w:jc w:val="left"/>
      </w:pPr>
      <w:bookmarkStart w:name="_TOC_250024" w:id="112"/>
      <w:r>
        <w:rPr>
          <w:spacing w:val="5"/>
        </w:rPr>
        <w:t>严重 </w:t>
      </w:r>
      <w:r>
        <w:rPr/>
        <w:t>III</w:t>
      </w:r>
      <w:bookmarkEnd w:id="112"/>
      <w:r>
        <w:rPr>
          <w:spacing w:val="1"/>
        </w:rPr>
        <w:t> 度烧伤</w:t>
      </w:r>
    </w:p>
    <w:p>
      <w:pPr>
        <w:pStyle w:val="BodyText"/>
        <w:spacing w:before="6"/>
        <w:ind w:left="0"/>
        <w:rPr>
          <w:rFonts w:ascii="Microsoft JhengHei UI"/>
          <w:b/>
          <w:sz w:val="16"/>
        </w:rPr>
      </w:pPr>
    </w:p>
    <w:p>
      <w:pPr>
        <w:pStyle w:val="BodyText"/>
        <w:spacing w:line="273" w:lineRule="auto"/>
        <w:ind w:right="177"/>
      </w:pPr>
      <w:r>
        <w:rPr>
          <w:spacing w:val="-8"/>
        </w:rPr>
        <w:t>指烧伤程度为 </w:t>
      </w:r>
      <w:r>
        <w:rPr/>
        <w:t>III</w:t>
      </w:r>
      <w:r>
        <w:rPr>
          <w:spacing w:val="-24"/>
        </w:rPr>
        <w:t> 度，且 </w:t>
      </w:r>
      <w:r>
        <w:rPr/>
        <w:t>III</w:t>
      </w:r>
      <w:r>
        <w:rPr>
          <w:spacing w:val="-11"/>
        </w:rPr>
        <w:t> 度烧伤的面积达到全身体表面积的 </w:t>
      </w:r>
      <w:r>
        <w:rPr/>
        <w:t>20</w:t>
      </w:r>
      <w:r>
        <w:rPr>
          <w:spacing w:val="-20"/>
        </w:rPr>
        <w:t>%或 </w:t>
      </w:r>
      <w:r>
        <w:rPr/>
        <w:t>20%以上。体表面积</w:t>
      </w:r>
      <w:r>
        <w:rPr>
          <w:w w:val="95"/>
        </w:rPr>
        <w:t>根据《中国新九分法》计算。</w:t>
      </w:r>
    </w:p>
    <w:p>
      <w:pPr>
        <w:pStyle w:val="Heading2"/>
        <w:numPr>
          <w:ilvl w:val="2"/>
          <w:numId w:val="9"/>
        </w:numPr>
        <w:tabs>
          <w:tab w:pos="1206" w:val="left" w:leader="none"/>
          <w:tab w:pos="1207" w:val="left" w:leader="none"/>
        </w:tabs>
        <w:spacing w:line="240" w:lineRule="auto" w:before="199" w:after="0"/>
        <w:ind w:left="1206" w:right="0" w:hanging="1086"/>
        <w:jc w:val="left"/>
      </w:pPr>
      <w:bookmarkStart w:name="_TOC_250023" w:id="113"/>
      <w:bookmarkEnd w:id="113"/>
      <w:r>
        <w:rPr>
          <w:w w:val="95"/>
        </w:rPr>
        <w:t>严重原发性肺动脉高压</w:t>
      </w:r>
    </w:p>
    <w:p>
      <w:pPr>
        <w:pStyle w:val="BodyText"/>
        <w:spacing w:before="5"/>
        <w:ind w:left="0"/>
        <w:rPr>
          <w:rFonts w:ascii="Microsoft JhengHei UI"/>
          <w:b/>
          <w:sz w:val="16"/>
        </w:rPr>
      </w:pPr>
    </w:p>
    <w:p>
      <w:pPr>
        <w:pStyle w:val="BodyText"/>
        <w:spacing w:line="273" w:lineRule="auto" w:before="1"/>
        <w:ind w:right="179"/>
        <w:jc w:val="both"/>
      </w:pPr>
      <w:r>
        <w:rPr>
          <w:spacing w:val="-5"/>
          <w:w w:val="95"/>
        </w:rPr>
        <w:t>指不明原因的肺动脉压力持续性增高，进行性发展而导致的慢性疾病，已经造成永久不可逆   </w:t>
      </w:r>
      <w:r>
        <w:rPr>
          <w:spacing w:val="-7"/>
        </w:rPr>
        <w:t>性的体力活动能力受限，达到美国纽约心脏病学会心功能状态分级 </w:t>
      </w:r>
      <w:r>
        <w:rPr/>
        <w:t>IV</w:t>
      </w:r>
      <w:r>
        <w:rPr>
          <w:spacing w:val="-8"/>
        </w:rPr>
        <w:t> 级，且静息状态下肺</w:t>
      </w:r>
      <w:r>
        <w:rPr>
          <w:spacing w:val="-12"/>
          <w:w w:val="105"/>
        </w:rPr>
        <w:t>动脉平均压超过 </w:t>
      </w:r>
      <w:r>
        <w:rPr>
          <w:w w:val="105"/>
        </w:rPr>
        <w:t>30mmHg。</w:t>
      </w:r>
    </w:p>
    <w:p>
      <w:pPr>
        <w:pStyle w:val="Heading2"/>
        <w:numPr>
          <w:ilvl w:val="2"/>
          <w:numId w:val="9"/>
        </w:numPr>
        <w:tabs>
          <w:tab w:pos="1206" w:val="left" w:leader="none"/>
          <w:tab w:pos="1207" w:val="left" w:leader="none"/>
        </w:tabs>
        <w:spacing w:line="240" w:lineRule="auto" w:before="197" w:after="0"/>
        <w:ind w:left="1206" w:right="0" w:hanging="1086"/>
        <w:jc w:val="left"/>
      </w:pPr>
      <w:bookmarkStart w:name="_TOC_250022" w:id="114"/>
      <w:bookmarkEnd w:id="114"/>
      <w:r>
        <w:rPr>
          <w:w w:val="95"/>
        </w:rPr>
        <w:t>严重运动神经元病</w:t>
      </w:r>
    </w:p>
    <w:p>
      <w:pPr>
        <w:pStyle w:val="BodyText"/>
        <w:spacing w:before="5"/>
        <w:ind w:left="0"/>
        <w:rPr>
          <w:rFonts w:ascii="Microsoft JhengHei UI"/>
          <w:b/>
          <w:sz w:val="16"/>
        </w:rPr>
      </w:pPr>
    </w:p>
    <w:p>
      <w:pPr>
        <w:pStyle w:val="BodyText"/>
        <w:spacing w:line="273" w:lineRule="auto" w:before="1"/>
        <w:ind w:right="176"/>
        <w:jc w:val="both"/>
      </w:pPr>
      <w:r>
        <w:rPr>
          <w:spacing w:val="-8"/>
          <w:w w:val="95"/>
        </w:rPr>
        <w:t>是一组中枢神经系统神经元的进行性变性疾病，包括进行性脊肌萎缩症、进行性延髓麻痹症</w:t>
      </w:r>
      <w:r>
        <w:rPr>
          <w:w w:val="80"/>
        </w:rPr>
        <w:t>、  </w:t>
      </w:r>
      <w:r>
        <w:rPr>
          <w:spacing w:val="-7"/>
          <w:w w:val="95"/>
        </w:rPr>
        <w:t>原发性侧索硬化症、肌萎缩性侧索硬化症。须满足自主生活能力完全丧失，无法独立完成六   项基本日常生活活动中的三项或三项以上的条件。</w:t>
      </w:r>
    </w:p>
    <w:p>
      <w:pPr>
        <w:pStyle w:val="Heading2"/>
        <w:numPr>
          <w:ilvl w:val="2"/>
          <w:numId w:val="9"/>
        </w:numPr>
        <w:tabs>
          <w:tab w:pos="1206" w:val="left" w:leader="none"/>
          <w:tab w:pos="1207" w:val="left" w:leader="none"/>
        </w:tabs>
        <w:spacing w:line="240" w:lineRule="auto" w:before="197" w:after="0"/>
        <w:ind w:left="1206" w:right="0" w:hanging="1086"/>
        <w:jc w:val="left"/>
      </w:pPr>
      <w:bookmarkStart w:name="_TOC_250021" w:id="115"/>
      <w:bookmarkEnd w:id="115"/>
      <w:r>
        <w:rPr>
          <w:w w:val="95"/>
        </w:rPr>
        <w:t>语言能力丧失</w:t>
      </w:r>
    </w:p>
    <w:p>
      <w:pPr>
        <w:pStyle w:val="BodyText"/>
        <w:spacing w:before="6"/>
        <w:ind w:left="0"/>
        <w:rPr>
          <w:rFonts w:ascii="Microsoft JhengHei UI"/>
          <w:b/>
          <w:sz w:val="16"/>
        </w:rPr>
      </w:pPr>
    </w:p>
    <w:p>
      <w:pPr>
        <w:pStyle w:val="BodyText"/>
        <w:spacing w:line="273" w:lineRule="auto"/>
        <w:ind w:right="182"/>
      </w:pPr>
      <w:r>
        <w:rPr>
          <w:spacing w:val="-2"/>
        </w:rPr>
        <w:t>指因疾病或意外伤害导致完全丧失语言能力，经过积极治疗至少 </w:t>
      </w:r>
      <w:r>
        <w:rPr/>
        <w:t>12</w:t>
      </w:r>
      <w:r>
        <w:rPr>
          <w:spacing w:val="-21"/>
        </w:rPr>
        <w:t> 个月</w:t>
      </w:r>
      <w:r>
        <w:rPr/>
        <w:t>（声带完全切除不</w:t>
      </w:r>
      <w:r>
        <w:rPr>
          <w:spacing w:val="-1"/>
          <w:w w:val="99"/>
        </w:rPr>
        <w:t>受此时间限制</w:t>
      </w:r>
      <w:r>
        <w:rPr>
          <w:spacing w:val="-104"/>
          <w:w w:val="99"/>
        </w:rPr>
        <w:t>）</w:t>
      </w:r>
      <w:r>
        <w:rPr>
          <w:w w:val="99"/>
        </w:rPr>
        <w:t>，仍无法通过现有医疗手段恢复。</w:t>
      </w:r>
    </w:p>
    <w:p>
      <w:pPr>
        <w:pStyle w:val="BodyText"/>
        <w:spacing w:before="7"/>
      </w:pPr>
      <w:r>
        <w:rPr>
          <w:w w:val="95"/>
        </w:rPr>
        <w:t>精神心理因素所致的语言能力丧失不在保障范围内。</w:t>
      </w:r>
    </w:p>
    <w:p>
      <w:pPr>
        <w:pStyle w:val="Heading2"/>
        <w:numPr>
          <w:ilvl w:val="2"/>
          <w:numId w:val="9"/>
        </w:numPr>
        <w:tabs>
          <w:tab w:pos="1206" w:val="left" w:leader="none"/>
          <w:tab w:pos="1207" w:val="left" w:leader="none"/>
        </w:tabs>
        <w:spacing w:line="240" w:lineRule="auto" w:before="228" w:after="0"/>
        <w:ind w:left="1206" w:right="0" w:hanging="1086"/>
        <w:jc w:val="left"/>
      </w:pPr>
      <w:bookmarkStart w:name="_TOC_250020" w:id="116"/>
      <w:bookmarkEnd w:id="116"/>
      <w:r>
        <w:rPr>
          <w:w w:val="95"/>
        </w:rPr>
        <w:t>重型再生障碍性贫血</w:t>
      </w:r>
    </w:p>
    <w:p>
      <w:pPr>
        <w:pStyle w:val="BodyText"/>
        <w:spacing w:before="6"/>
        <w:ind w:left="0"/>
        <w:rPr>
          <w:rFonts w:ascii="Microsoft JhengHei UI"/>
          <w:b/>
          <w:sz w:val="16"/>
        </w:rPr>
      </w:pPr>
    </w:p>
    <w:p>
      <w:pPr>
        <w:pStyle w:val="BodyText"/>
        <w:spacing w:line="273" w:lineRule="auto"/>
        <w:ind w:right="179"/>
      </w:pPr>
      <w:r>
        <w:rPr>
          <w:spacing w:val="-5"/>
          <w:w w:val="95"/>
        </w:rPr>
        <w:t>指因骨髓造血功能慢性持续性衰竭导致的贫血、中性粒细胞减少及血小板减少。须满足下列   全部条件：</w:t>
      </w:r>
    </w:p>
    <w:p>
      <w:pPr>
        <w:pStyle w:val="BodyText"/>
        <w:spacing w:before="7"/>
      </w:pPr>
      <w:r>
        <w:rPr>
          <w:w w:val="95"/>
        </w:rPr>
        <w:t>（1）骨髓穿刺检查或骨髓活检结果支持诊断；</w:t>
      </w:r>
    </w:p>
    <w:p>
      <w:pPr>
        <w:pStyle w:val="BodyText"/>
        <w:spacing w:before="36"/>
      </w:pPr>
      <w:r>
        <w:rPr>
          <w:w w:val="95"/>
        </w:rPr>
        <w:t>（2）外周血象须具备以下三项条件：</w:t>
      </w:r>
    </w:p>
    <w:p>
      <w:pPr>
        <w:spacing w:line="491" w:lineRule="auto" w:before="214"/>
        <w:ind w:left="960" w:right="4306" w:firstLine="0"/>
        <w:jc w:val="left"/>
        <w:rPr>
          <w:sz w:val="21"/>
        </w:rPr>
      </w:pPr>
      <w:r>
        <w:rPr>
          <w:w w:val="105"/>
          <w:sz w:val="21"/>
        </w:rPr>
        <w:t>中性粒细胞绝对值</w:t>
      </w:r>
      <w:r>
        <w:rPr>
          <w:rFonts w:ascii="Trebuchet MS" w:hAnsi="Trebuchet MS" w:eastAsia="Trebuchet MS"/>
          <w:w w:val="105"/>
          <w:sz w:val="23"/>
        </w:rPr>
        <w:t>≤ </w:t>
      </w:r>
      <w:r>
        <w:rPr>
          <w:rFonts w:ascii="Times New Roman" w:hAnsi="Times New Roman" w:eastAsia="Times New Roman"/>
          <w:w w:val="105"/>
          <w:sz w:val="23"/>
        </w:rPr>
        <w:t>0.5 </w:t>
      </w:r>
      <w:r>
        <w:rPr>
          <w:rFonts w:ascii="Trebuchet MS" w:hAnsi="Trebuchet MS" w:eastAsia="Trebuchet MS"/>
          <w:w w:val="105"/>
          <w:sz w:val="23"/>
        </w:rPr>
        <w:t>×</w:t>
      </w:r>
      <w:r>
        <w:rPr>
          <w:rFonts w:ascii="Times New Roman" w:hAnsi="Times New Roman" w:eastAsia="Times New Roman"/>
          <w:w w:val="105"/>
          <w:sz w:val="23"/>
        </w:rPr>
        <w:t>10</w:t>
      </w:r>
      <w:r>
        <w:rPr>
          <w:rFonts w:ascii="Times New Roman" w:hAnsi="Times New Roman" w:eastAsia="Times New Roman"/>
          <w:w w:val="105"/>
          <w:sz w:val="23"/>
          <w:vertAlign w:val="superscript"/>
        </w:rPr>
        <w:t>9</w:t>
      </w:r>
      <w:r>
        <w:rPr>
          <w:rFonts w:ascii="Times New Roman" w:hAnsi="Times New Roman" w:eastAsia="Times New Roman"/>
          <w:w w:val="105"/>
          <w:sz w:val="23"/>
          <w:vertAlign w:val="baseline"/>
        </w:rPr>
        <w:t> </w:t>
      </w:r>
      <w:r>
        <w:rPr>
          <w:rFonts w:ascii="Times New Roman" w:hAnsi="Times New Roman" w:eastAsia="Times New Roman"/>
          <w:w w:val="105"/>
          <w:sz w:val="23"/>
          <w:vertAlign w:val="baseline"/>
        </w:rPr>
        <w:t>/ </w:t>
      </w:r>
      <w:r>
        <w:rPr>
          <w:rFonts w:ascii="Times New Roman" w:hAnsi="Times New Roman" w:eastAsia="Times New Roman"/>
          <w:i/>
          <w:w w:val="105"/>
          <w:sz w:val="24"/>
          <w:vertAlign w:val="baseline"/>
        </w:rPr>
        <w:t>L</w:t>
      </w:r>
      <w:r>
        <w:rPr>
          <w:w w:val="105"/>
          <w:sz w:val="21"/>
          <w:vertAlign w:val="baseline"/>
        </w:rPr>
        <w:t>； </w:t>
      </w:r>
      <w:r>
        <w:rPr>
          <w:sz w:val="21"/>
          <w:vertAlign w:val="baseline"/>
        </w:rPr>
        <w:t>网织红细胞</w:t>
      </w:r>
      <w:r>
        <w:rPr>
          <w:rFonts w:ascii="Trebuchet MS" w:hAnsi="Trebuchet MS" w:eastAsia="Trebuchet MS"/>
          <w:sz w:val="25"/>
          <w:vertAlign w:val="baseline"/>
        </w:rPr>
        <w:t>&lt; </w:t>
      </w:r>
      <w:r>
        <w:rPr>
          <w:rFonts w:ascii="Times New Roman" w:hAnsi="Times New Roman" w:eastAsia="Times New Roman"/>
          <w:sz w:val="25"/>
          <w:vertAlign w:val="baseline"/>
        </w:rPr>
        <w:t>1% </w:t>
      </w:r>
      <w:r>
        <w:rPr>
          <w:sz w:val="21"/>
          <w:vertAlign w:val="baseline"/>
        </w:rPr>
        <w:t>；</w:t>
      </w:r>
    </w:p>
    <w:p>
      <w:pPr>
        <w:spacing w:after="0" w:line="491" w:lineRule="auto"/>
        <w:jc w:val="left"/>
        <w:rPr>
          <w:sz w:val="21"/>
        </w:rPr>
        <w:sectPr>
          <w:pgSz w:w="11910" w:h="16840"/>
          <w:pgMar w:header="0" w:footer="1090" w:top="1360" w:bottom="1280" w:left="1680" w:right="1620"/>
        </w:sectPr>
      </w:pPr>
    </w:p>
    <w:p>
      <w:pPr>
        <w:spacing w:before="72"/>
        <w:ind w:left="960" w:right="0" w:firstLine="0"/>
        <w:jc w:val="left"/>
        <w:rPr>
          <w:rFonts w:ascii="Times New Roman" w:hAnsi="Times New Roman" w:eastAsia="Times New Roman"/>
          <w:i/>
          <w:sz w:val="24"/>
        </w:rPr>
      </w:pPr>
      <w:bookmarkStart w:name="主动脉手术" w:id="117"/>
      <w:bookmarkEnd w:id="117"/>
      <w:r>
        <w:rPr/>
      </w:r>
      <w:bookmarkStart w:name="系统性红斑狼疮－III型或以上狼疮性肾炎" w:id="118"/>
      <w:bookmarkEnd w:id="118"/>
      <w:r>
        <w:rPr/>
      </w:r>
      <w:bookmarkStart w:name="经输血导致的人类免疫缺陷病毒（HIV）感染" w:id="119"/>
      <w:bookmarkEnd w:id="119"/>
      <w:r>
        <w:rPr/>
      </w:r>
      <w:bookmarkStart w:name="严重多发性硬化" w:id="120"/>
      <w:bookmarkEnd w:id="120"/>
      <w:r>
        <w:rPr/>
      </w:r>
      <w:r>
        <w:rPr>
          <w:w w:val="105"/>
          <w:sz w:val="21"/>
        </w:rPr>
        <w:t>血小板绝对值</w:t>
      </w:r>
      <w:r>
        <w:rPr>
          <w:rFonts w:ascii="Trebuchet MS" w:hAnsi="Trebuchet MS" w:eastAsia="Trebuchet MS"/>
          <w:w w:val="105"/>
          <w:sz w:val="23"/>
        </w:rPr>
        <w:t>≤ </w:t>
      </w:r>
      <w:r>
        <w:rPr>
          <w:rFonts w:ascii="Times New Roman" w:hAnsi="Times New Roman" w:eastAsia="Times New Roman"/>
          <w:w w:val="105"/>
          <w:sz w:val="23"/>
        </w:rPr>
        <w:t>20 </w:t>
      </w:r>
      <w:r>
        <w:rPr>
          <w:rFonts w:ascii="Trebuchet MS" w:hAnsi="Trebuchet MS" w:eastAsia="Trebuchet MS"/>
          <w:w w:val="105"/>
          <w:sz w:val="23"/>
        </w:rPr>
        <w:t>×</w:t>
      </w:r>
      <w:r>
        <w:rPr>
          <w:rFonts w:ascii="Times New Roman" w:hAnsi="Times New Roman" w:eastAsia="Times New Roman"/>
          <w:w w:val="105"/>
          <w:sz w:val="23"/>
        </w:rPr>
        <w:t>10</w:t>
      </w:r>
      <w:r>
        <w:rPr>
          <w:rFonts w:ascii="Times New Roman" w:hAnsi="Times New Roman" w:eastAsia="Times New Roman"/>
          <w:w w:val="105"/>
          <w:sz w:val="23"/>
          <w:vertAlign w:val="superscript"/>
        </w:rPr>
        <w:t>9</w:t>
      </w:r>
      <w:r>
        <w:rPr>
          <w:rFonts w:ascii="Times New Roman" w:hAnsi="Times New Roman" w:eastAsia="Times New Roman"/>
          <w:w w:val="105"/>
          <w:sz w:val="23"/>
          <w:vertAlign w:val="baseline"/>
        </w:rPr>
        <w:t> </w:t>
      </w:r>
      <w:r>
        <w:rPr>
          <w:rFonts w:ascii="Times New Roman" w:hAnsi="Times New Roman" w:eastAsia="Times New Roman"/>
          <w:w w:val="105"/>
          <w:sz w:val="23"/>
          <w:vertAlign w:val="baseline"/>
        </w:rPr>
        <w:t>/ </w:t>
      </w:r>
      <w:r>
        <w:rPr>
          <w:rFonts w:ascii="Times New Roman" w:hAnsi="Times New Roman" w:eastAsia="Times New Roman"/>
          <w:i/>
          <w:w w:val="105"/>
          <w:sz w:val="24"/>
          <w:vertAlign w:val="baseline"/>
        </w:rPr>
        <w:t>L</w:t>
      </w:r>
    </w:p>
    <w:p>
      <w:pPr>
        <w:pStyle w:val="BodyText"/>
        <w:ind w:left="0"/>
        <w:rPr>
          <w:rFonts w:ascii="Times New Roman"/>
          <w:i/>
          <w:sz w:val="20"/>
        </w:rPr>
      </w:pPr>
    </w:p>
    <w:p>
      <w:pPr>
        <w:pStyle w:val="Heading2"/>
        <w:numPr>
          <w:ilvl w:val="2"/>
          <w:numId w:val="9"/>
        </w:numPr>
        <w:tabs>
          <w:tab w:pos="1206" w:val="left" w:leader="none"/>
          <w:tab w:pos="1207" w:val="left" w:leader="none"/>
        </w:tabs>
        <w:spacing w:line="240" w:lineRule="auto" w:before="108" w:after="0"/>
        <w:ind w:left="1206" w:right="0" w:hanging="1086"/>
        <w:jc w:val="left"/>
      </w:pPr>
      <w:bookmarkStart w:name="_TOC_250019" w:id="121"/>
      <w:bookmarkEnd w:id="121"/>
      <w:r>
        <w:rPr>
          <w:w w:val="95"/>
        </w:rPr>
        <w:t>主动脉手术</w:t>
      </w:r>
    </w:p>
    <w:p>
      <w:pPr>
        <w:pStyle w:val="BodyText"/>
        <w:spacing w:before="8"/>
        <w:ind w:left="0"/>
        <w:rPr>
          <w:rFonts w:ascii="Microsoft JhengHei UI"/>
          <w:b/>
          <w:sz w:val="16"/>
        </w:rPr>
      </w:pPr>
    </w:p>
    <w:p>
      <w:pPr>
        <w:pStyle w:val="BodyText"/>
        <w:spacing w:line="273" w:lineRule="auto"/>
        <w:ind w:right="117"/>
      </w:pPr>
      <w:r>
        <w:rPr>
          <w:spacing w:val="-6"/>
          <w:w w:val="95"/>
        </w:rPr>
        <w:t>指为治疗主动脉疾病，实际实施了开胸或开腹进行的切除、置换、修补病损主动脉血管的手   术。主动脉指胸主动脉和腹主动脉，不包括胸主动脉和腹主动脉的分支血管。</w:t>
      </w:r>
    </w:p>
    <w:p>
      <w:pPr>
        <w:pStyle w:val="BodyText"/>
        <w:spacing w:before="4"/>
      </w:pPr>
      <w:r>
        <w:rPr>
          <w:w w:val="95"/>
        </w:rPr>
        <w:t>动脉内血管成形术不在保障范围内。</w:t>
      </w:r>
    </w:p>
    <w:p>
      <w:pPr>
        <w:pStyle w:val="Heading2"/>
        <w:numPr>
          <w:ilvl w:val="2"/>
          <w:numId w:val="9"/>
        </w:numPr>
        <w:tabs>
          <w:tab w:pos="1206" w:val="left" w:leader="none"/>
          <w:tab w:pos="1207" w:val="left" w:leader="none"/>
        </w:tabs>
        <w:spacing w:line="240" w:lineRule="auto" w:before="228" w:after="0"/>
        <w:ind w:left="1206" w:right="0" w:hanging="1086"/>
        <w:jc w:val="left"/>
      </w:pPr>
      <w:bookmarkStart w:name="_TOC_250018" w:id="122"/>
      <w:bookmarkEnd w:id="122"/>
      <w:r>
        <w:rPr/>
        <w:t>系统性红斑狼疮  －  III 型或以上狼疮性肾炎</w:t>
      </w:r>
    </w:p>
    <w:p>
      <w:pPr>
        <w:pStyle w:val="BodyText"/>
        <w:spacing w:before="5"/>
        <w:ind w:left="0"/>
        <w:rPr>
          <w:rFonts w:ascii="Microsoft JhengHei UI"/>
          <w:b/>
          <w:sz w:val="16"/>
        </w:rPr>
      </w:pPr>
    </w:p>
    <w:p>
      <w:pPr>
        <w:pStyle w:val="BodyText"/>
        <w:spacing w:line="273" w:lineRule="auto" w:before="1"/>
        <w:ind w:right="117"/>
      </w:pPr>
      <w:r>
        <w:rPr>
          <w:spacing w:val="-5"/>
        </w:rPr>
        <w:t>系统性红斑狼疮是由多种因素引起，累及多系统的自身免疫性疾病。其特点是生成自身抗体</w:t>
      </w:r>
      <w:r>
        <w:rPr>
          <w:spacing w:val="-5"/>
          <w:w w:val="95"/>
        </w:rPr>
        <w:t>对抗多种自身抗原。多见于育龄妇女。</w:t>
      </w:r>
    </w:p>
    <w:p>
      <w:pPr>
        <w:pStyle w:val="BodyText"/>
        <w:spacing w:line="273" w:lineRule="auto" w:before="8"/>
        <w:ind w:right="115"/>
        <w:jc w:val="both"/>
      </w:pPr>
      <w:r>
        <w:rPr>
          <w:spacing w:val="-2"/>
        </w:rPr>
        <w:t>本保单所指的系统性红斑狼疮仅限于累及肾脏</w:t>
      </w:r>
      <w:r>
        <w:rPr/>
        <w:t>（</w:t>
      </w:r>
      <w:r>
        <w:rPr>
          <w:spacing w:val="-8"/>
        </w:rPr>
        <w:t>经肾脏活检确认的，符合 </w:t>
      </w:r>
      <w:r>
        <w:rPr>
          <w:w w:val="140"/>
        </w:rPr>
        <w:t>WHO</w:t>
      </w:r>
      <w:r>
        <w:rPr>
          <w:spacing w:val="-67"/>
          <w:w w:val="140"/>
        </w:rPr>
        <w:t> </w:t>
      </w:r>
      <w:r>
        <w:rPr/>
        <w:t>诊断标准定</w:t>
      </w:r>
      <w:r>
        <w:rPr>
          <w:spacing w:val="-39"/>
        </w:rPr>
        <w:t>义 </w:t>
      </w:r>
      <w:r>
        <w:rPr/>
        <w:t>III</w:t>
      </w:r>
      <w:r>
        <w:rPr>
          <w:spacing w:val="-39"/>
        </w:rPr>
        <w:t> 型至 </w:t>
      </w:r>
      <w:r>
        <w:rPr>
          <w:w w:val="140"/>
        </w:rPr>
        <w:t>V</w:t>
      </w:r>
      <w:r>
        <w:rPr>
          <w:spacing w:val="-120"/>
          <w:w w:val="140"/>
        </w:rPr>
        <w:t> </w:t>
      </w:r>
      <w:r>
        <w:rPr/>
        <w:t>型狼疮性肾炎）</w:t>
      </w:r>
      <w:r>
        <w:rPr>
          <w:spacing w:val="-2"/>
        </w:rPr>
        <w:t>的系统性红斑狼疮。其他类型的红斑性狼疮，如盘状狼疮、仅</w:t>
      </w:r>
      <w:r>
        <w:rPr>
          <w:spacing w:val="-2"/>
          <w:w w:val="95"/>
        </w:rPr>
        <w:t>累及血液及关节的狼疮不在本保单保障范围內。</w:t>
      </w:r>
    </w:p>
    <w:p>
      <w:pPr>
        <w:pStyle w:val="BodyText"/>
        <w:spacing w:line="312" w:lineRule="exact" w:before="3"/>
        <w:ind w:right="3196"/>
      </w:pPr>
      <w:r>
        <w:rPr>
          <w:spacing w:val="-2"/>
          <w:w w:val="99"/>
        </w:rPr>
        <w:t>本病必须由免疫和风湿科</w:t>
      </w:r>
      <w:r>
        <w:rPr>
          <w:rFonts w:ascii="Microsoft JhengHei UI" w:eastAsia="Microsoft JhengHei UI" w:hint="eastAsia"/>
          <w:b/>
          <w:spacing w:val="-48"/>
          <w:w w:val="99"/>
        </w:rPr>
        <w:t>专</w:t>
      </w:r>
      <w:r>
        <w:rPr>
          <w:w w:val="99"/>
          <w:position w:val="1"/>
        </w:rPr>
        <w:t>科</w:t>
      </w:r>
      <w:r>
        <w:rPr>
          <w:spacing w:val="-476"/>
          <w:w w:val="99"/>
          <w:position w:val="1"/>
        </w:rPr>
        <w:t>医</w:t>
      </w:r>
      <w:r>
        <w:rPr>
          <w:w w:val="99"/>
        </w:rPr>
        <w:t>科</w:t>
      </w:r>
      <w:r>
        <w:rPr>
          <w:spacing w:val="-471"/>
          <w:w w:val="99"/>
        </w:rPr>
        <w:t>医</w:t>
      </w:r>
      <w:r>
        <w:rPr>
          <w:w w:val="99"/>
        </w:rPr>
        <w:t>科</w:t>
      </w:r>
      <w:r>
        <w:rPr>
          <w:spacing w:val="-474"/>
          <w:w w:val="99"/>
        </w:rPr>
        <w:t>医</w:t>
      </w:r>
      <w:r>
        <w:rPr>
          <w:spacing w:val="-31"/>
          <w:w w:val="99"/>
        </w:rPr>
        <w:t>科医</w:t>
      </w:r>
      <w:r>
        <w:rPr>
          <w:spacing w:val="-267"/>
          <w:w w:val="99"/>
          <w:position w:val="1"/>
        </w:rPr>
        <w:t>生</w:t>
      </w:r>
      <w:r>
        <w:rPr>
          <w:spacing w:val="-264"/>
          <w:w w:val="99"/>
        </w:rPr>
        <w:t>生生</w:t>
      </w:r>
      <w:r>
        <w:rPr>
          <w:spacing w:val="-46"/>
          <w:w w:val="99"/>
        </w:rPr>
        <w:t>生</w:t>
      </w:r>
      <w:r>
        <w:rPr>
          <w:spacing w:val="1"/>
          <w:w w:val="99"/>
        </w:rPr>
        <w:t>（</w:t>
      </w:r>
      <w:r>
        <w:rPr>
          <w:w w:val="99"/>
        </w:rPr>
        <w:t>见释义</w:t>
      </w:r>
      <w:r>
        <w:rPr>
          <w:spacing w:val="-55"/>
        </w:rPr>
        <w:t> </w:t>
      </w:r>
      <w:r>
        <w:rPr>
          <w:w w:val="93"/>
        </w:rPr>
        <w:t>11</w:t>
      </w:r>
      <w:r>
        <w:rPr>
          <w:spacing w:val="-1"/>
          <w:w w:val="43"/>
        </w:rPr>
        <w:t>.</w:t>
      </w:r>
      <w:r>
        <w:rPr>
          <w:spacing w:val="1"/>
          <w:w w:val="93"/>
        </w:rPr>
        <w:t>8</w:t>
      </w:r>
      <w:r>
        <w:rPr>
          <w:spacing w:val="1"/>
          <w:w w:val="99"/>
        </w:rPr>
        <w:t>）</w:t>
      </w:r>
      <w:r>
        <w:rPr>
          <w:spacing w:val="-20"/>
          <w:w w:val="99"/>
        </w:rPr>
        <w:t>确</w:t>
      </w:r>
      <w:r>
        <w:rPr>
          <w:spacing w:val="-3"/>
        </w:rPr>
        <w:t>诊。世界卫生组织</w:t>
      </w:r>
      <w:r>
        <w:rPr>
          <w:spacing w:val="-3"/>
          <w:w w:val="120"/>
        </w:rPr>
        <w:t>（WHO）</w:t>
      </w:r>
      <w:r>
        <w:rPr>
          <w:spacing w:val="-3"/>
        </w:rPr>
        <w:t>狼疮性肾炎分型：</w:t>
      </w:r>
    </w:p>
    <w:p>
      <w:pPr>
        <w:pStyle w:val="ListParagraph"/>
        <w:numPr>
          <w:ilvl w:val="0"/>
          <w:numId w:val="10"/>
        </w:numPr>
        <w:tabs>
          <w:tab w:pos="264" w:val="left" w:leader="none"/>
          <w:tab w:pos="3237" w:val="left" w:leader="none"/>
        </w:tabs>
        <w:spacing w:line="240" w:lineRule="auto" w:before="3" w:after="0"/>
        <w:ind w:left="264" w:right="0" w:hanging="125"/>
        <w:jc w:val="both"/>
        <w:rPr>
          <w:sz w:val="21"/>
        </w:rPr>
      </w:pPr>
      <w:r>
        <w:rPr>
          <w:sz w:val="21"/>
        </w:rPr>
        <w:t>型（微小病变型）</w:t>
        <w:tab/>
      </w:r>
      <w:r>
        <w:rPr>
          <w:w w:val="95"/>
          <w:sz w:val="21"/>
        </w:rPr>
        <w:t>镜下阴性，尿液正常</w:t>
      </w:r>
    </w:p>
    <w:p>
      <w:pPr>
        <w:pStyle w:val="ListParagraph"/>
        <w:numPr>
          <w:ilvl w:val="0"/>
          <w:numId w:val="10"/>
        </w:numPr>
        <w:tabs>
          <w:tab w:pos="339" w:val="left" w:leader="none"/>
          <w:tab w:pos="3237" w:val="left" w:leader="none"/>
        </w:tabs>
        <w:spacing w:line="240" w:lineRule="auto" w:before="36" w:after="0"/>
        <w:ind w:left="338" w:right="0" w:hanging="199"/>
        <w:jc w:val="both"/>
        <w:rPr>
          <w:sz w:val="21"/>
        </w:rPr>
      </w:pPr>
      <w:r>
        <w:rPr>
          <w:sz w:val="21"/>
        </w:rPr>
        <w:t>型（系膜病变型）</w:t>
        <w:tab/>
      </w:r>
      <w:r>
        <w:rPr>
          <w:w w:val="95"/>
          <w:sz w:val="21"/>
        </w:rPr>
        <w:t>中度蛋白尿，偶有尿沉渣改变</w:t>
      </w:r>
    </w:p>
    <w:p>
      <w:pPr>
        <w:pStyle w:val="ListParagraph"/>
        <w:numPr>
          <w:ilvl w:val="0"/>
          <w:numId w:val="10"/>
        </w:numPr>
        <w:tabs>
          <w:tab w:pos="413" w:val="left" w:leader="none"/>
        </w:tabs>
        <w:spacing w:line="240" w:lineRule="auto" w:before="36" w:after="0"/>
        <w:ind w:left="412" w:right="0" w:hanging="273"/>
        <w:jc w:val="both"/>
        <w:rPr>
          <w:sz w:val="21"/>
        </w:rPr>
      </w:pPr>
      <w:r>
        <w:rPr>
          <w:sz w:val="21"/>
        </w:rPr>
        <w:t>型（局灶及节段增生型）</w:t>
      </w:r>
      <w:r>
        <w:rPr>
          <w:spacing w:val="2"/>
          <w:sz w:val="21"/>
        </w:rPr>
        <w:t>    蛋白尿，尿沉渣改变</w:t>
      </w:r>
    </w:p>
    <w:p>
      <w:pPr>
        <w:pStyle w:val="ListParagraph"/>
        <w:numPr>
          <w:ilvl w:val="0"/>
          <w:numId w:val="10"/>
        </w:numPr>
        <w:tabs>
          <w:tab w:pos="408" w:val="left" w:leader="none"/>
          <w:tab w:pos="3237" w:val="left" w:leader="none"/>
        </w:tabs>
        <w:spacing w:line="240" w:lineRule="auto" w:before="36" w:after="0"/>
        <w:ind w:left="408" w:right="0" w:hanging="269"/>
        <w:jc w:val="both"/>
        <w:rPr>
          <w:sz w:val="21"/>
        </w:rPr>
      </w:pPr>
      <w:r>
        <w:rPr>
          <w:sz w:val="21"/>
        </w:rPr>
        <w:t>型（弥漫增生型）</w:t>
        <w:tab/>
      </w:r>
      <w:r>
        <w:rPr>
          <w:w w:val="95"/>
          <w:sz w:val="21"/>
        </w:rPr>
        <w:t>急性肾炎伴有尿沉渣改变及／或肾病综合征</w:t>
      </w:r>
    </w:p>
    <w:p>
      <w:pPr>
        <w:pStyle w:val="ListParagraph"/>
        <w:numPr>
          <w:ilvl w:val="0"/>
          <w:numId w:val="10"/>
        </w:numPr>
        <w:tabs>
          <w:tab w:pos="332" w:val="left" w:leader="none"/>
          <w:tab w:pos="3237" w:val="left" w:leader="none"/>
        </w:tabs>
        <w:spacing w:line="240" w:lineRule="auto" w:before="36" w:after="0"/>
        <w:ind w:left="331" w:right="0" w:hanging="192"/>
        <w:jc w:val="both"/>
        <w:rPr>
          <w:sz w:val="21"/>
        </w:rPr>
      </w:pPr>
      <w:r>
        <w:rPr>
          <w:sz w:val="21"/>
        </w:rPr>
        <w:t>型（膜型）</w:t>
        <w:tab/>
      </w:r>
      <w:r>
        <w:rPr>
          <w:w w:val="95"/>
          <w:sz w:val="21"/>
        </w:rPr>
        <w:t>肾病综合征或重度蛋白尿</w:t>
      </w:r>
    </w:p>
    <w:p>
      <w:pPr>
        <w:pStyle w:val="Heading2"/>
        <w:numPr>
          <w:ilvl w:val="2"/>
          <w:numId w:val="9"/>
        </w:numPr>
        <w:tabs>
          <w:tab w:pos="1207" w:val="left" w:leader="none"/>
        </w:tabs>
        <w:spacing w:line="240" w:lineRule="auto" w:before="226" w:after="0"/>
        <w:ind w:left="1206" w:right="0" w:hanging="1086"/>
        <w:jc w:val="both"/>
      </w:pPr>
      <w:bookmarkStart w:name="_TOC_250017" w:id="123"/>
      <w:bookmarkEnd w:id="123"/>
      <w:r>
        <w:rPr/>
        <w:t>经输血导致的人类免疫缺陷病毒（HIV）感染</w:t>
      </w:r>
    </w:p>
    <w:p>
      <w:pPr>
        <w:pStyle w:val="BodyText"/>
        <w:spacing w:before="8"/>
        <w:ind w:left="0"/>
        <w:rPr>
          <w:rFonts w:ascii="Microsoft JhengHei UI"/>
          <w:b/>
          <w:sz w:val="16"/>
        </w:rPr>
      </w:pPr>
    </w:p>
    <w:p>
      <w:pPr>
        <w:pStyle w:val="BodyText"/>
        <w:spacing w:before="1"/>
        <w:jc w:val="both"/>
      </w:pPr>
      <w:r>
        <w:rPr>
          <w:w w:val="99"/>
        </w:rPr>
        <w:t>被保险人感染上人类免疫缺陷病毒</w:t>
      </w:r>
      <w:r>
        <w:rPr>
          <w:spacing w:val="-1"/>
          <w:w w:val="99"/>
        </w:rPr>
        <w:t>（</w:t>
      </w:r>
      <w:r>
        <w:rPr>
          <w:spacing w:val="-1"/>
          <w:w w:val="151"/>
        </w:rPr>
        <w:t>H</w:t>
      </w:r>
      <w:r>
        <w:rPr>
          <w:w w:val="70"/>
        </w:rPr>
        <w:t>I</w:t>
      </w:r>
      <w:r>
        <w:rPr>
          <w:spacing w:val="1"/>
          <w:w w:val="134"/>
        </w:rPr>
        <w:t>V</w:t>
      </w:r>
      <w:r>
        <w:rPr>
          <w:spacing w:val="1"/>
          <w:w w:val="99"/>
        </w:rPr>
        <w:t>）</w:t>
      </w:r>
      <w:r>
        <w:rPr>
          <w:w w:val="99"/>
        </w:rPr>
        <w:t>并且符合下列所有条件：</w:t>
      </w:r>
    </w:p>
    <w:p>
      <w:pPr>
        <w:pStyle w:val="BodyText"/>
        <w:spacing w:before="37"/>
        <w:jc w:val="both"/>
      </w:pPr>
      <w:r>
        <w:rPr>
          <w:w w:val="99"/>
        </w:rPr>
        <w:t>（</w:t>
      </w:r>
      <w:r>
        <w:rPr>
          <w:w w:val="93"/>
        </w:rPr>
        <w:t>1</w:t>
      </w:r>
      <w:r>
        <w:rPr>
          <w:spacing w:val="1"/>
          <w:w w:val="99"/>
        </w:rPr>
        <w:t>）</w:t>
      </w:r>
      <w:r>
        <w:rPr>
          <w:w w:val="99"/>
        </w:rPr>
        <w:t>在保障起始日或复效日之后，被保险人因输血而感染</w:t>
      </w:r>
      <w:r>
        <w:rPr>
          <w:spacing w:val="-53"/>
        </w:rPr>
        <w:t> </w:t>
      </w:r>
      <w:r>
        <w:rPr>
          <w:spacing w:val="-1"/>
          <w:w w:val="151"/>
        </w:rPr>
        <w:t>H</w:t>
      </w:r>
      <w:r>
        <w:rPr>
          <w:w w:val="70"/>
        </w:rPr>
        <w:t>I</w:t>
      </w:r>
      <w:r>
        <w:rPr>
          <w:spacing w:val="1"/>
          <w:w w:val="134"/>
        </w:rPr>
        <w:t>V</w:t>
      </w:r>
      <w:r>
        <w:rPr>
          <w:w w:val="99"/>
        </w:rPr>
        <w:t>；</w:t>
      </w:r>
    </w:p>
    <w:p>
      <w:pPr>
        <w:pStyle w:val="BodyText"/>
        <w:spacing w:line="273" w:lineRule="auto" w:before="37"/>
        <w:ind w:right="134"/>
      </w:pPr>
      <w:r>
        <w:rPr>
          <w:w w:val="95"/>
        </w:rPr>
        <w:t>（2）提供输血治疗的输血中心或医院出具该项输血感染属医疗责任事故的报告，或者法院   终审裁定为医疗责任并且不准上诉；</w:t>
      </w:r>
    </w:p>
    <w:p>
      <w:pPr>
        <w:pStyle w:val="BodyText"/>
        <w:spacing w:before="8"/>
      </w:pPr>
      <w:r>
        <w:rPr>
          <w:w w:val="95"/>
        </w:rPr>
        <w:t>（3）受感染的被保险人不是血友病患者。</w:t>
      </w:r>
    </w:p>
    <w:p>
      <w:pPr>
        <w:pStyle w:val="BodyText"/>
        <w:spacing w:line="273" w:lineRule="auto" w:before="37"/>
        <w:ind w:right="115"/>
      </w:pPr>
      <w:r>
        <w:rPr>
          <w:spacing w:val="1"/>
          <w:w w:val="99"/>
        </w:rPr>
        <w:t>在任何治愈艾滋病（</w:t>
      </w:r>
      <w:r>
        <w:rPr>
          <w:w w:val="134"/>
        </w:rPr>
        <w:t>A</w:t>
      </w:r>
      <w:r>
        <w:rPr>
          <w:w w:val="70"/>
        </w:rPr>
        <w:t>I</w:t>
      </w:r>
      <w:r>
        <w:rPr>
          <w:spacing w:val="-1"/>
          <w:w w:val="153"/>
        </w:rPr>
        <w:t>D</w:t>
      </w:r>
      <w:r>
        <w:rPr>
          <w:spacing w:val="5"/>
          <w:w w:val="95"/>
        </w:rPr>
        <w:t>S</w:t>
      </w:r>
      <w:r>
        <w:rPr>
          <w:spacing w:val="1"/>
          <w:w w:val="99"/>
        </w:rPr>
        <w:t>）</w:t>
      </w:r>
      <w:r>
        <w:rPr>
          <w:spacing w:val="0"/>
          <w:w w:val="99"/>
        </w:rPr>
        <w:t>或阻止</w:t>
      </w:r>
      <w:r>
        <w:rPr>
          <w:spacing w:val="-50"/>
        </w:rPr>
        <w:t> </w:t>
      </w:r>
      <w:r>
        <w:rPr>
          <w:spacing w:val="-1"/>
          <w:w w:val="151"/>
        </w:rPr>
        <w:t>H</w:t>
      </w:r>
      <w:r>
        <w:rPr>
          <w:w w:val="70"/>
        </w:rPr>
        <w:t>I</w:t>
      </w:r>
      <w:r>
        <w:rPr>
          <w:w w:val="134"/>
        </w:rPr>
        <w:t>V</w:t>
      </w:r>
      <w:r>
        <w:rPr>
          <w:spacing w:val="-50"/>
        </w:rPr>
        <w:t> </w:t>
      </w:r>
      <w:r>
        <w:rPr>
          <w:spacing w:val="0"/>
          <w:w w:val="99"/>
        </w:rPr>
        <w:t>病毒作用的疗法被发现以后，或能防止</w:t>
      </w:r>
      <w:r>
        <w:rPr>
          <w:spacing w:val="-48"/>
        </w:rPr>
        <w:t> </w:t>
      </w:r>
      <w:r>
        <w:rPr>
          <w:w w:val="134"/>
        </w:rPr>
        <w:t>A</w:t>
      </w:r>
      <w:r>
        <w:rPr>
          <w:w w:val="70"/>
        </w:rPr>
        <w:t>I</w:t>
      </w:r>
      <w:r>
        <w:rPr>
          <w:spacing w:val="-1"/>
          <w:w w:val="153"/>
        </w:rPr>
        <w:t>D</w:t>
      </w:r>
      <w:r>
        <w:rPr>
          <w:w w:val="95"/>
        </w:rPr>
        <w:t>S</w:t>
      </w:r>
      <w:r>
        <w:rPr>
          <w:spacing w:val="-50"/>
        </w:rPr>
        <w:t> </w:t>
      </w:r>
      <w:r>
        <w:rPr>
          <w:w w:val="99"/>
        </w:rPr>
        <w:t>发生</w:t>
      </w:r>
      <w:r>
        <w:rPr>
          <w:w w:val="95"/>
        </w:rPr>
        <w:t>的医疗方法被研究出来以后，本保障将不再予以赔付。</w:t>
      </w:r>
    </w:p>
    <w:p>
      <w:pPr>
        <w:pStyle w:val="BodyText"/>
        <w:spacing w:line="273" w:lineRule="auto" w:before="7"/>
        <w:ind w:right="119"/>
        <w:jc w:val="both"/>
      </w:pPr>
      <w:r>
        <w:rPr>
          <w:spacing w:val="1"/>
          <w:w w:val="99"/>
        </w:rPr>
        <w:t>任何因其他传播方式（包括：性传播或静脉注射毒品）</w:t>
      </w:r>
      <w:r>
        <w:rPr>
          <w:spacing w:val="0"/>
          <w:w w:val="99"/>
        </w:rPr>
        <w:t>导致的</w:t>
      </w:r>
      <w:r>
        <w:rPr>
          <w:spacing w:val="-41"/>
        </w:rPr>
        <w:t> </w:t>
      </w:r>
      <w:r>
        <w:rPr>
          <w:spacing w:val="-1"/>
          <w:w w:val="151"/>
        </w:rPr>
        <w:t>H</w:t>
      </w:r>
      <w:r>
        <w:rPr>
          <w:w w:val="70"/>
        </w:rPr>
        <w:t>I</w:t>
      </w:r>
      <w:r>
        <w:rPr>
          <w:w w:val="134"/>
        </w:rPr>
        <w:t>V</w:t>
      </w:r>
      <w:r>
        <w:rPr>
          <w:spacing w:val="-50"/>
        </w:rPr>
        <w:t> </w:t>
      </w:r>
      <w:r>
        <w:rPr>
          <w:spacing w:val="0"/>
          <w:w w:val="99"/>
        </w:rPr>
        <w:t>感染不在本保单保障范</w:t>
      </w:r>
      <w:r>
        <w:rPr>
          <w:spacing w:val="-11"/>
          <w:w w:val="95"/>
        </w:rPr>
        <w:t>围内。保险公司必须拥有获得使用被保险人的所有血液样本的权利和能够对这些样本进行独   立检验的权利。</w:t>
      </w:r>
    </w:p>
    <w:p>
      <w:pPr>
        <w:pStyle w:val="Heading2"/>
        <w:numPr>
          <w:ilvl w:val="2"/>
          <w:numId w:val="9"/>
        </w:numPr>
        <w:tabs>
          <w:tab w:pos="1206" w:val="left" w:leader="none"/>
          <w:tab w:pos="1207" w:val="left" w:leader="none"/>
        </w:tabs>
        <w:spacing w:line="240" w:lineRule="auto" w:before="197" w:after="0"/>
        <w:ind w:left="1206" w:right="0" w:hanging="1086"/>
        <w:jc w:val="left"/>
      </w:pPr>
      <w:bookmarkStart w:name="_TOC_250016" w:id="124"/>
      <w:bookmarkEnd w:id="124"/>
      <w:r>
        <w:rPr>
          <w:w w:val="95"/>
        </w:rPr>
        <w:t>严重多发性硬化</w:t>
      </w:r>
    </w:p>
    <w:p>
      <w:pPr>
        <w:pStyle w:val="BodyText"/>
        <w:spacing w:before="9"/>
        <w:ind w:left="0"/>
        <w:rPr>
          <w:rFonts w:ascii="Microsoft JhengHei UI"/>
          <w:b/>
          <w:sz w:val="16"/>
        </w:rPr>
      </w:pPr>
    </w:p>
    <w:p>
      <w:pPr>
        <w:pStyle w:val="BodyText"/>
        <w:spacing w:line="273" w:lineRule="auto"/>
        <w:ind w:right="117"/>
        <w:jc w:val="both"/>
      </w:pPr>
      <w:r>
        <w:rPr>
          <w:spacing w:val="-4"/>
          <w:w w:val="95"/>
        </w:rPr>
        <w:t>多发性硬化为中枢神经系统白质多灶性脱髓鞘病变，病变有时累及灰质。多发性硬化必须明   </w:t>
      </w:r>
      <w:r>
        <w:rPr>
          <w:spacing w:val="-11"/>
          <w:w w:val="95"/>
        </w:rPr>
        <w:t>确诊断，并且已经造成神经系统功能损害导致被保险人永久不可逆性的无法独立完成下列基   本日常生活活动：</w:t>
      </w:r>
    </w:p>
    <w:p>
      <w:pPr>
        <w:pStyle w:val="BodyText"/>
        <w:spacing w:before="7"/>
        <w:jc w:val="both"/>
      </w:pPr>
      <w:r>
        <w:rPr>
          <w:w w:val="95"/>
        </w:rPr>
        <w:t>（1）移动：自己从一个房间移动到另一个房间；或者</w:t>
      </w:r>
    </w:p>
    <w:p>
      <w:pPr>
        <w:pStyle w:val="BodyText"/>
        <w:spacing w:before="36"/>
        <w:jc w:val="both"/>
      </w:pPr>
      <w:r>
        <w:rPr>
          <w:w w:val="95"/>
        </w:rPr>
        <w:t>（2）进食：自己从已准备好的碗或碟中取食物放入口中</w:t>
      </w:r>
    </w:p>
    <w:p>
      <w:pPr>
        <w:spacing w:after="0"/>
        <w:jc w:val="both"/>
        <w:sectPr>
          <w:pgSz w:w="11910" w:h="16840"/>
          <w:pgMar w:header="0" w:footer="1090" w:top="1500" w:bottom="1280" w:left="1680" w:right="1680"/>
        </w:sectPr>
      </w:pPr>
    </w:p>
    <w:p>
      <w:pPr>
        <w:pStyle w:val="Heading2"/>
        <w:numPr>
          <w:ilvl w:val="2"/>
          <w:numId w:val="9"/>
        </w:numPr>
        <w:tabs>
          <w:tab w:pos="1206" w:val="left" w:leader="none"/>
          <w:tab w:pos="1207" w:val="left" w:leader="none"/>
        </w:tabs>
        <w:spacing w:line="354" w:lineRule="exact" w:before="0" w:after="0"/>
        <w:ind w:left="1206" w:right="0" w:hanging="1086"/>
        <w:jc w:val="left"/>
      </w:pPr>
      <w:bookmarkStart w:name="_TOC_250015" w:id="125"/>
      <w:bookmarkStart w:name="严重类风湿性关节炎" w:id="126"/>
      <w:r>
        <w:rPr>
          <w:b w:val="0"/>
        </w:rPr>
      </w:r>
      <w:bookmarkStart w:name="慢性呼吸功能衰竭" w:id="127"/>
      <w:bookmarkEnd w:id="127"/>
      <w:r>
        <w:rPr>
          <w:b w:val="0"/>
        </w:rPr>
      </w:r>
      <w:bookmarkStart w:name="肢体机能完全丧失" w:id="128"/>
      <w:bookmarkEnd w:id="128"/>
      <w:r>
        <w:rPr>
          <w:b w:val="0"/>
        </w:rPr>
      </w:r>
      <w:bookmarkStart w:name="语言能力或咀嚼吞咽能力完全丧失" w:id="129"/>
      <w:bookmarkEnd w:id="129"/>
      <w:r>
        <w:rPr>
          <w:b w:val="0"/>
        </w:rPr>
      </w:r>
      <w:bookmarkStart w:name="六项基本日常生活活动" w:id="130"/>
      <w:bookmarkEnd w:id="130"/>
      <w:r>
        <w:rPr>
          <w:b w:val="0"/>
        </w:rPr>
      </w:r>
      <w:bookmarkStart w:name="永久不可逆" w:id="131"/>
      <w:bookmarkEnd w:id="131"/>
      <w:r>
        <w:rPr>
          <w:b w:val="0"/>
        </w:rPr>
      </w:r>
      <w:bookmarkStart w:name="永久不可逆" w:id="132"/>
      <w:bookmarkEnd w:id="125"/>
      <w:r>
        <w:rPr>
          <w:w w:val="95"/>
        </w:rPr>
        <w:t>严重类风湿性关节炎</w:t>
      </w:r>
    </w:p>
    <w:p>
      <w:pPr>
        <w:pStyle w:val="BodyText"/>
        <w:spacing w:before="6"/>
        <w:ind w:left="0"/>
        <w:rPr>
          <w:rFonts w:ascii="Microsoft JhengHei UI"/>
          <w:b/>
          <w:sz w:val="16"/>
        </w:rPr>
      </w:pPr>
    </w:p>
    <w:p>
      <w:pPr>
        <w:pStyle w:val="BodyText"/>
        <w:spacing w:line="273" w:lineRule="auto"/>
        <w:ind w:right="115"/>
        <w:jc w:val="both"/>
      </w:pPr>
      <w:r>
        <w:rPr>
          <w:spacing w:val="-4"/>
        </w:rPr>
        <w:t>类风湿性关节炎为广泛分布的慢性进行性多关节病变，表现为关节严重变形，侵犯至少三个</w:t>
      </w:r>
      <w:r>
        <w:rPr>
          <w:spacing w:val="-7"/>
          <w:w w:val="95"/>
        </w:rPr>
        <w:t>主要关节或关节组【如：双手</w:t>
      </w:r>
      <w:r>
        <w:rPr>
          <w:w w:val="95"/>
        </w:rPr>
        <w:t>（多手指</w:t>
      </w:r>
      <w:r>
        <w:rPr>
          <w:spacing w:val="-10"/>
          <w:w w:val="95"/>
        </w:rPr>
        <w:t>）</w:t>
      </w:r>
      <w:r>
        <w:rPr>
          <w:spacing w:val="-5"/>
          <w:w w:val="95"/>
        </w:rPr>
        <w:t>关节、双足</w:t>
      </w:r>
      <w:r>
        <w:rPr>
          <w:w w:val="95"/>
        </w:rPr>
        <w:t>（多足趾</w:t>
      </w:r>
      <w:r>
        <w:rPr>
          <w:spacing w:val="-8"/>
          <w:w w:val="95"/>
        </w:rPr>
        <w:t>）</w:t>
      </w:r>
      <w:r>
        <w:rPr>
          <w:spacing w:val="-4"/>
          <w:w w:val="95"/>
        </w:rPr>
        <w:t>关节、双腕关节、双膝关节   </w:t>
      </w:r>
      <w:r>
        <w:rPr>
          <w:spacing w:val="-12"/>
        </w:rPr>
        <w:t>和双髋关节】。诊断必须由风湿科主任级和保险公司的医务总监确认，被保人所患的类风湿</w:t>
      </w:r>
      <w:r>
        <w:rPr>
          <w:spacing w:val="-8"/>
          <w:w w:val="95"/>
        </w:rPr>
        <w:t>性关节炎必须已经达到类风湿性关节炎功能分级 </w:t>
      </w:r>
      <w:r>
        <w:rPr>
          <w:w w:val="95"/>
        </w:rPr>
        <w:t>III</w:t>
      </w:r>
      <w:r>
        <w:rPr>
          <w:spacing w:val="6"/>
          <w:w w:val="95"/>
        </w:rPr>
        <w:t> 级以上的功能障碍</w:t>
      </w:r>
      <w:r>
        <w:rPr>
          <w:w w:val="95"/>
        </w:rPr>
        <w:t>（严重限制，不能完成大部分的日常工作和活动）并且符合下列所有条件：</w:t>
      </w:r>
    </w:p>
    <w:p>
      <w:pPr>
        <w:pStyle w:val="BodyText"/>
        <w:spacing w:before="7"/>
        <w:ind w:left="540"/>
      </w:pPr>
      <w:r>
        <w:rPr>
          <w:w w:val="95"/>
        </w:rPr>
        <w:t>（1）晨僵</w:t>
      </w:r>
    </w:p>
    <w:p>
      <w:pPr>
        <w:pStyle w:val="BodyText"/>
        <w:spacing w:before="37"/>
        <w:ind w:left="540"/>
      </w:pPr>
      <w:r>
        <w:rPr>
          <w:w w:val="95"/>
        </w:rPr>
        <w:t>（2）对称性关节炎</w:t>
      </w:r>
    </w:p>
    <w:p>
      <w:pPr>
        <w:pStyle w:val="BodyText"/>
        <w:spacing w:before="37"/>
        <w:ind w:left="540"/>
      </w:pPr>
      <w:r>
        <w:rPr>
          <w:w w:val="95"/>
        </w:rPr>
        <w:t>（3）类风湿性皮下结节</w:t>
      </w:r>
    </w:p>
    <w:p>
      <w:pPr>
        <w:pStyle w:val="BodyText"/>
        <w:spacing w:before="37"/>
        <w:ind w:left="540"/>
      </w:pPr>
      <w:r>
        <w:rPr>
          <w:w w:val="95"/>
        </w:rPr>
        <w:t>（4）类风湿因子滴度升高</w:t>
      </w:r>
    </w:p>
    <w:p>
      <w:pPr>
        <w:pStyle w:val="BodyText"/>
        <w:spacing w:before="37"/>
        <w:ind w:left="540"/>
      </w:pPr>
      <w:r>
        <w:rPr/>
        <w:t>（</w:t>
      </w:r>
      <w:r>
        <w:rPr>
          <w:rFonts w:ascii="Times New Roman" w:eastAsia="Times New Roman"/>
        </w:rPr>
        <w:t>5</w:t>
      </w:r>
      <w:r>
        <w:rPr/>
        <w:t>）X 线显示严重的关节（软骨和骨）破坏和关节畸形</w:t>
      </w:r>
    </w:p>
    <w:p>
      <w:pPr>
        <w:pStyle w:val="Heading2"/>
        <w:numPr>
          <w:ilvl w:val="2"/>
          <w:numId w:val="9"/>
        </w:numPr>
        <w:tabs>
          <w:tab w:pos="1207" w:val="left" w:leader="none"/>
        </w:tabs>
        <w:spacing w:line="240" w:lineRule="auto" w:before="213" w:after="0"/>
        <w:ind w:left="1206" w:right="0" w:hanging="1086"/>
        <w:jc w:val="both"/>
      </w:pPr>
      <w:bookmarkStart w:name="_TOC_250014" w:id="133"/>
      <w:bookmarkEnd w:id="133"/>
      <w:r>
        <w:rPr>
          <w:w w:val="95"/>
        </w:rPr>
        <w:t>慢性呼吸功能衰竭</w:t>
      </w:r>
    </w:p>
    <w:p>
      <w:pPr>
        <w:pStyle w:val="BodyText"/>
        <w:spacing w:before="6"/>
        <w:ind w:left="0"/>
        <w:rPr>
          <w:rFonts w:ascii="Microsoft JhengHei UI"/>
          <w:b/>
          <w:sz w:val="16"/>
        </w:rPr>
      </w:pPr>
    </w:p>
    <w:p>
      <w:pPr>
        <w:pStyle w:val="BodyText"/>
        <w:spacing w:line="273" w:lineRule="auto"/>
        <w:ind w:right="117"/>
      </w:pPr>
      <w:r>
        <w:rPr>
          <w:spacing w:val="-4"/>
        </w:rPr>
        <w:t>慢性肺部疾病导致永久不可逆性的慢性呼吸功能衰竭，必须由呼吸专科医师确认并符合下列</w:t>
      </w:r>
      <w:r>
        <w:rPr>
          <w:spacing w:val="-4"/>
          <w:w w:val="95"/>
        </w:rPr>
        <w:t>所有条件：</w:t>
      </w:r>
    </w:p>
    <w:p>
      <w:pPr>
        <w:pStyle w:val="BodyText"/>
        <w:spacing w:before="7"/>
        <w:ind w:left="540"/>
      </w:pPr>
      <w:r>
        <w:rPr>
          <w:w w:val="95"/>
        </w:rPr>
        <w:t>（1）休息时出现呼吸困难；</w:t>
      </w:r>
    </w:p>
    <w:p>
      <w:pPr>
        <w:pStyle w:val="BodyText"/>
        <w:spacing w:before="36"/>
        <w:ind w:left="540"/>
      </w:pPr>
      <w:r>
        <w:rPr>
          <w:w w:val="105"/>
        </w:rPr>
        <w:t>（2）动脉氧分压 （PaO2）&lt; 50mmHg；</w:t>
      </w:r>
    </w:p>
    <w:p>
      <w:pPr>
        <w:pStyle w:val="BodyText"/>
        <w:spacing w:before="36"/>
        <w:ind w:left="540"/>
      </w:pPr>
      <w:r>
        <w:rPr/>
        <w:t>（3）动脉血氧饱和度 （SaO 2 ）&lt; 80％；</w:t>
      </w:r>
    </w:p>
    <w:p>
      <w:pPr>
        <w:pStyle w:val="BodyText"/>
        <w:spacing w:before="36"/>
        <w:jc w:val="both"/>
      </w:pPr>
      <w:r>
        <w:rPr>
          <w:w w:val="95"/>
        </w:rPr>
        <w:t>（4）因缺氧必须接受持续的输氧治疗。</w:t>
      </w:r>
    </w:p>
    <w:p>
      <w:pPr>
        <w:pStyle w:val="BodyText"/>
        <w:spacing w:before="9"/>
        <w:ind w:left="0"/>
        <w:rPr>
          <w:sz w:val="18"/>
        </w:rPr>
      </w:pPr>
    </w:p>
    <w:p>
      <w:pPr>
        <w:pStyle w:val="Heading2"/>
        <w:numPr>
          <w:ilvl w:val="1"/>
          <w:numId w:val="11"/>
        </w:numPr>
        <w:tabs>
          <w:tab w:pos="693" w:val="left" w:leader="none"/>
        </w:tabs>
        <w:spacing w:line="240" w:lineRule="auto" w:before="0" w:after="0"/>
        <w:ind w:left="692" w:right="0" w:hanging="566"/>
        <w:jc w:val="both"/>
      </w:pPr>
      <w:bookmarkStart w:name="_TOC_250013" w:id="134"/>
      <w:bookmarkEnd w:id="134"/>
      <w:r>
        <w:rPr>
          <w:w w:val="95"/>
        </w:rPr>
        <w:t>肢体机能完全丧失</w:t>
      </w:r>
    </w:p>
    <w:p>
      <w:pPr>
        <w:pStyle w:val="BodyText"/>
        <w:spacing w:before="5"/>
        <w:ind w:left="0"/>
        <w:rPr>
          <w:rFonts w:ascii="Microsoft JhengHei UI"/>
          <w:b/>
          <w:sz w:val="16"/>
        </w:rPr>
      </w:pPr>
    </w:p>
    <w:p>
      <w:pPr>
        <w:pStyle w:val="BodyText"/>
        <w:spacing w:line="273" w:lineRule="auto" w:before="1"/>
        <w:ind w:right="117"/>
      </w:pPr>
      <w:r>
        <w:rPr>
          <w:spacing w:val="-5"/>
          <w:w w:val="95"/>
        </w:rPr>
        <w:t>指肢体的三大关节中的两大关节僵硬，或不能随意识活动。肢体是指包括肩关节的整个上肢   或包括髋关节的整个下肢。</w:t>
      </w:r>
    </w:p>
    <w:p>
      <w:pPr>
        <w:pStyle w:val="Heading2"/>
        <w:numPr>
          <w:ilvl w:val="1"/>
          <w:numId w:val="11"/>
        </w:numPr>
        <w:tabs>
          <w:tab w:pos="693" w:val="left" w:leader="none"/>
        </w:tabs>
        <w:spacing w:line="240" w:lineRule="auto" w:before="219" w:after="0"/>
        <w:ind w:left="692" w:right="0" w:hanging="566"/>
        <w:jc w:val="left"/>
      </w:pPr>
      <w:bookmarkStart w:name="_TOC_250012" w:id="135"/>
      <w:bookmarkEnd w:id="135"/>
      <w:r>
        <w:rPr>
          <w:w w:val="95"/>
        </w:rPr>
        <w:t>语言能力或咀嚼吞咽能力完全丧失</w:t>
      </w:r>
    </w:p>
    <w:p>
      <w:pPr>
        <w:pStyle w:val="BodyText"/>
        <w:spacing w:before="6"/>
        <w:ind w:left="0"/>
        <w:rPr>
          <w:rFonts w:ascii="Microsoft JhengHei UI"/>
          <w:b/>
          <w:sz w:val="16"/>
        </w:rPr>
      </w:pPr>
    </w:p>
    <w:p>
      <w:pPr>
        <w:pStyle w:val="BodyText"/>
        <w:spacing w:line="273" w:lineRule="auto"/>
        <w:ind w:right="121"/>
      </w:pPr>
      <w:r>
        <w:rPr>
          <w:spacing w:val="-3"/>
          <w:w w:val="95"/>
        </w:rPr>
        <w:t>语言能力完全丧失，指无法发出四种声音</w:t>
      </w:r>
      <w:r>
        <w:rPr>
          <w:w w:val="95"/>
        </w:rPr>
        <w:t>（</w:t>
      </w:r>
      <w:r>
        <w:rPr>
          <w:spacing w:val="-6"/>
          <w:w w:val="95"/>
        </w:rPr>
        <w:t>包括口唇音、齿舌音、口盖音和喉头音</w:t>
      </w:r>
      <w:r>
        <w:rPr>
          <w:spacing w:val="-20"/>
          <w:w w:val="95"/>
        </w:rPr>
        <w:t>）</w:t>
      </w:r>
      <w:r>
        <w:rPr>
          <w:w w:val="95"/>
        </w:rPr>
        <w:t>中的任   何三种、或声带全部切除，或因大脑语言中枢受伤害而患失语症。</w:t>
      </w:r>
    </w:p>
    <w:p>
      <w:pPr>
        <w:pStyle w:val="BodyText"/>
        <w:spacing w:line="273" w:lineRule="auto" w:before="7"/>
        <w:ind w:right="117"/>
      </w:pPr>
      <w:r>
        <w:rPr>
          <w:spacing w:val="-7"/>
          <w:w w:val="95"/>
        </w:rPr>
        <w:t>咀嚼吞咽能力完全丧失，指因牙齿以外的原因导致器质障碍或机能障碍，以致不能作咀嚼吞   咽动作，除流质食物外不能摄取或吞咽的状态。</w:t>
      </w:r>
    </w:p>
    <w:p>
      <w:pPr>
        <w:pStyle w:val="Heading2"/>
        <w:numPr>
          <w:ilvl w:val="1"/>
          <w:numId w:val="11"/>
        </w:numPr>
        <w:tabs>
          <w:tab w:pos="693" w:val="left" w:leader="none"/>
        </w:tabs>
        <w:spacing w:line="240" w:lineRule="auto" w:before="218" w:after="0"/>
        <w:ind w:left="692" w:right="0" w:hanging="566"/>
        <w:jc w:val="left"/>
      </w:pPr>
      <w:bookmarkStart w:name="_TOC_250011" w:id="136"/>
      <w:bookmarkEnd w:id="136"/>
      <w:r>
        <w:rPr>
          <w:w w:val="95"/>
        </w:rPr>
        <w:t>六项基本日常生活活动</w:t>
      </w:r>
    </w:p>
    <w:p>
      <w:pPr>
        <w:pStyle w:val="BodyText"/>
        <w:spacing w:before="5"/>
        <w:ind w:left="0"/>
        <w:rPr>
          <w:rFonts w:ascii="Microsoft JhengHei UI"/>
          <w:b/>
          <w:sz w:val="16"/>
        </w:rPr>
      </w:pPr>
    </w:p>
    <w:p>
      <w:pPr>
        <w:pStyle w:val="BodyText"/>
        <w:spacing w:line="273" w:lineRule="auto" w:before="1"/>
        <w:ind w:right="115"/>
        <w:jc w:val="both"/>
      </w:pPr>
      <w:r>
        <w:rPr>
          <w:spacing w:val="-1"/>
          <w:w w:val="99"/>
        </w:rPr>
        <w:t>六项基本日常生活活动是指</w:t>
      </w:r>
      <w:r>
        <w:rPr>
          <w:spacing w:val="-116"/>
          <w:w w:val="99"/>
        </w:rPr>
        <w:t>：</w:t>
      </w:r>
      <w:r>
        <w:rPr>
          <w:w w:val="99"/>
        </w:rPr>
        <w:t>（</w:t>
      </w:r>
      <w:r>
        <w:rPr>
          <w:w w:val="93"/>
        </w:rPr>
        <w:t>1</w:t>
      </w:r>
      <w:r>
        <w:rPr>
          <w:spacing w:val="-12"/>
          <w:w w:val="99"/>
        </w:rPr>
        <w:t>）</w:t>
      </w:r>
      <w:r>
        <w:rPr>
          <w:spacing w:val="-3"/>
          <w:w w:val="99"/>
        </w:rPr>
        <w:t>穿衣：自己能够穿衣及脱衣</w:t>
      </w:r>
      <w:r>
        <w:rPr>
          <w:spacing w:val="-118"/>
          <w:w w:val="99"/>
        </w:rPr>
        <w:t>；</w:t>
      </w:r>
      <w:r>
        <w:rPr>
          <w:spacing w:val="1"/>
          <w:w w:val="99"/>
        </w:rPr>
        <w:t>（</w:t>
      </w:r>
      <w:r>
        <w:rPr>
          <w:w w:val="93"/>
        </w:rPr>
        <w:t>2</w:t>
      </w:r>
      <w:r>
        <w:rPr>
          <w:spacing w:val="-15"/>
          <w:w w:val="99"/>
        </w:rPr>
        <w:t>）</w:t>
      </w:r>
      <w:r>
        <w:rPr>
          <w:spacing w:val="-3"/>
          <w:w w:val="99"/>
        </w:rPr>
        <w:t>移动：自己从一个房间</w:t>
      </w:r>
      <w:r>
        <w:rPr>
          <w:spacing w:val="-16"/>
          <w:w w:val="99"/>
        </w:rPr>
        <w:t>到另一个房间；</w:t>
      </w:r>
      <w:r>
        <w:rPr>
          <w:w w:val="99"/>
        </w:rPr>
        <w:t>（</w:t>
      </w:r>
      <w:r>
        <w:rPr>
          <w:w w:val="93"/>
        </w:rPr>
        <w:t>3</w:t>
      </w:r>
      <w:r>
        <w:rPr>
          <w:spacing w:val="1"/>
          <w:w w:val="99"/>
        </w:rPr>
        <w:t>）</w:t>
      </w:r>
      <w:r>
        <w:rPr>
          <w:spacing w:val="-8"/>
          <w:w w:val="99"/>
        </w:rPr>
        <w:t>行动：自己上下床或上下轮椅；</w:t>
      </w:r>
      <w:r>
        <w:rPr>
          <w:spacing w:val="1"/>
          <w:w w:val="99"/>
        </w:rPr>
        <w:t>（</w:t>
      </w:r>
      <w:r>
        <w:rPr>
          <w:w w:val="93"/>
        </w:rPr>
        <w:t>4</w:t>
      </w:r>
      <w:r>
        <w:rPr>
          <w:spacing w:val="1"/>
          <w:w w:val="99"/>
        </w:rPr>
        <w:t>）</w:t>
      </w:r>
      <w:r>
        <w:rPr>
          <w:spacing w:val="-9"/>
          <w:w w:val="99"/>
        </w:rPr>
        <w:t>如厕：自己控制进行大小便；</w:t>
      </w:r>
      <w:r>
        <w:rPr>
          <w:spacing w:val="1"/>
          <w:w w:val="99"/>
        </w:rPr>
        <w:t>（</w:t>
      </w:r>
      <w:r>
        <w:rPr>
          <w:w w:val="93"/>
        </w:rPr>
        <w:t>5</w:t>
      </w:r>
      <w:r>
        <w:rPr>
          <w:w w:val="63"/>
        </w:rPr>
        <w:t>）</w:t>
      </w:r>
      <w:r>
        <w:rPr>
          <w:spacing w:val="-6"/>
          <w:w w:val="99"/>
        </w:rPr>
        <w:t>进食：自己从已准备好的碗或碟中取食物放入口中；</w:t>
      </w:r>
      <w:r>
        <w:rPr>
          <w:w w:val="99"/>
        </w:rPr>
        <w:t>（</w:t>
      </w:r>
      <w:r>
        <w:rPr>
          <w:w w:val="93"/>
        </w:rPr>
        <w:t>6</w:t>
      </w:r>
      <w:r>
        <w:rPr>
          <w:spacing w:val="1"/>
          <w:w w:val="99"/>
        </w:rPr>
        <w:t>）</w:t>
      </w:r>
      <w:r>
        <w:rPr>
          <w:w w:val="99"/>
        </w:rPr>
        <w:t>洗澡：自己进行淋浴或盆浴。</w:t>
      </w:r>
    </w:p>
    <w:p>
      <w:pPr>
        <w:pStyle w:val="Heading2"/>
        <w:numPr>
          <w:ilvl w:val="1"/>
          <w:numId w:val="11"/>
        </w:numPr>
        <w:tabs>
          <w:tab w:pos="693" w:val="left" w:leader="none"/>
        </w:tabs>
        <w:spacing w:line="240" w:lineRule="auto" w:before="216" w:after="0"/>
        <w:ind w:left="692" w:right="0" w:hanging="566"/>
        <w:jc w:val="left"/>
      </w:pPr>
      <w:bookmarkStart w:name="_TOC_250010" w:id="137"/>
      <w:bookmarkEnd w:id="137"/>
      <w:r>
        <w:rPr>
          <w:w w:val="95"/>
        </w:rPr>
        <w:t>永久不可逆</w:t>
      </w:r>
    </w:p>
    <w:p>
      <w:pPr>
        <w:pStyle w:val="BodyText"/>
        <w:spacing w:before="8"/>
        <w:ind w:left="0"/>
        <w:rPr>
          <w:rFonts w:ascii="Microsoft JhengHei UI"/>
          <w:b/>
          <w:sz w:val="16"/>
        </w:rPr>
      </w:pPr>
    </w:p>
    <w:p>
      <w:pPr>
        <w:pStyle w:val="BodyText"/>
        <w:spacing w:line="273" w:lineRule="auto"/>
        <w:ind w:right="115"/>
      </w:pPr>
      <w:r>
        <w:rPr>
          <w:spacing w:val="-5"/>
        </w:rPr>
        <w:t>指自疾病确诊或意外伤害发生之日起，经过积极治疗 </w:t>
      </w:r>
      <w:r>
        <w:rPr/>
        <w:t>180</w:t>
      </w:r>
      <w:r>
        <w:rPr>
          <w:spacing w:val="-11"/>
        </w:rPr>
        <w:t> 天后，仍无法通过现有医疗手段恢</w:t>
      </w:r>
      <w:r>
        <w:rPr>
          <w:spacing w:val="-11"/>
          <w:w w:val="95"/>
        </w:rPr>
        <w:t>复。</w:t>
      </w:r>
    </w:p>
    <w:p>
      <w:pPr>
        <w:spacing w:after="0" w:line="273" w:lineRule="auto"/>
        <w:sectPr>
          <w:pgSz w:w="11910" w:h="16840"/>
          <w:pgMar w:header="0" w:footer="1090" w:top="1340" w:bottom="1280" w:left="1680" w:right="1680"/>
        </w:sectPr>
      </w:pPr>
    </w:p>
    <w:p>
      <w:pPr>
        <w:pStyle w:val="Heading2"/>
        <w:numPr>
          <w:ilvl w:val="1"/>
          <w:numId w:val="11"/>
        </w:numPr>
        <w:tabs>
          <w:tab w:pos="693" w:val="left" w:leader="none"/>
        </w:tabs>
        <w:spacing w:line="240" w:lineRule="auto" w:before="5" w:after="0"/>
        <w:ind w:left="692" w:right="0" w:hanging="566"/>
        <w:jc w:val="left"/>
      </w:pPr>
      <w:bookmarkStart w:name="_TOC_250009" w:id="138"/>
      <w:bookmarkStart w:name="专科医生" w:id="139"/>
      <w:r>
        <w:rPr>
          <w:b w:val="0"/>
        </w:rPr>
      </w:r>
      <w:bookmarkStart w:name="本条款约定确诊日" w:id="140"/>
      <w:bookmarkEnd w:id="140"/>
      <w:r>
        <w:rPr>
          <w:b w:val="0"/>
        </w:rPr>
      </w:r>
      <w:bookmarkStart w:name="酒后驾驶" w:id="141"/>
      <w:bookmarkEnd w:id="141"/>
      <w:r>
        <w:rPr>
          <w:b w:val="0"/>
        </w:rPr>
      </w:r>
      <w:bookmarkStart w:name="无合法有效驾驶证驾驶" w:id="142"/>
      <w:bookmarkEnd w:id="142"/>
      <w:r>
        <w:rPr>
          <w:b w:val="0"/>
        </w:rPr>
      </w:r>
      <w:bookmarkStart w:name="无有效行驶证" w:id="143"/>
      <w:bookmarkEnd w:id="143"/>
      <w:r>
        <w:rPr>
          <w:b w:val="0"/>
        </w:rPr>
      </w:r>
      <w:bookmarkStart w:name="机动车" w:id="144"/>
      <w:bookmarkEnd w:id="144"/>
      <w:r>
        <w:rPr>
          <w:b w:val="0"/>
        </w:rPr>
      </w:r>
      <w:bookmarkStart w:name="感染艾滋病病毒或患艾滋病" w:id="145"/>
      <w:bookmarkEnd w:id="145"/>
      <w:r>
        <w:rPr>
          <w:b w:val="0"/>
        </w:rPr>
      </w:r>
      <w:bookmarkStart w:name="遗传性疾病" w:id="146"/>
      <w:bookmarkEnd w:id="146"/>
      <w:r>
        <w:rPr>
          <w:b w:val="0"/>
        </w:rPr>
      </w:r>
      <w:bookmarkStart w:name="遗传性疾病" w:id="147"/>
      <w:bookmarkEnd w:id="138"/>
      <w:r>
        <w:rPr>
          <w:w w:val="95"/>
        </w:rPr>
        <w:t>专科医生</w:t>
      </w:r>
    </w:p>
    <w:p>
      <w:pPr>
        <w:pStyle w:val="BodyText"/>
        <w:spacing w:before="6"/>
        <w:ind w:left="0"/>
        <w:rPr>
          <w:rFonts w:ascii="Microsoft JhengHei UI"/>
          <w:b/>
          <w:sz w:val="16"/>
        </w:rPr>
      </w:pPr>
    </w:p>
    <w:p>
      <w:pPr>
        <w:pStyle w:val="BodyText"/>
      </w:pPr>
      <w:r>
        <w:rPr>
          <w:spacing w:val="-1"/>
          <w:w w:val="99"/>
        </w:rPr>
        <w:t>专科医生应当同时满足以下四项资格条件</w:t>
      </w:r>
      <w:r>
        <w:rPr>
          <w:spacing w:val="-202"/>
          <w:w w:val="99"/>
        </w:rPr>
        <w:t>：</w:t>
      </w:r>
      <w:r>
        <w:rPr>
          <w:w w:val="99"/>
        </w:rPr>
        <w:t>（</w:t>
      </w:r>
      <w:r>
        <w:rPr>
          <w:w w:val="93"/>
        </w:rPr>
        <w:t>1</w:t>
      </w:r>
      <w:r>
        <w:rPr>
          <w:spacing w:val="-96"/>
          <w:w w:val="99"/>
        </w:rPr>
        <w:t>）</w:t>
      </w:r>
      <w:r>
        <w:rPr>
          <w:spacing w:val="-14"/>
          <w:w w:val="99"/>
        </w:rPr>
        <w:t>具有有效的中华人民共和国《医师资格证书》</w:t>
      </w:r>
      <w:r>
        <w:rPr>
          <w:w w:val="49"/>
        </w:rPr>
        <w:t>；</w:t>
      </w:r>
    </w:p>
    <w:p>
      <w:pPr>
        <w:pStyle w:val="BodyText"/>
        <w:spacing w:line="273" w:lineRule="auto" w:before="36"/>
        <w:ind w:right="217"/>
        <w:jc w:val="both"/>
      </w:pPr>
      <w:r>
        <w:rPr>
          <w:w w:val="99"/>
        </w:rPr>
        <w:t>（</w:t>
      </w:r>
      <w:r>
        <w:rPr>
          <w:w w:val="93"/>
        </w:rPr>
        <w:t>2</w:t>
      </w:r>
      <w:r>
        <w:rPr>
          <w:spacing w:val="-20"/>
          <w:w w:val="99"/>
        </w:rPr>
        <w:t>）</w:t>
      </w:r>
      <w:r>
        <w:rPr>
          <w:spacing w:val="-8"/>
          <w:w w:val="99"/>
        </w:rPr>
        <w:t>具有有效的中华人民共和国《医师执业证书》</w:t>
      </w:r>
      <w:r>
        <w:rPr>
          <w:spacing w:val="-123"/>
          <w:w w:val="99"/>
        </w:rPr>
        <w:t>；</w:t>
      </w:r>
      <w:r>
        <w:rPr>
          <w:w w:val="99"/>
        </w:rPr>
        <w:t>（</w:t>
      </w:r>
      <w:r>
        <w:rPr>
          <w:w w:val="93"/>
        </w:rPr>
        <w:t>3</w:t>
      </w:r>
      <w:r>
        <w:rPr>
          <w:spacing w:val="-20"/>
          <w:w w:val="99"/>
        </w:rPr>
        <w:t>）</w:t>
      </w:r>
      <w:r>
        <w:rPr>
          <w:w w:val="99"/>
        </w:rPr>
        <w:t>具有有效的中华人民共和国主治医</w:t>
      </w:r>
      <w:r>
        <w:rPr>
          <w:spacing w:val="-11"/>
          <w:w w:val="99"/>
        </w:rPr>
        <w:t>师或主治医师以上职称的《医师职称证书》；</w:t>
      </w:r>
      <w:r>
        <w:rPr>
          <w:spacing w:val="1"/>
          <w:w w:val="99"/>
        </w:rPr>
        <w:t>（</w:t>
      </w:r>
      <w:r>
        <w:rPr>
          <w:w w:val="93"/>
        </w:rPr>
        <w:t>4</w:t>
      </w:r>
      <w:r>
        <w:rPr>
          <w:spacing w:val="1"/>
          <w:w w:val="99"/>
        </w:rPr>
        <w:t>）</w:t>
      </w:r>
      <w:r>
        <w:rPr>
          <w:w w:val="99"/>
        </w:rPr>
        <w:t>在二级或二级以上医院的相应科室从事临</w:t>
      </w:r>
      <w:r>
        <w:rPr>
          <w:w w:val="95"/>
        </w:rPr>
        <w:t>床工作三年以上</w:t>
      </w:r>
    </w:p>
    <w:p>
      <w:pPr>
        <w:pStyle w:val="Heading2"/>
        <w:numPr>
          <w:ilvl w:val="1"/>
          <w:numId w:val="11"/>
        </w:numPr>
        <w:tabs>
          <w:tab w:pos="693" w:val="left" w:leader="none"/>
        </w:tabs>
        <w:spacing w:line="240" w:lineRule="auto" w:before="216" w:after="0"/>
        <w:ind w:left="692" w:right="0" w:hanging="566"/>
        <w:jc w:val="left"/>
      </w:pPr>
      <w:bookmarkStart w:name="_TOC_250008" w:id="148"/>
      <w:bookmarkEnd w:id="148"/>
      <w:r>
        <w:rPr>
          <w:w w:val="95"/>
        </w:rPr>
        <w:t>本条款约定确诊日</w:t>
      </w:r>
    </w:p>
    <w:p>
      <w:pPr>
        <w:pStyle w:val="BodyText"/>
        <w:spacing w:before="8"/>
        <w:ind w:left="0"/>
        <w:rPr>
          <w:rFonts w:ascii="Microsoft JhengHei UI"/>
          <w:b/>
          <w:sz w:val="16"/>
        </w:rPr>
      </w:pPr>
    </w:p>
    <w:p>
      <w:pPr>
        <w:pStyle w:val="BodyText"/>
        <w:spacing w:line="273" w:lineRule="auto"/>
        <w:ind w:right="224"/>
      </w:pPr>
      <w:r>
        <w:rPr/>
        <w:t>指满足本附加险合同“30 种重大疾病”定义所有条件之日。恶性肿瘤的本条款约定确诊日</w:t>
      </w:r>
      <w:r>
        <w:rPr>
          <w:w w:val="95"/>
        </w:rPr>
        <w:t>以明确诊断该类疾病的病检标本提取日为准。</w:t>
      </w:r>
    </w:p>
    <w:p>
      <w:pPr>
        <w:pStyle w:val="Heading2"/>
        <w:numPr>
          <w:ilvl w:val="1"/>
          <w:numId w:val="11"/>
        </w:numPr>
        <w:tabs>
          <w:tab w:pos="693" w:val="left" w:leader="none"/>
        </w:tabs>
        <w:spacing w:line="240" w:lineRule="auto" w:before="216" w:after="0"/>
        <w:ind w:left="692" w:right="0" w:hanging="566"/>
        <w:jc w:val="left"/>
      </w:pPr>
      <w:bookmarkStart w:name="_TOC_250007" w:id="149"/>
      <w:bookmarkEnd w:id="149"/>
      <w:r>
        <w:rPr>
          <w:w w:val="95"/>
        </w:rPr>
        <w:t>酒后驾驶</w:t>
      </w:r>
    </w:p>
    <w:p>
      <w:pPr>
        <w:pStyle w:val="BodyText"/>
        <w:spacing w:before="9"/>
        <w:ind w:left="0"/>
        <w:rPr>
          <w:rFonts w:ascii="Microsoft JhengHei UI"/>
          <w:b/>
          <w:sz w:val="16"/>
        </w:rPr>
      </w:pPr>
    </w:p>
    <w:p>
      <w:pPr>
        <w:pStyle w:val="BodyText"/>
        <w:spacing w:line="273" w:lineRule="auto"/>
        <w:ind w:right="114"/>
      </w:pPr>
      <w:r>
        <w:rPr>
          <w:spacing w:val="-10"/>
        </w:rPr>
        <w:t>指经检测或鉴定，发生事故时车辆驾驶人员每百毫升血液中的酒精含量达到或超过一定的标</w:t>
      </w:r>
      <w:r>
        <w:rPr>
          <w:spacing w:val="-16"/>
          <w:w w:val="95"/>
        </w:rPr>
        <w:t>准，公安机关交通管理部门依据《道路交通安全法》的规定认定为饮酒后驾驶或醉酒后驾驶。</w:t>
      </w:r>
    </w:p>
    <w:p>
      <w:pPr>
        <w:pStyle w:val="Heading2"/>
        <w:numPr>
          <w:ilvl w:val="1"/>
          <w:numId w:val="11"/>
        </w:numPr>
        <w:tabs>
          <w:tab w:pos="693" w:val="left" w:leader="none"/>
        </w:tabs>
        <w:spacing w:line="240" w:lineRule="auto" w:before="216" w:after="0"/>
        <w:ind w:left="692" w:right="0" w:hanging="566"/>
        <w:jc w:val="left"/>
      </w:pPr>
      <w:bookmarkStart w:name="_TOC_250006" w:id="150"/>
      <w:bookmarkEnd w:id="150"/>
      <w:r>
        <w:rPr>
          <w:w w:val="95"/>
        </w:rPr>
        <w:t>无合法有效驾驶证驾驶</w:t>
      </w:r>
    </w:p>
    <w:p>
      <w:pPr>
        <w:pStyle w:val="BodyText"/>
        <w:spacing w:before="5"/>
        <w:ind w:left="0"/>
        <w:rPr>
          <w:rFonts w:ascii="Microsoft JhengHei UI"/>
          <w:b/>
          <w:sz w:val="16"/>
        </w:rPr>
      </w:pPr>
    </w:p>
    <w:p>
      <w:pPr>
        <w:pStyle w:val="BodyText"/>
        <w:spacing w:before="1"/>
      </w:pPr>
      <w:r>
        <w:rPr>
          <w:w w:val="95"/>
        </w:rPr>
        <w:t>指下列情形之一：</w:t>
      </w:r>
    </w:p>
    <w:p>
      <w:pPr>
        <w:pStyle w:val="BodyText"/>
        <w:spacing w:before="37"/>
      </w:pPr>
      <w:r>
        <w:rPr>
          <w:w w:val="95"/>
        </w:rPr>
        <w:t>（1）没有取得驾驶资格；</w:t>
      </w:r>
    </w:p>
    <w:p>
      <w:pPr>
        <w:pStyle w:val="BodyText"/>
        <w:spacing w:before="37"/>
      </w:pPr>
      <w:r>
        <w:rPr>
          <w:w w:val="95"/>
        </w:rPr>
        <w:t>（2）驾驶与驾驶证准驾车型不相符合的车辆；</w:t>
      </w:r>
    </w:p>
    <w:p>
      <w:pPr>
        <w:pStyle w:val="BodyText"/>
        <w:spacing w:before="37"/>
      </w:pPr>
      <w:r>
        <w:rPr>
          <w:w w:val="95"/>
        </w:rPr>
        <w:t>（3）持审验不合格的驾驶证驾驶；</w:t>
      </w:r>
    </w:p>
    <w:p>
      <w:pPr>
        <w:pStyle w:val="BodyText"/>
        <w:spacing w:before="37"/>
      </w:pPr>
      <w:r>
        <w:rPr>
          <w:w w:val="95"/>
        </w:rPr>
        <w:t>（4）持学习驾驶证学习驾车时，无教练员随车指导，或不按指定时间、路线学习驾车。</w:t>
      </w:r>
    </w:p>
    <w:p>
      <w:pPr>
        <w:pStyle w:val="BodyText"/>
        <w:spacing w:before="10"/>
        <w:ind w:left="0"/>
        <w:rPr>
          <w:sz w:val="18"/>
        </w:rPr>
      </w:pPr>
    </w:p>
    <w:p>
      <w:pPr>
        <w:pStyle w:val="Heading2"/>
        <w:numPr>
          <w:ilvl w:val="1"/>
          <w:numId w:val="11"/>
        </w:numPr>
        <w:tabs>
          <w:tab w:pos="693" w:val="left" w:leader="none"/>
        </w:tabs>
        <w:spacing w:line="240" w:lineRule="auto" w:before="0" w:after="0"/>
        <w:ind w:left="692" w:right="0" w:hanging="566"/>
        <w:jc w:val="left"/>
      </w:pPr>
      <w:bookmarkStart w:name="_TOC_250005" w:id="151"/>
      <w:bookmarkEnd w:id="151"/>
      <w:r>
        <w:rPr>
          <w:w w:val="95"/>
        </w:rPr>
        <w:t>无有效行驶证</w:t>
      </w:r>
    </w:p>
    <w:p>
      <w:pPr>
        <w:pStyle w:val="BodyText"/>
        <w:spacing w:before="8"/>
        <w:ind w:left="0"/>
        <w:rPr>
          <w:rFonts w:ascii="Microsoft JhengHei UI"/>
          <w:b/>
          <w:sz w:val="16"/>
        </w:rPr>
      </w:pPr>
    </w:p>
    <w:p>
      <w:pPr>
        <w:pStyle w:val="BodyText"/>
      </w:pPr>
      <w:r>
        <w:rPr>
          <w:w w:val="95"/>
        </w:rPr>
        <w:t>指下列情形之一：</w:t>
      </w:r>
    </w:p>
    <w:p>
      <w:pPr>
        <w:pStyle w:val="BodyText"/>
        <w:spacing w:before="36"/>
      </w:pPr>
      <w:r>
        <w:rPr>
          <w:w w:val="95"/>
        </w:rPr>
        <w:t>（1）机动车被依法注销登记的；</w:t>
      </w:r>
    </w:p>
    <w:p>
      <w:pPr>
        <w:pStyle w:val="BodyText"/>
        <w:spacing w:before="36"/>
      </w:pPr>
      <w:r>
        <w:rPr>
          <w:w w:val="95"/>
        </w:rPr>
        <w:t>（2）未依法按时进行或通过机动车安全技术检验。</w:t>
      </w:r>
    </w:p>
    <w:p>
      <w:pPr>
        <w:pStyle w:val="BodyText"/>
        <w:spacing w:before="10"/>
        <w:ind w:left="0"/>
        <w:rPr>
          <w:sz w:val="18"/>
        </w:rPr>
      </w:pPr>
    </w:p>
    <w:p>
      <w:pPr>
        <w:pStyle w:val="Heading2"/>
        <w:numPr>
          <w:ilvl w:val="1"/>
          <w:numId w:val="11"/>
        </w:numPr>
        <w:tabs>
          <w:tab w:pos="693" w:val="left" w:leader="none"/>
        </w:tabs>
        <w:spacing w:line="240" w:lineRule="auto" w:before="0" w:after="0"/>
        <w:ind w:left="692" w:right="0" w:hanging="566"/>
        <w:jc w:val="left"/>
      </w:pPr>
      <w:bookmarkStart w:name="_TOC_250004" w:id="152"/>
      <w:bookmarkEnd w:id="152"/>
      <w:r>
        <w:rPr>
          <w:w w:val="95"/>
        </w:rPr>
        <w:t>机动车</w:t>
      </w:r>
    </w:p>
    <w:p>
      <w:pPr>
        <w:pStyle w:val="BodyText"/>
        <w:spacing w:before="8"/>
        <w:ind w:left="0"/>
        <w:rPr>
          <w:rFonts w:ascii="Microsoft JhengHei UI"/>
          <w:b/>
          <w:sz w:val="16"/>
        </w:rPr>
      </w:pPr>
    </w:p>
    <w:p>
      <w:pPr>
        <w:pStyle w:val="BodyText"/>
        <w:spacing w:line="273" w:lineRule="auto" w:before="1"/>
        <w:ind w:right="219"/>
      </w:pPr>
      <w:r>
        <w:rPr>
          <w:spacing w:val="-8"/>
          <w:w w:val="95"/>
        </w:rPr>
        <w:t>指以动力装置驱动或者牵引，上道路行驶的供人员乘用或者用于运送物品以及进行工程专项   作业的轮式车辆。</w:t>
      </w:r>
    </w:p>
    <w:p>
      <w:pPr>
        <w:pStyle w:val="Heading2"/>
        <w:numPr>
          <w:ilvl w:val="1"/>
          <w:numId w:val="11"/>
        </w:numPr>
        <w:tabs>
          <w:tab w:pos="693" w:val="left" w:leader="none"/>
        </w:tabs>
        <w:spacing w:line="240" w:lineRule="auto" w:before="217" w:after="0"/>
        <w:ind w:left="692" w:right="0" w:hanging="566"/>
        <w:jc w:val="left"/>
      </w:pPr>
      <w:bookmarkStart w:name="_TOC_250003" w:id="153"/>
      <w:bookmarkEnd w:id="153"/>
      <w:r>
        <w:rPr>
          <w:w w:val="95"/>
        </w:rPr>
        <w:t>感染艾滋病病毒或患艾滋病</w:t>
      </w:r>
    </w:p>
    <w:p>
      <w:pPr>
        <w:pStyle w:val="BodyText"/>
        <w:spacing w:before="6"/>
        <w:ind w:left="0"/>
        <w:rPr>
          <w:rFonts w:ascii="Microsoft JhengHei UI"/>
          <w:b/>
          <w:sz w:val="16"/>
        </w:rPr>
      </w:pPr>
    </w:p>
    <w:p>
      <w:pPr>
        <w:pStyle w:val="BodyText"/>
        <w:spacing w:line="273" w:lineRule="auto"/>
        <w:ind w:right="219"/>
      </w:pPr>
      <w:r>
        <w:rPr>
          <w:spacing w:val="-3"/>
          <w:w w:val="99"/>
        </w:rPr>
        <w:t>艾滋病病毒指人类免疫缺陷病毒，英文缩写为</w:t>
      </w:r>
      <w:r>
        <w:rPr>
          <w:spacing w:val="-1"/>
          <w:w w:val="151"/>
        </w:rPr>
        <w:t>H</w:t>
      </w:r>
      <w:r>
        <w:rPr>
          <w:w w:val="70"/>
        </w:rPr>
        <w:t>I</w:t>
      </w:r>
      <w:r>
        <w:rPr>
          <w:spacing w:val="1"/>
          <w:w w:val="134"/>
        </w:rPr>
        <w:t>V</w:t>
      </w:r>
      <w:r>
        <w:rPr>
          <w:spacing w:val="-4"/>
          <w:w w:val="99"/>
        </w:rPr>
        <w:t>。艾滋病指人类免疫缺陷病毒引起的获得</w:t>
      </w:r>
      <w:r>
        <w:rPr>
          <w:spacing w:val="-1"/>
          <w:w w:val="99"/>
        </w:rPr>
        <w:t>性免疫缺陷综合症，英文缩写为</w:t>
      </w:r>
      <w:r>
        <w:rPr>
          <w:w w:val="134"/>
        </w:rPr>
        <w:t>A</w:t>
      </w:r>
      <w:r>
        <w:rPr>
          <w:w w:val="70"/>
        </w:rPr>
        <w:t>I</w:t>
      </w:r>
      <w:r>
        <w:rPr>
          <w:spacing w:val="-1"/>
          <w:w w:val="153"/>
        </w:rPr>
        <w:t>D</w:t>
      </w:r>
      <w:r>
        <w:rPr>
          <w:spacing w:val="2"/>
          <w:w w:val="95"/>
        </w:rPr>
        <w:t>S</w:t>
      </w:r>
      <w:r>
        <w:rPr>
          <w:w w:val="99"/>
        </w:rPr>
        <w:t>。</w:t>
      </w:r>
    </w:p>
    <w:p>
      <w:pPr>
        <w:pStyle w:val="BodyText"/>
        <w:spacing w:line="273" w:lineRule="auto" w:before="7"/>
        <w:ind w:right="217"/>
      </w:pPr>
      <w:r>
        <w:rPr>
          <w:w w:val="95"/>
        </w:rPr>
        <w:t>在人体血液或其他样本中检测到艾滋病病毒或其抗体呈阳性，没有出现临床症状或体征的</w:t>
      </w:r>
      <w:r>
        <w:rPr>
          <w:w w:val="85"/>
        </w:rPr>
        <w:t>，  </w:t>
      </w:r>
      <w:r>
        <w:rPr>
          <w:w w:val="95"/>
        </w:rPr>
        <w:t>为感染艾滋病病毒；如果同时出现了明显临床症状或体征的，为患艾滋病。</w:t>
      </w:r>
    </w:p>
    <w:p>
      <w:pPr>
        <w:pStyle w:val="Heading2"/>
        <w:numPr>
          <w:ilvl w:val="1"/>
          <w:numId w:val="11"/>
        </w:numPr>
        <w:tabs>
          <w:tab w:pos="693" w:val="left" w:leader="none"/>
        </w:tabs>
        <w:spacing w:line="240" w:lineRule="auto" w:before="219" w:after="0"/>
        <w:ind w:left="692" w:right="0" w:hanging="566"/>
        <w:jc w:val="left"/>
      </w:pPr>
      <w:bookmarkStart w:name="_TOC_250002" w:id="154"/>
      <w:bookmarkEnd w:id="154"/>
      <w:r>
        <w:rPr>
          <w:w w:val="95"/>
        </w:rPr>
        <w:t>遗传性疾病</w:t>
      </w:r>
    </w:p>
    <w:p>
      <w:pPr>
        <w:pStyle w:val="BodyText"/>
        <w:spacing w:before="6"/>
        <w:ind w:left="0"/>
        <w:rPr>
          <w:rFonts w:ascii="Microsoft JhengHei UI"/>
          <w:b/>
          <w:sz w:val="16"/>
        </w:rPr>
      </w:pPr>
    </w:p>
    <w:p>
      <w:pPr>
        <w:pStyle w:val="BodyText"/>
        <w:spacing w:line="273" w:lineRule="auto"/>
        <w:ind w:right="217"/>
      </w:pPr>
      <w:r>
        <w:rPr>
          <w:spacing w:val="-3"/>
          <w:w w:val="95"/>
        </w:rPr>
        <w:t>指生殖细胞或受精卵的遗传物质</w:t>
      </w:r>
      <w:r>
        <w:rPr>
          <w:w w:val="95"/>
        </w:rPr>
        <w:t>（染色体和基因</w:t>
      </w:r>
      <w:r>
        <w:rPr>
          <w:spacing w:val="-29"/>
          <w:w w:val="95"/>
        </w:rPr>
        <w:t>）</w:t>
      </w:r>
      <w:r>
        <w:rPr>
          <w:spacing w:val="-3"/>
          <w:w w:val="95"/>
        </w:rPr>
        <w:t>发生突变或畸变所引起的疾病，通常具有   由亲代传至后代的垂直传递的特征。</w:t>
      </w:r>
    </w:p>
    <w:p>
      <w:pPr>
        <w:spacing w:after="0" w:line="273" w:lineRule="auto"/>
        <w:sectPr>
          <w:pgSz w:w="11910" w:h="16840"/>
          <w:pgMar w:header="0" w:footer="1090" w:top="1340" w:bottom="1280" w:left="1680" w:right="1580"/>
        </w:sectPr>
      </w:pPr>
    </w:p>
    <w:p>
      <w:pPr>
        <w:pStyle w:val="Heading2"/>
        <w:numPr>
          <w:ilvl w:val="1"/>
          <w:numId w:val="11"/>
        </w:numPr>
        <w:tabs>
          <w:tab w:pos="693" w:val="left" w:leader="none"/>
        </w:tabs>
        <w:spacing w:line="240" w:lineRule="auto" w:before="5" w:after="0"/>
        <w:ind w:left="692" w:right="0" w:hanging="566"/>
        <w:jc w:val="left"/>
      </w:pPr>
      <w:bookmarkStart w:name="_TOC_250001" w:id="155"/>
      <w:bookmarkStart w:name="先天性畸形、变形或染色体异常" w:id="156"/>
      <w:r>
        <w:rPr>
          <w:b w:val="0"/>
        </w:rPr>
      </w:r>
      <w:bookmarkStart w:name="银行转账交费" w:id="157"/>
      <w:bookmarkEnd w:id="157"/>
      <w:r>
        <w:rPr>
          <w:b w:val="0"/>
        </w:rPr>
      </w:r>
      <w:bookmarkStart w:name="银行转账交费" w:id="158"/>
      <w:bookmarkEnd w:id="155"/>
      <w:r>
        <w:rPr>
          <w:w w:val="95"/>
        </w:rPr>
        <w:t>先天性畸形、变形或染色体异常</w:t>
      </w:r>
    </w:p>
    <w:p>
      <w:pPr>
        <w:pStyle w:val="BodyText"/>
        <w:spacing w:before="6"/>
        <w:ind w:left="0"/>
        <w:rPr>
          <w:rFonts w:ascii="Microsoft JhengHei UI"/>
          <w:b/>
          <w:sz w:val="16"/>
        </w:rPr>
      </w:pPr>
    </w:p>
    <w:p>
      <w:pPr>
        <w:pStyle w:val="BodyText"/>
        <w:spacing w:line="273" w:lineRule="auto"/>
        <w:ind w:right="119"/>
      </w:pPr>
      <w:r>
        <w:rPr>
          <w:spacing w:val="-6"/>
          <w:w w:val="95"/>
        </w:rPr>
        <w:t>指被保险人出生时就具有的畸形、变形或染色体异常。先天性畸形、变形和染色体异常依照</w:t>
      </w:r>
      <w:r>
        <w:rPr>
          <w:w w:val="99"/>
        </w:rPr>
        <w:t>世界卫生组织《疾病和有关健康问题的国际统计分类》</w:t>
      </w:r>
      <w:r>
        <w:rPr>
          <w:spacing w:val="1"/>
          <w:w w:val="99"/>
        </w:rPr>
        <w:t>（</w:t>
      </w:r>
      <w:r>
        <w:rPr>
          <w:w w:val="70"/>
        </w:rPr>
        <w:t>I</w:t>
      </w:r>
      <w:r>
        <w:rPr>
          <w:spacing w:val="-1"/>
          <w:w w:val="126"/>
        </w:rPr>
        <w:t>C</w:t>
      </w:r>
      <w:r>
        <w:rPr>
          <w:spacing w:val="-1"/>
          <w:w w:val="153"/>
        </w:rPr>
        <w:t>D</w:t>
      </w:r>
      <w:r>
        <w:rPr>
          <w:spacing w:val="-1"/>
          <w:w w:val="62"/>
        </w:rPr>
        <w:t>-</w:t>
      </w:r>
      <w:r>
        <w:rPr>
          <w:w w:val="93"/>
        </w:rPr>
        <w:t>1</w:t>
      </w:r>
      <w:r>
        <w:rPr>
          <w:spacing w:val="1"/>
          <w:w w:val="93"/>
        </w:rPr>
        <w:t>0</w:t>
      </w:r>
      <w:r>
        <w:rPr>
          <w:spacing w:val="1"/>
          <w:w w:val="99"/>
        </w:rPr>
        <w:t>）</w:t>
      </w:r>
      <w:r>
        <w:rPr>
          <w:w w:val="99"/>
        </w:rPr>
        <w:t>确定</w:t>
      </w:r>
    </w:p>
    <w:p>
      <w:pPr>
        <w:pStyle w:val="Heading2"/>
        <w:numPr>
          <w:ilvl w:val="1"/>
          <w:numId w:val="11"/>
        </w:numPr>
        <w:tabs>
          <w:tab w:pos="693" w:val="left" w:leader="none"/>
        </w:tabs>
        <w:spacing w:line="240" w:lineRule="auto" w:before="218" w:after="0"/>
        <w:ind w:left="692" w:right="0" w:hanging="566"/>
        <w:jc w:val="left"/>
      </w:pPr>
      <w:bookmarkStart w:name="_TOC_250000" w:id="159"/>
      <w:bookmarkEnd w:id="159"/>
      <w:r>
        <w:rPr>
          <w:w w:val="95"/>
        </w:rPr>
        <w:t>银行转账交费</w:t>
      </w:r>
    </w:p>
    <w:p>
      <w:pPr>
        <w:pStyle w:val="BodyText"/>
        <w:spacing w:before="6"/>
        <w:ind w:left="0"/>
        <w:rPr>
          <w:rFonts w:ascii="Microsoft JhengHei UI"/>
          <w:b/>
          <w:sz w:val="16"/>
        </w:rPr>
      </w:pPr>
    </w:p>
    <w:p>
      <w:pPr>
        <w:pStyle w:val="BodyText"/>
        <w:spacing w:line="273" w:lineRule="auto"/>
        <w:ind w:right="117"/>
      </w:pPr>
      <w:r>
        <w:rPr>
          <w:w w:val="95"/>
        </w:rPr>
        <w:t>指投保人将保险费存入本公司指定银行的活期账户内，本公司通过银行转账将保险费划转</w:t>
      </w:r>
      <w:r>
        <w:rPr>
          <w:w w:val="85"/>
        </w:rPr>
        <w:t>，  </w:t>
      </w:r>
      <w:r>
        <w:rPr>
          <w:w w:val="95"/>
        </w:rPr>
        <w:t>继而完成投保人续交保险费的交纳。</w:t>
      </w:r>
    </w:p>
    <w:sectPr>
      <w:pgSz w:w="11910" w:h="16840"/>
      <w:pgMar w:header="0" w:footer="1090" w:top="1340" w:bottom="1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Malgun Gothic">
    <w:altName w:val="Malgun Gothic"/>
    <w:charset w:val="0"/>
    <w:family w:val="swiss"/>
    <w:pitch w:val="variable"/>
  </w:font>
  <w:font w:name="Trebuchet MS">
    <w:altName w:val="Trebuchet MS"/>
    <w:charset w:val="0"/>
    <w:family w:val="swiss"/>
    <w:pitch w:val="variable"/>
  </w:font>
  <w:font w:name="Microsoft Sans Serif">
    <w:altName w:val="Microsoft Sans Serif"/>
    <w:charset w:val="0"/>
    <w:family w:val="swiss"/>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70.440002pt;margin-top:776.386169pt;width:8.9pt;height:15.6pt;mso-position-horizontal-relative:page;mso-position-vertical-relative:page;z-index:-21376" type="#_x0000_t202" filled="false" stroked="false">
          <v:textbox inset="0,0,0,0">
            <w:txbxContent>
              <w:p>
                <w:pPr>
                  <w:pStyle w:val="BodyText"/>
                  <w:spacing w:line="255" w:lineRule="exact"/>
                  <w:ind w:left="40"/>
                </w:pPr>
                <w:r>
                  <w:rPr/>
                  <w:fldChar w:fldCharType="begin"/>
                </w:r>
                <w:r>
                  <w:rPr>
                    <w:w w:val="93"/>
                  </w:rPr>
                  <w:instrText> PAGE </w:instrText>
                </w:r>
                <w:r>
                  <w:rPr/>
                  <w:fldChar w:fldCharType="separate"/>
                </w:r>
                <w:r>
                  <w:rPr/>
                  <w:t>2</w:t>
                </w:r>
                <w:r>
                  <w:rPr/>
                  <w:fldChar w:fldCharType="end"/>
                </w:r>
              </w:p>
            </w:txbxContent>
          </v:textbox>
          <w10:wrap type="none"/>
        </v:shape>
      </w:pict>
    </w:r>
    <w:r>
      <w:rPr/>
      <w:pict>
        <v:shape style="position:absolute;margin-left:89pt;margin-top:777.926025pt;width:227pt;height:13.75pt;mso-position-horizontal-relative:page;mso-position-vertical-relative:page;z-index:-21352" type="#_x0000_t202" filled="false" stroked="false">
          <v:textbox inset="0,0,0,0">
            <w:txbxContent>
              <w:p>
                <w:pPr>
                  <w:spacing w:line="223" w:lineRule="exact" w:before="0"/>
                  <w:ind w:left="20" w:right="0" w:firstLine="0"/>
                  <w:jc w:val="left"/>
                  <w:rPr>
                    <w:sz w:val="18"/>
                  </w:rPr>
                </w:pPr>
                <w:r>
                  <w:rPr>
                    <w:sz w:val="18"/>
                  </w:rPr>
                  <w:t>中新大东方附加顺鸿终身提前给付重大疾病保险合同条款</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70.440002pt;margin-top:776.386169pt;width:8.9pt;height:15.6pt;mso-position-horizontal-relative:page;mso-position-vertical-relative:page;z-index:-21328" type="#_x0000_t202" filled="false" stroked="false">
          <v:textbox inset="0,0,0,0">
            <w:txbxContent>
              <w:p>
                <w:pPr>
                  <w:pStyle w:val="BodyText"/>
                  <w:spacing w:line="255" w:lineRule="exact"/>
                  <w:ind w:left="40"/>
                </w:pPr>
                <w:r>
                  <w:rPr/>
                  <w:fldChar w:fldCharType="begin"/>
                </w:r>
                <w:r>
                  <w:rPr>
                    <w:w w:val="93"/>
                  </w:rPr>
                  <w:instrText> PAGE </w:instrText>
                </w:r>
                <w:r>
                  <w:rPr/>
                  <w:fldChar w:fldCharType="separate"/>
                </w:r>
                <w:r>
                  <w:rPr/>
                  <w:t>9</w:t>
                </w:r>
                <w:r>
                  <w:rPr/>
                  <w:fldChar w:fldCharType="end"/>
                </w:r>
              </w:p>
            </w:txbxContent>
          </v:textbox>
          <w10:wrap type="none"/>
        </v:shape>
      </w:pict>
    </w:r>
    <w:r>
      <w:rPr/>
      <w:pict>
        <v:shape style="position:absolute;margin-left:89pt;margin-top:777.926025pt;width:227pt;height:13.75pt;mso-position-horizontal-relative:page;mso-position-vertical-relative:page;z-index:-21304" type="#_x0000_t202" filled="false" stroked="false">
          <v:textbox inset="0,0,0,0">
            <w:txbxContent>
              <w:p>
                <w:pPr>
                  <w:spacing w:line="223" w:lineRule="exact" w:before="0"/>
                  <w:ind w:left="20" w:right="0" w:firstLine="0"/>
                  <w:jc w:val="left"/>
                  <w:rPr>
                    <w:sz w:val="18"/>
                  </w:rPr>
                </w:pPr>
                <w:r>
                  <w:rPr>
                    <w:sz w:val="18"/>
                  </w:rPr>
                  <w:t>中新大东方附加顺鸿终身提前给付重大疾病保险合同条款</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70.440002pt;margin-top:776.386169pt;width:13.85pt;height:15.6pt;mso-position-horizontal-relative:page;mso-position-vertical-relative:page;z-index:-21280" type="#_x0000_t202" filled="false" stroked="false">
          <v:textbox inset="0,0,0,0">
            <w:txbxContent>
              <w:p>
                <w:pPr>
                  <w:pStyle w:val="BodyText"/>
                  <w:spacing w:line="255" w:lineRule="exact"/>
                  <w:ind w:left="40"/>
                </w:pPr>
                <w:r>
                  <w:rPr/>
                  <w:fldChar w:fldCharType="begin"/>
                </w:r>
                <w:r>
                  <w:rPr/>
                  <w:instrText> PAGE </w:instrText>
                </w:r>
                <w:r>
                  <w:rPr/>
                  <w:fldChar w:fldCharType="separate"/>
                </w:r>
                <w:r>
                  <w:rPr/>
                  <w:t>10</w:t>
                </w:r>
                <w:r>
                  <w:rPr/>
                  <w:fldChar w:fldCharType="end"/>
                </w:r>
              </w:p>
            </w:txbxContent>
          </v:textbox>
          <w10:wrap type="none"/>
        </v:shape>
      </w:pict>
    </w:r>
    <w:r>
      <w:rPr/>
      <w:pict>
        <v:shape style="position:absolute;margin-left:89pt;margin-top:777.926025pt;width:227pt;height:13.75pt;mso-position-horizontal-relative:page;mso-position-vertical-relative:page;z-index:-21256" type="#_x0000_t202" filled="false" stroked="false">
          <v:textbox inset="0,0,0,0">
            <w:txbxContent>
              <w:p>
                <w:pPr>
                  <w:spacing w:line="223" w:lineRule="exact" w:before="0"/>
                  <w:ind w:left="20" w:right="0" w:firstLine="0"/>
                  <w:jc w:val="left"/>
                  <w:rPr>
                    <w:sz w:val="18"/>
                  </w:rPr>
                </w:pPr>
                <w:r>
                  <w:rPr>
                    <w:sz w:val="18"/>
                  </w:rPr>
                  <w:t>中新大东方附加顺鸿终身提前给付重大疾病保险合同条款</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1"/>
      <w:numFmt w:val="decimal"/>
      <w:lvlText w:val="%1"/>
      <w:lvlJc w:val="left"/>
      <w:pPr>
        <w:ind w:left="692" w:hanging="567"/>
        <w:jc w:val="left"/>
      </w:pPr>
      <w:rPr>
        <w:rFonts w:hint="default"/>
      </w:rPr>
    </w:lvl>
    <w:lvl w:ilvl="1">
      <w:start w:val="4"/>
      <w:numFmt w:val="decimal"/>
      <w:lvlText w:val="%1.%2."/>
      <w:lvlJc w:val="left"/>
      <w:pPr>
        <w:ind w:left="692" w:hanging="567"/>
        <w:jc w:val="left"/>
      </w:pPr>
      <w:rPr>
        <w:rFonts w:hint="default" w:ascii="Microsoft JhengHei UI" w:hAnsi="Microsoft JhengHei UI" w:eastAsia="Microsoft JhengHei UI" w:cs="Microsoft JhengHei UI"/>
        <w:b/>
        <w:bCs/>
        <w:spacing w:val="0"/>
        <w:w w:val="78"/>
        <w:sz w:val="21"/>
        <w:szCs w:val="21"/>
      </w:rPr>
    </w:lvl>
    <w:lvl w:ilvl="2">
      <w:start w:val="0"/>
      <w:numFmt w:val="bullet"/>
      <w:lvlText w:val="•"/>
      <w:lvlJc w:val="left"/>
      <w:pPr>
        <w:ind w:left="2269" w:hanging="567"/>
      </w:pPr>
      <w:rPr>
        <w:rFonts w:hint="default"/>
      </w:rPr>
    </w:lvl>
    <w:lvl w:ilvl="3">
      <w:start w:val="0"/>
      <w:numFmt w:val="bullet"/>
      <w:lvlText w:val="•"/>
      <w:lvlJc w:val="left"/>
      <w:pPr>
        <w:ind w:left="3053" w:hanging="567"/>
      </w:pPr>
      <w:rPr>
        <w:rFonts w:hint="default"/>
      </w:rPr>
    </w:lvl>
    <w:lvl w:ilvl="4">
      <w:start w:val="0"/>
      <w:numFmt w:val="bullet"/>
      <w:lvlText w:val="•"/>
      <w:lvlJc w:val="left"/>
      <w:pPr>
        <w:ind w:left="3838" w:hanging="567"/>
      </w:pPr>
      <w:rPr>
        <w:rFonts w:hint="default"/>
      </w:rPr>
    </w:lvl>
    <w:lvl w:ilvl="5">
      <w:start w:val="0"/>
      <w:numFmt w:val="bullet"/>
      <w:lvlText w:val="•"/>
      <w:lvlJc w:val="left"/>
      <w:pPr>
        <w:ind w:left="4623" w:hanging="567"/>
      </w:pPr>
      <w:rPr>
        <w:rFonts w:hint="default"/>
      </w:rPr>
    </w:lvl>
    <w:lvl w:ilvl="6">
      <w:start w:val="0"/>
      <w:numFmt w:val="bullet"/>
      <w:lvlText w:val="•"/>
      <w:lvlJc w:val="left"/>
      <w:pPr>
        <w:ind w:left="5407" w:hanging="567"/>
      </w:pPr>
      <w:rPr>
        <w:rFonts w:hint="default"/>
      </w:rPr>
    </w:lvl>
    <w:lvl w:ilvl="7">
      <w:start w:val="0"/>
      <w:numFmt w:val="bullet"/>
      <w:lvlText w:val="•"/>
      <w:lvlJc w:val="left"/>
      <w:pPr>
        <w:ind w:left="6192" w:hanging="567"/>
      </w:pPr>
      <w:rPr>
        <w:rFonts w:hint="default"/>
      </w:rPr>
    </w:lvl>
    <w:lvl w:ilvl="8">
      <w:start w:val="0"/>
      <w:numFmt w:val="bullet"/>
      <w:lvlText w:val="•"/>
      <w:lvlJc w:val="left"/>
      <w:pPr>
        <w:ind w:left="6976" w:hanging="567"/>
      </w:pPr>
      <w:rPr>
        <w:rFonts w:hint="default"/>
      </w:rPr>
    </w:lvl>
  </w:abstractNum>
  <w:abstractNum w:abstractNumId="9">
    <w:multiLevelType w:val="hybridMultilevel"/>
    <w:lvl w:ilvl="0">
      <w:start w:val="1"/>
      <w:numFmt w:val="upperRoman"/>
      <w:lvlText w:val="%1"/>
      <w:lvlJc w:val="left"/>
      <w:pPr>
        <w:ind w:left="264" w:hanging="125"/>
        <w:jc w:val="left"/>
      </w:pPr>
      <w:rPr>
        <w:rFonts w:hint="default" w:ascii="宋体" w:hAnsi="宋体" w:eastAsia="宋体" w:cs="宋体"/>
        <w:w w:val="70"/>
        <w:sz w:val="21"/>
        <w:szCs w:val="21"/>
      </w:rPr>
    </w:lvl>
    <w:lvl w:ilvl="1">
      <w:start w:val="0"/>
      <w:numFmt w:val="bullet"/>
      <w:lvlText w:val="•"/>
      <w:lvlJc w:val="left"/>
      <w:pPr>
        <w:ind w:left="1088" w:hanging="125"/>
      </w:pPr>
      <w:rPr>
        <w:rFonts w:hint="default"/>
      </w:rPr>
    </w:lvl>
    <w:lvl w:ilvl="2">
      <w:start w:val="0"/>
      <w:numFmt w:val="bullet"/>
      <w:lvlText w:val="•"/>
      <w:lvlJc w:val="left"/>
      <w:pPr>
        <w:ind w:left="1917" w:hanging="125"/>
      </w:pPr>
      <w:rPr>
        <w:rFonts w:hint="default"/>
      </w:rPr>
    </w:lvl>
    <w:lvl w:ilvl="3">
      <w:start w:val="0"/>
      <w:numFmt w:val="bullet"/>
      <w:lvlText w:val="•"/>
      <w:lvlJc w:val="left"/>
      <w:pPr>
        <w:ind w:left="2745" w:hanging="125"/>
      </w:pPr>
      <w:rPr>
        <w:rFonts w:hint="default"/>
      </w:rPr>
    </w:lvl>
    <w:lvl w:ilvl="4">
      <w:start w:val="0"/>
      <w:numFmt w:val="bullet"/>
      <w:lvlText w:val="•"/>
      <w:lvlJc w:val="left"/>
      <w:pPr>
        <w:ind w:left="3574" w:hanging="125"/>
      </w:pPr>
      <w:rPr>
        <w:rFonts w:hint="default"/>
      </w:rPr>
    </w:lvl>
    <w:lvl w:ilvl="5">
      <w:start w:val="0"/>
      <w:numFmt w:val="bullet"/>
      <w:lvlText w:val="•"/>
      <w:lvlJc w:val="left"/>
      <w:pPr>
        <w:ind w:left="4403" w:hanging="125"/>
      </w:pPr>
      <w:rPr>
        <w:rFonts w:hint="default"/>
      </w:rPr>
    </w:lvl>
    <w:lvl w:ilvl="6">
      <w:start w:val="0"/>
      <w:numFmt w:val="bullet"/>
      <w:lvlText w:val="•"/>
      <w:lvlJc w:val="left"/>
      <w:pPr>
        <w:ind w:left="5231" w:hanging="125"/>
      </w:pPr>
      <w:rPr>
        <w:rFonts w:hint="default"/>
      </w:rPr>
    </w:lvl>
    <w:lvl w:ilvl="7">
      <w:start w:val="0"/>
      <w:numFmt w:val="bullet"/>
      <w:lvlText w:val="•"/>
      <w:lvlJc w:val="left"/>
      <w:pPr>
        <w:ind w:left="6060" w:hanging="125"/>
      </w:pPr>
      <w:rPr>
        <w:rFonts w:hint="default"/>
      </w:rPr>
    </w:lvl>
    <w:lvl w:ilvl="8">
      <w:start w:val="0"/>
      <w:numFmt w:val="bullet"/>
      <w:lvlText w:val="•"/>
      <w:lvlJc w:val="left"/>
      <w:pPr>
        <w:ind w:left="6888" w:hanging="125"/>
      </w:pPr>
      <w:rPr>
        <w:rFonts w:hint="default"/>
      </w:rPr>
    </w:lvl>
  </w:abstractNum>
  <w:abstractNum w:abstractNumId="8">
    <w:multiLevelType w:val="hybridMultilevel"/>
    <w:lvl w:ilvl="0">
      <w:start w:val="11"/>
      <w:numFmt w:val="decimal"/>
      <w:lvlText w:val="%1."/>
      <w:lvlJc w:val="left"/>
      <w:pPr>
        <w:ind w:left="551" w:hanging="432"/>
        <w:jc w:val="left"/>
      </w:pPr>
      <w:rPr>
        <w:rFonts w:hint="default" w:ascii="Malgun Gothic" w:hAnsi="Malgun Gothic" w:eastAsia="Malgun Gothic" w:cs="Malgun Gothic"/>
        <w:b/>
        <w:bCs/>
        <w:spacing w:val="0"/>
        <w:w w:val="85"/>
        <w:sz w:val="21"/>
        <w:szCs w:val="21"/>
      </w:rPr>
    </w:lvl>
    <w:lvl w:ilvl="1">
      <w:start w:val="1"/>
      <w:numFmt w:val="decimal"/>
      <w:lvlText w:val="%1.%2."/>
      <w:lvlJc w:val="left"/>
      <w:pPr>
        <w:ind w:left="692" w:hanging="567"/>
        <w:jc w:val="left"/>
      </w:pPr>
      <w:rPr>
        <w:rFonts w:hint="default" w:ascii="Microsoft JhengHei UI" w:hAnsi="Microsoft JhengHei UI" w:eastAsia="Microsoft JhengHei UI" w:cs="Microsoft JhengHei UI"/>
        <w:b/>
        <w:bCs/>
        <w:spacing w:val="0"/>
        <w:w w:val="78"/>
        <w:sz w:val="21"/>
        <w:szCs w:val="21"/>
      </w:rPr>
    </w:lvl>
    <w:lvl w:ilvl="2">
      <w:start w:val="1"/>
      <w:numFmt w:val="decimal"/>
      <w:lvlText w:val="%1.%2.%3."/>
      <w:lvlJc w:val="left"/>
      <w:pPr>
        <w:ind w:left="1206" w:hanging="1087"/>
        <w:jc w:val="left"/>
      </w:pPr>
      <w:rPr>
        <w:rFonts w:hint="default" w:ascii="Malgun Gothic" w:hAnsi="Malgun Gothic" w:eastAsia="Malgun Gothic" w:cs="Malgun Gothic"/>
        <w:b/>
        <w:bCs/>
        <w:spacing w:val="0"/>
        <w:w w:val="85"/>
        <w:sz w:val="21"/>
        <w:szCs w:val="21"/>
      </w:rPr>
    </w:lvl>
    <w:lvl w:ilvl="3">
      <w:start w:val="0"/>
      <w:numFmt w:val="bullet"/>
      <w:lvlText w:val="•"/>
      <w:lvlJc w:val="left"/>
      <w:pPr>
        <w:ind w:left="2118" w:hanging="1087"/>
      </w:pPr>
      <w:rPr>
        <w:rFonts w:hint="default"/>
      </w:rPr>
    </w:lvl>
    <w:lvl w:ilvl="4">
      <w:start w:val="0"/>
      <w:numFmt w:val="bullet"/>
      <w:lvlText w:val="•"/>
      <w:lvlJc w:val="left"/>
      <w:pPr>
        <w:ind w:left="3036" w:hanging="1087"/>
      </w:pPr>
      <w:rPr>
        <w:rFonts w:hint="default"/>
      </w:rPr>
    </w:lvl>
    <w:lvl w:ilvl="5">
      <w:start w:val="0"/>
      <w:numFmt w:val="bullet"/>
      <w:lvlText w:val="•"/>
      <w:lvlJc w:val="left"/>
      <w:pPr>
        <w:ind w:left="3954" w:hanging="1087"/>
      </w:pPr>
      <w:rPr>
        <w:rFonts w:hint="default"/>
      </w:rPr>
    </w:lvl>
    <w:lvl w:ilvl="6">
      <w:start w:val="0"/>
      <w:numFmt w:val="bullet"/>
      <w:lvlText w:val="•"/>
      <w:lvlJc w:val="left"/>
      <w:pPr>
        <w:ind w:left="4873" w:hanging="1087"/>
      </w:pPr>
      <w:rPr>
        <w:rFonts w:hint="default"/>
      </w:rPr>
    </w:lvl>
    <w:lvl w:ilvl="7">
      <w:start w:val="0"/>
      <w:numFmt w:val="bullet"/>
      <w:lvlText w:val="•"/>
      <w:lvlJc w:val="left"/>
      <w:pPr>
        <w:ind w:left="5791" w:hanging="1087"/>
      </w:pPr>
      <w:rPr>
        <w:rFonts w:hint="default"/>
      </w:rPr>
    </w:lvl>
    <w:lvl w:ilvl="8">
      <w:start w:val="0"/>
      <w:numFmt w:val="bullet"/>
      <w:lvlText w:val="•"/>
      <w:lvlJc w:val="left"/>
      <w:pPr>
        <w:ind w:left="6709" w:hanging="1087"/>
      </w:pPr>
      <w:rPr>
        <w:rFonts w:hint="default"/>
      </w:rPr>
    </w:lvl>
  </w:abstractNum>
  <w:abstractNum w:abstractNumId="7">
    <w:multiLevelType w:val="hybridMultilevel"/>
    <w:lvl w:ilvl="0">
      <w:start w:val="1"/>
      <w:numFmt w:val="decimal"/>
      <w:lvlText w:val="%1."/>
      <w:lvlJc w:val="left"/>
      <w:pPr>
        <w:ind w:left="540" w:hanging="420"/>
        <w:jc w:val="left"/>
      </w:pPr>
      <w:rPr>
        <w:rFonts w:hint="default" w:ascii="宋体" w:hAnsi="宋体" w:eastAsia="宋体" w:cs="宋体"/>
        <w:w w:val="43"/>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6">
    <w:multiLevelType w:val="hybridMultilevel"/>
    <w:lvl w:ilvl="0">
      <w:start w:val="1"/>
      <w:numFmt w:val="decimal"/>
      <w:lvlText w:val="%1."/>
      <w:lvlJc w:val="left"/>
      <w:pPr>
        <w:ind w:left="960" w:hanging="420"/>
        <w:jc w:val="left"/>
      </w:pPr>
      <w:rPr>
        <w:rFonts w:hint="default" w:ascii="宋体" w:hAnsi="宋体" w:eastAsia="宋体" w:cs="宋体"/>
        <w:w w:val="43"/>
        <w:sz w:val="21"/>
        <w:szCs w:val="21"/>
      </w:rPr>
    </w:lvl>
    <w:lvl w:ilvl="1">
      <w:start w:val="0"/>
      <w:numFmt w:val="bullet"/>
      <w:lvlText w:val="•"/>
      <w:lvlJc w:val="left"/>
      <w:pPr>
        <w:ind w:left="1726" w:hanging="420"/>
      </w:pPr>
      <w:rPr>
        <w:rFonts w:hint="default"/>
      </w:rPr>
    </w:lvl>
    <w:lvl w:ilvl="2">
      <w:start w:val="0"/>
      <w:numFmt w:val="bullet"/>
      <w:lvlText w:val="•"/>
      <w:lvlJc w:val="left"/>
      <w:pPr>
        <w:ind w:left="2493"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6" w:hanging="420"/>
      </w:pPr>
      <w:rPr>
        <w:rFonts w:hint="default"/>
      </w:rPr>
    </w:lvl>
    <w:lvl w:ilvl="5">
      <w:start w:val="0"/>
      <w:numFmt w:val="bullet"/>
      <w:lvlText w:val="•"/>
      <w:lvlJc w:val="left"/>
      <w:pPr>
        <w:ind w:left="4793" w:hanging="420"/>
      </w:pPr>
      <w:rPr>
        <w:rFonts w:hint="default"/>
      </w:rPr>
    </w:lvl>
    <w:lvl w:ilvl="6">
      <w:start w:val="0"/>
      <w:numFmt w:val="bullet"/>
      <w:lvlText w:val="•"/>
      <w:lvlJc w:val="left"/>
      <w:pPr>
        <w:ind w:left="5559" w:hanging="420"/>
      </w:pPr>
      <w:rPr>
        <w:rFonts w:hint="default"/>
      </w:rPr>
    </w:lvl>
    <w:lvl w:ilvl="7">
      <w:start w:val="0"/>
      <w:numFmt w:val="bullet"/>
      <w:lvlText w:val="•"/>
      <w:lvlJc w:val="left"/>
      <w:pPr>
        <w:ind w:left="6326" w:hanging="420"/>
      </w:pPr>
      <w:rPr>
        <w:rFonts w:hint="default"/>
      </w:rPr>
    </w:lvl>
    <w:lvl w:ilvl="8">
      <w:start w:val="0"/>
      <w:numFmt w:val="bullet"/>
      <w:lvlText w:val="•"/>
      <w:lvlJc w:val="left"/>
      <w:pPr>
        <w:ind w:left="7092" w:hanging="420"/>
      </w:pPr>
      <w:rPr>
        <w:rFonts w:hint="default"/>
      </w:rPr>
    </w:lvl>
  </w:abstractNum>
  <w:abstractNum w:abstractNumId="5">
    <w:multiLevelType w:val="hybridMultilevel"/>
    <w:lvl w:ilvl="0">
      <w:start w:val="6"/>
      <w:numFmt w:val="decimal"/>
      <w:lvlText w:val="%1."/>
      <w:lvlJc w:val="left"/>
      <w:pPr>
        <w:ind w:left="551" w:hanging="432"/>
        <w:jc w:val="left"/>
      </w:pPr>
      <w:rPr>
        <w:rFonts w:hint="default"/>
        <w:b/>
        <w:bCs/>
        <w:spacing w:val="0"/>
        <w:w w:val="85"/>
      </w:rPr>
    </w:lvl>
    <w:lvl w:ilvl="1">
      <w:start w:val="1"/>
      <w:numFmt w:val="decimal"/>
      <w:lvlText w:val="%1.%2."/>
      <w:lvlJc w:val="left"/>
      <w:pPr>
        <w:ind w:left="692" w:hanging="567"/>
        <w:jc w:val="left"/>
      </w:pPr>
      <w:rPr>
        <w:rFonts w:hint="default"/>
        <w:b/>
        <w:bCs/>
        <w:spacing w:val="-1"/>
        <w:w w:val="78"/>
      </w:rPr>
    </w:lvl>
    <w:lvl w:ilvl="2">
      <w:start w:val="1"/>
      <w:numFmt w:val="decimal"/>
      <w:lvlText w:val="%1.%2.%3."/>
      <w:lvlJc w:val="left"/>
      <w:pPr>
        <w:ind w:left="668" w:hanging="543"/>
        <w:jc w:val="left"/>
      </w:pPr>
      <w:rPr>
        <w:rFonts w:hint="default" w:ascii="Microsoft JhengHei UI" w:hAnsi="Microsoft JhengHei UI" w:eastAsia="Microsoft JhengHei UI" w:cs="Microsoft JhengHei UI"/>
        <w:b/>
        <w:bCs/>
        <w:spacing w:val="-1"/>
        <w:w w:val="78"/>
        <w:sz w:val="21"/>
        <w:szCs w:val="21"/>
      </w:rPr>
    </w:lvl>
    <w:lvl w:ilvl="3">
      <w:start w:val="0"/>
      <w:numFmt w:val="bullet"/>
      <w:lvlText w:val="•"/>
      <w:lvlJc w:val="left"/>
      <w:pPr>
        <w:ind w:left="1680" w:hanging="543"/>
      </w:pPr>
      <w:rPr>
        <w:rFonts w:hint="default"/>
      </w:rPr>
    </w:lvl>
    <w:lvl w:ilvl="4">
      <w:start w:val="0"/>
      <w:numFmt w:val="bullet"/>
      <w:lvlText w:val="•"/>
      <w:lvlJc w:val="left"/>
      <w:pPr>
        <w:ind w:left="2661" w:hanging="543"/>
      </w:pPr>
      <w:rPr>
        <w:rFonts w:hint="default"/>
      </w:rPr>
    </w:lvl>
    <w:lvl w:ilvl="5">
      <w:start w:val="0"/>
      <w:numFmt w:val="bullet"/>
      <w:lvlText w:val="•"/>
      <w:lvlJc w:val="left"/>
      <w:pPr>
        <w:ind w:left="3642" w:hanging="543"/>
      </w:pPr>
      <w:rPr>
        <w:rFonts w:hint="default"/>
      </w:rPr>
    </w:lvl>
    <w:lvl w:ilvl="6">
      <w:start w:val="0"/>
      <w:numFmt w:val="bullet"/>
      <w:lvlText w:val="•"/>
      <w:lvlJc w:val="left"/>
      <w:pPr>
        <w:ind w:left="4623" w:hanging="543"/>
      </w:pPr>
      <w:rPr>
        <w:rFonts w:hint="default"/>
      </w:rPr>
    </w:lvl>
    <w:lvl w:ilvl="7">
      <w:start w:val="0"/>
      <w:numFmt w:val="bullet"/>
      <w:lvlText w:val="•"/>
      <w:lvlJc w:val="left"/>
      <w:pPr>
        <w:ind w:left="5603" w:hanging="543"/>
      </w:pPr>
      <w:rPr>
        <w:rFonts w:hint="default"/>
      </w:rPr>
    </w:lvl>
    <w:lvl w:ilvl="8">
      <w:start w:val="0"/>
      <w:numFmt w:val="bullet"/>
      <w:lvlText w:val="•"/>
      <w:lvlJc w:val="left"/>
      <w:pPr>
        <w:ind w:left="6584" w:hanging="543"/>
      </w:pPr>
      <w:rPr>
        <w:rFonts w:hint="default"/>
      </w:rPr>
    </w:lvl>
  </w:abstractNum>
  <w:abstractNum w:abstractNumId="4">
    <w:multiLevelType w:val="hybridMultilevel"/>
    <w:lvl w:ilvl="0">
      <w:start w:val="1"/>
      <w:numFmt w:val="decimal"/>
      <w:lvlText w:val="%1."/>
      <w:lvlJc w:val="left"/>
      <w:pPr>
        <w:ind w:left="533" w:hanging="420"/>
        <w:jc w:val="left"/>
      </w:pPr>
      <w:rPr>
        <w:rFonts w:hint="default" w:ascii="宋体" w:hAnsi="宋体" w:eastAsia="宋体" w:cs="宋体"/>
        <w:spacing w:val="0"/>
        <w:w w:val="99"/>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3">
    <w:multiLevelType w:val="hybridMultilevel"/>
    <w:lvl w:ilvl="0">
      <w:start w:val="1"/>
      <w:numFmt w:val="decimal"/>
      <w:lvlText w:val="%1."/>
      <w:lvlJc w:val="left"/>
      <w:pPr>
        <w:ind w:left="551" w:hanging="432"/>
        <w:jc w:val="left"/>
      </w:pPr>
      <w:rPr>
        <w:rFonts w:hint="default" w:ascii="Malgun Gothic" w:hAnsi="Malgun Gothic" w:eastAsia="Malgun Gothic" w:cs="Malgun Gothic"/>
        <w:b/>
        <w:bCs/>
        <w:spacing w:val="0"/>
        <w:w w:val="85"/>
        <w:sz w:val="21"/>
        <w:szCs w:val="21"/>
      </w:rPr>
    </w:lvl>
    <w:lvl w:ilvl="1">
      <w:start w:val="1"/>
      <w:numFmt w:val="decimal"/>
      <w:lvlText w:val="%1.%2."/>
      <w:lvlJc w:val="left"/>
      <w:pPr>
        <w:ind w:left="692" w:hanging="567"/>
        <w:jc w:val="left"/>
      </w:pPr>
      <w:rPr>
        <w:rFonts w:hint="default" w:ascii="Microsoft JhengHei UI" w:hAnsi="Microsoft JhengHei UI" w:eastAsia="Microsoft JhengHei UI" w:cs="Microsoft JhengHei UI"/>
        <w:b/>
        <w:bCs/>
        <w:spacing w:val="-1"/>
        <w:w w:val="78"/>
        <w:sz w:val="21"/>
        <w:szCs w:val="21"/>
      </w:rPr>
    </w:lvl>
    <w:lvl w:ilvl="2">
      <w:start w:val="0"/>
      <w:numFmt w:val="bullet"/>
      <w:lvlText w:val="•"/>
      <w:lvlJc w:val="left"/>
      <w:pPr>
        <w:ind w:left="1571" w:hanging="567"/>
      </w:pPr>
      <w:rPr>
        <w:rFonts w:hint="default"/>
      </w:rPr>
    </w:lvl>
    <w:lvl w:ilvl="3">
      <w:start w:val="0"/>
      <w:numFmt w:val="bullet"/>
      <w:lvlText w:val="•"/>
      <w:lvlJc w:val="left"/>
      <w:pPr>
        <w:ind w:left="2443" w:hanging="567"/>
      </w:pPr>
      <w:rPr>
        <w:rFonts w:hint="default"/>
      </w:rPr>
    </w:lvl>
    <w:lvl w:ilvl="4">
      <w:start w:val="0"/>
      <w:numFmt w:val="bullet"/>
      <w:lvlText w:val="•"/>
      <w:lvlJc w:val="left"/>
      <w:pPr>
        <w:ind w:left="3315" w:hanging="567"/>
      </w:pPr>
      <w:rPr>
        <w:rFonts w:hint="default"/>
      </w:rPr>
    </w:lvl>
    <w:lvl w:ilvl="5">
      <w:start w:val="0"/>
      <w:numFmt w:val="bullet"/>
      <w:lvlText w:val="•"/>
      <w:lvlJc w:val="left"/>
      <w:pPr>
        <w:ind w:left="4187" w:hanging="567"/>
      </w:pPr>
      <w:rPr>
        <w:rFonts w:hint="default"/>
      </w:rPr>
    </w:lvl>
    <w:lvl w:ilvl="6">
      <w:start w:val="0"/>
      <w:numFmt w:val="bullet"/>
      <w:lvlText w:val="•"/>
      <w:lvlJc w:val="left"/>
      <w:pPr>
        <w:ind w:left="5058" w:hanging="567"/>
      </w:pPr>
      <w:rPr>
        <w:rFonts w:hint="default"/>
      </w:rPr>
    </w:lvl>
    <w:lvl w:ilvl="7">
      <w:start w:val="0"/>
      <w:numFmt w:val="bullet"/>
      <w:lvlText w:val="•"/>
      <w:lvlJc w:val="left"/>
      <w:pPr>
        <w:ind w:left="5930" w:hanging="567"/>
      </w:pPr>
      <w:rPr>
        <w:rFonts w:hint="default"/>
      </w:rPr>
    </w:lvl>
    <w:lvl w:ilvl="8">
      <w:start w:val="0"/>
      <w:numFmt w:val="bullet"/>
      <w:lvlText w:val="•"/>
      <w:lvlJc w:val="left"/>
      <w:pPr>
        <w:ind w:left="6802" w:hanging="567"/>
      </w:pPr>
      <w:rPr>
        <w:rFonts w:hint="default"/>
      </w:rPr>
    </w:lvl>
  </w:abstractNum>
  <w:abstractNum w:abstractNumId="2">
    <w:multiLevelType w:val="hybridMultilevel"/>
    <w:lvl w:ilvl="0">
      <w:start w:val="11"/>
      <w:numFmt w:val="decimal"/>
      <w:lvlText w:val="%1"/>
      <w:lvlJc w:val="left"/>
      <w:pPr>
        <w:ind w:left="2008" w:hanging="1049"/>
        <w:jc w:val="left"/>
      </w:pPr>
      <w:rPr>
        <w:rFonts w:hint="default"/>
      </w:rPr>
    </w:lvl>
    <w:lvl w:ilvl="1">
      <w:start w:val="3"/>
      <w:numFmt w:val="decimal"/>
      <w:lvlText w:val="%1.%2"/>
      <w:lvlJc w:val="left"/>
      <w:pPr>
        <w:ind w:left="2008" w:hanging="1049"/>
        <w:jc w:val="left"/>
      </w:pPr>
      <w:rPr>
        <w:rFonts w:hint="default"/>
      </w:rPr>
    </w:lvl>
    <w:lvl w:ilvl="2">
      <w:start w:val="16"/>
      <w:numFmt w:val="decimal"/>
      <w:lvlText w:val="%1.%2.%3."/>
      <w:lvlJc w:val="left"/>
      <w:pPr>
        <w:ind w:left="2008" w:hanging="1049"/>
        <w:jc w:val="left"/>
      </w:pPr>
      <w:rPr>
        <w:rFonts w:hint="default" w:ascii="宋体" w:hAnsi="宋体" w:eastAsia="宋体" w:cs="宋体"/>
        <w:spacing w:val="-2"/>
        <w:w w:val="99"/>
        <w:sz w:val="21"/>
        <w:szCs w:val="21"/>
      </w:rPr>
    </w:lvl>
    <w:lvl w:ilvl="3">
      <w:start w:val="0"/>
      <w:numFmt w:val="bullet"/>
      <w:lvlText w:val="•"/>
      <w:lvlJc w:val="left"/>
      <w:pPr>
        <w:ind w:left="3963" w:hanging="1049"/>
      </w:pPr>
      <w:rPr>
        <w:rFonts w:hint="default"/>
      </w:rPr>
    </w:lvl>
    <w:lvl w:ilvl="4">
      <w:start w:val="0"/>
      <w:numFmt w:val="bullet"/>
      <w:lvlText w:val="•"/>
      <w:lvlJc w:val="left"/>
      <w:pPr>
        <w:ind w:left="4618" w:hanging="1049"/>
      </w:pPr>
      <w:rPr>
        <w:rFonts w:hint="default"/>
      </w:rPr>
    </w:lvl>
    <w:lvl w:ilvl="5">
      <w:start w:val="0"/>
      <w:numFmt w:val="bullet"/>
      <w:lvlText w:val="•"/>
      <w:lvlJc w:val="left"/>
      <w:pPr>
        <w:ind w:left="5273" w:hanging="1049"/>
      </w:pPr>
      <w:rPr>
        <w:rFonts w:hint="default"/>
      </w:rPr>
    </w:lvl>
    <w:lvl w:ilvl="6">
      <w:start w:val="0"/>
      <w:numFmt w:val="bullet"/>
      <w:lvlText w:val="•"/>
      <w:lvlJc w:val="left"/>
      <w:pPr>
        <w:ind w:left="5927" w:hanging="1049"/>
      </w:pPr>
      <w:rPr>
        <w:rFonts w:hint="default"/>
      </w:rPr>
    </w:lvl>
    <w:lvl w:ilvl="7">
      <w:start w:val="0"/>
      <w:numFmt w:val="bullet"/>
      <w:lvlText w:val="•"/>
      <w:lvlJc w:val="left"/>
      <w:pPr>
        <w:ind w:left="6582" w:hanging="1049"/>
      </w:pPr>
      <w:rPr>
        <w:rFonts w:hint="default"/>
      </w:rPr>
    </w:lvl>
    <w:lvl w:ilvl="8">
      <w:start w:val="0"/>
      <w:numFmt w:val="bullet"/>
      <w:lvlText w:val="•"/>
      <w:lvlJc w:val="left"/>
      <w:pPr>
        <w:ind w:left="7236" w:hanging="1049"/>
      </w:pPr>
      <w:rPr>
        <w:rFonts w:hint="default"/>
      </w:rPr>
    </w:lvl>
  </w:abstractNum>
  <w:abstractNum w:abstractNumId="1">
    <w:multiLevelType w:val="hybridMultilevel"/>
    <w:lvl w:ilvl="0">
      <w:start w:val="1"/>
      <w:numFmt w:val="decimal"/>
      <w:lvlText w:val="%1."/>
      <w:lvlJc w:val="left"/>
      <w:pPr>
        <w:ind w:left="960" w:hanging="840"/>
        <w:jc w:val="left"/>
      </w:pPr>
      <w:rPr>
        <w:rFonts w:hint="default" w:ascii="宋体" w:hAnsi="宋体" w:eastAsia="宋体" w:cs="宋体"/>
        <w:spacing w:val="0"/>
        <w:w w:val="99"/>
        <w:sz w:val="21"/>
        <w:szCs w:val="21"/>
      </w:rPr>
    </w:lvl>
    <w:lvl w:ilvl="1">
      <w:start w:val="1"/>
      <w:numFmt w:val="decimal"/>
      <w:lvlText w:val="%1.%2."/>
      <w:lvlJc w:val="left"/>
      <w:pPr>
        <w:ind w:left="1171" w:hanging="632"/>
        <w:jc w:val="left"/>
      </w:pPr>
      <w:rPr>
        <w:rFonts w:hint="default" w:ascii="宋体" w:hAnsi="宋体" w:eastAsia="宋体" w:cs="宋体"/>
        <w:spacing w:val="-1"/>
        <w:w w:val="43"/>
        <w:sz w:val="21"/>
        <w:szCs w:val="21"/>
      </w:rPr>
    </w:lvl>
    <w:lvl w:ilvl="2">
      <w:start w:val="1"/>
      <w:numFmt w:val="decimal"/>
      <w:lvlText w:val="%1.%2.%3."/>
      <w:lvlJc w:val="left"/>
      <w:pPr>
        <w:ind w:left="1497" w:hanging="538"/>
        <w:jc w:val="left"/>
      </w:pPr>
      <w:rPr>
        <w:rFonts w:hint="default" w:ascii="宋体" w:hAnsi="宋体" w:eastAsia="宋体" w:cs="宋体"/>
        <w:spacing w:val="-1"/>
        <w:w w:val="43"/>
        <w:sz w:val="21"/>
        <w:szCs w:val="21"/>
      </w:rPr>
    </w:lvl>
    <w:lvl w:ilvl="3">
      <w:start w:val="0"/>
      <w:numFmt w:val="bullet"/>
      <w:lvlText w:val="•"/>
      <w:lvlJc w:val="left"/>
      <w:pPr>
        <w:ind w:left="1900" w:hanging="538"/>
      </w:pPr>
      <w:rPr>
        <w:rFonts w:hint="default"/>
      </w:rPr>
    </w:lvl>
    <w:lvl w:ilvl="4">
      <w:start w:val="0"/>
      <w:numFmt w:val="bullet"/>
      <w:lvlText w:val="•"/>
      <w:lvlJc w:val="left"/>
      <w:pPr>
        <w:ind w:left="2849" w:hanging="538"/>
      </w:pPr>
      <w:rPr>
        <w:rFonts w:hint="default"/>
      </w:rPr>
    </w:lvl>
    <w:lvl w:ilvl="5">
      <w:start w:val="0"/>
      <w:numFmt w:val="bullet"/>
      <w:lvlText w:val="•"/>
      <w:lvlJc w:val="left"/>
      <w:pPr>
        <w:ind w:left="3798" w:hanging="538"/>
      </w:pPr>
      <w:rPr>
        <w:rFonts w:hint="default"/>
      </w:rPr>
    </w:lvl>
    <w:lvl w:ilvl="6">
      <w:start w:val="0"/>
      <w:numFmt w:val="bullet"/>
      <w:lvlText w:val="•"/>
      <w:lvlJc w:val="left"/>
      <w:pPr>
        <w:ind w:left="4748" w:hanging="538"/>
      </w:pPr>
      <w:rPr>
        <w:rFonts w:hint="default"/>
      </w:rPr>
    </w:lvl>
    <w:lvl w:ilvl="7">
      <w:start w:val="0"/>
      <w:numFmt w:val="bullet"/>
      <w:lvlText w:val="•"/>
      <w:lvlJc w:val="left"/>
      <w:pPr>
        <w:ind w:left="5697" w:hanging="538"/>
      </w:pPr>
      <w:rPr>
        <w:rFonts w:hint="default"/>
      </w:rPr>
    </w:lvl>
    <w:lvl w:ilvl="8">
      <w:start w:val="0"/>
      <w:numFmt w:val="bullet"/>
      <w:lvlText w:val="•"/>
      <w:lvlJc w:val="left"/>
      <w:pPr>
        <w:ind w:left="6647" w:hanging="538"/>
      </w:pPr>
      <w:rPr>
        <w:rFonts w:hint="default"/>
      </w:rPr>
    </w:lvl>
  </w:abstractNum>
  <w:abstractNum w:abstractNumId="0">
    <w:multiLevelType w:val="hybridMultilevel"/>
    <w:lvl w:ilvl="0">
      <w:start w:val="0"/>
      <w:numFmt w:val="bullet"/>
      <w:lvlText w:val="�"/>
      <w:lvlJc w:val="left"/>
      <w:pPr>
        <w:ind w:left="849" w:hanging="420"/>
      </w:pPr>
      <w:rPr>
        <w:rFonts w:hint="default" w:ascii="Microsoft Sans Serif" w:hAnsi="Microsoft Sans Serif" w:eastAsia="Microsoft Sans Serif" w:cs="Microsoft Sans Serif"/>
        <w:w w:val="129"/>
        <w:sz w:val="21"/>
        <w:szCs w:val="21"/>
      </w:rPr>
    </w:lvl>
    <w:lvl w:ilvl="1">
      <w:start w:val="0"/>
      <w:numFmt w:val="bullet"/>
      <w:lvlText w:val="•"/>
      <w:lvlJc w:val="left"/>
      <w:pPr>
        <w:ind w:left="1674" w:hanging="420"/>
      </w:pPr>
      <w:rPr>
        <w:rFonts w:hint="default"/>
      </w:rPr>
    </w:lvl>
    <w:lvl w:ilvl="2">
      <w:start w:val="0"/>
      <w:numFmt w:val="bullet"/>
      <w:lvlText w:val="•"/>
      <w:lvlJc w:val="left"/>
      <w:pPr>
        <w:ind w:left="2509" w:hanging="420"/>
      </w:pPr>
      <w:rPr>
        <w:rFonts w:hint="default"/>
      </w:rPr>
    </w:lvl>
    <w:lvl w:ilvl="3">
      <w:start w:val="0"/>
      <w:numFmt w:val="bullet"/>
      <w:lvlText w:val="•"/>
      <w:lvlJc w:val="left"/>
      <w:pPr>
        <w:ind w:left="3343" w:hanging="420"/>
      </w:pPr>
      <w:rPr>
        <w:rFonts w:hint="default"/>
      </w:rPr>
    </w:lvl>
    <w:lvl w:ilvl="4">
      <w:start w:val="0"/>
      <w:numFmt w:val="bullet"/>
      <w:lvlText w:val="•"/>
      <w:lvlJc w:val="left"/>
      <w:pPr>
        <w:ind w:left="4178" w:hanging="420"/>
      </w:pPr>
      <w:rPr>
        <w:rFonts w:hint="default"/>
      </w:rPr>
    </w:lvl>
    <w:lvl w:ilvl="5">
      <w:start w:val="0"/>
      <w:numFmt w:val="bullet"/>
      <w:lvlText w:val="•"/>
      <w:lvlJc w:val="left"/>
      <w:pPr>
        <w:ind w:left="5013" w:hanging="420"/>
      </w:pPr>
      <w:rPr>
        <w:rFonts w:hint="default"/>
      </w:rPr>
    </w:lvl>
    <w:lvl w:ilvl="6">
      <w:start w:val="0"/>
      <w:numFmt w:val="bullet"/>
      <w:lvlText w:val="•"/>
      <w:lvlJc w:val="left"/>
      <w:pPr>
        <w:ind w:left="5847" w:hanging="420"/>
      </w:pPr>
      <w:rPr>
        <w:rFonts w:hint="default"/>
      </w:rPr>
    </w:lvl>
    <w:lvl w:ilvl="7">
      <w:start w:val="0"/>
      <w:numFmt w:val="bullet"/>
      <w:lvlText w:val="•"/>
      <w:lvlJc w:val="left"/>
      <w:pPr>
        <w:ind w:left="6682" w:hanging="420"/>
      </w:pPr>
      <w:rPr>
        <w:rFonts w:hint="default"/>
      </w:rPr>
    </w:lvl>
    <w:lvl w:ilvl="8">
      <w:start w:val="0"/>
      <w:numFmt w:val="bullet"/>
      <w:lvlText w:val="•"/>
      <w:lvlJc w:val="left"/>
      <w:pPr>
        <w:ind w:left="7516"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960" w:hanging="840"/>
    </w:pPr>
    <w:rPr>
      <w:rFonts w:ascii="宋体" w:hAnsi="宋体" w:eastAsia="宋体" w:cs="宋体"/>
      <w:sz w:val="21"/>
      <w:szCs w:val="21"/>
    </w:rPr>
  </w:style>
  <w:style w:styleId="TOC2" w:type="paragraph">
    <w:name w:val="TOC 2"/>
    <w:basedOn w:val="Normal"/>
    <w:uiPriority w:val="1"/>
    <w:qFormat/>
    <w:pPr>
      <w:spacing w:before="21"/>
      <w:ind w:left="1171" w:hanging="631"/>
    </w:pPr>
    <w:rPr>
      <w:rFonts w:ascii="宋体" w:hAnsi="宋体" w:eastAsia="宋体" w:cs="宋体"/>
      <w:sz w:val="21"/>
      <w:szCs w:val="21"/>
    </w:rPr>
  </w:style>
  <w:style w:styleId="TOC3" w:type="paragraph">
    <w:name w:val="TOC 3"/>
    <w:basedOn w:val="Normal"/>
    <w:uiPriority w:val="1"/>
    <w:qFormat/>
    <w:pPr>
      <w:spacing w:before="21"/>
      <w:ind w:left="1380" w:hanging="840"/>
    </w:pPr>
    <w:rPr>
      <w:rFonts w:ascii="宋体" w:hAnsi="宋体" w:eastAsia="宋体" w:cs="宋体"/>
      <w:sz w:val="21"/>
      <w:szCs w:val="21"/>
    </w:rPr>
  </w:style>
  <w:style w:styleId="TOC4" w:type="paragraph">
    <w:name w:val="TOC 4"/>
    <w:basedOn w:val="Normal"/>
    <w:uiPriority w:val="1"/>
    <w:qFormat/>
    <w:pPr>
      <w:spacing w:before="21"/>
      <w:ind w:left="2008" w:hanging="1048"/>
    </w:pPr>
    <w:rPr>
      <w:rFonts w:ascii="宋体" w:hAnsi="宋体" w:eastAsia="宋体" w:cs="宋体"/>
      <w:sz w:val="21"/>
      <w:szCs w:val="21"/>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spacing w:line="429" w:lineRule="exact"/>
      <w:ind w:left="1050"/>
      <w:jc w:val="center"/>
      <w:outlineLvl w:val="1"/>
    </w:pPr>
    <w:rPr>
      <w:rFonts w:ascii="Microsoft JhengHei UI" w:hAnsi="Microsoft JhengHei UI" w:eastAsia="Microsoft JhengHei UI" w:cs="Microsoft JhengHei UI"/>
      <w:b/>
      <w:bCs/>
      <w:sz w:val="28"/>
      <w:szCs w:val="28"/>
    </w:rPr>
  </w:style>
  <w:style w:styleId="Heading2" w:type="paragraph">
    <w:name w:val="Heading 2"/>
    <w:basedOn w:val="Normal"/>
    <w:uiPriority w:val="1"/>
    <w:qFormat/>
    <w:pPr>
      <w:ind w:left="692" w:hanging="1086"/>
      <w:outlineLvl w:val="2"/>
    </w:pPr>
    <w:rPr>
      <w:rFonts w:ascii="Microsoft JhengHei UI" w:hAnsi="Microsoft JhengHei UI" w:eastAsia="Microsoft JhengHei UI" w:cs="Microsoft JhengHei UI"/>
      <w:b/>
      <w:bCs/>
      <w:sz w:val="21"/>
      <w:szCs w:val="21"/>
    </w:rPr>
  </w:style>
  <w:style w:styleId="ListParagraph" w:type="paragraph">
    <w:name w:val="List Paragraph"/>
    <w:basedOn w:val="Normal"/>
    <w:uiPriority w:val="1"/>
    <w:qFormat/>
    <w:pPr>
      <w:spacing w:before="21"/>
      <w:ind w:left="692" w:hanging="108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Corporation</dc:creator>
  <dc:title>阅读指引</dc:title>
  <dcterms:created xsi:type="dcterms:W3CDTF">2018-10-20T02:45:54Z</dcterms:created>
  <dcterms:modified xsi:type="dcterms:W3CDTF">2018-10-20T02:45:54Z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WPS Office 个人版</vt:lpwstr>
  </property>
  <property fmtid="{D5CDD505-2E9C-101B-9397-08002B2CF9AE}" pid="4" name="LastSaved">
    <vt:filetime>2018-10-19T00:00:00Z</vt:filetime>
  </property>
</Properties>
</file>