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14"/>
        </w:rPr>
      </w:pPr>
    </w:p>
    <w:p>
      <w:pPr>
        <w:spacing w:line="460" w:lineRule="exact" w:before="0"/>
        <w:ind w:left="2505" w:right="0" w:firstLine="0"/>
        <w:jc w:val="left"/>
        <w:rPr>
          <w:b/>
          <w:sz w:val="36"/>
        </w:rPr>
      </w:pPr>
      <w:r>
        <w:rPr>
          <w:b/>
          <w:w w:val="95"/>
          <w:sz w:val="36"/>
        </w:rPr>
        <w:t>光大永明人寿保险有限公司</w:t>
      </w:r>
    </w:p>
    <w:p>
      <w:pPr>
        <w:pStyle w:val="BodyText"/>
        <w:spacing w:before="6"/>
        <w:ind w:left="0"/>
        <w:rPr>
          <w:b/>
          <w:sz w:val="35"/>
        </w:rPr>
      </w:pPr>
    </w:p>
    <w:p>
      <w:pPr>
        <w:spacing w:before="1"/>
        <w:ind w:left="1783" w:right="0" w:firstLine="0"/>
        <w:jc w:val="left"/>
        <w:rPr>
          <w:b/>
          <w:sz w:val="36"/>
        </w:rPr>
      </w:pPr>
      <w:r>
        <w:rPr>
          <w:b/>
          <w:w w:val="95"/>
          <w:sz w:val="36"/>
        </w:rPr>
        <w:t>光大永明附加富贵延年综合疾病保险</w:t>
      </w:r>
    </w:p>
    <w:p>
      <w:pPr>
        <w:pStyle w:val="BodyText"/>
        <w:spacing w:before="0"/>
        <w:ind w:left="0"/>
        <w:rPr>
          <w:b/>
          <w:sz w:val="36"/>
        </w:rPr>
      </w:pPr>
    </w:p>
    <w:p>
      <w:pPr>
        <w:spacing w:line="314" w:lineRule="auto" w:before="294"/>
        <w:ind w:left="157" w:right="141" w:firstLine="0"/>
        <w:jc w:val="left"/>
        <w:rPr>
          <w:b/>
          <w:sz w:val="21"/>
        </w:rPr>
      </w:pPr>
      <w:r>
        <w:rPr>
          <w:b/>
          <w:sz w:val="21"/>
        </w:rPr>
        <w:t>感谢您选择了光大永明人寿。为了帮助您更好地理解本条款，在阅读本条款前，请您注意阅读提示和说明。</w:t>
      </w:r>
    </w:p>
    <w:p>
      <w:pPr>
        <w:pStyle w:val="BodyText"/>
        <w:spacing w:before="3"/>
        <w:ind w:left="0"/>
        <w:rPr>
          <w:b/>
          <w:sz w:val="25"/>
        </w:rPr>
      </w:pPr>
    </w:p>
    <w:p>
      <w:pPr>
        <w:spacing w:before="1"/>
        <w:ind w:left="3737" w:right="3773" w:firstLine="0"/>
        <w:jc w:val="center"/>
        <w:rPr>
          <w:b/>
          <w:sz w:val="21"/>
        </w:rPr>
      </w:pPr>
      <w:r>
        <w:rPr>
          <w:b/>
          <w:sz w:val="21"/>
        </w:rPr>
        <w:t>阅读提示</w:t>
      </w:r>
    </w:p>
    <w:p>
      <w:pPr>
        <w:pStyle w:val="BodyText"/>
        <w:spacing w:before="0"/>
        <w:ind w:left="0"/>
        <w:rPr>
          <w:b/>
          <w:sz w:val="20"/>
        </w:rPr>
      </w:pPr>
    </w:p>
    <w:p>
      <w:pPr>
        <w:pStyle w:val="BodyText"/>
        <w:spacing w:before="8"/>
        <w:ind w:left="0"/>
        <w:rPr>
          <w:b/>
          <w:sz w:val="14"/>
        </w:rPr>
      </w:pPr>
    </w:p>
    <w:p>
      <w:pPr>
        <w:spacing w:before="1"/>
        <w:ind w:left="3774" w:right="3773" w:firstLine="0"/>
        <w:jc w:val="center"/>
        <w:rPr>
          <w:b/>
          <w:sz w:val="21"/>
        </w:rPr>
      </w:pPr>
      <w:r>
        <w:rPr>
          <w:b/>
          <w:w w:val="95"/>
          <w:sz w:val="21"/>
        </w:rPr>
        <w:t>您所享有的重要权益</w:t>
      </w:r>
    </w:p>
    <w:p>
      <w:pPr>
        <w:pStyle w:val="BodyText"/>
        <w:spacing w:before="1"/>
        <w:ind w:left="0"/>
        <w:rPr>
          <w:b/>
          <w:sz w:val="2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5"/>
        <w:gridCol w:w="770"/>
        <w:gridCol w:w="347"/>
      </w:tblGrid>
      <w:tr>
        <w:trPr>
          <w:trHeight w:val="341" w:hRule="atLeast"/>
        </w:trPr>
        <w:tc>
          <w:tcPr>
            <w:tcW w:w="8055" w:type="dxa"/>
          </w:tcPr>
          <w:p>
            <w:pPr>
              <w:pStyle w:val="TableParagraph"/>
              <w:spacing w:line="210" w:lineRule="exact" w:before="0"/>
              <w:ind w:left="50"/>
              <w:rPr>
                <w:b/>
                <w:sz w:val="21"/>
              </w:rPr>
            </w:pPr>
            <w:r>
              <w:rPr>
                <w:sz w:val="21"/>
              </w:rPr>
              <w:t>本附加合同所提供的保障 ························· </w:t>
            </w:r>
            <w:r>
              <w:rPr>
                <w:b/>
                <w:sz w:val="21"/>
              </w:rPr>
              <w:t>第</w:t>
            </w:r>
          </w:p>
        </w:tc>
        <w:tc>
          <w:tcPr>
            <w:tcW w:w="770" w:type="dxa"/>
          </w:tcPr>
          <w:p>
            <w:pPr>
              <w:pStyle w:val="TableParagraph"/>
              <w:spacing w:line="210" w:lineRule="exact" w:before="0"/>
              <w:jc w:val="center"/>
              <w:rPr>
                <w:b/>
                <w:sz w:val="21"/>
              </w:rPr>
            </w:pPr>
            <w:r>
              <w:rPr>
                <w:b/>
                <w:w w:val="99"/>
                <w:sz w:val="21"/>
              </w:rPr>
              <w:t>六</w:t>
            </w:r>
          </w:p>
        </w:tc>
        <w:tc>
          <w:tcPr>
            <w:tcW w:w="347" w:type="dxa"/>
          </w:tcPr>
          <w:p>
            <w:pPr>
              <w:pStyle w:val="TableParagraph"/>
              <w:spacing w:line="210" w:lineRule="exact" w:before="0"/>
              <w:ind w:left="37"/>
              <w:jc w:val="center"/>
              <w:rPr>
                <w:b/>
                <w:sz w:val="21"/>
              </w:rPr>
            </w:pPr>
            <w:r>
              <w:rPr>
                <w:b/>
                <w:w w:val="99"/>
                <w:sz w:val="21"/>
              </w:rPr>
              <w:t>条</w:t>
            </w:r>
          </w:p>
        </w:tc>
      </w:tr>
      <w:tr>
        <w:trPr>
          <w:trHeight w:val="341" w:hRule="atLeast"/>
        </w:trPr>
        <w:tc>
          <w:tcPr>
            <w:tcW w:w="8055" w:type="dxa"/>
          </w:tcPr>
          <w:p>
            <w:pPr>
              <w:pStyle w:val="TableParagraph"/>
              <w:spacing w:line="255" w:lineRule="exact"/>
              <w:ind w:left="50"/>
              <w:rPr>
                <w:b/>
                <w:sz w:val="21"/>
              </w:rPr>
            </w:pPr>
            <w:r>
              <w:rPr>
                <w:sz w:val="21"/>
              </w:rPr>
              <w:t>您在犹豫期享有的权利 ·························· </w:t>
            </w:r>
            <w:r>
              <w:rPr>
                <w:b/>
                <w:sz w:val="21"/>
              </w:rPr>
              <w:t>第</w:t>
            </w:r>
          </w:p>
        </w:tc>
        <w:tc>
          <w:tcPr>
            <w:tcW w:w="770" w:type="dxa"/>
          </w:tcPr>
          <w:p>
            <w:pPr>
              <w:pStyle w:val="TableParagraph"/>
              <w:spacing w:line="255" w:lineRule="exact"/>
              <w:ind w:left="101" w:right="101"/>
              <w:jc w:val="center"/>
              <w:rPr>
                <w:b/>
                <w:sz w:val="21"/>
              </w:rPr>
            </w:pPr>
            <w:r>
              <w:rPr>
                <w:b/>
                <w:sz w:val="21"/>
              </w:rPr>
              <w:t>十 四</w:t>
            </w:r>
          </w:p>
        </w:tc>
        <w:tc>
          <w:tcPr>
            <w:tcW w:w="347" w:type="dxa"/>
          </w:tcPr>
          <w:p>
            <w:pPr>
              <w:pStyle w:val="TableParagraph"/>
              <w:spacing w:line="255" w:lineRule="exact"/>
              <w:ind w:left="37"/>
              <w:jc w:val="center"/>
              <w:rPr>
                <w:b/>
                <w:sz w:val="21"/>
              </w:rPr>
            </w:pPr>
            <w:r>
              <w:rPr>
                <w:b/>
                <w:w w:val="99"/>
                <w:sz w:val="21"/>
              </w:rPr>
              <w:t>条</w:t>
            </w:r>
          </w:p>
        </w:tc>
      </w:tr>
      <w:tr>
        <w:trPr>
          <w:trHeight w:val="604" w:hRule="atLeast"/>
        </w:trPr>
        <w:tc>
          <w:tcPr>
            <w:tcW w:w="8055" w:type="dxa"/>
          </w:tcPr>
          <w:p>
            <w:pPr>
              <w:pStyle w:val="TableParagraph"/>
              <w:spacing w:before="1"/>
              <w:rPr>
                <w:b/>
                <w:sz w:val="15"/>
              </w:rPr>
            </w:pPr>
          </w:p>
          <w:p>
            <w:pPr>
              <w:pStyle w:val="TableParagraph"/>
              <w:spacing w:before="0"/>
              <w:ind w:left="3532"/>
              <w:rPr>
                <w:b/>
                <w:sz w:val="21"/>
              </w:rPr>
            </w:pPr>
            <w:r>
              <w:rPr>
                <w:b/>
                <w:w w:val="95"/>
                <w:sz w:val="21"/>
              </w:rPr>
              <w:t>您应当特别注意的事项</w:t>
            </w:r>
          </w:p>
        </w:tc>
        <w:tc>
          <w:tcPr>
            <w:tcW w:w="770" w:type="dxa"/>
          </w:tcPr>
          <w:p>
            <w:pPr>
              <w:pStyle w:val="TableParagraph"/>
              <w:spacing w:before="0"/>
              <w:rPr>
                <w:rFonts w:ascii="Times New Roman"/>
                <w:sz w:val="22"/>
              </w:rPr>
            </w:pPr>
          </w:p>
        </w:tc>
        <w:tc>
          <w:tcPr>
            <w:tcW w:w="347" w:type="dxa"/>
          </w:tcPr>
          <w:p>
            <w:pPr>
              <w:pStyle w:val="TableParagraph"/>
              <w:spacing w:before="0"/>
              <w:rPr>
                <w:rFonts w:ascii="Times New Roman"/>
                <w:sz w:val="22"/>
              </w:rPr>
            </w:pPr>
          </w:p>
        </w:tc>
      </w:tr>
      <w:tr>
        <w:trPr>
          <w:trHeight w:val="472" w:hRule="atLeast"/>
        </w:trPr>
        <w:tc>
          <w:tcPr>
            <w:tcW w:w="8055" w:type="dxa"/>
          </w:tcPr>
          <w:p>
            <w:pPr>
              <w:pStyle w:val="TableParagraph"/>
              <w:ind w:left="50"/>
              <w:rPr>
                <w:b/>
                <w:sz w:val="21"/>
              </w:rPr>
            </w:pPr>
            <w:r>
              <w:rPr>
                <w:sz w:val="21"/>
              </w:rPr>
              <w:t>在某些情况下，我们不承担保险责任 ···················· </w:t>
            </w:r>
            <w:r>
              <w:rPr>
                <w:b/>
                <w:sz w:val="21"/>
              </w:rPr>
              <w:t>第</w:t>
            </w:r>
          </w:p>
        </w:tc>
        <w:tc>
          <w:tcPr>
            <w:tcW w:w="770" w:type="dxa"/>
          </w:tcPr>
          <w:p>
            <w:pPr>
              <w:pStyle w:val="TableParagraph"/>
              <w:jc w:val="center"/>
              <w:rPr>
                <w:b/>
                <w:sz w:val="21"/>
              </w:rPr>
            </w:pPr>
            <w:r>
              <w:rPr>
                <w:b/>
                <w:w w:val="99"/>
                <w:sz w:val="21"/>
              </w:rPr>
              <w:t>七</w:t>
            </w:r>
          </w:p>
        </w:tc>
        <w:tc>
          <w:tcPr>
            <w:tcW w:w="347" w:type="dxa"/>
          </w:tcPr>
          <w:p>
            <w:pPr>
              <w:pStyle w:val="TableParagraph"/>
              <w:ind w:left="37"/>
              <w:jc w:val="center"/>
              <w:rPr>
                <w:b/>
                <w:sz w:val="21"/>
              </w:rPr>
            </w:pPr>
            <w:r>
              <w:rPr>
                <w:b/>
                <w:w w:val="99"/>
                <w:sz w:val="21"/>
              </w:rPr>
              <w:t>条</w:t>
            </w:r>
          </w:p>
        </w:tc>
      </w:tr>
      <w:tr>
        <w:trPr>
          <w:trHeight w:val="472" w:hRule="atLeast"/>
        </w:trPr>
        <w:tc>
          <w:tcPr>
            <w:tcW w:w="8055" w:type="dxa"/>
          </w:tcPr>
          <w:p>
            <w:pPr>
              <w:pStyle w:val="TableParagraph"/>
              <w:ind w:left="50"/>
              <w:rPr>
                <w:b/>
                <w:sz w:val="21"/>
              </w:rPr>
            </w:pPr>
            <w:r>
              <w:rPr>
                <w:sz w:val="21"/>
              </w:rPr>
              <w:t>如何申领保险金 ····························· </w:t>
            </w:r>
            <w:r>
              <w:rPr>
                <w:b/>
                <w:sz w:val="21"/>
              </w:rPr>
              <w:t>第</w:t>
            </w:r>
          </w:p>
        </w:tc>
        <w:tc>
          <w:tcPr>
            <w:tcW w:w="770" w:type="dxa"/>
          </w:tcPr>
          <w:p>
            <w:pPr>
              <w:pStyle w:val="TableParagraph"/>
              <w:jc w:val="center"/>
              <w:rPr>
                <w:b/>
                <w:sz w:val="21"/>
              </w:rPr>
            </w:pPr>
            <w:r>
              <w:rPr>
                <w:b/>
                <w:w w:val="99"/>
                <w:sz w:val="21"/>
              </w:rPr>
              <w:t>十</w:t>
            </w:r>
          </w:p>
        </w:tc>
        <w:tc>
          <w:tcPr>
            <w:tcW w:w="347" w:type="dxa"/>
          </w:tcPr>
          <w:p>
            <w:pPr>
              <w:pStyle w:val="TableParagraph"/>
              <w:ind w:left="37"/>
              <w:jc w:val="center"/>
              <w:rPr>
                <w:b/>
                <w:sz w:val="21"/>
              </w:rPr>
            </w:pPr>
            <w:r>
              <w:rPr>
                <w:b/>
                <w:w w:val="99"/>
                <w:sz w:val="21"/>
              </w:rPr>
              <w:t>条</w:t>
            </w:r>
          </w:p>
        </w:tc>
      </w:tr>
      <w:tr>
        <w:trPr>
          <w:trHeight w:val="341" w:hRule="atLeast"/>
        </w:trPr>
        <w:tc>
          <w:tcPr>
            <w:tcW w:w="8055" w:type="dxa"/>
          </w:tcPr>
          <w:p>
            <w:pPr>
              <w:pStyle w:val="TableParagraph"/>
              <w:spacing w:line="255" w:lineRule="exact"/>
              <w:ind w:left="50"/>
              <w:rPr>
                <w:b/>
                <w:sz w:val="21"/>
              </w:rPr>
            </w:pPr>
            <w:r>
              <w:rPr>
                <w:sz w:val="21"/>
              </w:rPr>
              <w:t>您有解除合同的权利，请您慎重决定 ···················· </w:t>
            </w:r>
            <w:r>
              <w:rPr>
                <w:b/>
                <w:sz w:val="21"/>
              </w:rPr>
              <w:t>第</w:t>
            </w:r>
          </w:p>
        </w:tc>
        <w:tc>
          <w:tcPr>
            <w:tcW w:w="770" w:type="dxa"/>
          </w:tcPr>
          <w:p>
            <w:pPr>
              <w:pStyle w:val="TableParagraph"/>
              <w:spacing w:line="255" w:lineRule="exact"/>
              <w:ind w:left="101" w:right="101"/>
              <w:jc w:val="center"/>
              <w:rPr>
                <w:b/>
                <w:sz w:val="21"/>
              </w:rPr>
            </w:pPr>
            <w:r>
              <w:rPr>
                <w:b/>
                <w:sz w:val="21"/>
              </w:rPr>
              <w:t>十 四</w:t>
            </w:r>
          </w:p>
        </w:tc>
        <w:tc>
          <w:tcPr>
            <w:tcW w:w="347" w:type="dxa"/>
          </w:tcPr>
          <w:p>
            <w:pPr>
              <w:pStyle w:val="TableParagraph"/>
              <w:spacing w:line="255" w:lineRule="exact"/>
              <w:ind w:left="37"/>
              <w:jc w:val="center"/>
              <w:rPr>
                <w:b/>
                <w:sz w:val="21"/>
              </w:rPr>
            </w:pPr>
            <w:r>
              <w:rPr>
                <w:b/>
                <w:w w:val="99"/>
                <w:sz w:val="21"/>
              </w:rPr>
              <w:t>条</w:t>
            </w:r>
          </w:p>
        </w:tc>
      </w:tr>
    </w:tbl>
    <w:p>
      <w:pPr>
        <w:pStyle w:val="BodyText"/>
        <w:spacing w:before="0"/>
        <w:ind w:left="0"/>
        <w:rPr>
          <w:b/>
          <w:sz w:val="20"/>
        </w:rPr>
      </w:pPr>
    </w:p>
    <w:p>
      <w:pPr>
        <w:pStyle w:val="BodyText"/>
        <w:spacing w:before="7"/>
        <w:ind w:left="0"/>
        <w:rPr>
          <w:b/>
          <w:sz w:val="14"/>
        </w:rPr>
      </w:pPr>
    </w:p>
    <w:p>
      <w:pPr>
        <w:spacing w:before="0"/>
        <w:ind w:left="3737" w:right="3773" w:firstLine="0"/>
        <w:jc w:val="center"/>
        <w:rPr>
          <w:b/>
          <w:sz w:val="21"/>
        </w:rPr>
      </w:pPr>
      <w:r>
        <w:rPr>
          <w:b/>
          <w:sz w:val="21"/>
        </w:rPr>
        <w:t>说明</w:t>
      </w:r>
    </w:p>
    <w:p>
      <w:pPr>
        <w:pStyle w:val="BodyText"/>
        <w:spacing w:before="0"/>
        <w:ind w:left="0"/>
        <w:rPr>
          <w:b/>
          <w:sz w:val="20"/>
        </w:rPr>
      </w:pPr>
    </w:p>
    <w:p>
      <w:pPr>
        <w:pStyle w:val="BodyText"/>
        <w:spacing w:before="2"/>
        <w:ind w:left="0"/>
        <w:rPr>
          <w:b/>
          <w:sz w:val="1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831"/>
        <w:gridCol w:w="3099"/>
      </w:tblGrid>
      <w:tr>
        <w:trPr>
          <w:trHeight w:val="284" w:hRule="atLeast"/>
        </w:trPr>
        <w:tc>
          <w:tcPr>
            <w:tcW w:w="1407" w:type="dxa"/>
          </w:tcPr>
          <w:p>
            <w:pPr>
              <w:pStyle w:val="TableParagraph"/>
              <w:spacing w:line="210" w:lineRule="exact" w:before="0"/>
              <w:ind w:left="50"/>
              <w:rPr>
                <w:b/>
                <w:sz w:val="21"/>
              </w:rPr>
            </w:pPr>
            <w:r>
              <w:rPr>
                <w:b/>
                <w:sz w:val="21"/>
              </w:rPr>
              <w:t>我们</w:t>
            </w:r>
          </w:p>
        </w:tc>
        <w:tc>
          <w:tcPr>
            <w:tcW w:w="831" w:type="dxa"/>
          </w:tcPr>
          <w:p>
            <w:pPr>
              <w:pStyle w:val="TableParagraph"/>
              <w:spacing w:line="210" w:lineRule="exact" w:before="0"/>
              <w:ind w:right="107"/>
              <w:jc w:val="right"/>
              <w:rPr>
                <w:b/>
                <w:sz w:val="21"/>
              </w:rPr>
            </w:pPr>
            <w:r>
              <w:rPr>
                <w:b/>
                <w:w w:val="99"/>
                <w:sz w:val="21"/>
              </w:rPr>
              <w:t>：</w:t>
            </w:r>
          </w:p>
        </w:tc>
        <w:tc>
          <w:tcPr>
            <w:tcW w:w="3099" w:type="dxa"/>
          </w:tcPr>
          <w:p>
            <w:pPr>
              <w:pStyle w:val="TableParagraph"/>
              <w:spacing w:line="210" w:lineRule="exact" w:before="0"/>
              <w:ind w:left="107"/>
              <w:rPr>
                <w:sz w:val="21"/>
              </w:rPr>
            </w:pPr>
            <w:r>
              <w:rPr>
                <w:sz w:val="21"/>
              </w:rPr>
              <w:t>指光大永明人寿保险有限公司。</w:t>
            </w:r>
          </w:p>
        </w:tc>
      </w:tr>
      <w:tr>
        <w:trPr>
          <w:trHeight w:val="358" w:hRule="atLeast"/>
        </w:trPr>
        <w:tc>
          <w:tcPr>
            <w:tcW w:w="1407" w:type="dxa"/>
          </w:tcPr>
          <w:p>
            <w:pPr>
              <w:pStyle w:val="TableParagraph"/>
              <w:spacing w:before="9"/>
              <w:ind w:left="50"/>
              <w:rPr>
                <w:b/>
                <w:sz w:val="21"/>
              </w:rPr>
            </w:pPr>
            <w:r>
              <w:rPr>
                <w:b/>
                <w:w w:val="99"/>
                <w:sz w:val="21"/>
              </w:rPr>
              <w:t>您</w:t>
            </w:r>
          </w:p>
        </w:tc>
        <w:tc>
          <w:tcPr>
            <w:tcW w:w="831" w:type="dxa"/>
          </w:tcPr>
          <w:p>
            <w:pPr>
              <w:pStyle w:val="TableParagraph"/>
              <w:spacing w:before="9"/>
              <w:ind w:right="107"/>
              <w:jc w:val="right"/>
              <w:rPr>
                <w:b/>
                <w:sz w:val="21"/>
              </w:rPr>
            </w:pPr>
            <w:r>
              <w:rPr>
                <w:b/>
                <w:w w:val="99"/>
                <w:sz w:val="21"/>
              </w:rPr>
              <w:t>：</w:t>
            </w:r>
          </w:p>
        </w:tc>
        <w:tc>
          <w:tcPr>
            <w:tcW w:w="3099" w:type="dxa"/>
          </w:tcPr>
          <w:p>
            <w:pPr>
              <w:pStyle w:val="TableParagraph"/>
              <w:spacing w:before="9"/>
              <w:ind w:left="107"/>
              <w:rPr>
                <w:sz w:val="21"/>
              </w:rPr>
            </w:pPr>
            <w:r>
              <w:rPr>
                <w:sz w:val="21"/>
              </w:rPr>
              <w:t>指投保人。</w:t>
            </w:r>
          </w:p>
        </w:tc>
      </w:tr>
      <w:tr>
        <w:trPr>
          <w:trHeight w:val="284" w:hRule="atLeast"/>
        </w:trPr>
        <w:tc>
          <w:tcPr>
            <w:tcW w:w="1407" w:type="dxa"/>
          </w:tcPr>
          <w:p>
            <w:pPr>
              <w:pStyle w:val="TableParagraph"/>
              <w:spacing w:line="255" w:lineRule="exact" w:before="9"/>
              <w:ind w:left="50"/>
              <w:rPr>
                <w:b/>
                <w:sz w:val="21"/>
              </w:rPr>
            </w:pPr>
            <w:r>
              <w:rPr>
                <w:b/>
                <w:sz w:val="21"/>
              </w:rPr>
              <w:t>保险条款</w:t>
            </w:r>
          </w:p>
        </w:tc>
        <w:tc>
          <w:tcPr>
            <w:tcW w:w="831" w:type="dxa"/>
          </w:tcPr>
          <w:p>
            <w:pPr>
              <w:pStyle w:val="TableParagraph"/>
              <w:spacing w:line="255" w:lineRule="exact" w:before="9"/>
              <w:ind w:right="107"/>
              <w:jc w:val="right"/>
              <w:rPr>
                <w:b/>
                <w:sz w:val="21"/>
              </w:rPr>
            </w:pPr>
            <w:r>
              <w:rPr>
                <w:b/>
                <w:w w:val="99"/>
                <w:sz w:val="21"/>
              </w:rPr>
              <w:t>：</w:t>
            </w:r>
          </w:p>
        </w:tc>
        <w:tc>
          <w:tcPr>
            <w:tcW w:w="3099" w:type="dxa"/>
          </w:tcPr>
          <w:p>
            <w:pPr>
              <w:pStyle w:val="TableParagraph"/>
              <w:spacing w:line="255" w:lineRule="exact" w:before="9"/>
              <w:ind w:left="107"/>
              <w:rPr>
                <w:sz w:val="21"/>
              </w:rPr>
            </w:pPr>
            <w:r>
              <w:rPr>
                <w:sz w:val="21"/>
              </w:rPr>
              <w:t>指本条款。</w:t>
            </w:r>
          </w:p>
        </w:tc>
      </w:tr>
    </w:tbl>
    <w:p>
      <w:pPr>
        <w:spacing w:after="0" w:line="255" w:lineRule="exact"/>
        <w:rPr>
          <w:sz w:val="21"/>
        </w:rPr>
        <w:sectPr>
          <w:type w:val="continuous"/>
          <w:pgSz w:w="11910" w:h="16840"/>
          <w:pgMar w:top="1600" w:bottom="280" w:left="1260" w:right="1260"/>
        </w:sectPr>
      </w:pPr>
    </w:p>
    <w:p>
      <w:pPr>
        <w:spacing w:before="1"/>
        <w:ind w:left="4082" w:right="4099" w:firstLine="0"/>
        <w:jc w:val="center"/>
        <w:rPr>
          <w:b/>
          <w:sz w:val="28"/>
        </w:rPr>
      </w:pPr>
      <w:r>
        <w:rPr>
          <w:b/>
          <w:w w:val="95"/>
          <w:sz w:val="28"/>
        </w:rPr>
        <w:t>条款目录</w:t>
      </w:r>
    </w:p>
    <w:sdt>
      <w:sdtPr>
        <w:docPartObj>
          <w:docPartGallery w:val="Table of Contents"/>
          <w:docPartUnique/>
        </w:docPartObj>
      </w:sdtPr>
      <w:sdtEndPr/>
      <w:sdtContent>
        <w:p>
          <w:pPr>
            <w:pStyle w:val="TOC1"/>
            <w:tabs>
              <w:tab w:pos="1167" w:val="left" w:leader="none"/>
              <w:tab w:pos="9177" w:val="right" w:leader="dot"/>
            </w:tabs>
            <w:spacing w:before="277"/>
          </w:pPr>
          <w:hyperlink w:history="true" w:anchor="_TOC_250016">
            <w:r>
              <w:rPr/>
              <w:t>第一部分</w:t>
              <w:tab/>
              <w:t>您与我们的合同</w:t>
              <w:tab/>
              <w:t>1</w:t>
            </w:r>
          </w:hyperlink>
        </w:p>
        <w:p>
          <w:pPr>
            <w:pStyle w:val="TOC2"/>
            <w:tabs>
              <w:tab w:pos="1167" w:val="left" w:leader="none"/>
              <w:tab w:pos="9178" w:val="right" w:leader="dot"/>
            </w:tabs>
            <w:spacing w:before="156"/>
          </w:pPr>
          <w:hyperlink w:history="true" w:anchor="_TOC_250015">
            <w:r>
              <w:rPr/>
              <w:t>第一条</w:t>
              <w:tab/>
              <w:t>附加保险合同的构成与效力</w:t>
              <w:tab/>
              <w:t>1</w:t>
            </w:r>
          </w:hyperlink>
        </w:p>
        <w:p>
          <w:pPr>
            <w:pStyle w:val="TOC2"/>
            <w:tabs>
              <w:tab w:pos="1167" w:val="left" w:leader="none"/>
              <w:tab w:pos="9178" w:val="right" w:leader="dot"/>
            </w:tabs>
          </w:pPr>
          <w:r>
            <w:rPr/>
            <w:t>第二条</w:t>
            <w:tab/>
            <w:t>本附加合同保险责任的开始</w:t>
            <w:tab/>
            <w:t>1</w:t>
          </w:r>
        </w:p>
        <w:p>
          <w:pPr>
            <w:pStyle w:val="TOC2"/>
            <w:tabs>
              <w:tab w:pos="1167" w:val="left" w:leader="none"/>
              <w:tab w:pos="9179" w:val="right" w:leader="dot"/>
            </w:tabs>
          </w:pPr>
          <w:hyperlink w:history="true" w:anchor="_TOC_250014">
            <w:r>
              <w:rPr/>
              <w:t>第三条</w:t>
              <w:tab/>
              <w:t>保险期间</w:t>
              <w:tab/>
              <w:t>1</w:t>
            </w:r>
          </w:hyperlink>
        </w:p>
        <w:p>
          <w:pPr>
            <w:pStyle w:val="TOC2"/>
            <w:tabs>
              <w:tab w:pos="1167" w:val="left" w:leader="none"/>
              <w:tab w:pos="9178" w:val="right" w:leader="dot"/>
            </w:tabs>
          </w:pPr>
          <w:r>
            <w:rPr/>
            <w:t>第四条</w:t>
            <w:tab/>
            <w:t>附加保险合同的中止</w:t>
            <w:tab/>
            <w:t>1</w:t>
          </w:r>
        </w:p>
        <w:p>
          <w:pPr>
            <w:pStyle w:val="TOC2"/>
            <w:tabs>
              <w:tab w:pos="1167" w:val="left" w:leader="none"/>
              <w:tab w:pos="9178" w:val="right" w:leader="dot"/>
            </w:tabs>
          </w:pPr>
          <w:hyperlink w:history="true" w:anchor="_TOC_250013">
            <w:r>
              <w:rPr/>
              <w:t>第五条</w:t>
              <w:tab/>
              <w:t>附加保险合同的终止</w:t>
              <w:tab/>
              <w:t>1</w:t>
            </w:r>
          </w:hyperlink>
        </w:p>
        <w:p>
          <w:pPr>
            <w:pStyle w:val="TOC1"/>
            <w:tabs>
              <w:tab w:pos="1167" w:val="left" w:leader="none"/>
              <w:tab w:pos="9177" w:val="right" w:leader="dot"/>
            </w:tabs>
          </w:pPr>
          <w:hyperlink w:history="true" w:anchor="_TOC_250012">
            <w:r>
              <w:rPr/>
              <w:t>第二部分</w:t>
              <w:tab/>
              <w:t>我们提供的保障</w:t>
              <w:tab/>
              <w:t>1</w:t>
            </w:r>
          </w:hyperlink>
        </w:p>
        <w:p>
          <w:pPr>
            <w:pStyle w:val="TOC2"/>
            <w:tabs>
              <w:tab w:pos="1167" w:val="left" w:leader="none"/>
              <w:tab w:pos="9179" w:val="right" w:leader="dot"/>
            </w:tabs>
            <w:spacing w:before="156"/>
          </w:pPr>
          <w:hyperlink w:history="true" w:anchor="_TOC_250011">
            <w:r>
              <w:rPr/>
              <w:t>第六条</w:t>
              <w:tab/>
              <w:t>保险责任</w:t>
              <w:tab/>
              <w:t>1</w:t>
            </w:r>
          </w:hyperlink>
        </w:p>
        <w:p>
          <w:pPr>
            <w:pStyle w:val="TOC2"/>
            <w:tabs>
              <w:tab w:pos="1167" w:val="left" w:leader="none"/>
              <w:tab w:pos="9179" w:val="right" w:leader="dot"/>
            </w:tabs>
          </w:pPr>
          <w:hyperlink w:history="true" w:anchor="_TOC_250010">
            <w:r>
              <w:rPr/>
              <w:t>第七条</w:t>
              <w:tab/>
              <w:t>责任免除</w:t>
              <w:tab/>
              <w:t>3</w:t>
            </w:r>
          </w:hyperlink>
        </w:p>
        <w:p>
          <w:pPr>
            <w:pStyle w:val="TOC2"/>
            <w:tabs>
              <w:tab w:pos="1167" w:val="left" w:leader="none"/>
              <w:tab w:pos="9179" w:val="right" w:leader="dot"/>
            </w:tabs>
          </w:pPr>
          <w:hyperlink w:history="true" w:anchor="_TOC_250009">
            <w:r>
              <w:rPr/>
              <w:t>第八条</w:t>
              <w:tab/>
              <w:t>保险金额</w:t>
              <w:tab/>
              <w:t>3</w:t>
            </w:r>
          </w:hyperlink>
        </w:p>
        <w:p>
          <w:pPr>
            <w:pStyle w:val="TOC2"/>
            <w:tabs>
              <w:tab w:pos="1167" w:val="left" w:leader="none"/>
              <w:tab w:pos="9178" w:val="right" w:leader="dot"/>
            </w:tabs>
          </w:pPr>
          <w:r>
            <w:rPr/>
            <w:t>第九条</w:t>
            <w:tab/>
            <w:t>保险金额的变更</w:t>
            <w:tab/>
            <w:t>3</w:t>
          </w:r>
        </w:p>
        <w:p>
          <w:pPr>
            <w:pStyle w:val="TOC1"/>
            <w:tabs>
              <w:tab w:pos="1167" w:val="left" w:leader="none"/>
              <w:tab w:pos="9177" w:val="right" w:leader="dot"/>
            </w:tabs>
          </w:pPr>
          <w:hyperlink w:history="true" w:anchor="_TOC_250008">
            <w:r>
              <w:rPr/>
              <w:t>第三部分</w:t>
              <w:tab/>
              <w:t>如何领取保险金</w:t>
              <w:tab/>
              <w:t>4</w:t>
            </w:r>
          </w:hyperlink>
        </w:p>
        <w:p>
          <w:pPr>
            <w:pStyle w:val="TOC2"/>
            <w:tabs>
              <w:tab w:pos="1167" w:val="left" w:leader="none"/>
              <w:tab w:pos="9178" w:val="right" w:leader="dot"/>
            </w:tabs>
            <w:spacing w:before="156"/>
          </w:pPr>
          <w:r>
            <w:rPr/>
            <w:t>第十条</w:t>
            <w:tab/>
            <w:t>保险金的申领</w:t>
            <w:tab/>
            <w:t>4</w:t>
          </w:r>
        </w:p>
        <w:p>
          <w:pPr>
            <w:pStyle w:val="TOC2"/>
            <w:tabs>
              <w:tab w:pos="1377" w:val="left" w:leader="none"/>
              <w:tab w:pos="9179" w:val="right" w:leader="dot"/>
            </w:tabs>
            <w:spacing w:before="37"/>
          </w:pPr>
          <w:r>
            <w:rPr/>
            <w:t>第十一条</w:t>
            <w:tab/>
            <w:t>索赔时效</w:t>
            <w:tab/>
            <w:t>4</w:t>
          </w:r>
        </w:p>
        <w:p>
          <w:pPr>
            <w:pStyle w:val="TOC2"/>
            <w:tabs>
              <w:tab w:pos="1377" w:val="left" w:leader="none"/>
              <w:tab w:pos="9179" w:val="right" w:leader="dot"/>
            </w:tabs>
            <w:spacing w:before="37"/>
          </w:pPr>
          <w:r>
            <w:rPr/>
            <w:t>第十二条</w:t>
            <w:tab/>
            <w:t>司法鉴定</w:t>
            <w:tab/>
            <w:t>4</w:t>
          </w:r>
        </w:p>
        <w:p>
          <w:pPr>
            <w:pStyle w:val="TOC1"/>
            <w:tabs>
              <w:tab w:pos="1167" w:val="left" w:leader="none"/>
              <w:tab w:pos="9177" w:val="right" w:leader="dot"/>
            </w:tabs>
          </w:pPr>
          <w:hyperlink w:history="true" w:anchor="_TOC_250007">
            <w:r>
              <w:rPr/>
              <w:t>第四部分</w:t>
              <w:tab/>
              <w:t>保险费的支付</w:t>
              <w:tab/>
              <w:t>4</w:t>
            </w:r>
          </w:hyperlink>
        </w:p>
        <w:p>
          <w:pPr>
            <w:pStyle w:val="TOC2"/>
            <w:tabs>
              <w:tab w:pos="1377" w:val="left" w:leader="none"/>
              <w:tab w:pos="9178" w:val="right" w:leader="dot"/>
            </w:tabs>
            <w:spacing w:before="156"/>
          </w:pPr>
          <w:hyperlink w:history="true" w:anchor="_TOC_250006">
            <w:r>
              <w:rPr/>
              <w:t>第十三条</w:t>
              <w:tab/>
              <w:t>保险费的支付</w:t>
              <w:tab/>
              <w:t>4</w:t>
            </w:r>
          </w:hyperlink>
        </w:p>
        <w:p>
          <w:pPr>
            <w:pStyle w:val="TOC1"/>
            <w:tabs>
              <w:tab w:pos="1167" w:val="left" w:leader="none"/>
              <w:tab w:pos="9177" w:val="right" w:leader="dot"/>
            </w:tabs>
          </w:pPr>
          <w:hyperlink w:history="true" w:anchor="_TOC_250005">
            <w:r>
              <w:rPr/>
              <w:t>第五部分</w:t>
              <w:tab/>
              <w:t>您所拥有的重要权益</w:t>
              <w:tab/>
              <w:t>5</w:t>
            </w:r>
          </w:hyperlink>
        </w:p>
        <w:p>
          <w:pPr>
            <w:pStyle w:val="TOC2"/>
            <w:tabs>
              <w:tab w:pos="1377" w:val="left" w:leader="none"/>
              <w:tab w:pos="9178" w:val="right" w:leader="dot"/>
            </w:tabs>
            <w:spacing w:before="156"/>
          </w:pPr>
          <w:hyperlink w:history="true" w:anchor="_TOC_250004">
            <w:r>
              <w:rPr/>
              <w:t>第十四条</w:t>
              <w:tab/>
              <w:t>犹豫期与合同解除权</w:t>
              <w:tab/>
              <w:t>5</w:t>
            </w:r>
          </w:hyperlink>
        </w:p>
        <w:p>
          <w:pPr>
            <w:pStyle w:val="TOC1"/>
            <w:tabs>
              <w:tab w:pos="1167" w:val="left" w:leader="none"/>
              <w:tab w:pos="9177" w:val="right" w:leader="dot"/>
            </w:tabs>
          </w:pPr>
          <w:hyperlink w:history="true" w:anchor="_TOC_250003">
            <w:r>
              <w:rPr/>
              <w:t>第六部分</w:t>
              <w:tab/>
              <w:t>其他事项</w:t>
              <w:tab/>
              <w:t>5</w:t>
            </w:r>
          </w:hyperlink>
        </w:p>
        <w:p>
          <w:pPr>
            <w:pStyle w:val="TOC2"/>
            <w:tabs>
              <w:tab w:pos="1377" w:val="left" w:leader="none"/>
              <w:tab w:pos="9179" w:val="right" w:leader="dot"/>
            </w:tabs>
            <w:spacing w:before="156"/>
          </w:pPr>
          <w:hyperlink w:history="true" w:anchor="_TOC_250002">
            <w:r>
              <w:rPr/>
              <w:t>第十五条</w:t>
              <w:tab/>
              <w:t>就医须知</w:t>
              <w:tab/>
              <w:t>5</w:t>
            </w:r>
          </w:hyperlink>
        </w:p>
        <w:p>
          <w:pPr>
            <w:pStyle w:val="TOC1"/>
            <w:tabs>
              <w:tab w:pos="1167" w:val="left" w:leader="none"/>
              <w:tab w:pos="9177" w:val="right" w:leader="dot"/>
            </w:tabs>
          </w:pPr>
          <w:hyperlink w:history="true" w:anchor="_TOC_250001">
            <w:r>
              <w:rPr/>
              <w:t>第七部分</w:t>
              <w:tab/>
              <w:t>名词释义</w:t>
              <w:tab/>
              <w:t>5</w:t>
            </w:r>
          </w:hyperlink>
        </w:p>
        <w:p>
          <w:pPr>
            <w:pStyle w:val="TOC2"/>
            <w:tabs>
              <w:tab w:pos="1377" w:val="left" w:leader="none"/>
              <w:tab w:pos="9179" w:val="right" w:leader="dot"/>
            </w:tabs>
            <w:spacing w:before="156"/>
          </w:pPr>
          <w:hyperlink w:history="true" w:anchor="_TOC_250000">
            <w:r>
              <w:rPr/>
              <w:t>第十六条</w:t>
              <w:tab/>
              <w:t>名词释义</w:t>
              <w:tab/>
              <w:t>5</w:t>
            </w:r>
          </w:hyperlink>
        </w:p>
      </w:sdtContent>
    </w:sdt>
    <w:p>
      <w:pPr>
        <w:spacing w:after="0"/>
        <w:sectPr>
          <w:pgSz w:w="11910" w:h="16840"/>
          <w:pgMar w:top="1500" w:bottom="280" w:left="1300" w:right="1320"/>
        </w:sectPr>
      </w:pPr>
    </w:p>
    <w:p>
      <w:pPr>
        <w:pStyle w:val="Heading1"/>
        <w:ind w:left="3018"/>
        <w:jc w:val="left"/>
      </w:pPr>
      <w:bookmarkStart w:name="_TOC_250016" w:id="1"/>
      <w:bookmarkEnd w:id="1"/>
      <w:r>
        <w:rPr/>
        <w:t>第一部分 您与我们的合同</w:t>
      </w:r>
    </w:p>
    <w:p>
      <w:pPr>
        <w:pStyle w:val="Heading2"/>
        <w:tabs>
          <w:tab w:pos="1377" w:val="left" w:leader="none"/>
        </w:tabs>
        <w:spacing w:before="181"/>
        <w:ind w:left="327"/>
      </w:pPr>
      <w:bookmarkStart w:name="_TOC_250015" w:id="2"/>
      <w:r>
        <w:rPr/>
        <w:t>第一条</w:t>
        <w:tab/>
      </w:r>
      <w:bookmarkEnd w:id="2"/>
      <w:r>
        <w:rPr>
          <w:w w:val="95"/>
        </w:rPr>
        <w:t>附加保险合同的构成与效力</w:t>
      </w:r>
    </w:p>
    <w:p>
      <w:pPr>
        <w:pStyle w:val="BodyText"/>
        <w:ind w:left="537"/>
      </w:pPr>
      <w:r>
        <w:rPr/>
        <w:t>本附加合同可附加于我们规定的主保险合同（</w:t>
      </w:r>
      <w:r>
        <w:rPr>
          <w:spacing w:val="-12"/>
        </w:rPr>
        <w:t>以下简称“主合同”</w:t>
      </w:r>
      <w:r>
        <w:rPr/>
        <w:t>）</w:t>
      </w:r>
      <w:r>
        <w:rPr>
          <w:spacing w:val="-1"/>
        </w:rPr>
        <w:t>上。</w:t>
      </w:r>
    </w:p>
    <w:p>
      <w:pPr>
        <w:pStyle w:val="BodyText"/>
        <w:spacing w:line="314" w:lineRule="auto"/>
        <w:ind w:right="115" w:firstLine="420"/>
      </w:pPr>
      <w:r>
        <w:rPr/>
        <w:t>主合同所包含的条款、投保书、投保提示及与本附加合同有关的其他投保文件、合法有效的声明、批注和其他书面协议，均为本附加合同的构成部分。</w:t>
      </w:r>
    </w:p>
    <w:p>
      <w:pPr>
        <w:pStyle w:val="BodyText"/>
        <w:spacing w:line="249" w:lineRule="exact" w:before="0"/>
        <w:ind w:left="537"/>
      </w:pPr>
      <w:r>
        <w:rPr/>
        <w:t>若主合同条款未作约定，或虽作约定但与本附加合同相对应的条款发生冲突的，以本附加合同</w:t>
      </w:r>
    </w:p>
    <w:p>
      <w:pPr>
        <w:tabs>
          <w:tab w:pos="1377" w:val="left" w:leader="none"/>
        </w:tabs>
        <w:spacing w:line="312" w:lineRule="auto" w:before="38"/>
        <w:ind w:left="327" w:right="3475" w:hanging="210"/>
        <w:jc w:val="left"/>
        <w:rPr>
          <w:b/>
          <w:sz w:val="21"/>
        </w:rPr>
      </w:pPr>
      <w:r>
        <w:rPr>
          <w:sz w:val="21"/>
        </w:rPr>
        <w:t>的条款为准；本附加合同条款未尽事宜，以主合同条款为准。</w:t>
      </w:r>
      <w:r>
        <w:rPr>
          <w:b/>
          <w:sz w:val="21"/>
        </w:rPr>
        <w:t>第二条</w:t>
        <w:tab/>
      </w:r>
      <w:r>
        <w:rPr>
          <w:b/>
          <w:w w:val="95"/>
          <w:sz w:val="21"/>
        </w:rPr>
        <w:t>本附加合同保险责任的开始</w:t>
      </w:r>
    </w:p>
    <w:p>
      <w:pPr>
        <w:pStyle w:val="BodyText"/>
        <w:spacing w:line="314" w:lineRule="auto" w:before="20"/>
        <w:ind w:right="115" w:firstLine="420"/>
      </w:pPr>
      <w:r>
        <w:rPr/>
        <w:t>我们在收取首期保险费并同意承保后，将签发保险单或批注作为保险凭证。我们自本附加合同生效日即保险单所载的保险单生效日的零时起承担保险责任。</w:t>
      </w:r>
    </w:p>
    <w:p>
      <w:pPr>
        <w:pStyle w:val="BodyText"/>
        <w:spacing w:line="314" w:lineRule="auto" w:before="18"/>
        <w:ind w:right="115" w:firstLine="420"/>
      </w:pPr>
      <w:r>
        <w:rPr/>
        <w:t>本附加合同的保险单周年日 </w:t>
      </w:r>
      <w:r>
        <w:rPr>
          <w:position w:val="11"/>
          <w:sz w:val="11"/>
        </w:rPr>
        <w:t>1</w:t>
      </w:r>
      <w:r>
        <w:rPr/>
        <w:t>、保险单年度、保险单月份、保险费到期日和保险合同满期日均以本附加合同生效日为基础计算。</w:t>
      </w:r>
    </w:p>
    <w:p>
      <w:pPr>
        <w:pStyle w:val="Heading2"/>
        <w:tabs>
          <w:tab w:pos="1377" w:val="left" w:leader="none"/>
        </w:tabs>
        <w:ind w:left="327"/>
      </w:pPr>
      <w:bookmarkStart w:name="_TOC_250014" w:id="3"/>
      <w:bookmarkEnd w:id="3"/>
      <w:r>
        <w:rPr/>
        <w:t>第三条</w:t>
        <w:tab/>
        <w:t>保险期间</w:t>
      </w:r>
    </w:p>
    <w:p>
      <w:pPr>
        <w:tabs>
          <w:tab w:pos="1377" w:val="left" w:leader="none"/>
        </w:tabs>
        <w:spacing w:line="336" w:lineRule="auto" w:before="40"/>
        <w:ind w:left="327" w:right="2425" w:firstLine="210"/>
        <w:jc w:val="left"/>
        <w:rPr>
          <w:b/>
          <w:sz w:val="21"/>
        </w:rPr>
      </w:pPr>
      <w:r>
        <w:rPr>
          <w:sz w:val="21"/>
        </w:rPr>
        <w:t>本合同的保险期间自保险单载明的生效日起，至被保险人身故时止。</w:t>
      </w:r>
      <w:r>
        <w:rPr>
          <w:b/>
          <w:sz w:val="21"/>
        </w:rPr>
        <w:t>第四条</w:t>
        <w:tab/>
      </w:r>
      <w:r>
        <w:rPr>
          <w:b/>
          <w:w w:val="95"/>
          <w:sz w:val="21"/>
        </w:rPr>
        <w:t>附加保险合同的中止</w:t>
      </w:r>
    </w:p>
    <w:p>
      <w:pPr>
        <w:pStyle w:val="BodyText"/>
        <w:spacing w:line="232" w:lineRule="exact" w:before="0"/>
        <w:ind w:left="537"/>
      </w:pPr>
      <w:r>
        <w:rPr/>
        <w:t>主合同中止期间，本附加合同同时中止；在合同效力中止期间，我们不承担保险责任。</w:t>
      </w:r>
    </w:p>
    <w:p>
      <w:pPr>
        <w:pStyle w:val="Heading2"/>
        <w:tabs>
          <w:tab w:pos="1377" w:val="left" w:leader="none"/>
        </w:tabs>
        <w:spacing w:before="112"/>
        <w:ind w:left="327"/>
      </w:pPr>
      <w:bookmarkStart w:name="_TOC_250013" w:id="4"/>
      <w:r>
        <w:rPr/>
        <w:t>第五条</w:t>
        <w:tab/>
      </w:r>
      <w:bookmarkEnd w:id="4"/>
      <w:r>
        <w:rPr>
          <w:w w:val="95"/>
        </w:rPr>
        <w:t>附加保险合同的终止</w:t>
      </w:r>
    </w:p>
    <w:p>
      <w:pPr>
        <w:pStyle w:val="BodyText"/>
        <w:spacing w:before="69"/>
        <w:ind w:left="537"/>
      </w:pPr>
      <w:r>
        <w:rPr/>
        <w:t>发生下列情况之一时，本附加合同终止：</w:t>
      </w:r>
    </w:p>
    <w:p>
      <w:pPr>
        <w:pStyle w:val="BodyText"/>
        <w:spacing w:before="54"/>
        <w:ind w:left="537"/>
      </w:pPr>
      <w:r>
        <w:rPr/>
        <w:t>1．本附加合同保险期间届满的；</w:t>
      </w:r>
    </w:p>
    <w:p>
      <w:pPr>
        <w:pStyle w:val="BodyText"/>
        <w:spacing w:before="66"/>
        <w:ind w:left="537"/>
      </w:pPr>
      <w:r>
        <w:rPr/>
        <w:t>2．您于本附加合同有效期内向我们申请解除本附加合同的；</w:t>
      </w:r>
    </w:p>
    <w:p>
      <w:pPr>
        <w:pStyle w:val="ListParagraph"/>
        <w:numPr>
          <w:ilvl w:val="0"/>
          <w:numId w:val="1"/>
        </w:numPr>
        <w:tabs>
          <w:tab w:pos="853" w:val="left" w:leader="none"/>
        </w:tabs>
        <w:spacing w:line="240" w:lineRule="auto" w:before="66" w:after="0"/>
        <w:ind w:left="852" w:right="0" w:hanging="315"/>
        <w:jc w:val="left"/>
        <w:rPr>
          <w:rFonts w:ascii="宋体" w:eastAsia="宋体" w:hint="eastAsia"/>
          <w:sz w:val="21"/>
        </w:rPr>
      </w:pPr>
      <w:r>
        <w:rPr>
          <w:rFonts w:ascii="宋体" w:eastAsia="宋体" w:hint="eastAsia"/>
          <w:spacing w:val="-1"/>
          <w:sz w:val="21"/>
        </w:rPr>
        <w:t>被保险人经定点医疗机构的专科医生确诊患有本附加合同约定的重大疾病的；</w:t>
      </w:r>
    </w:p>
    <w:p>
      <w:pPr>
        <w:pStyle w:val="ListParagraph"/>
        <w:numPr>
          <w:ilvl w:val="0"/>
          <w:numId w:val="1"/>
        </w:numPr>
        <w:tabs>
          <w:tab w:pos="853" w:val="left" w:leader="none"/>
        </w:tabs>
        <w:spacing w:line="240" w:lineRule="auto" w:before="67" w:after="0"/>
        <w:ind w:left="852" w:right="0" w:hanging="315"/>
        <w:jc w:val="left"/>
        <w:rPr>
          <w:rFonts w:ascii="宋体" w:eastAsia="宋体" w:hint="eastAsia"/>
          <w:sz w:val="21"/>
        </w:rPr>
      </w:pPr>
      <w:r>
        <w:rPr>
          <w:rFonts w:ascii="宋体" w:eastAsia="宋体" w:hint="eastAsia"/>
          <w:spacing w:val="-1"/>
          <w:sz w:val="21"/>
        </w:rPr>
        <w:t>本附加合同依附的主合同终止的；</w:t>
      </w:r>
    </w:p>
    <w:p>
      <w:pPr>
        <w:pStyle w:val="BodyText"/>
        <w:spacing w:before="66"/>
        <w:ind w:left="537"/>
      </w:pPr>
      <w:r>
        <w:rPr/>
        <w:t>5．因其他条款所列情形导致本附加合同终止的。</w:t>
      </w:r>
    </w:p>
    <w:p>
      <w:pPr>
        <w:pStyle w:val="BodyText"/>
        <w:spacing w:before="3"/>
        <w:ind w:left="0"/>
        <w:rPr>
          <w:sz w:val="14"/>
        </w:rPr>
      </w:pPr>
    </w:p>
    <w:p>
      <w:pPr>
        <w:pStyle w:val="Heading1"/>
        <w:spacing w:before="0"/>
        <w:ind w:left="3018"/>
        <w:jc w:val="left"/>
      </w:pPr>
      <w:bookmarkStart w:name="_TOC_250012" w:id="5"/>
      <w:bookmarkEnd w:id="5"/>
      <w:r>
        <w:rPr/>
        <w:t>第二部分 我们提供的保障</w:t>
      </w:r>
    </w:p>
    <w:p>
      <w:pPr>
        <w:pStyle w:val="Heading2"/>
        <w:tabs>
          <w:tab w:pos="1377" w:val="left" w:leader="none"/>
        </w:tabs>
        <w:spacing w:before="182"/>
        <w:ind w:left="327"/>
      </w:pPr>
      <w:bookmarkStart w:name="_TOC_250011" w:id="6"/>
      <w:bookmarkEnd w:id="6"/>
      <w:r>
        <w:rPr/>
        <w:t>第六条</w:t>
        <w:tab/>
        <w:t>保险责任</w:t>
      </w:r>
    </w:p>
    <w:p>
      <w:pPr>
        <w:pStyle w:val="BodyText"/>
        <w:spacing w:line="273" w:lineRule="auto" w:before="84"/>
        <w:ind w:left="537" w:right="4105"/>
      </w:pPr>
      <w:r>
        <w:rPr/>
        <w:t>在本附加合同有效期内，我们承担下列保险责任： 一、 医疗关爱金</w:t>
      </w:r>
    </w:p>
    <w:p>
      <w:pPr>
        <w:pStyle w:val="BodyText"/>
        <w:spacing w:line="314" w:lineRule="auto" w:before="53"/>
        <w:ind w:right="115" w:firstLine="420"/>
        <w:jc w:val="both"/>
      </w:pPr>
      <w:r>
        <w:rPr/>
        <w:t>若被保险人于本附加合同生效（或复效）日起一百八十天内，经诊断患有足以导致本附加合同约定的轻症大病的疾病时，或经诊断患有本附加合同约定的轻症大病中的一项或多项时，本附加合同及主合同同时终止。我们无息返还您累计为本附加合同及主合同已交保险费（复效情况下仅返还最后一次申请复效时您所补交的欠款及利息</w:t>
      </w:r>
      <w:r>
        <w:rPr>
          <w:spacing w:val="-105"/>
        </w:rPr>
        <w:t>）</w:t>
      </w:r>
      <w:r>
        <w:rPr/>
        <w:t>。</w:t>
      </w:r>
    </w:p>
    <w:p>
      <w:pPr>
        <w:pStyle w:val="BodyText"/>
        <w:spacing w:line="314" w:lineRule="auto" w:before="18"/>
        <w:ind w:right="115" w:firstLine="420"/>
      </w:pPr>
      <w:r>
        <w:rPr/>
        <w:t>被保险人于本附加合同生效（或复效）日起一百八十天后，经定点医疗机构的专科医生初次确</w:t>
      </w:r>
      <w:r>
        <w:rPr>
          <w:spacing w:val="-10"/>
        </w:rPr>
        <w:t>诊患有本附加合同约定的轻症大病，且确诊日在被保险人年满 </w:t>
      </w:r>
      <w:r>
        <w:rPr/>
        <w:t>75</w:t>
      </w:r>
      <w:r>
        <w:rPr>
          <w:spacing w:val="-9"/>
        </w:rPr>
        <w:t> 周岁之后的首个保险单周年日之前</w:t>
      </w:r>
    </w:p>
    <w:p>
      <w:pPr>
        <w:pStyle w:val="BodyText"/>
        <w:spacing w:line="314" w:lineRule="auto" w:before="18"/>
        <w:ind w:right="115"/>
        <w:jc w:val="center"/>
      </w:pPr>
      <w:r>
        <w:rPr/>
        <w:t>（</w:t>
      </w:r>
      <w:r>
        <w:rPr>
          <w:spacing w:val="-3"/>
        </w:rPr>
        <w:t>若保单周年日与被保险人生日是同一日期，则于被保险人 </w:t>
      </w:r>
      <w:r>
        <w:rPr/>
        <w:t>75</w:t>
      </w:r>
      <w:r>
        <w:rPr>
          <w:spacing w:val="-9"/>
        </w:rPr>
        <w:t> 周岁生日之前</w:t>
      </w:r>
      <w:r>
        <w:rPr>
          <w:spacing w:val="-106"/>
        </w:rPr>
        <w:t>）</w:t>
      </w:r>
      <w:r>
        <w:rPr>
          <w:spacing w:val="-1"/>
        </w:rPr>
        <w:t>，我们将按照被保险</w:t>
      </w:r>
      <w:r>
        <w:rPr>
          <w:spacing w:val="-3"/>
        </w:rPr>
        <w:t>人在定点医疗机构针对本轻症大病治疗所发生的实际医疗费用的 </w:t>
      </w:r>
      <w:r>
        <w:rPr/>
        <w:t>50%向被保险人给付医疗关爱金，</w:t>
      </w:r>
    </w:p>
    <w:p>
      <w:pPr>
        <w:pStyle w:val="BodyText"/>
        <w:spacing w:before="11"/>
        <w:ind w:left="0"/>
        <w:rPr>
          <w:sz w:val="12"/>
        </w:rPr>
      </w:pPr>
      <w:r>
        <w:rPr/>
        <w:pict>
          <v:line style="position:absolute;mso-position-horizontal-relative:page;mso-position-vertical-relative:paragraph;z-index:0;mso-wrap-distance-left:0;mso-wrap-distance-right:0" from="70.860001pt,10.699143pt" to="214.860001pt,10.699143pt" stroked="true" strokeweight=".54001pt" strokecolor="#000000">
            <v:stroke dashstyle="solid"/>
            <w10:wrap type="topAndBottom"/>
          </v:line>
        </w:pict>
      </w:r>
    </w:p>
    <w:p>
      <w:pPr>
        <w:spacing w:line="316" w:lineRule="auto" w:before="72"/>
        <w:ind w:left="117" w:right="160" w:firstLine="0"/>
        <w:jc w:val="left"/>
        <w:rPr>
          <w:sz w:val="18"/>
        </w:rPr>
      </w:pPr>
      <w:r>
        <w:rPr>
          <w:rFonts w:ascii="Times New Roman" w:eastAsia="Times New Roman"/>
          <w:position w:val="8"/>
          <w:sz w:val="12"/>
        </w:rPr>
        <w:t>1 </w:t>
      </w:r>
      <w:r>
        <w:rPr>
          <w:sz w:val="18"/>
        </w:rPr>
        <w:t>保险单周年日：本附加合同有效期内的每一个保险单年度内本附加合同生效日的对应日。第一个保险单周年日是指保险单生效一年后的本附加合同生效日期的对应日。</w:t>
      </w:r>
    </w:p>
    <w:p>
      <w:pPr>
        <w:spacing w:after="0" w:line="316" w:lineRule="auto"/>
        <w:jc w:val="left"/>
        <w:rPr>
          <w:sz w:val="18"/>
        </w:rPr>
        <w:sectPr>
          <w:footerReference w:type="default" r:id="rId5"/>
          <w:pgSz w:w="11910" w:h="16840"/>
          <w:pgMar w:footer="998" w:header="0" w:top="1500" w:bottom="1180" w:left="1300" w:right="1340"/>
          <w:pgNumType w:start="1"/>
        </w:sectPr>
      </w:pPr>
    </w:p>
    <w:p>
      <w:pPr>
        <w:pStyle w:val="BodyText"/>
        <w:spacing w:line="314" w:lineRule="auto" w:before="6"/>
        <w:ind w:right="115"/>
        <w:jc w:val="both"/>
      </w:pPr>
      <w:r>
        <w:rPr/>
        <w:t>针对同一轻症大病累计给付的医疗关爱金以本附加合同约定的医疗关爱保险金额为限。所产生的医疗费用中如有通过社会医疗保险或公费医疗等其他第三方已实际给付的，我们只对上述给付后的医疗费余额作为赔付的计算依据。给付医疗关爱金后，本附加合同与主合同继续有效。</w:t>
      </w:r>
    </w:p>
    <w:p>
      <w:pPr>
        <w:pStyle w:val="BodyText"/>
        <w:spacing w:line="249" w:lineRule="exact" w:before="0"/>
        <w:ind w:left="537"/>
      </w:pPr>
      <w:r>
        <w:rPr/>
        <w:t>二、 重大疾病保险金</w:t>
      </w:r>
    </w:p>
    <w:p>
      <w:pPr>
        <w:pStyle w:val="BodyText"/>
        <w:spacing w:line="314" w:lineRule="auto"/>
        <w:ind w:right="113" w:firstLine="420"/>
        <w:jc w:val="both"/>
      </w:pPr>
      <w:r>
        <w:rPr>
          <w:spacing w:val="-4"/>
        </w:rPr>
        <w:t>若被保险人于本附加合同生效</w:t>
      </w:r>
      <w:r>
        <w:rPr/>
        <w:t>（或复效</w:t>
      </w:r>
      <w:r>
        <w:rPr>
          <w:spacing w:val="-52"/>
        </w:rPr>
        <w:t>）</w:t>
      </w:r>
      <w:r>
        <w:rPr/>
        <w:t>日起一百八十天内,经诊断患有足以导致本附加合同约定的重大疾病的疾病时，或经诊断患有本附加合同约定的重大疾病中的一项或多项时，本附加合同及主合同同时终止。我们无息返还您累计为本附加合同及主合同已交保险费（复效情况下仅返还最后一次申请复效时您所补交的欠款及利息</w:t>
      </w:r>
      <w:r>
        <w:rPr>
          <w:spacing w:val="-105"/>
        </w:rPr>
        <w:t>）</w:t>
      </w:r>
      <w:r>
        <w:rPr/>
        <w:t>。</w:t>
      </w:r>
    </w:p>
    <w:p>
      <w:pPr>
        <w:pStyle w:val="BodyText"/>
        <w:spacing w:line="314" w:lineRule="auto" w:before="18"/>
        <w:ind w:right="115" w:firstLine="420"/>
        <w:jc w:val="both"/>
      </w:pPr>
      <w:r>
        <w:rPr/>
        <w:t>若被保险人于本附加合同生效（或复效）日起一百八十天后，经定点医疗机构的专科医生初次确诊患有本附加合同约定的重大疾病，且申请理赔时仍然生存的，本附加合同终止。我们按照本附加合同的重大疾病保险金额向被保险人给付重大疾病保险金。</w:t>
      </w:r>
    </w:p>
    <w:p>
      <w:pPr>
        <w:pStyle w:val="BodyText"/>
        <w:spacing w:line="314" w:lineRule="auto" w:before="18"/>
        <w:ind w:right="115" w:firstLine="420"/>
        <w:jc w:val="both"/>
      </w:pPr>
      <w:r>
        <w:rPr/>
        <w:t>我们给付重大疾病保险金后，主合同的保险金额相应减少，减少后的主合同保险金额等于原主合同保险金额减去本附加合同的保险金额。主合同约定的各项保险责任、保险单上载明的现金价值及续期保险费均按减少后的保险金额计算。</w:t>
      </w:r>
    </w:p>
    <w:p>
      <w:pPr>
        <w:pStyle w:val="BodyText"/>
        <w:spacing w:line="249" w:lineRule="exact" w:before="0"/>
        <w:ind w:left="537"/>
      </w:pPr>
      <w:r>
        <w:rPr/>
        <w:t>三、 老年长期护理保险金</w:t>
      </w:r>
    </w:p>
    <w:p>
      <w:pPr>
        <w:pStyle w:val="BodyText"/>
        <w:spacing w:line="314" w:lineRule="auto"/>
        <w:ind w:right="115" w:firstLine="420"/>
        <w:jc w:val="both"/>
      </w:pPr>
      <w:r>
        <w:rPr/>
        <w:t>若被保险人于本附加合同生效（或复效）日起一百八十天内，因初次确诊所患疾病达到本附加合同约定的长期护理状态时，或因本附加合同中止期间所患疾病达到本附加合同约定的长期护理状态时，本附加合同及主合同同时终止。我们返还您累计为本附加合同及主合同已交的保险费（复效情况下仅返还最后一次申请复效时所交保险费及利息</w:t>
      </w:r>
      <w:r>
        <w:rPr>
          <w:spacing w:val="-105"/>
        </w:rPr>
        <w:t>）</w:t>
      </w:r>
      <w:r>
        <w:rPr/>
        <w:t>。</w:t>
      </w:r>
    </w:p>
    <w:p>
      <w:pPr>
        <w:pStyle w:val="BodyText"/>
        <w:spacing w:line="314" w:lineRule="auto" w:before="19"/>
        <w:ind w:right="114" w:firstLine="420"/>
        <w:jc w:val="both"/>
      </w:pPr>
      <w:r>
        <w:rPr/>
        <w:t>若被保险人因意外伤害或于本附加合同生效（或复效）日起一百八十天后，经定点医疗机构的专科医生初次确诊患有的疾病达到本附加合同约定的长期护理状态，且初次达到长期护理状态时已</w:t>
      </w:r>
      <w:r>
        <w:rPr>
          <w:spacing w:val="-6"/>
        </w:rPr>
        <w:t>年满六十周岁，我们将自确认被保险人符合领取长期护理保险金条件之日起</w:t>
      </w:r>
      <w:r>
        <w:rPr/>
        <w:t>（含该日</w:t>
      </w:r>
      <w:r>
        <w:rPr>
          <w:spacing w:val="-70"/>
        </w:rPr>
        <w:t>）</w:t>
      </w:r>
      <w:r>
        <w:rPr>
          <w:spacing w:val="-13"/>
        </w:rPr>
        <w:t>，按照被保险人确诊时本附加合同保险金额的一百二十分之一，每月向被保险人给付长期护理保险金，累计给付长期护理保险金的年限为十年，共计一百二十次。</w:t>
      </w:r>
    </w:p>
    <w:p>
      <w:pPr>
        <w:pStyle w:val="BodyText"/>
        <w:spacing w:line="314" w:lineRule="auto" w:before="19"/>
        <w:ind w:right="115" w:firstLine="420"/>
        <w:jc w:val="both"/>
      </w:pPr>
      <w:r>
        <w:rPr/>
        <w:t>若被保险人达到本附加合同约定的给付老年长期护理保险金的条件时，我们豁免自被保险人达到长期护理状态之日起本附加合同未来各期保险费。</w:t>
      </w:r>
    </w:p>
    <w:p>
      <w:pPr>
        <w:pStyle w:val="BodyText"/>
        <w:spacing w:line="314" w:lineRule="auto" w:before="19"/>
        <w:ind w:right="115" w:firstLine="420"/>
        <w:jc w:val="both"/>
      </w:pPr>
      <w:r>
        <w:rPr/>
        <w:t>若被保险人在领取老年长期护理保险金期间内身故，我们按本附加合同的保险金额，在扣除已给付的老年长期护理保险金后，一次性向身故受益人给付未领取的老年长期护理保险金；若被保险人在我们首次给付老年长期护理保险金后，发生高度残疾或患有本附加合同约定的重大疾病中的一项或多项，我们按本附加合同的保险金额在扣除已给付的老年长期护理保险金后，一次性向被保险人给付未领取的老年长期护理保险金。</w:t>
      </w:r>
    </w:p>
    <w:p>
      <w:pPr>
        <w:pStyle w:val="BodyText"/>
        <w:spacing w:line="314" w:lineRule="auto" w:before="19"/>
        <w:ind w:right="115" w:firstLine="420"/>
        <w:jc w:val="both"/>
      </w:pPr>
      <w:r>
        <w:rPr/>
        <w:t>若我们开始给付老年长期护理保险金，则本附加合同的现金价值为零且本附加合同终止，但本项保险金给付责任将延续至老年长期护理保险金给付完毕时止；主合同的保险金额相应减少，减少后的主合同保险金额等于主合同原保险金额减去本附加合同的保险金额。主合同约定的各项保险责任、保险单上载明的现金价值及续期保险费均按减少后的保险金额计算。</w:t>
      </w:r>
    </w:p>
    <w:p>
      <w:pPr>
        <w:pStyle w:val="BodyText"/>
        <w:spacing w:before="19"/>
        <w:ind w:left="537"/>
        <w:rPr>
          <w:rFonts w:ascii="黑体" w:eastAsia="黑体" w:hint="eastAsia"/>
        </w:rPr>
      </w:pPr>
      <w:r>
        <w:rPr>
          <w:rFonts w:ascii="黑体" w:eastAsia="黑体" w:hint="eastAsia"/>
        </w:rPr>
        <w:t>特别提示您：</w:t>
      </w:r>
    </w:p>
    <w:p>
      <w:pPr>
        <w:pStyle w:val="ListParagraph"/>
        <w:numPr>
          <w:ilvl w:val="0"/>
          <w:numId w:val="2"/>
        </w:numPr>
        <w:tabs>
          <w:tab w:pos="958" w:val="left" w:leader="none"/>
        </w:tabs>
        <w:spacing w:line="314" w:lineRule="auto" w:before="84" w:after="0"/>
        <w:ind w:left="117" w:right="115" w:firstLine="420"/>
        <w:jc w:val="both"/>
        <w:rPr>
          <w:sz w:val="21"/>
        </w:rPr>
      </w:pPr>
      <w:r>
        <w:rPr>
          <w:sz w:val="21"/>
        </w:rPr>
        <w:t>若被保险人所患疾病既符合本附加合同约定的重大疾病标准又符合轻症大病标准的，我们仅承担给付重大疾病保险金责任；</w:t>
      </w:r>
    </w:p>
    <w:p>
      <w:pPr>
        <w:pStyle w:val="ListParagraph"/>
        <w:numPr>
          <w:ilvl w:val="0"/>
          <w:numId w:val="2"/>
        </w:numPr>
        <w:tabs>
          <w:tab w:pos="957" w:val="left" w:leader="none"/>
          <w:tab w:pos="958" w:val="left" w:leader="none"/>
        </w:tabs>
        <w:spacing w:line="240" w:lineRule="auto" w:before="19" w:after="0"/>
        <w:ind w:left="117" w:right="0" w:firstLine="420"/>
        <w:jc w:val="left"/>
        <w:rPr>
          <w:sz w:val="21"/>
        </w:rPr>
      </w:pPr>
      <w:r>
        <w:rPr>
          <w:sz w:val="21"/>
        </w:rPr>
        <w:t>若被保险人所患疾病既符合本附加合同约定的重大疾病标准又符合主合同约定的身体高度</w:t>
      </w:r>
    </w:p>
    <w:p>
      <w:pPr>
        <w:spacing w:after="0" w:line="240" w:lineRule="auto"/>
        <w:jc w:val="left"/>
        <w:rPr>
          <w:sz w:val="21"/>
        </w:rPr>
        <w:sectPr>
          <w:pgSz w:w="11910" w:h="16840"/>
          <w:pgMar w:header="0" w:footer="998" w:top="1420" w:bottom="1180" w:left="1300" w:right="1340"/>
        </w:sectPr>
      </w:pPr>
    </w:p>
    <w:p>
      <w:pPr>
        <w:pStyle w:val="BodyText"/>
        <w:spacing w:before="6"/>
        <w:rPr>
          <w:rFonts w:ascii="黑体" w:eastAsia="黑体" w:hint="eastAsia"/>
        </w:rPr>
      </w:pPr>
      <w:r>
        <w:rPr>
          <w:rFonts w:ascii="黑体" w:eastAsia="黑体" w:hint="eastAsia"/>
        </w:rPr>
        <w:t>残疾程度的，我们仅承担保险金额较高的一项保险责任；</w:t>
      </w:r>
    </w:p>
    <w:p>
      <w:pPr>
        <w:pStyle w:val="ListParagraph"/>
        <w:numPr>
          <w:ilvl w:val="0"/>
          <w:numId w:val="2"/>
        </w:numPr>
        <w:tabs>
          <w:tab w:pos="958" w:val="left" w:leader="none"/>
        </w:tabs>
        <w:spacing w:line="314" w:lineRule="auto" w:before="83" w:after="0"/>
        <w:ind w:left="117" w:right="114" w:firstLine="420"/>
        <w:jc w:val="both"/>
        <w:rPr>
          <w:sz w:val="21"/>
        </w:rPr>
      </w:pPr>
      <w:r>
        <w:rPr>
          <w:sz w:val="21"/>
        </w:rPr>
        <w:t>若被保险人在申领医疗关爱金之前,被保险人已经发Th符合本附加合同约定的申领重大疾病保险金或长期护理保险金的条件，但未及时向我们申请理赔的，我们将在给付重大疾病保险金或长期护理保险金时，扣除已经赔付的医疗关爱金数额后进行给付，并无息向您退还自被保险人符合申领重大疾病保险金或长期护理保险金条件之日后，您为主合同及本附加合同所支付的保险费与您应支付的保险费的差额；</w:t>
      </w:r>
    </w:p>
    <w:p>
      <w:pPr>
        <w:pStyle w:val="ListParagraph"/>
        <w:numPr>
          <w:ilvl w:val="0"/>
          <w:numId w:val="2"/>
        </w:numPr>
        <w:tabs>
          <w:tab w:pos="958" w:val="left" w:leader="none"/>
        </w:tabs>
        <w:spacing w:line="314" w:lineRule="auto" w:before="18" w:after="0"/>
        <w:ind w:left="117" w:right="114" w:firstLine="420"/>
        <w:jc w:val="both"/>
        <w:rPr>
          <w:sz w:val="21"/>
        </w:rPr>
      </w:pPr>
      <w:r>
        <w:rPr>
          <w:sz w:val="21"/>
        </w:rPr>
        <w:t>若被保险人在申领医疗关爱金之前,被保险人已经发Th符合主合同约定的申领高度残疾保险金的条件，但未及时向我们申请理赔的，我们将在给付高度残疾保险金时，扣除已经赔付的医疗关爱金数额后进行给付，并无息向您退还自被保险人符合申领高度残疾保险金条件之日后，您为主合同及本附加合同所支付的保险费。</w:t>
      </w:r>
    </w:p>
    <w:p>
      <w:pPr>
        <w:pStyle w:val="Heading2"/>
        <w:tabs>
          <w:tab w:pos="1377" w:val="left" w:leader="none"/>
        </w:tabs>
        <w:ind w:left="327"/>
      </w:pPr>
      <w:bookmarkStart w:name="_TOC_250010" w:id="7"/>
      <w:bookmarkEnd w:id="7"/>
      <w:r>
        <w:rPr/>
        <w:t>第七条</w:t>
        <w:tab/>
        <w:t>责任免除</w:t>
      </w:r>
    </w:p>
    <w:p>
      <w:pPr>
        <w:pStyle w:val="BodyText"/>
        <w:spacing w:line="314" w:lineRule="auto"/>
        <w:ind w:left="108" w:right="114" w:firstLine="420"/>
        <w:jc w:val="both"/>
        <w:rPr>
          <w:rFonts w:ascii="黑体" w:eastAsia="黑体" w:hint="eastAsia"/>
        </w:rPr>
      </w:pPr>
      <w:r>
        <w:rPr>
          <w:rFonts w:ascii="黑体" w:eastAsia="黑体" w:hint="eastAsia"/>
          <w:spacing w:val="-13"/>
        </w:rPr>
        <w:t>一、根据中国保险行业协会制定的《重大疾病保险的疾病定义使用规范》，因下列情形之一导致被保险人发Th疾病、达到疾病状态或进行手术的，我们不承担给付医疗关爱金、重大疾病保险金、老年长期护理保险金的责任：</w:t>
      </w:r>
    </w:p>
    <w:p>
      <w:pPr>
        <w:pStyle w:val="ListParagraph"/>
        <w:numPr>
          <w:ilvl w:val="0"/>
          <w:numId w:val="3"/>
        </w:numPr>
        <w:tabs>
          <w:tab w:pos="957" w:val="left" w:leader="none"/>
          <w:tab w:pos="958" w:val="left" w:leader="none"/>
        </w:tabs>
        <w:spacing w:line="240" w:lineRule="auto" w:before="18" w:after="0"/>
        <w:ind w:left="957" w:right="0" w:hanging="420"/>
        <w:jc w:val="left"/>
        <w:rPr>
          <w:sz w:val="21"/>
        </w:rPr>
      </w:pPr>
      <w:r>
        <w:rPr>
          <w:sz w:val="21"/>
        </w:rPr>
        <w:t>您对被保险人的故意杀害、故意伤害；</w:t>
      </w:r>
    </w:p>
    <w:p>
      <w:pPr>
        <w:pStyle w:val="ListParagraph"/>
        <w:numPr>
          <w:ilvl w:val="0"/>
          <w:numId w:val="3"/>
        </w:numPr>
        <w:tabs>
          <w:tab w:pos="957" w:val="left" w:leader="none"/>
          <w:tab w:pos="958" w:val="left" w:leader="none"/>
        </w:tabs>
        <w:spacing w:line="240" w:lineRule="auto" w:before="83" w:after="0"/>
        <w:ind w:left="957" w:right="0" w:hanging="420"/>
        <w:jc w:val="left"/>
        <w:rPr>
          <w:sz w:val="21"/>
        </w:rPr>
      </w:pPr>
      <w:r>
        <w:rPr>
          <w:sz w:val="21"/>
        </w:rPr>
        <w:t>被保险人故意犯罪、拒捕、斗殴、自杀、自伤身体及服用、吸食或注射毒品；</w:t>
      </w:r>
    </w:p>
    <w:p>
      <w:pPr>
        <w:pStyle w:val="ListParagraph"/>
        <w:numPr>
          <w:ilvl w:val="0"/>
          <w:numId w:val="3"/>
        </w:numPr>
        <w:tabs>
          <w:tab w:pos="957" w:val="left" w:leader="none"/>
          <w:tab w:pos="958" w:val="left" w:leader="none"/>
        </w:tabs>
        <w:spacing w:line="240" w:lineRule="auto" w:before="83" w:after="0"/>
        <w:ind w:left="957" w:right="0" w:hanging="420"/>
        <w:jc w:val="left"/>
        <w:rPr>
          <w:sz w:val="21"/>
        </w:rPr>
      </w:pPr>
      <w:r>
        <w:rPr>
          <w:sz w:val="21"/>
        </w:rPr>
        <w:t>被保险人酒后驾驶、无合法有效驾驶证驾驶，或驾驶无有效行驶证的机动车；</w:t>
      </w:r>
    </w:p>
    <w:p>
      <w:pPr>
        <w:pStyle w:val="ListParagraph"/>
        <w:numPr>
          <w:ilvl w:val="0"/>
          <w:numId w:val="3"/>
        </w:numPr>
        <w:tabs>
          <w:tab w:pos="957" w:val="left" w:leader="none"/>
          <w:tab w:pos="958" w:val="left" w:leader="none"/>
        </w:tabs>
        <w:spacing w:line="240" w:lineRule="auto" w:before="83" w:after="0"/>
        <w:ind w:left="957" w:right="0" w:hanging="420"/>
        <w:jc w:val="left"/>
        <w:rPr>
          <w:sz w:val="21"/>
        </w:rPr>
      </w:pPr>
      <w:r>
        <w:rPr>
          <w:sz w:val="21"/>
        </w:rPr>
        <w:t>被保险人感染艾滋病病毒或患艾滋病；</w:t>
      </w:r>
    </w:p>
    <w:p>
      <w:pPr>
        <w:pStyle w:val="ListParagraph"/>
        <w:numPr>
          <w:ilvl w:val="0"/>
          <w:numId w:val="3"/>
        </w:numPr>
        <w:tabs>
          <w:tab w:pos="957" w:val="left" w:leader="none"/>
          <w:tab w:pos="958" w:val="left" w:leader="none"/>
        </w:tabs>
        <w:spacing w:line="240" w:lineRule="auto" w:before="83" w:after="0"/>
        <w:ind w:left="957" w:right="0" w:hanging="420"/>
        <w:jc w:val="left"/>
        <w:rPr>
          <w:sz w:val="21"/>
        </w:rPr>
      </w:pPr>
      <w:r>
        <w:rPr>
          <w:sz w:val="21"/>
        </w:rPr>
        <w:t>战争、军事冲突、暴乱或武装叛乱；</w:t>
      </w:r>
    </w:p>
    <w:p>
      <w:pPr>
        <w:pStyle w:val="ListParagraph"/>
        <w:numPr>
          <w:ilvl w:val="0"/>
          <w:numId w:val="3"/>
        </w:numPr>
        <w:tabs>
          <w:tab w:pos="957" w:val="left" w:leader="none"/>
          <w:tab w:pos="958" w:val="left" w:leader="none"/>
        </w:tabs>
        <w:spacing w:line="240" w:lineRule="auto" w:before="83" w:after="0"/>
        <w:ind w:left="957" w:right="0" w:hanging="420"/>
        <w:jc w:val="left"/>
        <w:rPr>
          <w:sz w:val="21"/>
        </w:rPr>
      </w:pPr>
      <w:r>
        <w:rPr>
          <w:sz w:val="21"/>
        </w:rPr>
        <w:t>核爆炸、核辐射或核污染；</w:t>
      </w:r>
    </w:p>
    <w:p>
      <w:pPr>
        <w:pStyle w:val="ListParagraph"/>
        <w:numPr>
          <w:ilvl w:val="0"/>
          <w:numId w:val="3"/>
        </w:numPr>
        <w:tabs>
          <w:tab w:pos="957" w:val="left" w:leader="none"/>
          <w:tab w:pos="958" w:val="left" w:leader="none"/>
        </w:tabs>
        <w:spacing w:line="240" w:lineRule="auto" w:before="83" w:after="0"/>
        <w:ind w:left="957" w:right="0" w:hanging="420"/>
        <w:jc w:val="left"/>
        <w:rPr>
          <w:sz w:val="21"/>
        </w:rPr>
      </w:pPr>
      <w:r>
        <w:rPr>
          <w:sz w:val="21"/>
        </w:rPr>
        <w:t>遗传性疾病，先天性畸形、变形或染色体异常；</w:t>
      </w:r>
    </w:p>
    <w:p>
      <w:pPr>
        <w:pStyle w:val="ListParagraph"/>
        <w:numPr>
          <w:ilvl w:val="0"/>
          <w:numId w:val="3"/>
        </w:numPr>
        <w:tabs>
          <w:tab w:pos="957" w:val="left" w:leader="none"/>
          <w:tab w:pos="958" w:val="left" w:leader="none"/>
        </w:tabs>
        <w:spacing w:line="240" w:lineRule="auto" w:before="83" w:after="0"/>
        <w:ind w:left="957" w:right="0" w:hanging="420"/>
        <w:jc w:val="left"/>
        <w:rPr>
          <w:sz w:val="21"/>
        </w:rPr>
      </w:pPr>
      <w:r>
        <w:rPr>
          <w:sz w:val="21"/>
        </w:rPr>
        <w:t>被保险人投保前已经发现而投保后治疗的疾病。</w:t>
      </w:r>
    </w:p>
    <w:p>
      <w:pPr>
        <w:pStyle w:val="BodyText"/>
        <w:spacing w:line="314" w:lineRule="auto"/>
        <w:ind w:right="115" w:firstLine="420"/>
        <w:jc w:val="both"/>
        <w:rPr>
          <w:rFonts w:ascii="黑体" w:eastAsia="黑体" w:hint="eastAsia"/>
        </w:rPr>
      </w:pPr>
      <w:r>
        <w:rPr>
          <w:rFonts w:ascii="黑体" w:eastAsia="黑体" w:hint="eastAsia"/>
        </w:rPr>
        <w:t>二、因上述情形之一导致被保险人发Th本附加合同约定的轻症大病、重大疾病或达到本附加合同约定的长期护理状态时，本附加合同和主合同终止。除法律及本附加合同另有规定外，我们将于收到下列证明材料后三十日内向您退还本附加合同终止时的保险单现金价值，及主合同终止时的现金价值及主合同项下红利累计账户余额。</w:t>
      </w:r>
    </w:p>
    <w:p>
      <w:pPr>
        <w:pStyle w:val="BodyText"/>
        <w:spacing w:line="249" w:lineRule="exact" w:before="0"/>
        <w:ind w:left="537"/>
        <w:rPr>
          <w:rFonts w:ascii="黑体" w:eastAsia="黑体" w:hint="eastAsia"/>
        </w:rPr>
      </w:pPr>
      <w:r>
        <w:rPr>
          <w:rFonts w:ascii="黑体" w:eastAsia="黑体" w:hint="eastAsia"/>
        </w:rPr>
        <w:t>1． 本附加合同；</w:t>
      </w:r>
    </w:p>
    <w:p>
      <w:pPr>
        <w:pStyle w:val="BodyText"/>
        <w:ind w:left="537"/>
        <w:rPr>
          <w:rFonts w:ascii="黑体" w:eastAsia="黑体" w:hint="eastAsia"/>
        </w:rPr>
      </w:pPr>
      <w:r>
        <w:rPr>
          <w:rFonts w:ascii="黑体" w:eastAsia="黑体" w:hint="eastAsia"/>
        </w:rPr>
        <w:t>2． 您的身份证明。</w:t>
      </w:r>
    </w:p>
    <w:p>
      <w:pPr>
        <w:pStyle w:val="Heading2"/>
        <w:tabs>
          <w:tab w:pos="1377" w:val="left" w:leader="none"/>
        </w:tabs>
        <w:spacing w:before="83"/>
        <w:ind w:left="327"/>
      </w:pPr>
      <w:bookmarkStart w:name="_TOC_250009" w:id="8"/>
      <w:bookmarkEnd w:id="8"/>
      <w:r>
        <w:rPr/>
        <w:t>第八条</w:t>
        <w:tab/>
        <w:t>保险金额</w:t>
      </w:r>
    </w:p>
    <w:p>
      <w:pPr>
        <w:pStyle w:val="BodyText"/>
        <w:ind w:left="557"/>
      </w:pPr>
      <w:r>
        <w:rPr/>
        <w:t>一、医疗关爱保险金额：</w:t>
      </w:r>
    </w:p>
    <w:p>
      <w:pPr>
        <w:pStyle w:val="ListParagraph"/>
        <w:numPr>
          <w:ilvl w:val="0"/>
          <w:numId w:val="4"/>
        </w:numPr>
        <w:tabs>
          <w:tab w:pos="957" w:val="left" w:leader="none"/>
          <w:tab w:pos="958" w:val="left" w:leader="none"/>
        </w:tabs>
        <w:spacing w:line="314" w:lineRule="auto" w:before="83" w:after="0"/>
        <w:ind w:left="957" w:right="114" w:hanging="420"/>
        <w:jc w:val="left"/>
        <w:rPr>
          <w:rFonts w:ascii="宋体" w:eastAsia="宋体" w:hint="eastAsia"/>
          <w:sz w:val="21"/>
        </w:rPr>
      </w:pPr>
      <w:r>
        <w:rPr>
          <w:rFonts w:ascii="宋体" w:eastAsia="宋体" w:hint="eastAsia"/>
          <w:spacing w:val="-10"/>
          <w:sz w:val="21"/>
        </w:rPr>
        <w:t>被保险人未满 </w:t>
      </w:r>
      <w:r>
        <w:rPr>
          <w:rFonts w:ascii="宋体" w:eastAsia="宋体" w:hint="eastAsia"/>
          <w:sz w:val="21"/>
        </w:rPr>
        <w:t>18</w:t>
      </w:r>
      <w:r>
        <w:rPr>
          <w:rFonts w:ascii="宋体" w:eastAsia="宋体" w:hint="eastAsia"/>
          <w:spacing w:val="-14"/>
          <w:sz w:val="21"/>
        </w:rPr>
        <w:t> 周岁的，医疗关爱保险金额等于您累计为本附加合同及《光大永明富贵延年终身寿险（分红型）》支付的保险费之和；</w:t>
      </w:r>
    </w:p>
    <w:p>
      <w:pPr>
        <w:pStyle w:val="ListParagraph"/>
        <w:numPr>
          <w:ilvl w:val="0"/>
          <w:numId w:val="4"/>
        </w:numPr>
        <w:tabs>
          <w:tab w:pos="957" w:val="left" w:leader="none"/>
          <w:tab w:pos="958" w:val="left" w:leader="none"/>
        </w:tabs>
        <w:spacing w:line="314" w:lineRule="auto" w:before="18" w:after="0"/>
        <w:ind w:left="557" w:right="1113" w:hanging="20"/>
        <w:jc w:val="left"/>
        <w:rPr>
          <w:rFonts w:ascii="宋体" w:eastAsia="宋体" w:hint="eastAsia"/>
          <w:sz w:val="21"/>
        </w:rPr>
      </w:pPr>
      <w:r>
        <w:rPr>
          <w:rFonts w:ascii="宋体" w:eastAsia="宋体" w:hint="eastAsia"/>
          <w:spacing w:val="-9"/>
          <w:sz w:val="21"/>
        </w:rPr>
        <w:t>被保险人已满 </w:t>
      </w:r>
      <w:r>
        <w:rPr>
          <w:rFonts w:ascii="宋体" w:eastAsia="宋体" w:hint="eastAsia"/>
          <w:sz w:val="21"/>
        </w:rPr>
        <w:t>18</w:t>
      </w:r>
      <w:r>
        <w:rPr>
          <w:rFonts w:ascii="宋体" w:eastAsia="宋体" w:hint="eastAsia"/>
          <w:spacing w:val="-11"/>
          <w:sz w:val="21"/>
        </w:rPr>
        <w:t> 周岁的，医疗关爱保险金额等于本附加合同保险金额的 </w:t>
      </w:r>
      <w:r>
        <w:rPr>
          <w:rFonts w:ascii="宋体" w:eastAsia="宋体" w:hint="eastAsia"/>
          <w:sz w:val="21"/>
        </w:rPr>
        <w:t>20%。二、重大疾病保险金额：</w:t>
      </w:r>
    </w:p>
    <w:p>
      <w:pPr>
        <w:pStyle w:val="ListParagraph"/>
        <w:numPr>
          <w:ilvl w:val="0"/>
          <w:numId w:val="5"/>
        </w:numPr>
        <w:tabs>
          <w:tab w:pos="957" w:val="left" w:leader="none"/>
          <w:tab w:pos="958" w:val="left" w:leader="none"/>
        </w:tabs>
        <w:spacing w:line="314" w:lineRule="auto" w:before="18" w:after="0"/>
        <w:ind w:left="957" w:right="114" w:hanging="420"/>
        <w:jc w:val="left"/>
        <w:rPr>
          <w:rFonts w:ascii="宋体" w:eastAsia="宋体" w:hint="eastAsia"/>
          <w:sz w:val="21"/>
        </w:rPr>
      </w:pPr>
      <w:r>
        <w:rPr>
          <w:rFonts w:ascii="宋体" w:eastAsia="宋体" w:hint="eastAsia"/>
          <w:spacing w:val="-10"/>
          <w:sz w:val="21"/>
        </w:rPr>
        <w:t>被保险人未满 </w:t>
      </w:r>
      <w:r>
        <w:rPr>
          <w:rFonts w:ascii="宋体" w:eastAsia="宋体" w:hint="eastAsia"/>
          <w:sz w:val="21"/>
        </w:rPr>
        <w:t>18</w:t>
      </w:r>
      <w:r>
        <w:rPr>
          <w:rFonts w:ascii="宋体" w:eastAsia="宋体" w:hint="eastAsia"/>
          <w:spacing w:val="-14"/>
          <w:sz w:val="21"/>
        </w:rPr>
        <w:t> 周岁的，重大疾病保险金额等于您累计为本附加合同及《光大永明富贵延年终身寿险（分红型）》支付的保险费之和；</w:t>
      </w:r>
    </w:p>
    <w:p>
      <w:pPr>
        <w:pStyle w:val="ListParagraph"/>
        <w:numPr>
          <w:ilvl w:val="0"/>
          <w:numId w:val="5"/>
        </w:numPr>
        <w:tabs>
          <w:tab w:pos="957" w:val="left" w:leader="none"/>
          <w:tab w:pos="958" w:val="left" w:leader="none"/>
          <w:tab w:pos="1377" w:val="left" w:leader="none"/>
        </w:tabs>
        <w:spacing w:line="314" w:lineRule="auto" w:before="18" w:after="0"/>
        <w:ind w:left="327" w:right="1901" w:firstLine="210"/>
        <w:jc w:val="left"/>
        <w:rPr>
          <w:rFonts w:ascii="宋体" w:eastAsia="宋体" w:hint="eastAsia"/>
          <w:b/>
          <w:sz w:val="21"/>
        </w:rPr>
      </w:pPr>
      <w:r>
        <w:rPr>
          <w:rFonts w:ascii="宋体" w:eastAsia="宋体" w:hint="eastAsia"/>
          <w:sz w:val="21"/>
        </w:rPr>
        <w:t>被保险人已满</w:t>
      </w:r>
      <w:r>
        <w:rPr>
          <w:rFonts w:ascii="宋体" w:eastAsia="宋体" w:hint="eastAsia"/>
          <w:spacing w:val="-64"/>
          <w:sz w:val="21"/>
        </w:rPr>
        <w:t> </w:t>
      </w:r>
      <w:r>
        <w:rPr>
          <w:rFonts w:ascii="宋体" w:eastAsia="宋体" w:hint="eastAsia"/>
          <w:sz w:val="21"/>
        </w:rPr>
        <w:t>18</w:t>
      </w:r>
      <w:r>
        <w:rPr>
          <w:rFonts w:ascii="宋体" w:eastAsia="宋体" w:hint="eastAsia"/>
          <w:spacing w:val="-64"/>
          <w:sz w:val="21"/>
        </w:rPr>
        <w:t> </w:t>
      </w:r>
      <w:r>
        <w:rPr>
          <w:rFonts w:ascii="宋体" w:eastAsia="宋体" w:hint="eastAsia"/>
          <w:sz w:val="21"/>
        </w:rPr>
        <w:t>周岁的，重大疾病保险金等于本附加合同保险金额。</w:t>
      </w:r>
      <w:r>
        <w:rPr>
          <w:rFonts w:ascii="宋体" w:eastAsia="宋体" w:hint="eastAsia"/>
          <w:b/>
          <w:sz w:val="21"/>
        </w:rPr>
        <w:t>第九条</w:t>
        <w:tab/>
      </w:r>
      <w:r>
        <w:rPr>
          <w:rFonts w:ascii="宋体" w:eastAsia="宋体" w:hint="eastAsia"/>
          <w:b/>
          <w:w w:val="95"/>
          <w:sz w:val="21"/>
        </w:rPr>
        <w:t>保险金额的变更</w:t>
      </w:r>
    </w:p>
    <w:p>
      <w:pPr>
        <w:pStyle w:val="BodyText"/>
        <w:spacing w:before="18"/>
        <w:ind w:left="537"/>
      </w:pPr>
      <w:r>
        <w:rPr/>
        <w:t>若您申请减少本合同的保险金额，本合同的保险金额以减少后的金额为准。减少后的保险金额</w:t>
      </w:r>
    </w:p>
    <w:p>
      <w:pPr>
        <w:spacing w:after="0"/>
        <w:sectPr>
          <w:pgSz w:w="11910" w:h="16840"/>
          <w:pgMar w:header="0" w:footer="998" w:top="1420" w:bottom="1180" w:left="1300" w:right="1340"/>
        </w:sectPr>
      </w:pPr>
    </w:p>
    <w:p>
      <w:pPr>
        <w:pStyle w:val="BodyText"/>
        <w:spacing w:line="314" w:lineRule="auto" w:before="6"/>
        <w:ind w:right="195"/>
      </w:pPr>
      <w:r>
        <w:rPr/>
        <w:t>不得低于申请减额时我们的最低承保金额。其减少的部分视为您解除合同，我们将退还给您减少部分所对应的当时的现金价值净额。</w:t>
      </w:r>
    </w:p>
    <w:p>
      <w:pPr>
        <w:pStyle w:val="Heading1"/>
        <w:spacing w:before="94"/>
        <w:ind w:right="3077"/>
      </w:pPr>
      <w:bookmarkStart w:name="_TOC_250008" w:id="9"/>
      <w:bookmarkEnd w:id="9"/>
      <w:r>
        <w:rPr/>
        <w:t>第三部分 如何领取保险金</w:t>
      </w:r>
    </w:p>
    <w:p>
      <w:pPr>
        <w:tabs>
          <w:tab w:pos="1377" w:val="left" w:leader="none"/>
        </w:tabs>
        <w:spacing w:line="314" w:lineRule="auto" w:before="182"/>
        <w:ind w:left="537" w:right="6701" w:hanging="210"/>
        <w:jc w:val="left"/>
        <w:rPr>
          <w:sz w:val="21"/>
        </w:rPr>
      </w:pPr>
      <w:r>
        <w:rPr>
          <w:b/>
          <w:sz w:val="21"/>
        </w:rPr>
        <w:t>第十条</w:t>
        <w:tab/>
      </w:r>
      <w:r>
        <w:rPr>
          <w:b/>
          <w:w w:val="95"/>
          <w:sz w:val="21"/>
        </w:rPr>
        <w:t>保险金的申领 </w:t>
      </w:r>
      <w:r>
        <w:rPr>
          <w:sz w:val="21"/>
        </w:rPr>
        <w:t>一、医疗关爱金</w:t>
      </w:r>
    </w:p>
    <w:p>
      <w:pPr>
        <w:pStyle w:val="BodyText"/>
        <w:spacing w:line="314" w:lineRule="auto" w:before="18"/>
        <w:ind w:right="195" w:firstLine="420"/>
      </w:pPr>
      <w:r>
        <w:rPr/>
        <w:t>若被保险人经定点医疗机构的专科医生确诊患有本附加合同约定的轻症疾病中的一项或多项， 被保险人需填写保险金给付申请书并凭下列证明材料向我们申请理赔：</w:t>
      </w:r>
    </w:p>
    <w:p>
      <w:pPr>
        <w:pStyle w:val="ListParagraph"/>
        <w:numPr>
          <w:ilvl w:val="0"/>
          <w:numId w:val="6"/>
        </w:numPr>
        <w:tabs>
          <w:tab w:pos="853" w:val="left" w:leader="none"/>
        </w:tabs>
        <w:spacing w:line="240" w:lineRule="auto" w:before="18" w:after="0"/>
        <w:ind w:left="537" w:right="0" w:firstLine="0"/>
        <w:jc w:val="left"/>
        <w:rPr>
          <w:rFonts w:ascii="宋体" w:eastAsia="宋体" w:hint="eastAsia"/>
          <w:sz w:val="21"/>
        </w:rPr>
      </w:pPr>
      <w:r>
        <w:rPr>
          <w:rFonts w:ascii="宋体" w:eastAsia="宋体" w:hint="eastAsia"/>
          <w:spacing w:val="-1"/>
          <w:sz w:val="21"/>
        </w:rPr>
        <w:t>本附加合同；</w:t>
      </w:r>
    </w:p>
    <w:p>
      <w:pPr>
        <w:pStyle w:val="ListParagraph"/>
        <w:numPr>
          <w:ilvl w:val="0"/>
          <w:numId w:val="6"/>
        </w:numPr>
        <w:tabs>
          <w:tab w:pos="853" w:val="left" w:leader="none"/>
        </w:tabs>
        <w:spacing w:line="240" w:lineRule="auto" w:before="84" w:after="0"/>
        <w:ind w:left="852" w:right="0" w:hanging="315"/>
        <w:jc w:val="left"/>
        <w:rPr>
          <w:rFonts w:ascii="宋体" w:eastAsia="宋体" w:hint="eastAsia"/>
          <w:sz w:val="21"/>
        </w:rPr>
      </w:pPr>
      <w:r>
        <w:rPr>
          <w:rFonts w:ascii="宋体" w:eastAsia="宋体" w:hint="eastAsia"/>
          <w:spacing w:val="-1"/>
          <w:sz w:val="21"/>
        </w:rPr>
        <w:t>被保险人的身份证明及索赔权利证明；</w:t>
      </w:r>
    </w:p>
    <w:p>
      <w:pPr>
        <w:pStyle w:val="ListParagraph"/>
        <w:numPr>
          <w:ilvl w:val="0"/>
          <w:numId w:val="6"/>
        </w:numPr>
        <w:tabs>
          <w:tab w:pos="853" w:val="left" w:leader="none"/>
        </w:tabs>
        <w:spacing w:line="240" w:lineRule="auto" w:before="84" w:after="0"/>
        <w:ind w:left="852" w:right="0" w:hanging="315"/>
        <w:jc w:val="left"/>
        <w:rPr>
          <w:rFonts w:ascii="宋体" w:eastAsia="宋体" w:hint="eastAsia"/>
          <w:sz w:val="21"/>
        </w:rPr>
      </w:pPr>
      <w:r>
        <w:rPr>
          <w:rFonts w:ascii="宋体" w:eastAsia="宋体" w:hint="eastAsia"/>
          <w:spacing w:val="-1"/>
          <w:sz w:val="21"/>
        </w:rPr>
        <w:t>定点医疗机构的专科医生出具的诊断证明、治疗费用的原始凭证和费用清单、诊治记录；</w:t>
      </w:r>
    </w:p>
    <w:p>
      <w:pPr>
        <w:pStyle w:val="ListParagraph"/>
        <w:numPr>
          <w:ilvl w:val="0"/>
          <w:numId w:val="6"/>
        </w:numPr>
        <w:tabs>
          <w:tab w:pos="853" w:val="left" w:leader="none"/>
        </w:tabs>
        <w:spacing w:line="314" w:lineRule="auto" w:before="84" w:after="0"/>
        <w:ind w:left="537" w:right="2820" w:firstLine="0"/>
        <w:jc w:val="left"/>
        <w:rPr>
          <w:rFonts w:ascii="宋体" w:eastAsia="宋体" w:hint="eastAsia"/>
          <w:sz w:val="21"/>
        </w:rPr>
      </w:pPr>
      <w:r>
        <w:rPr>
          <w:rFonts w:ascii="宋体" w:eastAsia="宋体" w:hint="eastAsia"/>
          <w:sz w:val="21"/>
        </w:rPr>
        <w:t>我们所需且被保险人能够提供的与保险事故有关的其他材料。二、重大疾病保险金和长期护理保险金</w:t>
      </w:r>
    </w:p>
    <w:p>
      <w:pPr>
        <w:pStyle w:val="BodyText"/>
        <w:spacing w:line="314" w:lineRule="auto" w:before="19"/>
        <w:ind w:right="195" w:firstLine="420"/>
        <w:jc w:val="both"/>
      </w:pPr>
      <w:r>
        <w:rPr/>
        <w:t>若被保险人经定点医疗机构的专科医生确诊患有本附加合同约定的重大疾病中的一项或多项， 或诊断明确符合本条款规定的长期护理状态时，被保险人需填写保险金给付申请书并凭下列证明材料向我们申请理赔：</w:t>
      </w:r>
    </w:p>
    <w:p>
      <w:pPr>
        <w:pStyle w:val="ListParagraph"/>
        <w:numPr>
          <w:ilvl w:val="0"/>
          <w:numId w:val="7"/>
        </w:numPr>
        <w:tabs>
          <w:tab w:pos="853" w:val="left" w:leader="none"/>
        </w:tabs>
        <w:spacing w:line="240" w:lineRule="auto" w:before="19" w:after="0"/>
        <w:ind w:left="852" w:right="0" w:hanging="315"/>
        <w:jc w:val="left"/>
        <w:rPr>
          <w:rFonts w:ascii="宋体" w:eastAsia="宋体" w:hint="eastAsia"/>
          <w:sz w:val="21"/>
        </w:rPr>
      </w:pPr>
      <w:r>
        <w:rPr>
          <w:rFonts w:ascii="宋体" w:eastAsia="宋体" w:hint="eastAsia"/>
          <w:spacing w:val="-1"/>
          <w:sz w:val="21"/>
        </w:rPr>
        <w:t>本附加合同；</w:t>
      </w:r>
    </w:p>
    <w:p>
      <w:pPr>
        <w:pStyle w:val="ListParagraph"/>
        <w:numPr>
          <w:ilvl w:val="0"/>
          <w:numId w:val="7"/>
        </w:numPr>
        <w:tabs>
          <w:tab w:pos="853" w:val="left" w:leader="none"/>
        </w:tabs>
        <w:spacing w:line="240" w:lineRule="auto" w:before="84" w:after="0"/>
        <w:ind w:left="852" w:right="0" w:hanging="315"/>
        <w:jc w:val="left"/>
        <w:rPr>
          <w:rFonts w:ascii="宋体" w:eastAsia="宋体" w:hint="eastAsia"/>
          <w:sz w:val="21"/>
        </w:rPr>
      </w:pPr>
      <w:r>
        <w:rPr>
          <w:rFonts w:ascii="宋体" w:eastAsia="宋体" w:hint="eastAsia"/>
          <w:spacing w:val="-1"/>
          <w:sz w:val="21"/>
        </w:rPr>
        <w:t>被保险人的身份证明及索赔权利证明；</w:t>
      </w:r>
    </w:p>
    <w:p>
      <w:pPr>
        <w:pStyle w:val="ListParagraph"/>
        <w:numPr>
          <w:ilvl w:val="0"/>
          <w:numId w:val="7"/>
        </w:numPr>
        <w:tabs>
          <w:tab w:pos="853" w:val="left" w:leader="none"/>
        </w:tabs>
        <w:spacing w:line="240" w:lineRule="auto" w:before="84" w:after="0"/>
        <w:ind w:left="852" w:right="0" w:hanging="315"/>
        <w:jc w:val="left"/>
        <w:rPr>
          <w:rFonts w:ascii="宋体" w:eastAsia="宋体" w:hint="eastAsia"/>
          <w:sz w:val="21"/>
        </w:rPr>
      </w:pPr>
      <w:r>
        <w:rPr>
          <w:rFonts w:ascii="宋体" w:eastAsia="宋体" w:hint="eastAsia"/>
          <w:spacing w:val="-1"/>
          <w:sz w:val="21"/>
        </w:rPr>
        <w:t>定点医疗机构的专科医生出具的诊断证明以及相关资料；</w:t>
      </w:r>
    </w:p>
    <w:p>
      <w:pPr>
        <w:pStyle w:val="ListParagraph"/>
        <w:numPr>
          <w:ilvl w:val="0"/>
          <w:numId w:val="7"/>
        </w:numPr>
        <w:tabs>
          <w:tab w:pos="853" w:val="left" w:leader="none"/>
        </w:tabs>
        <w:spacing w:line="240" w:lineRule="auto" w:before="84" w:after="0"/>
        <w:ind w:left="852" w:right="0" w:hanging="315"/>
        <w:jc w:val="left"/>
        <w:rPr>
          <w:rFonts w:ascii="宋体" w:eastAsia="宋体" w:hint="eastAsia"/>
          <w:sz w:val="21"/>
        </w:rPr>
      </w:pPr>
      <w:r>
        <w:rPr>
          <w:rFonts w:ascii="宋体" w:eastAsia="宋体" w:hint="eastAsia"/>
          <w:spacing w:val="-1"/>
          <w:sz w:val="21"/>
        </w:rPr>
        <w:t>我们所需且被保险人能够提供的与保险事故有关的其他材料。</w:t>
      </w:r>
    </w:p>
    <w:p>
      <w:pPr>
        <w:pStyle w:val="BodyText"/>
        <w:spacing w:line="273" w:lineRule="auto" w:before="39"/>
        <w:ind w:right="195" w:firstLine="420"/>
        <w:jc w:val="both"/>
      </w:pPr>
      <w:r>
        <w:rPr/>
        <w:t>我们收到申请人上述保险金给付申请书及所列的证明材料后，对确属保险责任范围的，在与申请人达成有关给付保险金数额的协议后十天内，履行给付保险金责任；对不属于保险责任范围的， 向申请人发出拒绝给付保险金通知书。</w:t>
      </w:r>
    </w:p>
    <w:p>
      <w:pPr>
        <w:pStyle w:val="BodyText"/>
        <w:spacing w:line="273" w:lineRule="auto" w:before="8"/>
        <w:ind w:right="114" w:firstLine="420"/>
      </w:pPr>
      <w:r>
        <w:rPr>
          <w:spacing w:val="-1"/>
        </w:rPr>
        <w:t>我们自收到申请人的保险金给付申请书及本条所列的证明材料之日起六十天内，对属于保险责</w:t>
      </w:r>
      <w:r>
        <w:rPr>
          <w:spacing w:val="-8"/>
        </w:rPr>
        <w:t>任而给付保险金的数额暂时不能确定的，根据已有的证明材料，按可以确定的最低数额先予以支付， 我们最终确定给付保险金数额后，再支付相应的差额。</w:t>
      </w:r>
    </w:p>
    <w:p>
      <w:pPr>
        <w:pStyle w:val="BodyText"/>
        <w:tabs>
          <w:tab w:pos="1377" w:val="left" w:leader="none"/>
        </w:tabs>
        <w:spacing w:line="312" w:lineRule="auto" w:before="8"/>
        <w:ind w:left="327" w:right="195" w:firstLine="210"/>
        <w:rPr>
          <w:b/>
        </w:rPr>
      </w:pPr>
      <w:r>
        <w:rPr/>
        <w:t>保险金作为被保险人的遗产时，必须提供可证明其为被保险人的合法继承人的相关证明文件。</w:t>
      </w:r>
      <w:r>
        <w:rPr>
          <w:b/>
        </w:rPr>
        <w:t>第十一条</w:t>
        <w:tab/>
        <w:t>索赔时效</w:t>
      </w:r>
    </w:p>
    <w:p>
      <w:pPr>
        <w:pStyle w:val="BodyText"/>
        <w:spacing w:line="253" w:lineRule="exact" w:before="0"/>
        <w:ind w:left="537"/>
      </w:pPr>
      <w:r>
        <w:rPr/>
        <w:t>本附加合同的索赔权利人向我们请求给付保险金的诉讼时效期间为两年，自其知道或应当知道</w:t>
      </w:r>
    </w:p>
    <w:p>
      <w:pPr>
        <w:tabs>
          <w:tab w:pos="1377" w:val="left" w:leader="none"/>
        </w:tabs>
        <w:spacing w:line="338" w:lineRule="auto" w:before="67"/>
        <w:ind w:left="327" w:right="6705" w:hanging="210"/>
        <w:jc w:val="left"/>
        <w:rPr>
          <w:b/>
          <w:sz w:val="21"/>
        </w:rPr>
      </w:pPr>
      <w:r>
        <w:rPr>
          <w:sz w:val="21"/>
        </w:rPr>
        <w:t>保险事故发生之日起计算。</w:t>
      </w:r>
      <w:r>
        <w:rPr>
          <w:b/>
          <w:sz w:val="21"/>
        </w:rPr>
        <w:t>第十二条</w:t>
        <w:tab/>
        <w:t>司法鉴定</w:t>
      </w:r>
    </w:p>
    <w:p>
      <w:pPr>
        <w:pStyle w:val="BodyText"/>
        <w:spacing w:line="230" w:lineRule="exact" w:before="0"/>
        <w:ind w:left="537"/>
      </w:pPr>
      <w:r>
        <w:rPr/>
        <w:t>如果被保险人与我们就是否达到本附加合同约定的理赔程度或条件发生争议时，我们有权申请</w:t>
      </w:r>
    </w:p>
    <w:p>
      <w:pPr>
        <w:pStyle w:val="BodyText"/>
        <w:spacing w:before="68"/>
      </w:pPr>
      <w:r>
        <w:rPr/>
        <w:t>司法鉴定机构对被保险人进行相关鉴定，以确定其原因及程度等。</w:t>
      </w:r>
    </w:p>
    <w:p>
      <w:pPr>
        <w:pStyle w:val="BodyText"/>
        <w:spacing w:before="2"/>
        <w:ind w:left="0"/>
        <w:rPr>
          <w:sz w:val="14"/>
        </w:rPr>
      </w:pPr>
    </w:p>
    <w:p>
      <w:pPr>
        <w:pStyle w:val="Heading1"/>
        <w:spacing w:before="0"/>
        <w:ind w:right="3077"/>
      </w:pPr>
      <w:bookmarkStart w:name="_TOC_250007" w:id="10"/>
      <w:bookmarkEnd w:id="10"/>
      <w:r>
        <w:rPr/>
        <w:t>第四部分 保险费的支付</w:t>
      </w:r>
    </w:p>
    <w:p>
      <w:pPr>
        <w:pStyle w:val="Heading2"/>
        <w:tabs>
          <w:tab w:pos="1377" w:val="left" w:leader="none"/>
        </w:tabs>
        <w:spacing w:before="181"/>
        <w:ind w:left="327"/>
      </w:pPr>
      <w:bookmarkStart w:name="_TOC_250006" w:id="11"/>
      <w:r>
        <w:rPr/>
        <w:t>第十三条</w:t>
        <w:tab/>
      </w:r>
      <w:bookmarkEnd w:id="11"/>
      <w:r>
        <w:rPr>
          <w:w w:val="95"/>
        </w:rPr>
        <w:t>保险费的支付</w:t>
      </w:r>
    </w:p>
    <w:p>
      <w:pPr>
        <w:pStyle w:val="BodyText"/>
        <w:spacing w:line="300" w:lineRule="auto" w:before="40"/>
        <w:ind w:right="195" w:firstLine="420"/>
      </w:pPr>
      <w:r>
        <w:rPr/>
        <w:t>本附加合同的交费方式由您与我们约定，并在保险合同中载明。如果您选择分期支付保险费， 在支付首期保险费以后，您应按照本附加合同的约定在每个保险费到期日向我们支付续期保险费。</w:t>
      </w:r>
    </w:p>
    <w:p>
      <w:pPr>
        <w:spacing w:after="0" w:line="300" w:lineRule="auto"/>
        <w:sectPr>
          <w:pgSz w:w="11910" w:h="16840"/>
          <w:pgMar w:header="0" w:footer="998" w:top="1420" w:bottom="1180" w:left="1300" w:right="1260"/>
        </w:sectPr>
      </w:pPr>
    </w:p>
    <w:p>
      <w:pPr>
        <w:pStyle w:val="Heading1"/>
        <w:ind w:left="2738"/>
        <w:jc w:val="left"/>
      </w:pPr>
      <w:bookmarkStart w:name="_TOC_250005" w:id="12"/>
      <w:bookmarkEnd w:id="12"/>
      <w:r>
        <w:rPr/>
        <w:t>第五部分 您所拥有的重要权益</w:t>
      </w:r>
    </w:p>
    <w:p>
      <w:pPr>
        <w:pStyle w:val="Heading2"/>
        <w:tabs>
          <w:tab w:pos="1377" w:val="left" w:leader="none"/>
        </w:tabs>
        <w:spacing w:before="181"/>
        <w:ind w:left="327"/>
      </w:pPr>
      <w:bookmarkStart w:name="_TOC_250004" w:id="13"/>
      <w:r>
        <w:rPr/>
        <w:t>第十四条</w:t>
        <w:tab/>
      </w:r>
      <w:bookmarkEnd w:id="13"/>
      <w:r>
        <w:rPr>
          <w:w w:val="95"/>
        </w:rPr>
        <w:t>犹豫期与合同解除权</w:t>
      </w:r>
    </w:p>
    <w:p>
      <w:pPr>
        <w:pStyle w:val="BodyText"/>
        <w:spacing w:line="273" w:lineRule="auto" w:before="39"/>
        <w:ind w:right="279" w:firstLine="358"/>
        <w:jc w:val="both"/>
      </w:pPr>
      <w:r>
        <w:rPr/>
        <w:t>在本附加合同有效期内，您可随时申请解除本附加合同。我们收到解除合同申请书时，本附加</w:t>
      </w:r>
      <w:r>
        <w:rPr>
          <w:spacing w:val="-4"/>
        </w:rPr>
        <w:t>合同终止。为了让您能够更清楚地了解相关的保险条款和内容，以及有更多的考虑时间，自您签收本附加合同次日起十天内为犹豫期。</w:t>
      </w:r>
    </w:p>
    <w:p>
      <w:pPr>
        <w:pStyle w:val="BodyText"/>
        <w:spacing w:line="273" w:lineRule="auto" w:before="8"/>
        <w:ind w:right="263" w:firstLine="420"/>
      </w:pPr>
      <w:r>
        <w:rPr/>
        <w:t>一、若您在犹豫期内要求解除本附加合同，我们将于收到本条第三款所列的证明材料并扣除十元工本费后无息退还已收的全部保险费，本附加合同自始无效。</w:t>
      </w:r>
    </w:p>
    <w:p>
      <w:pPr>
        <w:pStyle w:val="BodyText"/>
        <w:spacing w:line="273" w:lineRule="auto" w:before="8"/>
        <w:ind w:right="263" w:firstLine="420"/>
      </w:pPr>
      <w:r>
        <w:rPr/>
        <w:t>二、在我们未给付首次重大疾病保险金情况下，若您在犹豫期后要求解除本附加合同，我们将于收到本条第三款所列证明材料后三十日内向您退还本附加合同终止时的现金价值净额。</w:t>
      </w:r>
    </w:p>
    <w:p>
      <w:pPr>
        <w:pStyle w:val="BodyText"/>
        <w:spacing w:before="8"/>
        <w:ind w:left="537"/>
      </w:pPr>
      <w:r>
        <w:rPr/>
        <w:t>三、您要求解除本附加合同时，应提供下列证明材料：</w:t>
      </w:r>
    </w:p>
    <w:p>
      <w:pPr>
        <w:pStyle w:val="BodyText"/>
        <w:spacing w:before="37"/>
        <w:ind w:left="537"/>
      </w:pPr>
      <w:r>
        <w:rPr/>
        <w:t>1．本附加合同；</w:t>
      </w:r>
    </w:p>
    <w:p>
      <w:pPr>
        <w:pStyle w:val="BodyText"/>
        <w:spacing w:before="37"/>
        <w:ind w:left="537"/>
      </w:pPr>
      <w:r>
        <w:rPr/>
        <w:t>2．解除合同申请书；</w:t>
      </w:r>
    </w:p>
    <w:p>
      <w:pPr>
        <w:pStyle w:val="BodyText"/>
        <w:spacing w:before="37"/>
        <w:ind w:left="537"/>
      </w:pPr>
      <w:r>
        <w:rPr/>
        <w:t>3．您的身份证明。</w:t>
      </w:r>
    </w:p>
    <w:p>
      <w:pPr>
        <w:pStyle w:val="BodyText"/>
        <w:spacing w:before="0"/>
        <w:ind w:left="0"/>
        <w:rPr>
          <w:sz w:val="11"/>
        </w:rPr>
      </w:pPr>
    </w:p>
    <w:p>
      <w:pPr>
        <w:pStyle w:val="Heading1"/>
        <w:spacing w:before="13"/>
        <w:ind w:left="3421" w:right="3558"/>
      </w:pPr>
      <w:bookmarkStart w:name="_TOC_250003" w:id="14"/>
      <w:bookmarkEnd w:id="14"/>
      <w:r>
        <w:rPr/>
        <w:t>第六部分 其他事项</w:t>
      </w:r>
    </w:p>
    <w:p>
      <w:pPr>
        <w:pStyle w:val="Heading2"/>
        <w:tabs>
          <w:tab w:pos="1377" w:val="left" w:leader="none"/>
        </w:tabs>
        <w:spacing w:before="181"/>
        <w:ind w:left="327"/>
      </w:pPr>
      <w:bookmarkStart w:name="_TOC_250002" w:id="15"/>
      <w:bookmarkEnd w:id="15"/>
      <w:r>
        <w:rPr/>
        <w:t>第十五条</w:t>
        <w:tab/>
        <w:t>就医须知</w:t>
      </w:r>
    </w:p>
    <w:p>
      <w:pPr>
        <w:pStyle w:val="BodyText"/>
        <w:spacing w:line="273" w:lineRule="auto" w:before="39"/>
        <w:ind w:right="174" w:firstLine="420"/>
      </w:pPr>
      <w:r>
        <w:rPr>
          <w:spacing w:val="-6"/>
        </w:rPr>
        <w:t>被保险人须在定点医疗机构接受治疗，但被保险人确需紧急抢救的不受此限制；在病情稳定后， 应将被保险人转入定点医疗机构继续治疗。</w:t>
      </w:r>
    </w:p>
    <w:p>
      <w:pPr>
        <w:pStyle w:val="Heading1"/>
        <w:spacing w:before="128"/>
        <w:ind w:left="3421" w:right="3558"/>
      </w:pPr>
      <w:bookmarkStart w:name="_TOC_250001" w:id="16"/>
      <w:bookmarkEnd w:id="16"/>
      <w:r>
        <w:rPr/>
        <w:t>第七部分 名词释义</w:t>
      </w:r>
    </w:p>
    <w:p>
      <w:pPr>
        <w:pStyle w:val="Heading2"/>
        <w:tabs>
          <w:tab w:pos="1377" w:val="left" w:leader="none"/>
        </w:tabs>
        <w:spacing w:before="181"/>
        <w:ind w:left="327"/>
      </w:pPr>
      <w:bookmarkStart w:name="_TOC_250000" w:id="17"/>
      <w:bookmarkEnd w:id="17"/>
      <w:r>
        <w:rPr/>
        <w:t>第十六条</w:t>
        <w:tab/>
        <w:t>名词释义</w:t>
      </w:r>
    </w:p>
    <w:p>
      <w:pPr>
        <w:pStyle w:val="BodyText"/>
        <w:tabs>
          <w:tab w:pos="2001" w:val="left" w:leader="none"/>
        </w:tabs>
        <w:spacing w:line="314" w:lineRule="auto"/>
        <w:ind w:left="2001" w:right="212" w:hanging="1884"/>
      </w:pPr>
      <w:r>
        <w:rPr>
          <w:b/>
        </w:rPr>
        <w:t>实际医疗费用：</w:t>
        <w:tab/>
      </w:r>
      <w:r>
        <w:rPr/>
        <w:t>是指包括诊疗费、麻醉费、手术费、抢救费、床位费、药品费、化验费、检查 费、护理费、治疗费、材料费等在医院内支出的费用。</w:t>
      </w:r>
    </w:p>
    <w:p>
      <w:pPr>
        <w:pStyle w:val="BodyText"/>
        <w:tabs>
          <w:tab w:pos="2001" w:val="left" w:leader="none"/>
        </w:tabs>
        <w:spacing w:line="314" w:lineRule="auto" w:before="18"/>
        <w:ind w:left="2001" w:right="212" w:hanging="1884"/>
      </w:pPr>
      <w:r>
        <w:rPr>
          <w:b/>
        </w:rPr>
        <w:t>意外伤害：</w:t>
        <w:tab/>
      </w:r>
      <w:r>
        <w:rPr/>
        <w:t>是指因遭受意外事故并以此为直接且单独原因导致的身体伤害。意外事故指外 来的、非本意的、突然的、剧烈的、非疾病的意外事件。</w:t>
      </w:r>
    </w:p>
    <w:p>
      <w:pPr>
        <w:pStyle w:val="BodyText"/>
        <w:tabs>
          <w:tab w:pos="2001" w:val="left" w:leader="none"/>
        </w:tabs>
        <w:spacing w:line="314" w:lineRule="auto" w:before="18"/>
        <w:ind w:left="2001" w:right="212" w:hanging="1884"/>
      </w:pPr>
      <w:r>
        <w:rPr>
          <w:b/>
        </w:rPr>
        <w:t>遗传性疾病：</w:t>
        <w:tab/>
      </w:r>
      <w:r>
        <w:rPr/>
        <w:t>指生殖细胞或受精卵的遗传物质（染色体和基因）发生突变或畸变所引起的疾 病，通常具有由亲代传至后代的垂直传递的特征。</w:t>
      </w:r>
    </w:p>
    <w:p>
      <w:pPr>
        <w:spacing w:after="0" w:line="314" w:lineRule="auto"/>
        <w:sectPr>
          <w:pgSz w:w="11910" w:h="16840"/>
          <w:pgMar w:header="0" w:footer="998" w:top="1500" w:bottom="1180" w:left="1300" w:right="1200"/>
        </w:sectPr>
      </w:pPr>
    </w:p>
    <w:p>
      <w:pPr>
        <w:pStyle w:val="Heading2"/>
        <w:spacing w:line="314" w:lineRule="auto"/>
      </w:pPr>
      <w:r>
        <w:rPr>
          <w:w w:val="95"/>
        </w:rPr>
        <w:t>先天性畸形、变形或染色体异常：</w:t>
      </w:r>
    </w:p>
    <w:p>
      <w:pPr>
        <w:pStyle w:val="BodyText"/>
        <w:spacing w:before="10"/>
        <w:ind w:left="0"/>
        <w:rPr>
          <w:b/>
          <w:sz w:val="28"/>
        </w:rPr>
      </w:pPr>
    </w:p>
    <w:p>
      <w:pPr>
        <w:spacing w:line="314" w:lineRule="auto" w:before="1"/>
        <w:ind w:left="117" w:right="1" w:firstLine="0"/>
        <w:jc w:val="left"/>
        <w:rPr>
          <w:b/>
          <w:sz w:val="21"/>
        </w:rPr>
      </w:pPr>
      <w:r>
        <w:rPr>
          <w:b/>
          <w:sz w:val="21"/>
        </w:rPr>
        <w:t>六项基本日常生活：</w:t>
      </w:r>
    </w:p>
    <w:p>
      <w:pPr>
        <w:pStyle w:val="BodyText"/>
        <w:spacing w:line="314" w:lineRule="auto" w:before="18"/>
        <w:ind w:right="105"/>
      </w:pPr>
      <w:r>
        <w:rPr/>
        <w:br w:type="column"/>
      </w:r>
      <w:r>
        <w:rPr/>
        <w:t>指被保险人出生时就具有的畸形、变形或染色体异常。先天性畸形、变形和染</w:t>
      </w:r>
      <w:r>
        <w:rPr>
          <w:spacing w:val="-5"/>
        </w:rPr>
        <w:t>色体异常依照世界卫生组织《疾病和有关健康问题的国际统计分类》</w:t>
      </w:r>
      <w:r>
        <w:rPr/>
        <w:t>（ICD-10） 确定。</w:t>
      </w:r>
    </w:p>
    <w:p>
      <w:pPr>
        <w:pStyle w:val="BodyText"/>
        <w:spacing w:before="18"/>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pPr>
      <w:r>
        <w:rPr/>
        <w:t>（6）洗澡：自己进行淋浴或盆浴</w:t>
      </w:r>
    </w:p>
    <w:p>
      <w:pPr>
        <w:spacing w:after="0"/>
        <w:sectPr>
          <w:type w:val="continuous"/>
          <w:pgSz w:w="11910" w:h="16840"/>
          <w:pgMar w:top="1600" w:bottom="280" w:left="1300" w:right="1200"/>
          <w:cols w:num="2" w:equalWidth="0">
            <w:col w:w="1787" w:space="97"/>
            <w:col w:w="7526"/>
          </w:cols>
        </w:sectPr>
      </w:pPr>
    </w:p>
    <w:p>
      <w:pPr>
        <w:pStyle w:val="BodyText"/>
        <w:tabs>
          <w:tab w:pos="2001" w:val="left" w:leader="none"/>
        </w:tabs>
        <w:spacing w:line="314" w:lineRule="auto"/>
        <w:ind w:left="2001" w:right="212" w:hanging="1884"/>
      </w:pPr>
      <w:r>
        <w:rPr>
          <w:b/>
        </w:rPr>
        <w:t>定点医疗机构：</w:t>
        <w:tab/>
      </w:r>
      <w:r>
        <w:rPr/>
        <w:t>我们为被保险人提供多家不同层次的专业医疗机构名单，供被保险人在此范围 内选择，定点医疗机构名单请见合同附件。</w:t>
      </w:r>
    </w:p>
    <w:p>
      <w:pPr>
        <w:pStyle w:val="BodyText"/>
        <w:tabs>
          <w:tab w:pos="2001" w:val="left" w:leader="none"/>
        </w:tabs>
        <w:spacing w:line="314" w:lineRule="auto" w:before="18"/>
        <w:ind w:left="2001" w:right="209" w:hanging="1884"/>
      </w:pPr>
      <w:r>
        <w:rPr>
          <w:b/>
          <w:spacing w:val="0"/>
          <w:w w:val="99"/>
        </w:rPr>
        <w:t>专科医</w:t>
      </w:r>
      <w:r>
        <w:rPr>
          <w:b/>
          <w:w w:val="99"/>
        </w:rPr>
        <w:t>生：</w:t>
      </w:r>
      <w:r>
        <w:rPr>
          <w:b/>
        </w:rPr>
        <w:tab/>
      </w:r>
      <w:r>
        <w:rPr/>
        <w:t>专科医生应当同时满足以下四项资格条件</w:t>
      </w:r>
      <w:r>
        <w:rPr>
          <w:spacing w:val="-158"/>
        </w:rPr>
        <w:t>：</w:t>
      </w:r>
      <w:r>
        <w:rPr/>
        <w:t>（1</w:t>
      </w:r>
      <w:r>
        <w:rPr>
          <w:spacing w:val="-55"/>
        </w:rPr>
        <w:t>）</w:t>
      </w:r>
      <w:r>
        <w:rPr/>
        <w:t>具有有效的中华人民共和</w:t>
      </w:r>
      <w:r>
        <w:rPr>
          <w:spacing w:val="-53"/>
        </w:rPr>
        <w:t>国</w:t>
      </w:r>
      <w:r>
        <w:rPr/>
        <w:t>《医</w:t>
      </w:r>
      <w:r>
        <w:rPr>
          <w:spacing w:val="0"/>
        </w:rPr>
        <w:t>师资格证书</w:t>
      </w:r>
      <w:r>
        <w:rPr>
          <w:spacing w:val="-102"/>
        </w:rPr>
        <w:t>》</w:t>
      </w:r>
      <w:r>
        <w:rPr>
          <w:spacing w:val="-104"/>
        </w:rPr>
        <w:t>；</w:t>
      </w:r>
      <w:r>
        <w:rPr>
          <w:spacing w:val="0"/>
        </w:rPr>
        <w:t>（2）具有有效的中</w:t>
      </w:r>
      <w:r>
        <w:rPr>
          <w:spacing w:val="1"/>
        </w:rPr>
        <w:t>华</w:t>
      </w:r>
      <w:r>
        <w:rPr>
          <w:spacing w:val="0"/>
        </w:rPr>
        <w:t>人民共和</w:t>
      </w:r>
      <w:r>
        <w:rPr>
          <w:spacing w:val="1"/>
        </w:rPr>
        <w:t>国</w:t>
      </w:r>
      <w:r>
        <w:rPr>
          <w:spacing w:val="0"/>
        </w:rPr>
        <w:t>《医师执</w:t>
      </w:r>
      <w:r>
        <w:rPr>
          <w:spacing w:val="1"/>
        </w:rPr>
        <w:t>业</w:t>
      </w:r>
      <w:r>
        <w:rPr>
          <w:spacing w:val="0"/>
        </w:rPr>
        <w:t>证书</w:t>
      </w:r>
      <w:r>
        <w:rPr>
          <w:spacing w:val="-103"/>
        </w:rPr>
        <w:t>》</w:t>
      </w:r>
      <w:r>
        <w:rPr>
          <w:spacing w:val="0"/>
        </w:rPr>
        <w:t>，并</w:t>
      </w:r>
      <w:r>
        <w:rPr>
          <w:spacing w:val="1"/>
        </w:rPr>
        <w:t>按</w:t>
      </w:r>
      <w:r>
        <w:rPr>
          <w:spacing w:val="0"/>
        </w:rPr>
        <w:t>期到相</w:t>
      </w:r>
    </w:p>
    <w:p>
      <w:pPr>
        <w:spacing w:after="0" w:line="314" w:lineRule="auto"/>
        <w:sectPr>
          <w:type w:val="continuous"/>
          <w:pgSz w:w="11910" w:h="16840"/>
          <w:pgMar w:top="1600" w:bottom="280" w:left="1300" w:right="1200"/>
        </w:sectPr>
      </w:pPr>
    </w:p>
    <w:p>
      <w:pPr>
        <w:pStyle w:val="BodyText"/>
        <w:spacing w:line="314" w:lineRule="auto" w:before="6"/>
        <w:ind w:left="2001" w:right="210"/>
        <w:jc w:val="both"/>
      </w:pPr>
      <w:r>
        <w:rPr>
          <w:spacing w:val="-13"/>
        </w:rPr>
        <w:t>关部门登记注册；</w:t>
      </w:r>
      <w:r>
        <w:rPr>
          <w:spacing w:val="0"/>
        </w:rPr>
        <w:t>（3）</w:t>
      </w:r>
      <w:r>
        <w:rPr/>
        <w:t>具有有效的中华人民共和国主治医师或主治医师以上职</w:t>
      </w:r>
      <w:r>
        <w:rPr>
          <w:spacing w:val="-25"/>
        </w:rPr>
        <w:t>称的《医师职称证书》；</w:t>
      </w:r>
      <w:r>
        <w:rPr/>
        <w:t>（4</w:t>
      </w:r>
      <w:r>
        <w:rPr>
          <w:spacing w:val="-18"/>
        </w:rPr>
        <w:t>）</w:t>
      </w:r>
      <w:r>
        <w:rPr>
          <w:spacing w:val="-1"/>
        </w:rPr>
        <w:t>在二级或二级以上医院的相应科室从事临床工作三年以上。</w:t>
      </w:r>
    </w:p>
    <w:p>
      <w:pPr>
        <w:pStyle w:val="BodyText"/>
        <w:tabs>
          <w:tab w:pos="2001" w:val="left" w:leader="none"/>
        </w:tabs>
        <w:spacing w:line="314" w:lineRule="auto" w:before="18"/>
        <w:ind w:left="2001" w:right="212" w:hanging="1884"/>
      </w:pPr>
      <w:r>
        <w:rPr>
          <w:b/>
        </w:rPr>
        <w:t>确诊：</w:t>
        <w:tab/>
      </w:r>
      <w:r>
        <w:rPr/>
        <w:t>是指专科医生针对患者临床症状，通过相应特异性化验、检验、查体和影像检 查等医学手段，对患者是否确实符合某项疾病指征所作出的病情诊断。</w:t>
      </w:r>
    </w:p>
    <w:p>
      <w:pPr>
        <w:pStyle w:val="BodyText"/>
        <w:tabs>
          <w:tab w:pos="2001" w:val="left" w:leader="none"/>
        </w:tabs>
        <w:spacing w:line="314" w:lineRule="auto" w:before="18"/>
        <w:ind w:left="2001" w:right="212" w:hanging="1884"/>
      </w:pPr>
      <w:r>
        <w:rPr>
          <w:b/>
        </w:rPr>
        <w:t>现金价值：</w:t>
        <w:tab/>
      </w:r>
      <w:r>
        <w:rPr/>
        <w:t>指保险单所具有的价值，通常体现为解除合同时，根据精算原理计算的，由我 们退还的那部分金额。</w:t>
      </w:r>
    </w:p>
    <w:p>
      <w:pPr>
        <w:pStyle w:val="BodyText"/>
        <w:tabs>
          <w:tab w:pos="2001" w:val="left" w:leader="none"/>
        </w:tabs>
        <w:spacing w:line="294" w:lineRule="exact" w:before="0"/>
      </w:pPr>
      <w:r>
        <w:rPr>
          <w:b/>
          <w:position w:val="2"/>
        </w:rPr>
        <w:t>现金价值净额</w:t>
        <w:tab/>
      </w:r>
      <w:r>
        <w:rPr/>
        <w:t>现金价值扣除保险单借款和垫交保险费及上述款项应付利息后的余额。</w:t>
      </w:r>
    </w:p>
    <w:p>
      <w:pPr>
        <w:pStyle w:val="BodyText"/>
        <w:tabs>
          <w:tab w:pos="2001" w:val="left" w:leader="none"/>
        </w:tabs>
        <w:spacing w:line="314" w:lineRule="auto" w:before="98"/>
        <w:ind w:left="2001" w:right="105" w:hanging="1884"/>
      </w:pPr>
      <w:r>
        <w:rPr>
          <w:b/>
        </w:rPr>
        <w:t>毒品：</w:t>
        <w:tab/>
      </w:r>
      <w:r>
        <w:rPr/>
        <w:t>指中华人民共和国刑法规定的鸦片、海洛因、甲基苯丙胺（冰毒）、吗啡、大 麻</w:t>
      </w:r>
      <w:r>
        <w:rPr>
          <w:spacing w:val="-54"/>
        </w:rPr>
        <w:t>、</w:t>
      </w:r>
      <w:r>
        <w:rPr/>
        <w:t>可卡因以及国家规定管制的其他能够使人形成瘾癖的麻醉药品和精神药品， </w:t>
      </w:r>
      <w:r>
        <w:rPr>
          <w:spacing w:val="6"/>
        </w:rPr>
        <w:t>但不包括</w:t>
      </w:r>
      <w:r>
        <w:rPr>
          <w:spacing w:val="5"/>
        </w:rPr>
        <w:t>由</w:t>
      </w:r>
      <w:r>
        <w:rPr>
          <w:spacing w:val="6"/>
        </w:rPr>
        <w:t>医生开具</w:t>
      </w:r>
      <w:r>
        <w:rPr>
          <w:spacing w:val="5"/>
        </w:rPr>
        <w:t>并</w:t>
      </w:r>
      <w:r>
        <w:rPr>
          <w:spacing w:val="6"/>
        </w:rPr>
        <w:t>遵医嘱使</w:t>
      </w:r>
      <w:r>
        <w:rPr>
          <w:spacing w:val="5"/>
        </w:rPr>
        <w:t>用</w:t>
      </w:r>
      <w:r>
        <w:rPr>
          <w:spacing w:val="6"/>
        </w:rPr>
        <w:t>的用于治</w:t>
      </w:r>
      <w:r>
        <w:rPr>
          <w:spacing w:val="5"/>
        </w:rPr>
        <w:t>疗</w:t>
      </w:r>
      <w:r>
        <w:rPr>
          <w:spacing w:val="6"/>
        </w:rPr>
        <w:t>疾病但含</w:t>
      </w:r>
      <w:r>
        <w:rPr>
          <w:spacing w:val="5"/>
        </w:rPr>
        <w:t>有</w:t>
      </w:r>
      <w:r>
        <w:rPr>
          <w:spacing w:val="6"/>
        </w:rPr>
        <w:t>毒品成分</w:t>
      </w:r>
      <w:r>
        <w:rPr>
          <w:spacing w:val="5"/>
        </w:rPr>
        <w:t>的</w:t>
      </w:r>
      <w:r>
        <w:rPr>
          <w:spacing w:val="6"/>
        </w:rPr>
        <w:t>处方药</w:t>
      </w:r>
      <w:r>
        <w:rPr/>
        <w:t>品。</w:t>
      </w:r>
    </w:p>
    <w:p>
      <w:pPr>
        <w:pStyle w:val="BodyText"/>
        <w:spacing w:line="314" w:lineRule="auto" w:before="18"/>
        <w:ind w:left="2001" w:right="212" w:hanging="1884"/>
        <w:jc w:val="both"/>
      </w:pPr>
      <w:r>
        <w:rPr>
          <w:b/>
        </w:rPr>
        <w:t>酒后驾驶：       </w:t>
      </w:r>
      <w:r>
        <w:rPr/>
        <w:t>指经检测或鉴定，发生事故时车辆驾驶人员每百毫升血液中的酒精含量达到或超过一定的标准，公安机关交通管理部门依据《道路交通安全法》的规定认定为饮酒后驾驶或醉酒后驾驶。</w:t>
      </w:r>
    </w:p>
    <w:p>
      <w:pPr>
        <w:spacing w:after="0" w:line="314" w:lineRule="auto"/>
        <w:jc w:val="both"/>
        <w:sectPr>
          <w:pgSz w:w="11910" w:h="16840"/>
          <w:pgMar w:header="0" w:footer="998" w:top="1420" w:bottom="1180" w:left="1300" w:right="1200"/>
        </w:sectPr>
      </w:pPr>
    </w:p>
    <w:p>
      <w:pPr>
        <w:spacing w:line="314" w:lineRule="auto" w:before="18"/>
        <w:ind w:left="117" w:right="0" w:firstLine="0"/>
        <w:jc w:val="left"/>
        <w:rPr>
          <w:b/>
          <w:sz w:val="21"/>
        </w:rPr>
      </w:pPr>
      <w:r>
        <w:rPr>
          <w:b/>
          <w:sz w:val="21"/>
        </w:rPr>
        <w:t>无合法有效驾驶证驾驶：</w:t>
      </w:r>
    </w:p>
    <w:p>
      <w:pPr>
        <w:pStyle w:val="BodyText"/>
        <w:spacing w:before="18"/>
      </w:pPr>
      <w:r>
        <w:rPr/>
        <w:br w:type="column"/>
      </w:r>
      <w:r>
        <w:rPr/>
        <w:t>指下列情形之一：</w:t>
      </w:r>
    </w:p>
    <w:p>
      <w:pPr>
        <w:pStyle w:val="ListParagraph"/>
        <w:numPr>
          <w:ilvl w:val="0"/>
          <w:numId w:val="8"/>
        </w:numPr>
        <w:tabs>
          <w:tab w:pos="956" w:val="left" w:leader="none"/>
          <w:tab w:pos="957" w:val="left" w:leader="none"/>
        </w:tabs>
        <w:spacing w:line="240" w:lineRule="auto" w:before="83" w:after="0"/>
        <w:ind w:left="117" w:right="0" w:firstLine="0"/>
        <w:jc w:val="left"/>
        <w:rPr>
          <w:rFonts w:ascii="宋体" w:eastAsia="宋体" w:hint="eastAsia"/>
          <w:sz w:val="21"/>
        </w:rPr>
      </w:pPr>
      <w:r>
        <w:rPr>
          <w:rFonts w:ascii="宋体" w:eastAsia="宋体" w:hint="eastAsia"/>
          <w:sz w:val="21"/>
        </w:rPr>
        <w:t>没有取得驾驶资格；</w:t>
      </w:r>
    </w:p>
    <w:p>
      <w:pPr>
        <w:pStyle w:val="ListParagraph"/>
        <w:numPr>
          <w:ilvl w:val="0"/>
          <w:numId w:val="8"/>
        </w:numPr>
        <w:tabs>
          <w:tab w:pos="956" w:val="left" w:leader="none"/>
          <w:tab w:pos="957" w:val="left" w:leader="none"/>
        </w:tabs>
        <w:spacing w:line="240" w:lineRule="auto" w:before="83" w:after="0"/>
        <w:ind w:left="956" w:right="0" w:hanging="839"/>
        <w:jc w:val="left"/>
        <w:rPr>
          <w:rFonts w:ascii="宋体" w:eastAsia="宋体" w:hint="eastAsia"/>
          <w:sz w:val="21"/>
        </w:rPr>
      </w:pPr>
      <w:r>
        <w:rPr>
          <w:rFonts w:ascii="宋体" w:eastAsia="宋体" w:hint="eastAsia"/>
          <w:sz w:val="21"/>
        </w:rPr>
        <w:t>驾驶与驾驶证准驾车型不相符合的车辆；</w:t>
      </w:r>
    </w:p>
    <w:p>
      <w:pPr>
        <w:pStyle w:val="ListParagraph"/>
        <w:numPr>
          <w:ilvl w:val="0"/>
          <w:numId w:val="8"/>
        </w:numPr>
        <w:tabs>
          <w:tab w:pos="956" w:val="left" w:leader="none"/>
          <w:tab w:pos="957" w:val="left" w:leader="none"/>
        </w:tabs>
        <w:spacing w:line="240" w:lineRule="auto" w:before="83" w:after="0"/>
        <w:ind w:left="117" w:right="0" w:firstLine="0"/>
        <w:jc w:val="left"/>
        <w:rPr>
          <w:rFonts w:ascii="宋体" w:eastAsia="宋体" w:hint="eastAsia"/>
          <w:sz w:val="21"/>
        </w:rPr>
      </w:pPr>
      <w:r>
        <w:rPr>
          <w:rFonts w:ascii="宋体" w:eastAsia="宋体" w:hint="eastAsia"/>
          <w:sz w:val="21"/>
        </w:rPr>
        <w:t>持审验不合格的驾驶证驾驶；</w:t>
      </w:r>
    </w:p>
    <w:p>
      <w:pPr>
        <w:pStyle w:val="ListParagraph"/>
        <w:numPr>
          <w:ilvl w:val="0"/>
          <w:numId w:val="8"/>
        </w:numPr>
        <w:tabs>
          <w:tab w:pos="957" w:val="left" w:leader="none"/>
          <w:tab w:pos="958" w:val="left" w:leader="none"/>
        </w:tabs>
        <w:spacing w:line="314" w:lineRule="auto" w:before="83" w:after="0"/>
        <w:ind w:left="117" w:right="212" w:firstLine="0"/>
        <w:jc w:val="left"/>
        <w:rPr>
          <w:rFonts w:ascii="宋体" w:eastAsia="宋体" w:hint="eastAsia"/>
          <w:sz w:val="21"/>
        </w:rPr>
      </w:pPr>
      <w:r>
        <w:rPr>
          <w:rFonts w:ascii="宋体" w:eastAsia="宋体" w:hint="eastAsia"/>
          <w:sz w:val="21"/>
        </w:rPr>
        <w:t>持学习驾驶证学习驾车时，无教练员随车指导，或不按指定时间、路线学习驾车。</w:t>
      </w:r>
    </w:p>
    <w:p>
      <w:pPr>
        <w:spacing w:after="0" w:line="314" w:lineRule="auto"/>
        <w:jc w:val="left"/>
        <w:rPr>
          <w:rFonts w:ascii="宋体" w:eastAsia="宋体" w:hint="eastAsia"/>
          <w:sz w:val="21"/>
        </w:rPr>
        <w:sectPr>
          <w:type w:val="continuous"/>
          <w:pgSz w:w="11910" w:h="16840"/>
          <w:pgMar w:top="1600" w:bottom="280" w:left="1300" w:right="1200"/>
          <w:cols w:num="2" w:equalWidth="0">
            <w:col w:w="1786" w:space="98"/>
            <w:col w:w="7526"/>
          </w:cols>
        </w:sectPr>
      </w:pPr>
    </w:p>
    <w:p>
      <w:pPr>
        <w:pStyle w:val="BodyText"/>
        <w:tabs>
          <w:tab w:pos="2001" w:val="left" w:leader="none"/>
        </w:tabs>
        <w:spacing w:line="314" w:lineRule="auto" w:before="18"/>
        <w:ind w:left="2001" w:right="212" w:hanging="1885"/>
      </w:pPr>
      <w:r>
        <w:rPr>
          <w:b/>
        </w:rPr>
        <w:t>长期护理状态：</w:t>
        <w:tab/>
      </w:r>
      <w:r>
        <w:rPr/>
        <w:t>指被保险人被认定自主生活能力永久完全丧失，即经过一百八十天的治疗后仍 无法独立完成六项基本日常生活中的三项或三项以上。</w:t>
      </w:r>
    </w:p>
    <w:p>
      <w:pPr>
        <w:pStyle w:val="BodyText"/>
        <w:spacing w:before="11"/>
        <w:ind w:left="0"/>
        <w:rPr>
          <w:sz w:val="28"/>
        </w:rPr>
      </w:pPr>
    </w:p>
    <w:p>
      <w:pPr>
        <w:pStyle w:val="BodyText"/>
        <w:tabs>
          <w:tab w:pos="2007" w:val="left" w:leader="none"/>
        </w:tabs>
        <w:spacing w:before="0"/>
      </w:pPr>
      <w:r>
        <w:rPr>
          <w:b/>
        </w:rPr>
        <w:t>轻症大病：</w:t>
        <w:tab/>
      </w:r>
      <w:r>
        <w:rPr>
          <w:spacing w:val="-1"/>
        </w:rPr>
        <w:t>被保</w:t>
      </w:r>
      <w:r>
        <w:rPr/>
        <w:t>险人发生符合以下疾病定义所述条件的疾病，应当由专科医生明确诊断。</w:t>
      </w:r>
    </w:p>
    <w:p>
      <w:pPr>
        <w:spacing w:before="84"/>
        <w:ind w:left="539" w:right="0" w:firstLine="0"/>
        <w:jc w:val="left"/>
        <w:rPr>
          <w:b/>
          <w:sz w:val="21"/>
        </w:rPr>
      </w:pPr>
      <w:r>
        <w:rPr>
          <w:b/>
          <w:sz w:val="21"/>
        </w:rPr>
        <w:t>1． 极早期的恶性肿瘤或恶性病变：</w:t>
      </w:r>
    </w:p>
    <w:p>
      <w:pPr>
        <w:pStyle w:val="BodyText"/>
        <w:spacing w:line="314" w:lineRule="auto" w:before="84"/>
        <w:ind w:left="537" w:right="1935"/>
      </w:pPr>
      <w:r>
        <w:rPr/>
        <w:t>指经组织病理学检查被明确诊断为下列恶性病变，并且接受了相应的治疗。(一)原位癌；</w:t>
      </w:r>
    </w:p>
    <w:p>
      <w:pPr>
        <w:pStyle w:val="BodyText"/>
        <w:spacing w:line="314" w:lineRule="auto" w:before="19"/>
        <w:ind w:left="537" w:right="3143"/>
      </w:pPr>
      <w:r>
        <w:rPr>
          <w:spacing w:val="7"/>
        </w:rPr>
        <w:t>(二)相当于</w:t>
      </w:r>
      <w:r>
        <w:rPr/>
        <w:t>Binet</w:t>
      </w:r>
      <w:r>
        <w:rPr>
          <w:spacing w:val="-10"/>
        </w:rPr>
        <w:t> 分期方案 </w:t>
      </w:r>
      <w:r>
        <w:rPr/>
        <w:t>A</w:t>
      </w:r>
      <w:r>
        <w:rPr>
          <w:spacing w:val="-8"/>
        </w:rPr>
        <w:t> 期程度的慢性淋巴细胞白血病； </w:t>
      </w:r>
      <w:r>
        <w:rPr>
          <w:spacing w:val="0"/>
        </w:rPr>
        <w:t>(三)相当于</w:t>
      </w:r>
      <w:r>
        <w:rPr/>
        <w:t>Ann Arbor</w:t>
      </w:r>
      <w:r>
        <w:rPr>
          <w:spacing w:val="-10"/>
        </w:rPr>
        <w:t> 分期方案 </w:t>
      </w:r>
      <w:r>
        <w:rPr/>
        <w:t>I</w:t>
      </w:r>
      <w:r>
        <w:rPr>
          <w:spacing w:val="-8"/>
        </w:rPr>
        <w:t> 期程度的何杰金氏病； (四</w:t>
      </w:r>
      <w:r>
        <w:rPr>
          <w:spacing w:val="-7"/>
        </w:rPr>
        <w:t>)皮肤癌</w:t>
      </w:r>
      <w:r>
        <w:rPr/>
        <w:t>（不包括恶性黑色素瘤及已发生转移的皮肤癌</w:t>
      </w:r>
      <w:r>
        <w:rPr>
          <w:spacing w:val="-106"/>
        </w:rPr>
        <w:t>）</w:t>
      </w:r>
      <w:r>
        <w:rPr/>
        <w:t>；</w:t>
      </w:r>
    </w:p>
    <w:p>
      <w:pPr>
        <w:pStyle w:val="BodyText"/>
        <w:spacing w:before="19"/>
        <w:ind w:left="537"/>
      </w:pPr>
      <w:r>
        <w:rPr/>
        <w:t>(五)TNM 分期为 T1N0M0 期或更轻分期的前列腺癌。</w:t>
      </w:r>
    </w:p>
    <w:p>
      <w:pPr>
        <w:spacing w:before="84"/>
        <w:ind w:left="539" w:right="0" w:firstLine="0"/>
        <w:jc w:val="left"/>
        <w:rPr>
          <w:b/>
          <w:sz w:val="21"/>
        </w:rPr>
      </w:pPr>
      <w:r>
        <w:rPr>
          <w:b/>
          <w:w w:val="95"/>
          <w:sz w:val="21"/>
        </w:rPr>
        <w:t>2．不典型的急性心肌梗塞：</w:t>
      </w:r>
    </w:p>
    <w:p>
      <w:pPr>
        <w:pStyle w:val="BodyText"/>
        <w:spacing w:line="314" w:lineRule="auto" w:before="84"/>
        <w:ind w:right="255" w:firstLine="420"/>
      </w:pPr>
      <w:r>
        <w:rPr/>
        <w:t>指被临床诊断为急性心肌梗塞并接受了急性心肌梗塞治疗，虽然未达到重大疾病“急性心肌梗塞”的给付标准，但满足下列至少两项条件：</w:t>
      </w:r>
    </w:p>
    <w:p>
      <w:pPr>
        <w:pStyle w:val="BodyText"/>
        <w:spacing w:before="17"/>
        <w:ind w:left="537"/>
      </w:pPr>
      <w:r>
        <w:rPr/>
        <w:t>(一)典型临床表现，例如急性胸痛等；</w:t>
      </w:r>
    </w:p>
    <w:p>
      <w:pPr>
        <w:pStyle w:val="BodyText"/>
        <w:ind w:left="537"/>
      </w:pPr>
      <w:r>
        <w:rPr/>
        <w:t>(二)新近的心电图改变提示急性心肌梗塞；</w:t>
      </w:r>
    </w:p>
    <w:p>
      <w:pPr>
        <w:pStyle w:val="BodyText"/>
        <w:spacing w:line="314" w:lineRule="auto"/>
        <w:ind w:left="537" w:right="1304"/>
      </w:pPr>
      <w:r>
        <w:rPr/>
        <w:t>(三)心肌酶或肌钙蛋白有诊断意义的升高，或呈符合急性心肌梗塞的动态性变化； (四)发病 90 天后，经检查证实左心室功能降低，如左心室射血分数低于 50%。</w:t>
      </w:r>
    </w:p>
    <w:p>
      <w:pPr>
        <w:spacing w:after="0" w:line="314" w:lineRule="auto"/>
        <w:sectPr>
          <w:type w:val="continuous"/>
          <w:pgSz w:w="11910" w:h="16840"/>
          <w:pgMar w:top="1600" w:bottom="280" w:left="1300" w:right="1200"/>
        </w:sectPr>
      </w:pPr>
    </w:p>
    <w:p>
      <w:pPr>
        <w:spacing w:before="6"/>
        <w:ind w:left="539" w:right="0" w:firstLine="0"/>
        <w:jc w:val="left"/>
        <w:rPr>
          <w:b/>
          <w:sz w:val="21"/>
        </w:rPr>
      </w:pPr>
      <w:r>
        <w:rPr>
          <w:b/>
          <w:w w:val="95"/>
          <w:sz w:val="21"/>
        </w:rPr>
        <w:t>3．冠状动脉介入手术：</w:t>
      </w:r>
    </w:p>
    <w:p>
      <w:pPr>
        <w:pStyle w:val="BodyText"/>
        <w:spacing w:line="314" w:lineRule="auto"/>
        <w:ind w:right="215" w:firstLine="420"/>
      </w:pPr>
      <w:r>
        <w:rPr/>
        <w:t>为了治疗明显的冠状动脉狭窄性疾病，首次实际实施了冠状动脉球囊扩张成形术、冠状动脉支架植入术或激光冠状动脉成形术。</w:t>
      </w:r>
    </w:p>
    <w:p>
      <w:pPr>
        <w:spacing w:before="18"/>
        <w:ind w:left="539" w:right="0" w:firstLine="0"/>
        <w:jc w:val="left"/>
        <w:rPr>
          <w:b/>
          <w:sz w:val="21"/>
        </w:rPr>
      </w:pPr>
      <w:r>
        <w:rPr>
          <w:b/>
          <w:w w:val="95"/>
          <w:sz w:val="21"/>
        </w:rPr>
        <w:t>4．轻微脑中风：</w:t>
      </w:r>
    </w:p>
    <w:p>
      <w:pPr>
        <w:pStyle w:val="BodyText"/>
        <w:ind w:left="537"/>
      </w:pPr>
      <w:r>
        <w:rPr/>
        <w:t>指实际发生了脑血管的突发病变出现神经系统功能障碍表现，头颅断层扫描</w:t>
      </w:r>
      <w:r>
        <w:rPr>
          <w:spacing w:val="1"/>
        </w:rPr>
        <w:t>（</w:t>
      </w:r>
      <w:r>
        <w:rPr/>
        <w:t>C</w:t>
      </w:r>
      <w:r>
        <w:rPr>
          <w:spacing w:val="1"/>
        </w:rPr>
        <w:t>T</w:t>
      </w:r>
      <w:r>
        <w:rPr>
          <w:spacing w:val="-103"/>
        </w:rPr>
        <w:t>）</w:t>
      </w:r>
      <w:r>
        <w:rPr/>
        <w:t>、核磁共振</w:t>
      </w:r>
    </w:p>
    <w:p>
      <w:pPr>
        <w:pStyle w:val="BodyText"/>
        <w:spacing w:line="314" w:lineRule="auto"/>
        <w:ind w:right="214"/>
        <w:jc w:val="both"/>
      </w:pPr>
      <w:r>
        <w:rPr>
          <w:spacing w:val="-6"/>
        </w:rPr>
        <w:t>（MRI）</w:t>
      </w:r>
      <w:r>
        <w:rPr>
          <w:spacing w:val="-7"/>
        </w:rPr>
        <w:t>等影像学检查证实存在对应病灶，确诊为脑出血、脑栓塞或脑梗塞，在确诊 </w:t>
      </w:r>
      <w:r>
        <w:rPr/>
        <w:t>180</w:t>
      </w:r>
      <w:r>
        <w:rPr>
          <w:spacing w:val="-10"/>
        </w:rPr>
        <w:t> 天后未遗留神经系统功能障碍或后遗的神经系统功能障碍程度未达到重大疾病“脑中风后遗症”的给付标准。短暂性脑缺血发作(TIA)</w:t>
      </w:r>
      <w:r>
        <w:rPr>
          <w:spacing w:val="-1"/>
        </w:rPr>
        <w:t> 和腔隙性脑梗塞不在保障范围内。</w:t>
      </w:r>
    </w:p>
    <w:p>
      <w:pPr>
        <w:spacing w:before="18"/>
        <w:ind w:left="539" w:right="0" w:firstLine="0"/>
        <w:jc w:val="left"/>
        <w:rPr>
          <w:b/>
          <w:sz w:val="21"/>
        </w:rPr>
      </w:pPr>
      <w:r>
        <w:rPr>
          <w:b/>
          <w:w w:val="95"/>
          <w:sz w:val="21"/>
        </w:rPr>
        <w:t>5．心脏瓣膜介入手术：</w:t>
      </w:r>
    </w:p>
    <w:p>
      <w:pPr>
        <w:pStyle w:val="BodyText"/>
        <w:spacing w:line="314" w:lineRule="auto"/>
        <w:ind w:right="215" w:firstLine="420"/>
      </w:pPr>
      <w:r>
        <w:rPr/>
        <w:t>为了治疗心脏瓣膜疾病，实际实施了非开胸的经胸壁打孔内镜手术或经皮经导管介入手术进行的心脏瓣膜置换或修复手术。</w:t>
      </w:r>
    </w:p>
    <w:p>
      <w:pPr>
        <w:spacing w:before="18"/>
        <w:ind w:left="539" w:right="0" w:firstLine="0"/>
        <w:jc w:val="left"/>
        <w:rPr>
          <w:b/>
          <w:sz w:val="21"/>
        </w:rPr>
      </w:pPr>
      <w:r>
        <w:rPr>
          <w:b/>
          <w:w w:val="95"/>
          <w:sz w:val="21"/>
        </w:rPr>
        <w:t>6．视力严重受损</w:t>
      </w:r>
    </w:p>
    <w:p>
      <w:pPr>
        <w:pStyle w:val="BodyText"/>
        <w:spacing w:line="314" w:lineRule="auto"/>
        <w:ind w:right="215" w:firstLine="420"/>
      </w:pPr>
      <w:r>
        <w:rPr/>
        <w:t>指因疾病或意外伤害导致双目视力永久不可逆性丧失，虽然未达到重大疾病“双目失明”的给付标准，但满足下列全部条件：</w:t>
      </w:r>
    </w:p>
    <w:p>
      <w:pPr>
        <w:pStyle w:val="BodyText"/>
        <w:spacing w:before="18"/>
        <w:ind w:left="537"/>
      </w:pPr>
      <w:r>
        <w:rPr>
          <w:spacing w:val="-5"/>
        </w:rPr>
        <w:t>(一)双眼中较好眼矫正视力低于 </w:t>
      </w:r>
      <w:r>
        <w:rPr/>
        <w:t>0.</w:t>
      </w:r>
      <w:r>
        <w:rPr>
          <w:spacing w:val="-79"/>
        </w:rPr>
        <w:t>1</w:t>
      </w:r>
      <w:r>
        <w:rPr/>
        <w:t>（</w:t>
      </w:r>
      <w:r>
        <w:rPr>
          <w:spacing w:val="-8"/>
        </w:rPr>
        <w:t>采用国际标准视力表，如果使用其他视力表应进行换算</w:t>
      </w:r>
      <w:r>
        <w:rPr>
          <w:spacing w:val="-105"/>
        </w:rPr>
        <w:t>）</w:t>
      </w:r>
      <w:r>
        <w:rPr/>
        <w:t>；</w:t>
      </w:r>
    </w:p>
    <w:p>
      <w:pPr>
        <w:pStyle w:val="BodyText"/>
        <w:ind w:left="537"/>
      </w:pPr>
      <w:r>
        <w:rPr/>
        <w:t>(二)视野半径小于 20 度。</w:t>
      </w:r>
    </w:p>
    <w:p>
      <w:pPr>
        <w:pStyle w:val="BodyText"/>
        <w:spacing w:line="314" w:lineRule="auto"/>
        <w:ind w:right="213" w:firstLine="420"/>
      </w:pPr>
      <w:r>
        <w:rPr>
          <w:spacing w:val="-4"/>
        </w:rPr>
        <w:t>申请理赔时，被保险人年龄必须在 </w:t>
      </w:r>
      <w:r>
        <w:rPr/>
        <w:t>3</w:t>
      </w:r>
      <w:r>
        <w:rPr>
          <w:spacing w:val="-8"/>
        </w:rPr>
        <w:t> 周岁以上，并且须提供理赔当时的视力丧失诊断及检查证据。</w:t>
      </w:r>
    </w:p>
    <w:p>
      <w:pPr>
        <w:spacing w:before="18"/>
        <w:ind w:left="539" w:right="0" w:firstLine="0"/>
        <w:jc w:val="left"/>
        <w:rPr>
          <w:b/>
          <w:sz w:val="21"/>
        </w:rPr>
      </w:pPr>
      <w:r>
        <w:rPr>
          <w:b/>
          <w:sz w:val="21"/>
        </w:rPr>
        <w:t>7．较小面积 III 度烧伤：</w:t>
      </w:r>
    </w:p>
    <w:p>
      <w:pPr>
        <w:pStyle w:val="BodyText"/>
        <w:spacing w:line="314" w:lineRule="auto"/>
        <w:ind w:right="213" w:firstLine="419"/>
      </w:pPr>
      <w:r>
        <w:rPr>
          <w:spacing w:val="-12"/>
        </w:rPr>
        <w:t>指烧伤程度为Ⅲ度，且Ⅲ度烧伤的面积达到全身体表面积的 </w:t>
      </w:r>
      <w:r>
        <w:rPr/>
        <w:t>15％</w:t>
      </w:r>
      <w:r>
        <w:rPr>
          <w:spacing w:val="-27"/>
        </w:rPr>
        <w:t>或 </w:t>
      </w:r>
      <w:r>
        <w:rPr/>
        <w:t>15％</w:t>
      </w:r>
      <w:r>
        <w:rPr>
          <w:spacing w:val="-21"/>
        </w:rPr>
        <w:t>以上。体表面积根据《中国新九分法》计算。</w:t>
      </w:r>
    </w:p>
    <w:p>
      <w:pPr>
        <w:spacing w:before="18"/>
        <w:ind w:left="539" w:right="0" w:firstLine="0"/>
        <w:jc w:val="left"/>
        <w:rPr>
          <w:b/>
          <w:sz w:val="21"/>
        </w:rPr>
      </w:pPr>
      <w:r>
        <w:rPr>
          <w:b/>
          <w:w w:val="95"/>
          <w:sz w:val="21"/>
        </w:rPr>
        <w:t>8．主动脉内手术：</w:t>
      </w:r>
    </w:p>
    <w:p>
      <w:pPr>
        <w:pStyle w:val="BodyText"/>
        <w:spacing w:line="314" w:lineRule="auto"/>
        <w:ind w:right="109" w:firstLine="420"/>
      </w:pPr>
      <w:r>
        <w:rPr>
          <w:spacing w:val="-4"/>
        </w:rPr>
        <w:t>为了治疗主动脉疾病实际实施了经皮经导管进行的动脉内手术。主动脉指胸主动脉和腹主动脉， 不包括胸主动脉和腹主动脉的分支血管。</w:t>
      </w:r>
    </w:p>
    <w:p>
      <w:pPr>
        <w:spacing w:before="18"/>
        <w:ind w:left="539" w:right="0" w:firstLine="0"/>
        <w:jc w:val="left"/>
        <w:rPr>
          <w:b/>
          <w:sz w:val="21"/>
        </w:rPr>
      </w:pPr>
      <w:r>
        <w:rPr>
          <w:b/>
          <w:w w:val="95"/>
          <w:sz w:val="21"/>
        </w:rPr>
        <w:t>9．脑垂体瘤、脑囊肿、脑动脉瘤及脑血管瘤：</w:t>
      </w:r>
    </w:p>
    <w:p>
      <w:pPr>
        <w:pStyle w:val="BodyText"/>
        <w:spacing w:line="314" w:lineRule="auto"/>
        <w:ind w:right="213" w:firstLine="420"/>
      </w:pPr>
      <w:r>
        <w:rPr/>
        <w:t>指经头颅断层扫描（CT</w:t>
      </w:r>
      <w:r>
        <w:rPr>
          <w:spacing w:val="-107"/>
        </w:rPr>
        <w:t>）</w:t>
      </w:r>
      <w:r>
        <w:rPr/>
        <w:t>、核磁共振（MRI）</w:t>
      </w:r>
      <w:r>
        <w:rPr>
          <w:spacing w:val="-1"/>
        </w:rPr>
        <w:t>或其他影像学检查被确诊为下列病变，并实际接受了手术或放射治疗。</w:t>
      </w:r>
    </w:p>
    <w:p>
      <w:pPr>
        <w:pStyle w:val="BodyText"/>
        <w:spacing w:line="314" w:lineRule="auto" w:before="18"/>
        <w:ind w:left="537" w:right="7343"/>
      </w:pPr>
      <w:r>
        <w:rPr/>
        <w:t>(一)脑垂体瘤； (二)脑囊肿；</w:t>
      </w:r>
    </w:p>
    <w:p>
      <w:pPr>
        <w:pStyle w:val="BodyText"/>
        <w:spacing w:before="18"/>
        <w:ind w:left="537"/>
      </w:pPr>
      <w:r>
        <w:rPr/>
        <w:t>(三)脑动脉瘤、脑血管瘤。</w:t>
      </w:r>
    </w:p>
    <w:p>
      <w:pPr>
        <w:spacing w:before="83"/>
        <w:ind w:left="539" w:right="0" w:firstLine="0"/>
        <w:jc w:val="left"/>
        <w:rPr>
          <w:b/>
          <w:sz w:val="21"/>
        </w:rPr>
      </w:pPr>
      <w:r>
        <w:rPr>
          <w:b/>
          <w:w w:val="95"/>
          <w:sz w:val="21"/>
        </w:rPr>
        <w:t>10．重度头部外伤:</w:t>
      </w:r>
    </w:p>
    <w:p>
      <w:pPr>
        <w:pStyle w:val="BodyText"/>
        <w:spacing w:line="314" w:lineRule="auto"/>
        <w:ind w:right="213" w:firstLine="420"/>
        <w:jc w:val="both"/>
      </w:pPr>
      <w:r>
        <w:rPr/>
        <w:t>指因头部遭受机械性外力，引起脑重要部位损伤，导致神经系统永久性的功能障碍。须由头颅</w:t>
      </w:r>
      <w:r>
        <w:rPr>
          <w:spacing w:val="-4"/>
        </w:rPr>
        <w:t>断层扫描</w:t>
      </w:r>
      <w:r>
        <w:rPr/>
        <w:t>（CT</w:t>
      </w:r>
      <w:r>
        <w:rPr>
          <w:spacing w:val="-105"/>
        </w:rPr>
        <w:t>）</w:t>
      </w:r>
      <w:r>
        <w:rPr>
          <w:spacing w:val="-7"/>
        </w:rPr>
        <w:t>、核磁共振检查</w:t>
      </w:r>
      <w:r>
        <w:rPr>
          <w:spacing w:val="-1"/>
        </w:rPr>
        <w:t>（MRI</w:t>
      </w:r>
      <w:r>
        <w:rPr>
          <w:spacing w:val="-15"/>
        </w:rPr>
        <w:t>）</w:t>
      </w:r>
      <w:r>
        <w:rPr>
          <w:spacing w:val="-3"/>
        </w:rPr>
        <w:t>或正电子发射断层扫描</w:t>
      </w:r>
      <w:r>
        <w:rPr>
          <w:spacing w:val="-1"/>
        </w:rPr>
        <w:t>（PET</w:t>
      </w:r>
      <w:r>
        <w:rPr>
          <w:spacing w:val="-15"/>
        </w:rPr>
        <w:t>）</w:t>
      </w:r>
      <w:r>
        <w:rPr>
          <w:spacing w:val="-4"/>
        </w:rPr>
        <w:t>等影像学检查证实。神经系统永久性的功能障碍，指脑损伤 </w:t>
      </w:r>
      <w:r>
        <w:rPr/>
        <w:t>180</w:t>
      </w:r>
      <w:r>
        <w:rPr>
          <w:spacing w:val="-8"/>
        </w:rPr>
        <w:t> 天后，仍完全丧失自主生活能力，无法独立完成六项基本日常生活活动中的二项或以上。</w:t>
      </w:r>
    </w:p>
    <w:p>
      <w:pPr>
        <w:pStyle w:val="BodyText"/>
        <w:spacing w:before="10"/>
        <w:ind w:left="0"/>
        <w:rPr>
          <w:sz w:val="28"/>
        </w:rPr>
      </w:pPr>
    </w:p>
    <w:p>
      <w:pPr>
        <w:spacing w:before="0"/>
        <w:ind w:left="117" w:right="0" w:firstLine="0"/>
        <w:jc w:val="left"/>
        <w:rPr>
          <w:b/>
          <w:sz w:val="21"/>
        </w:rPr>
      </w:pPr>
      <w:r>
        <w:rPr>
          <w:b/>
          <w:w w:val="95"/>
          <w:sz w:val="21"/>
        </w:rPr>
        <w:t>重大疾病：</w:t>
      </w:r>
    </w:p>
    <w:p>
      <w:pPr>
        <w:pStyle w:val="BodyText"/>
        <w:spacing w:line="314" w:lineRule="auto"/>
        <w:ind w:right="213" w:firstLine="420"/>
      </w:pPr>
      <w:r>
        <w:rPr>
          <w:spacing w:val="-10"/>
        </w:rPr>
        <w:t>根据中国保险行业协会制定的《重大疾病保险的疾病定义使用规范》，本附加合同的重大疾病分</w:t>
      </w:r>
      <w:r>
        <w:rPr>
          <w:spacing w:val="-17"/>
        </w:rPr>
        <w:t>为两种类型：《重大疾病保险的疾病定义使用规范》范围以内的疾病种类；《重大疾病保险的疾病定</w:t>
      </w:r>
    </w:p>
    <w:p>
      <w:pPr>
        <w:spacing w:after="0" w:line="314" w:lineRule="auto"/>
        <w:sectPr>
          <w:pgSz w:w="11910" w:h="16840"/>
          <w:pgMar w:header="0" w:footer="998" w:top="1420" w:bottom="1180" w:left="1300" w:right="1240"/>
        </w:sectPr>
      </w:pPr>
    </w:p>
    <w:p>
      <w:pPr>
        <w:pStyle w:val="BodyText"/>
        <w:spacing w:before="6"/>
      </w:pPr>
      <w:r>
        <w:rPr/>
        <w:t>义使用规范》范围以外的疾病种类。</w:t>
      </w:r>
    </w:p>
    <w:p>
      <w:pPr>
        <w:spacing w:before="83"/>
        <w:ind w:left="477" w:right="0" w:firstLine="0"/>
        <w:jc w:val="left"/>
        <w:rPr>
          <w:b/>
          <w:sz w:val="21"/>
        </w:rPr>
      </w:pPr>
      <w:r>
        <w:rPr>
          <w:b/>
          <w:w w:val="95"/>
          <w:sz w:val="21"/>
        </w:rPr>
        <w:t>一、《重大疾病保险的疾病定义使用规范》范围以内的疾病种类：</w:t>
      </w:r>
    </w:p>
    <w:p>
      <w:pPr>
        <w:tabs>
          <w:tab w:pos="1063" w:val="left" w:leader="none"/>
        </w:tabs>
        <w:spacing w:before="83"/>
        <w:ind w:left="477" w:right="0" w:firstLine="0"/>
        <w:jc w:val="left"/>
        <w:rPr>
          <w:b/>
          <w:sz w:val="21"/>
        </w:rPr>
      </w:pPr>
      <w:r>
        <w:rPr>
          <w:b/>
          <w:sz w:val="21"/>
        </w:rPr>
        <w:t>1、</w:t>
        <w:tab/>
      </w:r>
      <w:r>
        <w:rPr>
          <w:b/>
          <w:w w:val="95"/>
          <w:sz w:val="21"/>
        </w:rPr>
        <w:t>恶性肿瘤：</w:t>
      </w:r>
    </w:p>
    <w:p>
      <w:pPr>
        <w:pStyle w:val="BodyText"/>
        <w:spacing w:line="314" w:lineRule="auto"/>
        <w:ind w:left="476" w:right="212" w:firstLine="42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BodyText"/>
        <w:spacing w:before="18"/>
        <w:ind w:left="896"/>
      </w:pPr>
      <w:r>
        <w:rPr/>
        <w:t>下列疾病不在保障范围内：</w:t>
      </w:r>
    </w:p>
    <w:p>
      <w:pPr>
        <w:pStyle w:val="BodyText"/>
        <w:ind w:left="896"/>
      </w:pPr>
      <w:r>
        <w:rPr/>
        <w:t>（1）原位癌；</w:t>
      </w:r>
    </w:p>
    <w:p>
      <w:pPr>
        <w:pStyle w:val="BodyText"/>
        <w:ind w:left="896"/>
      </w:pPr>
      <w:r>
        <w:rPr/>
        <w:t>（2）相当于Binet 分期方案 A 期程度的慢性淋巴细胞白血病；</w:t>
      </w:r>
    </w:p>
    <w:p>
      <w:pPr>
        <w:pStyle w:val="BodyText"/>
        <w:ind w:left="896"/>
      </w:pPr>
      <w:r>
        <w:rPr/>
        <w:t>（3）相当于Ann Arbor 分期方案 I 期程度的何杰金氏病；</w:t>
      </w:r>
    </w:p>
    <w:p>
      <w:pPr>
        <w:pStyle w:val="BodyText"/>
        <w:ind w:left="896"/>
      </w:pPr>
      <w:r>
        <w:rPr/>
        <w:t>（4）</w:t>
      </w:r>
      <w:r>
        <w:rPr>
          <w:spacing w:val="-1"/>
        </w:rPr>
        <w:t>皮肤癌</w:t>
      </w:r>
      <w:r>
        <w:rPr/>
        <w:t>（不包括恶性黑色素瘤及已发生转移的皮肤癌</w:t>
      </w:r>
      <w:r>
        <w:rPr>
          <w:spacing w:val="-106"/>
        </w:rPr>
        <w:t>）</w:t>
      </w:r>
      <w:r>
        <w:rPr/>
        <w:t>；</w:t>
      </w:r>
    </w:p>
    <w:p>
      <w:pPr>
        <w:pStyle w:val="ListParagraph"/>
        <w:numPr>
          <w:ilvl w:val="0"/>
          <w:numId w:val="8"/>
        </w:numPr>
        <w:tabs>
          <w:tab w:pos="1423" w:val="left" w:leader="none"/>
        </w:tabs>
        <w:spacing w:line="240" w:lineRule="auto" w:before="83" w:after="0"/>
        <w:ind w:left="1422" w:right="0" w:hanging="526"/>
        <w:jc w:val="left"/>
        <w:rPr>
          <w:rFonts w:ascii="宋体" w:eastAsia="宋体" w:hint="eastAsia"/>
          <w:sz w:val="21"/>
        </w:rPr>
      </w:pPr>
      <w:r>
        <w:rPr>
          <w:rFonts w:ascii="宋体" w:eastAsia="宋体" w:hint="eastAsia"/>
          <w:position w:val="1"/>
          <w:sz w:val="21"/>
        </w:rPr>
        <w:t>TNM</w:t>
      </w:r>
      <w:r>
        <w:rPr>
          <w:rFonts w:ascii="宋体" w:eastAsia="宋体" w:hint="eastAsia"/>
          <w:spacing w:val="-23"/>
          <w:position w:val="1"/>
          <w:sz w:val="21"/>
        </w:rPr>
        <w:t> 分期为 </w:t>
      </w:r>
      <w:r>
        <w:rPr>
          <w:rFonts w:ascii="宋体" w:eastAsia="宋体" w:hint="eastAsia"/>
          <w:position w:val="1"/>
          <w:sz w:val="21"/>
        </w:rPr>
        <w:t>T</w:t>
      </w:r>
      <w:r>
        <w:rPr>
          <w:rFonts w:ascii="宋体" w:eastAsia="宋体" w:hint="eastAsia"/>
          <w:sz w:val="11"/>
        </w:rPr>
        <w:t>1</w:t>
      </w:r>
      <w:r>
        <w:rPr>
          <w:rFonts w:ascii="宋体" w:eastAsia="宋体" w:hint="eastAsia"/>
          <w:position w:val="1"/>
          <w:sz w:val="21"/>
        </w:rPr>
        <w:t>N</w:t>
      </w:r>
      <w:r>
        <w:rPr>
          <w:rFonts w:ascii="宋体" w:eastAsia="宋体" w:hint="eastAsia"/>
          <w:sz w:val="11"/>
        </w:rPr>
        <w:t>0</w:t>
      </w:r>
      <w:r>
        <w:rPr>
          <w:rFonts w:ascii="宋体" w:eastAsia="宋体" w:hint="eastAsia"/>
          <w:position w:val="1"/>
          <w:sz w:val="21"/>
        </w:rPr>
        <w:t>M</w:t>
      </w:r>
      <w:r>
        <w:rPr>
          <w:rFonts w:ascii="宋体" w:eastAsia="宋体" w:hint="eastAsia"/>
          <w:sz w:val="11"/>
        </w:rPr>
        <w:t>0</w:t>
      </w:r>
      <w:r>
        <w:rPr>
          <w:rFonts w:ascii="宋体" w:eastAsia="宋体" w:hint="eastAsia"/>
          <w:spacing w:val="-42"/>
          <w:sz w:val="11"/>
        </w:rPr>
        <w:t> </w:t>
      </w:r>
      <w:r>
        <w:rPr>
          <w:rFonts w:ascii="宋体" w:eastAsia="宋体" w:hint="eastAsia"/>
          <w:position w:val="1"/>
          <w:sz w:val="21"/>
        </w:rPr>
        <w:t>期或更轻分期的前列腺癌；</w:t>
      </w:r>
    </w:p>
    <w:p>
      <w:pPr>
        <w:pStyle w:val="BodyText"/>
        <w:spacing w:before="84"/>
        <w:ind w:left="896"/>
      </w:pPr>
      <w:r>
        <w:rPr/>
        <w:t>（6）感染艾滋病病毒或患艾滋病期间所患恶性肿瘤。</w:t>
      </w:r>
    </w:p>
    <w:p>
      <w:pPr>
        <w:spacing w:before="84"/>
        <w:ind w:left="477" w:right="0" w:firstLine="0"/>
        <w:jc w:val="left"/>
        <w:rPr>
          <w:b/>
          <w:sz w:val="21"/>
        </w:rPr>
      </w:pPr>
      <w:r>
        <w:rPr>
          <w:b/>
          <w:sz w:val="21"/>
        </w:rPr>
        <w:t>2、 急性心肌梗塞：</w:t>
      </w:r>
    </w:p>
    <w:p>
      <w:pPr>
        <w:pStyle w:val="BodyText"/>
        <w:spacing w:before="84"/>
        <w:ind w:left="954"/>
      </w:pPr>
      <w:r>
        <w:rPr/>
        <w:t>指因冠状动脉阻塞导致的相应区域供血不足造成部分心肌坏死。须满足下列至少三项条件：</w:t>
      </w:r>
    </w:p>
    <w:p>
      <w:pPr>
        <w:pStyle w:val="BodyText"/>
        <w:spacing w:before="84"/>
        <w:ind w:left="834"/>
      </w:pPr>
      <w:r>
        <w:rPr/>
        <w:t>（1）典型临床表现，例如急性胸痛等；</w:t>
      </w:r>
    </w:p>
    <w:p>
      <w:pPr>
        <w:pStyle w:val="BodyText"/>
        <w:spacing w:before="84"/>
        <w:ind w:left="834"/>
      </w:pPr>
      <w:r>
        <w:rPr/>
        <w:t>（2）新近的心电图改变提示急性心肌梗塞；</w:t>
      </w:r>
    </w:p>
    <w:p>
      <w:pPr>
        <w:pStyle w:val="BodyText"/>
        <w:spacing w:before="84"/>
        <w:ind w:left="834"/>
      </w:pPr>
      <w:r>
        <w:rPr/>
        <w:t>（3）心肌酶或肌钙蛋白有诊断意义的升高，或呈符合急性心肌梗塞的动态性变化；</w:t>
      </w:r>
    </w:p>
    <w:p>
      <w:pPr>
        <w:pStyle w:val="BodyText"/>
        <w:spacing w:before="84"/>
        <w:ind w:left="834"/>
      </w:pPr>
      <w:r>
        <w:rPr/>
        <w:t>（4）发病 90 天后，经检查证实左心室功能降低，如左心室射血分数低于 50%。</w:t>
      </w:r>
    </w:p>
    <w:p>
      <w:pPr>
        <w:spacing w:before="84"/>
        <w:ind w:left="477" w:right="0" w:firstLine="0"/>
        <w:jc w:val="left"/>
        <w:rPr>
          <w:b/>
          <w:sz w:val="21"/>
        </w:rPr>
      </w:pPr>
      <w:r>
        <w:rPr>
          <w:b/>
          <w:sz w:val="21"/>
        </w:rPr>
        <w:t>3、 脑中风后遗症：</w:t>
      </w:r>
    </w:p>
    <w:p>
      <w:pPr>
        <w:pStyle w:val="BodyText"/>
        <w:spacing w:line="314" w:lineRule="auto" w:before="84"/>
        <w:ind w:left="476" w:right="109" w:firstLine="478"/>
      </w:pPr>
      <w:r>
        <w:rPr>
          <w:spacing w:val="-5"/>
        </w:rPr>
        <w:t>指因脑血管的突发病变引起脑血管出血、栓塞或梗塞，并导致神经系统永久性的功能障碍。</w:t>
      </w:r>
      <w:r>
        <w:rPr>
          <w:spacing w:val="-8"/>
        </w:rPr>
        <w:t>神经系统永久性的功能障碍，指疾病确诊 </w:t>
      </w:r>
      <w:r>
        <w:rPr/>
        <w:t>180</w:t>
      </w:r>
      <w:r>
        <w:rPr>
          <w:spacing w:val="-8"/>
        </w:rPr>
        <w:t> 天后，仍遗留下列一种或一种以上障碍：</w:t>
      </w:r>
    </w:p>
    <w:p>
      <w:pPr>
        <w:pStyle w:val="BodyText"/>
        <w:spacing w:before="19"/>
        <w:ind w:left="834"/>
      </w:pPr>
      <w:r>
        <w:rPr/>
        <w:t>（1）一肢或一肢以上肢体机能完全丧失；</w:t>
      </w:r>
    </w:p>
    <w:p>
      <w:pPr>
        <w:pStyle w:val="BodyText"/>
        <w:spacing w:before="84"/>
        <w:ind w:left="834"/>
      </w:pPr>
      <w:r>
        <w:rPr/>
        <w:t>（2）语言能力或咀嚼吞咽能力完全丧失；</w:t>
      </w:r>
    </w:p>
    <w:p>
      <w:pPr>
        <w:pStyle w:val="BodyText"/>
        <w:spacing w:before="84"/>
        <w:ind w:left="834"/>
      </w:pPr>
      <w:r>
        <w:rPr/>
        <w:t>（3）自主生活能力完全丧失，无法独立完成六项基本日常生活活动中的三项或三项以上。</w:t>
      </w:r>
    </w:p>
    <w:p>
      <w:pPr>
        <w:spacing w:before="84"/>
        <w:ind w:left="477" w:right="0" w:firstLine="0"/>
        <w:jc w:val="left"/>
        <w:rPr>
          <w:b/>
          <w:sz w:val="21"/>
        </w:rPr>
      </w:pPr>
      <w:r>
        <w:rPr>
          <w:b/>
          <w:sz w:val="21"/>
        </w:rPr>
        <w:t>4、 重大器官移植术或造血干细胞移植术：</w:t>
      </w:r>
    </w:p>
    <w:p>
      <w:pPr>
        <w:pStyle w:val="BodyText"/>
        <w:spacing w:line="314" w:lineRule="auto" w:before="84"/>
        <w:ind w:left="476" w:right="212" w:firstLine="420"/>
      </w:pPr>
      <w:r>
        <w:rPr/>
        <w:t>重大器官移植术，指因相应器官功能衰竭，已经实施了肾脏、肝脏、心脏或肺脏的异体移植手术。造血干细胞移植术，指因造血功能损害或造血系统恶性肿瘤，已经实施了造血干细胞</w:t>
      </w:r>
    </w:p>
    <w:p>
      <w:pPr>
        <w:pStyle w:val="BodyText"/>
        <w:spacing w:before="19"/>
        <w:ind w:left="476"/>
      </w:pPr>
      <w:r>
        <w:rPr/>
        <w:t>（包括骨髓造血干细胞、外周血造血干细胞和脐血造血干细胞）的异体移植手术。</w:t>
      </w:r>
    </w:p>
    <w:p>
      <w:pPr>
        <w:spacing w:before="84"/>
        <w:ind w:left="477" w:right="0" w:firstLine="0"/>
        <w:jc w:val="left"/>
        <w:rPr>
          <w:b/>
          <w:sz w:val="21"/>
        </w:rPr>
      </w:pPr>
      <w:r>
        <w:rPr>
          <w:b/>
          <w:spacing w:val="0"/>
          <w:w w:val="99"/>
          <w:sz w:val="21"/>
        </w:rPr>
        <w:t>5</w:t>
      </w:r>
      <w:r>
        <w:rPr>
          <w:b/>
          <w:w w:val="99"/>
          <w:sz w:val="21"/>
        </w:rPr>
        <w:t>、</w:t>
      </w:r>
      <w:r>
        <w:rPr>
          <w:b/>
          <w:spacing w:val="-25"/>
          <w:sz w:val="21"/>
        </w:rPr>
        <w:t>  </w:t>
      </w:r>
      <w:r>
        <w:rPr>
          <w:b/>
          <w:w w:val="99"/>
          <w:sz w:val="21"/>
        </w:rPr>
        <w:t>冠状动脉搭桥术</w:t>
      </w:r>
      <w:r>
        <w:rPr>
          <w:b/>
          <w:spacing w:val="0"/>
          <w:w w:val="99"/>
          <w:sz w:val="21"/>
        </w:rPr>
        <w:t>（</w:t>
      </w:r>
      <w:r>
        <w:rPr>
          <w:b/>
          <w:w w:val="99"/>
          <w:sz w:val="21"/>
        </w:rPr>
        <w:t>或称冠状动脉旁路移植术</w:t>
      </w:r>
      <w:r>
        <w:rPr>
          <w:b/>
          <w:spacing w:val="-106"/>
          <w:w w:val="99"/>
          <w:sz w:val="21"/>
        </w:rPr>
        <w:t>）</w:t>
      </w:r>
      <w:r>
        <w:rPr>
          <w:b/>
          <w:w w:val="99"/>
          <w:sz w:val="21"/>
        </w:rPr>
        <w:t>：</w:t>
      </w:r>
    </w:p>
    <w:p>
      <w:pPr>
        <w:pStyle w:val="BodyText"/>
        <w:spacing w:before="84"/>
        <w:ind w:left="957"/>
      </w:pPr>
      <w:r>
        <w:rPr/>
        <w:t>指为治疗严重的冠心病，实际实施了开胸进行的冠状动脉血管旁路移植的手术。</w:t>
      </w:r>
    </w:p>
    <w:p>
      <w:pPr>
        <w:pStyle w:val="BodyText"/>
        <w:spacing w:line="314" w:lineRule="auto" w:before="84"/>
        <w:ind w:left="476" w:right="212" w:firstLine="420"/>
      </w:pPr>
      <w:r>
        <w:rPr/>
        <w:t>冠状动脉支架植入术、心导管球囊扩张术、激光射频技术及其他非开胸的介入手术、腔镜手术不在保障范围内。</w:t>
      </w:r>
    </w:p>
    <w:p>
      <w:pPr>
        <w:spacing w:before="19"/>
        <w:ind w:left="477" w:right="0" w:firstLine="0"/>
        <w:jc w:val="left"/>
        <w:rPr>
          <w:b/>
          <w:sz w:val="21"/>
        </w:rPr>
      </w:pPr>
      <w:r>
        <w:rPr>
          <w:b/>
          <w:spacing w:val="0"/>
          <w:w w:val="99"/>
          <w:sz w:val="21"/>
        </w:rPr>
        <w:t>6</w:t>
      </w:r>
      <w:r>
        <w:rPr>
          <w:b/>
          <w:w w:val="99"/>
          <w:sz w:val="21"/>
        </w:rPr>
        <w:t>、</w:t>
      </w:r>
      <w:r>
        <w:rPr>
          <w:b/>
          <w:spacing w:val="-25"/>
          <w:sz w:val="21"/>
        </w:rPr>
        <w:t>  </w:t>
      </w:r>
      <w:r>
        <w:rPr>
          <w:b/>
          <w:w w:val="99"/>
          <w:sz w:val="21"/>
        </w:rPr>
        <w:t>终末期肾病</w:t>
      </w:r>
      <w:r>
        <w:rPr>
          <w:b/>
          <w:spacing w:val="0"/>
          <w:w w:val="99"/>
          <w:sz w:val="21"/>
        </w:rPr>
        <w:t>（</w:t>
      </w:r>
      <w:r>
        <w:rPr>
          <w:b/>
          <w:w w:val="99"/>
          <w:sz w:val="21"/>
        </w:rPr>
        <w:t>或称慢性肾功能衰竭尿毒症期</w:t>
      </w:r>
      <w:r>
        <w:rPr>
          <w:b/>
          <w:spacing w:val="-106"/>
          <w:w w:val="99"/>
          <w:sz w:val="21"/>
        </w:rPr>
        <w:t>）</w:t>
      </w:r>
      <w:r>
        <w:rPr>
          <w:b/>
          <w:w w:val="99"/>
          <w:sz w:val="21"/>
        </w:rPr>
        <w:t>：</w:t>
      </w:r>
    </w:p>
    <w:p>
      <w:pPr>
        <w:pStyle w:val="BodyText"/>
        <w:spacing w:line="314" w:lineRule="auto" w:before="84"/>
        <w:ind w:left="475" w:right="215" w:firstLine="478"/>
      </w:pPr>
      <w:r>
        <w:rPr>
          <w:spacing w:val="-9"/>
        </w:rPr>
        <w:t>指双肾功能慢性不可逆性衰竭，达到尿毒症期，经诊断后已经进行了至少 </w:t>
      </w:r>
      <w:r>
        <w:rPr/>
        <w:t>90</w:t>
      </w:r>
      <w:r>
        <w:rPr>
          <w:spacing w:val="-11"/>
        </w:rPr>
        <w:t> 天的规律性透析治疗或实施了肾脏移植手术。</w:t>
      </w:r>
    </w:p>
    <w:p>
      <w:pPr>
        <w:spacing w:before="19"/>
        <w:ind w:left="477" w:right="0" w:firstLine="0"/>
        <w:jc w:val="left"/>
        <w:rPr>
          <w:b/>
          <w:sz w:val="21"/>
        </w:rPr>
      </w:pPr>
      <w:r>
        <w:rPr>
          <w:b/>
          <w:sz w:val="21"/>
        </w:rPr>
        <w:t>7、 多个肢体缺失：</w:t>
      </w:r>
    </w:p>
    <w:p>
      <w:pPr>
        <w:pStyle w:val="BodyText"/>
        <w:spacing w:line="314" w:lineRule="auto" w:before="84"/>
        <w:ind w:left="475" w:right="212" w:firstLine="420"/>
      </w:pPr>
      <w:r>
        <w:rPr/>
        <w:t>指因疾病或意外伤害导致两个或两个以上肢体自腕关节或踝关节近端（靠近躯干端）以上完全性断离。</w:t>
      </w:r>
    </w:p>
    <w:p>
      <w:pPr>
        <w:spacing w:after="0" w:line="314" w:lineRule="auto"/>
        <w:sectPr>
          <w:pgSz w:w="11910" w:h="16840"/>
          <w:pgMar w:header="0" w:footer="998" w:top="1420" w:bottom="1180" w:left="1300" w:right="1240"/>
        </w:sectPr>
      </w:pPr>
    </w:p>
    <w:p>
      <w:pPr>
        <w:spacing w:before="6"/>
        <w:ind w:left="117" w:right="0" w:firstLine="0"/>
        <w:jc w:val="left"/>
        <w:rPr>
          <w:b/>
          <w:sz w:val="21"/>
        </w:rPr>
      </w:pPr>
      <w:r>
        <w:rPr>
          <w:b/>
          <w:sz w:val="21"/>
        </w:rPr>
        <w:t>8、 急性或亚急性重症肝炎：</w:t>
      </w:r>
    </w:p>
    <w:p>
      <w:pPr>
        <w:pStyle w:val="BodyText"/>
        <w:spacing w:line="314" w:lineRule="auto"/>
        <w:ind w:left="116" w:right="115" w:firstLine="478"/>
      </w:pPr>
      <w:r>
        <w:rPr/>
        <w:t>指因肝炎病毒感染引起肝脏组织弥漫性坏死，导致急性肝功能衰竭，且经血清学或病毒学检查证实，并须满足下列全部条件：</w:t>
      </w:r>
    </w:p>
    <w:p>
      <w:pPr>
        <w:pStyle w:val="BodyText"/>
        <w:spacing w:before="18"/>
        <w:ind w:left="474"/>
      </w:pPr>
      <w:r>
        <w:rPr/>
        <w:t>（1）重度黄疸或黄疸迅速加重；</w:t>
      </w:r>
    </w:p>
    <w:p>
      <w:pPr>
        <w:pStyle w:val="BodyText"/>
        <w:ind w:left="474"/>
      </w:pPr>
      <w:r>
        <w:rPr/>
        <w:t>（2）肝性脑病；</w:t>
      </w:r>
    </w:p>
    <w:p>
      <w:pPr>
        <w:pStyle w:val="BodyText"/>
        <w:ind w:left="474"/>
      </w:pPr>
      <w:r>
        <w:rPr/>
        <w:t>（3）B 超或其他影像学检查显示肝脏体积急速萎缩；</w:t>
      </w:r>
    </w:p>
    <w:p>
      <w:pPr>
        <w:spacing w:line="314" w:lineRule="auto" w:before="83"/>
        <w:ind w:left="117" w:right="5593" w:firstLine="357"/>
        <w:jc w:val="left"/>
        <w:rPr>
          <w:b/>
          <w:sz w:val="21"/>
        </w:rPr>
      </w:pPr>
      <w:r>
        <w:rPr>
          <w:sz w:val="21"/>
        </w:rPr>
        <w:t>（4）肝功能指标进行性恶化。</w:t>
      </w:r>
      <w:r>
        <w:rPr>
          <w:b/>
          <w:sz w:val="21"/>
        </w:rPr>
        <w:t>9、 良性脑肿瘤：</w:t>
      </w:r>
    </w:p>
    <w:p>
      <w:pPr>
        <w:pStyle w:val="BodyText"/>
        <w:spacing w:line="314" w:lineRule="auto" w:before="18"/>
        <w:ind w:left="116" w:right="115" w:firstLine="478"/>
        <w:jc w:val="both"/>
      </w:pPr>
      <w:r>
        <w:rPr/>
        <w:t>指脑的良性肿瘤，已经引起颅内压增高，临床表现为视神经乳头水肿、精神症状、癫痫及运动感觉障碍等，并危及生命。须由头颅断层扫描</w:t>
      </w:r>
      <w:r>
        <w:rPr>
          <w:spacing w:val="0"/>
        </w:rPr>
        <w:t>（CT</w:t>
      </w:r>
      <w:r>
        <w:rPr>
          <w:spacing w:val="-104"/>
        </w:rPr>
        <w:t>）</w:t>
      </w:r>
      <w:r>
        <w:rPr/>
        <w:t>、核磁共振检查</w:t>
      </w:r>
      <w:r>
        <w:rPr>
          <w:spacing w:val="0"/>
        </w:rPr>
        <w:t>（MRI）</w:t>
      </w:r>
      <w:r>
        <w:rPr/>
        <w:t>或正电子发射</w:t>
      </w:r>
      <w:r>
        <w:rPr>
          <w:spacing w:val="-1"/>
        </w:rPr>
        <w:t>断层扫描</w:t>
      </w:r>
      <w:r>
        <w:rPr/>
        <w:t>（PET）等影像学检查证实，并须满足下列至少一项条件：</w:t>
      </w:r>
    </w:p>
    <w:p>
      <w:pPr>
        <w:pStyle w:val="BodyText"/>
        <w:spacing w:before="18"/>
        <w:ind w:left="536"/>
      </w:pPr>
      <w:r>
        <w:rPr/>
        <w:t>（1）实际实施了开颅进行的脑肿瘤完全切除或部分切除的手术；</w:t>
      </w:r>
    </w:p>
    <w:p>
      <w:pPr>
        <w:pStyle w:val="BodyText"/>
        <w:ind w:left="536"/>
      </w:pPr>
      <w:r>
        <w:rPr/>
        <w:t>（2）实际实施了对脑肿瘤进行的放射治疗。</w:t>
      </w:r>
    </w:p>
    <w:p>
      <w:pPr>
        <w:pStyle w:val="BodyText"/>
        <w:ind w:left="536"/>
      </w:pPr>
      <w:r>
        <w:rPr/>
        <w:t>脑垂体瘤、脑囊肿、脑血管性疾病不在保障范围内。</w:t>
      </w:r>
    </w:p>
    <w:p>
      <w:pPr>
        <w:spacing w:before="83"/>
        <w:ind w:left="117" w:right="0" w:firstLine="0"/>
        <w:jc w:val="left"/>
        <w:rPr>
          <w:b/>
          <w:sz w:val="21"/>
        </w:rPr>
      </w:pPr>
      <w:r>
        <w:rPr>
          <w:b/>
          <w:sz w:val="21"/>
        </w:rPr>
        <w:t>10、 慢性肝功能衰竭失代偿期：</w:t>
      </w:r>
    </w:p>
    <w:p>
      <w:pPr>
        <w:pStyle w:val="BodyText"/>
        <w:ind w:left="597"/>
      </w:pPr>
      <w:r>
        <w:rPr/>
        <w:t>指因慢性肝脏疾病导致肝功能衰竭。须满足下列全部条件：</w:t>
      </w:r>
    </w:p>
    <w:p>
      <w:pPr>
        <w:pStyle w:val="BodyText"/>
        <w:ind w:left="597"/>
      </w:pPr>
      <w:r>
        <w:rPr/>
        <w:t>（1）持续性黄疸；</w:t>
      </w:r>
    </w:p>
    <w:p>
      <w:pPr>
        <w:pStyle w:val="BodyText"/>
        <w:ind w:left="597"/>
      </w:pPr>
      <w:r>
        <w:rPr/>
        <w:t>（2）腹水；</w:t>
      </w:r>
    </w:p>
    <w:p>
      <w:pPr>
        <w:pStyle w:val="BodyText"/>
        <w:ind w:left="597"/>
      </w:pPr>
      <w:r>
        <w:rPr/>
        <w:t>（3）肝性脑病；</w:t>
      </w:r>
    </w:p>
    <w:p>
      <w:pPr>
        <w:pStyle w:val="BodyText"/>
        <w:spacing w:line="314" w:lineRule="auto"/>
        <w:ind w:left="536" w:right="3160" w:firstLine="61"/>
      </w:pPr>
      <w:r>
        <w:rPr/>
        <w:t>（4）充血性脾肿大伴脾功能亢进或食管胃底静脉曲张。因酗酒或药物滥用导致的肝功能衰竭不在保障范围内。</w:t>
      </w:r>
    </w:p>
    <w:p>
      <w:pPr>
        <w:spacing w:before="18"/>
        <w:ind w:left="117" w:right="0" w:firstLine="0"/>
        <w:jc w:val="left"/>
        <w:rPr>
          <w:b/>
          <w:sz w:val="21"/>
        </w:rPr>
      </w:pPr>
      <w:r>
        <w:rPr>
          <w:b/>
          <w:sz w:val="21"/>
        </w:rPr>
        <w:t>11、 脑炎后遗症或脑膜炎后遗症：</w:t>
      </w:r>
    </w:p>
    <w:p>
      <w:pPr>
        <w:pStyle w:val="BodyText"/>
        <w:spacing w:line="314" w:lineRule="auto" w:before="84"/>
        <w:ind w:left="116" w:right="115" w:firstLine="478"/>
      </w:pPr>
      <w:r>
        <w:rPr/>
        <w:t>指因患脑炎或脑膜炎导致的神经系统永久性的功能障碍。神经系统永久性的功能障碍，指疾病确诊 180 天后，仍遗留下列一种或一种以上障碍：</w:t>
      </w:r>
    </w:p>
    <w:p>
      <w:pPr>
        <w:pStyle w:val="BodyText"/>
        <w:spacing w:before="19"/>
        <w:ind w:left="536"/>
      </w:pPr>
      <w:r>
        <w:rPr/>
        <w:t>（1）一肢或一肢以上肢体机能完全丧失；</w:t>
      </w:r>
    </w:p>
    <w:p>
      <w:pPr>
        <w:pStyle w:val="BodyText"/>
        <w:spacing w:before="84"/>
        <w:ind w:left="536"/>
      </w:pPr>
      <w:r>
        <w:rPr/>
        <w:t>（2）语言能力或咀嚼吞咽能力完全丧失；</w:t>
      </w:r>
    </w:p>
    <w:p>
      <w:pPr>
        <w:pStyle w:val="BodyText"/>
        <w:spacing w:before="84"/>
        <w:ind w:left="474"/>
      </w:pPr>
      <w:r>
        <w:rPr/>
        <w:t>（3）自主生活能力完全丧失，无法独立完成六项基本日常生活活动中的三项或三项以上。</w:t>
      </w:r>
    </w:p>
    <w:p>
      <w:pPr>
        <w:spacing w:before="84"/>
        <w:ind w:left="117" w:right="0" w:firstLine="0"/>
        <w:jc w:val="left"/>
        <w:rPr>
          <w:b/>
          <w:sz w:val="21"/>
        </w:rPr>
      </w:pPr>
      <w:r>
        <w:rPr>
          <w:b/>
          <w:sz w:val="21"/>
        </w:rPr>
        <w:t>12、 深度昏迷：</w:t>
      </w:r>
    </w:p>
    <w:p>
      <w:pPr>
        <w:pStyle w:val="BodyText"/>
        <w:spacing w:line="314" w:lineRule="auto" w:before="84"/>
        <w:ind w:left="116" w:right="115" w:firstLine="478"/>
        <w:jc w:val="both"/>
      </w:pPr>
      <w:r>
        <w:rPr/>
        <w:t>指因疾病或意外伤害导致意识丧失,对外界刺激和体内需求均无反应,昏迷程度按照格拉斯哥昏迷分级（Glasgow coma scale）</w:t>
      </w:r>
      <w:r>
        <w:rPr>
          <w:spacing w:val="-10"/>
        </w:rPr>
        <w:t>结果为 </w:t>
      </w:r>
      <w:r>
        <w:rPr/>
        <w:t>5</w:t>
      </w:r>
      <w:r>
        <w:rPr>
          <w:spacing w:val="-21"/>
        </w:rPr>
        <w:t> 分或 </w:t>
      </w:r>
      <w:r>
        <w:rPr/>
        <w:t>5</w:t>
      </w:r>
      <w:r>
        <w:rPr>
          <w:spacing w:val="-7"/>
        </w:rPr>
        <w:t> 分以下，且已经持续使用呼吸机及其他生</w:t>
      </w:r>
      <w:r>
        <w:rPr>
          <w:spacing w:val="-15"/>
        </w:rPr>
        <w:t>命维持系统 </w:t>
      </w:r>
      <w:r>
        <w:rPr/>
        <w:t>96</w:t>
      </w:r>
      <w:r>
        <w:rPr>
          <w:spacing w:val="-10"/>
        </w:rPr>
        <w:t> 小时以上。</w:t>
      </w:r>
    </w:p>
    <w:p>
      <w:pPr>
        <w:pStyle w:val="BodyText"/>
        <w:spacing w:before="19"/>
        <w:ind w:left="536"/>
      </w:pPr>
      <w:r>
        <w:rPr/>
        <w:t>因酗酒或药物滥用导致的深度昏迷不在保障范围内。</w:t>
      </w:r>
    </w:p>
    <w:p>
      <w:pPr>
        <w:spacing w:before="84"/>
        <w:ind w:left="117" w:right="0" w:firstLine="0"/>
        <w:jc w:val="left"/>
        <w:rPr>
          <w:b/>
          <w:sz w:val="21"/>
        </w:rPr>
      </w:pPr>
      <w:r>
        <w:rPr>
          <w:b/>
          <w:sz w:val="21"/>
        </w:rPr>
        <w:t>13、 双耳失聪：</w:t>
      </w:r>
    </w:p>
    <w:p>
      <w:pPr>
        <w:pStyle w:val="BodyText"/>
        <w:spacing w:before="84"/>
        <w:ind w:left="536"/>
      </w:pPr>
      <w:r>
        <w:rPr>
          <w:spacing w:val="-6"/>
        </w:rPr>
        <w:t>指因疾病或意外伤害导致双耳听力永久不可逆性丧失，在 </w:t>
      </w:r>
      <w:r>
        <w:rPr/>
        <w:t>500</w:t>
      </w:r>
      <w:r>
        <w:rPr>
          <w:spacing w:val="-28"/>
        </w:rPr>
        <w:t> 赫兹、</w:t>
      </w:r>
      <w:r>
        <w:rPr/>
        <w:t>1000</w:t>
      </w:r>
      <w:r>
        <w:rPr>
          <w:spacing w:val="-25"/>
        </w:rPr>
        <w:t> 赫兹和 </w:t>
      </w:r>
      <w:r>
        <w:rPr/>
        <w:t>2000</w:t>
      </w:r>
      <w:r>
        <w:rPr>
          <w:spacing w:val="-20"/>
        </w:rPr>
        <w:t> 赫兹</w:t>
      </w:r>
    </w:p>
    <w:p>
      <w:pPr>
        <w:pStyle w:val="BodyText"/>
        <w:spacing w:line="314" w:lineRule="auto" w:before="84"/>
        <w:ind w:left="116" w:right="115"/>
      </w:pPr>
      <w:r>
        <w:rPr>
          <w:spacing w:val="-8"/>
        </w:rPr>
        <w:t>语音频率下，平均听阈大于 </w:t>
      </w:r>
      <w:r>
        <w:rPr/>
        <w:t>90</w:t>
      </w:r>
      <w:r>
        <w:rPr>
          <w:spacing w:val="-11"/>
        </w:rPr>
        <w:t> 分贝，且经纯音听力测试、声导抗检测或听觉诱发电位检测等证实。</w:t>
      </w:r>
    </w:p>
    <w:p>
      <w:pPr>
        <w:spacing w:before="18"/>
        <w:ind w:left="117" w:right="0" w:firstLine="0"/>
        <w:jc w:val="left"/>
        <w:rPr>
          <w:b/>
          <w:sz w:val="21"/>
        </w:rPr>
      </w:pPr>
      <w:r>
        <w:rPr>
          <w:b/>
          <w:sz w:val="21"/>
        </w:rPr>
        <w:t>14、 双目失明：</w:t>
      </w:r>
    </w:p>
    <w:p>
      <w:pPr>
        <w:pStyle w:val="BodyText"/>
        <w:spacing w:line="314" w:lineRule="auto"/>
        <w:ind w:left="116" w:right="115" w:firstLine="478"/>
      </w:pPr>
      <w:r>
        <w:rPr/>
        <w:t>指因疾病或意外伤害导致双眼视力永久不可逆性丧失，双眼中较好眼须满足下列至少一项条件：</w:t>
      </w:r>
    </w:p>
    <w:p>
      <w:pPr>
        <w:spacing w:after="0" w:line="314" w:lineRule="auto"/>
        <w:sectPr>
          <w:pgSz w:w="11910" w:h="16840"/>
          <w:pgMar w:header="0" w:footer="998" w:top="1420" w:bottom="1180" w:left="1660" w:right="1340"/>
        </w:sectPr>
      </w:pPr>
    </w:p>
    <w:p>
      <w:pPr>
        <w:pStyle w:val="BodyText"/>
        <w:spacing w:before="6"/>
        <w:ind w:left="535"/>
      </w:pPr>
      <w:r>
        <w:rPr/>
        <w:t>（1）眼球缺失或摘除；</w:t>
      </w:r>
    </w:p>
    <w:p>
      <w:pPr>
        <w:pStyle w:val="BodyText"/>
        <w:ind w:left="535"/>
      </w:pPr>
      <w:r>
        <w:rPr/>
        <w:t>（2）</w:t>
      </w:r>
      <w:r>
        <w:rPr>
          <w:spacing w:val="-9"/>
        </w:rPr>
        <w:t>矫正视力低于 </w:t>
      </w:r>
      <w:r>
        <w:rPr/>
        <w:t>0.02（采用国际标准视力表，如果使用其他视力表应进行换算</w:t>
      </w:r>
      <w:r>
        <w:rPr>
          <w:spacing w:val="-106"/>
        </w:rPr>
        <w:t>）</w:t>
      </w:r>
      <w:r>
        <w:rPr/>
        <w:t>；</w:t>
      </w:r>
    </w:p>
    <w:p>
      <w:pPr>
        <w:pStyle w:val="BodyText"/>
        <w:ind w:left="536"/>
      </w:pPr>
      <w:r>
        <w:rPr/>
        <w:t>（3）视野半径小于 5 度。</w:t>
      </w:r>
    </w:p>
    <w:p>
      <w:pPr>
        <w:spacing w:before="83"/>
        <w:ind w:left="117" w:right="0" w:firstLine="0"/>
        <w:jc w:val="left"/>
        <w:rPr>
          <w:b/>
          <w:sz w:val="21"/>
        </w:rPr>
      </w:pPr>
      <w:r>
        <w:rPr>
          <w:b/>
          <w:sz w:val="21"/>
        </w:rPr>
        <w:t>15、 瘫痪：</w:t>
      </w:r>
    </w:p>
    <w:p>
      <w:pPr>
        <w:pStyle w:val="BodyText"/>
        <w:spacing w:line="314" w:lineRule="auto"/>
        <w:ind w:left="116" w:right="109" w:firstLine="420"/>
      </w:pPr>
      <w:r>
        <w:rPr>
          <w:spacing w:val="-2"/>
        </w:rPr>
        <w:t>指因疾病或意外伤害导致两肢或两肢以上肢体机能永久完全丧失。肢体机能永久完全丧失， </w:t>
      </w:r>
      <w:r>
        <w:rPr>
          <w:spacing w:val="-8"/>
        </w:rPr>
        <w:t>指疾病确诊 </w:t>
      </w:r>
      <w:r>
        <w:rPr/>
        <w:t>180</w:t>
      </w:r>
      <w:r>
        <w:rPr>
          <w:spacing w:val="-9"/>
        </w:rPr>
        <w:t> 天后或意外伤害发生 </w:t>
      </w:r>
      <w:r>
        <w:rPr/>
        <w:t>180</w:t>
      </w:r>
      <w:r>
        <w:rPr>
          <w:spacing w:val="-6"/>
        </w:rPr>
        <w:t> 天后，每肢三大关节中的两大关节仍然完全僵硬，或不能随意识活动。</w:t>
      </w:r>
    </w:p>
    <w:p>
      <w:pPr>
        <w:spacing w:before="18"/>
        <w:ind w:left="117" w:right="0" w:firstLine="0"/>
        <w:jc w:val="left"/>
        <w:rPr>
          <w:b/>
          <w:sz w:val="21"/>
        </w:rPr>
      </w:pPr>
      <w:r>
        <w:rPr>
          <w:b/>
          <w:sz w:val="21"/>
        </w:rPr>
        <w:t>16、 心脏瓣膜手术：</w:t>
      </w:r>
    </w:p>
    <w:p>
      <w:pPr>
        <w:pStyle w:val="BodyText"/>
        <w:ind w:left="536"/>
      </w:pPr>
      <w:r>
        <w:rPr/>
        <w:t>指为治疗心脏瓣膜疾病，实际实施了开胸进行的心脏瓣膜置换或修复的手术。</w:t>
      </w:r>
    </w:p>
    <w:p>
      <w:pPr>
        <w:spacing w:before="83"/>
        <w:ind w:left="117" w:right="0" w:firstLine="0"/>
        <w:jc w:val="left"/>
        <w:rPr>
          <w:b/>
          <w:sz w:val="21"/>
        </w:rPr>
      </w:pPr>
      <w:r>
        <w:rPr>
          <w:b/>
          <w:sz w:val="21"/>
        </w:rPr>
        <w:t>17、 严重阿尔茨海默病：</w:t>
      </w:r>
    </w:p>
    <w:p>
      <w:pPr>
        <w:pStyle w:val="BodyText"/>
        <w:spacing w:line="314" w:lineRule="auto"/>
        <w:ind w:left="116" w:right="172" w:firstLine="478"/>
        <w:jc w:val="both"/>
      </w:pPr>
      <w:r>
        <w:rPr/>
        <w:t>指因大脑进行性、不可逆性改变导致智能严重衰退或丧失，临床表现为明显的认知能力障</w:t>
      </w:r>
      <w:r>
        <w:rPr>
          <w:spacing w:val="-1"/>
        </w:rPr>
        <w:t>碍、行为异常和社交能力减退，其日常生活必须持续受到他人监护。须由头颅断层扫描（CT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、核磁共振检查（MRI）或正电子发射断层扫描（PET）等影像学检查证实，且自主生活能力完全丧失，无法独立完成六项基本日常生活活动中的三项或三项以上。</w:t>
      </w:r>
    </w:p>
    <w:p>
      <w:pPr>
        <w:pStyle w:val="BodyText"/>
        <w:spacing w:before="18"/>
        <w:ind w:left="536"/>
      </w:pPr>
      <w:r>
        <w:rPr/>
        <w:t>神经官能症和精神疾病不在保障范围内。</w:t>
      </w:r>
    </w:p>
    <w:p>
      <w:pPr>
        <w:spacing w:before="83"/>
        <w:ind w:left="117" w:right="0" w:firstLine="0"/>
        <w:jc w:val="left"/>
        <w:rPr>
          <w:b/>
          <w:sz w:val="21"/>
        </w:rPr>
      </w:pPr>
      <w:r>
        <w:rPr>
          <w:b/>
          <w:sz w:val="21"/>
        </w:rPr>
        <w:t>18、 严重脑损伤：</w:t>
      </w:r>
    </w:p>
    <w:p>
      <w:pPr>
        <w:pStyle w:val="BodyText"/>
        <w:spacing w:line="314" w:lineRule="auto"/>
        <w:ind w:left="116" w:right="171" w:firstLine="478"/>
        <w:jc w:val="both"/>
      </w:pPr>
      <w:r>
        <w:rPr/>
        <w:t>指因头部遭受机械性外力，引起脑重要部位损伤，导致神经系统永久性的功能障碍。须由</w:t>
      </w:r>
      <w:r>
        <w:rPr>
          <w:spacing w:val="-1"/>
        </w:rPr>
        <w:t>头颅断层扫描（CT</w:t>
      </w:r>
      <w:r>
        <w:rPr>
          <w:spacing w:val="-104"/>
        </w:rPr>
        <w:t>）</w:t>
      </w:r>
      <w:r>
        <w:rPr>
          <w:spacing w:val="-1"/>
        </w:rPr>
        <w:t>、核磁共振检查</w:t>
      </w:r>
      <w:r>
        <w:rPr/>
        <w:t>（MRI）</w:t>
      </w:r>
      <w:r>
        <w:rPr>
          <w:spacing w:val="-1"/>
        </w:rPr>
        <w:t>或正电子发射断层扫描</w:t>
      </w:r>
      <w:r>
        <w:rPr/>
        <w:t>（PET）等影像学检查证实。</w:t>
      </w:r>
      <w:r>
        <w:rPr>
          <w:spacing w:val="-3"/>
        </w:rPr>
        <w:t>神经系统永久性的功能障碍，指脑损伤 </w:t>
      </w:r>
      <w:r>
        <w:rPr/>
        <w:t>180</w:t>
      </w:r>
      <w:r>
        <w:rPr>
          <w:spacing w:val="-8"/>
        </w:rPr>
        <w:t> 天后，仍遗留下列一种或一种以上障碍：</w:t>
      </w:r>
    </w:p>
    <w:p>
      <w:pPr>
        <w:pStyle w:val="BodyText"/>
        <w:spacing w:before="18"/>
        <w:ind w:left="536"/>
      </w:pPr>
      <w:r>
        <w:rPr/>
        <w:t>（1）一肢或一肢以上肢体机能完全丧失；</w:t>
      </w:r>
    </w:p>
    <w:p>
      <w:pPr>
        <w:pStyle w:val="BodyText"/>
        <w:ind w:left="536"/>
      </w:pPr>
      <w:r>
        <w:rPr/>
        <w:t>（2）语言能力或咀嚼吞咽能力完全丧失；</w:t>
      </w:r>
    </w:p>
    <w:p>
      <w:pPr>
        <w:pStyle w:val="BodyText"/>
        <w:ind w:left="474"/>
      </w:pPr>
      <w:r>
        <w:rPr/>
        <w:t>（3）自主生活能力完全丧失，无法独立完成六项基本日常生活活动中的三项或三项以上。</w:t>
      </w:r>
    </w:p>
    <w:p>
      <w:pPr>
        <w:spacing w:before="83"/>
        <w:ind w:left="117" w:right="0" w:firstLine="0"/>
        <w:jc w:val="left"/>
        <w:rPr>
          <w:b/>
          <w:sz w:val="21"/>
        </w:rPr>
      </w:pPr>
      <w:r>
        <w:rPr>
          <w:b/>
          <w:sz w:val="21"/>
        </w:rPr>
        <w:t>19、 严重帕金森病：</w:t>
      </w:r>
    </w:p>
    <w:p>
      <w:pPr>
        <w:pStyle w:val="BodyText"/>
        <w:spacing w:line="314" w:lineRule="auto"/>
        <w:ind w:left="116" w:right="215" w:firstLine="478"/>
      </w:pPr>
      <w:r>
        <w:rPr/>
        <w:t>是一种中枢神经系统的退行性疾病，临床表现为震颤麻痹、共济失调等。须满足下列全部条件：</w:t>
      </w:r>
    </w:p>
    <w:p>
      <w:pPr>
        <w:pStyle w:val="BodyText"/>
        <w:spacing w:before="18"/>
        <w:ind w:left="536"/>
      </w:pPr>
      <w:r>
        <w:rPr/>
        <w:t>（1）药物治疗无法控制病情；</w:t>
      </w:r>
    </w:p>
    <w:p>
      <w:pPr>
        <w:pStyle w:val="BodyText"/>
        <w:spacing w:line="314" w:lineRule="auto"/>
        <w:ind w:left="599" w:right="170" w:hanging="64"/>
      </w:pPr>
      <w:r>
        <w:rPr/>
        <w:t>（2）自主生活能力完全丧失，无法独立完成六项基本日常生活活动中的三项或三项以上。继发性帕金森综合征不在保障范围内。</w:t>
      </w:r>
    </w:p>
    <w:p>
      <w:pPr>
        <w:spacing w:before="18"/>
        <w:ind w:left="117" w:right="0" w:firstLine="0"/>
        <w:jc w:val="left"/>
        <w:rPr>
          <w:b/>
          <w:sz w:val="21"/>
        </w:rPr>
      </w:pPr>
      <w:r>
        <w:rPr>
          <w:b/>
          <w:sz w:val="21"/>
        </w:rPr>
        <w:t>20、 严重Ⅲ度烧伤：</w:t>
      </w:r>
    </w:p>
    <w:p>
      <w:pPr>
        <w:pStyle w:val="BodyText"/>
        <w:spacing w:line="314" w:lineRule="auto"/>
        <w:ind w:left="116" w:right="214" w:firstLine="420"/>
      </w:pPr>
      <w:r>
        <w:rPr>
          <w:spacing w:val="-5"/>
        </w:rPr>
        <w:t>指烧伤程度为Ⅲ度，且Ⅲ度烧伤的面积达到全身体表面积的 </w:t>
      </w:r>
      <w:r>
        <w:rPr/>
        <w:t>20</w:t>
      </w:r>
      <w:r>
        <w:rPr>
          <w:spacing w:val="-18"/>
        </w:rPr>
        <w:t>％或 </w:t>
      </w:r>
      <w:r>
        <w:rPr/>
        <w:t>20％</w:t>
      </w:r>
      <w:r>
        <w:rPr>
          <w:spacing w:val="-5"/>
        </w:rPr>
        <w:t>以上。体表面积根据《中国新九分法》计算。</w:t>
      </w:r>
    </w:p>
    <w:p>
      <w:pPr>
        <w:spacing w:before="18"/>
        <w:ind w:left="117" w:right="0" w:firstLine="0"/>
        <w:jc w:val="left"/>
        <w:rPr>
          <w:b/>
          <w:sz w:val="21"/>
        </w:rPr>
      </w:pPr>
      <w:r>
        <w:rPr>
          <w:b/>
          <w:sz w:val="21"/>
        </w:rPr>
        <w:t>21、 严重原发性肺动脉高压：</w:t>
      </w:r>
    </w:p>
    <w:p>
      <w:pPr>
        <w:pStyle w:val="BodyText"/>
        <w:spacing w:line="314" w:lineRule="auto"/>
        <w:ind w:left="116" w:right="212" w:firstLine="420"/>
        <w:jc w:val="both"/>
      </w:pPr>
      <w:r>
        <w:rPr/>
        <w:t>指不明原因的肺动脉压力持续性增高，进行性发展而导致的慢性疾病，已经造成永久不可</w:t>
      </w:r>
      <w:r>
        <w:rPr>
          <w:spacing w:val="-5"/>
        </w:rPr>
        <w:t>逆性的体力活动能力受限，达到美国纽约心脏病学会心功能状态分级 </w:t>
      </w:r>
      <w:r>
        <w:rPr/>
        <w:t>IV</w:t>
      </w:r>
      <w:r>
        <w:rPr>
          <w:spacing w:val="-10"/>
        </w:rPr>
        <w:t> 级，且静息状态下肺动</w:t>
      </w:r>
      <w:r>
        <w:rPr>
          <w:spacing w:val="-17"/>
        </w:rPr>
        <w:t>脉平均压超过 </w:t>
      </w:r>
      <w:r>
        <w:rPr/>
        <w:t>30mmHg。</w:t>
      </w:r>
    </w:p>
    <w:p>
      <w:pPr>
        <w:spacing w:before="18"/>
        <w:ind w:left="117" w:right="0" w:firstLine="0"/>
        <w:jc w:val="left"/>
        <w:rPr>
          <w:b/>
          <w:sz w:val="21"/>
        </w:rPr>
      </w:pPr>
      <w:r>
        <w:rPr>
          <w:b/>
          <w:sz w:val="21"/>
        </w:rPr>
        <w:t>22、 严重运动神经元病：</w:t>
      </w:r>
    </w:p>
    <w:p>
      <w:pPr>
        <w:pStyle w:val="BodyText"/>
        <w:spacing w:line="314" w:lineRule="auto" w:before="84"/>
        <w:ind w:left="116" w:right="212"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14" w:lineRule="auto"/>
        <w:jc w:val="both"/>
        <w:sectPr>
          <w:pgSz w:w="11910" w:h="16840"/>
          <w:pgMar w:header="0" w:footer="998" w:top="1420" w:bottom="1180" w:left="1660" w:right="1240"/>
        </w:sectPr>
      </w:pPr>
    </w:p>
    <w:p>
      <w:pPr>
        <w:spacing w:before="6"/>
        <w:ind w:left="117" w:right="0" w:firstLine="0"/>
        <w:jc w:val="left"/>
        <w:rPr>
          <w:b/>
          <w:sz w:val="21"/>
        </w:rPr>
      </w:pPr>
      <w:r>
        <w:rPr>
          <w:b/>
          <w:sz w:val="21"/>
        </w:rPr>
        <w:t>23、 语言能力丧失：</w:t>
      </w:r>
    </w:p>
    <w:p>
      <w:pPr>
        <w:pStyle w:val="BodyText"/>
        <w:spacing w:line="314" w:lineRule="auto"/>
        <w:ind w:left="116" w:right="215" w:firstLine="478"/>
      </w:pPr>
      <w:r>
        <w:rPr>
          <w:spacing w:val="-6"/>
        </w:rPr>
        <w:t>指因疾病或意外伤害导致完全丧失语言能力，经过积极治疗至少 </w:t>
      </w:r>
      <w:r>
        <w:rPr/>
        <w:t>12</w:t>
      </w:r>
      <w:r>
        <w:rPr>
          <w:spacing w:val="-40"/>
        </w:rPr>
        <w:t> 个月</w:t>
      </w:r>
      <w:r>
        <w:rPr/>
        <w:t>（声带完全切除不受此时间限制</w:t>
      </w:r>
      <w:r>
        <w:rPr>
          <w:spacing w:val="-105"/>
        </w:rPr>
        <w:t>）</w:t>
      </w:r>
      <w:r>
        <w:rPr>
          <w:spacing w:val="-1"/>
        </w:rPr>
        <w:t>，仍无法通过现有医疗手段恢复。</w:t>
      </w:r>
    </w:p>
    <w:p>
      <w:pPr>
        <w:pStyle w:val="BodyText"/>
        <w:spacing w:before="18"/>
        <w:ind w:left="536"/>
      </w:pPr>
      <w:r>
        <w:rPr/>
        <w:t>精神心理因素所致的语言能力丧失不在保障范围内。</w:t>
      </w:r>
    </w:p>
    <w:p>
      <w:pPr>
        <w:tabs>
          <w:tab w:pos="1017" w:val="left" w:leader="none"/>
        </w:tabs>
        <w:spacing w:before="83"/>
        <w:ind w:left="177" w:right="0" w:firstLine="0"/>
        <w:jc w:val="left"/>
        <w:rPr>
          <w:b/>
          <w:sz w:val="21"/>
        </w:rPr>
      </w:pPr>
      <w:r>
        <w:rPr>
          <w:b/>
          <w:sz w:val="21"/>
        </w:rPr>
        <w:t>24、</w:t>
        <w:tab/>
      </w:r>
      <w:r>
        <w:rPr>
          <w:b/>
          <w:w w:val="95"/>
          <w:sz w:val="21"/>
        </w:rPr>
        <w:t>重型再生障碍性贫血：</w:t>
      </w:r>
    </w:p>
    <w:p>
      <w:pPr>
        <w:pStyle w:val="BodyText"/>
        <w:spacing w:line="314" w:lineRule="auto"/>
        <w:ind w:left="116" w:right="215" w:firstLine="478"/>
      </w:pPr>
      <w:r>
        <w:rPr/>
        <w:t>指因骨髓造血功能慢性持续性衰竭导致的贫血、中性粒细胞减少及血小板减少。须满足下列全部条件：</w:t>
      </w:r>
    </w:p>
    <w:p>
      <w:pPr>
        <w:pStyle w:val="BodyText"/>
        <w:spacing w:before="18"/>
        <w:ind w:left="536"/>
      </w:pPr>
      <w:r>
        <w:rPr/>
        <w:t>（1）骨髓穿刺检查或骨髓活检结果支持诊断；</w:t>
      </w:r>
    </w:p>
    <w:p>
      <w:pPr>
        <w:pStyle w:val="BodyText"/>
        <w:ind w:left="536"/>
      </w:pPr>
      <w:r>
        <w:rPr/>
        <w:t>（2）外周血象须具备以下三项条件：</w:t>
      </w:r>
    </w:p>
    <w:p>
      <w:pPr>
        <w:pStyle w:val="BodyText"/>
        <w:ind w:left="956"/>
      </w:pPr>
      <w:r>
        <w:rPr/>
        <w:t>① 中性粒细胞绝对值≤0.5×10</w:t>
      </w:r>
      <w:r>
        <w:rPr>
          <w:position w:val="11"/>
          <w:sz w:val="11"/>
        </w:rPr>
        <w:t>9</w:t>
      </w:r>
      <w:r>
        <w:rPr/>
        <w:t>/L ；</w:t>
      </w:r>
    </w:p>
    <w:p>
      <w:pPr>
        <w:pStyle w:val="BodyText"/>
        <w:ind w:left="956"/>
      </w:pPr>
      <w:r>
        <w:rPr/>
        <w:t>② 网织红细胞＜1%；</w:t>
      </w:r>
    </w:p>
    <w:p>
      <w:pPr>
        <w:pStyle w:val="BodyText"/>
        <w:ind w:left="940" w:right="5140"/>
        <w:jc w:val="center"/>
      </w:pPr>
      <w:r>
        <w:rPr/>
        <w:t>③ 血小板绝对值≤20×10</w:t>
      </w:r>
      <w:r>
        <w:rPr>
          <w:position w:val="11"/>
          <w:sz w:val="11"/>
        </w:rPr>
        <w:t>9</w:t>
      </w:r>
      <w:r>
        <w:rPr/>
        <w:t>/L。</w:t>
      </w:r>
    </w:p>
    <w:p>
      <w:pPr>
        <w:spacing w:before="83"/>
        <w:ind w:left="117" w:right="0" w:firstLine="0"/>
        <w:jc w:val="left"/>
        <w:rPr>
          <w:b/>
          <w:sz w:val="21"/>
        </w:rPr>
      </w:pPr>
      <w:r>
        <w:rPr>
          <w:b/>
          <w:sz w:val="21"/>
        </w:rPr>
        <w:t>25、 主动脉手术：</w:t>
      </w:r>
    </w:p>
    <w:p>
      <w:pPr>
        <w:pStyle w:val="BodyText"/>
        <w:spacing w:line="314" w:lineRule="auto"/>
        <w:ind w:left="115" w:right="215" w:firstLine="478"/>
      </w:pPr>
      <w:r>
        <w:rPr/>
        <w:t>指为治疗主动脉疾病，实际实施了开胸或开腹进行的切除、置换、修补病损主动脉血管的手术。主动脉指胸主动脉和腹主动脉，不包括胸主动脉和腹主动脉的分支血管。</w:t>
      </w:r>
    </w:p>
    <w:p>
      <w:pPr>
        <w:pStyle w:val="BodyText"/>
        <w:spacing w:before="18"/>
        <w:ind w:left="535"/>
      </w:pPr>
      <w:r>
        <w:rPr/>
        <w:t>动脉内血管成形术不在保障范围内。</w:t>
      </w:r>
    </w:p>
    <w:p>
      <w:pPr>
        <w:spacing w:before="84"/>
        <w:ind w:left="117" w:right="0" w:firstLine="0"/>
        <w:jc w:val="left"/>
        <w:rPr>
          <w:b/>
          <w:sz w:val="21"/>
        </w:rPr>
      </w:pPr>
      <w:r>
        <w:rPr>
          <w:b/>
          <w:w w:val="95"/>
          <w:sz w:val="21"/>
        </w:rPr>
        <w:t>二、《重大疾病保险的疾病定义使用规范》范围以外的疾病种类：</w:t>
      </w:r>
    </w:p>
    <w:p>
      <w:pPr>
        <w:spacing w:before="84"/>
        <w:ind w:left="117" w:right="0" w:firstLine="0"/>
        <w:jc w:val="left"/>
        <w:rPr>
          <w:b/>
          <w:sz w:val="21"/>
        </w:rPr>
      </w:pPr>
      <w:r>
        <w:rPr>
          <w:b/>
          <w:sz w:val="21"/>
        </w:rPr>
        <w:t>26、 慢性呼吸功能衰竭:</w:t>
      </w:r>
    </w:p>
    <w:p>
      <w:pPr>
        <w:pStyle w:val="BodyText"/>
        <w:spacing w:line="314" w:lineRule="auto" w:before="84"/>
        <w:ind w:left="116" w:right="215" w:firstLine="478"/>
      </w:pPr>
      <w:r>
        <w:rPr/>
        <w:t>慢性肺部疾病导致永久不可逆性的慢性呼吸功能衰竭。慢性呼吸功能衰竭必须明确诊断并满足下列全部条件：</w:t>
      </w:r>
    </w:p>
    <w:p>
      <w:pPr>
        <w:pStyle w:val="BodyText"/>
        <w:spacing w:before="19"/>
        <w:ind w:left="536"/>
      </w:pPr>
      <w:r>
        <w:rPr/>
        <w:t>（1）休息时出现呼吸困难；</w:t>
      </w:r>
    </w:p>
    <w:p>
      <w:pPr>
        <w:pStyle w:val="BodyText"/>
        <w:ind w:left="536"/>
      </w:pPr>
      <w:r>
        <w:rPr>
          <w:position w:val="1"/>
        </w:rPr>
        <w:t>（2）动脉血氧分压 （PaO</w:t>
      </w:r>
      <w:r>
        <w:rPr>
          <w:sz w:val="11"/>
        </w:rPr>
        <w:t>2 </w:t>
      </w:r>
      <w:r>
        <w:rPr>
          <w:position w:val="1"/>
        </w:rPr>
        <w:t>）&lt; 50mmHg；</w:t>
      </w:r>
    </w:p>
    <w:p>
      <w:pPr>
        <w:pStyle w:val="BodyText"/>
        <w:ind w:left="535"/>
      </w:pPr>
      <w:r>
        <w:rPr>
          <w:position w:val="1"/>
        </w:rPr>
        <w:t>（3）动脉血氧饱和度 （SaO</w:t>
      </w:r>
      <w:r>
        <w:rPr>
          <w:sz w:val="11"/>
        </w:rPr>
        <w:t>2 </w:t>
      </w:r>
      <w:r>
        <w:rPr>
          <w:position w:val="1"/>
        </w:rPr>
        <w:t>）&lt; 80％；</w:t>
      </w:r>
    </w:p>
    <w:p>
      <w:pPr>
        <w:pStyle w:val="BodyText"/>
        <w:spacing w:before="84"/>
        <w:ind w:left="537"/>
      </w:pPr>
      <w:r>
        <w:rPr/>
        <w:t>（4）因缺氧必须接受持续的输氧治疗。</w:t>
      </w:r>
    </w:p>
    <w:p>
      <w:pPr>
        <w:spacing w:before="84"/>
        <w:ind w:left="117" w:right="0" w:firstLine="0"/>
        <w:jc w:val="left"/>
        <w:rPr>
          <w:b/>
          <w:sz w:val="21"/>
        </w:rPr>
      </w:pPr>
      <w:r>
        <w:rPr>
          <w:b/>
          <w:sz w:val="21"/>
        </w:rPr>
        <w:t>27、 非阿尔茨海默病所致严重痴呆:</w:t>
      </w:r>
    </w:p>
    <w:p>
      <w:pPr>
        <w:pStyle w:val="BodyText"/>
        <w:spacing w:line="314" w:lineRule="auto" w:before="84"/>
        <w:ind w:left="115" w:right="51" w:firstLine="478"/>
      </w:pPr>
      <w:r>
        <w:rPr/>
        <w:t>指因阿尔茨海默病以外的脑的器质性疾病造成脑功能衰竭导致永久不可逆性的严重痴呆， 临床表现为明显的认知能力障碍、行为异常和社交能力减退。被保险人自主生活能力完全丧失， 无法独立完成六项基本日常生活活动中的三项或三项以上，日常生活必须持续受到他人监护。导致痴呆的疾病必须明确诊断，并且由完整的临床、实验室和影像学检查结果证实。</w:t>
      </w:r>
    </w:p>
    <w:p>
      <w:pPr>
        <w:pStyle w:val="BodyText"/>
        <w:spacing w:before="19"/>
        <w:ind w:left="594"/>
      </w:pPr>
      <w:r>
        <w:rPr/>
        <w:t>神经官能症,精神疾病及酒精中毒所致脑损害不在保障范围内。</w:t>
      </w:r>
    </w:p>
    <w:p>
      <w:pPr>
        <w:spacing w:before="84"/>
        <w:ind w:left="117" w:right="0" w:firstLine="0"/>
        <w:jc w:val="left"/>
        <w:rPr>
          <w:b/>
          <w:sz w:val="21"/>
        </w:rPr>
      </w:pPr>
      <w:r>
        <w:rPr>
          <w:b/>
          <w:sz w:val="21"/>
        </w:rPr>
        <w:t>28、 严重多发性硬化:</w:t>
      </w:r>
    </w:p>
    <w:p>
      <w:pPr>
        <w:pStyle w:val="BodyText"/>
        <w:spacing w:line="314" w:lineRule="auto" w:before="84"/>
        <w:ind w:left="115" w:right="215" w:firstLine="478"/>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BodyText"/>
        <w:spacing w:before="19"/>
        <w:ind w:left="535"/>
      </w:pPr>
      <w:r>
        <w:rPr/>
        <w:t>（1）移动：自己从一个房间到另一个房间；或者</w:t>
      </w:r>
    </w:p>
    <w:p>
      <w:pPr>
        <w:pStyle w:val="BodyText"/>
        <w:spacing w:before="84"/>
        <w:ind w:left="535"/>
      </w:pPr>
      <w:r>
        <w:rPr/>
        <w:t>（2）进食：自己从已准备好的碗或碟中取食物放入口中。</w:t>
      </w:r>
    </w:p>
    <w:p>
      <w:pPr>
        <w:spacing w:before="84"/>
        <w:ind w:left="117" w:right="0" w:firstLine="0"/>
        <w:jc w:val="left"/>
        <w:rPr>
          <w:b/>
          <w:sz w:val="21"/>
        </w:rPr>
      </w:pPr>
      <w:r>
        <w:rPr>
          <w:b/>
          <w:sz w:val="21"/>
        </w:rPr>
        <w:t>29、 系统性红斑狼疮 － III 型狼疮性肾炎:</w:t>
      </w:r>
    </w:p>
    <w:p>
      <w:pPr>
        <w:pStyle w:val="BodyText"/>
        <w:spacing w:before="84"/>
        <w:ind w:left="594"/>
      </w:pPr>
      <w:r>
        <w:rPr/>
        <w:t>指系统性红斑狼疮患者并发狼疮性肾炎而影响和损害肾脏功能，且肌酐清除率持续低于</w:t>
      </w:r>
    </w:p>
    <w:p>
      <w:pPr>
        <w:pStyle w:val="BodyText"/>
        <w:spacing w:before="84"/>
        <w:ind w:left="115"/>
      </w:pPr>
      <w:r>
        <w:rPr/>
        <w:t>30ml/分。系统性红斑狼疮性肾炎的诊断必须经专科医生确诊，并满足下列条件：</w:t>
      </w:r>
    </w:p>
    <w:p>
      <w:pPr>
        <w:spacing w:after="0"/>
        <w:sectPr>
          <w:pgSz w:w="11910" w:h="16840"/>
          <w:pgMar w:header="0" w:footer="998" w:top="1420" w:bottom="1180" w:left="1660" w:right="1240"/>
        </w:sectPr>
      </w:pPr>
    </w:p>
    <w:p>
      <w:pPr>
        <w:pStyle w:val="BodyText"/>
        <w:spacing w:before="6"/>
        <w:ind w:left="594"/>
      </w:pPr>
      <w:r>
        <w:rPr/>
        <w:t>1）临床表现至少具备下列条件的四个：</w:t>
      </w:r>
    </w:p>
    <w:p>
      <w:pPr>
        <w:pStyle w:val="BodyText"/>
        <w:spacing w:line="314" w:lineRule="auto"/>
        <w:ind w:left="1014" w:right="5501"/>
      </w:pPr>
      <w:r>
        <w:rPr/>
        <w:t>(1)蝶形红斑或盘形红斑； (2)光敏感；</w:t>
      </w:r>
    </w:p>
    <w:p>
      <w:pPr>
        <w:pStyle w:val="BodyText"/>
        <w:spacing w:before="18"/>
        <w:ind w:left="1014"/>
      </w:pPr>
      <w:r>
        <w:rPr/>
        <w:t>(3 口鼻腔黏膜溃疡；</w:t>
      </w:r>
    </w:p>
    <w:p>
      <w:pPr>
        <w:pStyle w:val="BodyText"/>
        <w:ind w:left="1014"/>
      </w:pPr>
      <w:r>
        <w:rPr/>
        <w:t>(4)非畸形性关节炎或多关节痛；</w:t>
      </w:r>
    </w:p>
    <w:p>
      <w:pPr>
        <w:pStyle w:val="BodyText"/>
        <w:ind w:left="1014"/>
      </w:pPr>
      <w:r>
        <w:rPr/>
        <w:t>(5)胸膜炎或心包炎；</w:t>
      </w:r>
    </w:p>
    <w:p>
      <w:pPr>
        <w:pStyle w:val="BodyText"/>
        <w:ind w:left="1014"/>
      </w:pPr>
      <w:r>
        <w:rPr/>
        <w:t>(6)癫痫或精神症状；</w:t>
      </w:r>
    </w:p>
    <w:p>
      <w:pPr>
        <w:pStyle w:val="BodyText"/>
        <w:ind w:left="1014"/>
      </w:pPr>
      <w:r>
        <w:rPr/>
        <w:t>(7)血象异常(_白细胞小于 4×10</w:t>
      </w:r>
      <w:r>
        <w:rPr>
          <w:position w:val="11"/>
          <w:sz w:val="11"/>
        </w:rPr>
        <w:t>9</w:t>
      </w:r>
      <w:r>
        <w:rPr/>
        <w:t>/L 或血小板小于 100×10</w:t>
      </w:r>
      <w:r>
        <w:rPr>
          <w:position w:val="11"/>
          <w:sz w:val="11"/>
        </w:rPr>
        <w:t>9</w:t>
      </w:r>
      <w:r>
        <w:rPr/>
        <w:t>/L 或溶血性贫血)_。</w:t>
      </w:r>
    </w:p>
    <w:p>
      <w:pPr>
        <w:pStyle w:val="BodyText"/>
        <w:spacing w:line="314" w:lineRule="auto"/>
        <w:ind w:left="1014" w:right="4661" w:hanging="420"/>
      </w:pPr>
      <w:r>
        <w:rPr/>
        <w:t>2）检测结果至少具备下列条件的两个： (1)抗 dsDNA 抗体阳性；</w:t>
      </w:r>
    </w:p>
    <w:p>
      <w:pPr>
        <w:pStyle w:val="BodyText"/>
        <w:spacing w:before="18"/>
        <w:ind w:left="1014"/>
      </w:pPr>
      <w:r>
        <w:rPr/>
        <w:t>(2)抗 Sm 抗体阳性；</w:t>
      </w:r>
    </w:p>
    <w:p>
      <w:pPr>
        <w:pStyle w:val="BodyText"/>
        <w:spacing w:before="84"/>
        <w:ind w:left="1014"/>
      </w:pPr>
      <w:r>
        <w:rPr/>
        <w:t>(3)抗核抗体阳性；</w:t>
      </w:r>
    </w:p>
    <w:p>
      <w:pPr>
        <w:pStyle w:val="BodyText"/>
        <w:spacing w:before="84"/>
        <w:ind w:left="1014"/>
      </w:pPr>
      <w:r>
        <w:rPr/>
        <w:t>(4)皮肤狼疮带试验(非病损部位)或肾活检阳性；</w:t>
      </w:r>
    </w:p>
    <w:p>
      <w:pPr>
        <w:pStyle w:val="BodyText"/>
        <w:spacing w:before="84"/>
        <w:ind w:left="1014"/>
      </w:pPr>
      <w:r>
        <w:rPr/>
        <w:t>(5)C3 降低。</w:t>
      </w:r>
    </w:p>
    <w:p>
      <w:pPr>
        <w:spacing w:before="84"/>
        <w:ind w:left="117" w:right="0" w:firstLine="0"/>
        <w:jc w:val="left"/>
        <w:rPr>
          <w:b/>
          <w:sz w:val="21"/>
        </w:rPr>
      </w:pPr>
      <w:r>
        <w:rPr>
          <w:b/>
          <w:sz w:val="21"/>
        </w:rPr>
        <w:t>30、 严重心肌病:</w:t>
      </w:r>
    </w:p>
    <w:p>
      <w:pPr>
        <w:pStyle w:val="BodyText"/>
        <w:spacing w:line="314" w:lineRule="auto" w:before="84"/>
        <w:ind w:left="116" w:right="154" w:firstLine="478"/>
        <w:jc w:val="both"/>
      </w:pPr>
      <w:r>
        <w:rPr/>
        <w:t>指被保险人因心肌病导致慢性心功能损害造成永久不可逆性的心功能衰竭。心功能衰竭程</w:t>
      </w:r>
      <w:r>
        <w:rPr>
          <w:spacing w:val="-3"/>
        </w:rPr>
        <w:t>度达到纽约心脏病学会的心功能分级标准之心功能 </w:t>
      </w:r>
      <w:r>
        <w:rPr/>
        <w:t>IV</w:t>
      </w:r>
      <w:r>
        <w:rPr>
          <w:spacing w:val="-12"/>
        </w:rPr>
        <w:t> 级。被保险人永久不可逆性的体力活动能力受限，不能从事任何体力活动。</w:t>
      </w:r>
    </w:p>
    <w:p>
      <w:pPr>
        <w:spacing w:before="19"/>
        <w:ind w:left="117" w:right="0" w:firstLine="0"/>
        <w:jc w:val="left"/>
        <w:rPr>
          <w:b/>
          <w:sz w:val="21"/>
        </w:rPr>
      </w:pPr>
      <w:r>
        <w:rPr>
          <w:b/>
          <w:sz w:val="21"/>
        </w:rPr>
        <w:t>31、 严重类风湿性关节炎:</w:t>
      </w:r>
    </w:p>
    <w:p>
      <w:pPr>
        <w:pStyle w:val="BodyText"/>
        <w:spacing w:line="314" w:lineRule="auto" w:before="84"/>
        <w:ind w:left="116" w:right="154" w:firstLine="478"/>
        <w:jc w:val="both"/>
      </w:pPr>
      <w:r>
        <w:rPr/>
        <w:t>类风湿性关节炎为广泛分布的慢性进行性多关节病变，表现为关节严重变形，侵犯至少三个主要关节或关节组【如：双手（多手指）关节、双足（多足趾）关节、双腕关节、双膝关节</w:t>
      </w:r>
      <w:r>
        <w:rPr>
          <w:spacing w:val="-12"/>
        </w:rPr>
        <w:t>和双髋关节】。类风湿性关节炎必须明确诊断并且已经达到类风湿性关节炎功能分类 </w:t>
      </w:r>
      <w:r>
        <w:rPr/>
        <w:t>IV</w:t>
      </w:r>
      <w:r>
        <w:rPr>
          <w:spacing w:val="-9"/>
        </w:rPr>
        <w:t> 级的永久不可逆性关节功能障碍（生活不能自理，且丧失工作能力）并且满足下列全部条件：</w:t>
      </w:r>
    </w:p>
    <w:p>
      <w:pPr>
        <w:pStyle w:val="BodyText"/>
        <w:spacing w:before="19"/>
        <w:ind w:left="536"/>
      </w:pPr>
      <w:r>
        <w:rPr/>
        <w:t>（1）晨僵；</w:t>
      </w:r>
    </w:p>
    <w:p>
      <w:pPr>
        <w:pStyle w:val="BodyText"/>
        <w:spacing w:before="84"/>
        <w:ind w:left="536"/>
      </w:pPr>
      <w:r>
        <w:rPr/>
        <w:t>（2）对称性关节炎；</w:t>
      </w:r>
    </w:p>
    <w:p>
      <w:pPr>
        <w:pStyle w:val="BodyText"/>
        <w:spacing w:before="84"/>
        <w:ind w:left="536"/>
      </w:pPr>
      <w:r>
        <w:rPr/>
        <w:t>（3）类风湿性皮下结节；</w:t>
      </w:r>
    </w:p>
    <w:p>
      <w:pPr>
        <w:pStyle w:val="BodyText"/>
        <w:spacing w:before="84"/>
        <w:ind w:left="536"/>
      </w:pPr>
      <w:r>
        <w:rPr/>
        <w:t>（4）类风湿因子滴度升高；</w:t>
      </w:r>
    </w:p>
    <w:p>
      <w:pPr>
        <w:pStyle w:val="BodyText"/>
        <w:spacing w:before="84"/>
        <w:ind w:left="536"/>
      </w:pPr>
      <w:r>
        <w:rPr/>
        <w:t>（5）X 线显示严重的关节（软骨和骨）破坏和关节畸形。</w:t>
      </w:r>
    </w:p>
    <w:p>
      <w:pPr>
        <w:spacing w:before="84"/>
        <w:ind w:left="117" w:right="0" w:firstLine="0"/>
        <w:jc w:val="left"/>
        <w:rPr>
          <w:b/>
          <w:sz w:val="21"/>
        </w:rPr>
      </w:pPr>
      <w:r>
        <w:rPr>
          <w:b/>
          <w:sz w:val="21"/>
        </w:rPr>
        <w:t>32、 严重克隆病:</w:t>
      </w:r>
    </w:p>
    <w:p>
      <w:pPr>
        <w:pStyle w:val="BodyText"/>
        <w:spacing w:line="314" w:lineRule="auto" w:before="84"/>
        <w:ind w:left="116" w:right="155" w:firstLine="478"/>
        <w:jc w:val="both"/>
      </w:pPr>
      <w:r>
        <w:rPr/>
        <w:t>克隆病是一种慢性肉芽肿性肠炎，具有特征性的克隆病病理组织学变化。诊断必须由病理检查结果证实。被保险人所患的克隆病必须已经造成瘘管形成并伴有肠梗阻或肠穿孔。</w:t>
      </w:r>
    </w:p>
    <w:p>
      <w:pPr>
        <w:spacing w:before="19"/>
        <w:ind w:left="117" w:right="0" w:firstLine="0"/>
        <w:jc w:val="left"/>
        <w:rPr>
          <w:b/>
          <w:sz w:val="21"/>
        </w:rPr>
      </w:pPr>
      <w:r>
        <w:rPr>
          <w:b/>
          <w:sz w:val="21"/>
        </w:rPr>
        <w:t>33、 全身性重症肌无力</w:t>
      </w:r>
    </w:p>
    <w:p>
      <w:pPr>
        <w:pStyle w:val="BodyText"/>
        <w:spacing w:line="314" w:lineRule="auto" w:before="84"/>
        <w:ind w:left="116" w:right="155" w:firstLine="478"/>
        <w:jc w:val="both"/>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19"/>
        <w:ind w:left="536"/>
      </w:pPr>
      <w:r>
        <w:rPr/>
        <w:t>（1）经药物治疗和胸腺切除治疗一年以上仍无法控制病情；</w:t>
      </w:r>
    </w:p>
    <w:p>
      <w:pPr>
        <w:pStyle w:val="BodyText"/>
        <w:spacing w:before="84"/>
        <w:ind w:left="536"/>
      </w:pPr>
      <w:r>
        <w:rPr/>
        <w:t>（2）自主生活能力完全丧失，无法独立完成六项基本日常生活活动中的三项或三项以上。</w:t>
      </w:r>
    </w:p>
    <w:p>
      <w:pPr>
        <w:spacing w:before="84"/>
        <w:ind w:left="117" w:right="0" w:firstLine="0"/>
        <w:jc w:val="left"/>
        <w:rPr>
          <w:b/>
          <w:sz w:val="21"/>
        </w:rPr>
      </w:pPr>
      <w:r>
        <w:rPr>
          <w:b/>
          <w:sz w:val="21"/>
        </w:rPr>
        <w:t>34、 经输血导致的人类免疫缺陷病毒（HIV）感染:</w:t>
      </w:r>
    </w:p>
    <w:p>
      <w:pPr>
        <w:pStyle w:val="BodyText"/>
        <w:spacing w:before="84"/>
        <w:ind w:left="594"/>
      </w:pPr>
      <w:r>
        <w:rPr/>
        <w:t>被保险人感染上人类免疫缺陷病毒（HIV）并且满足下列全部条件：</w:t>
      </w:r>
    </w:p>
    <w:p>
      <w:pPr>
        <w:spacing w:after="0"/>
        <w:sectPr>
          <w:pgSz w:w="11910" w:h="16840"/>
          <w:pgMar w:header="0" w:footer="998" w:top="1420" w:bottom="1180" w:left="1660" w:right="1300"/>
        </w:sectPr>
      </w:pPr>
    </w:p>
    <w:p>
      <w:pPr>
        <w:pStyle w:val="BodyText"/>
        <w:spacing w:before="6"/>
        <w:ind w:left="535"/>
      </w:pPr>
      <w:r>
        <w:rPr/>
        <w:t>（1）在保障起始日或复效日之后，被保险人因输血而感染 HIV；</w:t>
      </w:r>
    </w:p>
    <w:p>
      <w:pPr>
        <w:pStyle w:val="BodyText"/>
        <w:spacing w:line="314" w:lineRule="auto"/>
        <w:ind w:left="115" w:right="156" w:firstLine="420"/>
      </w:pPr>
      <w:r>
        <w:rPr/>
        <w:t>（2）提供输血治疗的输血中心或医院出具该项输血感染属医疗责任事故的报告，或者法院终审裁定为医疗责任并且不准上诉；</w:t>
      </w:r>
    </w:p>
    <w:p>
      <w:pPr>
        <w:pStyle w:val="BodyText"/>
        <w:spacing w:before="18"/>
        <w:ind w:left="535"/>
      </w:pPr>
      <w:r>
        <w:rPr/>
        <w:t>（3）受感染的被保险人不是血友病患者。</w:t>
      </w:r>
    </w:p>
    <w:p>
      <w:pPr>
        <w:pStyle w:val="BodyText"/>
        <w:spacing w:line="314" w:lineRule="auto"/>
        <w:ind w:left="115" w:right="214" w:firstLine="478"/>
      </w:pPr>
      <w:r>
        <w:rPr>
          <w:spacing w:val="-5"/>
        </w:rPr>
        <w:t>在任何治愈艾滋病</w:t>
      </w:r>
      <w:r>
        <w:rPr>
          <w:spacing w:val="-7"/>
        </w:rPr>
        <w:t>（AIDS）</w:t>
      </w:r>
      <w:r>
        <w:rPr>
          <w:spacing w:val="-15"/>
        </w:rPr>
        <w:t>或阻止 </w:t>
      </w:r>
      <w:r>
        <w:rPr/>
        <w:t>HIV</w:t>
      </w:r>
      <w:r>
        <w:rPr>
          <w:spacing w:val="-13"/>
        </w:rPr>
        <w:t> 病毒作用的疗法被发现以后，或能防止 </w:t>
      </w:r>
      <w:r>
        <w:rPr/>
        <w:t>AIDS</w:t>
      </w:r>
      <w:r>
        <w:rPr>
          <w:spacing w:val="-15"/>
        </w:rPr>
        <w:t> 发生的医疗方法被研究出来以后，本保障将不再予以赔付。</w:t>
      </w:r>
    </w:p>
    <w:p>
      <w:pPr>
        <w:pStyle w:val="BodyText"/>
        <w:spacing w:line="314" w:lineRule="auto" w:before="18"/>
        <w:ind w:left="115" w:right="215" w:firstLine="478"/>
        <w:jc w:val="both"/>
      </w:pPr>
      <w:r>
        <w:rPr/>
        <w:t>任何因其他传播方式（包括：性传播或静脉注射毒品）</w:t>
      </w:r>
      <w:r>
        <w:rPr>
          <w:spacing w:val="-14"/>
        </w:rPr>
        <w:t>导致的 </w:t>
      </w:r>
      <w:r>
        <w:rPr/>
        <w:t>HIV</w:t>
      </w:r>
      <w:r>
        <w:rPr>
          <w:spacing w:val="-8"/>
        </w:rPr>
        <w:t> 感染不在本保单保障范围内。保险公司必须拥有获得使用被保险人的所有血液样本的权利和能够对这些样本进行独立检验的权利。</w:t>
      </w:r>
    </w:p>
    <w:p>
      <w:pPr>
        <w:spacing w:before="18"/>
        <w:ind w:left="117" w:right="0" w:firstLine="0"/>
        <w:jc w:val="left"/>
        <w:rPr>
          <w:b/>
          <w:sz w:val="21"/>
        </w:rPr>
      </w:pPr>
      <w:r>
        <w:rPr>
          <w:b/>
          <w:sz w:val="21"/>
        </w:rPr>
        <w:t>35、 脑动脉瘤破裂开颅手术:</w:t>
      </w:r>
    </w:p>
    <w:p>
      <w:pPr>
        <w:pStyle w:val="BodyText"/>
        <w:spacing w:line="314" w:lineRule="auto"/>
        <w:ind w:left="115" w:right="215" w:firstLine="478"/>
        <w:jc w:val="both"/>
      </w:pPr>
      <w:r>
        <w:rPr/>
        <w:t>指脑动脉瘤破裂引起蛛网膜下腔出血，导致突发神经系统功能损害。被保险人在蛛网膜下腔出血后实际实施了在全麻下经骨瓣开颅进行的脑动脉瘤的外科手术治疗。脑动脉瘤诊断必须由脑动脉造影或其他影像学检查证据支持。</w:t>
      </w:r>
    </w:p>
    <w:p>
      <w:pPr>
        <w:pStyle w:val="BodyText"/>
        <w:spacing w:line="314" w:lineRule="auto" w:before="18"/>
        <w:ind w:left="115" w:right="215" w:firstLine="478"/>
        <w:jc w:val="both"/>
      </w:pPr>
      <w:r>
        <w:rPr/>
        <w:t>未破裂之脑动脉瘤的手术、钻孔或小骨窗开颅或其他颅内或脑内出血清除或吸除手术、非开颅的脑立体定向手术或伽玛刀手术、血管内介入治疗、脑囊肿切除、垂体瘤切除及颅内血管畸形手术不在保障范围内。</w:t>
      </w:r>
    </w:p>
    <w:p>
      <w:pPr>
        <w:spacing w:before="18"/>
        <w:ind w:left="117" w:right="0" w:firstLine="0"/>
        <w:jc w:val="left"/>
        <w:rPr>
          <w:b/>
          <w:sz w:val="21"/>
        </w:rPr>
      </w:pPr>
      <w:r>
        <w:rPr>
          <w:b/>
          <w:sz w:val="21"/>
        </w:rPr>
        <w:t>36、 1 型糖尿病:</w:t>
      </w:r>
    </w:p>
    <w:p>
      <w:pPr>
        <w:pStyle w:val="BodyText"/>
        <w:spacing w:line="314" w:lineRule="auto"/>
        <w:ind w:left="115" w:right="109" w:firstLine="478"/>
      </w:pPr>
      <w:r>
        <w:rPr/>
        <w:t>1 型糖尿病的特征为由于胰岛素分泌绝对不足引起严重胰岛素缺乏导致慢性血糖升高，需</w:t>
      </w:r>
      <w:r>
        <w:rPr>
          <w:spacing w:val="-4"/>
        </w:rPr>
        <w:t>要依赖外源性胰岛素进行机体的葡萄糖代谢和维持生命。被保险人的 </w:t>
      </w:r>
      <w:r>
        <w:rPr/>
        <w:t>1</w:t>
      </w:r>
      <w:r>
        <w:rPr>
          <w:spacing w:val="-8"/>
        </w:rPr>
        <w:t> 型糖尿病必须明确诊断， </w:t>
      </w:r>
      <w:r>
        <w:rPr>
          <w:spacing w:val="-12"/>
        </w:rPr>
        <w:t>而且有血胰岛素测定及血 </w:t>
      </w:r>
      <w:r>
        <w:rPr/>
        <w:t>C</w:t>
      </w:r>
      <w:r>
        <w:rPr>
          <w:spacing w:val="-1"/>
        </w:rPr>
        <w:t> 肽或尿</w:t>
      </w:r>
      <w:r>
        <w:rPr/>
        <w:t>C</w:t>
      </w:r>
      <w:r>
        <w:rPr>
          <w:spacing w:val="-8"/>
        </w:rPr>
        <w:t> 肽测定结果支持诊断，并且满足下列两项条件：</w:t>
      </w:r>
    </w:p>
    <w:p>
      <w:pPr>
        <w:pStyle w:val="BodyText"/>
        <w:spacing w:before="18"/>
        <w:ind w:left="535"/>
      </w:pPr>
      <w:r>
        <w:rPr/>
        <w:t>（1）已经持续性地接受外源性胰岛素注射治疗连续 180 天以上；</w:t>
      </w:r>
    </w:p>
    <w:p>
      <w:pPr>
        <w:pStyle w:val="BodyText"/>
        <w:spacing w:before="84"/>
        <w:ind w:left="535"/>
      </w:pPr>
      <w:r>
        <w:rPr/>
        <w:t>（2）因需要已经接受了下列治疗中的至少一种：</w:t>
      </w:r>
    </w:p>
    <w:p>
      <w:pPr>
        <w:pStyle w:val="BodyText"/>
        <w:spacing w:before="84"/>
        <w:ind w:left="956"/>
      </w:pPr>
      <w:r>
        <w:rPr/>
        <w:t>①因严重心律失常植入了心脏起搏器；</w:t>
      </w:r>
    </w:p>
    <w:p>
      <w:pPr>
        <w:pStyle w:val="BodyText"/>
        <w:spacing w:before="84"/>
        <w:ind w:left="956"/>
      </w:pPr>
      <w:r>
        <w:rPr/>
        <w:t>②或因坏疽自跖趾关节或以上切除了一趾或多趾。</w:t>
      </w:r>
    </w:p>
    <w:p>
      <w:pPr>
        <w:spacing w:before="84"/>
        <w:ind w:left="117" w:right="0" w:firstLine="0"/>
        <w:jc w:val="left"/>
        <w:rPr>
          <w:b/>
          <w:sz w:val="21"/>
        </w:rPr>
      </w:pPr>
      <w:r>
        <w:rPr>
          <w:b/>
          <w:sz w:val="21"/>
        </w:rPr>
        <w:t>37、 严重幼年型类风湿关节炎:</w:t>
      </w:r>
    </w:p>
    <w:p>
      <w:pPr>
        <w:pStyle w:val="BodyText"/>
        <w:spacing w:line="314" w:lineRule="auto" w:before="84"/>
        <w:ind w:left="116" w:right="215" w:firstLine="478"/>
      </w:pPr>
      <w:r>
        <w:rPr/>
        <w:t>幼年型类风湿关节炎是一种儿童期发病的慢性关节炎，其特点为在高热和系统性病征出现数月后发生关节炎。</w:t>
      </w:r>
    </w:p>
    <w:p>
      <w:pPr>
        <w:pStyle w:val="BodyText"/>
        <w:spacing w:before="19"/>
        <w:ind w:left="594"/>
      </w:pPr>
      <w:r>
        <w:rPr/>
        <w:t>本保单仅对实际接受了膝关节或髋关节置换手术治疗的严重的幼年型类风湿关节炎予以理</w:t>
      </w:r>
    </w:p>
    <w:p>
      <w:pPr>
        <w:pStyle w:val="BodyText"/>
        <w:spacing w:before="84"/>
        <w:ind w:left="116"/>
      </w:pPr>
      <w:r>
        <w:rPr/>
        <w:t>赔</w:t>
      </w:r>
    </w:p>
    <w:p>
      <w:pPr>
        <w:spacing w:before="84"/>
        <w:ind w:left="117" w:right="0" w:firstLine="0"/>
        <w:jc w:val="left"/>
        <w:rPr>
          <w:b/>
          <w:sz w:val="21"/>
        </w:rPr>
      </w:pPr>
      <w:r>
        <w:rPr>
          <w:b/>
          <w:sz w:val="21"/>
        </w:rPr>
        <w:t>38、 II 级重症急性胰腺炎:</w:t>
      </w:r>
    </w:p>
    <w:p>
      <w:pPr>
        <w:pStyle w:val="BodyText"/>
        <w:spacing w:line="314" w:lineRule="auto" w:before="84"/>
        <w:ind w:left="116" w:right="215" w:firstLine="478"/>
        <w:jc w:val="both"/>
      </w:pPr>
      <w:r>
        <w:rPr/>
        <w:t>Ⅱ级重症急性胰腺炎是指急性胰腺炎伴有脏器功能障碍。被保险人所患的Ⅱ级重症急性胰</w:t>
      </w:r>
      <w:r>
        <w:rPr>
          <w:spacing w:val="-5"/>
        </w:rPr>
        <w:t>腺炎必须明确诊断，按 </w:t>
      </w:r>
      <w:r>
        <w:rPr/>
        <w:t>APACHEⅡ</w:t>
      </w:r>
      <w:r>
        <w:rPr>
          <w:spacing w:val="-11"/>
        </w:rPr>
        <w:t>评分达到 </w:t>
      </w:r>
      <w:r>
        <w:rPr/>
        <w:t>8</w:t>
      </w:r>
      <w:r>
        <w:rPr>
          <w:spacing w:val="-27"/>
        </w:rPr>
        <w:t> 分或 </w:t>
      </w:r>
      <w:r>
        <w:rPr/>
        <w:t>8</w:t>
      </w:r>
      <w:r>
        <w:rPr>
          <w:spacing w:val="-19"/>
        </w:rPr>
        <w:t> 分以上和 </w:t>
      </w:r>
      <w:r>
        <w:rPr/>
        <w:t>Balthazar</w:t>
      </w:r>
      <w:r>
        <w:rPr>
          <w:spacing w:val="-8"/>
        </w:rPr>
        <w:t> 分级系统达到Ⅱ级或Ⅱ 级以上，并且接受了外科剖腹手术治疗，以进行坏死组织清除、坏死病灶切除或胰腺切除。</w:t>
      </w:r>
    </w:p>
    <w:p>
      <w:pPr>
        <w:pStyle w:val="BodyText"/>
        <w:spacing w:before="19"/>
        <w:ind w:left="594"/>
      </w:pPr>
      <w:r>
        <w:rPr/>
        <w:t>因酗酒或饮酒过量所致的急性坏死性胰腺炎以及腹腔镜手术不在本附加合同保障范围内。</w:t>
      </w:r>
    </w:p>
    <w:p>
      <w:pPr>
        <w:spacing w:before="84"/>
        <w:ind w:left="117" w:right="0" w:firstLine="0"/>
        <w:jc w:val="left"/>
        <w:rPr>
          <w:b/>
          <w:sz w:val="21"/>
        </w:rPr>
      </w:pPr>
      <w:r>
        <w:rPr>
          <w:b/>
          <w:sz w:val="21"/>
        </w:rPr>
        <w:t>39、 肌营养不良症:</w:t>
      </w:r>
    </w:p>
    <w:p>
      <w:pPr>
        <w:pStyle w:val="BodyText"/>
        <w:spacing w:line="314" w:lineRule="auto" w:before="84"/>
        <w:ind w:left="116" w:right="215" w:firstLine="478"/>
        <w:jc w:val="both"/>
      </w:pPr>
      <w:r>
        <w:rPr/>
        <w:t>肌营养不良症是一组遗传性肌肉变性性病变，临床特征为与神经系统无关的肌肉无力和肌肉萎缩。须满足自主生活能力完全丧失，无法独立完成六项基本日常生活活动中的三项或三项以上。</w:t>
      </w:r>
    </w:p>
    <w:p>
      <w:pPr>
        <w:spacing w:before="19"/>
        <w:ind w:left="117" w:right="0" w:firstLine="0"/>
        <w:jc w:val="left"/>
        <w:rPr>
          <w:b/>
          <w:sz w:val="21"/>
        </w:rPr>
      </w:pPr>
      <w:r>
        <w:rPr>
          <w:b/>
          <w:sz w:val="21"/>
        </w:rPr>
        <w:t>40、 植物人状态:</w:t>
      </w:r>
    </w:p>
    <w:p>
      <w:pPr>
        <w:spacing w:after="0"/>
        <w:jc w:val="left"/>
        <w:rPr>
          <w:sz w:val="21"/>
        </w:rPr>
        <w:sectPr>
          <w:pgSz w:w="11910" w:h="16840"/>
          <w:pgMar w:header="0" w:footer="998" w:top="1420" w:bottom="1180" w:left="1660" w:right="1240"/>
        </w:sectPr>
      </w:pPr>
    </w:p>
    <w:p>
      <w:pPr>
        <w:pStyle w:val="BodyText"/>
        <w:spacing w:line="314" w:lineRule="auto" w:before="6"/>
        <w:ind w:left="475" w:right="211" w:firstLine="478"/>
        <w:jc w:val="both"/>
      </w:pPr>
      <w:r>
        <w:rPr/>
        <w:t>植物人状态系指由于严重颅脑外伤造成大脑和/或脑干严重损害导致完全永久性的对自身和环境的意识丧失和中枢神经系统功能丧失，仅残存植物神经功能的疾病状态。诊断必须明确并且具有严重颅脑外伤和脑损害的证据。植物人状态必须持续 30 天以上方可申请理赔。</w:t>
      </w:r>
    </w:p>
    <w:p>
      <w:pPr>
        <w:spacing w:before="18"/>
        <w:ind w:left="117" w:right="0" w:firstLine="0"/>
        <w:jc w:val="left"/>
        <w:rPr>
          <w:b/>
          <w:sz w:val="21"/>
        </w:rPr>
      </w:pPr>
      <w:r>
        <w:rPr>
          <w:b/>
          <w:w w:val="95"/>
          <w:sz w:val="21"/>
        </w:rPr>
        <w:t>术语解释：</w:t>
      </w:r>
    </w:p>
    <w:p>
      <w:pPr>
        <w:spacing w:before="83"/>
        <w:ind w:left="537" w:right="0" w:firstLine="0"/>
        <w:jc w:val="left"/>
        <w:rPr>
          <w:b/>
          <w:sz w:val="21"/>
        </w:rPr>
      </w:pPr>
      <w:r>
        <w:rPr>
          <w:b/>
          <w:sz w:val="21"/>
        </w:rPr>
        <w:t>六项基本日常生活活动 ：</w:t>
      </w:r>
    </w:p>
    <w:p>
      <w:pPr>
        <w:pStyle w:val="BodyText"/>
        <w:spacing w:line="314" w:lineRule="auto"/>
        <w:ind w:left="539" w:right="212" w:firstLine="420"/>
        <w:jc w:val="both"/>
      </w:pPr>
      <w:r>
        <w:rPr>
          <w:spacing w:val="-9"/>
        </w:rPr>
        <w:t>六项基本日常生活活动是指：</w:t>
      </w:r>
      <w:r>
        <w:rPr/>
        <w:t>（1</w:t>
      </w:r>
      <w:r>
        <w:rPr>
          <w:spacing w:val="-2"/>
        </w:rPr>
        <w:t>）</w:t>
      </w:r>
      <w:r>
        <w:rPr>
          <w:spacing w:val="-9"/>
        </w:rPr>
        <w:t>穿衣：自己能够穿衣及脱衣；</w:t>
      </w:r>
      <w:r>
        <w:rPr/>
        <w:t>（2</w:t>
      </w:r>
      <w:r>
        <w:rPr>
          <w:spacing w:val="-2"/>
        </w:rPr>
        <w:t>）</w:t>
      </w:r>
      <w:r>
        <w:rPr/>
        <w:t>移动：自己从一个房</w:t>
      </w:r>
      <w:r>
        <w:rPr>
          <w:spacing w:val="-14"/>
        </w:rPr>
        <w:t>间到另一个房间；</w:t>
      </w:r>
      <w:r>
        <w:rPr/>
        <w:t>（3</w:t>
      </w:r>
      <w:r>
        <w:rPr>
          <w:spacing w:val="-2"/>
        </w:rPr>
        <w:t>）</w:t>
      </w:r>
      <w:r>
        <w:rPr>
          <w:spacing w:val="-8"/>
        </w:rPr>
        <w:t>行动：自己上下床或上下轮椅；</w:t>
      </w:r>
      <w:r>
        <w:rPr>
          <w:spacing w:val="-1"/>
        </w:rPr>
        <w:t>（4）</w:t>
      </w:r>
      <w:r>
        <w:rPr>
          <w:spacing w:val="-9"/>
        </w:rPr>
        <w:t>如厕：自己控制进行大小便；</w:t>
      </w:r>
      <w:r>
        <w:rPr>
          <w:spacing w:val="-1"/>
        </w:rPr>
        <w:t>（5）</w:t>
      </w:r>
      <w:r>
        <w:rPr>
          <w:spacing w:val="-5"/>
        </w:rPr>
        <w:t>进食：自己从已准备好的碗或碟中取食物放入口中；</w:t>
      </w:r>
      <w:r>
        <w:rPr/>
        <w:t>（6</w:t>
      </w:r>
      <w:r>
        <w:rPr>
          <w:spacing w:val="-2"/>
        </w:rPr>
        <w:t>）</w:t>
      </w:r>
      <w:r>
        <w:rPr/>
        <w:t>洗澡：自己进行淋浴或盆浴。</w:t>
      </w:r>
    </w:p>
    <w:p>
      <w:pPr>
        <w:spacing w:before="18"/>
        <w:ind w:left="537" w:right="0" w:firstLine="0"/>
        <w:jc w:val="left"/>
        <w:rPr>
          <w:b/>
          <w:sz w:val="21"/>
        </w:rPr>
      </w:pPr>
      <w:r>
        <w:rPr>
          <w:b/>
          <w:w w:val="95"/>
          <w:sz w:val="21"/>
        </w:rPr>
        <w:t>肢体机能完全丧失：</w:t>
      </w:r>
    </w:p>
    <w:p>
      <w:pPr>
        <w:pStyle w:val="BodyText"/>
        <w:spacing w:line="314" w:lineRule="auto"/>
        <w:ind w:left="539" w:right="212" w:firstLine="420"/>
        <w:jc w:val="both"/>
      </w:pPr>
      <w:r>
        <w:rPr/>
        <w:t>指肢体的三大关节中的两大关节僵硬，或不能随意识活动。肢体是指包括肩关节的整个上肢或包括髋关节的整个下肢。</w:t>
      </w:r>
    </w:p>
    <w:p>
      <w:pPr>
        <w:spacing w:before="18"/>
        <w:ind w:left="537" w:right="0" w:firstLine="0"/>
        <w:jc w:val="left"/>
        <w:rPr>
          <w:b/>
          <w:sz w:val="21"/>
        </w:rPr>
      </w:pPr>
      <w:r>
        <w:rPr>
          <w:b/>
          <w:w w:val="95"/>
          <w:sz w:val="21"/>
        </w:rPr>
        <w:t>语言能力或咀嚼吞咽能力完全丧失：</w:t>
      </w:r>
    </w:p>
    <w:p>
      <w:pPr>
        <w:pStyle w:val="BodyText"/>
        <w:spacing w:line="314" w:lineRule="auto"/>
        <w:ind w:left="539" w:right="212" w:firstLine="420"/>
        <w:jc w:val="both"/>
      </w:pPr>
      <w:r>
        <w:rPr/>
        <w:t>语言能力完全丧失，指无法发出四种语音（包括口唇音、齿舌音、口盖音和喉头音）中的任何三种、或声带全部切除，或因大脑语言中枢受伤害而患失语症。</w:t>
      </w:r>
    </w:p>
    <w:p>
      <w:pPr>
        <w:pStyle w:val="BodyText"/>
        <w:spacing w:line="314" w:lineRule="auto" w:before="18"/>
        <w:ind w:left="537" w:right="215" w:firstLine="420"/>
        <w:jc w:val="both"/>
      </w:pPr>
      <w:r>
        <w:rPr/>
        <w:t>咀嚼吞咽能力完全丧失，指因牙齿以外的原因导致器质障碍或机能障碍，以致不能作咀嚼吞咽运动，除流质食物外不能摄取或吞咽的状态。</w:t>
      </w:r>
    </w:p>
    <w:p>
      <w:pPr>
        <w:spacing w:before="18"/>
        <w:ind w:left="537" w:right="0" w:firstLine="0"/>
        <w:jc w:val="left"/>
        <w:rPr>
          <w:b/>
          <w:sz w:val="21"/>
        </w:rPr>
      </w:pPr>
      <w:r>
        <w:rPr>
          <w:b/>
          <w:w w:val="95"/>
          <w:sz w:val="21"/>
        </w:rPr>
        <w:t>永久不可逆：</w:t>
      </w:r>
    </w:p>
    <w:p>
      <w:pPr>
        <w:pStyle w:val="BodyText"/>
        <w:spacing w:line="314" w:lineRule="auto"/>
        <w:ind w:left="539" w:right="212" w:firstLine="420"/>
        <w:jc w:val="both"/>
      </w:pPr>
      <w:r>
        <w:rPr>
          <w:spacing w:val="-3"/>
        </w:rPr>
        <w:t>指自疾病确诊或意外伤害发生之日起，经过积极治疗 </w:t>
      </w:r>
      <w:r>
        <w:rPr/>
        <w:t>180</w:t>
      </w:r>
      <w:r>
        <w:rPr>
          <w:spacing w:val="-8"/>
        </w:rPr>
        <w:t> 天后，仍无法通过现有医疗手段恢复。</w:t>
      </w:r>
    </w:p>
    <w:p>
      <w:pPr>
        <w:spacing w:before="18"/>
        <w:ind w:left="537" w:right="0" w:firstLine="0"/>
        <w:jc w:val="left"/>
        <w:rPr>
          <w:b/>
          <w:sz w:val="21"/>
        </w:rPr>
      </w:pPr>
      <w:r>
        <w:rPr>
          <w:b/>
          <w:w w:val="95"/>
          <w:sz w:val="21"/>
        </w:rPr>
        <w:t>感染艾滋病病毒或患艾滋病：</w:t>
      </w:r>
    </w:p>
    <w:p>
      <w:pPr>
        <w:pStyle w:val="BodyText"/>
        <w:spacing w:line="314" w:lineRule="auto"/>
        <w:ind w:left="539" w:right="213" w:firstLine="420"/>
        <w:jc w:val="both"/>
      </w:pPr>
      <w:r>
        <w:rPr/>
        <w:t>艾滋病病毒指人类免疫缺陷病毒，英文缩写为 HIV。艾滋病指人类免疫缺陷病毒引起的获得性免疫缺陷综合征，英文缩写为 AIDS。</w:t>
      </w:r>
    </w:p>
    <w:p>
      <w:pPr>
        <w:pStyle w:val="BodyText"/>
        <w:spacing w:line="314" w:lineRule="auto" w:before="18"/>
        <w:ind w:left="537" w:right="109" w:firstLine="420"/>
      </w:pPr>
      <w:r>
        <w:rPr>
          <w:spacing w:val="-4"/>
        </w:rPr>
        <w:t>在人体血液或其他样本中检测到艾滋病病毒或其抗体呈阳性，没有出现临床症状或体征的， 为感染艾滋病病毒；如果同时出现了明显临床症状或体征的，为患艾滋病。</w:t>
      </w:r>
    </w:p>
    <w:sectPr>
      <w:pgSz w:w="11910" w:h="16840"/>
      <w:pgMar w:header="0" w:footer="998" w:top="1420" w:bottom="11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1.160004pt;margin-top:781.119568pt;width:13pt;height:12pt;mso-position-horizontal-relative:page;mso-position-vertical-relative:page;z-index:-15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17" w:hanging="840"/>
        <w:jc w:val="right"/>
      </w:pPr>
      <w:rPr>
        <w:rFonts w:hint="default" w:ascii="宋体" w:hAnsi="宋体" w:eastAsia="宋体" w:cs="宋体"/>
        <w:w w:val="100"/>
        <w:sz w:val="21"/>
        <w:szCs w:val="21"/>
      </w:rPr>
    </w:lvl>
    <w:lvl w:ilvl="1">
      <w:start w:val="0"/>
      <w:numFmt w:val="bullet"/>
      <w:lvlText w:val="•"/>
      <w:lvlJc w:val="left"/>
      <w:pPr>
        <w:ind w:left="1340" w:hanging="840"/>
      </w:pPr>
      <w:rPr>
        <w:rFonts w:hint="default"/>
      </w:rPr>
    </w:lvl>
    <w:lvl w:ilvl="2">
      <w:start w:val="0"/>
      <w:numFmt w:val="bullet"/>
      <w:lvlText w:val="•"/>
      <w:lvlJc w:val="left"/>
      <w:pPr>
        <w:ind w:left="2015" w:hanging="840"/>
      </w:pPr>
      <w:rPr>
        <w:rFonts w:hint="default"/>
      </w:rPr>
    </w:lvl>
    <w:lvl w:ilvl="3">
      <w:start w:val="0"/>
      <w:numFmt w:val="bullet"/>
      <w:lvlText w:val="•"/>
      <w:lvlJc w:val="left"/>
      <w:pPr>
        <w:ind w:left="2691" w:hanging="840"/>
      </w:pPr>
      <w:rPr>
        <w:rFonts w:hint="default"/>
      </w:rPr>
    </w:lvl>
    <w:lvl w:ilvl="4">
      <w:start w:val="0"/>
      <w:numFmt w:val="bullet"/>
      <w:lvlText w:val="•"/>
      <w:lvlJc w:val="left"/>
      <w:pPr>
        <w:ind w:left="3366" w:hanging="840"/>
      </w:pPr>
      <w:rPr>
        <w:rFonts w:hint="default"/>
      </w:rPr>
    </w:lvl>
    <w:lvl w:ilvl="5">
      <w:start w:val="0"/>
      <w:numFmt w:val="bullet"/>
      <w:lvlText w:val="•"/>
      <w:lvlJc w:val="left"/>
      <w:pPr>
        <w:ind w:left="4042" w:hanging="840"/>
      </w:pPr>
      <w:rPr>
        <w:rFonts w:hint="default"/>
      </w:rPr>
    </w:lvl>
    <w:lvl w:ilvl="6">
      <w:start w:val="0"/>
      <w:numFmt w:val="bullet"/>
      <w:lvlText w:val="•"/>
      <w:lvlJc w:val="left"/>
      <w:pPr>
        <w:ind w:left="4718" w:hanging="840"/>
      </w:pPr>
      <w:rPr>
        <w:rFonts w:hint="default"/>
      </w:rPr>
    </w:lvl>
    <w:lvl w:ilvl="7">
      <w:start w:val="0"/>
      <w:numFmt w:val="bullet"/>
      <w:lvlText w:val="•"/>
      <w:lvlJc w:val="left"/>
      <w:pPr>
        <w:ind w:left="5393" w:hanging="840"/>
      </w:pPr>
      <w:rPr>
        <w:rFonts w:hint="default"/>
      </w:rPr>
    </w:lvl>
    <w:lvl w:ilvl="8">
      <w:start w:val="0"/>
      <w:numFmt w:val="bullet"/>
      <w:lvlText w:val="•"/>
      <w:lvlJc w:val="left"/>
      <w:pPr>
        <w:ind w:left="6069" w:hanging="840"/>
      </w:pPr>
      <w:rPr>
        <w:rFonts w:hint="default"/>
      </w:rPr>
    </w:lvl>
  </w:abstractNum>
  <w:abstractNum w:abstractNumId="6">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708" w:hanging="316"/>
      </w:pPr>
      <w:rPr>
        <w:rFonts w:hint="default"/>
      </w:rPr>
    </w:lvl>
    <w:lvl w:ilvl="2">
      <w:start w:val="0"/>
      <w:numFmt w:val="bullet"/>
      <w:lvlText w:val="•"/>
      <w:lvlJc w:val="left"/>
      <w:pPr>
        <w:ind w:left="2556" w:hanging="316"/>
      </w:pPr>
      <w:rPr>
        <w:rFonts w:hint="default"/>
      </w:rPr>
    </w:lvl>
    <w:lvl w:ilvl="3">
      <w:start w:val="0"/>
      <w:numFmt w:val="bullet"/>
      <w:lvlText w:val="•"/>
      <w:lvlJc w:val="left"/>
      <w:pPr>
        <w:ind w:left="3405" w:hanging="316"/>
      </w:pPr>
      <w:rPr>
        <w:rFonts w:hint="default"/>
      </w:rPr>
    </w:lvl>
    <w:lvl w:ilvl="4">
      <w:start w:val="0"/>
      <w:numFmt w:val="bullet"/>
      <w:lvlText w:val="•"/>
      <w:lvlJc w:val="left"/>
      <w:pPr>
        <w:ind w:left="4253" w:hanging="316"/>
      </w:pPr>
      <w:rPr>
        <w:rFonts w:hint="default"/>
      </w:rPr>
    </w:lvl>
    <w:lvl w:ilvl="5">
      <w:start w:val="0"/>
      <w:numFmt w:val="bullet"/>
      <w:lvlText w:val="•"/>
      <w:lvlJc w:val="left"/>
      <w:pPr>
        <w:ind w:left="5102" w:hanging="316"/>
      </w:pPr>
      <w:rPr>
        <w:rFonts w:hint="default"/>
      </w:rPr>
    </w:lvl>
    <w:lvl w:ilvl="6">
      <w:start w:val="0"/>
      <w:numFmt w:val="bullet"/>
      <w:lvlText w:val="•"/>
      <w:lvlJc w:val="left"/>
      <w:pPr>
        <w:ind w:left="5950" w:hanging="316"/>
      </w:pPr>
      <w:rPr>
        <w:rFonts w:hint="default"/>
      </w:rPr>
    </w:lvl>
    <w:lvl w:ilvl="7">
      <w:start w:val="0"/>
      <w:numFmt w:val="bullet"/>
      <w:lvlText w:val="•"/>
      <w:lvlJc w:val="left"/>
      <w:pPr>
        <w:ind w:left="6799" w:hanging="316"/>
      </w:pPr>
      <w:rPr>
        <w:rFonts w:hint="default"/>
      </w:rPr>
    </w:lvl>
    <w:lvl w:ilvl="8">
      <w:start w:val="0"/>
      <w:numFmt w:val="bullet"/>
      <w:lvlText w:val="•"/>
      <w:lvlJc w:val="left"/>
      <w:pPr>
        <w:ind w:left="7647" w:hanging="316"/>
      </w:pPr>
      <w:rPr>
        <w:rFonts w:hint="default"/>
      </w:rPr>
    </w:lvl>
  </w:abstractNum>
  <w:abstractNum w:abstractNumId="5">
    <w:multiLevelType w:val="hybridMultilevel"/>
    <w:lvl w:ilvl="0">
      <w:start w:val="1"/>
      <w:numFmt w:val="decimal"/>
      <w:lvlText w:val="%1."/>
      <w:lvlJc w:val="left"/>
      <w:pPr>
        <w:ind w:left="537" w:hanging="316"/>
        <w:jc w:val="left"/>
      </w:pPr>
      <w:rPr>
        <w:rFonts w:hint="default" w:ascii="宋体" w:hAnsi="宋体" w:eastAsia="宋体" w:cs="宋体"/>
        <w:spacing w:val="-2"/>
        <w:w w:val="100"/>
        <w:sz w:val="21"/>
        <w:szCs w:val="21"/>
      </w:rPr>
    </w:lvl>
    <w:lvl w:ilvl="1">
      <w:start w:val="0"/>
      <w:numFmt w:val="bullet"/>
      <w:lvlText w:val="•"/>
      <w:lvlJc w:val="left"/>
      <w:pPr>
        <w:ind w:left="1420" w:hanging="316"/>
      </w:pPr>
      <w:rPr>
        <w:rFonts w:hint="default"/>
      </w:rPr>
    </w:lvl>
    <w:lvl w:ilvl="2">
      <w:start w:val="0"/>
      <w:numFmt w:val="bullet"/>
      <w:lvlText w:val="•"/>
      <w:lvlJc w:val="left"/>
      <w:pPr>
        <w:ind w:left="2300" w:hanging="316"/>
      </w:pPr>
      <w:rPr>
        <w:rFonts w:hint="default"/>
      </w:rPr>
    </w:lvl>
    <w:lvl w:ilvl="3">
      <w:start w:val="0"/>
      <w:numFmt w:val="bullet"/>
      <w:lvlText w:val="•"/>
      <w:lvlJc w:val="left"/>
      <w:pPr>
        <w:ind w:left="3181" w:hanging="316"/>
      </w:pPr>
      <w:rPr>
        <w:rFonts w:hint="default"/>
      </w:rPr>
    </w:lvl>
    <w:lvl w:ilvl="4">
      <w:start w:val="0"/>
      <w:numFmt w:val="bullet"/>
      <w:lvlText w:val="•"/>
      <w:lvlJc w:val="left"/>
      <w:pPr>
        <w:ind w:left="4061" w:hanging="316"/>
      </w:pPr>
      <w:rPr>
        <w:rFonts w:hint="default"/>
      </w:rPr>
    </w:lvl>
    <w:lvl w:ilvl="5">
      <w:start w:val="0"/>
      <w:numFmt w:val="bullet"/>
      <w:lvlText w:val="•"/>
      <w:lvlJc w:val="left"/>
      <w:pPr>
        <w:ind w:left="4942" w:hanging="316"/>
      </w:pPr>
      <w:rPr>
        <w:rFonts w:hint="default"/>
      </w:rPr>
    </w:lvl>
    <w:lvl w:ilvl="6">
      <w:start w:val="0"/>
      <w:numFmt w:val="bullet"/>
      <w:lvlText w:val="•"/>
      <w:lvlJc w:val="left"/>
      <w:pPr>
        <w:ind w:left="5822" w:hanging="316"/>
      </w:pPr>
      <w:rPr>
        <w:rFonts w:hint="default"/>
      </w:rPr>
    </w:lvl>
    <w:lvl w:ilvl="7">
      <w:start w:val="0"/>
      <w:numFmt w:val="bullet"/>
      <w:lvlText w:val="•"/>
      <w:lvlJc w:val="left"/>
      <w:pPr>
        <w:ind w:left="6703" w:hanging="316"/>
      </w:pPr>
      <w:rPr>
        <w:rFonts w:hint="default"/>
      </w:rPr>
    </w:lvl>
    <w:lvl w:ilvl="8">
      <w:start w:val="0"/>
      <w:numFmt w:val="bullet"/>
      <w:lvlText w:val="•"/>
      <w:lvlJc w:val="left"/>
      <w:pPr>
        <w:ind w:left="7583" w:hanging="316"/>
      </w:pPr>
      <w:rPr>
        <w:rFonts w:hint="default"/>
      </w:rPr>
    </w:lvl>
  </w:abstractNum>
  <w:abstractNum w:abstractNumId="4">
    <w:multiLevelType w:val="hybridMultilevel"/>
    <w:lvl w:ilvl="0">
      <w:start w:val="1"/>
      <w:numFmt w:val="decimal"/>
      <w:lvlText w:val="%1."/>
      <w:lvlJc w:val="left"/>
      <w:pPr>
        <w:ind w:left="957" w:hanging="420"/>
        <w:jc w:val="left"/>
      </w:pPr>
      <w:rPr>
        <w:rFonts w:hint="default" w:ascii="宋体" w:hAnsi="宋体" w:eastAsia="宋体" w:cs="宋体"/>
        <w:spacing w:val="-53"/>
        <w:w w:val="100"/>
        <w:sz w:val="21"/>
        <w:szCs w:val="21"/>
      </w:rPr>
    </w:lvl>
    <w:lvl w:ilvl="1">
      <w:start w:val="0"/>
      <w:numFmt w:val="bullet"/>
      <w:lvlText w:val="•"/>
      <w:lvlJc w:val="left"/>
      <w:pPr>
        <w:ind w:left="1790" w:hanging="420"/>
      </w:pPr>
      <w:rPr>
        <w:rFonts w:hint="default"/>
      </w:rPr>
    </w:lvl>
    <w:lvl w:ilvl="2">
      <w:start w:val="0"/>
      <w:numFmt w:val="bullet"/>
      <w:lvlText w:val="•"/>
      <w:lvlJc w:val="left"/>
      <w:pPr>
        <w:ind w:left="2620" w:hanging="420"/>
      </w:pPr>
      <w:rPr>
        <w:rFonts w:hint="default"/>
      </w:rPr>
    </w:lvl>
    <w:lvl w:ilvl="3">
      <w:start w:val="0"/>
      <w:numFmt w:val="bullet"/>
      <w:lvlText w:val="•"/>
      <w:lvlJc w:val="left"/>
      <w:pPr>
        <w:ind w:left="3451" w:hanging="420"/>
      </w:pPr>
      <w:rPr>
        <w:rFonts w:hint="default"/>
      </w:rPr>
    </w:lvl>
    <w:lvl w:ilvl="4">
      <w:start w:val="0"/>
      <w:numFmt w:val="bullet"/>
      <w:lvlText w:val="•"/>
      <w:lvlJc w:val="left"/>
      <w:pPr>
        <w:ind w:left="4281" w:hanging="420"/>
      </w:pPr>
      <w:rPr>
        <w:rFonts w:hint="default"/>
      </w:rPr>
    </w:lvl>
    <w:lvl w:ilvl="5">
      <w:start w:val="0"/>
      <w:numFmt w:val="bullet"/>
      <w:lvlText w:val="•"/>
      <w:lvlJc w:val="left"/>
      <w:pPr>
        <w:ind w:left="5112" w:hanging="420"/>
      </w:pPr>
      <w:rPr>
        <w:rFonts w:hint="default"/>
      </w:rPr>
    </w:lvl>
    <w:lvl w:ilvl="6">
      <w:start w:val="0"/>
      <w:numFmt w:val="bullet"/>
      <w:lvlText w:val="•"/>
      <w:lvlJc w:val="left"/>
      <w:pPr>
        <w:ind w:left="5942" w:hanging="420"/>
      </w:pPr>
      <w:rPr>
        <w:rFonts w:hint="default"/>
      </w:rPr>
    </w:lvl>
    <w:lvl w:ilvl="7">
      <w:start w:val="0"/>
      <w:numFmt w:val="bullet"/>
      <w:lvlText w:val="•"/>
      <w:lvlJc w:val="left"/>
      <w:pPr>
        <w:ind w:left="6773" w:hanging="420"/>
      </w:pPr>
      <w:rPr>
        <w:rFonts w:hint="default"/>
      </w:rPr>
    </w:lvl>
    <w:lvl w:ilvl="8">
      <w:start w:val="0"/>
      <w:numFmt w:val="bullet"/>
      <w:lvlText w:val="•"/>
      <w:lvlJc w:val="left"/>
      <w:pPr>
        <w:ind w:left="7603" w:hanging="420"/>
      </w:pPr>
      <w:rPr>
        <w:rFonts w:hint="default"/>
      </w:rPr>
    </w:lvl>
  </w:abstractNum>
  <w:abstractNum w:abstractNumId="3">
    <w:multiLevelType w:val="hybridMultilevel"/>
    <w:lvl w:ilvl="0">
      <w:start w:val="1"/>
      <w:numFmt w:val="decimal"/>
      <w:lvlText w:val="%1."/>
      <w:lvlJc w:val="left"/>
      <w:pPr>
        <w:ind w:left="957" w:hanging="420"/>
        <w:jc w:val="left"/>
      </w:pPr>
      <w:rPr>
        <w:rFonts w:hint="default" w:ascii="宋体" w:hAnsi="宋体" w:eastAsia="宋体" w:cs="宋体"/>
        <w:spacing w:val="-53"/>
        <w:w w:val="100"/>
        <w:sz w:val="21"/>
        <w:szCs w:val="21"/>
      </w:rPr>
    </w:lvl>
    <w:lvl w:ilvl="1">
      <w:start w:val="0"/>
      <w:numFmt w:val="bullet"/>
      <w:lvlText w:val="•"/>
      <w:lvlJc w:val="left"/>
      <w:pPr>
        <w:ind w:left="1790" w:hanging="420"/>
      </w:pPr>
      <w:rPr>
        <w:rFonts w:hint="default"/>
      </w:rPr>
    </w:lvl>
    <w:lvl w:ilvl="2">
      <w:start w:val="0"/>
      <w:numFmt w:val="bullet"/>
      <w:lvlText w:val="•"/>
      <w:lvlJc w:val="left"/>
      <w:pPr>
        <w:ind w:left="2620" w:hanging="420"/>
      </w:pPr>
      <w:rPr>
        <w:rFonts w:hint="default"/>
      </w:rPr>
    </w:lvl>
    <w:lvl w:ilvl="3">
      <w:start w:val="0"/>
      <w:numFmt w:val="bullet"/>
      <w:lvlText w:val="•"/>
      <w:lvlJc w:val="left"/>
      <w:pPr>
        <w:ind w:left="3451" w:hanging="420"/>
      </w:pPr>
      <w:rPr>
        <w:rFonts w:hint="default"/>
      </w:rPr>
    </w:lvl>
    <w:lvl w:ilvl="4">
      <w:start w:val="0"/>
      <w:numFmt w:val="bullet"/>
      <w:lvlText w:val="•"/>
      <w:lvlJc w:val="left"/>
      <w:pPr>
        <w:ind w:left="4281" w:hanging="420"/>
      </w:pPr>
      <w:rPr>
        <w:rFonts w:hint="default"/>
      </w:rPr>
    </w:lvl>
    <w:lvl w:ilvl="5">
      <w:start w:val="0"/>
      <w:numFmt w:val="bullet"/>
      <w:lvlText w:val="•"/>
      <w:lvlJc w:val="left"/>
      <w:pPr>
        <w:ind w:left="5112" w:hanging="420"/>
      </w:pPr>
      <w:rPr>
        <w:rFonts w:hint="default"/>
      </w:rPr>
    </w:lvl>
    <w:lvl w:ilvl="6">
      <w:start w:val="0"/>
      <w:numFmt w:val="bullet"/>
      <w:lvlText w:val="•"/>
      <w:lvlJc w:val="left"/>
      <w:pPr>
        <w:ind w:left="5942" w:hanging="420"/>
      </w:pPr>
      <w:rPr>
        <w:rFonts w:hint="default"/>
      </w:rPr>
    </w:lvl>
    <w:lvl w:ilvl="7">
      <w:start w:val="0"/>
      <w:numFmt w:val="bullet"/>
      <w:lvlText w:val="•"/>
      <w:lvlJc w:val="left"/>
      <w:pPr>
        <w:ind w:left="6773" w:hanging="420"/>
      </w:pPr>
      <w:rPr>
        <w:rFonts w:hint="default"/>
      </w:rPr>
    </w:lvl>
    <w:lvl w:ilvl="8">
      <w:start w:val="0"/>
      <w:numFmt w:val="bullet"/>
      <w:lvlText w:val="•"/>
      <w:lvlJc w:val="left"/>
      <w:pPr>
        <w:ind w:left="7603" w:hanging="420"/>
      </w:pPr>
      <w:rPr>
        <w:rFonts w:hint="default"/>
      </w:rPr>
    </w:lvl>
  </w:abstractNum>
  <w:abstractNum w:abstractNumId="2">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90" w:hanging="420"/>
      </w:pPr>
      <w:rPr>
        <w:rFonts w:hint="default"/>
      </w:rPr>
    </w:lvl>
    <w:lvl w:ilvl="2">
      <w:start w:val="0"/>
      <w:numFmt w:val="bullet"/>
      <w:lvlText w:val="•"/>
      <w:lvlJc w:val="left"/>
      <w:pPr>
        <w:ind w:left="2620" w:hanging="420"/>
      </w:pPr>
      <w:rPr>
        <w:rFonts w:hint="default"/>
      </w:rPr>
    </w:lvl>
    <w:lvl w:ilvl="3">
      <w:start w:val="0"/>
      <w:numFmt w:val="bullet"/>
      <w:lvlText w:val="•"/>
      <w:lvlJc w:val="left"/>
      <w:pPr>
        <w:ind w:left="3451" w:hanging="420"/>
      </w:pPr>
      <w:rPr>
        <w:rFonts w:hint="default"/>
      </w:rPr>
    </w:lvl>
    <w:lvl w:ilvl="4">
      <w:start w:val="0"/>
      <w:numFmt w:val="bullet"/>
      <w:lvlText w:val="•"/>
      <w:lvlJc w:val="left"/>
      <w:pPr>
        <w:ind w:left="4281" w:hanging="420"/>
      </w:pPr>
      <w:rPr>
        <w:rFonts w:hint="default"/>
      </w:rPr>
    </w:lvl>
    <w:lvl w:ilvl="5">
      <w:start w:val="0"/>
      <w:numFmt w:val="bullet"/>
      <w:lvlText w:val="•"/>
      <w:lvlJc w:val="left"/>
      <w:pPr>
        <w:ind w:left="5112" w:hanging="420"/>
      </w:pPr>
      <w:rPr>
        <w:rFonts w:hint="default"/>
      </w:rPr>
    </w:lvl>
    <w:lvl w:ilvl="6">
      <w:start w:val="0"/>
      <w:numFmt w:val="bullet"/>
      <w:lvlText w:val="•"/>
      <w:lvlJc w:val="left"/>
      <w:pPr>
        <w:ind w:left="5942" w:hanging="420"/>
      </w:pPr>
      <w:rPr>
        <w:rFonts w:hint="default"/>
      </w:rPr>
    </w:lvl>
    <w:lvl w:ilvl="7">
      <w:start w:val="0"/>
      <w:numFmt w:val="bullet"/>
      <w:lvlText w:val="•"/>
      <w:lvlJc w:val="left"/>
      <w:pPr>
        <w:ind w:left="6773" w:hanging="420"/>
      </w:pPr>
      <w:rPr>
        <w:rFonts w:hint="default"/>
      </w:rPr>
    </w:lvl>
    <w:lvl w:ilvl="8">
      <w:start w:val="0"/>
      <w:numFmt w:val="bullet"/>
      <w:lvlText w:val="•"/>
      <w:lvlJc w:val="left"/>
      <w:pPr>
        <w:ind w:left="7603" w:hanging="420"/>
      </w:pPr>
      <w:rPr>
        <w:rFonts w:hint="default"/>
      </w:rPr>
    </w:lvl>
  </w:abstractNum>
  <w:abstractNum w:abstractNumId="1">
    <w:multiLevelType w:val="hybridMultilevel"/>
    <w:lvl w:ilvl="0">
      <w:start w:val="1"/>
      <w:numFmt w:val="decimal"/>
      <w:lvlText w:val="%1."/>
      <w:lvlJc w:val="left"/>
      <w:pPr>
        <w:ind w:left="117" w:hanging="420"/>
        <w:jc w:val="left"/>
      </w:pPr>
      <w:rPr>
        <w:rFonts w:hint="default" w:ascii="黑体" w:hAnsi="黑体" w:eastAsia="黑体" w:cs="黑体"/>
        <w:spacing w:val="-1"/>
        <w:w w:val="100"/>
        <w:sz w:val="21"/>
        <w:szCs w:val="21"/>
      </w:rPr>
    </w:lvl>
    <w:lvl w:ilvl="1">
      <w:start w:val="0"/>
      <w:numFmt w:val="bullet"/>
      <w:lvlText w:val="•"/>
      <w:lvlJc w:val="left"/>
      <w:pPr>
        <w:ind w:left="1034" w:hanging="420"/>
      </w:pPr>
      <w:rPr>
        <w:rFonts w:hint="default"/>
      </w:rPr>
    </w:lvl>
    <w:lvl w:ilvl="2">
      <w:start w:val="0"/>
      <w:numFmt w:val="bullet"/>
      <w:lvlText w:val="•"/>
      <w:lvlJc w:val="left"/>
      <w:pPr>
        <w:ind w:left="1948" w:hanging="420"/>
      </w:pPr>
      <w:rPr>
        <w:rFonts w:hint="default"/>
      </w:rPr>
    </w:lvl>
    <w:lvl w:ilvl="3">
      <w:start w:val="0"/>
      <w:numFmt w:val="bullet"/>
      <w:lvlText w:val="•"/>
      <w:lvlJc w:val="left"/>
      <w:pPr>
        <w:ind w:left="2863" w:hanging="420"/>
      </w:pPr>
      <w:rPr>
        <w:rFonts w:hint="default"/>
      </w:rPr>
    </w:lvl>
    <w:lvl w:ilvl="4">
      <w:start w:val="0"/>
      <w:numFmt w:val="bullet"/>
      <w:lvlText w:val="•"/>
      <w:lvlJc w:val="left"/>
      <w:pPr>
        <w:ind w:left="3777" w:hanging="420"/>
      </w:pPr>
      <w:rPr>
        <w:rFonts w:hint="default"/>
      </w:rPr>
    </w:lvl>
    <w:lvl w:ilvl="5">
      <w:start w:val="0"/>
      <w:numFmt w:val="bullet"/>
      <w:lvlText w:val="•"/>
      <w:lvlJc w:val="left"/>
      <w:pPr>
        <w:ind w:left="4692" w:hanging="420"/>
      </w:pPr>
      <w:rPr>
        <w:rFonts w:hint="default"/>
      </w:rPr>
    </w:lvl>
    <w:lvl w:ilvl="6">
      <w:start w:val="0"/>
      <w:numFmt w:val="bullet"/>
      <w:lvlText w:val="•"/>
      <w:lvlJc w:val="left"/>
      <w:pPr>
        <w:ind w:left="5606" w:hanging="420"/>
      </w:pPr>
      <w:rPr>
        <w:rFonts w:hint="default"/>
      </w:rPr>
    </w:lvl>
    <w:lvl w:ilvl="7">
      <w:start w:val="0"/>
      <w:numFmt w:val="bullet"/>
      <w:lvlText w:val="•"/>
      <w:lvlJc w:val="left"/>
      <w:pPr>
        <w:ind w:left="6521" w:hanging="420"/>
      </w:pPr>
      <w:rPr>
        <w:rFonts w:hint="default"/>
      </w:rPr>
    </w:lvl>
    <w:lvl w:ilvl="8">
      <w:start w:val="0"/>
      <w:numFmt w:val="bullet"/>
      <w:lvlText w:val="•"/>
      <w:lvlJc w:val="left"/>
      <w:pPr>
        <w:ind w:left="7435" w:hanging="420"/>
      </w:pPr>
      <w:rPr>
        <w:rFonts w:hint="default"/>
      </w:rPr>
    </w:lvl>
  </w:abstractNum>
  <w:abstractNum w:abstractNumId="0">
    <w:multiLevelType w:val="hybridMultilevel"/>
    <w:lvl w:ilvl="0">
      <w:start w:val="3"/>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700" w:hanging="316"/>
      </w:pPr>
      <w:rPr>
        <w:rFonts w:hint="default"/>
      </w:rPr>
    </w:lvl>
    <w:lvl w:ilvl="2">
      <w:start w:val="0"/>
      <w:numFmt w:val="bullet"/>
      <w:lvlText w:val="•"/>
      <w:lvlJc w:val="left"/>
      <w:pPr>
        <w:ind w:left="2540" w:hanging="316"/>
      </w:pPr>
      <w:rPr>
        <w:rFonts w:hint="default"/>
      </w:rPr>
    </w:lvl>
    <w:lvl w:ilvl="3">
      <w:start w:val="0"/>
      <w:numFmt w:val="bullet"/>
      <w:lvlText w:val="•"/>
      <w:lvlJc w:val="left"/>
      <w:pPr>
        <w:ind w:left="3381" w:hanging="316"/>
      </w:pPr>
      <w:rPr>
        <w:rFonts w:hint="default"/>
      </w:rPr>
    </w:lvl>
    <w:lvl w:ilvl="4">
      <w:start w:val="0"/>
      <w:numFmt w:val="bullet"/>
      <w:lvlText w:val="•"/>
      <w:lvlJc w:val="left"/>
      <w:pPr>
        <w:ind w:left="4221" w:hanging="316"/>
      </w:pPr>
      <w:rPr>
        <w:rFonts w:hint="default"/>
      </w:rPr>
    </w:lvl>
    <w:lvl w:ilvl="5">
      <w:start w:val="0"/>
      <w:numFmt w:val="bullet"/>
      <w:lvlText w:val="•"/>
      <w:lvlJc w:val="left"/>
      <w:pPr>
        <w:ind w:left="5062" w:hanging="316"/>
      </w:pPr>
      <w:rPr>
        <w:rFonts w:hint="default"/>
      </w:rPr>
    </w:lvl>
    <w:lvl w:ilvl="6">
      <w:start w:val="0"/>
      <w:numFmt w:val="bullet"/>
      <w:lvlText w:val="•"/>
      <w:lvlJc w:val="left"/>
      <w:pPr>
        <w:ind w:left="5902" w:hanging="316"/>
      </w:pPr>
      <w:rPr>
        <w:rFonts w:hint="default"/>
      </w:rPr>
    </w:lvl>
    <w:lvl w:ilvl="7">
      <w:start w:val="0"/>
      <w:numFmt w:val="bullet"/>
      <w:lvlText w:val="•"/>
      <w:lvlJc w:val="left"/>
      <w:pPr>
        <w:ind w:left="6743" w:hanging="316"/>
      </w:pPr>
      <w:rPr>
        <w:rFonts w:hint="default"/>
      </w:rPr>
    </w:lvl>
    <w:lvl w:ilvl="8">
      <w:start w:val="0"/>
      <w:numFmt w:val="bullet"/>
      <w:lvlText w:val="•"/>
      <w:lvlJc w:val="left"/>
      <w:pPr>
        <w:ind w:left="7583" w:hanging="316"/>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6"/>
      <w:ind w:left="117"/>
    </w:pPr>
    <w:rPr>
      <w:rFonts w:ascii="宋体" w:hAnsi="宋体" w:eastAsia="宋体" w:cs="宋体"/>
      <w:b/>
      <w:bCs/>
      <w:sz w:val="21"/>
      <w:szCs w:val="21"/>
    </w:rPr>
  </w:style>
  <w:style w:styleId="TOC2" w:type="paragraph">
    <w:name w:val="TOC 2"/>
    <w:basedOn w:val="Normal"/>
    <w:uiPriority w:val="1"/>
    <w:qFormat/>
    <w:pPr>
      <w:spacing w:before="36"/>
      <w:ind w:left="327"/>
    </w:pPr>
    <w:rPr>
      <w:rFonts w:ascii="宋体" w:hAnsi="宋体" w:eastAsia="宋体" w:cs="宋体"/>
      <w:sz w:val="21"/>
      <w:szCs w:val="21"/>
    </w:rPr>
  </w:style>
  <w:style w:styleId="BodyText" w:type="paragraph">
    <w:name w:val="Body Text"/>
    <w:basedOn w:val="Normal"/>
    <w:uiPriority w:val="1"/>
    <w:qFormat/>
    <w:pPr>
      <w:spacing w:before="83"/>
      <w:ind w:left="117"/>
    </w:pPr>
    <w:rPr>
      <w:rFonts w:ascii="宋体" w:hAnsi="宋体" w:eastAsia="宋体" w:cs="宋体"/>
      <w:sz w:val="21"/>
      <w:szCs w:val="21"/>
    </w:rPr>
  </w:style>
  <w:style w:styleId="Heading1" w:type="paragraph">
    <w:name w:val="Heading 1"/>
    <w:basedOn w:val="Normal"/>
    <w:uiPriority w:val="1"/>
    <w:qFormat/>
    <w:pPr>
      <w:spacing w:before="1"/>
      <w:ind w:left="2999"/>
      <w:jc w:val="center"/>
      <w:outlineLvl w:val="1"/>
    </w:pPr>
    <w:rPr>
      <w:rFonts w:ascii="宋体" w:hAnsi="宋体" w:eastAsia="宋体" w:cs="宋体"/>
      <w:b/>
      <w:bCs/>
      <w:sz w:val="28"/>
      <w:szCs w:val="28"/>
    </w:rPr>
  </w:style>
  <w:style w:styleId="Heading2" w:type="paragraph">
    <w:name w:val="Heading 2"/>
    <w:basedOn w:val="Normal"/>
    <w:uiPriority w:val="1"/>
    <w:qFormat/>
    <w:pPr>
      <w:spacing w:before="18"/>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83"/>
      <w:ind w:left="957" w:hanging="420"/>
    </w:pPr>
    <w:rPr>
      <w:rFonts w:ascii="黑体" w:hAnsi="黑体" w:eastAsia="黑体" w:cs="黑体"/>
    </w:rPr>
  </w:style>
  <w:style w:styleId="TableParagraph" w:type="paragraph">
    <w:name w:val="Table Paragraph"/>
    <w:basedOn w:val="Normal"/>
    <w:uiPriority w:val="1"/>
    <w:qFormat/>
    <w:pPr>
      <w:spacing w:before="6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hq01037</dc:creator>
  <dc:title>&lt;4D6963726F736F667420576F7264202D20322D303220B9E2B4F3D3C0C3F7B8BDBCD3B8BBB9F3D1D3C4EAD7DBBACFBCB2B2A1B1A3CFD5B2FAC6B7CCF5BFEE&gt;</dc:title>
  <dcterms:created xsi:type="dcterms:W3CDTF">2018-10-20T00:30:42Z</dcterms:created>
  <dcterms:modified xsi:type="dcterms:W3CDTF">2018-10-20T00:30:42Z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2012-08-13T00:00:00Z</vt:filetime>
  </property>
  <property fmtid="{D5CDD505-2E9C-101B-9397-08002B2CF9AE}" pid="3" name="Creator">
    <vt:lpwstr>PScript5.dll Version 5.2.2</vt:lpwstr>
  </property>
  <property fmtid="{D5CDD505-2E9C-101B-9397-08002B2CF9AE}" pid="4" name="LastSaved">
    <vt:filetime>2018-10-19T00:00:00Z</vt:filetime>
  </property>
</Properties>
</file>