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北大方正人寿[2012]疾病保险 050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237" w:lineRule="auto" w:before="30"/>
        <w:ind w:left="2671" w:right="0" w:firstLine="239"/>
        <w:jc w:val="left"/>
        <w:rPr>
          <w:b/>
          <w:sz w:val="24"/>
        </w:rPr>
      </w:pPr>
      <w:r>
        <w:rPr>
          <w:b/>
          <w:sz w:val="24"/>
        </w:rPr>
        <w:t>北大方正人寿保险有限公司 </w:t>
      </w:r>
      <w:r>
        <w:rPr>
          <w:b/>
          <w:w w:val="95"/>
          <w:sz w:val="24"/>
        </w:rPr>
        <w:t>附加康佑今生重大疾病保险条款</w:t>
      </w:r>
    </w:p>
    <w:p>
      <w:pPr>
        <w:spacing w:line="330" w:lineRule="exact" w:before="0"/>
        <w:ind w:left="3429" w:right="76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ind w:left="0"/>
        <w:rPr>
          <w:b/>
          <w:sz w:val="32"/>
        </w:rPr>
      </w:pPr>
    </w:p>
    <w:p>
      <w:pPr>
        <w:spacing w:before="0"/>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1"/>
      </w:pPr>
      <w:r>
        <w:rPr/>
        <w:t>请扫描以查询验证条款</w:t>
      </w:r>
    </w:p>
    <w:p>
      <w:pPr>
        <w:spacing w:after="0"/>
        <w:sectPr>
          <w:type w:val="continuous"/>
          <w:pgSz w:w="11960" w:h="16850"/>
          <w:pgMar w:top="280" w:bottom="1200" w:left="1600" w:right="760"/>
          <w:cols w:num="2" w:equalWidth="0">
            <w:col w:w="6034" w:space="40"/>
            <w:col w:w="3526"/>
          </w:cols>
        </w:sectPr>
      </w:pPr>
    </w:p>
    <w:p>
      <w:pPr>
        <w:pStyle w:val="BodyText"/>
        <w:spacing w:before="9"/>
        <w:ind w:left="0"/>
        <w:rPr>
          <w:sz w:val="9"/>
        </w:rPr>
      </w:pPr>
    </w:p>
    <w:sdt>
      <w:sdtPr>
        <w:docPartObj>
          <w:docPartGallery w:val="Table of Contents"/>
          <w:docPartUnique/>
        </w:docPartObj>
      </w:sdtPr>
      <w:sdtEndPr/>
      <w:sdtContent>
        <w:p>
          <w:pPr>
            <w:pStyle w:val="TOC1"/>
            <w:tabs>
              <w:tab w:pos="886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3"/>
            <w:tabs>
              <w:tab w:pos="1361" w:val="left" w:leader="none"/>
              <w:tab w:pos="872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361" w:val="left" w:leader="none"/>
              <w:tab w:pos="8774" w:val="right" w:leader="middleDot"/>
            </w:tabs>
            <w:rPr>
              <w:rFonts w:ascii="Times New Roman" w:hAnsi="Times New Roman" w:eastAsia="Times New Roman"/>
              <w:b w:val="0"/>
              <w:i w:val="0"/>
              <w:sz w:val="21"/>
            </w:rPr>
          </w:pPr>
          <w:hyperlink w:history="true" w:anchor="_TOC_250019">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361" w:val="left" w:leader="none"/>
              <w:tab w:pos="860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361" w:val="left" w:leader="none"/>
              <w:tab w:pos="8827" w:val="right" w:leader="middleDot"/>
            </w:tabs>
            <w:rPr>
              <w:rFonts w:ascii="Times New Roman" w:hAnsi="Times New Roman" w:eastAsia="Times New Roman"/>
              <w:b w:val="0"/>
              <w:i w:val="0"/>
              <w:sz w:val="21"/>
            </w:rPr>
          </w:pPr>
          <w:hyperlink w:history="true" w:anchor="_TOC_250018">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24" w:val="right" w:leader="middleDot"/>
            </w:tabs>
            <w:rPr>
              <w:rFonts w:ascii="Times New Roman" w:hAnsi="Times New Roman" w:eastAsia="Times New Roman"/>
            </w:rPr>
          </w:pPr>
          <w:hyperlink w:history="true" w:anchor="_TOC_250017">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361" w:val="left" w:leader="none"/>
              <w:tab w:pos="8652" w:val="right" w:leader="middleDot"/>
            </w:tabs>
            <w:spacing w:before="191"/>
            <w:rPr>
              <w:rFonts w:ascii="Times New Roman" w:hAnsi="Times New Roman" w:eastAsia="Times New Roman"/>
              <w:b w:val="0"/>
              <w:i w:val="0"/>
              <w:sz w:val="21"/>
            </w:rPr>
          </w:pPr>
          <w:hyperlink w:history="true" w:anchor="_TOC_250016">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spacing w:before="55"/>
            <w:rPr>
              <w:rFonts w:ascii="Times New Roman" w:hAnsi="Times New Roman" w:eastAsia="Times New Roman"/>
              <w:b w:val="0"/>
              <w:i w:val="0"/>
              <w:sz w:val="21"/>
            </w:rPr>
          </w:pPr>
          <w:hyperlink w:history="true" w:anchor="_TOC_250015">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361" w:val="left" w:leader="none"/>
              <w:tab w:pos="8774" w:val="right" w:leader="middleDot"/>
            </w:tabs>
            <w:spacing w:before="55"/>
            <w:rPr>
              <w:rFonts w:ascii="Times New Roman" w:hAnsi="Times New Roman" w:eastAsia="Times New Roman"/>
              <w:b w:val="0"/>
              <w:i w:val="0"/>
              <w:sz w:val="21"/>
            </w:rPr>
          </w:pPr>
          <w:hyperlink w:history="true" w:anchor="_TOC_250014">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0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3···</w:t>
          </w:r>
        </w:p>
        <w:p>
          <w:pPr>
            <w:pStyle w:val="TOC1"/>
            <w:tabs>
              <w:tab w:pos="872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361" w:val="left" w:leader="none"/>
              <w:tab w:pos="865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361" w:val="left" w:leader="none"/>
              <w:tab w:pos="860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1"/>
            <w:tabs>
              <w:tab w:pos="859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361" w:val="left" w:leader="none"/>
              <w:tab w:pos="8774" w:val="right" w:leader="middleDot"/>
            </w:tabs>
            <w:spacing w:before="192"/>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2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361" w:val="left" w:leader="none"/>
              <w:tab w:pos="898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361" w:val="left" w:leader="none"/>
              <w:tab w:pos="860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4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3"/>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3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9" w:val="left" w:leader="none"/>
        </w:tabs>
        <w:spacing w:line="672" w:lineRule="exact" w:before="24"/>
        <w:ind w:right="1216" w:firstLine="1007"/>
      </w:pPr>
      <w:r>
        <w:rPr/>
        <w:t>第一部分</w:t>
        <w:tab/>
      </w:r>
      <w:r>
        <w:rPr>
          <w:spacing w:val="-1"/>
          <w:w w:val="95"/>
        </w:rPr>
        <w:t>您（投保人</w:t>
      </w:r>
      <w:r>
        <w:rPr>
          <w:w w:val="95"/>
        </w:rPr>
        <w:t>）与我们（北大方正人寿保险有限公司）的合同   </w:t>
      </w:r>
      <w:r>
        <w:rPr/>
        <w:t>第一条</w:t>
        <w:tab/>
      </w:r>
      <w:r>
        <w:rPr>
          <w:w w:val="95"/>
        </w:rPr>
        <w:t>合同的构成</w:t>
      </w:r>
    </w:p>
    <w:p>
      <w:pPr>
        <w:pStyle w:val="BodyText"/>
        <w:spacing w:before="8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5922" w:firstLine="0"/>
        <w:jc w:val="left"/>
        <w:rPr>
          <w:b/>
          <w:sz w:val="18"/>
        </w:rPr>
      </w:pPr>
      <w:r>
        <w:rPr>
          <w:sz w:val="18"/>
        </w:rPr>
        <w:t>本附加合同的英文简称为</w:t>
      </w:r>
      <w:r>
        <w:rPr>
          <w:spacing w:val="-45"/>
          <w:sz w:val="18"/>
        </w:rPr>
        <w:t> </w:t>
      </w:r>
      <w:r>
        <w:rPr>
          <w:rFonts w:ascii="Times New Roman" w:eastAsia="Times New Roman"/>
          <w:sz w:val="18"/>
        </w:rPr>
        <w:t>ARR_B</w:t>
      </w:r>
      <w:r>
        <w:rPr>
          <w:sz w:val="18"/>
        </w:rPr>
        <w:t>。</w:t>
      </w:r>
      <w:r>
        <w:rPr>
          <w:b/>
          <w:sz w:val="18"/>
        </w:rPr>
        <w:t>第二条</w:t>
        <w:tab/>
      </w:r>
      <w:r>
        <w:rPr>
          <w:b/>
          <w:w w:val="95"/>
          <w:sz w:val="18"/>
        </w:rPr>
        <w:t>投保范围</w:t>
      </w:r>
    </w:p>
    <w:p>
      <w:pPr>
        <w:spacing w:line="103" w:lineRule="exact" w:before="36"/>
        <w:ind w:left="4061" w:right="0" w:firstLine="0"/>
        <w:jc w:val="left"/>
        <w:rPr>
          <w:b/>
          <w:sz w:val="12"/>
        </w:rPr>
      </w:pPr>
      <w:r>
        <w:rPr>
          <w:b/>
          <w:sz w:val="12"/>
        </w:rPr>
        <w:t>释义 1</w:t>
      </w:r>
    </w:p>
    <w:p>
      <w:pPr>
        <w:pStyle w:val="BodyText"/>
        <w:tabs>
          <w:tab w:pos="4423" w:val="left" w:leader="none"/>
        </w:tabs>
        <w:spacing w:line="182" w:lineRule="exact"/>
        <w:ind w:left="101"/>
      </w:pPr>
      <w:r>
        <w:rPr/>
        <w:t>本附加合同接受的被保险人的投保年龄为十八</w:t>
      </w:r>
      <w:r>
        <w:rPr>
          <w:b/>
        </w:rPr>
        <w:t>周岁</w:t>
        <w:tab/>
      </w:r>
      <w:r>
        <w:rPr>
          <w:spacing w:val="-1"/>
        </w:rPr>
        <w:t>至</w:t>
      </w:r>
      <w:r>
        <w:rPr>
          <w:spacing w:val="-3"/>
        </w:rPr>
        <w:t>五</w:t>
      </w:r>
      <w:r>
        <w:rPr/>
        <w:t>十五周岁。</w:t>
      </w:r>
    </w:p>
    <w:p>
      <w:pPr>
        <w:pStyle w:val="BodyText"/>
        <w:spacing w:before="5"/>
        <w:ind w:left="0"/>
        <w:rPr>
          <w:sz w:val="13"/>
        </w:rPr>
      </w:pPr>
    </w:p>
    <w:p>
      <w:pPr>
        <w:pStyle w:val="Heading1"/>
        <w:tabs>
          <w:tab w:pos="1361" w:val="left" w:leader="none"/>
        </w:tabs>
      </w:pPr>
      <w:bookmarkStart w:name="_TOC_250019"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pPr>
      <w:bookmarkStart w:name="_TOC_250018" w:id="2"/>
      <w:r>
        <w:rPr/>
        <w:t>第五条</w:t>
        <w:tab/>
      </w:r>
      <w:bookmarkEnd w:id="2"/>
      <w:r>
        <w:rPr>
          <w:w w:val="95"/>
        </w:rPr>
        <w:t>犹豫期</w:t>
      </w:r>
    </w:p>
    <w:p>
      <w:pPr>
        <w:pStyle w:val="BodyText"/>
        <w:ind w:left="0"/>
        <w:rPr>
          <w:b/>
          <w:sz w:val="15"/>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7"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pPr>
      <w:bookmarkStart w:name="_TOC_250016" w:id="4"/>
      <w:r>
        <w:rPr/>
        <w:t>第六条</w:t>
        <w:tab/>
      </w:r>
      <w:bookmarkEnd w:id="4"/>
      <w:r>
        <w:rPr>
          <w:w w:val="95"/>
        </w:rPr>
        <w:t>基本保险金额</w:t>
      </w:r>
    </w:p>
    <w:p>
      <w:pPr>
        <w:pStyle w:val="BodyText"/>
        <w:ind w:left="0"/>
        <w:rPr>
          <w:b/>
          <w:sz w:val="15"/>
        </w:rPr>
      </w:pPr>
    </w:p>
    <w:p>
      <w:pPr>
        <w:pStyle w:val="BodyText"/>
        <w:spacing w:line="316" w:lineRule="auto"/>
        <w:ind w:left="10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361" w:val="left" w:leader="none"/>
        </w:tabs>
        <w:spacing w:before="138"/>
      </w:pPr>
      <w:bookmarkStart w:name="_TOC_250015" w:id="5"/>
      <w:r>
        <w:rPr/>
        <w:t>第七条</w:t>
        <w:tab/>
      </w:r>
      <w:bookmarkEnd w:id="5"/>
      <w:r>
        <w:rPr>
          <w:w w:val="95"/>
        </w:rPr>
        <w:t>保险责任</w:t>
      </w:r>
    </w:p>
    <w:p>
      <w:pPr>
        <w:pStyle w:val="BodyText"/>
        <w:spacing w:before="12"/>
        <w:ind w:left="0"/>
        <w:rPr>
          <w:b/>
          <w:sz w:val="14"/>
        </w:rPr>
      </w:pPr>
    </w:p>
    <w:p>
      <w:pPr>
        <w:pStyle w:val="BodyText"/>
        <w:spacing w:line="316" w:lineRule="auto"/>
        <w:ind w:left="101" w:right="3848"/>
      </w:pPr>
      <w:r>
        <w:rPr/>
        <w:t>在本附加合同的有效保险期间内，我们将承担下列保险责任： 一、重大疾病保险金</w:t>
      </w:r>
    </w:p>
    <w:p>
      <w:pPr>
        <w:pStyle w:val="BodyText"/>
        <w:spacing w:line="276" w:lineRule="exact"/>
        <w:ind w:left="101"/>
        <w:rPr>
          <w:b/>
          <w:sz w:val="12"/>
        </w:rPr>
      </w:pPr>
      <w:r>
        <w:rPr/>
        <w:t>如果被保险人在本附加合同生效日或最后复效日（以较迟者为准）起一百八十天后，首次</w:t>
      </w:r>
      <w:r>
        <w:rPr>
          <w:b/>
        </w:rPr>
        <w:t>发病</w:t>
      </w:r>
      <w:r>
        <w:rPr>
          <w:b/>
          <w:position w:val="12"/>
          <w:sz w:val="12"/>
        </w:rPr>
        <w:t>释义 3 </w:t>
      </w:r>
      <w:r>
        <w:rPr/>
        <w:t>并经</w:t>
      </w:r>
      <w:r>
        <w:rPr>
          <w:b/>
        </w:rPr>
        <w:t>医生</w:t>
      </w:r>
      <w:r>
        <w:rPr>
          <w:b/>
          <w:position w:val="12"/>
          <w:sz w:val="12"/>
        </w:rPr>
        <w:t>释</w:t>
      </w:r>
    </w:p>
    <w:p>
      <w:pPr>
        <w:pStyle w:val="BodyText"/>
        <w:spacing w:before="27"/>
        <w:ind w:left="101"/>
      </w:pPr>
      <w:r>
        <w:rPr>
          <w:b/>
          <w:position w:val="12"/>
          <w:sz w:val="12"/>
        </w:rPr>
        <w:t>义 4 </w:t>
      </w:r>
      <w:r>
        <w:rPr/>
        <w:t>确诊初次患有本附加合同内所界定的重大疾病中的任何一种疾病，我们将按重大疾病保险金给付时本附加</w:t>
      </w:r>
    </w:p>
    <w:p>
      <w:pPr>
        <w:spacing w:before="26"/>
        <w:ind w:left="101" w:right="0" w:firstLine="0"/>
        <w:jc w:val="left"/>
        <w:rPr>
          <w:sz w:val="18"/>
        </w:rPr>
      </w:pPr>
      <w:r>
        <w:rPr>
          <w:sz w:val="18"/>
        </w:rPr>
        <w:t>合同及其主合同</w:t>
      </w:r>
      <w:r>
        <w:rPr>
          <w:b/>
          <w:sz w:val="18"/>
        </w:rPr>
        <w:t>所有已交的保险费</w:t>
      </w:r>
      <w:r>
        <w:rPr>
          <w:b/>
          <w:position w:val="12"/>
          <w:sz w:val="12"/>
        </w:rPr>
        <w:t>释义 5 </w:t>
      </w:r>
      <w:r>
        <w:rPr>
          <w:sz w:val="18"/>
        </w:rPr>
        <w:t>与基本保险金额中的较大者给付重大疾病保险金。</w:t>
      </w:r>
    </w:p>
    <w:p>
      <w:pPr>
        <w:spacing w:after="0"/>
        <w:jc w:val="left"/>
        <w:rPr>
          <w:sz w:val="18"/>
        </w:rPr>
        <w:sectPr>
          <w:pgSz w:w="11960" w:h="16850"/>
          <w:pgMar w:header="0" w:footer="1001" w:top="1600" w:bottom="1200" w:left="1600" w:right="1540"/>
        </w:sectPr>
      </w:pPr>
    </w:p>
    <w:p>
      <w:pPr>
        <w:spacing w:line="103" w:lineRule="exact" w:before="83"/>
        <w:ind w:left="4063" w:right="0" w:firstLine="0"/>
        <w:jc w:val="left"/>
        <w:rPr>
          <w:b/>
          <w:sz w:val="12"/>
        </w:rPr>
      </w:pPr>
      <w:r>
        <w:rPr>
          <w:b/>
          <w:sz w:val="12"/>
        </w:rPr>
        <w:t>释义 6</w:t>
      </w:r>
    </w:p>
    <w:p>
      <w:pPr>
        <w:pStyle w:val="BodyText"/>
        <w:tabs>
          <w:tab w:pos="4425" w:val="left" w:leader="none"/>
        </w:tabs>
        <w:spacing w:line="182" w:lineRule="exact"/>
        <w:ind w:left="101"/>
      </w:pPr>
      <w:r>
        <w:rPr/>
        <w:t>如果该重大疾病是由于被保险人遭受</w:t>
      </w:r>
      <w:r>
        <w:rPr>
          <w:b/>
        </w:rPr>
        <w:t>意外伤害事故</w:t>
        <w:tab/>
      </w:r>
      <w:r>
        <w:rPr>
          <w:spacing w:val="-1"/>
        </w:rPr>
        <w:t>引</w:t>
      </w:r>
      <w:r>
        <w:rPr>
          <w:spacing w:val="-3"/>
        </w:rPr>
        <w:t>起</w:t>
      </w:r>
      <w:r>
        <w:rPr>
          <w:spacing w:val="-1"/>
        </w:rPr>
        <w:t>的，</w:t>
      </w:r>
      <w:r>
        <w:rPr/>
        <w:t>则无须受上述一百八十天的限制。</w:t>
      </w:r>
    </w:p>
    <w:p>
      <w:pPr>
        <w:pStyle w:val="BodyText"/>
        <w:spacing w:before="55"/>
        <w:ind w:left="101"/>
      </w:pPr>
      <w:r>
        <w:rPr/>
        <w:t>二、重大疾病康复保险金</w:t>
      </w:r>
    </w:p>
    <w:p>
      <w:pPr>
        <w:pStyle w:val="BodyText"/>
        <w:spacing w:line="309" w:lineRule="auto" w:before="76"/>
        <w:ind w:left="101" w:right="105"/>
        <w:jc w:val="both"/>
      </w:pPr>
      <w:r>
        <w:rPr/>
        <w:t>如果被保险人在本附加合同生效日或最后复效日（以较迟者为准）起一百八十天后，首次发病并经医生确诊</w:t>
      </w:r>
      <w:r>
        <w:rPr>
          <w:spacing w:val="-1"/>
        </w:rPr>
        <w:t>初次患有本附加合同内所界定的重大疾病中的任何一种疾病，我们将按 </w:t>
      </w:r>
      <w:r>
        <w:rPr>
          <w:rFonts w:ascii="Times New Roman" w:eastAsia="Times New Roman"/>
        </w:rPr>
        <w:t>30%</w:t>
      </w:r>
      <w:r>
        <w:rPr>
          <w:spacing w:val="-1"/>
        </w:rPr>
        <w:t>的基本保险金额给付重大疾病康复保险金。</w:t>
      </w:r>
    </w:p>
    <w:p>
      <w:pPr>
        <w:pStyle w:val="BodyText"/>
        <w:spacing w:line="316" w:lineRule="auto" w:before="24"/>
        <w:ind w:left="101" w:right="1229"/>
      </w:pPr>
      <w:r>
        <w:rPr/>
        <w:t>如果该重大疾病是由于被保险人遭受意外伤害事故引起的，则无须受上述一百八十天的限制。在我们给付以上两项保险金后，本附加合同及其主合同终止。</w:t>
      </w:r>
    </w:p>
    <w:p>
      <w:pPr>
        <w:pStyle w:val="Heading1"/>
        <w:spacing w:before="138"/>
        <w:jc w:val="both"/>
      </w:pPr>
      <w:bookmarkStart w:name="_TOC_250014" w:id="6"/>
      <w:bookmarkEnd w:id="6"/>
      <w:r>
        <w:rPr/>
        <w:t>第 八 条  责 任 免 除</w:t>
      </w:r>
    </w:p>
    <w:p>
      <w:pPr>
        <w:pStyle w:val="BodyText"/>
        <w:spacing w:before="12"/>
        <w:ind w:left="0"/>
        <w:rPr>
          <w:b/>
          <w:sz w:val="14"/>
        </w:rPr>
      </w:pPr>
    </w:p>
    <w:p>
      <w:pPr>
        <w:spacing w:before="0"/>
        <w:ind w:left="101" w:right="0" w:firstLine="0"/>
        <w:jc w:val="both"/>
        <w:rPr>
          <w:b/>
          <w:sz w:val="18"/>
        </w:rPr>
      </w:pPr>
      <w:r>
        <w:rPr>
          <w:b/>
          <w:w w:val="95"/>
          <w:sz w:val="18"/>
        </w:rPr>
        <w:t>请您注意，下列情形的发生将导致我们重大疾病保险金、重大疾病康复保险金责任的免除：</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09" w:firstLine="0"/>
        <w:jc w:val="center"/>
        <w:rPr>
          <w:b/>
          <w:sz w:val="12"/>
        </w:rPr>
      </w:pPr>
      <w:r>
        <w:rPr>
          <w:b/>
          <w:sz w:val="12"/>
        </w:rPr>
        <w:t>释义 7</w:t>
      </w:r>
    </w:p>
    <w:p>
      <w:pPr>
        <w:pStyle w:val="Heading1"/>
        <w:spacing w:line="196" w:lineRule="exact"/>
        <w:jc w:val="both"/>
      </w:pPr>
      <w:r>
        <w:rPr/>
        <w:t>（</w:t>
      </w:r>
      <w:r>
        <w:rPr>
          <w:rFonts w:ascii="Times New Roman" w:eastAsia="Times New Roman"/>
        </w:rPr>
        <w:t>3</w:t>
      </w:r>
      <w:r>
        <w:rPr/>
        <w:t>）被保险人主动服用、吸食或注射毒品   ；</w:t>
      </w:r>
    </w:p>
    <w:p>
      <w:pPr>
        <w:tabs>
          <w:tab w:pos="2313" w:val="left" w:leader="none"/>
          <w:tab w:pos="4295" w:val="left" w:leader="none"/>
        </w:tabs>
        <w:spacing w:line="103" w:lineRule="exact" w:before="13"/>
        <w:ind w:left="0" w:right="38" w:firstLine="0"/>
        <w:jc w:val="center"/>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2"/>
          <w:sz w:val="12"/>
        </w:rPr>
        <w:t> </w:t>
      </w:r>
      <w:r>
        <w:rPr>
          <w:b/>
          <w:sz w:val="12"/>
        </w:rPr>
        <w:t>10</w:t>
      </w:r>
    </w:p>
    <w:p>
      <w:pPr>
        <w:pStyle w:val="Heading1"/>
        <w:spacing w:line="196" w:lineRule="exact"/>
        <w:jc w:val="both"/>
      </w:pPr>
      <w:r>
        <w:rPr/>
        <w:t>（</w:t>
      </w:r>
      <w:r>
        <w:rPr>
          <w:rFonts w:ascii="Times New Roman" w:eastAsia="Times New Roman"/>
        </w:rPr>
        <w:t>4</w:t>
      </w:r>
      <w:r>
        <w:rPr/>
        <w:t>）被保险人酒后驾驶   、无合法有效驾驶证驾驶   或驾驶无有效行驶证    的机动交通工具；</w:t>
      </w:r>
    </w:p>
    <w:p>
      <w:pPr>
        <w:tabs>
          <w:tab w:pos="4615" w:val="left" w:leader="none"/>
        </w:tabs>
        <w:spacing w:line="103" w:lineRule="exact" w:before="13"/>
        <w:ind w:left="1992" w:right="0" w:firstLine="0"/>
        <w:jc w:val="left"/>
        <w:rPr>
          <w:b/>
          <w:sz w:val="12"/>
        </w:rPr>
      </w:pPr>
      <w:r>
        <w:rPr>
          <w:b/>
          <w:sz w:val="12"/>
        </w:rPr>
        <w:t>释义</w:t>
      </w:r>
      <w:r>
        <w:rPr>
          <w:b/>
          <w:spacing w:val="-31"/>
          <w:sz w:val="12"/>
        </w:rPr>
        <w:t> </w:t>
      </w:r>
      <w:r>
        <w:rPr>
          <w:b/>
          <w:sz w:val="12"/>
        </w:rPr>
        <w:t>11</w:t>
        <w:tab/>
        <w:t>释义</w:t>
      </w:r>
      <w:r>
        <w:rPr>
          <w:b/>
          <w:spacing w:val="-32"/>
          <w:sz w:val="12"/>
        </w:rPr>
        <w:t> </w:t>
      </w:r>
      <w:r>
        <w:rPr>
          <w:b/>
          <w:sz w:val="12"/>
        </w:rPr>
        <w:t>12</w:t>
      </w:r>
    </w:p>
    <w:p>
      <w:pPr>
        <w:pStyle w:val="Heading1"/>
        <w:spacing w:line="196" w:lineRule="exact"/>
        <w:jc w:val="both"/>
      </w:pPr>
      <w:r>
        <w:rPr>
          <w:spacing w:val="1"/>
          <w:w w:val="99"/>
        </w:rPr>
        <w:t>（</w:t>
      </w:r>
      <w:r>
        <w:rPr>
          <w:rFonts w:ascii="Times New Roman" w:eastAsia="Times New Roman"/>
          <w:spacing w:val="-2"/>
          <w:w w:val="100"/>
        </w:rPr>
        <w:t>5</w:t>
      </w:r>
      <w:r>
        <w:rPr>
          <w:spacing w:val="-1"/>
          <w:w w:val="99"/>
        </w:rPr>
        <w:t>）</w:t>
      </w:r>
      <w:r>
        <w:rPr>
          <w:w w:val="99"/>
        </w:rPr>
        <w:t>被保险人患艾滋病</w:t>
      </w:r>
      <w:r>
        <w:rPr>
          <w:spacing w:val="5"/>
        </w:rPr>
        <w:t>    </w:t>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呈阳性</w:t>
      </w:r>
      <w:r>
        <w:rPr>
          <w:spacing w:val="-92"/>
          <w:w w:val="99"/>
        </w:rPr>
        <w:t>）</w:t>
      </w:r>
      <w:r>
        <w:rPr>
          <w:w w:val="99"/>
        </w:rPr>
        <w:t>；</w:t>
      </w:r>
    </w:p>
    <w:p>
      <w:pPr>
        <w:spacing w:before="41"/>
        <w:ind w:left="101" w:right="0" w:firstLine="0"/>
        <w:jc w:val="both"/>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20" w:firstLine="0"/>
        <w:jc w:val="center"/>
        <w:rPr>
          <w:b/>
          <w:sz w:val="12"/>
        </w:rPr>
      </w:pPr>
      <w:r>
        <w:rPr>
          <w:b/>
          <w:sz w:val="12"/>
        </w:rPr>
        <w:t>释义</w:t>
      </w:r>
      <w:r>
        <w:rPr>
          <w:b/>
          <w:spacing w:val="-31"/>
          <w:sz w:val="12"/>
        </w:rPr>
        <w:t> </w:t>
      </w:r>
      <w:r>
        <w:rPr>
          <w:b/>
          <w:sz w:val="12"/>
        </w:rPr>
        <w:t>13</w:t>
        <w:tab/>
        <w:t>释义</w:t>
      </w:r>
      <w:r>
        <w:rPr>
          <w:b/>
          <w:spacing w:val="-32"/>
          <w:sz w:val="12"/>
        </w:rPr>
        <w:t> </w:t>
      </w:r>
      <w:r>
        <w:rPr>
          <w:b/>
          <w:sz w:val="12"/>
        </w:rPr>
        <w:t>14</w:t>
      </w:r>
    </w:p>
    <w:p>
      <w:pPr>
        <w:pStyle w:val="Heading1"/>
        <w:spacing w:line="196" w:lineRule="exact"/>
        <w:jc w:val="both"/>
      </w:pPr>
      <w:r>
        <w:rPr/>
        <w:t>（</w:t>
      </w:r>
      <w:r>
        <w:rPr>
          <w:rFonts w:ascii="Times New Roman" w:eastAsia="Times New Roman"/>
        </w:rPr>
        <w:t>8</w:t>
      </w:r>
      <w:r>
        <w:rPr/>
        <w:t>）遗传性疾病    ，先天性畸形、变形或染色体异常    。</w:t>
      </w:r>
    </w:p>
    <w:p>
      <w:pPr>
        <w:pStyle w:val="BodyText"/>
        <w:spacing w:line="307" w:lineRule="auto" w:before="41"/>
        <w:ind w:left="101" w:right="1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1"/>
        <w:ind w:left="0"/>
      </w:pPr>
    </w:p>
    <w:p>
      <w:pPr>
        <w:pStyle w:val="Heading1"/>
        <w:tabs>
          <w:tab w:pos="4440" w:val="left" w:leader="none"/>
        </w:tabs>
        <w:ind w:left="2640"/>
      </w:pPr>
      <w:bookmarkStart w:name="_TOC_250013"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361" w:val="left" w:leader="none"/>
        </w:tabs>
      </w:pPr>
      <w:bookmarkStart w:name="_TOC_250012" w:id="8"/>
      <w:r>
        <w:rPr/>
        <w:t>第九条</w:t>
        <w:tab/>
      </w:r>
      <w:bookmarkEnd w:id="8"/>
      <w:r>
        <w:rPr>
          <w:w w:val="95"/>
        </w:rPr>
        <w:t>受益人的指定和变更</w:t>
      </w:r>
    </w:p>
    <w:p>
      <w:pPr>
        <w:pStyle w:val="BodyText"/>
        <w:spacing w:before="12"/>
        <w:ind w:left="0"/>
        <w:rPr>
          <w:b/>
          <w:sz w:val="14"/>
        </w:rPr>
      </w:pPr>
    </w:p>
    <w:p>
      <w:pPr>
        <w:tabs>
          <w:tab w:pos="1361" w:val="left" w:leader="none"/>
        </w:tabs>
        <w:spacing w:line="439" w:lineRule="auto" w:before="0"/>
        <w:ind w:left="101" w:right="3388" w:firstLine="0"/>
        <w:jc w:val="left"/>
        <w:rPr>
          <w:b/>
          <w:sz w:val="18"/>
        </w:rPr>
      </w:pPr>
      <w:r>
        <w:rPr>
          <w:sz w:val="18"/>
        </w:rPr>
        <w:t>重大疾病保险金、重大疾病康复保险金的受益人为被保险人本人。</w:t>
      </w:r>
      <w:r>
        <w:rPr>
          <w:b/>
          <w:sz w:val="18"/>
        </w:rPr>
        <w:t>第十条</w:t>
        <w:tab/>
      </w:r>
      <w:r>
        <w:rPr>
          <w:b/>
          <w:w w:val="95"/>
          <w:sz w:val="18"/>
        </w:rPr>
        <w:t>申请资料</w:t>
      </w:r>
    </w:p>
    <w:p>
      <w:pPr>
        <w:pStyle w:val="BodyText"/>
        <w:spacing w:line="316" w:lineRule="auto" w:before="46"/>
        <w:ind w:left="101" w:right="110"/>
      </w:pPr>
      <w:r>
        <w:rPr/>
        <w:t>在符合保险责任有关规定的条件下，由重大疾病保险金、重大疾病康复保险金的受益人作为申请人填写申请书，并凭下列证明、资料的原件向我们申请相应的保险金：</w:t>
      </w:r>
    </w:p>
    <w:p>
      <w:pPr>
        <w:pStyle w:val="BodyText"/>
        <w:spacing w:before="18"/>
        <w:ind w:left="101"/>
        <w:jc w:val="both"/>
      </w:pPr>
      <w:r>
        <w:rPr/>
        <w:t>（</w:t>
      </w:r>
      <w:r>
        <w:rPr>
          <w:rFonts w:ascii="Times New Roman" w:eastAsia="Times New Roman"/>
        </w:rPr>
        <w:t>1</w:t>
      </w:r>
      <w:r>
        <w:rPr/>
        <w:t>）申请书；</w:t>
      </w:r>
    </w:p>
    <w:p>
      <w:pPr>
        <w:pStyle w:val="BodyText"/>
        <w:spacing w:before="62"/>
        <w:ind w:left="101"/>
        <w:jc w:val="both"/>
      </w:pPr>
      <w:r>
        <w:rPr/>
        <w:t>（</w:t>
      </w:r>
      <w:r>
        <w:rPr>
          <w:rFonts w:ascii="Times New Roman" w:eastAsia="Times New Roman"/>
        </w:rPr>
        <w:t>2</w:t>
      </w:r>
      <w:r>
        <w:rPr/>
        <w:t>）保险合同；</w:t>
      </w:r>
    </w:p>
    <w:p>
      <w:pPr>
        <w:pStyle w:val="BodyText"/>
        <w:spacing w:before="62"/>
        <w:ind w:left="101"/>
        <w:jc w:val="both"/>
      </w:pPr>
      <w:r>
        <w:rPr/>
        <w:t>（</w:t>
      </w:r>
      <w:r>
        <w:rPr>
          <w:rFonts w:ascii="Times New Roman" w:eastAsia="Times New Roman"/>
        </w:rPr>
        <w:t>3</w:t>
      </w:r>
      <w:r>
        <w:rPr/>
        <w:t>）受益人户籍证明及身份证明；</w:t>
      </w:r>
    </w:p>
    <w:p>
      <w:pPr>
        <w:spacing w:line="103" w:lineRule="exact" w:before="34"/>
        <w:ind w:left="0" w:right="3575" w:firstLine="0"/>
        <w:jc w:val="center"/>
        <w:rPr>
          <w:b/>
          <w:sz w:val="12"/>
        </w:rPr>
      </w:pPr>
      <w:r>
        <w:rPr>
          <w:b/>
          <w:sz w:val="12"/>
        </w:rPr>
        <w:t>释义 15</w:t>
      </w:r>
    </w:p>
    <w:p>
      <w:pPr>
        <w:spacing w:line="196" w:lineRule="exact" w:before="0"/>
        <w:ind w:left="101" w:right="0" w:firstLine="0"/>
        <w:jc w:val="both"/>
        <w:rPr>
          <w:sz w:val="18"/>
        </w:rPr>
      </w:pPr>
      <w:r>
        <w:rPr>
          <w:sz w:val="18"/>
        </w:rPr>
        <w:t>（</w:t>
      </w:r>
      <w:r>
        <w:rPr>
          <w:rFonts w:ascii="Times New Roman" w:eastAsia="Times New Roman"/>
          <w:sz w:val="18"/>
        </w:rPr>
        <w:t>4</w:t>
      </w:r>
      <w:r>
        <w:rPr>
          <w:sz w:val="18"/>
        </w:rPr>
        <w:t>）</w:t>
      </w:r>
      <w:r>
        <w:rPr>
          <w:b/>
          <w:sz w:val="18"/>
        </w:rPr>
        <w:t>我们指定或认可的医院     </w:t>
      </w:r>
      <w:r>
        <w:rPr>
          <w:sz w:val="18"/>
        </w:rPr>
        <w:t>出具的附有被保险人完整病历、病理、血液及其它科学方法检验报告的诊</w:t>
      </w:r>
    </w:p>
    <w:p>
      <w:pPr>
        <w:pStyle w:val="BodyText"/>
        <w:spacing w:before="41"/>
        <w:ind w:left="101"/>
        <w:jc w:val="both"/>
      </w:pPr>
      <w:r>
        <w:rPr/>
        <w:t>断证明文件；</w:t>
      </w:r>
    </w:p>
    <w:p>
      <w:pPr>
        <w:spacing w:line="103" w:lineRule="exact" w:before="48"/>
        <w:ind w:left="2712" w:right="0" w:firstLine="0"/>
        <w:jc w:val="left"/>
        <w:rPr>
          <w:b/>
          <w:sz w:val="12"/>
        </w:rPr>
      </w:pPr>
      <w:r>
        <w:rPr>
          <w:b/>
          <w:sz w:val="12"/>
        </w:rPr>
        <w:t>释义 17</w:t>
      </w:r>
    </w:p>
    <w:p>
      <w:pPr>
        <w:spacing w:line="196" w:lineRule="exact" w:before="0"/>
        <w:ind w:left="101" w:right="0" w:firstLine="0"/>
        <w:jc w:val="both"/>
        <w:rPr>
          <w:sz w:val="18"/>
        </w:rPr>
      </w:pPr>
      <w:r>
        <w:rPr>
          <w:sz w:val="18"/>
        </w:rPr>
        <w:t>（</w:t>
      </w:r>
      <w:r>
        <w:rPr>
          <w:rFonts w:ascii="Times New Roman" w:eastAsia="Times New Roman"/>
          <w:sz w:val="18"/>
        </w:rPr>
        <w:t>5</w:t>
      </w:r>
      <w:r>
        <w:rPr>
          <w:sz w:val="18"/>
        </w:rPr>
        <w:t>）所能提供的与确认</w:t>
      </w:r>
      <w:r>
        <w:rPr>
          <w:b/>
          <w:sz w:val="18"/>
        </w:rPr>
        <w:t>保险事故    </w:t>
      </w:r>
      <w:r>
        <w:rPr>
          <w:sz w:val="18"/>
        </w:rPr>
        <w:t>的性质、原因等有关的其他证明和资料。</w:t>
      </w:r>
    </w:p>
    <w:p>
      <w:pPr>
        <w:pStyle w:val="BodyText"/>
        <w:tabs>
          <w:tab w:pos="1361" w:val="left" w:leader="none"/>
        </w:tabs>
        <w:spacing w:line="439" w:lineRule="auto" w:before="41"/>
        <w:ind w:left="101" w:right="15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left="101" w:right="108"/>
      </w:pPr>
      <w:r>
        <w:rPr/>
        <w:t>被保险人或受益人向我们请求给付保险金的诉讼时效期间为二年，自其知道或者应当知道保险事故发生之日起计算。</w:t>
      </w:r>
    </w:p>
    <w:p>
      <w:pPr>
        <w:spacing w:after="0" w:line="316" w:lineRule="auto"/>
        <w:sectPr>
          <w:pgSz w:w="11960" w:h="16850"/>
          <w:pgMar w:header="0" w:footer="1001" w:top="1600" w:bottom="1200" w:left="1600" w:right="1640"/>
        </w:sectPr>
      </w:pPr>
    </w:p>
    <w:p>
      <w:pPr>
        <w:pStyle w:val="Heading1"/>
        <w:tabs>
          <w:tab w:pos="4620" w:val="left" w:leader="none"/>
        </w:tabs>
        <w:spacing w:before="112"/>
        <w:ind w:left="2820"/>
      </w:pPr>
      <w:bookmarkStart w:name="_TOC_250011" w:id="9"/>
      <w:r>
        <w:rPr/>
        <w:t>第四部分</w:t>
        <w:tab/>
      </w:r>
      <w:bookmarkEnd w:id="9"/>
      <w:r>
        <w:rPr>
          <w:w w:val="95"/>
        </w:rPr>
        <w:t>如何交纳保险费</w:t>
      </w:r>
    </w:p>
    <w:p>
      <w:pPr>
        <w:pStyle w:val="BodyText"/>
        <w:spacing w:before="12"/>
        <w:ind w:left="0"/>
        <w:rPr>
          <w:b/>
          <w:sz w:val="29"/>
        </w:rPr>
      </w:pPr>
    </w:p>
    <w:p>
      <w:pPr>
        <w:pStyle w:val="Heading1"/>
        <w:tabs>
          <w:tab w:pos="1361" w:val="left" w:leader="none"/>
        </w:tabs>
        <w:spacing w:before="45"/>
      </w:pPr>
      <w:bookmarkStart w:name="_TOC_250010" w:id="10"/>
      <w:r>
        <w:rPr/>
        <w:t>第十二条</w:t>
        <w:tab/>
      </w:r>
      <w:bookmarkEnd w:id="10"/>
      <w:r>
        <w:rPr>
          <w:w w:val="95"/>
        </w:rPr>
        <w:t>保险费的交纳</w:t>
      </w:r>
    </w:p>
    <w:p>
      <w:pPr>
        <w:pStyle w:val="BodyText"/>
        <w:ind w:left="0"/>
        <w:rPr>
          <w:b/>
          <w:sz w:val="15"/>
        </w:rPr>
      </w:pPr>
    </w:p>
    <w:p>
      <w:pPr>
        <w:pStyle w:val="BodyText"/>
        <w:spacing w:line="316" w:lineRule="auto"/>
        <w:ind w:left="101" w:right="2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8"/>
      </w:pPr>
      <w:bookmarkStart w:name="_TOC_250009" w:id="11"/>
      <w:r>
        <w:rPr/>
        <w:t>第十三条</w:t>
        <w:tab/>
      </w:r>
      <w:bookmarkEnd w:id="11"/>
      <w:r>
        <w:rPr>
          <w:w w:val="95"/>
        </w:rPr>
        <w:t>保险费率的调整</w:t>
      </w:r>
    </w:p>
    <w:p>
      <w:pPr>
        <w:pStyle w:val="BodyText"/>
        <w:spacing w:before="12"/>
        <w:ind w:left="0"/>
        <w:rPr>
          <w:b/>
          <w:sz w:val="14"/>
        </w:rPr>
      </w:pPr>
    </w:p>
    <w:p>
      <w:pPr>
        <w:pStyle w:val="BodyText"/>
        <w:spacing w:line="316" w:lineRule="auto"/>
        <w:ind w:left="10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106" w:firstLine="0"/>
        <w:jc w:val="center"/>
        <w:rPr>
          <w:b/>
          <w:sz w:val="12"/>
        </w:rPr>
      </w:pPr>
      <w:r>
        <w:rPr>
          <w:b/>
          <w:sz w:val="12"/>
        </w:rPr>
        <w:t>释义 18</w:t>
      </w:r>
    </w:p>
    <w:p>
      <w:pPr>
        <w:spacing w:line="182" w:lineRule="exact" w:before="0"/>
        <w:ind w:left="101" w:right="0" w:firstLine="0"/>
        <w:jc w:val="both"/>
        <w:rPr>
          <w:sz w:val="18"/>
        </w:rPr>
      </w:pPr>
      <w:r>
        <w:rPr>
          <w:sz w:val="18"/>
        </w:rPr>
        <w:t>我们进行保险费率调整后，您须自调整后的第一个</w:t>
      </w:r>
      <w:r>
        <w:rPr>
          <w:b/>
          <w:sz w:val="18"/>
        </w:rPr>
        <w:t>保险合同周年日    </w:t>
      </w:r>
      <w:r>
        <w:rPr>
          <w:sz w:val="18"/>
        </w:rPr>
        <w:t>起，按照调整后的保险费率交纳本附</w:t>
      </w:r>
    </w:p>
    <w:p>
      <w:pPr>
        <w:pStyle w:val="BodyText"/>
        <w:spacing w:before="54"/>
        <w:ind w:left="101"/>
        <w:jc w:val="both"/>
      </w:pPr>
      <w:r>
        <w:rPr/>
        <w:t>加合同相应的保险费。</w:t>
      </w:r>
    </w:p>
    <w:p>
      <w:pPr>
        <w:pStyle w:val="BodyText"/>
        <w:spacing w:before="2"/>
        <w:ind w:left="0"/>
        <w:rPr>
          <w:sz w:val="24"/>
        </w:rPr>
      </w:pPr>
    </w:p>
    <w:p>
      <w:pPr>
        <w:pStyle w:val="Heading1"/>
        <w:tabs>
          <w:tab w:pos="1799" w:val="left" w:leader="none"/>
        </w:tabs>
        <w:ind w:left="0" w:right="106"/>
        <w:jc w:val="center"/>
      </w:pPr>
      <w:bookmarkStart w:name="_TOC_250008"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jc w:val="both"/>
      </w:pPr>
      <w:bookmarkStart w:name="_TOC_250007" w:id="13"/>
      <w:bookmarkEnd w:id="13"/>
      <w:r>
        <w:rPr/>
        <w:t>第十四条     现金价值</w:t>
      </w:r>
    </w:p>
    <w:p>
      <w:pPr>
        <w:pStyle w:val="BodyText"/>
        <w:spacing w:before="10"/>
        <w:ind w:left="0"/>
        <w:rPr>
          <w:b/>
          <w:sz w:val="12"/>
        </w:rPr>
      </w:pPr>
    </w:p>
    <w:p>
      <w:pPr>
        <w:spacing w:line="103" w:lineRule="exact" w:before="0"/>
        <w:ind w:left="1979" w:right="106" w:firstLine="0"/>
        <w:jc w:val="center"/>
        <w:rPr>
          <w:b/>
          <w:sz w:val="12"/>
        </w:rPr>
      </w:pPr>
      <w:r>
        <w:rPr>
          <w:b/>
          <w:sz w:val="12"/>
        </w:rPr>
        <w:t>释义 19</w:t>
      </w:r>
    </w:p>
    <w:p>
      <w:pPr>
        <w:pStyle w:val="BodyText"/>
        <w:spacing w:line="182" w:lineRule="exact"/>
        <w:ind w:left="101"/>
        <w:jc w:val="both"/>
      </w:pPr>
      <w:r>
        <w:rPr/>
        <w:t>我们会在保险单或批注上载明本附加合同保单年度末的</w:t>
      </w:r>
      <w:r>
        <w:rPr>
          <w:b/>
        </w:rPr>
        <w:t>现金价值    </w:t>
      </w:r>
      <w:r>
        <w:rPr/>
        <w:t>。现金价值可能因为其他条款的约定发</w:t>
      </w:r>
    </w:p>
    <w:p>
      <w:pPr>
        <w:tabs>
          <w:tab w:pos="1361" w:val="left" w:leader="none"/>
        </w:tabs>
        <w:spacing w:line="439" w:lineRule="auto" w:before="55"/>
        <w:ind w:left="10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01"/>
        <w:jc w:val="both"/>
      </w:pPr>
      <w:r>
        <w:rPr/>
        <w:t>减额交清保险不适用于本附加合同。</w:t>
      </w:r>
    </w:p>
    <w:p>
      <w:pPr>
        <w:pStyle w:val="BodyText"/>
        <w:spacing w:before="1"/>
        <w:ind w:left="0"/>
        <w:rPr>
          <w:sz w:val="24"/>
        </w:rPr>
      </w:pPr>
    </w:p>
    <w:p>
      <w:pPr>
        <w:pStyle w:val="Heading1"/>
        <w:tabs>
          <w:tab w:pos="1799" w:val="left" w:leader="none"/>
        </w:tabs>
        <w:ind w:left="0" w:right="106"/>
        <w:jc w:val="center"/>
      </w:pPr>
      <w:bookmarkStart w:name="_TOC_250006" w:id="14"/>
      <w:r>
        <w:rPr/>
        <w:t>第六部分</w:t>
        <w:tab/>
      </w:r>
      <w:bookmarkEnd w:id="14"/>
      <w:r>
        <w:rPr>
          <w:w w:val="95"/>
        </w:rPr>
        <w:t>合同效力的终止</w:t>
      </w:r>
    </w:p>
    <w:p>
      <w:pPr>
        <w:pStyle w:val="BodyText"/>
        <w:ind w:left="0"/>
        <w:rPr>
          <w:b/>
        </w:rPr>
      </w:pPr>
    </w:p>
    <w:p>
      <w:pPr>
        <w:pStyle w:val="BodyText"/>
        <w:spacing w:before="3"/>
        <w:ind w:left="0"/>
        <w:rPr>
          <w:b/>
          <w:sz w:val="15"/>
        </w:rPr>
      </w:pPr>
    </w:p>
    <w:p>
      <w:pPr>
        <w:pStyle w:val="Heading1"/>
        <w:spacing w:before="1"/>
        <w:jc w:val="both"/>
      </w:pPr>
      <w:bookmarkStart w:name="_TOC_250005" w:id="15"/>
      <w:bookmarkEnd w:id="15"/>
      <w:r>
        <w:rPr/>
        <w:t>第十六条     您主动解除合同的权利</w:t>
      </w:r>
    </w:p>
    <w:p>
      <w:pPr>
        <w:pStyle w:val="BodyText"/>
        <w:ind w:left="0"/>
        <w:rPr>
          <w:b/>
          <w:sz w:val="15"/>
        </w:rPr>
      </w:pPr>
    </w:p>
    <w:p>
      <w:pPr>
        <w:pStyle w:val="BodyText"/>
        <w:ind w:left="101"/>
        <w:jc w:val="both"/>
      </w:pPr>
      <w:r>
        <w:rPr/>
        <w:t>本附加合同生效后，您可以书面通知我们要求解除本附加合同，并应提供下列证明和资料：</w:t>
      </w:r>
    </w:p>
    <w:p>
      <w:pPr>
        <w:pStyle w:val="BodyText"/>
        <w:spacing w:before="76"/>
        <w:ind w:left="101"/>
        <w:jc w:val="both"/>
      </w:pPr>
      <w:r>
        <w:rPr/>
        <w:t>（</w:t>
      </w:r>
      <w:r>
        <w:rPr>
          <w:rFonts w:ascii="Times New Roman" w:eastAsia="Times New Roman"/>
        </w:rPr>
        <w:t>1</w:t>
      </w:r>
      <w:r>
        <w:rPr/>
        <w:t>）保险合同终止申请书；</w:t>
      </w:r>
    </w:p>
    <w:p>
      <w:pPr>
        <w:pStyle w:val="BodyText"/>
        <w:spacing w:before="62"/>
        <w:ind w:left="101"/>
        <w:jc w:val="both"/>
      </w:pPr>
      <w:r>
        <w:rPr/>
        <w:t>（</w:t>
      </w:r>
      <w:r>
        <w:rPr>
          <w:rFonts w:ascii="Times New Roman" w:eastAsia="Times New Roman"/>
        </w:rPr>
        <w:t>2</w:t>
      </w:r>
      <w:r>
        <w:rPr/>
        <w:t>）保险合同原件；</w:t>
      </w:r>
    </w:p>
    <w:p>
      <w:pPr>
        <w:pStyle w:val="BodyText"/>
        <w:spacing w:before="62"/>
        <w:ind w:left="101"/>
        <w:jc w:val="both"/>
      </w:pPr>
      <w:r>
        <w:rPr/>
        <w:t>（</w:t>
      </w:r>
      <w:r>
        <w:rPr>
          <w:rFonts w:ascii="Times New Roman" w:eastAsia="Times New Roman"/>
        </w:rPr>
        <w:t>3</w:t>
      </w:r>
      <w:r>
        <w:rPr/>
        <w:t>）您的身份证明复印件。</w:t>
      </w:r>
    </w:p>
    <w:p>
      <w:pPr>
        <w:pStyle w:val="BodyText"/>
        <w:spacing w:line="316" w:lineRule="auto" w:before="62"/>
        <w:ind w:left="10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8"/>
        <w:ind w:left="10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01"/>
        <w:jc w:val="both"/>
      </w:pPr>
      <w:r>
        <w:rPr/>
        <w:t>本附加合同发生下列情况之一时将会自动终止：</w:t>
      </w:r>
    </w:p>
    <w:p>
      <w:pPr>
        <w:pStyle w:val="BodyText"/>
        <w:spacing w:before="76"/>
        <w:ind w:left="101"/>
        <w:jc w:val="both"/>
      </w:pPr>
      <w:r>
        <w:rPr/>
        <w:t>（</w:t>
      </w:r>
      <w:r>
        <w:rPr>
          <w:rFonts w:ascii="Times New Roman" w:eastAsia="Times New Roman"/>
        </w:rPr>
        <w:t>1</w:t>
      </w:r>
      <w:r>
        <w:rPr/>
        <w:t>）主合同被撤销、解除，或发生其他效力终止的情况；</w:t>
      </w:r>
    </w:p>
    <w:p>
      <w:pPr>
        <w:pStyle w:val="BodyText"/>
        <w:spacing w:before="62"/>
        <w:ind w:left="101"/>
        <w:jc w:val="both"/>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104"/>
        <w:jc w:val="center"/>
      </w:pPr>
      <w:bookmarkStart w:name="_TOC_250004" w:id="16"/>
      <w:r>
        <w:rPr/>
        <w:t>第七部分</w:t>
        <w:tab/>
      </w:r>
      <w:bookmarkEnd w:id="16"/>
      <w:r>
        <w:rPr>
          <w:w w:val="95"/>
        </w:rPr>
        <w:t>您必须了解的其他事项</w:t>
      </w:r>
    </w:p>
    <w:p>
      <w:pPr>
        <w:spacing w:after="0"/>
        <w:jc w:val="center"/>
        <w:sectPr>
          <w:pgSz w:w="11960" w:h="16850"/>
          <w:pgMar w:header="0" w:footer="1001" w:top="1600" w:bottom="1200" w:left="1600" w:right="1540"/>
        </w:sectPr>
      </w:pPr>
    </w:p>
    <w:p>
      <w:pPr>
        <w:pStyle w:val="Heading1"/>
        <w:tabs>
          <w:tab w:pos="1361" w:val="left" w:leader="none"/>
        </w:tabs>
        <w:spacing w:before="112"/>
      </w:pPr>
      <w:bookmarkStart w:name="_TOC_250003" w:id="17"/>
      <w:r>
        <w:rPr/>
        <w:t>第十八条</w:t>
        <w:tab/>
      </w:r>
      <w:bookmarkEnd w:id="17"/>
      <w:r>
        <w:rPr>
          <w:w w:val="95"/>
        </w:rPr>
        <w:t>明确说明与如实告知</w:t>
      </w:r>
    </w:p>
    <w:p>
      <w:pPr>
        <w:pStyle w:val="BodyText"/>
        <w:ind w:left="0"/>
        <w:rPr>
          <w:b/>
          <w:sz w:val="15"/>
        </w:rPr>
      </w:pPr>
    </w:p>
    <w:p>
      <w:pPr>
        <w:pStyle w:val="BodyText"/>
        <w:spacing w:line="316" w:lineRule="auto"/>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208"/>
      </w:pPr>
      <w:r>
        <w:rPr/>
        <w:t>您故意或者因重大过失未履行前款规定的如实告知义务，足以影响我们决定是否同意承保或者提高保险费率的，我们有权解除本附加合同。</w:t>
      </w:r>
    </w:p>
    <w:p>
      <w:pPr>
        <w:pStyle w:val="BodyText"/>
        <w:spacing w:line="316" w:lineRule="auto" w:before="19"/>
        <w:ind w:left="101" w:right="210"/>
      </w:pPr>
      <w:r>
        <w:rPr/>
        <w:t>您故意不履行如实告知义务，我们对于本附加合同解除前发生的保险事故，不承担赔偿或者给付保险金的责任，并不退还保险费。</w:t>
      </w:r>
    </w:p>
    <w:p>
      <w:pPr>
        <w:pStyle w:val="BodyText"/>
        <w:spacing w:line="316" w:lineRule="auto" w:before="19"/>
        <w:ind w:left="10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361" w:val="left" w:leader="none"/>
        </w:tabs>
        <w:spacing w:before="139"/>
      </w:pPr>
      <w:bookmarkStart w:name="_TOC_250002" w:id="18"/>
      <w:r>
        <w:rPr/>
        <w:t>第十九条</w:t>
        <w:tab/>
      </w:r>
      <w:bookmarkEnd w:id="18"/>
      <w:r>
        <w:rPr>
          <w:w w:val="95"/>
        </w:rPr>
        <w:t>本公司合同解除权的限制</w:t>
      </w:r>
    </w:p>
    <w:p>
      <w:pPr>
        <w:pStyle w:val="BodyText"/>
        <w:ind w:left="0"/>
        <w:rPr>
          <w:b/>
          <w:sz w:val="15"/>
        </w:rPr>
      </w:pPr>
    </w:p>
    <w:p>
      <w:pPr>
        <w:pStyle w:val="BodyText"/>
        <w:spacing w:line="300" w:lineRule="auto"/>
        <w:ind w:left="10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208"/>
      </w:pPr>
      <w:r>
        <w:rPr/>
        <w:t>我们在合同订立时已经知道您未如实告知的情况的，我们不得解除合同；发生保险事故的，我们承担给付保险金的责任。</w:t>
      </w:r>
    </w:p>
    <w:p>
      <w:pPr>
        <w:pStyle w:val="Heading1"/>
        <w:tabs>
          <w:tab w:pos="1361" w:val="left" w:leader="none"/>
        </w:tabs>
        <w:spacing w:before="138"/>
      </w:pPr>
      <w:bookmarkStart w:name="_TOC_250001" w:id="19"/>
      <w:r>
        <w:rPr/>
        <w:t>第二十条</w:t>
        <w:tab/>
      </w:r>
      <w:bookmarkEnd w:id="19"/>
      <w:r>
        <w:rPr>
          <w:w w:val="95"/>
        </w:rPr>
        <w:t>未还款项</w:t>
      </w:r>
    </w:p>
    <w:p>
      <w:pPr>
        <w:pStyle w:val="BodyText"/>
        <w:spacing w:before="12"/>
        <w:ind w:left="0"/>
        <w:rPr>
          <w:b/>
          <w:sz w:val="14"/>
        </w:rPr>
      </w:pPr>
    </w:p>
    <w:p>
      <w:pPr>
        <w:pStyle w:val="BodyText"/>
        <w:spacing w:line="316" w:lineRule="auto"/>
        <w:ind w:left="10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ind w:left="0"/>
        <w:rPr>
          <w:sz w:val="19"/>
        </w:rPr>
      </w:pPr>
    </w:p>
    <w:p>
      <w:pPr>
        <w:pStyle w:val="Heading1"/>
        <w:tabs>
          <w:tab w:pos="5071" w:val="left" w:leader="none"/>
        </w:tabs>
        <w:ind w:left="3271"/>
      </w:pPr>
      <w:bookmarkStart w:name="_TOC_250000" w:id="20"/>
      <w:r>
        <w:rPr/>
        <w:t>第八部分</w:t>
        <w:tab/>
      </w:r>
      <w:bookmarkEnd w:id="20"/>
      <w:r>
        <w:rPr>
          <w:w w:val="95"/>
        </w:rPr>
        <w:t>释义</w:t>
      </w:r>
    </w:p>
    <w:p>
      <w:pPr>
        <w:pStyle w:val="BodyText"/>
        <w:spacing w:before="2"/>
        <w:ind w:left="0"/>
        <w:rPr>
          <w:b/>
          <w:sz w:val="21"/>
        </w:rPr>
      </w:pPr>
    </w:p>
    <w:p>
      <w:pPr>
        <w:pStyle w:val="BodyText"/>
        <w:tabs>
          <w:tab w:pos="2340" w:val="left" w:leader="none"/>
        </w:tabs>
        <w:ind w:left="101"/>
      </w:pPr>
      <w:r>
        <w:rPr/>
        <w:t>释义</w:t>
      </w:r>
      <w:r>
        <w:rPr>
          <w:spacing w:val="-45"/>
        </w:rPr>
        <w:t> </w:t>
      </w:r>
      <w:r>
        <w:rPr/>
        <w:t>1、周岁</w:t>
        <w:tab/>
        <w:t>:</w:t>
      </w:r>
      <w:r>
        <w:rPr>
          <w:spacing w:val="17"/>
        </w:rPr>
        <w:t> </w:t>
      </w:r>
      <w:r>
        <w:rPr/>
        <w:t>以法定身份证明文件中记载的出生日期为计算基础计算的年龄。</w:t>
      </w:r>
    </w:p>
    <w:p>
      <w:pPr>
        <w:pStyle w:val="BodyText"/>
        <w:spacing w:line="237" w:lineRule="auto" w:before="6"/>
        <w:ind w:right="14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40" w:val="left" w:leader="none"/>
        </w:tabs>
        <w:spacing w:line="237" w:lineRule="auto" w:before="2"/>
        <w:ind w:right="191" w:hanging="2439"/>
      </w:pPr>
      <w:r>
        <w:rPr/>
        <w:t>释义</w:t>
      </w:r>
      <w:r>
        <w:rPr>
          <w:spacing w:val="-45"/>
        </w:rPr>
        <w:t> </w:t>
      </w:r>
      <w:r>
        <w:rPr/>
        <w:t>3、发病</w:t>
        <w:tab/>
        <w:t>:</w:t>
      </w:r>
      <w:r>
        <w:rPr>
          <w:spacing w:val="17"/>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37" w:lineRule="auto" w:before="2"/>
        <w:ind w:right="191" w:hanging="2439"/>
      </w:pPr>
      <w:r>
        <w:rPr/>
        <w:t>释义</w:t>
      </w:r>
      <w:r>
        <w:rPr>
          <w:spacing w:val="-45"/>
        </w:rPr>
        <w:t> </w:t>
      </w:r>
      <w:r>
        <w:rPr/>
        <w:t>4、医生</w:t>
        <w:tab/>
        <w:t>:</w:t>
      </w:r>
      <w:r>
        <w:rPr>
          <w:spacing w:val="17"/>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spacing w:line="237" w:lineRule="auto" w:before="2"/>
        <w:ind w:right="149" w:hanging="2439"/>
      </w:pPr>
      <w:r>
        <w:rPr/>
        <w:t>释义 5、所有已交的保险费 : 是指以本附加合同的基本保险金额为基础计算的，截至我们给付保险金时，本附加合同及其主合同下所有应交已交的保险费总额。</w:t>
      </w:r>
    </w:p>
    <w:p>
      <w:pPr>
        <w:pStyle w:val="BodyText"/>
        <w:tabs>
          <w:tab w:pos="2340" w:val="left" w:leader="none"/>
        </w:tabs>
        <w:spacing w:line="237" w:lineRule="auto" w:before="2"/>
        <w:ind w:right="188" w:hanging="2439"/>
      </w:pPr>
      <w:r>
        <w:rPr/>
        <w:t>释义</w:t>
      </w:r>
      <w:r>
        <w:rPr>
          <w:spacing w:val="-45"/>
        </w:rPr>
        <w:t> </w:t>
      </w:r>
      <w:r>
        <w:rPr/>
        <w:t>6、意外伤害事故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7" w:lineRule="auto" w:before="2"/>
        <w:ind w:right="189" w:hanging="2439"/>
        <w:jc w:val="both"/>
      </w:pPr>
      <w:r>
        <w:rPr/>
        <w:t>释义</w:t>
      </w:r>
      <w:r>
        <w:rPr>
          <w:spacing w:val="-45"/>
        </w:rPr>
        <w:t> </w:t>
      </w:r>
      <w:r>
        <w:rPr/>
        <w:t>7、毒品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2"/>
        <w:ind w:right="189" w:hanging="2439"/>
        <w:jc w:val="both"/>
      </w:pPr>
      <w:r>
        <w:rPr>
          <w:spacing w:val="-16"/>
        </w:rPr>
        <w:t>释义 </w:t>
      </w:r>
      <w:r>
        <w:rPr/>
        <w:t>8</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ind w:left="101"/>
      </w:pPr>
      <w:r>
        <w:rPr/>
        <w:t>释义 9、无合法有效驾驶证驾: 指下列情形之一：</w:t>
      </w:r>
    </w:p>
    <w:p>
      <w:pPr>
        <w:pStyle w:val="BodyText"/>
        <w:tabs>
          <w:tab w:pos="2539" w:val="left" w:leader="none"/>
        </w:tabs>
        <w:spacing w:line="234" w:lineRule="exact"/>
        <w:ind w:left="101"/>
      </w:pPr>
      <w:r>
        <w:rPr/>
        <w:t>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pPr>
      <w:r>
        <w:rPr/>
        <w:t>5、持学习驾驶证学习驾车时，无教练员随车指导，或不按指定时间、路线学</w:t>
      </w:r>
    </w:p>
    <w:p>
      <w:pPr>
        <w:spacing w:after="0"/>
        <w:sectPr>
          <w:pgSz w:w="11960" w:h="16850"/>
          <w:pgMar w:header="0" w:footer="1001" w:top="1600" w:bottom="1200" w:left="1600" w:right="1540"/>
        </w:sectPr>
      </w:pPr>
    </w:p>
    <w:p>
      <w:pPr>
        <w:pStyle w:val="BodyText"/>
        <w:spacing w:line="234" w:lineRule="exact" w:before="73"/>
      </w:pPr>
      <w:r>
        <w:rPr/>
        <w:t>习驾车；</w:t>
      </w:r>
    </w:p>
    <w:p>
      <w:pPr>
        <w:pStyle w:val="BodyText"/>
        <w:tabs>
          <w:tab w:pos="2340" w:val="left" w:leader="none"/>
        </w:tabs>
        <w:ind w:left="101" w:right="1499" w:firstLine="2438"/>
      </w:pPr>
      <w:r>
        <w:rPr/>
        <w:t>6、公安交通管理部门规定的其他无有效驾驶证驾驶的情况。释义</w:t>
      </w:r>
      <w:r>
        <w:rPr>
          <w:spacing w:val="-45"/>
        </w:rPr>
        <w:t> </w:t>
      </w:r>
      <w:r>
        <w:rPr/>
        <w:t>10、无有效行驶证</w:t>
        <w:tab/>
        <w:t>:</w:t>
      </w:r>
      <w:r>
        <w:rPr>
          <w:spacing w:val="17"/>
        </w:rPr>
        <w:t> </w:t>
      </w:r>
      <w:r>
        <w:rPr/>
        <w:t>指下列情形之一：</w:t>
      </w:r>
    </w:p>
    <w:p>
      <w:pPr>
        <w:pStyle w:val="BodyText"/>
        <w:spacing w:line="233" w:lineRule="exact" w:before="2"/>
      </w:pPr>
      <w:r>
        <w:rPr/>
        <w:t>1、机动车被依法注销登记的；</w:t>
      </w:r>
    </w:p>
    <w:p>
      <w:pPr>
        <w:pStyle w:val="BodyText"/>
        <w:spacing w:line="234" w:lineRule="exact"/>
      </w:pPr>
      <w:r>
        <w:rPr/>
        <w:t>2、未依法按时进行或通过机动车安全技术检验。</w:t>
      </w:r>
    </w:p>
    <w:p>
      <w:pPr>
        <w:pStyle w:val="BodyText"/>
        <w:tabs>
          <w:tab w:pos="2340" w:val="left" w:leader="none"/>
        </w:tabs>
        <w:spacing w:line="244" w:lineRule="auto"/>
        <w:ind w:left="101" w:right="282"/>
      </w:pPr>
      <w:r>
        <w:rPr/>
        <w:t>释义</w:t>
      </w:r>
      <w:r>
        <w:rPr>
          <w:spacing w:val="-45"/>
        </w:rPr>
        <w:t> </w:t>
      </w:r>
      <w:r>
        <w:rPr/>
        <w:t>11、艾滋病</w:t>
        <w:tab/>
        <w:t>:</w:t>
      </w:r>
      <w:r>
        <w:rPr>
          <w:spacing w:val="17"/>
        </w:rPr>
        <w:t> </w:t>
      </w:r>
      <w:r>
        <w:rPr/>
        <w:t>指人类免疫缺陷病毒引起的获得性免疫缺陷综合征简称，英文缩写为</w:t>
      </w:r>
      <w:r>
        <w:rPr>
          <w:spacing w:val="-46"/>
        </w:rPr>
        <w:t> </w:t>
      </w:r>
      <w:r>
        <w:rPr/>
        <w:t>AIDS。释义</w:t>
      </w:r>
      <w:r>
        <w:rPr>
          <w:spacing w:val="-45"/>
        </w:rPr>
        <w:t> </w:t>
      </w:r>
      <w:r>
        <w:rPr/>
        <w:t>12、艾滋病病毒</w:t>
        <w:tab/>
        <w:t>:</w:t>
      </w:r>
      <w:r>
        <w:rPr>
          <w:spacing w:val="18"/>
        </w:rPr>
        <w:t> </w:t>
      </w:r>
      <w:r>
        <w:rPr/>
        <w:t>指人类免疫缺陷病毒,英文缩写为</w:t>
      </w:r>
      <w:r>
        <w:rPr>
          <w:spacing w:val="-45"/>
        </w:rPr>
        <w:t> </w:t>
      </w:r>
      <w:r>
        <w:rPr/>
        <w:t>HIV。</w:t>
      </w:r>
    </w:p>
    <w:p>
      <w:pPr>
        <w:pStyle w:val="BodyText"/>
        <w:tabs>
          <w:tab w:pos="2340" w:val="left" w:leader="none"/>
        </w:tabs>
        <w:spacing w:before="2"/>
        <w:ind w:right="191" w:hanging="2439"/>
      </w:pPr>
      <w:r>
        <w:rPr/>
        <w:t>释义</w:t>
      </w:r>
      <w:r>
        <w:rPr>
          <w:spacing w:val="-45"/>
        </w:rPr>
        <w:t> </w:t>
      </w:r>
      <w:r>
        <w:rPr/>
        <w:t>13、遗传性疾病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3" w:lineRule="exact"/>
        <w:ind w:left="101"/>
      </w:pPr>
      <w:r>
        <w:rPr/>
        <w:t>释义 14、先天性畸形、变形: 指被保险人出生时就具有的畸形、变形或染色体异常。先天性畸形、变形和染</w:t>
      </w:r>
    </w:p>
    <w:p>
      <w:pPr>
        <w:spacing w:after="0" w:line="233" w:lineRule="exact"/>
        <w:sectPr>
          <w:pgSz w:w="11960" w:h="16850"/>
          <w:pgMar w:header="0" w:footer="1001" w:top="1600" w:bottom="1200" w:left="1600" w:right="1540"/>
        </w:sectPr>
      </w:pPr>
    </w:p>
    <w:p>
      <w:pPr>
        <w:pStyle w:val="BodyText"/>
        <w:ind w:left="101"/>
      </w:pPr>
      <w:r>
        <w:rPr/>
        <w:t>或染色体异常</w:t>
      </w:r>
    </w:p>
    <w:p>
      <w:pPr>
        <w:pStyle w:val="BodyText"/>
        <w:spacing w:line="237" w:lineRule="auto" w:before="2"/>
        <w:ind w:left="101" w:right="279"/>
      </w:pPr>
      <w:r>
        <w:rPr/>
        <w:br w:type="column"/>
      </w:r>
      <w:r>
        <w:rPr>
          <w:spacing w:val="-7"/>
        </w:rPr>
        <w:t>色体异常依照世界卫生组织《疾病和有关健康问题的国际统计分类》</w:t>
      </w:r>
      <w:r>
        <w:rPr/>
        <w:t>（ICD-10 </w:t>
      </w:r>
      <w:r>
        <w:rPr>
          <w:spacing w:val="-1"/>
        </w:rPr>
        <w:t>确定。</w:t>
      </w:r>
    </w:p>
    <w:p>
      <w:pPr>
        <w:spacing w:after="0" w:line="237" w:lineRule="auto"/>
        <w:sectPr>
          <w:type w:val="continuous"/>
          <w:pgSz w:w="11960" w:h="16850"/>
          <w:pgMar w:top="280" w:bottom="1200" w:left="1600" w:right="1540"/>
          <w:cols w:num="2" w:equalWidth="0">
            <w:col w:w="1182" w:space="1256"/>
            <w:col w:w="6382"/>
          </w:cols>
        </w:sectPr>
      </w:pPr>
    </w:p>
    <w:p>
      <w:pPr>
        <w:pStyle w:val="BodyText"/>
        <w:spacing w:line="235" w:lineRule="exact"/>
        <w:ind w:left="101"/>
      </w:pPr>
      <w:r>
        <w:rPr/>
        <w:t>释义 15、我们指定或认可的: 1、我们将在批注中列明指定的医院名单，并保留对上述医院名单做出调整的</w:t>
      </w:r>
    </w:p>
    <w:p>
      <w:pPr>
        <w:pStyle w:val="BodyText"/>
        <w:tabs>
          <w:tab w:pos="2539" w:val="left" w:leader="none"/>
        </w:tabs>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ind w:right="189"/>
      </w:pPr>
      <w:r>
        <w:rPr/>
        <w:t>2、我们指定的医院均指医院本院，不包括所属的指导或教学医院分院、社区医疗服务点、外设门诊部及合作医院。</w:t>
      </w:r>
    </w:p>
    <w:p>
      <w:pPr>
        <w:pStyle w:val="BodyText"/>
        <w:ind w:right="189"/>
      </w:pPr>
      <w:r>
        <w:rPr/>
        <w:t>3、如果被保险人因紧急情况需要就近抢救，可不受我们指定医院的限制，但病情稳定后应转入我们指定的医院。</w:t>
      </w:r>
    </w:p>
    <w:p>
      <w:pPr>
        <w:pStyle w:val="BodyText"/>
        <w:ind w:right="189"/>
      </w:pPr>
      <w:r>
        <w:rPr/>
        <w:t>4、如果被保险人在批注中列明医院所在地以外的地区就诊，须选择我们认可的医院。其标准须符合本附加合同中对“医院”的释义。</w:t>
      </w:r>
    </w:p>
    <w:p>
      <w:pPr>
        <w:pStyle w:val="BodyText"/>
        <w:ind w:right="191"/>
      </w:pPr>
      <w:r>
        <w:rPr/>
        <w:t>5、如果本保险合同中无指定医院名单批注，被保险人就诊须选择我们认可的医院。其标准须符合本附加合同中对“医院”的释义。</w:t>
      </w:r>
    </w:p>
    <w:p>
      <w:pPr>
        <w:pStyle w:val="BodyText"/>
        <w:tabs>
          <w:tab w:pos="2340" w:val="left" w:leader="none"/>
        </w:tabs>
        <w:spacing w:line="237" w:lineRule="auto" w:before="2"/>
        <w:ind w:right="191" w:hanging="2439"/>
      </w:pPr>
      <w:r>
        <w:rPr/>
        <w:t>释义</w:t>
      </w:r>
      <w:r>
        <w:rPr>
          <w:spacing w:val="-45"/>
        </w:rPr>
        <w:t> </w:t>
      </w:r>
      <w:r>
        <w:rPr/>
        <w:t>16、医院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44" w:lineRule="auto"/>
        <w:ind w:left="101" w:right="2490"/>
      </w:pPr>
      <w:r>
        <w:rPr/>
        <w:t>释义</w:t>
      </w:r>
      <w:r>
        <w:rPr>
          <w:spacing w:val="-45"/>
        </w:rPr>
        <w:t> </w:t>
      </w:r>
      <w:r>
        <w:rPr/>
        <w:t>17、保险事故</w:t>
        <w:tab/>
        <w:t>:</w:t>
      </w:r>
      <w:r>
        <w:rPr>
          <w:spacing w:val="17"/>
        </w:rPr>
        <w:t> </w:t>
      </w:r>
      <w:r>
        <w:rPr/>
        <w:t>是指本附加合同约定的保险责任范围内的事故。释义</w:t>
      </w:r>
      <w:r>
        <w:rPr>
          <w:spacing w:val="-45"/>
        </w:rPr>
        <w:t> </w:t>
      </w:r>
      <w:r>
        <w:rPr/>
        <w:t>18、保险合同周年日</w:t>
        <w:tab/>
        <w:t>:</w:t>
      </w:r>
      <w:r>
        <w:rPr>
          <w:spacing w:val="17"/>
        </w:rPr>
        <w:t> </w:t>
      </w:r>
      <w:r>
        <w:rPr/>
        <w:t>是指主合同生效日起的周年日期。</w:t>
      </w:r>
    </w:p>
    <w:p>
      <w:pPr>
        <w:pStyle w:val="BodyText"/>
        <w:tabs>
          <w:tab w:pos="2340" w:val="left" w:leader="none"/>
        </w:tabs>
        <w:spacing w:before="4"/>
        <w:ind w:right="189" w:hanging="2439"/>
      </w:pPr>
      <w:r>
        <w:rPr/>
        <w:t>释义</w:t>
      </w:r>
      <w:r>
        <w:rPr>
          <w:spacing w:val="-45"/>
        </w:rPr>
        <w:t> </w:t>
      </w:r>
      <w:r>
        <w:rPr/>
        <w:t>19、现金价值</w:t>
        <w:tab/>
        <w:t>:</w:t>
      </w:r>
      <w:r>
        <w:rPr>
          <w:spacing w:val="20"/>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ind w:left="101" w:right="186"/>
      </w:pPr>
      <w:r>
        <w:rPr/>
        <w:t>重大疾病是指下列任何一种疾病，被保险人发生符合以下疾病定义所述条件的疾病，应当由专科医生明确诊断。</w:t>
      </w:r>
    </w:p>
    <w:p>
      <w:pPr>
        <w:pStyle w:val="BodyText"/>
        <w:tabs>
          <w:tab w:pos="2340" w:val="left" w:leader="none"/>
        </w:tabs>
        <w:spacing w:line="237" w:lineRule="auto" w:before="2"/>
        <w:ind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37" w:lineRule="auto" w:before="1"/>
        <w:ind w:right="3928"/>
      </w:pPr>
      <w:r>
        <w:rPr/>
        <w:t>（ICD-10）的恶性肿瘤范畴。下列疾病不在保障范围内：</w:t>
      </w:r>
    </w:p>
    <w:p>
      <w:pPr>
        <w:pStyle w:val="BodyText"/>
        <w:spacing w:line="234"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spacing w:line="234" w:lineRule="exact"/>
      </w:pPr>
      <w:r>
        <w:rPr/>
        <w:t>（6）感染艾滋病病毒或患艾滋病期间所患恶性肿瘤。</w:t>
      </w:r>
    </w:p>
    <w:p>
      <w:pPr>
        <w:pStyle w:val="BodyText"/>
        <w:tabs>
          <w:tab w:pos="2340" w:val="left" w:leader="none"/>
        </w:tabs>
        <w:spacing w:line="237" w:lineRule="auto" w:before="1"/>
        <w:ind w:right="191" w:hanging="2439"/>
      </w:pPr>
      <w:r>
        <w:rPr/>
        <w:t>2、急性心肌梗塞</w:t>
        <w:tab/>
        <w:t>：</w:t>
      </w:r>
      <w:r>
        <w:rPr>
          <w:spacing w:val="-72"/>
        </w:rPr>
        <w:t> </w:t>
      </w:r>
      <w:r>
        <w:rPr/>
        <w:t>指因冠状动脉阻塞导致的相应区域供血不足造成部分心肌坏死</w:t>
      </w:r>
      <w:r>
        <w:rPr>
          <w:spacing w:val="-41"/>
        </w:rPr>
        <w:t>。</w:t>
      </w:r>
      <w:r>
        <w:rPr/>
        <w:t>须满足下列至</w:t>
      </w:r>
      <w:r>
        <w:rPr>
          <w:spacing w:val="-1"/>
        </w:rPr>
        <w:t>少</w:t>
      </w:r>
      <w:r>
        <w:rPr/>
        <w:t>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1"/>
        <w:ind w:right="189"/>
      </w:pPr>
      <w:r>
        <w:rPr/>
        <w:t>（3）心肌酶或肌钙蛋白有诊断意义的升高，或呈符合急性心肌梗塞的动态性变化；</w:t>
      </w:r>
    </w:p>
    <w:p>
      <w:pPr>
        <w:pStyle w:val="BodyText"/>
        <w:spacing w:line="235" w:lineRule="exact"/>
      </w:pPr>
      <w:r>
        <w:rPr>
          <w:spacing w:val="-10"/>
        </w:rPr>
        <w:t>（4）</w:t>
      </w:r>
      <w:r>
        <w:rPr>
          <w:spacing w:val="-16"/>
        </w:rPr>
        <w:t>发病 </w:t>
      </w:r>
      <w:r>
        <w:rPr/>
        <w:t>90</w:t>
      </w:r>
      <w:r>
        <w:rPr>
          <w:spacing w:val="-13"/>
        </w:rPr>
        <w:t> 天后，经检查证实左心室功能降低，如左心室射血分数低于 </w:t>
      </w:r>
      <w:r>
        <w:rPr/>
        <w:t>50%。</w:t>
      </w:r>
    </w:p>
    <w:p>
      <w:pPr>
        <w:spacing w:after="0" w:line="235" w:lineRule="exact"/>
        <w:sectPr>
          <w:type w:val="continuous"/>
          <w:pgSz w:w="11960" w:h="16850"/>
          <w:pgMar w:top="280" w:bottom="1200" w:left="1600" w:right="1540"/>
        </w:sectPr>
      </w:pPr>
    </w:p>
    <w:p>
      <w:pPr>
        <w:pStyle w:val="BodyText"/>
        <w:spacing w:line="237" w:lineRule="auto" w:before="76"/>
        <w:ind w:right="109" w:hanging="2439"/>
        <w:jc w:val="both"/>
      </w:pPr>
      <w:r>
        <w:rPr/>
        <w:t>3</w:t>
      </w:r>
      <w:r>
        <w:rPr>
          <w:spacing w:val="-4"/>
        </w:rPr>
        <w:t>、脑中风后遗症        ： 指因脑血管的突发病变引起脑血管出血、栓塞或梗塞，并导致神经系统永久性</w:t>
      </w:r>
      <w:r>
        <w:rPr>
          <w:spacing w:val="-9"/>
        </w:rPr>
        <w:t>的功能障碍。神经系统永久性的功能障碍，指疾病确诊 </w:t>
      </w:r>
      <w:r>
        <w:rPr/>
        <w:t>180</w:t>
      </w:r>
      <w:r>
        <w:rPr>
          <w:spacing w:val="-8"/>
        </w:rPr>
        <w:t> 天后，仍遗留下列</w:t>
      </w:r>
      <w:r>
        <w:rPr>
          <w:spacing w:val="-1"/>
        </w:rPr>
        <w:t>一种或一种以上障碍：</w:t>
      </w:r>
    </w:p>
    <w:p>
      <w:pPr>
        <w:pStyle w:val="BodyText"/>
        <w:spacing w:line="233" w:lineRule="exact"/>
      </w:pPr>
      <w:r>
        <w:rPr/>
        <w:t>（1）一肢或一肢以上肢体机能完全丧失；</w:t>
      </w:r>
    </w:p>
    <w:p>
      <w:pPr>
        <w:pStyle w:val="BodyText"/>
        <w:spacing w:line="234" w:lineRule="exact"/>
      </w:pPr>
      <w:r>
        <w:rPr/>
        <w:t>（2）语言能力或咀嚼吞咽能力完全丧失；</w:t>
      </w:r>
    </w:p>
    <w:p>
      <w:pPr>
        <w:pStyle w:val="BodyText"/>
        <w:ind w:right="109"/>
      </w:pPr>
      <w:r>
        <w:rPr/>
        <w:t>（3）自主生活能力完全丧失，无法独立完成六项基本日常生活活动中的三项或三项以上。</w:t>
      </w:r>
    </w:p>
    <w:p>
      <w:pPr>
        <w:pStyle w:val="BodyText"/>
        <w:spacing w:before="56"/>
        <w:ind w:left="101"/>
      </w:pPr>
      <w:r>
        <w:rPr/>
        <w:t>4</w:t>
      </w:r>
      <w:r>
        <w:rPr>
          <w:spacing w:val="-10"/>
        </w:rPr>
        <w:t>、重大器官移植术或造血干： 重大器官移植术，指因相应器官功能衰竭，已经实施了肾脏、肝脏、心脏或肺</w:t>
      </w:r>
    </w:p>
    <w:p>
      <w:pPr>
        <w:spacing w:after="0"/>
        <w:sectPr>
          <w:pgSz w:w="11960" w:h="16850"/>
          <w:pgMar w:header="0" w:footer="1001" w:top="1600" w:bottom="1200" w:left="1600" w:right="1620"/>
        </w:sectPr>
      </w:pPr>
    </w:p>
    <w:p>
      <w:pPr>
        <w:pStyle w:val="BodyText"/>
        <w:spacing w:line="235" w:lineRule="exact"/>
        <w:ind w:left="101"/>
      </w:pPr>
      <w:r>
        <w:rPr/>
        <w:t>细胞移植术</w:t>
      </w:r>
    </w:p>
    <w:p>
      <w:pPr>
        <w:pStyle w:val="BodyText"/>
        <w:spacing w:line="234" w:lineRule="exact"/>
        <w:ind w:left="101"/>
      </w:pPr>
      <w:r>
        <w:rPr/>
        <w:br w:type="column"/>
      </w:r>
      <w:r>
        <w:rPr/>
        <w:t>脏的异体移植手术。</w:t>
      </w:r>
    </w:p>
    <w:p>
      <w:pPr>
        <w:pStyle w:val="BodyText"/>
        <w:spacing w:line="237" w:lineRule="auto" w:before="1"/>
        <w:ind w:left="101" w:right="10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620"/>
          <w:cols w:num="2" w:equalWidth="0">
            <w:col w:w="1002" w:space="1436"/>
            <w:col w:w="6302"/>
          </w:cols>
        </w:sectPr>
      </w:pPr>
    </w:p>
    <w:p>
      <w:pPr>
        <w:pStyle w:val="BodyText"/>
        <w:spacing w:before="95"/>
        <w:ind w:left="101"/>
      </w:pPr>
      <w:r>
        <w:rPr/>
        <w:t>5、冠状动脉搭桥术（或称冠： 指为治疗严重的冠心病，实际实施了开胸进行的冠状动脉血管旁路移植的手</w:t>
      </w:r>
    </w:p>
    <w:p>
      <w:pPr>
        <w:spacing w:after="0"/>
        <w:sectPr>
          <w:type w:val="continuous"/>
          <w:pgSz w:w="11960" w:h="16850"/>
          <w:pgMar w:top="280" w:bottom="1200" w:left="1600" w:right="1620"/>
        </w:sectPr>
      </w:pPr>
    </w:p>
    <w:p>
      <w:pPr>
        <w:pStyle w:val="BodyText"/>
        <w:spacing w:line="232" w:lineRule="exact"/>
        <w:ind w:left="101"/>
      </w:pPr>
      <w:r>
        <w:rPr/>
        <w:t>状动脉旁路移植术）</w:t>
      </w:r>
    </w:p>
    <w:p>
      <w:pPr>
        <w:spacing w:line="232" w:lineRule="exact" w:before="0"/>
        <w:ind w:left="101" w:right="0" w:firstLine="0"/>
        <w:jc w:val="left"/>
        <w:rPr>
          <w:sz w:val="18"/>
        </w:rPr>
      </w:pPr>
      <w:r>
        <w:rPr/>
        <w:br w:type="column"/>
      </w:r>
      <w:r>
        <w:rPr>
          <w:sz w:val="18"/>
        </w:rPr>
        <w:t>术。</w:t>
      </w:r>
    </w:p>
    <w:p>
      <w:pPr>
        <w:pStyle w:val="BodyText"/>
        <w:spacing w:line="237" w:lineRule="auto" w:before="2"/>
        <w:ind w:left="101" w:right="54"/>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600" w:right="1620"/>
          <w:cols w:num="2" w:equalWidth="0">
            <w:col w:w="1722" w:space="716"/>
            <w:col w:w="6302"/>
          </w:cols>
        </w:sectPr>
      </w:pPr>
    </w:p>
    <w:p>
      <w:pPr>
        <w:pStyle w:val="BodyText"/>
        <w:spacing w:before="47"/>
        <w:ind w:left="10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39" w:val="left" w:leader="none"/>
        </w:tabs>
        <w:spacing w:line="235" w:lineRule="exact"/>
        <w:ind w:left="101"/>
      </w:pPr>
      <w:r>
        <w:rPr/>
        <w:t>功能衰竭尿毒症期）</w:t>
        <w:tab/>
      </w:r>
      <w:r>
        <w:rPr>
          <w:spacing w:val="-1"/>
        </w:rPr>
        <w:t>的</w:t>
      </w:r>
      <w:r>
        <w:rPr/>
        <w:t>规律性透析治疗或实施了肾脏移植手术。</w:t>
      </w:r>
    </w:p>
    <w:p>
      <w:pPr>
        <w:pStyle w:val="BodyText"/>
        <w:ind w:right="111" w:hanging="2439"/>
        <w:jc w:val="both"/>
      </w:pPr>
      <w:r>
        <w:rPr/>
        <w:t>7、多个肢体缺失        ： 指因疾病或意外伤害导致两个或两个以上肢体自腕关节或踝关节近端（靠近躯干端）以上完全性断离。</w:t>
      </w:r>
    </w:p>
    <w:p>
      <w:pPr>
        <w:pStyle w:val="BodyText"/>
        <w:spacing w:before="29"/>
        <w:ind w:right="10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pPr>
      <w:r>
        <w:rPr/>
        <w:t>（4）肝功能指标进行性恶化。</w:t>
      </w:r>
    </w:p>
    <w:p>
      <w:pPr>
        <w:pStyle w:val="BodyText"/>
        <w:tabs>
          <w:tab w:pos="2340" w:val="left" w:leader="none"/>
        </w:tabs>
        <w:spacing w:before="5"/>
        <w:ind w:right="10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spacing w:before="47"/>
        <w:ind w:left="101"/>
      </w:pPr>
      <w:r>
        <w:rPr/>
        <w:t>10、慢性肝功能衰竭失代偿： 指因慢性肝脏疾病导致肝功能衰竭。须满足下列全部条件：</w:t>
      </w:r>
    </w:p>
    <w:p>
      <w:pPr>
        <w:pStyle w:val="BodyText"/>
        <w:tabs>
          <w:tab w:pos="2539" w:val="left" w:leader="none"/>
        </w:tabs>
        <w:spacing w:line="233" w:lineRule="exact"/>
        <w:ind w:left="10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ind w:right="1779"/>
      </w:pPr>
      <w:r>
        <w:rPr/>
        <w:t>（4）充血性脾肿大伴脾功能亢进或食管胃底静脉曲张。因酗酒或药物滥用导致的肝功能衰竭不在保障范围内。</w:t>
      </w:r>
    </w:p>
    <w:p>
      <w:pPr>
        <w:pStyle w:val="BodyText"/>
        <w:spacing w:before="8"/>
        <w:ind w:left="101"/>
      </w:pPr>
      <w:r>
        <w:rPr/>
        <w:t>11、脑炎后遗症或脑膜炎后： 指因患脑炎或脑膜炎导致的神经系统永久性的功能障碍。神经系统永久性的功</w:t>
      </w:r>
    </w:p>
    <w:p>
      <w:pPr>
        <w:pStyle w:val="BodyText"/>
        <w:tabs>
          <w:tab w:pos="2539" w:val="left" w:leader="none"/>
        </w:tabs>
        <w:spacing w:line="234" w:lineRule="exact"/>
        <w:ind w:left="10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ind w:right="109"/>
      </w:pPr>
      <w:r>
        <w:rPr/>
        <w:t>（3）自主生活能力完全丧失，无法独立完成六项基本日常生活活动中的三项或三项以上。</w:t>
      </w:r>
    </w:p>
    <w:p>
      <w:pPr>
        <w:pStyle w:val="BodyText"/>
        <w:tabs>
          <w:tab w:pos="2340" w:val="left" w:leader="none"/>
        </w:tabs>
        <w:spacing w:line="237" w:lineRule="auto" w:before="3"/>
        <w:ind w:right="106" w:hanging="2439"/>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40" w:val="left" w:leader="none"/>
        </w:tabs>
        <w:spacing w:line="237" w:lineRule="auto" w:before="52"/>
        <w:ind w:right="106" w:hanging="2439"/>
        <w:jc w:val="both"/>
      </w:pPr>
      <w:r>
        <w:rPr/>
        <w:t>13、双耳失聪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spacing w:after="0" w:line="237" w:lineRule="auto"/>
        <w:jc w:val="both"/>
        <w:sectPr>
          <w:type w:val="continuous"/>
          <w:pgSz w:w="11960" w:h="16850"/>
          <w:pgMar w:top="280" w:bottom="1200" w:left="1600" w:right="1620"/>
        </w:sectPr>
      </w:pPr>
    </w:p>
    <w:p>
      <w:pPr>
        <w:pStyle w:val="BodyText"/>
        <w:tabs>
          <w:tab w:pos="2340" w:val="left" w:leader="none"/>
        </w:tabs>
        <w:spacing w:line="237" w:lineRule="auto" w:before="76"/>
        <w:ind w:right="191" w:hanging="2439"/>
        <w:jc w:val="both"/>
      </w:pPr>
      <w:r>
        <w:rPr/>
        <w:t>14、双目失明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pPr>
      <w:r>
        <w:rPr/>
        <w:t>（1）眼球缺失或摘除；</w:t>
      </w:r>
    </w:p>
    <w:p>
      <w:pPr>
        <w:pStyle w:val="BodyText"/>
        <w:ind w:right="19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before="1"/>
      </w:pPr>
      <w:r>
        <w:rPr/>
        <w:t>（3）视野半径小于 5 度。</w:t>
      </w:r>
    </w:p>
    <w:p>
      <w:pPr>
        <w:pStyle w:val="BodyText"/>
        <w:tabs>
          <w:tab w:pos="2340" w:val="left" w:leader="none"/>
        </w:tabs>
        <w:spacing w:line="237" w:lineRule="auto" w:before="8"/>
        <w:ind w:right="191" w:hanging="2439"/>
        <w:jc w:val="both"/>
      </w:pPr>
      <w:r>
        <w:rPr/>
        <w:t>15、瘫痪</w:t>
        <w:tab/>
        <w:t>：</w:t>
      </w:r>
      <w:r>
        <w:rPr>
          <w:spacing w:val="-73"/>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40" w:val="left" w:leader="none"/>
        </w:tabs>
        <w:spacing w:line="235" w:lineRule="exact"/>
        <w:ind w:left="101"/>
      </w:pPr>
      <w:r>
        <w:rPr/>
        <w:t>16、心脏瓣膜手术</w:t>
        <w:tab/>
        <w:t>：</w:t>
      </w:r>
      <w:r>
        <w:rPr>
          <w:spacing w:val="-74"/>
        </w:rPr>
        <w:t> </w:t>
      </w:r>
      <w:r>
        <w:rPr/>
        <w:t>指为治疗心脏瓣膜疾病，实际实施了开胸进行的心脏瓣膜置换或修复的手术。</w:t>
      </w:r>
    </w:p>
    <w:p>
      <w:pPr>
        <w:pStyle w:val="BodyText"/>
        <w:tabs>
          <w:tab w:pos="2340" w:val="left" w:leader="none"/>
        </w:tabs>
        <w:spacing w:line="237" w:lineRule="auto" w:before="31"/>
        <w:ind w:right="100" w:hanging="2439"/>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tabs>
          <w:tab w:pos="2340" w:val="left" w:leader="none"/>
        </w:tabs>
        <w:spacing w:line="237" w:lineRule="auto" w:before="2"/>
        <w:ind w:right="188" w:hanging="2439"/>
        <w:jc w:val="both"/>
      </w:pPr>
      <w:r>
        <w:rPr/>
        <w:t>18、严重脑损伤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1"/>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189"/>
      </w:pPr>
      <w:r>
        <w:rPr/>
        <w:t>（3）自主生活能力完全丧失，无法独立完成六项基本日常生活活动中的三项或三项以上。</w:t>
      </w:r>
    </w:p>
    <w:p>
      <w:pPr>
        <w:pStyle w:val="BodyText"/>
        <w:spacing w:before="103"/>
        <w:ind w:right="191" w:hanging="2439"/>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3" w:lineRule="exact"/>
      </w:pPr>
      <w:r>
        <w:rPr/>
        <w:t>（1）药物治疗无法控制病情；</w:t>
      </w:r>
    </w:p>
    <w:p>
      <w:pPr>
        <w:pStyle w:val="BodyText"/>
        <w:spacing w:line="237" w:lineRule="auto" w:before="2"/>
        <w:ind w:right="189"/>
      </w:pPr>
      <w:r>
        <w:rPr/>
        <w:t>（2）自主生活能力完全丧失，无法独立完成六项基本日常生活活动中的三项或三项以上。</w:t>
      </w:r>
    </w:p>
    <w:p>
      <w:pPr>
        <w:pStyle w:val="BodyText"/>
        <w:spacing w:line="235" w:lineRule="exact"/>
      </w:pPr>
      <w:r>
        <w:rPr/>
        <w:t>继发性帕金森综合征不在保障范围内。</w:t>
      </w:r>
    </w:p>
    <w:p>
      <w:pPr>
        <w:pStyle w:val="BodyText"/>
        <w:spacing w:line="237" w:lineRule="auto" w:before="7"/>
        <w:ind w:right="277" w:hanging="2439"/>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98"/>
        <w:ind w:right="189" w:hanging="2439"/>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before="124"/>
        <w:ind w:right="150" w:hanging="2439"/>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before="42"/>
        <w:ind w:right="189" w:hanging="2439"/>
        <w:jc w:val="both"/>
      </w:pPr>
      <w:r>
        <w:rPr/>
        <w:t>23</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spacing w:line="237" w:lineRule="auto" w:before="2"/>
        <w:ind w:right="197" w:hanging="2439"/>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4"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02"/>
      </w:pPr>
      <w:r>
        <w:rPr/>
        <w:t>① 中性粒细胞绝对值≤0.5×10</w:t>
      </w:r>
      <w:r>
        <w:rPr>
          <w:position w:val="9"/>
          <w:sz w:val="9"/>
        </w:rPr>
        <w:t>9</w:t>
      </w:r>
      <w:r>
        <w:rPr/>
        <w:t>/L；</w:t>
      </w:r>
    </w:p>
    <w:p>
      <w:pPr>
        <w:pStyle w:val="BodyText"/>
        <w:spacing w:line="234" w:lineRule="exact"/>
        <w:ind w:left="2902"/>
      </w:pPr>
      <w:r>
        <w:rPr/>
        <w:t>② 网织红细胞＜1%；</w:t>
      </w:r>
    </w:p>
    <w:p>
      <w:pPr>
        <w:pStyle w:val="BodyText"/>
        <w:ind w:left="0" w:right="529"/>
        <w:jc w:val="center"/>
      </w:pPr>
      <w:r>
        <w:rPr/>
        <w:t>③ 血小板绝对值≤20×10</w:t>
      </w:r>
      <w:r>
        <w:rPr>
          <w:position w:val="9"/>
          <w:sz w:val="9"/>
        </w:rPr>
        <w:t>9</w:t>
      </w:r>
      <w:r>
        <w:rPr/>
        <w:t>/L。</w:t>
      </w:r>
    </w:p>
    <w:p>
      <w:pPr>
        <w:pStyle w:val="BodyText"/>
        <w:tabs>
          <w:tab w:pos="2340" w:val="left" w:leader="none"/>
        </w:tabs>
        <w:spacing w:line="237" w:lineRule="auto" w:before="65"/>
        <w:ind w:right="188" w:hanging="2439"/>
        <w:jc w:val="both"/>
      </w:pPr>
      <w:r>
        <w:rPr/>
        <w:t>25、主动脉手术</w:t>
        <w:tab/>
        <w:t>：</w:t>
      </w:r>
      <w:r>
        <w:rPr>
          <w:spacing w:val="-73"/>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spacing w:after="0" w:line="233" w:lineRule="exact"/>
        <w:sectPr>
          <w:pgSz w:w="11960" w:h="16850"/>
          <w:pgMar w:header="0" w:footer="1001" w:top="1600" w:bottom="1200" w:left="1600" w:right="1540"/>
        </w:sectPr>
      </w:pPr>
    </w:p>
    <w:p>
      <w:pPr>
        <w:pStyle w:val="BodyText"/>
        <w:spacing w:line="237" w:lineRule="auto" w:before="76"/>
        <w:ind w:left="101" w:right="147"/>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before="93"/>
        <w:ind w:right="149" w:hanging="2439"/>
        <w:jc w:val="both"/>
      </w:pPr>
      <w:r>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3" w:lineRule="exact"/>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spacing w:line="234" w:lineRule="exact"/>
      </w:pPr>
      <w:r>
        <w:rPr/>
        <w:t>d.休息时出现呼吸困难。</w:t>
      </w:r>
    </w:p>
    <w:p>
      <w:pPr>
        <w:pStyle w:val="BodyText"/>
        <w:tabs>
          <w:tab w:pos="2539" w:val="left" w:leader="none"/>
        </w:tabs>
        <w:spacing w:line="237" w:lineRule="auto"/>
        <w:ind w:right="149" w:hanging="2439"/>
        <w:jc w:val="both"/>
      </w:pPr>
      <w:r>
        <w:rPr/>
        <w:t>27、多发性硬化症</w:t>
        <w:tab/>
      </w:r>
      <w:r>
        <w:rPr>
          <w:spacing w:val="-1"/>
        </w:rPr>
        <w:t>多发</w:t>
      </w:r>
      <w:r>
        <w:rPr/>
        <w:t>性硬化症为中枢神经系统白质多灶性脱髓鞘病变</w:t>
      </w:r>
      <w:r>
        <w:rPr>
          <w:spacing w:val="-20"/>
        </w:rPr>
        <w:t>，</w:t>
      </w:r>
      <w:r>
        <w:rPr/>
        <w:t>病变有时累及灰质</w:t>
      </w:r>
      <w:r>
        <w:rPr>
          <w:spacing w:val="-20"/>
        </w:rPr>
        <w:t>。</w:t>
      </w:r>
      <w:r>
        <w:rPr/>
        <w:t>多发性硬化症必须由我们认可的医院的神经专科医生确诊</w:t>
      </w:r>
      <w:r>
        <w:rPr>
          <w:spacing w:val="-41"/>
        </w:rPr>
        <w:t>。</w:t>
      </w:r>
      <w:r>
        <w:rPr/>
        <w:t>必须伴有典型的脱髓鞘症状和运动及感觉功能障碍的证据并有</w:t>
      </w:r>
      <w:r>
        <w:rPr>
          <w:spacing w:val="-21"/>
        </w:rPr>
        <w:t> </w:t>
      </w:r>
      <w:r>
        <w:rPr/>
        <w:t>MRI</w:t>
      </w:r>
      <w:r>
        <w:rPr>
          <w:spacing w:val="-19"/>
        </w:rPr>
        <w:t> </w:t>
      </w:r>
      <w:r>
        <w:rPr/>
        <w:t>和脑脊液检</w:t>
      </w:r>
      <w:r>
        <w:rPr>
          <w:spacing w:val="-3"/>
        </w:rPr>
        <w:t>查</w:t>
      </w:r>
      <w:r>
        <w:rPr/>
        <w:t>的典型改变。</w:t>
      </w:r>
      <w:r>
        <w:rPr>
          <w:spacing w:val="0"/>
        </w:rPr>
        <w:t> </w:t>
      </w:r>
      <w:r>
        <w:rPr/>
        <w:t>多</w:t>
      </w:r>
      <w:r>
        <w:rPr>
          <w:spacing w:val="2"/>
        </w:rPr>
        <w:t>发性硬化症必须</w:t>
      </w:r>
      <w:r>
        <w:rPr/>
        <w:t>造</w:t>
      </w:r>
      <w:r>
        <w:rPr>
          <w:spacing w:val="2"/>
        </w:rPr>
        <w:t>成神经系</w:t>
      </w:r>
      <w:r>
        <w:rPr/>
        <w:t>统</w:t>
      </w:r>
      <w:r>
        <w:rPr>
          <w:spacing w:val="2"/>
        </w:rPr>
        <w:t>永久性功能损害</w:t>
      </w:r>
      <w:r>
        <w:rPr/>
        <w:t>并</w:t>
      </w:r>
      <w:r>
        <w:rPr>
          <w:spacing w:val="2"/>
        </w:rPr>
        <w:t>且已导致</w:t>
      </w:r>
      <w:r>
        <w:rPr/>
        <w:t>被</w:t>
      </w:r>
      <w:r>
        <w:rPr>
          <w:spacing w:val="2"/>
        </w:rPr>
        <w:t>保险人自主生</w:t>
      </w:r>
      <w:r>
        <w:rPr/>
        <w:t>活能力完全丧失</w:t>
      </w:r>
      <w:r>
        <w:rPr>
          <w:spacing w:val="-41"/>
        </w:rPr>
        <w:t>，</w:t>
      </w:r>
      <w:r>
        <w:rPr/>
        <w:t>无法独立完成六项基本日常生活活动中的三项或三项以上持续达</w:t>
      </w:r>
      <w:r>
        <w:rPr>
          <w:spacing w:val="-46"/>
        </w:rPr>
        <w:t> </w:t>
      </w:r>
      <w:r>
        <w:rPr/>
        <w:t>180</w:t>
      </w:r>
      <w:r>
        <w:rPr>
          <w:spacing w:val="-45"/>
        </w:rPr>
        <w:t> </w:t>
      </w:r>
      <w:r>
        <w:rPr/>
        <w:t>天以上。</w:t>
      </w:r>
    </w:p>
    <w:p>
      <w:pPr>
        <w:pStyle w:val="BodyText"/>
        <w:tabs>
          <w:tab w:pos="2539" w:val="left" w:leader="none"/>
        </w:tabs>
        <w:spacing w:before="32"/>
        <w:ind w:right="151" w:hanging="2439"/>
        <w:jc w:val="both"/>
      </w:pPr>
      <w:r>
        <w:rPr/>
        <w:t>28、肌营养不良症</w:t>
        <w:tab/>
      </w:r>
      <w:r>
        <w:rPr>
          <w:spacing w:val="-1"/>
        </w:rPr>
        <w:t>肌营</w:t>
      </w:r>
      <w:r>
        <w:rPr/>
        <w:t>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33" w:lineRule="exact"/>
      </w:pPr>
      <w:r>
        <w:rPr/>
        <w:t>（1）肌电图显示典型肌营养不良症的阳性改变；</w:t>
      </w:r>
    </w:p>
    <w:p>
      <w:pPr>
        <w:pStyle w:val="BodyText"/>
        <w:spacing w:line="234" w:lineRule="exact"/>
      </w:pPr>
      <w:r>
        <w:rPr/>
        <w:t>（2）血清肌酸磷酸激酶（CPK）升高</w:t>
      </w:r>
    </w:p>
    <w:p>
      <w:pPr>
        <w:pStyle w:val="BodyText"/>
        <w:ind w:right="149"/>
      </w:pPr>
      <w:r>
        <w:rPr/>
        <w:t>（3）肌肉活检的病理学诊断符合肌营养不良症的肌肉细胞变性、坏死等阳性改变。</w:t>
      </w:r>
    </w:p>
    <w:p>
      <w:pPr>
        <w:pStyle w:val="BodyText"/>
        <w:ind w:right="111"/>
      </w:pPr>
      <w:r>
        <w:rPr/>
        <w:t>（4）疾病确诊 180 天以后，被保险人仍完全丧失独立生活能力，无法独立完成六项基本日常生活活动中的三项或三项以上</w:t>
      </w:r>
    </w:p>
    <w:p>
      <w:pPr>
        <w:pStyle w:val="BodyText"/>
        <w:spacing w:before="55"/>
        <w:ind w:left="101"/>
      </w:pPr>
      <w:r>
        <w:rPr/>
        <w:t>29、经输血导致的艾滋病病： 被保险人感染上人类免疫缺陷病毒（HIV）并且符合下列所有条件：</w:t>
      </w:r>
    </w:p>
    <w:p>
      <w:pPr>
        <w:spacing w:after="0"/>
        <w:sectPr>
          <w:pgSz w:w="11960" w:h="16850"/>
          <w:pgMar w:header="0" w:footer="1001" w:top="1600" w:bottom="1200" w:left="1600" w:right="1580"/>
        </w:sectPr>
      </w:pPr>
    </w:p>
    <w:p>
      <w:pPr>
        <w:pStyle w:val="BodyText"/>
        <w:spacing w:line="235" w:lineRule="exact"/>
        <w:ind w:left="101"/>
      </w:pPr>
      <w:r>
        <w:rPr/>
        <w:t>毒感染</w:t>
      </w:r>
    </w:p>
    <w:p>
      <w:pPr>
        <w:pStyle w:val="BodyText"/>
        <w:spacing w:line="237" w:lineRule="auto" w:before="1"/>
        <w:ind w:left="101" w:right="103"/>
      </w:pPr>
      <w:r>
        <w:rPr/>
        <w:br w:type="column"/>
      </w:r>
      <w:r>
        <w:rPr/>
        <w:t>1.在保障起始日或复效日之后，被保险人因治疗必需而接受输血，并且因输血而感染 HIV；</w:t>
      </w:r>
    </w:p>
    <w:p>
      <w:pPr>
        <w:pStyle w:val="BodyText"/>
        <w:spacing w:line="237" w:lineRule="auto" w:before="1"/>
        <w:ind w:left="101" w:right="110"/>
      </w:pPr>
      <w:r>
        <w:rPr/>
        <w:t>2.提供输血治疗的输血中心或医院出具该项输血感染属医疗责任事故的报告， 或者法院终审判决为医疗责任；</w:t>
      </w:r>
    </w:p>
    <w:p>
      <w:pPr>
        <w:pStyle w:val="ListParagraph"/>
        <w:numPr>
          <w:ilvl w:val="0"/>
          <w:numId w:val="1"/>
        </w:numPr>
        <w:tabs>
          <w:tab w:pos="376" w:val="left" w:leader="none"/>
        </w:tabs>
        <w:spacing w:line="234" w:lineRule="exact" w:before="0" w:after="0"/>
        <w:ind w:left="375" w:right="0" w:hanging="274"/>
        <w:jc w:val="left"/>
        <w:rPr>
          <w:sz w:val="18"/>
        </w:rPr>
      </w:pPr>
      <w:r>
        <w:rPr>
          <w:spacing w:val="-2"/>
          <w:sz w:val="18"/>
        </w:rPr>
        <w:t>提供输血治疗的输血中心或医院必须拥有合法经营执照；</w:t>
      </w:r>
    </w:p>
    <w:p>
      <w:pPr>
        <w:pStyle w:val="ListParagraph"/>
        <w:numPr>
          <w:ilvl w:val="0"/>
          <w:numId w:val="1"/>
        </w:numPr>
        <w:tabs>
          <w:tab w:pos="376" w:val="left" w:leader="none"/>
        </w:tabs>
        <w:spacing w:line="234" w:lineRule="exact" w:before="0" w:after="0"/>
        <w:ind w:left="375" w:right="0" w:hanging="274"/>
        <w:jc w:val="left"/>
        <w:rPr>
          <w:sz w:val="18"/>
        </w:rPr>
      </w:pPr>
      <w:r>
        <w:rPr>
          <w:spacing w:val="-2"/>
          <w:sz w:val="18"/>
        </w:rPr>
        <w:t>受感染的被保险人不是血友病患者；</w:t>
      </w:r>
    </w:p>
    <w:p>
      <w:pPr>
        <w:pStyle w:val="BodyText"/>
        <w:spacing w:line="237" w:lineRule="auto" w:before="1"/>
        <w:ind w:left="101" w:right="146"/>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line="237" w:lineRule="auto"/>
        <w:sectPr>
          <w:type w:val="continuous"/>
          <w:pgSz w:w="11960" w:h="16850"/>
          <w:pgMar w:top="280" w:bottom="1200" w:left="1600" w:right="1580"/>
          <w:cols w:num="2" w:equalWidth="0">
            <w:col w:w="642" w:space="1796"/>
            <w:col w:w="6342"/>
          </w:cols>
        </w:sectPr>
      </w:pPr>
    </w:p>
    <w:p>
      <w:pPr>
        <w:pStyle w:val="BodyText"/>
        <w:tabs>
          <w:tab w:pos="2539" w:val="left" w:leader="none"/>
        </w:tabs>
        <w:spacing w:line="237" w:lineRule="auto" w:before="1"/>
        <w:ind w:right="149" w:hanging="2439"/>
        <w:jc w:val="both"/>
      </w:pPr>
      <w:r>
        <w:rPr/>
        <w:t>30、原发性心肌病</w:t>
        <w:tab/>
      </w:r>
      <w:r>
        <w:rPr>
          <w:spacing w:val="-1"/>
        </w:rPr>
        <w:t>是指</w:t>
      </w:r>
      <w:r>
        <w:rPr/>
        <w:t>不明原因引起的一类心肌病变</w:t>
      </w:r>
      <w:r>
        <w:rPr>
          <w:spacing w:val="-20"/>
        </w:rPr>
        <w:t>，</w:t>
      </w:r>
      <w:r>
        <w:rPr/>
        <w:t>包括原发性扩张型心肌病</w:t>
      </w:r>
      <w:r>
        <w:rPr>
          <w:spacing w:val="-20"/>
        </w:rPr>
        <w:t>、</w:t>
      </w:r>
      <w:r>
        <w:rPr/>
        <w:t>原发性肥厚型心肌病及原发性限制型心肌病三种</w:t>
      </w:r>
      <w:r>
        <w:rPr>
          <w:spacing w:val="-41"/>
        </w:rPr>
        <w:t>，</w:t>
      </w:r>
      <w:r>
        <w:rPr/>
        <w:t>病变必须已造成事实上心室功能障碍而出现明显的心功能衰竭，达到美国纽约心脏病协会心功能状态分级</w:t>
      </w:r>
      <w:r>
        <w:rPr>
          <w:spacing w:val="-23"/>
        </w:rPr>
        <w:t> </w:t>
      </w:r>
      <w:r>
        <w:rPr/>
        <w:t>IV</w:t>
      </w:r>
      <w:r>
        <w:rPr>
          <w:spacing w:val="-22"/>
        </w:rPr>
        <w:t> </w:t>
      </w:r>
      <w:r>
        <w:rPr/>
        <w:t>级，且有相关住院医疗记录显示</w:t>
      </w:r>
      <w:r>
        <w:rPr>
          <w:spacing w:val="-34"/>
        </w:rPr>
        <w:t> </w:t>
      </w:r>
      <w:r>
        <w:rPr/>
        <w:t>IV</w:t>
      </w:r>
      <w:r>
        <w:rPr>
          <w:spacing w:val="-33"/>
        </w:rPr>
        <w:t> </w:t>
      </w:r>
      <w:r>
        <w:rPr/>
        <w:t>级</w:t>
      </w:r>
      <w:r>
        <w:rPr>
          <w:spacing w:val="-3"/>
        </w:rPr>
        <w:t>心</w:t>
      </w:r>
      <w:r>
        <w:rPr/>
        <w:t>功能状态持续至少</w:t>
      </w:r>
      <w:r>
        <w:rPr>
          <w:spacing w:val="-34"/>
        </w:rPr>
        <w:t> </w:t>
      </w:r>
      <w:r>
        <w:rPr/>
        <w:t>180</w:t>
      </w:r>
      <w:r>
        <w:rPr>
          <w:spacing w:val="-33"/>
        </w:rPr>
        <w:t> </w:t>
      </w:r>
      <w:r>
        <w:rPr/>
        <w:t>天。</w:t>
      </w:r>
      <w:r>
        <w:rPr>
          <w:spacing w:val="-3"/>
        </w:rPr>
        <w:t>该</w:t>
      </w:r>
      <w:r>
        <w:rPr/>
        <w:t>疾病索赔时须要经专科医师做出明确诊断</w:t>
      </w:r>
      <w:r>
        <w:rPr>
          <w:spacing w:val="-41"/>
        </w:rPr>
        <w:t>。</w:t>
      </w:r>
      <w:r>
        <w:rPr/>
        <w:t>继发于全身性疾病或其它器官系统疾病不属本保障</w:t>
      </w:r>
      <w:r>
        <w:rPr>
          <w:spacing w:val="-1"/>
        </w:rPr>
        <w:t>范</w:t>
      </w:r>
      <w:r>
        <w:rPr/>
        <w:t>围.</w:t>
      </w:r>
    </w:p>
    <w:p>
      <w:pPr>
        <w:pStyle w:val="BodyText"/>
        <w:spacing w:before="35"/>
        <w:ind w:left="101"/>
      </w:pPr>
      <w:r>
        <w:rPr/>
        <w:t>31、系统性红斑狼疮（严重： 红斑狼疮是指由于自身抗体和免疫复合物的沉积破坏了血管和细胞而导致的</w:t>
      </w:r>
    </w:p>
    <w:p>
      <w:pPr>
        <w:spacing w:after="0"/>
        <w:sectPr>
          <w:type w:val="continuous"/>
          <w:pgSz w:w="11960" w:h="16850"/>
          <w:pgMar w:top="280" w:bottom="1200" w:left="1600" w:right="1580"/>
        </w:sectPr>
      </w:pPr>
    </w:p>
    <w:p>
      <w:pPr>
        <w:pStyle w:val="BodyText"/>
        <w:spacing w:line="233" w:lineRule="exact"/>
        <w:ind w:left="101"/>
      </w:pPr>
      <w:r>
        <w:rPr/>
        <w:t>的狼疮性肾炎）</w:t>
      </w:r>
    </w:p>
    <w:p>
      <w:pPr>
        <w:pStyle w:val="BodyText"/>
        <w:ind w:left="101" w:right="151"/>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8"/>
        </w:rPr>
        <w:t>、</w:t>
      </w:r>
      <w:r>
        <w:rPr/>
        <w:t>IV</w:t>
      </w:r>
      <w:r>
        <w:rPr>
          <w:spacing w:val="-10"/>
        </w:rPr>
        <w:t>、</w:t>
      </w:r>
      <w:r>
        <w:rPr/>
        <w:t>V</w:t>
      </w:r>
      <w:r>
        <w:rPr>
          <w:spacing w:val="-8"/>
        </w:rPr>
        <w:t>、</w:t>
      </w:r>
      <w:r>
        <w:rPr/>
        <w:t>VI</w:t>
      </w:r>
      <w:r>
        <w:rPr>
          <w:spacing w:val="-8"/>
        </w:rPr>
        <w:t> 型。诊断须由有</w:t>
      </w:r>
      <w:r>
        <w:rPr>
          <w:spacing w:val="-1"/>
        </w:rPr>
        <w:t>资格的风湿和免疫病专科医生确认。</w:t>
      </w:r>
    </w:p>
    <w:p>
      <w:pPr>
        <w:pStyle w:val="BodyText"/>
        <w:spacing w:line="233" w:lineRule="exact" w:before="3"/>
        <w:ind w:left="101"/>
        <w:jc w:val="both"/>
      </w:pPr>
      <w:r>
        <w:rPr/>
        <w:t>世界卫生组织（WHO）对狼疮性肾炎的分类标准：</w:t>
      </w:r>
    </w:p>
    <w:p>
      <w:pPr>
        <w:pStyle w:val="ListParagraph"/>
        <w:numPr>
          <w:ilvl w:val="0"/>
          <w:numId w:val="2"/>
        </w:numPr>
        <w:tabs>
          <w:tab w:pos="284" w:val="left" w:leader="none"/>
        </w:tabs>
        <w:spacing w:line="234" w:lineRule="exact" w:before="0" w:after="0"/>
        <w:ind w:left="283" w:right="0" w:hanging="182"/>
        <w:jc w:val="both"/>
        <w:rPr>
          <w:sz w:val="18"/>
        </w:rPr>
      </w:pPr>
      <w:r>
        <w:rPr>
          <w:spacing w:val="-1"/>
          <w:sz w:val="18"/>
        </w:rPr>
        <w:t>型–正常肾小球型；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型–系膜增生型；</w:t>
      </w:r>
    </w:p>
    <w:p>
      <w:pPr>
        <w:pStyle w:val="ListParagraph"/>
        <w:numPr>
          <w:ilvl w:val="0"/>
          <w:numId w:val="2"/>
        </w:numPr>
        <w:tabs>
          <w:tab w:pos="419" w:val="left" w:leader="none"/>
        </w:tabs>
        <w:spacing w:line="234" w:lineRule="exact" w:before="0" w:after="0"/>
        <w:ind w:left="418" w:right="0" w:hanging="317"/>
        <w:jc w:val="both"/>
        <w:rPr>
          <w:sz w:val="18"/>
        </w:rPr>
      </w:pPr>
      <w:r>
        <w:rPr>
          <w:spacing w:val="-1"/>
          <w:sz w:val="18"/>
        </w:rPr>
        <w:t>型–局灶及节段增生型；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型–弥漫增生型；</w:t>
      </w:r>
    </w:p>
    <w:p>
      <w:pPr>
        <w:pStyle w:val="ListParagraph"/>
        <w:numPr>
          <w:ilvl w:val="0"/>
          <w:numId w:val="2"/>
        </w:numPr>
        <w:tabs>
          <w:tab w:pos="239" w:val="left" w:leader="none"/>
        </w:tabs>
        <w:spacing w:line="234" w:lineRule="exact" w:before="0" w:after="0"/>
        <w:ind w:left="238" w:right="0" w:hanging="137"/>
        <w:jc w:val="both"/>
        <w:rPr>
          <w:sz w:val="18"/>
        </w:rPr>
      </w:pPr>
      <w:r>
        <w:rPr>
          <w:spacing w:val="-1"/>
          <w:sz w:val="18"/>
        </w:rPr>
        <w:t>型–膜型；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型–肾小球硬化型。</w:t>
      </w:r>
    </w:p>
    <w:p>
      <w:pPr>
        <w:spacing w:after="0" w:line="234" w:lineRule="exact"/>
        <w:jc w:val="both"/>
        <w:rPr>
          <w:sz w:val="18"/>
        </w:rPr>
        <w:sectPr>
          <w:type w:val="continuous"/>
          <w:pgSz w:w="11960" w:h="16850"/>
          <w:pgMar w:top="280" w:bottom="1200" w:left="1600" w:right="1580"/>
          <w:cols w:num="2" w:equalWidth="0">
            <w:col w:w="1362" w:space="1076"/>
            <w:col w:w="6342"/>
          </w:cols>
        </w:sectPr>
      </w:pPr>
    </w:p>
    <w:p>
      <w:pPr>
        <w:pStyle w:val="BodyText"/>
        <w:spacing w:line="237" w:lineRule="auto" w:before="2"/>
        <w:ind w:right="110" w:hanging="2439"/>
        <w:jc w:val="both"/>
      </w:pPr>
      <w:r>
        <w:rPr/>
        <w:t>32</w:t>
      </w:r>
      <w:r>
        <w:rPr>
          <w:spacing w:val="-3"/>
        </w:rPr>
        <w:t>、严重溃疡性结肠炎   ： 是指伴有致命性电解质紊乱的急性暴发性溃疡性结肠炎，病变累及全结肠，表现为严重的血便和系统性症状体征，治疗通常采取全结肠切除和回肠造瘘术。</w:t>
      </w:r>
      <w:r>
        <w:rPr>
          <w:spacing w:val="-5"/>
        </w:rPr>
        <w:t>溃疡性结肠炎必须根据组织病理学特点诊断，并且被保险人已经接受了结肠切</w:t>
      </w:r>
      <w:r>
        <w:rPr>
          <w:spacing w:val="-1"/>
        </w:rPr>
        <w:t>除和</w:t>
      </w:r>
      <w:r>
        <w:rPr/>
        <w:t>/或回肠造瘘术。</w:t>
      </w:r>
    </w:p>
    <w:p>
      <w:pPr>
        <w:spacing w:after="0" w:line="237" w:lineRule="auto"/>
        <w:jc w:val="both"/>
        <w:sectPr>
          <w:type w:val="continuous"/>
          <w:pgSz w:w="11960" w:h="16850"/>
          <w:pgMar w:top="280" w:bottom="1200" w:left="1600" w:right="1580"/>
        </w:sectPr>
      </w:pPr>
    </w:p>
    <w:p>
      <w:pPr>
        <w:pStyle w:val="BodyText"/>
        <w:tabs>
          <w:tab w:pos="2340" w:val="left" w:leader="none"/>
        </w:tabs>
        <w:spacing w:line="237" w:lineRule="auto" w:before="76"/>
        <w:ind w:right="191" w:hanging="2439"/>
        <w:jc w:val="both"/>
      </w:pPr>
      <w:r>
        <w:rPr/>
        <w:t>33、植物人状态</w:t>
        <w:tab/>
        <w:t>：</w:t>
      </w:r>
      <w:r>
        <w:rPr>
          <w:spacing w:val="-73"/>
        </w:rPr>
        <w:t> </w:t>
      </w:r>
      <w:r>
        <w:rPr/>
        <w:t>指经神经科医生确诊，CT、MRI</w:t>
      </w:r>
      <w:r>
        <w:rPr>
          <w:spacing w:val="-44"/>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spacing w:line="237" w:lineRule="auto" w:before="95"/>
        <w:ind w:right="186" w:hanging="2439"/>
        <w:jc w:val="both"/>
      </w:pPr>
      <w:r>
        <w:rPr/>
        <w:t>34</w:t>
      </w:r>
      <w:r>
        <w:rPr>
          <w:spacing w:val="-3"/>
        </w:rPr>
        <w:t>、慢性复发性胰腺炎   ： 有腹痛等典型症状的胰腺炎反复发作超过三次以上，导致胰腺进行性破坏，并</w:t>
      </w:r>
      <w:r>
        <w:rPr>
          <w:spacing w:val="-7"/>
        </w:rPr>
        <w:t>导致胰腺功能紊乱而导致严重糖尿病以及营养不良、恶液质。</w:t>
      </w:r>
      <w:r>
        <w:rPr/>
        <w:t>CT</w:t>
      </w:r>
      <w:r>
        <w:rPr>
          <w:spacing w:val="-8"/>
        </w:rPr>
        <w:t> 检查证实胰腺</w:t>
      </w:r>
      <w:r>
        <w:rPr>
          <w:spacing w:val="-10"/>
        </w:rPr>
        <w:t>存在广泛钙化，且必须接受酶替代以及胰岛素替代治疗 </w:t>
      </w:r>
      <w:r>
        <w:rPr/>
        <w:t>6</w:t>
      </w:r>
      <w:r>
        <w:rPr>
          <w:spacing w:val="-9"/>
        </w:rPr>
        <w:t> 个月以上。诊断必须</w:t>
      </w:r>
      <w:r>
        <w:rPr>
          <w:spacing w:val="-1"/>
        </w:rPr>
        <w:t>有消化科专科医生确诊。酒精导致的慢性复发性胰腺炎除外。</w:t>
      </w:r>
    </w:p>
    <w:p>
      <w:pPr>
        <w:pStyle w:val="BodyText"/>
        <w:spacing w:line="237" w:lineRule="auto" w:before="35"/>
        <w:ind w:right="187" w:hanging="2439"/>
        <w:jc w:val="both"/>
      </w:pPr>
      <w:r>
        <w:rPr/>
        <w:t>35</w:t>
      </w:r>
      <w:r>
        <w:rPr>
          <w:spacing w:val="-5"/>
        </w:rPr>
        <w:t>、急性脊髓灰质炎      ： 是指由于急性脊髓灰质炎病毒感染所导致的运动功能障碍或呼吸功能减弱的</w:t>
      </w:r>
      <w:r>
        <w:rPr>
          <w:spacing w:val="-8"/>
        </w:rPr>
        <w:t>瘫痪性疾病。诊断必须由本公司认可的神经科专科医生确诊并提供相关的脊髓</w:t>
      </w:r>
      <w:r>
        <w:rPr>
          <w:spacing w:val="-7"/>
        </w:rPr>
        <w:t>灰质炎病毒感染的证据</w:t>
      </w:r>
      <w:r>
        <w:rPr/>
        <w:t>（例如：脑脊液检查或血清学抗体检查报告</w:t>
      </w:r>
      <w:r>
        <w:rPr>
          <w:spacing w:val="-89"/>
        </w:rPr>
        <w:t>）</w:t>
      </w:r>
      <w:r>
        <w:rPr/>
        <w:t>。未导致肢体瘫痪及其它病因所致的瘫痪，例如格林一巴利综合症(急性感染性多神经</w:t>
      </w:r>
      <w:r>
        <w:rPr>
          <w:spacing w:val="-1"/>
        </w:rPr>
        <w:t>炎)则不在此保障范围以内。</w:t>
      </w:r>
    </w:p>
    <w:p>
      <w:pPr>
        <w:pStyle w:val="BodyText"/>
        <w:spacing w:before="67"/>
        <w:ind w:left="101"/>
      </w:pPr>
      <w:r>
        <w:rPr/>
        <w:t>重大疾病定义的释义：</w:t>
      </w:r>
    </w:p>
    <w:p>
      <w:pPr>
        <w:pStyle w:val="BodyText"/>
        <w:tabs>
          <w:tab w:pos="2340" w:val="left" w:leader="none"/>
        </w:tabs>
        <w:spacing w:line="234" w:lineRule="exact" w:before="38"/>
        <w:ind w:left="10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spacing w:line="237" w:lineRule="auto" w:before="2"/>
        <w:ind w:right="191"/>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right="189"/>
      </w:pPr>
      <w:r>
        <w:rPr/>
        <w:t>（3）具有有效的中华人民共和国主治医师或主治医师以上职称的《医师职称证书》；</w:t>
      </w:r>
    </w:p>
    <w:p>
      <w:pPr>
        <w:pStyle w:val="BodyText"/>
        <w:tabs>
          <w:tab w:pos="2340" w:val="left" w:leader="none"/>
        </w:tabs>
        <w:spacing w:line="280" w:lineRule="auto"/>
        <w:ind w:left="101" w:right="1139" w:firstLine="2438"/>
      </w:pPr>
      <w:r>
        <w:rPr/>
        <w:t>（4）在二级或二级以上医院的相应科室从事临床工作三年以上。六项基本日常生活活动</w:t>
        <w:tab/>
        <w:t>：</w:t>
      </w:r>
      <w:r>
        <w:rPr>
          <w:spacing w:val="-72"/>
        </w:rPr>
        <w:t> </w:t>
      </w:r>
      <w:r>
        <w:rPr/>
        <w:t>六项基本日常生活活动是指：</w:t>
      </w:r>
    </w:p>
    <w:p>
      <w:pPr>
        <w:pStyle w:val="BodyText"/>
        <w:spacing w:line="202"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spacing w:line="234" w:lineRule="exact"/>
      </w:pPr>
      <w:r>
        <w:rPr/>
        <w:t>（6）洗澡：自己进行淋浴或盆浴。</w:t>
      </w:r>
    </w:p>
    <w:p>
      <w:pPr>
        <w:pStyle w:val="BodyText"/>
        <w:tabs>
          <w:tab w:pos="2340" w:val="left" w:leader="none"/>
        </w:tabs>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0"/>
        <w:ind w:left="101"/>
      </w:pPr>
      <w:r>
        <w:rPr/>
        <w:t>语言能力或咀嚼吞咽能力完： 语言能力完全丧失，指无法发出四种语音（包括口唇音、齿舌音、口盖音和喉</w:t>
      </w:r>
    </w:p>
    <w:p>
      <w:pPr>
        <w:spacing w:after="0"/>
        <w:sectPr>
          <w:footerReference w:type="default" r:id="rId7"/>
          <w:pgSz w:w="11960" w:h="16850"/>
          <w:pgMar w:footer="1001" w:header="0" w:top="1600" w:bottom="1200" w:left="1600" w:right="1540"/>
        </w:sectPr>
      </w:pPr>
    </w:p>
    <w:p>
      <w:pPr>
        <w:pStyle w:val="BodyText"/>
        <w:spacing w:line="235" w:lineRule="exact"/>
        <w:ind w:left="101"/>
      </w:pPr>
      <w:r>
        <w:rPr/>
        <w:t>全丧失</w:t>
      </w:r>
    </w:p>
    <w:p>
      <w:pPr>
        <w:pStyle w:val="BodyText"/>
        <w:spacing w:line="237" w:lineRule="auto" w:before="1"/>
        <w:ind w:left="10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540"/>
          <w:cols w:num="2" w:equalWidth="0">
            <w:col w:w="642" w:space="1796"/>
            <w:col w:w="6382"/>
          </w:cols>
        </w:sectPr>
      </w:pPr>
    </w:p>
    <w:p>
      <w:pPr>
        <w:pStyle w:val="BodyText"/>
        <w:tabs>
          <w:tab w:pos="2340" w:val="left" w:leader="none"/>
        </w:tabs>
        <w:spacing w:line="237" w:lineRule="auto" w:before="112"/>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780396pt;margin-top:781.347778pt;width:71.850pt;height:11pt;mso-position-horizontal-relative:page;mso-position-vertical-relative:page;z-index:-1218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50061pt;margin-top:781.347778pt;width:76.4pt;height:11pt;mso-position-horizontal-relative:page;mso-position-vertical-relative:page;z-index:-12160" type="#_x0000_t202" filled="false" stroked="false">
          <v:textbox inset="0,0,0,0">
            <w:txbxContent>
              <w:p>
                <w:pPr>
                  <w:pStyle w:val="BodyText"/>
                  <w:spacing w:line="200" w:lineRule="exact"/>
                  <w:ind w:left="20"/>
                </w:pPr>
                <w:r>
                  <w:rPr/>
                  <w:t>第 10 页 共 10</w:t>
                </w:r>
                <w:r>
                  <w:rPr>
                    <w:spacing w:val="-23"/>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83" w:hanging="183"/>
        <w:jc w:val="left"/>
      </w:pPr>
      <w:rPr>
        <w:rFonts w:hint="default" w:ascii="宋体" w:hAnsi="宋体" w:eastAsia="宋体" w:cs="宋体"/>
        <w:w w:val="100"/>
        <w:sz w:val="18"/>
        <w:szCs w:val="18"/>
      </w:rPr>
    </w:lvl>
    <w:lvl w:ilvl="1">
      <w:start w:val="0"/>
      <w:numFmt w:val="bullet"/>
      <w:lvlText w:val="•"/>
      <w:lvlJc w:val="left"/>
      <w:pPr>
        <w:ind w:left="885" w:hanging="183"/>
      </w:pPr>
      <w:rPr>
        <w:rFonts w:hint="default"/>
      </w:rPr>
    </w:lvl>
    <w:lvl w:ilvl="2">
      <w:start w:val="0"/>
      <w:numFmt w:val="bullet"/>
      <w:lvlText w:val="•"/>
      <w:lvlJc w:val="left"/>
      <w:pPr>
        <w:ind w:left="1490" w:hanging="183"/>
      </w:pPr>
      <w:rPr>
        <w:rFonts w:hint="default"/>
      </w:rPr>
    </w:lvl>
    <w:lvl w:ilvl="3">
      <w:start w:val="0"/>
      <w:numFmt w:val="bullet"/>
      <w:lvlText w:val="•"/>
      <w:lvlJc w:val="left"/>
      <w:pPr>
        <w:ind w:left="2096" w:hanging="183"/>
      </w:pPr>
      <w:rPr>
        <w:rFonts w:hint="default"/>
      </w:rPr>
    </w:lvl>
    <w:lvl w:ilvl="4">
      <w:start w:val="0"/>
      <w:numFmt w:val="bullet"/>
      <w:lvlText w:val="•"/>
      <w:lvlJc w:val="left"/>
      <w:pPr>
        <w:ind w:left="2701" w:hanging="183"/>
      </w:pPr>
      <w:rPr>
        <w:rFonts w:hint="default"/>
      </w:rPr>
    </w:lvl>
    <w:lvl w:ilvl="5">
      <w:start w:val="0"/>
      <w:numFmt w:val="bullet"/>
      <w:lvlText w:val="•"/>
      <w:lvlJc w:val="left"/>
      <w:pPr>
        <w:ind w:left="3306" w:hanging="183"/>
      </w:pPr>
      <w:rPr>
        <w:rFonts w:hint="default"/>
      </w:rPr>
    </w:lvl>
    <w:lvl w:ilvl="6">
      <w:start w:val="0"/>
      <w:numFmt w:val="bullet"/>
      <w:lvlText w:val="•"/>
      <w:lvlJc w:val="left"/>
      <w:pPr>
        <w:ind w:left="3912" w:hanging="183"/>
      </w:pPr>
      <w:rPr>
        <w:rFonts w:hint="default"/>
      </w:rPr>
    </w:lvl>
    <w:lvl w:ilvl="7">
      <w:start w:val="0"/>
      <w:numFmt w:val="bullet"/>
      <w:lvlText w:val="•"/>
      <w:lvlJc w:val="left"/>
      <w:pPr>
        <w:ind w:left="4517" w:hanging="183"/>
      </w:pPr>
      <w:rPr>
        <w:rFonts w:hint="default"/>
      </w:rPr>
    </w:lvl>
    <w:lvl w:ilvl="8">
      <w:start w:val="0"/>
      <w:numFmt w:val="bullet"/>
      <w:lvlText w:val="•"/>
      <w:lvlJc w:val="left"/>
      <w:pPr>
        <w:ind w:left="5123" w:hanging="183"/>
      </w:pPr>
      <w:rPr>
        <w:rFonts w:hint="default"/>
      </w:rPr>
    </w:lvl>
  </w:abstractNum>
  <w:abstractNum w:abstractNumId="0">
    <w:multiLevelType w:val="hybridMultilevel"/>
    <w:lvl w:ilvl="0">
      <w:start w:val="3"/>
      <w:numFmt w:val="decimal"/>
      <w:lvlText w:val="%1."/>
      <w:lvlJc w:val="left"/>
      <w:pPr>
        <w:ind w:left="375" w:hanging="274"/>
        <w:jc w:val="left"/>
      </w:pPr>
      <w:rPr>
        <w:rFonts w:hint="default" w:ascii="宋体" w:hAnsi="宋体" w:eastAsia="宋体" w:cs="宋体"/>
        <w:spacing w:val="0"/>
        <w:w w:val="100"/>
        <w:sz w:val="18"/>
        <w:szCs w:val="18"/>
      </w:rPr>
    </w:lvl>
    <w:lvl w:ilvl="1">
      <w:start w:val="0"/>
      <w:numFmt w:val="bullet"/>
      <w:lvlText w:val="•"/>
      <w:lvlJc w:val="left"/>
      <w:pPr>
        <w:ind w:left="975" w:hanging="274"/>
      </w:pPr>
      <w:rPr>
        <w:rFonts w:hint="default"/>
      </w:rPr>
    </w:lvl>
    <w:lvl w:ilvl="2">
      <w:start w:val="0"/>
      <w:numFmt w:val="bullet"/>
      <w:lvlText w:val="•"/>
      <w:lvlJc w:val="left"/>
      <w:pPr>
        <w:ind w:left="1570" w:hanging="274"/>
      </w:pPr>
      <w:rPr>
        <w:rFonts w:hint="default"/>
      </w:rPr>
    </w:lvl>
    <w:lvl w:ilvl="3">
      <w:start w:val="0"/>
      <w:numFmt w:val="bullet"/>
      <w:lvlText w:val="•"/>
      <w:lvlJc w:val="left"/>
      <w:pPr>
        <w:ind w:left="2166" w:hanging="274"/>
      </w:pPr>
      <w:rPr>
        <w:rFonts w:hint="default"/>
      </w:rPr>
    </w:lvl>
    <w:lvl w:ilvl="4">
      <w:start w:val="0"/>
      <w:numFmt w:val="bullet"/>
      <w:lvlText w:val="•"/>
      <w:lvlJc w:val="left"/>
      <w:pPr>
        <w:ind w:left="2761" w:hanging="274"/>
      </w:pPr>
      <w:rPr>
        <w:rFonts w:hint="default"/>
      </w:rPr>
    </w:lvl>
    <w:lvl w:ilvl="5">
      <w:start w:val="0"/>
      <w:numFmt w:val="bullet"/>
      <w:lvlText w:val="•"/>
      <w:lvlJc w:val="left"/>
      <w:pPr>
        <w:ind w:left="3356" w:hanging="274"/>
      </w:pPr>
      <w:rPr>
        <w:rFonts w:hint="default"/>
      </w:rPr>
    </w:lvl>
    <w:lvl w:ilvl="6">
      <w:start w:val="0"/>
      <w:numFmt w:val="bullet"/>
      <w:lvlText w:val="•"/>
      <w:lvlJc w:val="left"/>
      <w:pPr>
        <w:ind w:left="3952" w:hanging="274"/>
      </w:pPr>
      <w:rPr>
        <w:rFonts w:hint="default"/>
      </w:rPr>
    </w:lvl>
    <w:lvl w:ilvl="7">
      <w:start w:val="0"/>
      <w:numFmt w:val="bullet"/>
      <w:lvlText w:val="•"/>
      <w:lvlJc w:val="left"/>
      <w:pPr>
        <w:ind w:left="4547" w:hanging="274"/>
      </w:pPr>
      <w:rPr>
        <w:rFonts w:hint="default"/>
      </w:rPr>
    </w:lvl>
    <w:lvl w:ilvl="8">
      <w:start w:val="0"/>
      <w:numFmt w:val="bullet"/>
      <w:lvlText w:val="•"/>
      <w:lvlJc w:val="left"/>
      <w:pPr>
        <w:ind w:left="5143" w:hanging="27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01"/>
    </w:pPr>
    <w:rPr>
      <w:rFonts w:ascii="宋体" w:hAnsi="宋体" w:eastAsia="宋体" w:cs="宋体"/>
      <w:sz w:val="18"/>
      <w:szCs w:val="18"/>
    </w:rPr>
  </w:style>
  <w:style w:styleId="TOC2" w:type="paragraph">
    <w:name w:val="TOC 2"/>
    <w:basedOn w:val="Normal"/>
    <w:uiPriority w:val="1"/>
    <w:qFormat/>
    <w:pPr>
      <w:spacing w:before="56"/>
      <w:ind w:left="312"/>
    </w:pPr>
    <w:rPr>
      <w:rFonts w:ascii="宋体" w:hAnsi="宋体" w:eastAsia="宋体" w:cs="宋体"/>
      <w:sz w:val="18"/>
      <w:szCs w:val="18"/>
    </w:rPr>
  </w:style>
  <w:style w:styleId="TOC3" w:type="paragraph">
    <w:name w:val="TOC 3"/>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2539"/>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29" w:hanging="228"/>
      <w:jc w:val="both"/>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2018-10-20T02:00:29Z</dcterms:created>
  <dcterms:modified xsi:type="dcterms:W3CDTF">2018-10-20T02:00:29Z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