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348"/>
        <w:ind w:left="4132" w:right="0" w:hanging="1203"/>
        <w:jc w:val="left"/>
        <w:rPr>
          <w:b/>
          <w:sz w:val="32"/>
        </w:rPr>
      </w:pPr>
      <w:r>
        <w:rPr>
          <w:rFonts w:ascii="微软雅黑" w:eastAsia="微软雅黑" w:hint="eastAsia"/>
          <w:b/>
          <w:sz w:val="32"/>
        </w:rPr>
        <w:t>横琴康终身重大疾病保险条款阅  读  指 引</w:t>
      </w:r>
      <w:r>
        <w:rPr>
          <w:b/>
          <w:w w:val="98"/>
          <w:sz w:val="32"/>
        </w:rPr>
        <w:t> </w:t>
      </w:r>
    </w:p>
    <w:p>
      <w:pPr>
        <w:spacing w:before="27"/>
        <w:ind w:left="536" w:right="405" w:firstLine="0"/>
        <w:jc w:val="center"/>
        <w:rPr>
          <w:sz w:val="15"/>
        </w:rPr>
      </w:pPr>
      <w:r>
        <w:rPr/>
        <w:br w:type="column"/>
      </w:r>
      <w:r>
        <w:rPr>
          <w:sz w:val="15"/>
        </w:rPr>
        <w:t>横琴人寿[2017]疾病保险 043 号 </w:t>
      </w:r>
    </w:p>
    <w:p>
      <w:pPr>
        <w:pStyle w:val="BodyText"/>
        <w:spacing w:before="11"/>
        <w:ind w:left="0"/>
        <w:rPr>
          <w:sz w:val="4"/>
        </w:rPr>
      </w:pPr>
    </w:p>
    <w:p>
      <w:pPr>
        <w:pStyle w:val="BodyText"/>
        <w:spacing w:before="0"/>
        <w:ind w:left="1032"/>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9"/>
        <w:ind w:left="536" w:right="405" w:firstLine="0"/>
        <w:jc w:val="center"/>
        <w:rPr>
          <w:sz w:val="15"/>
        </w:rPr>
      </w:pPr>
      <w:r>
        <w:rPr>
          <w:sz w:val="15"/>
        </w:rPr>
        <w:t>请扫描以查询验证条款 </w:t>
      </w:r>
    </w:p>
    <w:p>
      <w:pPr>
        <w:spacing w:after="0"/>
        <w:jc w:val="center"/>
        <w:rPr>
          <w:sz w:val="15"/>
        </w:rPr>
        <w:sectPr>
          <w:type w:val="continuous"/>
          <w:pgSz w:w="11910" w:h="16840"/>
          <w:pgMar w:top="720" w:bottom="280" w:left="940" w:right="680"/>
          <w:cols w:num="2" w:equalWidth="0">
            <w:col w:w="7094" w:space="40"/>
            <w:col w:w="3156"/>
          </w:cols>
        </w:sectPr>
      </w:pPr>
    </w:p>
    <w:p>
      <w:pPr>
        <w:pStyle w:val="Heading2"/>
        <w:spacing w:line="230" w:lineRule="exact" w:before="74"/>
        <w:ind w:left="1954"/>
      </w:pPr>
      <w:r>
        <w:rPr/>
        <w:t>本阅读指引有助于您理解条款，对本合同内容的解释以条款为准。</w:t>
      </w:r>
      <w:r>
        <w:rPr>
          <w:w w:val="99"/>
        </w:rPr>
        <w:t> </w:t>
      </w:r>
    </w:p>
    <w:p>
      <w:pPr>
        <w:tabs>
          <w:tab w:pos="1256" w:val="left" w:leader="none"/>
        </w:tabs>
        <w:spacing w:line="727" w:lineRule="exact" w:before="0"/>
        <w:ind w:left="246" w:right="0" w:firstLine="0"/>
        <w:jc w:val="left"/>
        <w:rPr>
          <w:b/>
          <w:sz w:val="21"/>
        </w:rPr>
      </w:pPr>
      <w:r>
        <w:rPr/>
        <w:drawing>
          <wp:anchor distT="0" distB="0" distL="0" distR="0" allowOverlap="1" layoutInCell="1" locked="0" behindDoc="1" simplePos="0" relativeHeight="268364591">
            <wp:simplePos x="0" y="0"/>
            <wp:positionH relativeFrom="page">
              <wp:posOffset>664463</wp:posOffset>
            </wp:positionH>
            <wp:positionV relativeFrom="paragraph">
              <wp:posOffset>110399</wp:posOffset>
            </wp:positionV>
            <wp:extent cx="6394704" cy="790321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4704" cy="7903210"/>
                    </a:xfrm>
                    <a:prstGeom prst="rect">
                      <a:avLst/>
                    </a:prstGeom>
                  </pic:spPr>
                </pic:pic>
              </a:graphicData>
            </a:graphic>
          </wp:anchor>
        </w:drawing>
      </w:r>
      <w:r>
        <w:rPr>
          <w:rFonts w:ascii="Yu Gothic" w:hAnsi="Yu Gothic" w:eastAsia="Yu Gothic" w:hint="eastAsia"/>
          <w:b/>
          <w:position w:val="-11"/>
          <w:sz w:val="52"/>
        </w:rPr>
        <w:t></w:t>
        <w:tab/>
      </w:r>
      <w:r>
        <w:rPr>
          <w:b/>
          <w:spacing w:val="-1"/>
          <w:sz w:val="21"/>
        </w:rPr>
        <w:t>您拥有的重要权益</w:t>
      </w:r>
      <w:r>
        <w:rPr>
          <w:b/>
          <w:spacing w:val="-1"/>
          <w:w w:val="99"/>
          <w:sz w:val="21"/>
        </w:rPr>
        <w:t> </w:t>
      </w:r>
    </w:p>
    <w:p>
      <w:pPr>
        <w:pStyle w:val="ListParagraph"/>
        <w:numPr>
          <w:ilvl w:val="0"/>
          <w:numId w:val="1"/>
        </w:numPr>
        <w:tabs>
          <w:tab w:pos="1637" w:val="left" w:leader="none"/>
          <w:tab w:pos="1638" w:val="left" w:leader="none"/>
        </w:tabs>
        <w:spacing w:line="170" w:lineRule="exact" w:before="0" w:after="0"/>
        <w:ind w:left="1638" w:right="0" w:hanging="420"/>
        <w:jc w:val="left"/>
        <w:rPr>
          <w:sz w:val="21"/>
        </w:rPr>
      </w:pPr>
      <w:r>
        <w:rPr>
          <w:spacing w:val="-3"/>
          <w:sz w:val="21"/>
        </w:rPr>
        <w:t>犹豫期内您可以要求全额退还保险费………………………………………………第</w:t>
      </w:r>
      <w:r>
        <w:rPr>
          <w:spacing w:val="-1"/>
          <w:sz w:val="21"/>
        </w:rPr>
        <w:t>1.4</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被保险人可以享受本合同提供的保障………………………………………………第</w:t>
      </w:r>
      <w:r>
        <w:rPr>
          <w:sz w:val="21"/>
        </w:rPr>
        <w:t>2.4</w:t>
      </w:r>
      <w:r>
        <w:rPr>
          <w:spacing w:val="-3"/>
          <w:sz w:val="21"/>
        </w:rPr>
        <w:t>条</w:t>
      </w:r>
      <w:r>
        <w:rPr>
          <w:sz w:val="21"/>
        </w:rPr>
        <w:t> </w:t>
      </w:r>
    </w:p>
    <w:p>
      <w:pPr>
        <w:pStyle w:val="ListParagraph"/>
        <w:numPr>
          <w:ilvl w:val="0"/>
          <w:numId w:val="1"/>
        </w:numPr>
        <w:tabs>
          <w:tab w:pos="1637" w:val="left" w:leader="none"/>
          <w:tab w:pos="1638" w:val="left" w:leader="none"/>
        </w:tabs>
        <w:spacing w:line="160" w:lineRule="exact" w:before="37" w:after="0"/>
        <w:ind w:left="1638" w:right="0" w:hanging="420"/>
        <w:jc w:val="left"/>
        <w:rPr>
          <w:sz w:val="21"/>
        </w:rPr>
      </w:pPr>
      <w:r>
        <w:rPr>
          <w:spacing w:val="-3"/>
          <w:sz w:val="21"/>
        </w:rPr>
        <w:t>您有退保的权利………………………………………………………………………第</w:t>
      </w:r>
      <w:r>
        <w:rPr>
          <w:spacing w:val="-1"/>
          <w:sz w:val="21"/>
        </w:rPr>
        <w:t>7.1</w:t>
      </w:r>
      <w:r>
        <w:rPr>
          <w:spacing w:val="-3"/>
          <w:sz w:val="21"/>
        </w:rPr>
        <w:t>条</w:t>
      </w:r>
      <w:r>
        <w:rPr>
          <w:sz w:val="21"/>
        </w:rPr>
        <w:t> </w:t>
      </w:r>
    </w:p>
    <w:p>
      <w:pPr>
        <w:pStyle w:val="Heading2"/>
        <w:tabs>
          <w:tab w:pos="1256" w:val="left" w:leader="none"/>
        </w:tabs>
        <w:spacing w:line="657" w:lineRule="exact"/>
        <w:ind w:left="246"/>
      </w:pPr>
      <w:r>
        <w:rPr>
          <w:rFonts w:ascii="Yu Gothic" w:hAnsi="Yu Gothic" w:eastAsia="Yu Gothic" w:hint="eastAsia"/>
          <w:position w:val="-11"/>
          <w:sz w:val="52"/>
        </w:rPr>
        <w:t></w:t>
        <w:tab/>
      </w:r>
      <w:r>
        <w:rPr>
          <w:spacing w:val="-2"/>
        </w:rPr>
        <w:t>您应当特别注意的事项</w:t>
      </w:r>
      <w:r>
        <w:rPr>
          <w:spacing w:val="-2"/>
          <w:w w:val="99"/>
        </w:rPr>
        <w:t> </w:t>
      </w:r>
    </w:p>
    <w:p>
      <w:pPr>
        <w:pStyle w:val="ListParagraph"/>
        <w:numPr>
          <w:ilvl w:val="0"/>
          <w:numId w:val="1"/>
        </w:numPr>
        <w:tabs>
          <w:tab w:pos="1637" w:val="left" w:leader="none"/>
          <w:tab w:pos="1638" w:val="left" w:leader="none"/>
        </w:tabs>
        <w:spacing w:line="171" w:lineRule="exact" w:before="0" w:after="0"/>
        <w:ind w:left="1638" w:right="0" w:hanging="420"/>
        <w:jc w:val="left"/>
        <w:rPr>
          <w:sz w:val="21"/>
        </w:rPr>
      </w:pPr>
      <w:r>
        <w:rPr>
          <w:spacing w:val="-3"/>
          <w:sz w:val="21"/>
        </w:rPr>
        <w:t>在某些情况下，我们不承担保险责任………………………………………………第</w:t>
      </w:r>
      <w:r>
        <w:rPr>
          <w:sz w:val="21"/>
        </w:rPr>
        <w:t>2.5</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您有及时向我们通知保险事故的责任………………………………………………第</w:t>
      </w:r>
      <w:r>
        <w:rPr>
          <w:sz w:val="21"/>
        </w:rPr>
        <w:t>3.2</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您应当按时支付保险费………………………………………………………………第</w:t>
      </w:r>
      <w:r>
        <w:rPr>
          <w:spacing w:val="-1"/>
          <w:sz w:val="21"/>
        </w:rPr>
        <w:t>4.1</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退保会给您造成一定的损失，请您慎重决策………………………………………第</w:t>
      </w:r>
      <w:r>
        <w:rPr>
          <w:sz w:val="21"/>
        </w:rPr>
        <w:t>7.1</w:t>
      </w:r>
      <w:r>
        <w:rPr>
          <w:spacing w:val="-3"/>
          <w:sz w:val="21"/>
        </w:rPr>
        <w:t>条</w:t>
      </w:r>
      <w:r>
        <w:rPr>
          <w:sz w:val="21"/>
        </w:rPr>
        <w:t> </w:t>
      </w:r>
    </w:p>
    <w:p>
      <w:pPr>
        <w:pStyle w:val="ListParagraph"/>
        <w:numPr>
          <w:ilvl w:val="0"/>
          <w:numId w:val="1"/>
        </w:numPr>
        <w:tabs>
          <w:tab w:pos="1637" w:val="left" w:leader="none"/>
          <w:tab w:pos="1638" w:val="left" w:leader="none"/>
        </w:tabs>
        <w:spacing w:line="240" w:lineRule="auto" w:before="37" w:after="0"/>
        <w:ind w:left="1638" w:right="0" w:hanging="420"/>
        <w:jc w:val="left"/>
        <w:rPr>
          <w:sz w:val="21"/>
        </w:rPr>
      </w:pPr>
      <w:r>
        <w:rPr>
          <w:spacing w:val="-3"/>
          <w:sz w:val="21"/>
        </w:rPr>
        <w:t>我们对一些重要术语进行了解释，并作了显著标识，请您注意…………………第 9</w:t>
      </w:r>
      <w:r>
        <w:rPr>
          <w:spacing w:val="6"/>
          <w:sz w:val="21"/>
        </w:rPr>
        <w:t> 条</w:t>
      </w:r>
      <w:r>
        <w:rPr>
          <w:sz w:val="21"/>
        </w:rPr>
        <w:t> </w:t>
      </w:r>
    </w:p>
    <w:p>
      <w:pPr>
        <w:pStyle w:val="BodyText"/>
        <w:spacing w:line="159" w:lineRule="exact"/>
        <w:ind w:left="0" w:right="6902"/>
        <w:jc w:val="center"/>
      </w:pPr>
      <w:r>
        <w:rPr>
          <w:w w:val="100"/>
        </w:rPr>
        <w:t> </w:t>
      </w:r>
    </w:p>
    <w:p>
      <w:pPr>
        <w:pStyle w:val="Heading2"/>
        <w:tabs>
          <w:tab w:pos="1256" w:val="left" w:leader="none"/>
        </w:tabs>
        <w:spacing w:line="523" w:lineRule="exact"/>
        <w:ind w:left="246"/>
      </w:pPr>
      <w:r>
        <w:rPr>
          <w:rFonts w:ascii="Yu Gothic" w:hAnsi="Yu Gothic" w:eastAsia="Yu Gothic" w:hint="eastAsia"/>
          <w:position w:val="-11"/>
          <w:sz w:val="52"/>
        </w:rPr>
        <w:t></w:t>
        <w:tab/>
      </w:r>
      <w:r>
        <w:rPr>
          <w:spacing w:val="-3"/>
        </w:rPr>
        <w:t>条款是保险合同的重要内容，为充分保障您的权益，请您仔细阅读本条款。</w:t>
      </w:r>
      <w:r>
        <w:rPr>
          <w:spacing w:val="-3"/>
          <w:w w:val="99"/>
        </w:rPr>
        <w:t> </w:t>
      </w:r>
    </w:p>
    <w:p>
      <w:pPr>
        <w:tabs>
          <w:tab w:pos="1256" w:val="left" w:leader="none"/>
        </w:tabs>
        <w:spacing w:line="534" w:lineRule="exact" w:before="0"/>
        <w:ind w:left="246" w:right="0" w:firstLine="0"/>
        <w:jc w:val="left"/>
        <w:rPr>
          <w:b/>
          <w:sz w:val="21"/>
        </w:rPr>
      </w:pPr>
      <w:r>
        <w:rPr>
          <w:rFonts w:ascii="Yu Gothic" w:hAnsi="Yu Gothic" w:eastAsia="Yu Gothic" w:hint="eastAsia"/>
          <w:b/>
          <w:position w:val="-11"/>
          <w:sz w:val="52"/>
        </w:rPr>
        <w:t></w:t>
        <w:tab/>
      </w:r>
      <w:r>
        <w:rPr>
          <w:b/>
          <w:spacing w:val="-1"/>
          <w:sz w:val="21"/>
        </w:rPr>
        <w:t>条款目录</w:t>
      </w:r>
      <w:r>
        <w:rPr>
          <w:b/>
          <w:w w:val="99"/>
          <w:sz w:val="21"/>
        </w:rPr>
        <w:t> </w:t>
      </w:r>
    </w:p>
    <w:p>
      <w:pPr>
        <w:pStyle w:val="Heading2"/>
        <w:spacing w:line="170" w:lineRule="exact" w:after="50"/>
        <w:ind w:left="246"/>
      </w:pPr>
      <w:r>
        <w:rPr>
          <w:w w:val="99"/>
        </w:rPr>
        <w:t> </w:t>
      </w: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2"/>
        <w:gridCol w:w="3284"/>
        <w:gridCol w:w="3322"/>
      </w:tblGrid>
      <w:tr>
        <w:trPr>
          <w:trHeight w:val="336" w:hRule="atLeast"/>
        </w:trPr>
        <w:tc>
          <w:tcPr>
            <w:tcW w:w="3182" w:type="dxa"/>
            <w:tcBorders>
              <w:top w:val="single" w:sz="4" w:space="0" w:color="000000"/>
              <w:left w:val="single" w:sz="4" w:space="0" w:color="000000"/>
            </w:tcBorders>
          </w:tcPr>
          <w:p>
            <w:pPr>
              <w:pStyle w:val="TableParagraph"/>
              <w:spacing w:line="262" w:lineRule="exact"/>
              <w:ind w:left="71"/>
              <w:rPr>
                <w:b/>
                <w:sz w:val="21"/>
              </w:rPr>
            </w:pPr>
            <w:r>
              <w:rPr>
                <w:b/>
                <w:sz w:val="21"/>
              </w:rPr>
              <w:t>1.您与我们的合同</w:t>
            </w:r>
            <w:r>
              <w:rPr>
                <w:b/>
                <w:w w:val="99"/>
                <w:sz w:val="21"/>
              </w:rPr>
              <w:t> </w:t>
            </w:r>
          </w:p>
        </w:tc>
        <w:tc>
          <w:tcPr>
            <w:tcW w:w="3284" w:type="dxa"/>
            <w:tcBorders>
              <w:top w:val="single" w:sz="4" w:space="0" w:color="000000"/>
            </w:tcBorders>
          </w:tcPr>
          <w:p>
            <w:pPr>
              <w:pStyle w:val="TableParagraph"/>
              <w:spacing w:before="4"/>
              <w:ind w:left="298"/>
              <w:rPr>
                <w:b/>
                <w:sz w:val="21"/>
              </w:rPr>
            </w:pPr>
            <w:r>
              <w:rPr>
                <w:sz w:val="21"/>
              </w:rPr>
              <w:t>5.1 现金价值</w:t>
            </w:r>
            <w:r>
              <w:rPr>
                <w:b/>
                <w:w w:val="99"/>
                <w:sz w:val="21"/>
              </w:rPr>
              <w:t> </w:t>
            </w:r>
          </w:p>
        </w:tc>
        <w:tc>
          <w:tcPr>
            <w:tcW w:w="3322" w:type="dxa"/>
            <w:tcBorders>
              <w:top w:val="single" w:sz="4" w:space="0" w:color="000000"/>
              <w:right w:val="single" w:sz="4" w:space="0" w:color="000000"/>
            </w:tcBorders>
          </w:tcPr>
          <w:p>
            <w:pPr>
              <w:pStyle w:val="TableParagraph"/>
              <w:spacing w:line="262" w:lineRule="exact"/>
              <w:ind w:left="106"/>
              <w:rPr>
                <w:sz w:val="21"/>
              </w:rPr>
            </w:pPr>
            <w:r>
              <w:rPr>
                <w:sz w:val="21"/>
              </w:rPr>
              <w:t>9.5 本合同已交保险费 </w:t>
            </w:r>
          </w:p>
        </w:tc>
      </w:tr>
      <w:tr>
        <w:trPr>
          <w:trHeight w:val="343" w:hRule="atLeast"/>
        </w:trPr>
        <w:tc>
          <w:tcPr>
            <w:tcW w:w="3182" w:type="dxa"/>
            <w:tcBorders>
              <w:left w:val="single" w:sz="4" w:space="0" w:color="000000"/>
            </w:tcBorders>
          </w:tcPr>
          <w:p>
            <w:pPr>
              <w:pStyle w:val="TableParagraph"/>
              <w:spacing w:line="269" w:lineRule="exact"/>
              <w:ind w:left="208"/>
              <w:rPr>
                <w:b/>
                <w:sz w:val="21"/>
              </w:rPr>
            </w:pPr>
            <w:r>
              <w:rPr>
                <w:sz w:val="21"/>
              </w:rPr>
              <w:t>1.1 保险合同构成</w:t>
            </w:r>
            <w:r>
              <w:rPr>
                <w:b/>
                <w:w w:val="99"/>
                <w:sz w:val="21"/>
              </w:rPr>
              <w:t> </w:t>
            </w:r>
          </w:p>
        </w:tc>
        <w:tc>
          <w:tcPr>
            <w:tcW w:w="3284" w:type="dxa"/>
          </w:tcPr>
          <w:p>
            <w:pPr>
              <w:pStyle w:val="TableParagraph"/>
              <w:spacing w:before="11"/>
              <w:ind w:left="298"/>
              <w:rPr>
                <w:sz w:val="21"/>
              </w:rPr>
            </w:pPr>
            <w:r>
              <w:rPr>
                <w:sz w:val="21"/>
              </w:rPr>
              <w:t>5.2 保单贷款 </w:t>
            </w:r>
          </w:p>
        </w:tc>
        <w:tc>
          <w:tcPr>
            <w:tcW w:w="3322" w:type="dxa"/>
            <w:tcBorders>
              <w:right w:val="single" w:sz="4" w:space="0" w:color="000000"/>
            </w:tcBorders>
          </w:tcPr>
          <w:p>
            <w:pPr>
              <w:pStyle w:val="TableParagraph"/>
              <w:spacing w:line="269" w:lineRule="exact"/>
              <w:ind w:left="106"/>
              <w:rPr>
                <w:sz w:val="21"/>
              </w:rPr>
            </w:pPr>
            <w:r>
              <w:rPr>
                <w:sz w:val="21"/>
              </w:rPr>
              <w:t>9.6 重大疾病 </w:t>
            </w:r>
          </w:p>
        </w:tc>
      </w:tr>
      <w:tr>
        <w:trPr>
          <w:trHeight w:val="343" w:hRule="atLeast"/>
        </w:trPr>
        <w:tc>
          <w:tcPr>
            <w:tcW w:w="3182" w:type="dxa"/>
            <w:tcBorders>
              <w:left w:val="single" w:sz="4" w:space="0" w:color="000000"/>
            </w:tcBorders>
          </w:tcPr>
          <w:p>
            <w:pPr>
              <w:pStyle w:val="TableParagraph"/>
              <w:spacing w:line="269" w:lineRule="exact"/>
              <w:ind w:left="107"/>
              <w:rPr>
                <w:sz w:val="21"/>
              </w:rPr>
            </w:pPr>
            <w:r>
              <w:rPr>
                <w:w w:val="100"/>
                <w:sz w:val="21"/>
              </w:rPr>
              <w:t> </w:t>
            </w:r>
            <w:r>
              <w:rPr>
                <w:sz w:val="21"/>
              </w:rPr>
              <w:t>1.2 保险合同成立与生效 </w:t>
            </w:r>
          </w:p>
        </w:tc>
        <w:tc>
          <w:tcPr>
            <w:tcW w:w="3284" w:type="dxa"/>
          </w:tcPr>
          <w:p>
            <w:pPr>
              <w:pStyle w:val="TableParagraph"/>
              <w:spacing w:before="10"/>
              <w:ind w:left="192"/>
              <w:rPr>
                <w:b/>
                <w:sz w:val="21"/>
              </w:rPr>
            </w:pPr>
            <w:r>
              <w:rPr>
                <w:b/>
                <w:sz w:val="21"/>
              </w:rPr>
              <w:t>6.合同效力的中止和恢复</w:t>
            </w:r>
            <w:r>
              <w:rPr>
                <w:b/>
                <w:w w:val="99"/>
                <w:sz w:val="21"/>
              </w:rPr>
              <w:t> </w:t>
            </w:r>
          </w:p>
        </w:tc>
        <w:tc>
          <w:tcPr>
            <w:tcW w:w="3322" w:type="dxa"/>
            <w:tcBorders>
              <w:right w:val="single" w:sz="4" w:space="0" w:color="000000"/>
            </w:tcBorders>
          </w:tcPr>
          <w:p>
            <w:pPr>
              <w:pStyle w:val="TableParagraph"/>
              <w:spacing w:line="269" w:lineRule="exact"/>
              <w:ind w:left="106"/>
              <w:rPr>
                <w:sz w:val="21"/>
              </w:rPr>
            </w:pPr>
            <w:r>
              <w:rPr>
                <w:sz w:val="21"/>
              </w:rPr>
              <w:t>9.7 轻症疾病 </w:t>
            </w:r>
          </w:p>
        </w:tc>
      </w:tr>
      <w:tr>
        <w:trPr>
          <w:trHeight w:val="343" w:hRule="atLeast"/>
        </w:trPr>
        <w:tc>
          <w:tcPr>
            <w:tcW w:w="3182" w:type="dxa"/>
            <w:tcBorders>
              <w:left w:val="single" w:sz="4" w:space="0" w:color="000000"/>
            </w:tcBorders>
          </w:tcPr>
          <w:p>
            <w:pPr>
              <w:pStyle w:val="TableParagraph"/>
              <w:spacing w:line="269" w:lineRule="exact"/>
              <w:ind w:left="107"/>
              <w:rPr>
                <w:sz w:val="21"/>
              </w:rPr>
            </w:pPr>
            <w:r>
              <w:rPr>
                <w:w w:val="100"/>
                <w:sz w:val="21"/>
              </w:rPr>
              <w:t> </w:t>
            </w:r>
            <w:r>
              <w:rPr>
                <w:sz w:val="21"/>
              </w:rPr>
              <w:t>1.3 投保年龄 </w:t>
            </w:r>
          </w:p>
        </w:tc>
        <w:tc>
          <w:tcPr>
            <w:tcW w:w="3284" w:type="dxa"/>
          </w:tcPr>
          <w:p>
            <w:pPr>
              <w:pStyle w:val="TableParagraph"/>
              <w:spacing w:before="10"/>
              <w:ind w:left="298"/>
              <w:rPr>
                <w:sz w:val="21"/>
              </w:rPr>
            </w:pPr>
            <w:r>
              <w:rPr>
                <w:sz w:val="21"/>
              </w:rPr>
              <w:t>6.1 效力中止 </w:t>
            </w:r>
          </w:p>
        </w:tc>
        <w:tc>
          <w:tcPr>
            <w:tcW w:w="3322" w:type="dxa"/>
            <w:tcBorders>
              <w:right w:val="single" w:sz="4" w:space="0" w:color="000000"/>
            </w:tcBorders>
          </w:tcPr>
          <w:p>
            <w:pPr>
              <w:pStyle w:val="TableParagraph"/>
              <w:spacing w:line="269" w:lineRule="exact"/>
              <w:ind w:left="106"/>
              <w:rPr>
                <w:sz w:val="21"/>
              </w:rPr>
            </w:pPr>
            <w:r>
              <w:rPr>
                <w:sz w:val="21"/>
              </w:rPr>
              <w:t>9.8 重大疾病分组表 </w:t>
            </w:r>
          </w:p>
        </w:tc>
      </w:tr>
      <w:tr>
        <w:trPr>
          <w:trHeight w:val="342" w:hRule="atLeast"/>
        </w:trPr>
        <w:tc>
          <w:tcPr>
            <w:tcW w:w="3182" w:type="dxa"/>
            <w:tcBorders>
              <w:left w:val="single" w:sz="4" w:space="0" w:color="000000"/>
            </w:tcBorders>
          </w:tcPr>
          <w:p>
            <w:pPr>
              <w:pStyle w:val="TableParagraph"/>
              <w:spacing w:line="269" w:lineRule="exact"/>
              <w:ind w:left="107"/>
              <w:rPr>
                <w:sz w:val="21"/>
              </w:rPr>
            </w:pPr>
            <w:r>
              <w:rPr>
                <w:w w:val="100"/>
                <w:sz w:val="21"/>
              </w:rPr>
              <w:t> </w:t>
            </w:r>
            <w:r>
              <w:rPr>
                <w:sz w:val="21"/>
              </w:rPr>
              <w:t>1.4 犹豫期 </w:t>
            </w:r>
          </w:p>
        </w:tc>
        <w:tc>
          <w:tcPr>
            <w:tcW w:w="3284" w:type="dxa"/>
          </w:tcPr>
          <w:p>
            <w:pPr>
              <w:pStyle w:val="TableParagraph"/>
              <w:spacing w:before="8"/>
              <w:ind w:left="298"/>
              <w:rPr>
                <w:sz w:val="21"/>
              </w:rPr>
            </w:pPr>
            <w:r>
              <w:rPr>
                <w:sz w:val="21"/>
              </w:rPr>
              <w:t>6.2 效力恢复 </w:t>
            </w:r>
          </w:p>
        </w:tc>
        <w:tc>
          <w:tcPr>
            <w:tcW w:w="3322" w:type="dxa"/>
            <w:tcBorders>
              <w:right w:val="single" w:sz="4" w:space="0" w:color="000000"/>
            </w:tcBorders>
          </w:tcPr>
          <w:p>
            <w:pPr>
              <w:pStyle w:val="TableParagraph"/>
              <w:spacing w:line="269" w:lineRule="exact"/>
              <w:ind w:left="106"/>
              <w:rPr>
                <w:sz w:val="21"/>
              </w:rPr>
            </w:pPr>
            <w:r>
              <w:rPr>
                <w:sz w:val="21"/>
              </w:rPr>
              <w:t>9.9 初次发生 </w:t>
            </w:r>
          </w:p>
        </w:tc>
      </w:tr>
      <w:tr>
        <w:trPr>
          <w:trHeight w:val="343" w:hRule="atLeast"/>
        </w:trPr>
        <w:tc>
          <w:tcPr>
            <w:tcW w:w="3182" w:type="dxa"/>
            <w:tcBorders>
              <w:left w:val="single" w:sz="4" w:space="0" w:color="000000"/>
            </w:tcBorders>
          </w:tcPr>
          <w:p>
            <w:pPr>
              <w:pStyle w:val="TableParagraph"/>
              <w:spacing w:line="270" w:lineRule="exact"/>
              <w:ind w:left="107"/>
              <w:rPr>
                <w:b/>
                <w:sz w:val="21"/>
              </w:rPr>
            </w:pPr>
            <w:r>
              <w:rPr>
                <w:b/>
                <w:sz w:val="21"/>
              </w:rPr>
              <w:t>2.我们提供的保障</w:t>
            </w:r>
            <w:r>
              <w:rPr>
                <w:b/>
                <w:w w:val="99"/>
                <w:sz w:val="21"/>
              </w:rPr>
              <w:t> </w:t>
            </w:r>
          </w:p>
        </w:tc>
        <w:tc>
          <w:tcPr>
            <w:tcW w:w="3284" w:type="dxa"/>
          </w:tcPr>
          <w:p>
            <w:pPr>
              <w:pStyle w:val="TableParagraph"/>
              <w:spacing w:before="9"/>
              <w:ind w:left="192"/>
              <w:rPr>
                <w:sz w:val="21"/>
              </w:rPr>
            </w:pPr>
            <w:r>
              <w:rPr>
                <w:b/>
                <w:sz w:val="21"/>
              </w:rPr>
              <w:t>7.合同解除和效力终止</w:t>
            </w:r>
            <w:r>
              <w:rPr>
                <w:w w:val="100"/>
                <w:sz w:val="21"/>
              </w:rPr>
              <w:t> </w:t>
            </w:r>
          </w:p>
        </w:tc>
        <w:tc>
          <w:tcPr>
            <w:tcW w:w="3322" w:type="dxa"/>
            <w:tcBorders>
              <w:right w:val="single" w:sz="4" w:space="0" w:color="000000"/>
            </w:tcBorders>
          </w:tcPr>
          <w:p>
            <w:pPr>
              <w:pStyle w:val="TableParagraph"/>
              <w:spacing w:line="270" w:lineRule="exact"/>
              <w:ind w:left="106"/>
              <w:rPr>
                <w:sz w:val="21"/>
              </w:rPr>
            </w:pPr>
            <w:r>
              <w:rPr>
                <w:sz w:val="21"/>
              </w:rPr>
              <w:t>9.10 医院 </w:t>
            </w:r>
          </w:p>
        </w:tc>
      </w:tr>
      <w:tr>
        <w:trPr>
          <w:trHeight w:val="343" w:hRule="atLeast"/>
        </w:trPr>
        <w:tc>
          <w:tcPr>
            <w:tcW w:w="3182" w:type="dxa"/>
            <w:tcBorders>
              <w:left w:val="single" w:sz="4" w:space="0" w:color="000000"/>
            </w:tcBorders>
          </w:tcPr>
          <w:p>
            <w:pPr>
              <w:pStyle w:val="TableParagraph"/>
              <w:spacing w:line="270" w:lineRule="exact"/>
              <w:ind w:left="107"/>
              <w:rPr>
                <w:sz w:val="21"/>
              </w:rPr>
            </w:pPr>
            <w:r>
              <w:rPr>
                <w:w w:val="100"/>
                <w:sz w:val="21"/>
              </w:rPr>
              <w:t> </w:t>
            </w:r>
            <w:r>
              <w:rPr>
                <w:sz w:val="21"/>
              </w:rPr>
              <w:t>2.1 基本保险金额 </w:t>
            </w:r>
          </w:p>
        </w:tc>
        <w:tc>
          <w:tcPr>
            <w:tcW w:w="3284" w:type="dxa"/>
          </w:tcPr>
          <w:p>
            <w:pPr>
              <w:pStyle w:val="TableParagraph"/>
              <w:spacing w:before="9"/>
              <w:ind w:left="192"/>
              <w:rPr>
                <w:sz w:val="21"/>
              </w:rPr>
            </w:pPr>
            <w:r>
              <w:rPr>
                <w:w w:val="100"/>
                <w:sz w:val="21"/>
              </w:rPr>
              <w:t> </w:t>
            </w:r>
            <w:r>
              <w:rPr>
                <w:sz w:val="21"/>
              </w:rPr>
              <w:t>7.1 您解除合同的手续及风险  </w:t>
            </w:r>
          </w:p>
        </w:tc>
        <w:tc>
          <w:tcPr>
            <w:tcW w:w="3322" w:type="dxa"/>
            <w:tcBorders>
              <w:right w:val="single" w:sz="4" w:space="0" w:color="000000"/>
            </w:tcBorders>
          </w:tcPr>
          <w:p>
            <w:pPr>
              <w:pStyle w:val="TableParagraph"/>
              <w:spacing w:line="270" w:lineRule="exact"/>
              <w:ind w:left="106"/>
              <w:rPr>
                <w:sz w:val="21"/>
              </w:rPr>
            </w:pPr>
            <w:r>
              <w:rPr>
                <w:sz w:val="21"/>
              </w:rPr>
              <w:t>9.11 专科医生 </w:t>
            </w:r>
          </w:p>
        </w:tc>
      </w:tr>
      <w:tr>
        <w:trPr>
          <w:trHeight w:val="343" w:hRule="atLeast"/>
        </w:trPr>
        <w:tc>
          <w:tcPr>
            <w:tcW w:w="3182" w:type="dxa"/>
            <w:tcBorders>
              <w:left w:val="single" w:sz="4" w:space="0" w:color="000000"/>
            </w:tcBorders>
          </w:tcPr>
          <w:p>
            <w:pPr>
              <w:pStyle w:val="TableParagraph"/>
              <w:spacing w:line="270" w:lineRule="exact"/>
              <w:ind w:left="208"/>
              <w:rPr>
                <w:sz w:val="21"/>
              </w:rPr>
            </w:pPr>
            <w:r>
              <w:rPr>
                <w:sz w:val="21"/>
              </w:rPr>
              <w:t>2.2 未成年人身故保险金限制 </w:t>
            </w:r>
          </w:p>
        </w:tc>
        <w:tc>
          <w:tcPr>
            <w:tcW w:w="3284" w:type="dxa"/>
          </w:tcPr>
          <w:p>
            <w:pPr>
              <w:pStyle w:val="TableParagraph"/>
              <w:spacing w:before="9"/>
              <w:ind w:left="291"/>
              <w:rPr>
                <w:sz w:val="21"/>
              </w:rPr>
            </w:pPr>
            <w:r>
              <w:rPr>
                <w:sz w:val="21"/>
              </w:rPr>
              <w:t>7.2 合同效力的终止 </w:t>
            </w:r>
          </w:p>
        </w:tc>
        <w:tc>
          <w:tcPr>
            <w:tcW w:w="3322" w:type="dxa"/>
            <w:tcBorders>
              <w:right w:val="single" w:sz="4" w:space="0" w:color="000000"/>
            </w:tcBorders>
          </w:tcPr>
          <w:p>
            <w:pPr>
              <w:pStyle w:val="TableParagraph"/>
              <w:spacing w:line="270" w:lineRule="exact"/>
              <w:ind w:left="106"/>
              <w:rPr>
                <w:sz w:val="21"/>
              </w:rPr>
            </w:pPr>
            <w:r>
              <w:rPr>
                <w:sz w:val="21"/>
              </w:rPr>
              <w:t>9.12 轻症疾病分组表 </w:t>
            </w:r>
          </w:p>
        </w:tc>
      </w:tr>
      <w:tr>
        <w:trPr>
          <w:trHeight w:val="343" w:hRule="atLeast"/>
        </w:trPr>
        <w:tc>
          <w:tcPr>
            <w:tcW w:w="3182" w:type="dxa"/>
            <w:tcBorders>
              <w:left w:val="single" w:sz="4" w:space="0" w:color="000000"/>
            </w:tcBorders>
          </w:tcPr>
          <w:p>
            <w:pPr>
              <w:pStyle w:val="TableParagraph"/>
              <w:spacing w:line="270" w:lineRule="exact"/>
              <w:ind w:left="208"/>
              <w:rPr>
                <w:sz w:val="21"/>
              </w:rPr>
            </w:pPr>
            <w:r>
              <w:rPr>
                <w:sz w:val="21"/>
              </w:rPr>
              <w:t>2.3 保险期间 </w:t>
            </w:r>
          </w:p>
        </w:tc>
        <w:tc>
          <w:tcPr>
            <w:tcW w:w="3284" w:type="dxa"/>
          </w:tcPr>
          <w:p>
            <w:pPr>
              <w:pStyle w:val="TableParagraph"/>
              <w:spacing w:before="9"/>
              <w:ind w:left="192"/>
              <w:rPr>
                <w:sz w:val="21"/>
              </w:rPr>
            </w:pPr>
            <w:r>
              <w:rPr>
                <w:b/>
                <w:sz w:val="21"/>
              </w:rPr>
              <w:t>8.其他需要关注的事项</w:t>
            </w:r>
            <w:r>
              <w:rPr>
                <w:w w:val="100"/>
                <w:sz w:val="21"/>
              </w:rPr>
              <w:t> </w:t>
            </w:r>
          </w:p>
        </w:tc>
        <w:tc>
          <w:tcPr>
            <w:tcW w:w="3322" w:type="dxa"/>
            <w:tcBorders>
              <w:right w:val="single" w:sz="4" w:space="0" w:color="000000"/>
            </w:tcBorders>
          </w:tcPr>
          <w:p>
            <w:pPr>
              <w:pStyle w:val="TableParagraph"/>
              <w:spacing w:line="270" w:lineRule="exact"/>
              <w:ind w:left="106"/>
              <w:rPr>
                <w:sz w:val="21"/>
              </w:rPr>
            </w:pPr>
            <w:r>
              <w:rPr>
                <w:sz w:val="21"/>
              </w:rPr>
              <w:t>9.13 毒品 </w:t>
            </w:r>
          </w:p>
        </w:tc>
      </w:tr>
      <w:tr>
        <w:trPr>
          <w:trHeight w:val="342" w:hRule="atLeast"/>
        </w:trPr>
        <w:tc>
          <w:tcPr>
            <w:tcW w:w="3182" w:type="dxa"/>
            <w:tcBorders>
              <w:left w:val="single" w:sz="4" w:space="0" w:color="000000"/>
            </w:tcBorders>
          </w:tcPr>
          <w:p>
            <w:pPr>
              <w:pStyle w:val="TableParagraph"/>
              <w:spacing w:line="270" w:lineRule="exact"/>
              <w:ind w:left="213"/>
              <w:rPr>
                <w:sz w:val="21"/>
              </w:rPr>
            </w:pPr>
            <w:r>
              <w:rPr>
                <w:sz w:val="21"/>
              </w:rPr>
              <w:t>2.4 保险责任 </w:t>
            </w:r>
          </w:p>
        </w:tc>
        <w:tc>
          <w:tcPr>
            <w:tcW w:w="3284" w:type="dxa"/>
          </w:tcPr>
          <w:p>
            <w:pPr>
              <w:pStyle w:val="TableParagraph"/>
              <w:spacing w:before="9"/>
              <w:ind w:left="298"/>
              <w:rPr>
                <w:sz w:val="21"/>
              </w:rPr>
            </w:pPr>
            <w:r>
              <w:rPr>
                <w:sz w:val="21"/>
              </w:rPr>
              <w:t>8.1 明确说明与如实告知 </w:t>
            </w:r>
          </w:p>
        </w:tc>
        <w:tc>
          <w:tcPr>
            <w:tcW w:w="3322" w:type="dxa"/>
            <w:tcBorders>
              <w:right w:val="single" w:sz="4" w:space="0" w:color="000000"/>
            </w:tcBorders>
          </w:tcPr>
          <w:p>
            <w:pPr>
              <w:pStyle w:val="TableParagraph"/>
              <w:spacing w:line="270" w:lineRule="exact"/>
              <w:ind w:left="106"/>
              <w:rPr>
                <w:sz w:val="21"/>
              </w:rPr>
            </w:pPr>
            <w:r>
              <w:rPr>
                <w:sz w:val="21"/>
              </w:rPr>
              <w:t>9.14 酒后驾驶 </w:t>
            </w:r>
          </w:p>
        </w:tc>
      </w:tr>
      <w:tr>
        <w:trPr>
          <w:trHeight w:val="343" w:hRule="atLeast"/>
        </w:trPr>
        <w:tc>
          <w:tcPr>
            <w:tcW w:w="3182" w:type="dxa"/>
            <w:tcBorders>
              <w:left w:val="single" w:sz="4" w:space="0" w:color="000000"/>
            </w:tcBorders>
          </w:tcPr>
          <w:p>
            <w:pPr>
              <w:pStyle w:val="TableParagraph"/>
              <w:spacing w:before="10"/>
              <w:ind w:left="107"/>
              <w:rPr>
                <w:sz w:val="21"/>
              </w:rPr>
            </w:pPr>
            <w:r>
              <w:rPr>
                <w:w w:val="100"/>
                <w:sz w:val="21"/>
              </w:rPr>
              <w:t> </w:t>
            </w:r>
            <w:r>
              <w:rPr>
                <w:sz w:val="21"/>
              </w:rPr>
              <w:t>2.5 责任免除 </w:t>
            </w:r>
          </w:p>
        </w:tc>
        <w:tc>
          <w:tcPr>
            <w:tcW w:w="3284" w:type="dxa"/>
          </w:tcPr>
          <w:p>
            <w:pPr>
              <w:pStyle w:val="TableParagraph"/>
              <w:spacing w:before="10"/>
              <w:ind w:left="298"/>
              <w:rPr>
                <w:b/>
                <w:sz w:val="21"/>
              </w:rPr>
            </w:pPr>
            <w:r>
              <w:rPr>
                <w:sz w:val="21"/>
              </w:rPr>
              <w:t>8.2 我们合同解除权的限制</w:t>
            </w:r>
            <w:r>
              <w:rPr>
                <w:b/>
                <w:w w:val="99"/>
                <w:sz w:val="21"/>
              </w:rPr>
              <w:t> </w:t>
            </w:r>
          </w:p>
        </w:tc>
        <w:tc>
          <w:tcPr>
            <w:tcW w:w="3322" w:type="dxa"/>
            <w:tcBorders>
              <w:right w:val="single" w:sz="4" w:space="0" w:color="000000"/>
            </w:tcBorders>
          </w:tcPr>
          <w:p>
            <w:pPr>
              <w:pStyle w:val="TableParagraph"/>
              <w:spacing w:line="269" w:lineRule="exact"/>
              <w:ind w:left="106"/>
              <w:rPr>
                <w:sz w:val="21"/>
              </w:rPr>
            </w:pPr>
            <w:r>
              <w:rPr>
                <w:sz w:val="21"/>
              </w:rPr>
              <w:t>9.15 无合法有效驾驶证驾驶 </w:t>
            </w:r>
          </w:p>
        </w:tc>
      </w:tr>
      <w:tr>
        <w:trPr>
          <w:trHeight w:val="343" w:hRule="atLeast"/>
        </w:trPr>
        <w:tc>
          <w:tcPr>
            <w:tcW w:w="3182" w:type="dxa"/>
            <w:tcBorders>
              <w:left w:val="single" w:sz="4" w:space="0" w:color="000000"/>
            </w:tcBorders>
          </w:tcPr>
          <w:p>
            <w:pPr>
              <w:pStyle w:val="TableParagraph"/>
              <w:spacing w:before="11"/>
              <w:ind w:left="107"/>
              <w:rPr>
                <w:sz w:val="21"/>
              </w:rPr>
            </w:pPr>
            <w:r>
              <w:rPr>
                <w:b/>
                <w:sz w:val="21"/>
              </w:rPr>
              <w:t>3.如何申请领取保险金</w:t>
            </w:r>
            <w:r>
              <w:rPr>
                <w:w w:val="100"/>
                <w:sz w:val="21"/>
              </w:rPr>
              <w:t> </w:t>
            </w:r>
          </w:p>
        </w:tc>
        <w:tc>
          <w:tcPr>
            <w:tcW w:w="3284" w:type="dxa"/>
          </w:tcPr>
          <w:p>
            <w:pPr>
              <w:pStyle w:val="TableParagraph"/>
              <w:spacing w:before="11"/>
              <w:ind w:left="298"/>
              <w:rPr>
                <w:sz w:val="21"/>
              </w:rPr>
            </w:pPr>
            <w:r>
              <w:rPr>
                <w:sz w:val="21"/>
              </w:rPr>
              <w:t>8.3 年龄错误 </w:t>
            </w:r>
          </w:p>
        </w:tc>
        <w:tc>
          <w:tcPr>
            <w:tcW w:w="3322" w:type="dxa"/>
            <w:tcBorders>
              <w:right w:val="single" w:sz="4" w:space="0" w:color="000000"/>
            </w:tcBorders>
          </w:tcPr>
          <w:p>
            <w:pPr>
              <w:pStyle w:val="TableParagraph"/>
              <w:spacing w:line="269" w:lineRule="exact"/>
              <w:ind w:left="106"/>
              <w:rPr>
                <w:sz w:val="21"/>
              </w:rPr>
            </w:pPr>
            <w:r>
              <w:rPr>
                <w:sz w:val="21"/>
              </w:rPr>
              <w:t>9.16 无有效行驶证 </w:t>
            </w:r>
          </w:p>
        </w:tc>
      </w:tr>
      <w:tr>
        <w:trPr>
          <w:trHeight w:val="343" w:hRule="atLeast"/>
        </w:trPr>
        <w:tc>
          <w:tcPr>
            <w:tcW w:w="3182" w:type="dxa"/>
            <w:tcBorders>
              <w:left w:val="single" w:sz="4" w:space="0" w:color="000000"/>
            </w:tcBorders>
          </w:tcPr>
          <w:p>
            <w:pPr>
              <w:pStyle w:val="TableParagraph"/>
              <w:spacing w:before="10"/>
              <w:ind w:left="107"/>
              <w:rPr>
                <w:b/>
                <w:sz w:val="21"/>
              </w:rPr>
            </w:pPr>
            <w:r>
              <w:rPr>
                <w:w w:val="100"/>
                <w:sz w:val="21"/>
              </w:rPr>
              <w:t> </w:t>
            </w:r>
            <w:r>
              <w:rPr>
                <w:sz w:val="21"/>
              </w:rPr>
              <w:t>3.1 受益人</w:t>
            </w:r>
            <w:r>
              <w:rPr>
                <w:b/>
                <w:w w:val="99"/>
                <w:sz w:val="21"/>
              </w:rPr>
              <w:t> </w:t>
            </w:r>
          </w:p>
        </w:tc>
        <w:tc>
          <w:tcPr>
            <w:tcW w:w="3284" w:type="dxa"/>
          </w:tcPr>
          <w:p>
            <w:pPr>
              <w:pStyle w:val="TableParagraph"/>
              <w:spacing w:line="269" w:lineRule="exact"/>
              <w:ind w:left="298"/>
              <w:rPr>
                <w:b/>
                <w:sz w:val="21"/>
              </w:rPr>
            </w:pPr>
            <w:r>
              <w:rPr>
                <w:sz w:val="21"/>
              </w:rPr>
              <w:t>8.4 未还款项</w:t>
            </w:r>
            <w:r>
              <w:rPr>
                <w:b/>
                <w:w w:val="99"/>
                <w:sz w:val="21"/>
              </w:rPr>
              <w:t> </w:t>
            </w:r>
          </w:p>
        </w:tc>
        <w:tc>
          <w:tcPr>
            <w:tcW w:w="3322" w:type="dxa"/>
            <w:tcBorders>
              <w:right w:val="single" w:sz="4" w:space="0" w:color="000000"/>
            </w:tcBorders>
          </w:tcPr>
          <w:p>
            <w:pPr>
              <w:pStyle w:val="TableParagraph"/>
              <w:spacing w:line="269" w:lineRule="exact"/>
              <w:ind w:left="106"/>
              <w:rPr>
                <w:sz w:val="21"/>
              </w:rPr>
            </w:pPr>
            <w:r>
              <w:rPr>
                <w:sz w:val="21"/>
              </w:rPr>
              <w:t>9.17 机动车 </w:t>
            </w:r>
          </w:p>
        </w:tc>
      </w:tr>
      <w:tr>
        <w:trPr>
          <w:trHeight w:val="343" w:hRule="atLeast"/>
        </w:trPr>
        <w:tc>
          <w:tcPr>
            <w:tcW w:w="3182" w:type="dxa"/>
            <w:tcBorders>
              <w:left w:val="single" w:sz="4" w:space="0" w:color="000000"/>
            </w:tcBorders>
          </w:tcPr>
          <w:p>
            <w:pPr>
              <w:pStyle w:val="TableParagraph"/>
              <w:spacing w:before="10"/>
              <w:ind w:left="107"/>
              <w:rPr>
                <w:sz w:val="21"/>
              </w:rPr>
            </w:pPr>
            <w:r>
              <w:rPr>
                <w:w w:val="100"/>
                <w:sz w:val="21"/>
              </w:rPr>
              <w:t> </w:t>
            </w:r>
            <w:r>
              <w:rPr>
                <w:sz w:val="21"/>
              </w:rPr>
              <w:t>3.2 保险事故通知 </w:t>
            </w:r>
          </w:p>
        </w:tc>
        <w:tc>
          <w:tcPr>
            <w:tcW w:w="3284" w:type="dxa"/>
          </w:tcPr>
          <w:p>
            <w:pPr>
              <w:pStyle w:val="TableParagraph"/>
              <w:spacing w:before="10"/>
              <w:ind w:left="298"/>
              <w:rPr>
                <w:sz w:val="21"/>
              </w:rPr>
            </w:pPr>
            <w:r>
              <w:rPr>
                <w:sz w:val="21"/>
              </w:rPr>
              <w:t>8.5 合同内容变更 </w:t>
            </w:r>
          </w:p>
        </w:tc>
        <w:tc>
          <w:tcPr>
            <w:tcW w:w="3322" w:type="dxa"/>
            <w:tcBorders>
              <w:right w:val="single" w:sz="4" w:space="0" w:color="000000"/>
            </w:tcBorders>
          </w:tcPr>
          <w:p>
            <w:pPr>
              <w:pStyle w:val="TableParagraph"/>
              <w:spacing w:line="269" w:lineRule="exact"/>
              <w:ind w:left="106"/>
              <w:rPr>
                <w:sz w:val="21"/>
              </w:rPr>
            </w:pPr>
            <w:r>
              <w:rPr>
                <w:sz w:val="21"/>
              </w:rPr>
              <w:t>9.18 感染艾滋病病毒或患艾滋病 </w:t>
            </w:r>
          </w:p>
        </w:tc>
      </w:tr>
      <w:tr>
        <w:trPr>
          <w:trHeight w:val="343" w:hRule="atLeast"/>
        </w:trPr>
        <w:tc>
          <w:tcPr>
            <w:tcW w:w="3182" w:type="dxa"/>
            <w:tcBorders>
              <w:left w:val="single" w:sz="4" w:space="0" w:color="000000"/>
            </w:tcBorders>
          </w:tcPr>
          <w:p>
            <w:pPr>
              <w:pStyle w:val="TableParagraph"/>
              <w:spacing w:before="10"/>
              <w:ind w:left="107"/>
              <w:rPr>
                <w:sz w:val="21"/>
              </w:rPr>
            </w:pPr>
            <w:r>
              <w:rPr>
                <w:w w:val="100"/>
                <w:sz w:val="21"/>
              </w:rPr>
              <w:t> </w:t>
            </w:r>
            <w:r>
              <w:rPr>
                <w:sz w:val="21"/>
              </w:rPr>
              <w:t>3.3 保险金申请 </w:t>
            </w:r>
          </w:p>
        </w:tc>
        <w:tc>
          <w:tcPr>
            <w:tcW w:w="3284" w:type="dxa"/>
          </w:tcPr>
          <w:p>
            <w:pPr>
              <w:pStyle w:val="TableParagraph"/>
              <w:spacing w:line="269" w:lineRule="exact"/>
              <w:ind w:left="298"/>
              <w:rPr>
                <w:b/>
                <w:sz w:val="21"/>
              </w:rPr>
            </w:pPr>
            <w:r>
              <w:rPr>
                <w:sz w:val="21"/>
              </w:rPr>
              <w:t>8.6 联系方式变更</w:t>
            </w:r>
            <w:r>
              <w:rPr>
                <w:b/>
                <w:w w:val="99"/>
                <w:sz w:val="21"/>
              </w:rPr>
              <w:t> </w:t>
            </w:r>
          </w:p>
        </w:tc>
        <w:tc>
          <w:tcPr>
            <w:tcW w:w="3322" w:type="dxa"/>
            <w:tcBorders>
              <w:right w:val="single" w:sz="4" w:space="0" w:color="000000"/>
            </w:tcBorders>
          </w:tcPr>
          <w:p>
            <w:pPr>
              <w:pStyle w:val="TableParagraph"/>
              <w:spacing w:line="269" w:lineRule="exact"/>
              <w:ind w:left="106"/>
              <w:rPr>
                <w:sz w:val="21"/>
              </w:rPr>
            </w:pPr>
            <w:r>
              <w:rPr>
                <w:sz w:val="21"/>
              </w:rPr>
              <w:t>9.19 遗传性疾病 </w:t>
            </w:r>
          </w:p>
        </w:tc>
      </w:tr>
      <w:tr>
        <w:trPr>
          <w:trHeight w:val="343" w:hRule="atLeast"/>
        </w:trPr>
        <w:tc>
          <w:tcPr>
            <w:tcW w:w="3182" w:type="dxa"/>
            <w:tcBorders>
              <w:left w:val="single" w:sz="4" w:space="0" w:color="000000"/>
            </w:tcBorders>
          </w:tcPr>
          <w:p>
            <w:pPr>
              <w:pStyle w:val="TableParagraph"/>
              <w:spacing w:before="10"/>
              <w:ind w:left="213"/>
              <w:rPr>
                <w:sz w:val="21"/>
              </w:rPr>
            </w:pPr>
            <w:r>
              <w:rPr>
                <w:sz w:val="21"/>
              </w:rPr>
              <w:t>3.4 保险金给付 </w:t>
            </w:r>
          </w:p>
        </w:tc>
        <w:tc>
          <w:tcPr>
            <w:tcW w:w="3284" w:type="dxa"/>
          </w:tcPr>
          <w:p>
            <w:pPr>
              <w:pStyle w:val="TableParagraph"/>
              <w:spacing w:line="269" w:lineRule="exact"/>
              <w:ind w:left="298"/>
              <w:rPr>
                <w:sz w:val="21"/>
              </w:rPr>
            </w:pPr>
            <w:r>
              <w:rPr>
                <w:sz w:val="21"/>
              </w:rPr>
              <w:t>8.7 争议处理 </w:t>
            </w:r>
          </w:p>
        </w:tc>
        <w:tc>
          <w:tcPr>
            <w:tcW w:w="3322" w:type="dxa"/>
            <w:vMerge w:val="restart"/>
            <w:tcBorders>
              <w:right w:val="single" w:sz="4" w:space="0" w:color="000000"/>
            </w:tcBorders>
          </w:tcPr>
          <w:p>
            <w:pPr>
              <w:pStyle w:val="TableParagraph"/>
              <w:spacing w:line="273" w:lineRule="auto"/>
              <w:ind w:left="106" w:right="112" w:hanging="3"/>
              <w:rPr>
                <w:sz w:val="21"/>
              </w:rPr>
            </w:pPr>
            <w:r>
              <w:rPr>
                <w:sz w:val="21"/>
              </w:rPr>
              <w:t>9.20 先天性畸形、变形或染色体异常  </w:t>
            </w:r>
          </w:p>
        </w:tc>
      </w:tr>
      <w:tr>
        <w:trPr>
          <w:trHeight w:val="341" w:hRule="atLeast"/>
        </w:trPr>
        <w:tc>
          <w:tcPr>
            <w:tcW w:w="3182" w:type="dxa"/>
            <w:tcBorders>
              <w:left w:val="single" w:sz="4" w:space="0" w:color="000000"/>
            </w:tcBorders>
          </w:tcPr>
          <w:p>
            <w:pPr>
              <w:pStyle w:val="TableParagraph"/>
              <w:spacing w:before="8"/>
              <w:ind w:left="213"/>
              <w:rPr>
                <w:sz w:val="21"/>
              </w:rPr>
            </w:pPr>
            <w:r>
              <w:rPr>
                <w:sz w:val="21"/>
              </w:rPr>
              <w:t>3.5 诉讼时效 </w:t>
            </w:r>
          </w:p>
        </w:tc>
        <w:tc>
          <w:tcPr>
            <w:tcW w:w="3284" w:type="dxa"/>
          </w:tcPr>
          <w:p>
            <w:pPr>
              <w:pStyle w:val="TableParagraph"/>
              <w:spacing w:line="269" w:lineRule="exact"/>
              <w:ind w:left="192"/>
              <w:rPr>
                <w:sz w:val="21"/>
              </w:rPr>
            </w:pPr>
            <w:r>
              <w:rPr>
                <w:b/>
                <w:sz w:val="21"/>
              </w:rPr>
              <w:t>9.释义</w:t>
            </w:r>
            <w:r>
              <w:rPr>
                <w:w w:val="100"/>
                <w:sz w:val="21"/>
              </w:rPr>
              <w:t> </w:t>
            </w:r>
          </w:p>
        </w:tc>
        <w:tc>
          <w:tcPr>
            <w:tcW w:w="3322" w:type="dxa"/>
            <w:vMerge/>
            <w:tcBorders>
              <w:top w:val="nil"/>
              <w:right w:val="single" w:sz="4" w:space="0" w:color="000000"/>
            </w:tcBorders>
          </w:tcPr>
          <w:p>
            <w:pPr>
              <w:rPr>
                <w:sz w:val="2"/>
                <w:szCs w:val="2"/>
              </w:rPr>
            </w:pPr>
          </w:p>
        </w:tc>
      </w:tr>
      <w:tr>
        <w:trPr>
          <w:trHeight w:val="320" w:hRule="atLeast"/>
        </w:trPr>
        <w:tc>
          <w:tcPr>
            <w:tcW w:w="3182" w:type="dxa"/>
            <w:tcBorders>
              <w:left w:val="single" w:sz="4" w:space="0" w:color="000000"/>
            </w:tcBorders>
          </w:tcPr>
          <w:p>
            <w:pPr>
              <w:pStyle w:val="TableParagraph"/>
              <w:spacing w:line="270" w:lineRule="exact"/>
              <w:ind w:left="107"/>
              <w:rPr>
                <w:sz w:val="21"/>
              </w:rPr>
            </w:pPr>
            <w:r>
              <w:rPr>
                <w:b/>
                <w:sz w:val="21"/>
              </w:rPr>
              <w:t>4.如何支付保险费</w:t>
            </w:r>
            <w:r>
              <w:rPr>
                <w:w w:val="100"/>
                <w:sz w:val="21"/>
              </w:rPr>
              <w:t> </w:t>
            </w:r>
          </w:p>
        </w:tc>
        <w:tc>
          <w:tcPr>
            <w:tcW w:w="3284" w:type="dxa"/>
          </w:tcPr>
          <w:p>
            <w:pPr>
              <w:pStyle w:val="TableParagraph"/>
              <w:spacing w:line="270" w:lineRule="exact"/>
              <w:ind w:left="298"/>
              <w:rPr>
                <w:sz w:val="21"/>
              </w:rPr>
            </w:pPr>
            <w:r>
              <w:rPr>
                <w:sz w:val="21"/>
              </w:rPr>
              <w:t>9.1 保单年度 </w:t>
            </w:r>
          </w:p>
        </w:tc>
        <w:tc>
          <w:tcPr>
            <w:tcW w:w="3322" w:type="dxa"/>
            <w:tcBorders>
              <w:right w:val="single" w:sz="4" w:space="0" w:color="000000"/>
            </w:tcBorders>
          </w:tcPr>
          <w:p>
            <w:pPr>
              <w:pStyle w:val="TableParagraph"/>
              <w:spacing w:line="270" w:lineRule="exact"/>
              <w:ind w:left="631"/>
              <w:rPr>
                <w:sz w:val="21"/>
              </w:rPr>
            </w:pPr>
            <w:r>
              <w:rPr>
                <w:w w:val="100"/>
                <w:sz w:val="21"/>
              </w:rPr>
              <w:t> </w:t>
            </w:r>
          </w:p>
        </w:tc>
      </w:tr>
      <w:tr>
        <w:trPr>
          <w:trHeight w:val="334" w:hRule="atLeast"/>
        </w:trPr>
        <w:tc>
          <w:tcPr>
            <w:tcW w:w="3182" w:type="dxa"/>
            <w:tcBorders>
              <w:left w:val="single" w:sz="4" w:space="0" w:color="000000"/>
            </w:tcBorders>
          </w:tcPr>
          <w:p>
            <w:pPr>
              <w:pStyle w:val="TableParagraph"/>
              <w:spacing w:before="1"/>
              <w:ind w:left="213"/>
              <w:rPr>
                <w:sz w:val="21"/>
              </w:rPr>
            </w:pPr>
            <w:r>
              <w:rPr>
                <w:sz w:val="21"/>
              </w:rPr>
              <w:t>4.1 保险费的支付 </w:t>
            </w:r>
          </w:p>
        </w:tc>
        <w:tc>
          <w:tcPr>
            <w:tcW w:w="3284" w:type="dxa"/>
          </w:tcPr>
          <w:p>
            <w:pPr>
              <w:pStyle w:val="TableParagraph"/>
              <w:spacing w:line="261" w:lineRule="exact"/>
              <w:ind w:left="298"/>
              <w:rPr>
                <w:sz w:val="21"/>
              </w:rPr>
            </w:pPr>
            <w:r>
              <w:rPr>
                <w:sz w:val="21"/>
              </w:rPr>
              <w:t>9.2 周岁 </w:t>
            </w:r>
          </w:p>
        </w:tc>
        <w:tc>
          <w:tcPr>
            <w:tcW w:w="3322" w:type="dxa"/>
            <w:tcBorders>
              <w:right w:val="single" w:sz="4" w:space="0" w:color="000000"/>
            </w:tcBorders>
          </w:tcPr>
          <w:p>
            <w:pPr>
              <w:pStyle w:val="TableParagraph"/>
              <w:spacing w:line="261" w:lineRule="exact"/>
              <w:ind w:left="106"/>
              <w:rPr>
                <w:sz w:val="21"/>
              </w:rPr>
            </w:pPr>
            <w:r>
              <w:rPr>
                <w:w w:val="100"/>
                <w:sz w:val="21"/>
              </w:rPr>
              <w:t> </w:t>
            </w:r>
          </w:p>
        </w:tc>
      </w:tr>
      <w:tr>
        <w:trPr>
          <w:trHeight w:val="343" w:hRule="atLeast"/>
        </w:trPr>
        <w:tc>
          <w:tcPr>
            <w:tcW w:w="3182" w:type="dxa"/>
            <w:tcBorders>
              <w:left w:val="single" w:sz="4" w:space="0" w:color="000000"/>
            </w:tcBorders>
          </w:tcPr>
          <w:p>
            <w:pPr>
              <w:pStyle w:val="TableParagraph"/>
              <w:spacing w:before="9"/>
              <w:ind w:left="213"/>
              <w:rPr>
                <w:sz w:val="21"/>
              </w:rPr>
            </w:pPr>
            <w:r>
              <w:rPr>
                <w:sz w:val="21"/>
              </w:rPr>
              <w:t>4.2 宽限期 </w:t>
            </w:r>
          </w:p>
        </w:tc>
        <w:tc>
          <w:tcPr>
            <w:tcW w:w="3284" w:type="dxa"/>
          </w:tcPr>
          <w:p>
            <w:pPr>
              <w:pStyle w:val="TableParagraph"/>
              <w:spacing w:line="270" w:lineRule="exact"/>
              <w:ind w:left="298"/>
              <w:rPr>
                <w:sz w:val="21"/>
              </w:rPr>
            </w:pPr>
            <w:r>
              <w:rPr>
                <w:sz w:val="21"/>
              </w:rPr>
              <w:t>9.3 有效身份证件 </w:t>
            </w:r>
          </w:p>
        </w:tc>
        <w:tc>
          <w:tcPr>
            <w:tcW w:w="3322" w:type="dxa"/>
            <w:tcBorders>
              <w:right w:val="single" w:sz="4" w:space="0" w:color="000000"/>
            </w:tcBorders>
          </w:tcPr>
          <w:p>
            <w:pPr>
              <w:pStyle w:val="TableParagraph"/>
              <w:spacing w:line="270" w:lineRule="exact"/>
              <w:ind w:left="631"/>
              <w:rPr>
                <w:sz w:val="21"/>
              </w:rPr>
            </w:pPr>
            <w:r>
              <w:rPr>
                <w:w w:val="100"/>
                <w:sz w:val="21"/>
              </w:rPr>
              <w:t> </w:t>
            </w:r>
          </w:p>
        </w:tc>
      </w:tr>
      <w:tr>
        <w:trPr>
          <w:trHeight w:val="348" w:hRule="atLeast"/>
        </w:trPr>
        <w:tc>
          <w:tcPr>
            <w:tcW w:w="3182" w:type="dxa"/>
            <w:tcBorders>
              <w:left w:val="single" w:sz="4" w:space="0" w:color="000000"/>
              <w:bottom w:val="single" w:sz="6" w:space="0" w:color="000000"/>
            </w:tcBorders>
          </w:tcPr>
          <w:p>
            <w:pPr>
              <w:pStyle w:val="TableParagraph"/>
              <w:spacing w:before="9"/>
              <w:ind w:left="107"/>
              <w:rPr>
                <w:sz w:val="21"/>
              </w:rPr>
            </w:pPr>
            <w:r>
              <w:rPr>
                <w:b/>
                <w:sz w:val="21"/>
              </w:rPr>
              <w:t>5.现金价值权益</w:t>
            </w:r>
            <w:r>
              <w:rPr>
                <w:w w:val="100"/>
                <w:sz w:val="21"/>
              </w:rPr>
              <w:t> </w:t>
            </w:r>
          </w:p>
        </w:tc>
        <w:tc>
          <w:tcPr>
            <w:tcW w:w="3284" w:type="dxa"/>
            <w:tcBorders>
              <w:bottom w:val="single" w:sz="6" w:space="0" w:color="000000"/>
            </w:tcBorders>
          </w:tcPr>
          <w:p>
            <w:pPr>
              <w:pStyle w:val="TableParagraph"/>
              <w:spacing w:line="270" w:lineRule="exact"/>
              <w:ind w:left="298"/>
              <w:rPr>
                <w:sz w:val="21"/>
              </w:rPr>
            </w:pPr>
            <w:r>
              <w:rPr>
                <w:sz w:val="21"/>
              </w:rPr>
              <w:t>9.4 意外伤害事故 </w:t>
            </w:r>
          </w:p>
        </w:tc>
        <w:tc>
          <w:tcPr>
            <w:tcW w:w="3322" w:type="dxa"/>
            <w:tcBorders>
              <w:bottom w:val="single" w:sz="6" w:space="0" w:color="000000"/>
              <w:right w:val="single" w:sz="4" w:space="0" w:color="000000"/>
            </w:tcBorders>
          </w:tcPr>
          <w:p>
            <w:pPr>
              <w:pStyle w:val="TableParagraph"/>
              <w:spacing w:line="270" w:lineRule="exact"/>
              <w:ind w:left="526"/>
              <w:rPr>
                <w:sz w:val="21"/>
              </w:rPr>
            </w:pPr>
            <w:r>
              <w:rPr>
                <w:w w:val="100"/>
                <w:sz w:val="21"/>
              </w:rPr>
              <w:t> </w:t>
            </w:r>
          </w:p>
        </w:tc>
      </w:tr>
    </w:tbl>
    <w:p>
      <w:pPr>
        <w:pStyle w:val="BodyText"/>
        <w:spacing w:before="0"/>
        <w:ind w:left="246"/>
      </w:pPr>
      <w:r>
        <w:rPr>
          <w:w w:val="100"/>
        </w:rPr>
        <w:t> </w:t>
      </w:r>
    </w:p>
    <w:p>
      <w:pPr>
        <w:spacing w:after="0"/>
        <w:sectPr>
          <w:type w:val="continuous"/>
          <w:pgSz w:w="11910" w:h="16840"/>
          <w:pgMar w:top="720" w:bottom="280" w:left="940" w:right="680"/>
        </w:sectPr>
      </w:pPr>
    </w:p>
    <w:p>
      <w:pPr>
        <w:spacing w:line="484" w:lineRule="exact" w:before="0"/>
        <w:ind w:left="3054" w:right="3054" w:firstLine="0"/>
        <w:jc w:val="center"/>
        <w:rPr>
          <w:rFonts w:ascii="微软雅黑" w:eastAsia="微软雅黑" w:hint="eastAsia"/>
          <w:b/>
          <w:sz w:val="32"/>
        </w:rPr>
      </w:pPr>
      <w:r>
        <w:rPr>
          <w:rFonts w:ascii="微软雅黑" w:eastAsia="微软雅黑" w:hint="eastAsia"/>
          <w:b/>
          <w:w w:val="95"/>
          <w:sz w:val="32"/>
        </w:rPr>
        <w:t>横琴人寿保险有限公司</w:t>
      </w:r>
    </w:p>
    <w:p>
      <w:pPr>
        <w:spacing w:before="0"/>
        <w:ind w:left="3054" w:right="3055" w:firstLine="0"/>
        <w:jc w:val="center"/>
        <w:rPr>
          <w:rFonts w:ascii="微软雅黑" w:eastAsia="微软雅黑" w:hint="eastAsia"/>
          <w:b/>
          <w:sz w:val="32"/>
        </w:rPr>
      </w:pPr>
      <w:r>
        <w:rPr>
          <w:rFonts w:ascii="微软雅黑" w:eastAsia="微软雅黑" w:hint="eastAsia"/>
          <w:b/>
          <w:sz w:val="32"/>
        </w:rPr>
        <w:t>横琴康终身重大疾病保险条款</w:t>
      </w:r>
    </w:p>
    <w:p>
      <w:pPr>
        <w:pStyle w:val="BodyText"/>
        <w:spacing w:before="182"/>
        <w:ind w:left="220"/>
      </w:pPr>
      <w:r>
        <w:rPr/>
        <w:t>在本条款中，“您”指投保人，“我们”、“本公司”均指横琴人寿保险有限公司。 </w:t>
      </w:r>
    </w:p>
    <w:p>
      <w:pPr>
        <w:pStyle w:val="BodyText"/>
        <w:spacing w:before="9"/>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
        <w:gridCol w:w="711"/>
        <w:gridCol w:w="9138"/>
      </w:tblGrid>
      <w:tr>
        <w:trPr>
          <w:trHeight w:val="286" w:hRule="atLeast"/>
        </w:trPr>
        <w:tc>
          <w:tcPr>
            <w:tcW w:w="244" w:type="dxa"/>
          </w:tcPr>
          <w:p>
            <w:pPr>
              <w:pStyle w:val="TableParagraph"/>
              <w:spacing w:line="211" w:lineRule="exact"/>
              <w:ind w:right="28"/>
              <w:jc w:val="right"/>
              <w:rPr>
                <w:sz w:val="21"/>
              </w:rPr>
            </w:pPr>
            <w:r>
              <w:rPr>
                <w:w w:val="100"/>
                <w:sz w:val="21"/>
              </w:rPr>
              <w:t> </w:t>
            </w:r>
          </w:p>
        </w:tc>
        <w:tc>
          <w:tcPr>
            <w:tcW w:w="711" w:type="dxa"/>
          </w:tcPr>
          <w:p>
            <w:pPr>
              <w:pStyle w:val="TableParagraph"/>
              <w:rPr>
                <w:rFonts w:ascii="Times New Roman"/>
                <w:sz w:val="20"/>
              </w:rPr>
            </w:pPr>
          </w:p>
        </w:tc>
        <w:tc>
          <w:tcPr>
            <w:tcW w:w="9138" w:type="dxa"/>
          </w:tcPr>
          <w:p>
            <w:pPr>
              <w:pStyle w:val="TableParagraph"/>
              <w:tabs>
                <w:tab w:pos="1913" w:val="left" w:leader="none"/>
              </w:tabs>
              <w:spacing w:line="211" w:lineRule="exact"/>
              <w:ind w:left="113"/>
              <w:rPr>
                <w:sz w:val="21"/>
              </w:rPr>
            </w:pPr>
            <w:r>
              <w:rPr>
                <w:w w:val="100"/>
                <w:sz w:val="21"/>
              </w:rPr>
              <w:t> </w:t>
            </w:r>
            <w:r>
              <w:rPr>
                <w:sz w:val="21"/>
              </w:rPr>
              <w:tab/>
            </w:r>
            <w:r>
              <w:rPr>
                <w:w w:val="100"/>
                <w:sz w:val="21"/>
              </w:rPr>
              <w:t> </w:t>
            </w:r>
          </w:p>
        </w:tc>
      </w:tr>
      <w:tr>
        <w:trPr>
          <w:trHeight w:val="597" w:hRule="atLeast"/>
        </w:trPr>
        <w:tc>
          <w:tcPr>
            <w:tcW w:w="244" w:type="dxa"/>
            <w:tcBorders>
              <w:bottom w:val="single" w:sz="8" w:space="0" w:color="000000"/>
            </w:tcBorders>
          </w:tcPr>
          <w:p>
            <w:pPr>
              <w:pStyle w:val="TableParagraph"/>
              <w:rPr>
                <w:rFonts w:ascii="Times New Roman"/>
                <w:sz w:val="20"/>
              </w:rPr>
            </w:pPr>
          </w:p>
        </w:tc>
        <w:tc>
          <w:tcPr>
            <w:tcW w:w="711" w:type="dxa"/>
            <w:tcBorders>
              <w:bottom w:val="single" w:sz="8" w:space="0" w:color="000000"/>
            </w:tcBorders>
          </w:tcPr>
          <w:p>
            <w:pPr>
              <w:pStyle w:val="TableParagraph"/>
              <w:spacing w:line="533" w:lineRule="exact"/>
              <w:ind w:left="30"/>
              <w:rPr>
                <w:rFonts w:ascii="Yu Gothic" w:hAnsi="Yu Gothic"/>
                <w:b/>
                <w:sz w:val="40"/>
              </w:rPr>
            </w:pPr>
            <w:r>
              <w:rPr>
                <w:rFonts w:ascii="Yu Gothic" w:hAnsi="Yu Gothic"/>
                <w:b/>
                <w:w w:val="89"/>
                <w:sz w:val="40"/>
              </w:rPr>
              <w:t></w:t>
            </w:r>
          </w:p>
        </w:tc>
        <w:tc>
          <w:tcPr>
            <w:tcW w:w="9138" w:type="dxa"/>
            <w:tcBorders>
              <w:bottom w:val="single" w:sz="8" w:space="0" w:color="000000"/>
            </w:tcBorders>
          </w:tcPr>
          <w:p>
            <w:pPr>
              <w:pStyle w:val="TableParagraph"/>
              <w:spacing w:before="92"/>
              <w:ind w:left="113" w:right="-15"/>
              <w:rPr>
                <w:b/>
                <w:sz w:val="24"/>
              </w:rPr>
            </w:pPr>
            <w:r>
              <w:rPr>
                <w:b/>
                <w:sz w:val="24"/>
              </w:rPr>
              <w:t>您与我们的合同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7826" w:hRule="atLeast"/>
        </w:trPr>
        <w:tc>
          <w:tcPr>
            <w:tcW w:w="244" w:type="dxa"/>
            <w:tcBorders>
              <w:top w:val="single" w:sz="8" w:space="0" w:color="000000"/>
            </w:tcBorders>
          </w:tcPr>
          <w:p>
            <w:pPr>
              <w:pStyle w:val="TableParagraph"/>
              <w:spacing w:line="262" w:lineRule="exact"/>
              <w:ind w:left="107"/>
              <w:rPr>
                <w:sz w:val="21"/>
              </w:rPr>
            </w:pPr>
            <w:r>
              <w:rPr>
                <w:w w:val="100"/>
                <w:sz w:val="21"/>
              </w:rPr>
              <w:t> </w:t>
            </w:r>
          </w:p>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07"/>
              <w:rPr>
                <w:sz w:val="21"/>
              </w:rPr>
            </w:pPr>
            <w:r>
              <w:rPr>
                <w:w w:val="100"/>
                <w:sz w:val="21"/>
              </w:rPr>
              <w:t> </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7"/>
              <w:ind w:left="107"/>
              <w:rPr>
                <w:b/>
                <w:sz w:val="21"/>
              </w:rPr>
            </w:pPr>
            <w:r>
              <w:rPr>
                <w:b/>
                <w:w w:val="99"/>
                <w:sz w:val="21"/>
              </w:rPr>
              <w:t> </w:t>
            </w:r>
          </w:p>
          <w:p>
            <w:pPr>
              <w:pStyle w:val="TableParagraph"/>
              <w:rPr>
                <w:sz w:val="20"/>
              </w:rPr>
            </w:pPr>
          </w:p>
          <w:p>
            <w:pPr>
              <w:pStyle w:val="TableParagraph"/>
              <w:rPr>
                <w:sz w:val="20"/>
              </w:rPr>
            </w:pPr>
          </w:p>
          <w:p>
            <w:pPr>
              <w:pStyle w:val="TableParagraph"/>
              <w:spacing w:before="138"/>
              <w:ind w:left="107"/>
              <w:rPr>
                <w:b/>
                <w:sz w:val="21"/>
              </w:rPr>
            </w:pPr>
            <w:r>
              <w:rPr>
                <w:b/>
                <w:w w:val="99"/>
                <w:sz w:val="21"/>
              </w:rPr>
              <w:t> </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9"/>
              </w:rPr>
            </w:pPr>
          </w:p>
          <w:p>
            <w:pPr>
              <w:pStyle w:val="TableParagraph"/>
              <w:spacing w:before="1"/>
              <w:ind w:left="107"/>
              <w:rPr>
                <w:sz w:val="21"/>
              </w:rPr>
            </w:pPr>
            <w:r>
              <w:rPr>
                <w:w w:val="100"/>
                <w:sz w:val="21"/>
              </w:rPr>
              <w:t> </w:t>
            </w:r>
          </w:p>
        </w:tc>
        <w:tc>
          <w:tcPr>
            <w:tcW w:w="711" w:type="dxa"/>
            <w:tcBorders>
              <w:top w:val="single" w:sz="8" w:space="0" w:color="000000"/>
            </w:tcBorders>
          </w:tcPr>
          <w:p>
            <w:pPr>
              <w:pStyle w:val="TableParagraph"/>
              <w:spacing w:before="11"/>
              <w:rPr>
                <w:sz w:val="22"/>
              </w:rPr>
            </w:pPr>
          </w:p>
          <w:p>
            <w:pPr>
              <w:pStyle w:val="TableParagraph"/>
              <w:ind w:left="171"/>
              <w:rPr>
                <w:b/>
                <w:sz w:val="21"/>
              </w:rPr>
            </w:pPr>
            <w:r>
              <w:rPr>
                <w:b/>
                <w:sz w:val="21"/>
              </w:rPr>
              <w:t>1.1 </w:t>
            </w:r>
          </w:p>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left="171"/>
              <w:rPr>
                <w:b/>
                <w:sz w:val="21"/>
              </w:rPr>
            </w:pPr>
            <w:r>
              <w:rPr>
                <w:b/>
                <w:sz w:val="21"/>
              </w:rPr>
              <w:t>1.2 </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71"/>
              <w:rPr>
                <w:b/>
                <w:sz w:val="21"/>
              </w:rPr>
            </w:pPr>
            <w:r>
              <w:rPr>
                <w:b/>
                <w:sz w:val="21"/>
              </w:rPr>
              <w:t>1.3 </w:t>
            </w:r>
          </w:p>
          <w:p>
            <w:pPr>
              <w:pStyle w:val="TableParagraph"/>
              <w:rPr>
                <w:sz w:val="20"/>
              </w:rPr>
            </w:pPr>
          </w:p>
          <w:p>
            <w:pPr>
              <w:pStyle w:val="TableParagraph"/>
              <w:rPr>
                <w:sz w:val="20"/>
              </w:rPr>
            </w:pPr>
          </w:p>
          <w:p>
            <w:pPr>
              <w:pStyle w:val="TableParagraph"/>
              <w:spacing w:before="138"/>
              <w:ind w:left="171"/>
              <w:rPr>
                <w:b/>
                <w:sz w:val="21"/>
              </w:rPr>
            </w:pPr>
            <w:r>
              <w:rPr>
                <w:b/>
                <w:sz w:val="21"/>
              </w:rPr>
              <w:t>1.4 </w:t>
            </w:r>
          </w:p>
        </w:tc>
        <w:tc>
          <w:tcPr>
            <w:tcW w:w="9138" w:type="dxa"/>
            <w:tcBorders>
              <w:top w:val="single" w:sz="8" w:space="0" w:color="000000"/>
            </w:tcBorders>
          </w:tcPr>
          <w:p>
            <w:pPr>
              <w:pStyle w:val="TableParagraph"/>
              <w:tabs>
                <w:tab w:pos="1913" w:val="left" w:leader="none"/>
              </w:tabs>
              <w:spacing w:line="262" w:lineRule="exact"/>
              <w:ind w:left="113"/>
              <w:rPr>
                <w:sz w:val="21"/>
              </w:rPr>
            </w:pPr>
            <w:r>
              <w:rPr>
                <w:w w:val="100"/>
                <w:sz w:val="21"/>
              </w:rPr>
              <w:t> </w:t>
            </w:r>
            <w:r>
              <w:rPr>
                <w:sz w:val="21"/>
              </w:rPr>
              <w:tab/>
            </w:r>
            <w:r>
              <w:rPr>
                <w:w w:val="100"/>
                <w:sz w:val="21"/>
              </w:rPr>
              <w:t> </w:t>
            </w:r>
          </w:p>
          <w:p>
            <w:pPr>
              <w:pStyle w:val="TableParagraph"/>
              <w:spacing w:line="273" w:lineRule="auto" w:before="37"/>
              <w:ind w:left="1914" w:right="8" w:hanging="1801"/>
              <w:rPr>
                <w:sz w:val="21"/>
              </w:rPr>
            </w:pPr>
            <w:r>
              <w:rPr>
                <w:b/>
                <w:spacing w:val="3"/>
                <w:sz w:val="21"/>
              </w:rPr>
              <w:t>保险合同构成    </w:t>
            </w:r>
            <w:r>
              <w:rPr>
                <w:spacing w:val="-11"/>
                <w:sz w:val="21"/>
              </w:rPr>
              <w:t>本保险合同</w:t>
            </w:r>
            <w:r>
              <w:rPr>
                <w:sz w:val="21"/>
              </w:rPr>
              <w:t>（</w:t>
            </w:r>
            <w:r>
              <w:rPr>
                <w:spacing w:val="-17"/>
                <w:sz w:val="21"/>
              </w:rPr>
              <w:t>以下简称“本合同”</w:t>
            </w:r>
            <w:r>
              <w:rPr>
                <w:spacing w:val="-79"/>
                <w:sz w:val="21"/>
              </w:rPr>
              <w:t>）</w:t>
            </w:r>
            <w:r>
              <w:rPr>
                <w:spacing w:val="-21"/>
                <w:sz w:val="21"/>
              </w:rPr>
              <w:t>    是您与我们约定保险权利义务关系的协议， </w:t>
            </w:r>
            <w:r>
              <w:rPr>
                <w:spacing w:val="-11"/>
                <w:sz w:val="21"/>
              </w:rPr>
              <w:t>包括本保险条款、保险单、投保单、与本合同有关的投保文件、保险凭证、合</w:t>
            </w:r>
            <w:r>
              <w:rPr>
                <w:spacing w:val="-6"/>
                <w:sz w:val="21"/>
              </w:rPr>
              <w:t>法有效的声明、批注、批单及其他您与我们共同认可的书面协议。</w:t>
            </w:r>
            <w:r>
              <w:rPr>
                <w:sz w:val="21"/>
              </w:rPr>
              <w:t> </w:t>
            </w:r>
          </w:p>
          <w:p>
            <w:pPr>
              <w:pStyle w:val="TableParagraph"/>
              <w:tabs>
                <w:tab w:pos="1913" w:val="left" w:leader="none"/>
              </w:tabs>
              <w:spacing w:before="8"/>
              <w:ind w:left="113"/>
              <w:rPr>
                <w:sz w:val="21"/>
              </w:rPr>
            </w:pPr>
            <w:r>
              <w:rPr>
                <w:w w:val="100"/>
                <w:sz w:val="21"/>
              </w:rPr>
              <w:t> </w:t>
            </w:r>
            <w:r>
              <w:rPr>
                <w:sz w:val="21"/>
              </w:rPr>
              <w:tab/>
            </w:r>
            <w:r>
              <w:rPr>
                <w:w w:val="100"/>
                <w:sz w:val="21"/>
              </w:rPr>
              <w:t> </w:t>
            </w:r>
          </w:p>
          <w:p>
            <w:pPr>
              <w:pStyle w:val="TableParagraph"/>
              <w:tabs>
                <w:tab w:pos="1913" w:val="left" w:leader="none"/>
              </w:tabs>
              <w:spacing w:line="273" w:lineRule="auto" w:before="37"/>
              <w:ind w:left="113" w:right="1234"/>
              <w:rPr>
                <w:sz w:val="21"/>
              </w:rPr>
            </w:pPr>
            <w:r>
              <w:rPr>
                <w:b/>
                <w:sz w:val="21"/>
              </w:rPr>
              <w:t>保险合同成立与</w:t>
              <w:tab/>
            </w:r>
            <w:r>
              <w:rPr>
                <w:spacing w:val="-1"/>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并</w:t>
            </w:r>
            <w:r>
              <w:rPr>
                <w:spacing w:val="-3"/>
                <w:sz w:val="21"/>
              </w:rPr>
              <w:t>签</w:t>
            </w:r>
            <w:r>
              <w:rPr>
                <w:sz w:val="21"/>
              </w:rPr>
              <w:t>发</w:t>
            </w:r>
            <w:r>
              <w:rPr>
                <w:spacing w:val="-3"/>
                <w:sz w:val="21"/>
              </w:rPr>
              <w:t>保</w:t>
            </w:r>
            <w:r>
              <w:rPr>
                <w:sz w:val="21"/>
              </w:rPr>
              <w:t>险</w:t>
            </w:r>
            <w:r>
              <w:rPr>
                <w:spacing w:val="-3"/>
                <w:sz w:val="21"/>
              </w:rPr>
              <w:t>单</w:t>
            </w:r>
            <w:r>
              <w:rPr>
                <w:sz w:val="21"/>
              </w:rPr>
              <w:t>后</w:t>
            </w:r>
            <w:r>
              <w:rPr>
                <w:spacing w:val="-3"/>
                <w:sz w:val="21"/>
              </w:rPr>
              <w:t>，</w:t>
            </w:r>
            <w:r>
              <w:rPr>
                <w:sz w:val="21"/>
              </w:rPr>
              <w:t>本合</w:t>
            </w:r>
            <w:r>
              <w:rPr>
                <w:spacing w:val="-3"/>
                <w:sz w:val="21"/>
              </w:rPr>
              <w:t>同</w:t>
            </w:r>
            <w:r>
              <w:rPr>
                <w:sz w:val="21"/>
              </w:rPr>
              <w:t>成立</w:t>
            </w:r>
            <w:r>
              <w:rPr>
                <w:spacing w:val="-3"/>
                <w:sz w:val="21"/>
              </w:rPr>
              <w:t>。 </w:t>
            </w:r>
            <w:r>
              <w:rPr>
                <w:b/>
                <w:spacing w:val="-1"/>
                <w:sz w:val="21"/>
              </w:rPr>
              <w:t>生</w:t>
            </w:r>
            <w:r>
              <w:rPr>
                <w:b/>
                <w:sz w:val="21"/>
              </w:rPr>
              <w:t>效</w:t>
            </w:r>
            <w:r>
              <w:rPr>
                <w:b/>
                <w:w w:val="99"/>
                <w:sz w:val="21"/>
              </w:rPr>
              <w:t>            </w:t>
            </w:r>
            <w:r>
              <w:rPr>
                <w:b/>
                <w:spacing w:val="5"/>
                <w:sz w:val="21"/>
              </w:rPr>
              <w:t> </w:t>
            </w:r>
            <w:r>
              <w:rPr>
                <w:w w:val="100"/>
                <w:sz w:val="21"/>
              </w:rPr>
              <w:t> </w:t>
            </w:r>
          </w:p>
          <w:p>
            <w:pPr>
              <w:pStyle w:val="TableParagraph"/>
              <w:spacing w:line="273" w:lineRule="auto" w:before="7"/>
              <w:ind w:left="1914" w:right="82"/>
              <w:rPr>
                <w:b/>
                <w:sz w:val="21"/>
              </w:rPr>
            </w:pPr>
            <w:r>
              <w:rPr>
                <w:sz w:val="21"/>
                <w:shd w:fill="D9D9D9" w:color="auto" w:val="clear"/>
              </w:rPr>
              <w:t>本合同在我们收取首期保险费后，于约定的生效日开始生效。生效日由您在投保时与我们约定，并在保险单上载明。</w:t>
            </w:r>
            <w:r>
              <w:rPr>
                <w:b/>
                <w:w w:val="99"/>
                <w:sz w:val="21"/>
              </w:rPr>
              <w:t> </w:t>
            </w:r>
          </w:p>
          <w:p>
            <w:pPr>
              <w:pStyle w:val="TableParagraph"/>
              <w:spacing w:before="7"/>
              <w:ind w:left="1914"/>
              <w:rPr>
                <w:sz w:val="21"/>
              </w:rPr>
            </w:pPr>
            <w:r>
              <w:rPr>
                <w:w w:val="100"/>
                <w:sz w:val="21"/>
              </w:rPr>
              <w:t> </w:t>
            </w:r>
          </w:p>
          <w:p>
            <w:pPr>
              <w:pStyle w:val="TableParagraph"/>
              <w:spacing w:line="273" w:lineRule="auto" w:before="37"/>
              <w:ind w:left="1914" w:right="114"/>
              <w:jc w:val="both"/>
              <w:rPr>
                <w:sz w:val="21"/>
              </w:rPr>
            </w:pPr>
            <w:r>
              <w:rPr>
                <w:spacing w:val="-5"/>
                <w:w w:val="100"/>
                <w:sz w:val="21"/>
              </w:rPr>
              <w:t>本合同生效日以后每年的对应日是保单周年日。</w:t>
            </w:r>
            <w:r>
              <w:rPr>
                <w:b/>
                <w:spacing w:val="-8"/>
                <w:w w:val="100"/>
                <w:sz w:val="21"/>
              </w:rPr>
              <w:t>保单年度</w:t>
            </w:r>
            <w:r>
              <w:rPr>
                <w:w w:val="100"/>
                <w:sz w:val="21"/>
              </w:rPr>
              <w:t>（见</w:t>
            </w:r>
            <w:r>
              <w:rPr>
                <w:spacing w:val="-55"/>
                <w:sz w:val="21"/>
              </w:rPr>
              <w:t> </w:t>
            </w:r>
            <w:r>
              <w:rPr>
                <w:w w:val="100"/>
                <w:sz w:val="21"/>
              </w:rPr>
              <w:t>9.1</w:t>
            </w:r>
            <w:r>
              <w:rPr>
                <w:spacing w:val="-108"/>
                <w:w w:val="100"/>
                <w:sz w:val="21"/>
              </w:rPr>
              <w:t>）</w:t>
            </w:r>
            <w:r>
              <w:rPr>
                <w:spacing w:val="-8"/>
                <w:w w:val="100"/>
                <w:sz w:val="21"/>
              </w:rPr>
              <w:t>、保险费约</w:t>
            </w:r>
            <w:r>
              <w:rPr>
                <w:spacing w:val="-8"/>
                <w:sz w:val="21"/>
              </w:rPr>
              <w:t>定支付日均以该日期计算。如当月无对应同一日，则以该月最后一日作为对应</w:t>
            </w:r>
            <w:r>
              <w:rPr>
                <w:spacing w:val="-6"/>
                <w:sz w:val="21"/>
              </w:rPr>
              <w:t>日。</w:t>
            </w:r>
            <w:r>
              <w:rPr>
                <w:sz w:val="21"/>
              </w:rPr>
              <w:t> </w:t>
            </w:r>
          </w:p>
          <w:p>
            <w:pPr>
              <w:pStyle w:val="TableParagraph"/>
              <w:tabs>
                <w:tab w:pos="1913" w:val="left" w:leader="none"/>
              </w:tabs>
              <w:spacing w:before="7"/>
              <w:ind w:left="113"/>
              <w:rPr>
                <w:sz w:val="21"/>
              </w:rPr>
            </w:pPr>
            <w:r>
              <w:rPr>
                <w:b/>
                <w:w w:val="99"/>
                <w:sz w:val="21"/>
              </w:rPr>
              <w:t> </w:t>
            </w:r>
            <w:r>
              <w:rPr>
                <w:b/>
                <w:sz w:val="21"/>
              </w:rPr>
              <w:tab/>
            </w:r>
            <w:r>
              <w:rPr>
                <w:w w:val="100"/>
                <w:sz w:val="21"/>
              </w:rPr>
              <w:t> </w:t>
            </w:r>
          </w:p>
          <w:p>
            <w:pPr>
              <w:pStyle w:val="TableParagraph"/>
              <w:tabs>
                <w:tab w:pos="1913" w:val="left" w:leader="none"/>
              </w:tabs>
              <w:spacing w:line="273" w:lineRule="auto" w:before="37"/>
              <w:ind w:left="1914" w:right="114" w:hanging="1801"/>
              <w:rPr>
                <w:sz w:val="21"/>
              </w:rPr>
            </w:pPr>
            <w:r>
              <w:rPr>
                <w:b/>
                <w:sz w:val="21"/>
              </w:rPr>
              <w:t>投保年</w:t>
            </w:r>
            <w:r>
              <w:rPr>
                <w:b/>
                <w:spacing w:val="-3"/>
                <w:sz w:val="21"/>
              </w:rPr>
              <w:t>龄</w:t>
              <w:tab/>
            </w:r>
            <w:r>
              <w:rPr>
                <w:spacing w:val="-1"/>
                <w:sz w:val="21"/>
              </w:rPr>
              <w:t>指您</w:t>
            </w:r>
            <w:r>
              <w:rPr>
                <w:spacing w:val="-3"/>
                <w:sz w:val="21"/>
              </w:rPr>
              <w:t>投</w:t>
            </w:r>
            <w:r>
              <w:rPr>
                <w:spacing w:val="-1"/>
                <w:sz w:val="21"/>
              </w:rPr>
              <w:t>保</w:t>
            </w:r>
            <w:r>
              <w:rPr>
                <w:spacing w:val="-3"/>
                <w:sz w:val="21"/>
              </w:rPr>
              <w:t>时</w:t>
            </w:r>
            <w:r>
              <w:rPr>
                <w:spacing w:val="-1"/>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9"/>
                <w:sz w:val="21"/>
              </w:rPr>
              <w:t>，</w:t>
            </w:r>
            <w:r>
              <w:rPr>
                <w:sz w:val="21"/>
              </w:rPr>
              <w:t>本</w:t>
            </w:r>
            <w:r>
              <w:rPr>
                <w:spacing w:val="-3"/>
                <w:sz w:val="21"/>
              </w:rPr>
              <w:t>合</w:t>
            </w:r>
            <w:r>
              <w:rPr>
                <w:sz w:val="21"/>
              </w:rPr>
              <w:t>同</w:t>
            </w:r>
            <w:r>
              <w:rPr>
                <w:spacing w:val="-3"/>
                <w:sz w:val="21"/>
              </w:rPr>
              <w:t>接</w:t>
            </w:r>
            <w:r>
              <w:rPr>
                <w:sz w:val="21"/>
              </w:rPr>
              <w:t>受</w:t>
            </w:r>
            <w:r>
              <w:rPr>
                <w:spacing w:val="-3"/>
                <w:sz w:val="21"/>
              </w:rPr>
              <w:t>的</w:t>
            </w:r>
            <w:r>
              <w:rPr>
                <w:sz w:val="21"/>
              </w:rPr>
              <w:t>投</w:t>
            </w:r>
            <w:r>
              <w:rPr>
                <w:spacing w:val="-3"/>
                <w:sz w:val="21"/>
              </w:rPr>
              <w:t>保年</w:t>
            </w:r>
            <w:r>
              <w:rPr>
                <w:sz w:val="21"/>
              </w:rPr>
              <w:t>龄范</w:t>
            </w:r>
            <w:r>
              <w:rPr>
                <w:spacing w:val="-3"/>
                <w:sz w:val="21"/>
              </w:rPr>
              <w:t>围</w:t>
            </w:r>
            <w:r>
              <w:rPr>
                <w:sz w:val="21"/>
              </w:rPr>
              <w:t>为</w:t>
            </w:r>
            <w:r>
              <w:rPr>
                <w:spacing w:val="-3"/>
                <w:sz w:val="21"/>
              </w:rPr>
              <w:t>出</w:t>
            </w:r>
            <w:r>
              <w:rPr>
                <w:sz w:val="21"/>
              </w:rPr>
              <w:t>生</w:t>
            </w:r>
            <w:r>
              <w:rPr>
                <w:spacing w:val="-3"/>
                <w:sz w:val="21"/>
              </w:rPr>
              <w:t>满</w:t>
            </w:r>
            <w:r>
              <w:rPr>
                <w:sz w:val="21"/>
              </w:rPr>
              <w:t>28</w:t>
            </w:r>
            <w:r>
              <w:rPr>
                <w:spacing w:val="-3"/>
                <w:sz w:val="21"/>
              </w:rPr>
              <w:t>天</w:t>
            </w:r>
            <w:r>
              <w:rPr>
                <w:sz w:val="21"/>
              </w:rPr>
              <w:t>至56</w:t>
            </w:r>
            <w:r>
              <w:rPr>
                <w:b/>
                <w:sz w:val="21"/>
              </w:rPr>
              <w:t>周 </w:t>
            </w:r>
            <w:r>
              <w:rPr>
                <w:b/>
                <w:w w:val="100"/>
                <w:sz w:val="21"/>
              </w:rPr>
              <w:t>岁</w:t>
            </w:r>
            <w:r>
              <w:rPr>
                <w:w w:val="100"/>
                <w:sz w:val="21"/>
              </w:rPr>
              <w:t>（见</w:t>
            </w:r>
            <w:r>
              <w:rPr>
                <w:spacing w:val="-3"/>
                <w:w w:val="100"/>
                <w:sz w:val="21"/>
              </w:rPr>
              <w:t>9</w:t>
            </w:r>
            <w:r>
              <w:rPr>
                <w:w w:val="100"/>
                <w:sz w:val="21"/>
              </w:rPr>
              <w:t>.2</w:t>
            </w:r>
            <w:r>
              <w:rPr>
                <w:spacing w:val="-108"/>
                <w:w w:val="100"/>
                <w:sz w:val="21"/>
              </w:rPr>
              <w:t>）</w:t>
            </w:r>
            <w:r>
              <w:rPr>
                <w:spacing w:val="-3"/>
                <w:w w:val="100"/>
                <w:sz w:val="21"/>
              </w:rPr>
              <w:t>。</w:t>
            </w:r>
            <w:r>
              <w:rPr>
                <w:w w:val="100"/>
                <w:sz w:val="21"/>
              </w:rPr>
              <w:t> </w:t>
            </w:r>
          </w:p>
          <w:p>
            <w:pPr>
              <w:pStyle w:val="TableParagraph"/>
              <w:tabs>
                <w:tab w:pos="1913" w:val="left" w:leader="none"/>
              </w:tabs>
              <w:spacing w:before="7"/>
              <w:ind w:left="113"/>
              <w:rPr>
                <w:sz w:val="21"/>
              </w:rPr>
            </w:pPr>
            <w:r>
              <w:rPr>
                <w:b/>
                <w:w w:val="99"/>
                <w:sz w:val="21"/>
              </w:rPr>
              <w:t> </w:t>
            </w:r>
            <w:r>
              <w:rPr>
                <w:b/>
                <w:sz w:val="21"/>
              </w:rPr>
              <w:tab/>
            </w:r>
            <w:r>
              <w:rPr>
                <w:w w:val="100"/>
                <w:sz w:val="21"/>
              </w:rPr>
              <w:t> </w:t>
            </w:r>
          </w:p>
          <w:p>
            <w:pPr>
              <w:pStyle w:val="TableParagraph"/>
              <w:spacing w:line="273" w:lineRule="auto" w:before="36"/>
              <w:ind w:left="1914" w:right="114" w:hanging="1801"/>
              <w:jc w:val="both"/>
              <w:rPr>
                <w:sz w:val="21"/>
              </w:rPr>
            </w:pPr>
            <w:r>
              <w:rPr>
                <w:b/>
                <w:spacing w:val="1"/>
                <w:sz w:val="21"/>
              </w:rPr>
              <w:t>犹豫期          </w:t>
            </w:r>
            <w:r>
              <w:rPr>
                <w:spacing w:val="-5"/>
                <w:sz w:val="21"/>
              </w:rPr>
              <w:t>自您签收本合同次日起，有 </w:t>
            </w:r>
            <w:r>
              <w:rPr>
                <w:sz w:val="21"/>
              </w:rPr>
              <w:t>15</w:t>
            </w:r>
            <w:r>
              <w:rPr>
                <w:spacing w:val="-5"/>
                <w:sz w:val="21"/>
              </w:rPr>
              <w:t> 日的犹豫期。在此期间请您认真审视本合同， </w:t>
            </w:r>
            <w:r>
              <w:rPr>
                <w:spacing w:val="-7"/>
                <w:sz w:val="21"/>
              </w:rPr>
              <w:t>如果您认为本合同与您的需求不相符，您可以在此期间提出解除本合同，我们</w:t>
            </w:r>
            <w:r>
              <w:rPr>
                <w:spacing w:val="-5"/>
                <w:sz w:val="21"/>
              </w:rPr>
              <w:t>将无息退还您所支付的全部保险费。</w:t>
            </w:r>
            <w:r>
              <w:rPr>
                <w:sz w:val="21"/>
              </w:rPr>
              <w:t> </w:t>
            </w:r>
          </w:p>
          <w:p>
            <w:pPr>
              <w:pStyle w:val="TableParagraph"/>
              <w:spacing w:before="7"/>
              <w:ind w:left="1914"/>
              <w:rPr>
                <w:sz w:val="21"/>
              </w:rPr>
            </w:pPr>
            <w:r>
              <w:rPr>
                <w:w w:val="100"/>
                <w:sz w:val="21"/>
              </w:rPr>
              <w:t> </w:t>
            </w:r>
          </w:p>
          <w:p>
            <w:pPr>
              <w:pStyle w:val="TableParagraph"/>
              <w:spacing w:before="37"/>
              <w:ind w:left="1914"/>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914" w:right="114"/>
              <w:rPr>
                <w:sz w:val="21"/>
              </w:rPr>
            </w:pPr>
            <w:r>
              <w:rPr>
                <w:w w:val="100"/>
                <w:sz w:val="21"/>
              </w:rPr>
              <w:t>9.3</w:t>
            </w:r>
            <w:r>
              <w:rPr>
                <w:spacing w:val="-106"/>
                <w:w w:val="100"/>
                <w:sz w:val="21"/>
              </w:rPr>
              <w:t>）</w:t>
            </w:r>
            <w:r>
              <w:rPr>
                <w:spacing w:val="-15"/>
                <w:w w:val="100"/>
                <w:sz w:val="21"/>
              </w:rPr>
              <w:t>。</w:t>
            </w:r>
            <w:r>
              <w:rPr>
                <w:spacing w:val="-5"/>
                <w:w w:val="100"/>
                <w:sz w:val="21"/>
                <w:shd w:fill="D9D9D9" w:color="auto" w:val="clear"/>
              </w:rPr>
              <w:t>自我们收到您解除合同的书面申请时起，本合同即被解除，对于合同解</w:t>
            </w:r>
            <w:r>
              <w:rPr>
                <w:spacing w:val="-208"/>
                <w:w w:val="100"/>
                <w:sz w:val="21"/>
                <w:shd w:fill="D9D9D9" w:color="auto" w:val="clear"/>
              </w:rPr>
              <w:t>除</w:t>
            </w:r>
            <w:r>
              <w:rPr>
                <w:w w:val="100"/>
                <w:sz w:val="21"/>
                <w:shd w:fill="D9D9D9" w:color="auto" w:val="clear"/>
              </w:rPr>
              <w:t>                                                                  </w:t>
            </w:r>
            <w:r>
              <w:rPr>
                <w:spacing w:val="-3"/>
                <w:sz w:val="21"/>
                <w:shd w:fill="D9D9D9" w:color="auto" w:val="clear"/>
              </w:rPr>
              <w:t>前发生的保险事故，我们不承担保险责任。</w:t>
            </w:r>
            <w:r>
              <w:rPr>
                <w:sz w:val="21"/>
              </w:rPr>
              <w:t> </w:t>
            </w:r>
          </w:p>
          <w:p>
            <w:pPr>
              <w:pStyle w:val="TableParagraph"/>
              <w:tabs>
                <w:tab w:pos="1913" w:val="left" w:leader="none"/>
              </w:tabs>
              <w:spacing w:before="7"/>
              <w:ind w:left="113"/>
              <w:rPr>
                <w:sz w:val="21"/>
              </w:rPr>
            </w:pPr>
            <w:r>
              <w:rPr>
                <w:w w:val="100"/>
                <w:sz w:val="21"/>
              </w:rPr>
              <w:t> </w:t>
            </w:r>
            <w:r>
              <w:rPr>
                <w:sz w:val="21"/>
              </w:rPr>
              <w:tab/>
            </w:r>
            <w:r>
              <w:rPr>
                <w:w w:val="100"/>
                <w:sz w:val="21"/>
              </w:rPr>
              <w:t> </w:t>
            </w:r>
          </w:p>
        </w:tc>
      </w:tr>
      <w:tr>
        <w:trPr>
          <w:trHeight w:val="598" w:hRule="atLeast"/>
        </w:trPr>
        <w:tc>
          <w:tcPr>
            <w:tcW w:w="244" w:type="dxa"/>
            <w:tcBorders>
              <w:bottom w:val="single" w:sz="8" w:space="0" w:color="000000"/>
            </w:tcBorders>
          </w:tcPr>
          <w:p>
            <w:pPr>
              <w:pStyle w:val="TableParagraph"/>
              <w:rPr>
                <w:rFonts w:ascii="Times New Roman"/>
                <w:sz w:val="20"/>
              </w:rPr>
            </w:pPr>
          </w:p>
        </w:tc>
        <w:tc>
          <w:tcPr>
            <w:tcW w:w="711" w:type="dxa"/>
            <w:tcBorders>
              <w:bottom w:val="single" w:sz="8" w:space="0" w:color="000000"/>
            </w:tcBorders>
          </w:tcPr>
          <w:p>
            <w:pPr>
              <w:pStyle w:val="TableParagraph"/>
              <w:spacing w:line="533" w:lineRule="exact"/>
              <w:ind w:left="66"/>
              <w:rPr>
                <w:rFonts w:ascii="Yu Gothic" w:hAnsi="Yu Gothic"/>
                <w:b/>
                <w:sz w:val="40"/>
              </w:rPr>
            </w:pPr>
            <w:r>
              <w:rPr>
                <w:rFonts w:ascii="Yu Gothic" w:hAnsi="Yu Gothic"/>
                <w:b/>
                <w:w w:val="89"/>
                <w:sz w:val="40"/>
              </w:rPr>
              <w:t>❖</w:t>
            </w:r>
          </w:p>
        </w:tc>
        <w:tc>
          <w:tcPr>
            <w:tcW w:w="9138" w:type="dxa"/>
            <w:tcBorders>
              <w:bottom w:val="single" w:sz="8" w:space="0" w:color="000000"/>
            </w:tcBorders>
          </w:tcPr>
          <w:p>
            <w:pPr>
              <w:pStyle w:val="TableParagraph"/>
              <w:spacing w:before="92"/>
              <w:ind w:left="113" w:right="-15"/>
              <w:rPr>
                <w:b/>
                <w:sz w:val="24"/>
              </w:rPr>
            </w:pPr>
            <w:r>
              <w:rPr>
                <w:b/>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244" w:type="dxa"/>
            <w:tcBorders>
              <w:top w:val="single" w:sz="8" w:space="0" w:color="000000"/>
            </w:tcBorders>
          </w:tcPr>
          <w:p>
            <w:pPr>
              <w:pStyle w:val="TableParagraph"/>
              <w:spacing w:line="262" w:lineRule="exact"/>
              <w:ind w:right="28"/>
              <w:jc w:val="right"/>
              <w:rPr>
                <w:sz w:val="21"/>
              </w:rPr>
            </w:pPr>
            <w:r>
              <w:rPr>
                <w:w w:val="100"/>
                <w:sz w:val="21"/>
              </w:rPr>
              <w:t> </w:t>
            </w:r>
          </w:p>
        </w:tc>
        <w:tc>
          <w:tcPr>
            <w:tcW w:w="711" w:type="dxa"/>
            <w:tcBorders>
              <w:top w:val="single" w:sz="8" w:space="0" w:color="000000"/>
            </w:tcBorders>
          </w:tcPr>
          <w:p>
            <w:pPr>
              <w:pStyle w:val="TableParagraph"/>
              <w:rPr>
                <w:rFonts w:ascii="Times New Roman"/>
                <w:sz w:val="20"/>
              </w:rPr>
            </w:pPr>
          </w:p>
        </w:tc>
        <w:tc>
          <w:tcPr>
            <w:tcW w:w="9138" w:type="dxa"/>
            <w:tcBorders>
              <w:top w:val="single" w:sz="8" w:space="0" w:color="000000"/>
            </w:tcBorders>
          </w:tcPr>
          <w:p>
            <w:pPr>
              <w:pStyle w:val="TableParagraph"/>
              <w:tabs>
                <w:tab w:pos="1887" w:val="left" w:leader="none"/>
              </w:tabs>
              <w:spacing w:line="262" w:lineRule="exact"/>
              <w:ind w:left="113"/>
              <w:rPr>
                <w:sz w:val="21"/>
              </w:rPr>
            </w:pPr>
            <w:r>
              <w:rPr>
                <w:w w:val="100"/>
                <w:sz w:val="21"/>
              </w:rPr>
              <w:t> </w:t>
            </w:r>
            <w:r>
              <w:rPr>
                <w:sz w:val="21"/>
              </w:rPr>
              <w:tab/>
            </w:r>
            <w:r>
              <w:rPr>
                <w:w w:val="100"/>
                <w:sz w:val="21"/>
              </w:rPr>
              <w:t> </w:t>
            </w:r>
          </w:p>
        </w:tc>
      </w:tr>
      <w:tr>
        <w:trPr>
          <w:trHeight w:val="312" w:hRule="atLeast"/>
        </w:trPr>
        <w:tc>
          <w:tcPr>
            <w:tcW w:w="244" w:type="dxa"/>
          </w:tcPr>
          <w:p>
            <w:pPr>
              <w:pStyle w:val="TableParagraph"/>
              <w:rPr>
                <w:rFonts w:ascii="Times New Roman"/>
                <w:sz w:val="20"/>
              </w:rPr>
            </w:pPr>
          </w:p>
        </w:tc>
        <w:tc>
          <w:tcPr>
            <w:tcW w:w="711" w:type="dxa"/>
          </w:tcPr>
          <w:p>
            <w:pPr>
              <w:pStyle w:val="TableParagraph"/>
              <w:spacing w:line="261" w:lineRule="exact"/>
              <w:ind w:right="114"/>
              <w:jc w:val="right"/>
              <w:rPr>
                <w:sz w:val="21"/>
              </w:rPr>
            </w:pPr>
            <w:r>
              <w:rPr>
                <w:b/>
                <w:sz w:val="21"/>
              </w:rPr>
              <w:t>2.1</w:t>
            </w:r>
            <w:r>
              <w:rPr>
                <w:w w:val="100"/>
                <w:sz w:val="21"/>
              </w:rPr>
              <w:t> </w:t>
            </w:r>
          </w:p>
        </w:tc>
        <w:tc>
          <w:tcPr>
            <w:tcW w:w="9138" w:type="dxa"/>
          </w:tcPr>
          <w:p>
            <w:pPr>
              <w:pStyle w:val="TableParagraph"/>
              <w:spacing w:line="261" w:lineRule="exact"/>
              <w:ind w:left="113"/>
              <w:rPr>
                <w:sz w:val="21"/>
              </w:rPr>
            </w:pPr>
            <w:r>
              <w:rPr>
                <w:b/>
                <w:sz w:val="21"/>
              </w:rPr>
              <w:t>基本保险金额     </w:t>
            </w:r>
            <w:r>
              <w:rPr>
                <w:sz w:val="21"/>
              </w:rPr>
              <w:t>本合同的基本保险金额由您在投保时与我们约定并在保险单上载明。若该金额</w:t>
            </w:r>
          </w:p>
        </w:tc>
      </w:tr>
      <w:tr>
        <w:trPr>
          <w:trHeight w:val="311" w:hRule="atLeast"/>
        </w:trPr>
        <w:tc>
          <w:tcPr>
            <w:tcW w:w="244" w:type="dxa"/>
          </w:tcPr>
          <w:p>
            <w:pPr>
              <w:pStyle w:val="TableParagraph"/>
              <w:rPr>
                <w:rFonts w:ascii="Times New Roman"/>
                <w:sz w:val="20"/>
              </w:rPr>
            </w:pPr>
          </w:p>
        </w:tc>
        <w:tc>
          <w:tcPr>
            <w:tcW w:w="711" w:type="dxa"/>
          </w:tcPr>
          <w:p>
            <w:pPr>
              <w:pStyle w:val="TableParagraph"/>
              <w:rPr>
                <w:rFonts w:ascii="Times New Roman"/>
                <w:sz w:val="20"/>
              </w:rPr>
            </w:pPr>
          </w:p>
        </w:tc>
        <w:tc>
          <w:tcPr>
            <w:tcW w:w="9138" w:type="dxa"/>
          </w:tcPr>
          <w:p>
            <w:pPr>
              <w:pStyle w:val="TableParagraph"/>
              <w:spacing w:line="261" w:lineRule="exact"/>
              <w:ind w:left="1887"/>
              <w:rPr>
                <w:sz w:val="21"/>
              </w:rPr>
            </w:pPr>
            <w:r>
              <w:rPr>
                <w:sz w:val="21"/>
              </w:rPr>
              <w:t>发生变更，则以变更后的金额为基本保险金额。 </w:t>
            </w:r>
          </w:p>
        </w:tc>
      </w:tr>
      <w:tr>
        <w:trPr>
          <w:trHeight w:val="312" w:hRule="atLeast"/>
        </w:trPr>
        <w:tc>
          <w:tcPr>
            <w:tcW w:w="244" w:type="dxa"/>
          </w:tcPr>
          <w:p>
            <w:pPr>
              <w:pStyle w:val="TableParagraph"/>
              <w:spacing w:line="261" w:lineRule="exact"/>
              <w:ind w:right="28"/>
              <w:jc w:val="right"/>
              <w:rPr>
                <w:sz w:val="21"/>
              </w:rPr>
            </w:pPr>
            <w:r>
              <w:rPr>
                <w:w w:val="100"/>
                <w:sz w:val="21"/>
              </w:rPr>
              <w:t> </w:t>
            </w:r>
          </w:p>
        </w:tc>
        <w:tc>
          <w:tcPr>
            <w:tcW w:w="711" w:type="dxa"/>
          </w:tcPr>
          <w:p>
            <w:pPr>
              <w:pStyle w:val="TableParagraph"/>
              <w:rPr>
                <w:rFonts w:ascii="Times New Roman"/>
                <w:sz w:val="20"/>
              </w:rPr>
            </w:pPr>
          </w:p>
        </w:tc>
        <w:tc>
          <w:tcPr>
            <w:tcW w:w="9138" w:type="dxa"/>
          </w:tcPr>
          <w:p>
            <w:pPr>
              <w:pStyle w:val="TableParagraph"/>
              <w:tabs>
                <w:tab w:pos="1887" w:val="left" w:leader="none"/>
              </w:tabs>
              <w:spacing w:line="261" w:lineRule="exact"/>
              <w:ind w:left="113"/>
              <w:rPr>
                <w:sz w:val="21"/>
              </w:rPr>
            </w:pPr>
            <w:r>
              <w:rPr>
                <w:w w:val="100"/>
                <w:sz w:val="21"/>
              </w:rPr>
              <w:t> </w:t>
            </w:r>
            <w:r>
              <w:rPr>
                <w:sz w:val="21"/>
              </w:rPr>
              <w:tab/>
            </w:r>
            <w:r>
              <w:rPr>
                <w:w w:val="100"/>
                <w:sz w:val="21"/>
              </w:rPr>
              <w:t> </w:t>
            </w:r>
          </w:p>
        </w:tc>
      </w:tr>
      <w:tr>
        <w:trPr>
          <w:trHeight w:val="311" w:hRule="atLeast"/>
        </w:trPr>
        <w:tc>
          <w:tcPr>
            <w:tcW w:w="244" w:type="dxa"/>
          </w:tcPr>
          <w:p>
            <w:pPr>
              <w:pStyle w:val="TableParagraph"/>
              <w:rPr>
                <w:rFonts w:ascii="Times New Roman"/>
                <w:sz w:val="20"/>
              </w:rPr>
            </w:pPr>
          </w:p>
        </w:tc>
        <w:tc>
          <w:tcPr>
            <w:tcW w:w="711" w:type="dxa"/>
          </w:tcPr>
          <w:p>
            <w:pPr>
              <w:pStyle w:val="TableParagraph"/>
              <w:spacing w:line="261" w:lineRule="exact"/>
              <w:ind w:right="112"/>
              <w:jc w:val="right"/>
              <w:rPr>
                <w:b/>
                <w:sz w:val="21"/>
              </w:rPr>
            </w:pPr>
            <w:r>
              <w:rPr>
                <w:b/>
                <w:sz w:val="21"/>
              </w:rPr>
              <w:t>2.2 </w:t>
            </w:r>
          </w:p>
        </w:tc>
        <w:tc>
          <w:tcPr>
            <w:tcW w:w="9138" w:type="dxa"/>
          </w:tcPr>
          <w:p>
            <w:pPr>
              <w:pStyle w:val="TableParagraph"/>
              <w:tabs>
                <w:tab w:pos="1887" w:val="left" w:leader="none"/>
              </w:tabs>
              <w:spacing w:line="261" w:lineRule="exact"/>
              <w:ind w:left="113"/>
              <w:rPr>
                <w:sz w:val="21"/>
              </w:rPr>
            </w:pPr>
            <w:r>
              <w:rPr>
                <w:b/>
                <w:sz w:val="21"/>
              </w:rPr>
              <w:t>未成年人身故保</w:t>
              <w:tab/>
            </w:r>
            <w:r>
              <w:rPr>
                <w:sz w:val="21"/>
              </w:rPr>
              <w:t>为未</w:t>
            </w:r>
            <w:r>
              <w:rPr>
                <w:spacing w:val="-3"/>
                <w:sz w:val="21"/>
              </w:rPr>
              <w:t>成</w:t>
            </w:r>
            <w:r>
              <w:rPr>
                <w:sz w:val="21"/>
              </w:rPr>
              <w:t>年</w:t>
            </w:r>
            <w:r>
              <w:rPr>
                <w:spacing w:val="-3"/>
                <w:sz w:val="21"/>
              </w:rPr>
              <w:t>子</w:t>
            </w:r>
            <w:r>
              <w:rPr>
                <w:sz w:val="21"/>
              </w:rPr>
              <w:t>女</w:t>
            </w:r>
            <w:r>
              <w:rPr>
                <w:spacing w:val="-3"/>
                <w:sz w:val="21"/>
              </w:rPr>
              <w:t>投</w:t>
            </w:r>
            <w:r>
              <w:rPr>
                <w:sz w:val="21"/>
              </w:rPr>
              <w:t>保</w:t>
            </w:r>
            <w:r>
              <w:rPr>
                <w:spacing w:val="-3"/>
                <w:sz w:val="21"/>
              </w:rPr>
              <w:t>的</w:t>
            </w:r>
            <w:r>
              <w:rPr>
                <w:sz w:val="21"/>
              </w:rPr>
              <w:t>人</w:t>
            </w:r>
            <w:r>
              <w:rPr>
                <w:spacing w:val="-3"/>
                <w:sz w:val="21"/>
              </w:rPr>
              <w:t>身</w:t>
            </w:r>
            <w:r>
              <w:rPr>
                <w:sz w:val="21"/>
              </w:rPr>
              <w:t>保</w:t>
            </w:r>
            <w:r>
              <w:rPr>
                <w:spacing w:val="-3"/>
                <w:sz w:val="21"/>
              </w:rPr>
              <w:t>险</w:t>
            </w:r>
            <w:r>
              <w:rPr>
                <w:spacing w:val="-8"/>
                <w:sz w:val="21"/>
              </w:rPr>
              <w:t>，</w:t>
            </w:r>
            <w:r>
              <w:rPr>
                <w:spacing w:val="-3"/>
                <w:sz w:val="21"/>
              </w:rPr>
              <w:t>因</w:t>
            </w:r>
            <w:r>
              <w:rPr>
                <w:sz w:val="21"/>
              </w:rPr>
              <w:t>被</w:t>
            </w:r>
            <w:r>
              <w:rPr>
                <w:spacing w:val="-3"/>
                <w:sz w:val="21"/>
              </w:rPr>
              <w:t>保</w:t>
            </w:r>
            <w:r>
              <w:rPr>
                <w:sz w:val="21"/>
              </w:rPr>
              <w:t>险</w:t>
            </w:r>
            <w:r>
              <w:rPr>
                <w:spacing w:val="-3"/>
                <w:sz w:val="21"/>
              </w:rPr>
              <w:t>人</w:t>
            </w:r>
            <w:r>
              <w:rPr>
                <w:sz w:val="21"/>
              </w:rPr>
              <w:t>身</w:t>
            </w:r>
            <w:r>
              <w:rPr>
                <w:spacing w:val="-3"/>
                <w:sz w:val="21"/>
              </w:rPr>
              <w:t>故给</w:t>
            </w:r>
            <w:r>
              <w:rPr>
                <w:sz w:val="21"/>
              </w:rPr>
              <w:t>付的</w:t>
            </w:r>
            <w:r>
              <w:rPr>
                <w:spacing w:val="-3"/>
                <w:sz w:val="21"/>
              </w:rPr>
              <w:t>保</w:t>
            </w:r>
            <w:r>
              <w:rPr>
                <w:sz w:val="21"/>
              </w:rPr>
              <w:t>险</w:t>
            </w:r>
            <w:r>
              <w:rPr>
                <w:spacing w:val="-3"/>
                <w:sz w:val="21"/>
              </w:rPr>
              <w:t>金</w:t>
            </w:r>
            <w:r>
              <w:rPr>
                <w:sz w:val="21"/>
              </w:rPr>
              <w:t>总</w:t>
            </w:r>
            <w:r>
              <w:rPr>
                <w:spacing w:val="-3"/>
                <w:sz w:val="21"/>
              </w:rPr>
              <w:t>和</w:t>
            </w:r>
            <w:r>
              <w:rPr>
                <w:sz w:val="21"/>
              </w:rPr>
              <w:t>不</w:t>
            </w:r>
            <w:r>
              <w:rPr>
                <w:spacing w:val="-3"/>
                <w:sz w:val="21"/>
              </w:rPr>
              <w:t>得</w:t>
            </w:r>
            <w:r>
              <w:rPr>
                <w:sz w:val="21"/>
              </w:rPr>
              <w:t>超</w:t>
            </w:r>
            <w:r>
              <w:rPr>
                <w:spacing w:val="-3"/>
                <w:sz w:val="21"/>
              </w:rPr>
              <w:t>过</w:t>
            </w:r>
            <w:r>
              <w:rPr>
                <w:sz w:val="21"/>
              </w:rPr>
              <w:t>国</w:t>
            </w:r>
          </w:p>
        </w:tc>
      </w:tr>
      <w:tr>
        <w:trPr>
          <w:trHeight w:val="311" w:hRule="atLeast"/>
        </w:trPr>
        <w:tc>
          <w:tcPr>
            <w:tcW w:w="244" w:type="dxa"/>
          </w:tcPr>
          <w:p>
            <w:pPr>
              <w:pStyle w:val="TableParagraph"/>
              <w:rPr>
                <w:rFonts w:ascii="Times New Roman"/>
                <w:sz w:val="20"/>
              </w:rPr>
            </w:pPr>
          </w:p>
        </w:tc>
        <w:tc>
          <w:tcPr>
            <w:tcW w:w="711" w:type="dxa"/>
          </w:tcPr>
          <w:p>
            <w:pPr>
              <w:pStyle w:val="TableParagraph"/>
              <w:rPr>
                <w:rFonts w:ascii="Times New Roman"/>
                <w:sz w:val="20"/>
              </w:rPr>
            </w:pPr>
          </w:p>
        </w:tc>
        <w:tc>
          <w:tcPr>
            <w:tcW w:w="9138" w:type="dxa"/>
          </w:tcPr>
          <w:p>
            <w:pPr>
              <w:pStyle w:val="TableParagraph"/>
              <w:tabs>
                <w:tab w:pos="1887" w:val="left" w:leader="none"/>
              </w:tabs>
              <w:spacing w:line="261" w:lineRule="exact"/>
              <w:ind w:left="113"/>
              <w:rPr>
                <w:sz w:val="21"/>
              </w:rPr>
            </w:pPr>
            <w:r>
              <w:rPr>
                <w:b/>
                <w:sz w:val="21"/>
              </w:rPr>
              <w:t>险金限</w:t>
            </w:r>
            <w:r>
              <w:rPr>
                <w:b/>
                <w:spacing w:val="-3"/>
                <w:sz w:val="21"/>
              </w:rPr>
              <w:t>制</w:t>
              <w:tab/>
            </w:r>
            <w:r>
              <w:rPr>
                <w:sz w:val="21"/>
              </w:rPr>
              <w:t>务院</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w:t>
            </w:r>
            <w:r>
              <w:rPr>
                <w:spacing w:val="-3"/>
                <w:sz w:val="21"/>
              </w:rPr>
              <w:t>规</w:t>
            </w:r>
            <w:r>
              <w:rPr>
                <w:sz w:val="21"/>
              </w:rPr>
              <w:t>定的</w:t>
            </w:r>
            <w:r>
              <w:rPr>
                <w:spacing w:val="-3"/>
                <w:sz w:val="21"/>
              </w:rPr>
              <w:t>限额</w:t>
            </w:r>
            <w:r>
              <w:rPr>
                <w:spacing w:val="-8"/>
                <w:sz w:val="21"/>
              </w:rPr>
              <w:t>，</w:t>
            </w:r>
            <w:r>
              <w:rPr>
                <w:spacing w:val="-3"/>
                <w:sz w:val="21"/>
              </w:rPr>
              <w:t>身</w:t>
            </w:r>
            <w:r>
              <w:rPr>
                <w:sz w:val="21"/>
              </w:rPr>
              <w:t>故</w:t>
            </w:r>
            <w:r>
              <w:rPr>
                <w:spacing w:val="-3"/>
                <w:sz w:val="21"/>
              </w:rPr>
              <w:t>给</w:t>
            </w:r>
            <w:r>
              <w:rPr>
                <w:sz w:val="21"/>
              </w:rPr>
              <w:t>付</w:t>
            </w:r>
            <w:r>
              <w:rPr>
                <w:spacing w:val="-3"/>
                <w:sz w:val="21"/>
              </w:rPr>
              <w:t>的保</w:t>
            </w:r>
            <w:r>
              <w:rPr>
                <w:sz w:val="21"/>
              </w:rPr>
              <w:t>险金</w:t>
            </w:r>
            <w:r>
              <w:rPr>
                <w:spacing w:val="-3"/>
                <w:sz w:val="21"/>
              </w:rPr>
              <w:t>额</w:t>
            </w:r>
            <w:r>
              <w:rPr>
                <w:sz w:val="21"/>
              </w:rPr>
              <w:t>总</w:t>
            </w:r>
            <w:r>
              <w:rPr>
                <w:spacing w:val="-3"/>
                <w:sz w:val="21"/>
              </w:rPr>
              <w:t>和</w:t>
            </w:r>
            <w:r>
              <w:rPr>
                <w:sz w:val="21"/>
              </w:rPr>
              <w:t>约</w:t>
            </w:r>
            <w:r>
              <w:rPr>
                <w:spacing w:val="-3"/>
                <w:sz w:val="21"/>
              </w:rPr>
              <w:t>定</w:t>
            </w:r>
            <w:r>
              <w:rPr>
                <w:sz w:val="21"/>
              </w:rPr>
              <w:t>也</w:t>
            </w:r>
            <w:r>
              <w:rPr>
                <w:spacing w:val="-3"/>
                <w:sz w:val="21"/>
              </w:rPr>
              <w:t>不</w:t>
            </w:r>
            <w:r>
              <w:rPr>
                <w:sz w:val="21"/>
              </w:rPr>
              <w:t>得</w:t>
            </w:r>
            <w:r>
              <w:rPr>
                <w:spacing w:val="-3"/>
                <w:sz w:val="21"/>
              </w:rPr>
              <w:t>超</w:t>
            </w:r>
            <w:r>
              <w:rPr>
                <w:sz w:val="21"/>
              </w:rPr>
              <w:t>过</w:t>
            </w:r>
          </w:p>
        </w:tc>
      </w:tr>
      <w:tr>
        <w:trPr>
          <w:trHeight w:val="311" w:hRule="atLeast"/>
        </w:trPr>
        <w:tc>
          <w:tcPr>
            <w:tcW w:w="244" w:type="dxa"/>
          </w:tcPr>
          <w:p>
            <w:pPr>
              <w:pStyle w:val="TableParagraph"/>
              <w:rPr>
                <w:rFonts w:ascii="Times New Roman"/>
                <w:sz w:val="20"/>
              </w:rPr>
            </w:pPr>
          </w:p>
        </w:tc>
        <w:tc>
          <w:tcPr>
            <w:tcW w:w="711" w:type="dxa"/>
          </w:tcPr>
          <w:p>
            <w:pPr>
              <w:pStyle w:val="TableParagraph"/>
              <w:rPr>
                <w:rFonts w:ascii="Times New Roman"/>
                <w:sz w:val="20"/>
              </w:rPr>
            </w:pPr>
          </w:p>
        </w:tc>
        <w:tc>
          <w:tcPr>
            <w:tcW w:w="9138" w:type="dxa"/>
          </w:tcPr>
          <w:p>
            <w:pPr>
              <w:pStyle w:val="TableParagraph"/>
              <w:spacing w:line="261" w:lineRule="exact"/>
              <w:ind w:left="1887"/>
              <w:rPr>
                <w:sz w:val="21"/>
              </w:rPr>
            </w:pPr>
            <w:r>
              <w:rPr>
                <w:sz w:val="21"/>
              </w:rPr>
              <w:t>前述限额。 </w:t>
            </w:r>
          </w:p>
        </w:tc>
      </w:tr>
      <w:tr>
        <w:trPr>
          <w:trHeight w:val="312" w:hRule="atLeast"/>
        </w:trPr>
        <w:tc>
          <w:tcPr>
            <w:tcW w:w="244" w:type="dxa"/>
          </w:tcPr>
          <w:p>
            <w:pPr>
              <w:pStyle w:val="TableParagraph"/>
              <w:spacing w:line="261" w:lineRule="exact"/>
              <w:ind w:right="28"/>
              <w:jc w:val="right"/>
              <w:rPr>
                <w:sz w:val="21"/>
              </w:rPr>
            </w:pPr>
            <w:r>
              <w:rPr>
                <w:w w:val="100"/>
                <w:sz w:val="21"/>
              </w:rPr>
              <w:t> </w:t>
            </w:r>
          </w:p>
        </w:tc>
        <w:tc>
          <w:tcPr>
            <w:tcW w:w="711" w:type="dxa"/>
          </w:tcPr>
          <w:p>
            <w:pPr>
              <w:pStyle w:val="TableParagraph"/>
              <w:rPr>
                <w:rFonts w:ascii="Times New Roman"/>
                <w:sz w:val="20"/>
              </w:rPr>
            </w:pPr>
          </w:p>
        </w:tc>
        <w:tc>
          <w:tcPr>
            <w:tcW w:w="9138" w:type="dxa"/>
          </w:tcPr>
          <w:p>
            <w:pPr>
              <w:pStyle w:val="TableParagraph"/>
              <w:tabs>
                <w:tab w:pos="1887" w:val="left" w:leader="none"/>
              </w:tabs>
              <w:spacing w:line="261" w:lineRule="exact"/>
              <w:ind w:left="113"/>
              <w:rPr>
                <w:sz w:val="21"/>
              </w:rPr>
            </w:pPr>
            <w:r>
              <w:rPr>
                <w:b/>
                <w:w w:val="99"/>
                <w:sz w:val="21"/>
              </w:rPr>
              <w:t> </w:t>
            </w:r>
            <w:r>
              <w:rPr>
                <w:b/>
                <w:sz w:val="21"/>
              </w:rPr>
              <w:tab/>
            </w:r>
            <w:r>
              <w:rPr>
                <w:w w:val="100"/>
                <w:sz w:val="21"/>
              </w:rPr>
              <w:t> </w:t>
            </w:r>
          </w:p>
        </w:tc>
      </w:tr>
      <w:tr>
        <w:trPr>
          <w:trHeight w:val="312" w:hRule="atLeast"/>
        </w:trPr>
        <w:tc>
          <w:tcPr>
            <w:tcW w:w="244" w:type="dxa"/>
          </w:tcPr>
          <w:p>
            <w:pPr>
              <w:pStyle w:val="TableParagraph"/>
              <w:rPr>
                <w:rFonts w:ascii="Times New Roman"/>
                <w:sz w:val="20"/>
              </w:rPr>
            </w:pPr>
          </w:p>
        </w:tc>
        <w:tc>
          <w:tcPr>
            <w:tcW w:w="711" w:type="dxa"/>
          </w:tcPr>
          <w:p>
            <w:pPr>
              <w:pStyle w:val="TableParagraph"/>
              <w:spacing w:line="262" w:lineRule="exact"/>
              <w:ind w:right="114"/>
              <w:jc w:val="right"/>
              <w:rPr>
                <w:b/>
                <w:sz w:val="21"/>
              </w:rPr>
            </w:pPr>
            <w:r>
              <w:rPr>
                <w:b/>
                <w:sz w:val="21"/>
              </w:rPr>
              <w:t>2.3 </w:t>
            </w:r>
          </w:p>
        </w:tc>
        <w:tc>
          <w:tcPr>
            <w:tcW w:w="9138" w:type="dxa"/>
          </w:tcPr>
          <w:p>
            <w:pPr>
              <w:pStyle w:val="TableParagraph"/>
              <w:tabs>
                <w:tab w:pos="1887" w:val="left" w:leader="none"/>
              </w:tabs>
              <w:spacing w:line="262" w:lineRule="exact"/>
              <w:ind w:left="113"/>
              <w:rPr>
                <w:sz w:val="21"/>
              </w:rPr>
            </w:pPr>
            <w:r>
              <w:rPr>
                <w:b/>
                <w:sz w:val="21"/>
              </w:rPr>
              <w:t>保险期</w:t>
            </w:r>
            <w:r>
              <w:rPr>
                <w:b/>
                <w:spacing w:val="-3"/>
                <w:sz w:val="21"/>
              </w:rPr>
              <w:t>间</w:t>
              <w:tab/>
            </w:r>
            <w:r>
              <w:rPr>
                <w:spacing w:val="-1"/>
                <w:sz w:val="21"/>
              </w:rPr>
              <w:t>本</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8"/>
                <w:sz w:val="21"/>
              </w:rPr>
              <w:t>，</w:t>
            </w:r>
            <w:r>
              <w:rPr>
                <w:sz w:val="21"/>
              </w:rPr>
              <w:t>并</w:t>
            </w:r>
            <w:r>
              <w:rPr>
                <w:spacing w:val="-3"/>
                <w:sz w:val="21"/>
              </w:rPr>
              <w:t>在</w:t>
            </w:r>
            <w:r>
              <w:rPr>
                <w:sz w:val="21"/>
              </w:rPr>
              <w:t>保</w:t>
            </w:r>
            <w:r>
              <w:rPr>
                <w:spacing w:val="-3"/>
                <w:sz w:val="21"/>
              </w:rPr>
              <w:t>险</w:t>
            </w:r>
            <w:r>
              <w:rPr>
                <w:sz w:val="21"/>
              </w:rPr>
              <w:t>单</w:t>
            </w:r>
            <w:r>
              <w:rPr>
                <w:spacing w:val="-3"/>
                <w:sz w:val="21"/>
              </w:rPr>
              <w:t>上</w:t>
            </w:r>
            <w:r>
              <w:rPr>
                <w:sz w:val="21"/>
              </w:rPr>
              <w:t>载明</w:t>
            </w:r>
            <w:r>
              <w:rPr>
                <w:spacing w:val="-8"/>
                <w:sz w:val="21"/>
              </w:rPr>
              <w:t>。</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w:t>
            </w:r>
          </w:p>
        </w:tc>
      </w:tr>
      <w:tr>
        <w:trPr>
          <w:trHeight w:val="311" w:hRule="atLeast"/>
        </w:trPr>
        <w:tc>
          <w:tcPr>
            <w:tcW w:w="244" w:type="dxa"/>
          </w:tcPr>
          <w:p>
            <w:pPr>
              <w:pStyle w:val="TableParagraph"/>
              <w:rPr>
                <w:rFonts w:ascii="Times New Roman"/>
                <w:sz w:val="20"/>
              </w:rPr>
            </w:pPr>
          </w:p>
        </w:tc>
        <w:tc>
          <w:tcPr>
            <w:tcW w:w="711" w:type="dxa"/>
          </w:tcPr>
          <w:p>
            <w:pPr>
              <w:pStyle w:val="TableParagraph"/>
              <w:rPr>
                <w:rFonts w:ascii="Times New Roman"/>
                <w:sz w:val="20"/>
              </w:rPr>
            </w:pPr>
          </w:p>
        </w:tc>
        <w:tc>
          <w:tcPr>
            <w:tcW w:w="9138" w:type="dxa"/>
          </w:tcPr>
          <w:p>
            <w:pPr>
              <w:pStyle w:val="TableParagraph"/>
              <w:spacing w:line="261" w:lineRule="exact"/>
              <w:ind w:left="1887"/>
              <w:rPr>
                <w:sz w:val="21"/>
              </w:rPr>
            </w:pPr>
            <w:r>
              <w:rPr>
                <w:sz w:val="21"/>
              </w:rPr>
              <w:t>效日的零时起至被保险人身故时止。 </w:t>
            </w:r>
          </w:p>
        </w:tc>
      </w:tr>
      <w:tr>
        <w:trPr>
          <w:trHeight w:val="261" w:hRule="atLeast"/>
        </w:trPr>
        <w:tc>
          <w:tcPr>
            <w:tcW w:w="244" w:type="dxa"/>
          </w:tcPr>
          <w:p>
            <w:pPr>
              <w:pStyle w:val="TableParagraph"/>
              <w:spacing w:line="242" w:lineRule="exact"/>
              <w:ind w:right="28"/>
              <w:jc w:val="right"/>
              <w:rPr>
                <w:b/>
                <w:sz w:val="21"/>
              </w:rPr>
            </w:pPr>
            <w:r>
              <w:rPr>
                <w:b/>
                <w:w w:val="99"/>
                <w:sz w:val="21"/>
              </w:rPr>
              <w:t> </w:t>
            </w:r>
          </w:p>
        </w:tc>
        <w:tc>
          <w:tcPr>
            <w:tcW w:w="711" w:type="dxa"/>
          </w:tcPr>
          <w:p>
            <w:pPr>
              <w:pStyle w:val="TableParagraph"/>
              <w:rPr>
                <w:rFonts w:ascii="Times New Roman"/>
                <w:sz w:val="18"/>
              </w:rPr>
            </w:pPr>
          </w:p>
        </w:tc>
        <w:tc>
          <w:tcPr>
            <w:tcW w:w="9138" w:type="dxa"/>
          </w:tcPr>
          <w:p>
            <w:pPr>
              <w:pStyle w:val="TableParagraph"/>
              <w:tabs>
                <w:tab w:pos="1887" w:val="left" w:leader="none"/>
              </w:tabs>
              <w:spacing w:line="242" w:lineRule="exact"/>
              <w:ind w:left="113"/>
              <w:rPr>
                <w:sz w:val="21"/>
              </w:rPr>
            </w:pPr>
            <w:r>
              <w:rPr>
                <w:b/>
                <w:w w:val="99"/>
                <w:sz w:val="21"/>
              </w:rPr>
              <w:t> </w:t>
            </w:r>
            <w:r>
              <w:rPr>
                <w:b/>
                <w:sz w:val="21"/>
              </w:rPr>
              <w:tab/>
            </w:r>
            <w:r>
              <w:rPr>
                <w:w w:val="100"/>
                <w:sz w:val="21"/>
              </w:rPr>
              <w:t> </w:t>
            </w:r>
          </w:p>
        </w:tc>
      </w:tr>
    </w:tbl>
    <w:p>
      <w:pPr>
        <w:spacing w:after="0" w:line="242" w:lineRule="exact"/>
        <w:rPr>
          <w:sz w:val="21"/>
        </w:rPr>
        <w:sectPr>
          <w:pgSz w:w="11910" w:h="16840"/>
          <w:pgMar w:top="1060" w:bottom="280" w:left="800" w:right="800"/>
        </w:sectPr>
      </w:pPr>
    </w:p>
    <w:p>
      <w:pPr>
        <w:pStyle w:val="ListParagraph"/>
        <w:numPr>
          <w:ilvl w:val="1"/>
          <w:numId w:val="2"/>
        </w:numPr>
        <w:tabs>
          <w:tab w:pos="726" w:val="left" w:leader="none"/>
          <w:tab w:pos="1060" w:val="left" w:leader="none"/>
        </w:tabs>
        <w:spacing w:line="240" w:lineRule="auto" w:before="22" w:after="0"/>
        <w:ind w:left="2954" w:right="0" w:hanging="2547"/>
        <w:jc w:val="left"/>
        <w:rPr>
          <w:sz w:val="21"/>
        </w:rPr>
      </w:pPr>
      <w:r>
        <w:rPr>
          <w:b/>
          <w:sz w:val="21"/>
        </w:rPr>
        <w:t>保险责任         </w:t>
      </w:r>
      <w:r>
        <w:rPr>
          <w:spacing w:val="-3"/>
          <w:sz w:val="21"/>
        </w:rPr>
        <w:t>在本合同有效期内，我们承担如下保险责任： </w:t>
      </w:r>
      <w:r>
        <w:rPr>
          <w:sz w:val="21"/>
        </w:rPr>
        <w:t> </w:t>
      </w:r>
    </w:p>
    <w:p>
      <w:pPr>
        <w:pStyle w:val="Heading2"/>
        <w:tabs>
          <w:tab w:pos="1060" w:val="left" w:leader="none"/>
          <w:tab w:pos="2834" w:val="left" w:leader="none"/>
        </w:tabs>
        <w:spacing w:line="248" w:lineRule="exact" w:before="37"/>
        <w:ind w:left="407"/>
        <w:rPr>
          <w:b w:val="0"/>
        </w:rPr>
      </w:pPr>
      <w:r>
        <w:rPr>
          <w:w w:val="99"/>
        </w:rPr>
        <w:t> </w:t>
      </w:r>
      <w:r>
        <w:rPr/>
        <w:tab/>
      </w:r>
      <w:r>
        <w:rPr>
          <w:w w:val="99"/>
        </w:rPr>
        <w:t> </w:t>
      </w:r>
      <w:r>
        <w:rPr/>
        <w:tab/>
      </w:r>
      <w:r>
        <w:rPr>
          <w:b w:val="0"/>
          <w:w w:val="100"/>
        </w:rPr>
        <w:t> </w:t>
      </w:r>
    </w:p>
    <w:p>
      <w:pPr>
        <w:tabs>
          <w:tab w:pos="1060" w:val="left" w:leader="none"/>
        </w:tabs>
        <w:spacing w:line="230" w:lineRule="auto" w:before="0"/>
        <w:ind w:left="2834" w:right="216" w:hanging="2427"/>
        <w:jc w:val="left"/>
        <w:rPr>
          <w:b/>
          <w:sz w:val="21"/>
        </w:rPr>
      </w:pPr>
      <w:r>
        <w:rPr>
          <w:b/>
          <w:w w:val="99"/>
          <w:sz w:val="21"/>
        </w:rPr>
        <w:t> </w:t>
      </w:r>
      <w:r>
        <w:rPr>
          <w:b/>
          <w:sz w:val="21"/>
        </w:rPr>
        <w:tab/>
      </w:r>
      <w:r>
        <w:rPr>
          <w:rFonts w:ascii="Microsoft JhengHei" w:eastAsia="Microsoft JhengHei" w:hint="eastAsia"/>
          <w:b/>
          <w:position w:val="-1"/>
          <w:sz w:val="24"/>
        </w:rPr>
        <w:t>等待期</w:t>
      </w:r>
      <w:r>
        <w:rPr>
          <w:i/>
          <w:spacing w:val="-2"/>
          <w:w w:val="96"/>
          <w:position w:val="-1"/>
          <w:sz w:val="22"/>
        </w:rPr>
        <w:t>         </w:t>
      </w:r>
      <w:r>
        <w:rPr>
          <w:i/>
          <w:spacing w:val="-4"/>
          <w:position w:val="-1"/>
          <w:sz w:val="22"/>
        </w:rPr>
        <w:t> </w:t>
      </w:r>
      <w:r>
        <w:rPr>
          <w:spacing w:val="-3"/>
          <w:w w:val="100"/>
          <w:sz w:val="21"/>
          <w:shd w:fill="D9D9D9" w:color="auto" w:val="clear"/>
        </w:rPr>
        <w:t>在本合同最后复效之日起</w:t>
      </w:r>
      <w:r>
        <w:rPr>
          <w:spacing w:val="-31"/>
          <w:sz w:val="21"/>
          <w:shd w:fill="D9D9D9" w:color="auto" w:val="clear"/>
        </w:rPr>
        <w:t> </w:t>
      </w:r>
      <w:r>
        <w:rPr>
          <w:w w:val="100"/>
          <w:sz w:val="21"/>
          <w:shd w:fill="D9D9D9" w:color="auto" w:val="clear"/>
        </w:rPr>
        <w:t>90</w:t>
      </w:r>
      <w:r>
        <w:rPr>
          <w:spacing w:val="-29"/>
          <w:sz w:val="21"/>
          <w:shd w:fill="D9D9D9" w:color="auto" w:val="clear"/>
        </w:rPr>
        <w:t> </w:t>
      </w:r>
      <w:r>
        <w:rPr>
          <w:spacing w:val="-2"/>
          <w:w w:val="100"/>
          <w:sz w:val="21"/>
          <w:shd w:fill="D9D9D9" w:color="auto" w:val="clear"/>
        </w:rPr>
        <w:t>日内</w:t>
      </w:r>
      <w:r>
        <w:rPr>
          <w:spacing w:val="-3"/>
          <w:w w:val="100"/>
          <w:sz w:val="21"/>
          <w:shd w:fill="D9D9D9" w:color="auto" w:val="clear"/>
        </w:rPr>
        <w:t>（</w:t>
      </w:r>
      <w:r>
        <w:rPr>
          <w:spacing w:val="-2"/>
          <w:w w:val="100"/>
          <w:sz w:val="21"/>
          <w:shd w:fill="D9D9D9" w:color="auto" w:val="clear"/>
        </w:rPr>
        <w:t>含第</w:t>
      </w:r>
      <w:r>
        <w:rPr>
          <w:spacing w:val="-29"/>
          <w:sz w:val="21"/>
          <w:shd w:fill="D9D9D9" w:color="auto" w:val="clear"/>
        </w:rPr>
        <w:t> </w:t>
      </w:r>
      <w:r>
        <w:rPr>
          <w:spacing w:val="-3"/>
          <w:w w:val="100"/>
          <w:sz w:val="21"/>
          <w:shd w:fill="D9D9D9" w:color="auto" w:val="clear"/>
        </w:rPr>
        <w:t>9</w:t>
      </w:r>
      <w:r>
        <w:rPr>
          <w:w w:val="100"/>
          <w:sz w:val="21"/>
          <w:shd w:fill="D9D9D9" w:color="auto" w:val="clear"/>
        </w:rPr>
        <w:t>0</w:t>
      </w:r>
      <w:r>
        <w:rPr>
          <w:spacing w:val="-29"/>
          <w:sz w:val="21"/>
          <w:shd w:fill="D9D9D9" w:color="auto" w:val="clear"/>
        </w:rPr>
        <w:t> </w:t>
      </w:r>
      <w:r>
        <w:rPr>
          <w:spacing w:val="-3"/>
          <w:w w:val="100"/>
          <w:sz w:val="21"/>
          <w:shd w:fill="D9D9D9" w:color="auto" w:val="clear"/>
        </w:rPr>
        <w:t>日当日</w:t>
      </w:r>
      <w:r>
        <w:rPr>
          <w:spacing w:val="-108"/>
          <w:w w:val="100"/>
          <w:sz w:val="21"/>
          <w:shd w:fill="D9D9D9" w:color="auto" w:val="clear"/>
        </w:rPr>
        <w:t>）</w:t>
      </w:r>
      <w:r>
        <w:rPr>
          <w:spacing w:val="-3"/>
          <w:w w:val="100"/>
          <w:sz w:val="21"/>
          <w:shd w:fill="D9D9D9" w:color="auto" w:val="clear"/>
        </w:rPr>
        <w:t>，被保险人因</w:t>
      </w:r>
      <w:r>
        <w:rPr>
          <w:b/>
          <w:w w:val="100"/>
          <w:sz w:val="21"/>
          <w:shd w:fill="D9D9D9" w:color="auto" w:val="clear"/>
        </w:rPr>
        <w:t>意外伤害事</w:t>
      </w:r>
      <w:r>
        <w:rPr>
          <w:b/>
          <w:spacing w:val="-206"/>
          <w:w w:val="100"/>
          <w:sz w:val="21"/>
          <w:shd w:fill="D9D9D9" w:color="auto" w:val="clear"/>
        </w:rPr>
        <w:t>故</w:t>
      </w:r>
      <w:r>
        <w:rPr>
          <w:sz w:val="21"/>
          <w:shd w:fill="D9D9D9" w:color="auto" w:val="clear"/>
        </w:rPr>
        <w:t>（</w:t>
      </w:r>
      <w:r>
        <w:rPr>
          <w:spacing w:val="5"/>
          <w:sz w:val="21"/>
          <w:shd w:fill="D9D9D9" w:color="auto" w:val="clear"/>
        </w:rPr>
        <w:t>见 </w:t>
      </w:r>
      <w:r>
        <w:rPr>
          <w:sz w:val="21"/>
          <w:shd w:fill="D9D9D9" w:color="auto" w:val="clear"/>
        </w:rPr>
        <w:t>9.4）</w:t>
      </w:r>
      <w:r>
        <w:rPr>
          <w:spacing w:val="-3"/>
          <w:sz w:val="21"/>
          <w:shd w:fill="D9D9D9" w:color="auto" w:val="clear"/>
        </w:rPr>
        <w:t>以外的原因发生下列情形之一的，我们无息退还</w:t>
      </w:r>
      <w:r>
        <w:rPr>
          <w:b/>
          <w:spacing w:val="-2"/>
          <w:sz w:val="21"/>
          <w:shd w:fill="D9D9D9" w:color="auto" w:val="clear"/>
        </w:rPr>
        <w:t>本合同已交保险</w:t>
      </w:r>
    </w:p>
    <w:p>
      <w:pPr>
        <w:pStyle w:val="BodyText"/>
        <w:spacing w:before="49"/>
        <w:ind w:left="2834"/>
      </w:pPr>
      <w:r>
        <w:rPr>
          <w:b/>
          <w:w w:val="100"/>
          <w:shd w:fill="D9D9D9" w:color="auto" w:val="clear"/>
        </w:rPr>
        <w:t>费</w:t>
      </w:r>
      <w:r>
        <w:rPr>
          <w:w w:val="100"/>
          <w:shd w:fill="D9D9D9" w:color="auto" w:val="clear"/>
        </w:rPr>
        <w:t>（见</w:t>
      </w:r>
      <w:r>
        <w:rPr>
          <w:spacing w:val="-55"/>
          <w:shd w:fill="D9D9D9" w:color="auto" w:val="clear"/>
        </w:rPr>
        <w:t> </w:t>
      </w:r>
      <w:r>
        <w:rPr>
          <w:w w:val="100"/>
          <w:shd w:fill="D9D9D9" w:color="auto" w:val="clear"/>
        </w:rPr>
        <w:t>9.5</w:t>
      </w:r>
      <w:r>
        <w:rPr>
          <w:spacing w:val="-108"/>
          <w:w w:val="100"/>
          <w:shd w:fill="D9D9D9" w:color="auto" w:val="clear"/>
        </w:rPr>
        <w:t>）</w:t>
      </w:r>
      <w:r>
        <w:rPr>
          <w:spacing w:val="-3"/>
          <w:w w:val="100"/>
          <w:shd w:fill="D9D9D9" w:color="auto" w:val="clear"/>
        </w:rPr>
        <w:t>，本合同终止：</w:t>
      </w:r>
      <w:r>
        <w:rPr>
          <w:spacing w:val="-3"/>
          <w:w w:val="100"/>
        </w:rPr>
        <w:t> </w:t>
      </w:r>
    </w:p>
    <w:p>
      <w:pPr>
        <w:pStyle w:val="BodyText"/>
        <w:ind w:left="2834"/>
      </w:pPr>
      <w:r>
        <w:rPr>
          <w:shd w:fill="D9D9D9" w:color="auto" w:val="clear"/>
        </w:rPr>
        <w:t>（一）身故；</w:t>
      </w:r>
      <w:r>
        <w:rPr/>
        <w:t> </w:t>
      </w:r>
    </w:p>
    <w:p>
      <w:pPr>
        <w:spacing w:before="37"/>
        <w:ind w:left="2834" w:right="0" w:firstLine="0"/>
        <w:jc w:val="left"/>
        <w:rPr>
          <w:sz w:val="21"/>
        </w:rPr>
      </w:pPr>
      <w:r>
        <w:rPr>
          <w:w w:val="100"/>
          <w:sz w:val="21"/>
          <w:shd w:fill="D9D9D9" w:color="auto" w:val="clear"/>
        </w:rPr>
        <w:t>（二</w:t>
      </w:r>
      <w:r>
        <w:rPr>
          <w:spacing w:val="-3"/>
          <w:w w:val="100"/>
          <w:sz w:val="21"/>
          <w:shd w:fill="D9D9D9" w:color="auto" w:val="clear"/>
        </w:rPr>
        <w:t>）</w:t>
      </w:r>
      <w:r>
        <w:rPr>
          <w:b/>
          <w:w w:val="100"/>
          <w:sz w:val="21"/>
          <w:shd w:fill="D9D9D9" w:color="auto" w:val="clear"/>
        </w:rPr>
        <w:t>重大疾病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.6</w:t>
      </w:r>
      <w:r>
        <w:rPr>
          <w:spacing w:val="-108"/>
          <w:w w:val="100"/>
          <w:sz w:val="21"/>
          <w:shd w:fill="D9D9D9" w:color="auto" w:val="clear"/>
        </w:rPr>
        <w:t>）</w:t>
      </w:r>
      <w:r>
        <w:rPr>
          <w:w w:val="100"/>
          <w:sz w:val="21"/>
          <w:shd w:fill="D9D9D9" w:color="auto" w:val="clear"/>
        </w:rPr>
        <w:t>；</w:t>
      </w:r>
      <w:r>
        <w:rPr>
          <w:w w:val="100"/>
          <w:sz w:val="21"/>
        </w:rPr>
        <w:t> </w:t>
      </w:r>
    </w:p>
    <w:p>
      <w:pPr>
        <w:spacing w:before="37"/>
        <w:ind w:left="2834" w:right="0" w:firstLine="0"/>
        <w:jc w:val="left"/>
        <w:rPr>
          <w:sz w:val="21"/>
        </w:rPr>
      </w:pPr>
      <w:r>
        <w:rPr>
          <w:w w:val="100"/>
          <w:sz w:val="21"/>
          <w:shd w:fill="D9D9D9" w:color="auto" w:val="clear"/>
        </w:rPr>
        <w:t>（三</w:t>
      </w:r>
      <w:r>
        <w:rPr>
          <w:spacing w:val="-3"/>
          <w:w w:val="100"/>
          <w:sz w:val="21"/>
          <w:shd w:fill="D9D9D9" w:color="auto" w:val="clear"/>
        </w:rPr>
        <w:t>）</w:t>
      </w:r>
      <w:r>
        <w:rPr>
          <w:b/>
          <w:w w:val="100"/>
          <w:sz w:val="21"/>
          <w:shd w:fill="D9D9D9" w:color="auto" w:val="clear"/>
        </w:rPr>
        <w:t>轻症疾病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.7</w:t>
      </w:r>
      <w:r>
        <w:rPr>
          <w:spacing w:val="-108"/>
          <w:w w:val="100"/>
          <w:sz w:val="21"/>
          <w:shd w:fill="D9D9D9" w:color="auto" w:val="clear"/>
        </w:rPr>
        <w:t>）</w:t>
      </w:r>
      <w:r>
        <w:rPr>
          <w:w w:val="100"/>
          <w:sz w:val="21"/>
          <w:shd w:fill="D9D9D9" w:color="auto" w:val="clear"/>
        </w:rPr>
        <w:t>。</w:t>
      </w:r>
      <w:r>
        <w:rPr>
          <w:w w:val="100"/>
          <w:sz w:val="21"/>
        </w:rPr>
        <w:t> </w:t>
      </w:r>
    </w:p>
    <w:p>
      <w:pPr>
        <w:pStyle w:val="BodyText"/>
        <w:ind w:left="2834"/>
      </w:pPr>
      <w:r>
        <w:rPr>
          <w:w w:val="100"/>
        </w:rPr>
        <w:t> </w:t>
      </w:r>
    </w:p>
    <w:p>
      <w:pPr>
        <w:pStyle w:val="BodyText"/>
        <w:ind w:left="2834"/>
      </w:pPr>
      <w:r>
        <w:rPr/>
        <w:t>这 90 日的时间称为等待期。 </w:t>
      </w:r>
    </w:p>
    <w:p>
      <w:pPr>
        <w:pStyle w:val="BodyText"/>
        <w:ind w:left="2834"/>
      </w:pPr>
      <w:r>
        <w:rPr>
          <w:w w:val="100"/>
        </w:rPr>
        <w:t> </w:t>
      </w:r>
    </w:p>
    <w:p>
      <w:pPr>
        <w:pStyle w:val="BodyText"/>
        <w:ind w:left="2834"/>
      </w:pPr>
      <w:r>
        <w:rPr/>
        <w:t>被保险人因意外伤害事故发生上述情形之一的，无等待期。 </w:t>
      </w:r>
    </w:p>
    <w:p>
      <w:pPr>
        <w:tabs>
          <w:tab w:pos="2834" w:val="left" w:leader="none"/>
        </w:tabs>
        <w:spacing w:before="37"/>
        <w:ind w:left="407" w:right="0" w:firstLine="0"/>
        <w:jc w:val="left"/>
        <w:rPr>
          <w:sz w:val="21"/>
        </w:rPr>
      </w:pPr>
      <w:r>
        <w:rPr>
          <w:b/>
          <w:w w:val="99"/>
          <w:sz w:val="21"/>
        </w:rPr>
        <w:t> </w:t>
      </w:r>
      <w:r>
        <w:rPr>
          <w:b/>
          <w:sz w:val="21"/>
        </w:rPr>
        <w:tab/>
      </w:r>
      <w:r>
        <w:rPr>
          <w:w w:val="100"/>
          <w:sz w:val="21"/>
        </w:rPr>
        <w:t> </w:t>
      </w:r>
    </w:p>
    <w:p>
      <w:pPr>
        <w:pStyle w:val="BodyText"/>
        <w:tabs>
          <w:tab w:pos="2834" w:val="left" w:leader="none"/>
        </w:tabs>
        <w:spacing w:line="273" w:lineRule="auto" w:before="46"/>
        <w:ind w:left="2834" w:right="213" w:hanging="2427"/>
      </w:pPr>
      <w:r>
        <w:rPr>
          <w:b/>
          <w:w w:val="99"/>
        </w:rPr>
        <w:t> </w:t>
      </w:r>
      <w:r>
        <w:rPr>
          <w:b/>
        </w:rPr>
        <w:tab/>
      </w:r>
      <w:r>
        <w:rPr>
          <w:spacing w:val="-4"/>
        </w:rPr>
        <w:t>如被保险人在等待期后发生本合同所约定的保险事故，我们按照下列方式给付 保险金：</w:t>
      </w:r>
      <w:r>
        <w:rPr/>
        <w:t> </w:t>
      </w:r>
    </w:p>
    <w:p>
      <w:pPr>
        <w:pStyle w:val="BodyText"/>
        <w:tabs>
          <w:tab w:pos="1060" w:val="left" w:leader="none"/>
          <w:tab w:pos="2834" w:val="left" w:leader="none"/>
        </w:tabs>
        <w:spacing w:line="241" w:lineRule="exact" w:before="7"/>
        <w:ind w:left="100"/>
      </w:pPr>
      <w:r>
        <w:rPr>
          <w:w w:val="100"/>
        </w:rPr>
        <w:t> </w:t>
      </w:r>
      <w:r>
        <w:rPr/>
        <w:tab/>
      </w:r>
      <w:r>
        <w:rPr>
          <w:w w:val="100"/>
        </w:rPr>
        <w:t> </w:t>
      </w:r>
      <w:r>
        <w:rPr/>
        <w:tab/>
      </w:r>
      <w:r>
        <w:rPr>
          <w:w w:val="100"/>
        </w:rPr>
        <w:t> </w:t>
      </w:r>
    </w:p>
    <w:p>
      <w:pPr>
        <w:pStyle w:val="BodyText"/>
        <w:tabs>
          <w:tab w:pos="1060" w:val="left" w:leader="none"/>
          <w:tab w:pos="2834" w:val="left" w:leader="none"/>
        </w:tabs>
        <w:spacing w:line="383" w:lineRule="exact" w:before="0"/>
        <w:ind w:left="100"/>
      </w:pPr>
      <w:r>
        <w:rPr>
          <w:w w:val="100"/>
          <w:position w:val="1"/>
        </w:rPr>
        <w:t> </w:t>
      </w:r>
      <w:r>
        <w:rPr>
          <w:position w:val="1"/>
        </w:rPr>
        <w:tab/>
      </w:r>
      <w:r>
        <w:rPr>
          <w:rFonts w:ascii="Microsoft JhengHei" w:eastAsia="Microsoft JhengHei" w:hint="eastAsia"/>
          <w:b/>
          <w:sz w:val="24"/>
        </w:rPr>
        <w:t>身故保险金</w:t>
        <w:tab/>
      </w:r>
      <w:r>
        <w:rPr>
          <w:position w:val="1"/>
        </w:rPr>
        <w:t>被保</w:t>
      </w:r>
      <w:r>
        <w:rPr>
          <w:spacing w:val="-3"/>
          <w:position w:val="1"/>
        </w:rPr>
        <w:t>险</w:t>
      </w:r>
      <w:r>
        <w:rPr>
          <w:position w:val="1"/>
        </w:rPr>
        <w:t>人</w:t>
      </w:r>
      <w:r>
        <w:rPr>
          <w:spacing w:val="-3"/>
          <w:position w:val="1"/>
        </w:rPr>
        <w:t>于年</w:t>
      </w:r>
      <w:r>
        <w:rPr>
          <w:position w:val="1"/>
        </w:rPr>
        <w:t>满</w:t>
      </w:r>
      <w:r>
        <w:rPr>
          <w:spacing w:val="-44"/>
          <w:position w:val="1"/>
        </w:rPr>
        <w:t> </w:t>
      </w:r>
      <w:r>
        <w:rPr>
          <w:position w:val="1"/>
        </w:rPr>
        <w:t>18</w:t>
      </w:r>
      <w:r>
        <w:rPr>
          <w:spacing w:val="-47"/>
          <w:position w:val="1"/>
        </w:rPr>
        <w:t> </w:t>
      </w:r>
      <w:r>
        <w:rPr>
          <w:position w:val="1"/>
        </w:rPr>
        <w:t>周</w:t>
      </w:r>
      <w:r>
        <w:rPr>
          <w:spacing w:val="-3"/>
          <w:position w:val="1"/>
        </w:rPr>
        <w:t>岁</w:t>
      </w:r>
      <w:r>
        <w:rPr>
          <w:spacing w:val="-5"/>
          <w:position w:val="1"/>
        </w:rPr>
        <w:t>前</w:t>
      </w:r>
      <w:r>
        <w:rPr>
          <w:position w:val="1"/>
        </w:rPr>
        <w:t>（含</w:t>
      </w:r>
      <w:r>
        <w:rPr>
          <w:spacing w:val="-43"/>
          <w:position w:val="1"/>
        </w:rPr>
        <w:t> </w:t>
      </w:r>
      <w:r>
        <w:rPr>
          <w:position w:val="1"/>
        </w:rPr>
        <w:t>18</w:t>
      </w:r>
      <w:r>
        <w:rPr>
          <w:spacing w:val="-44"/>
          <w:position w:val="1"/>
        </w:rPr>
        <w:t> </w:t>
      </w:r>
      <w:r>
        <w:rPr>
          <w:spacing w:val="-3"/>
          <w:position w:val="1"/>
        </w:rPr>
        <w:t>周</w:t>
      </w:r>
      <w:r>
        <w:rPr>
          <w:position w:val="1"/>
        </w:rPr>
        <w:t>岁</w:t>
      </w:r>
      <w:r>
        <w:rPr>
          <w:spacing w:val="-3"/>
          <w:position w:val="1"/>
        </w:rPr>
        <w:t>生</w:t>
      </w:r>
      <w:r>
        <w:rPr>
          <w:position w:val="1"/>
        </w:rPr>
        <w:t>日</w:t>
      </w:r>
      <w:r>
        <w:rPr>
          <w:spacing w:val="-3"/>
          <w:position w:val="1"/>
        </w:rPr>
        <w:t>当</w:t>
      </w:r>
      <w:r>
        <w:rPr>
          <w:position w:val="1"/>
        </w:rPr>
        <w:t>天</w:t>
      </w:r>
      <w:r>
        <w:rPr>
          <w:spacing w:val="-5"/>
          <w:position w:val="1"/>
        </w:rPr>
        <w:t>）</w:t>
      </w:r>
      <w:r>
        <w:rPr>
          <w:spacing w:val="-3"/>
          <w:position w:val="1"/>
        </w:rPr>
        <w:t>身</w:t>
      </w:r>
      <w:r>
        <w:rPr>
          <w:position w:val="1"/>
        </w:rPr>
        <w:t>故</w:t>
      </w:r>
      <w:r>
        <w:rPr>
          <w:spacing w:val="-5"/>
          <w:position w:val="1"/>
        </w:rPr>
        <w:t>，</w:t>
      </w:r>
      <w:r>
        <w:rPr>
          <w:position w:val="1"/>
        </w:rPr>
        <w:t>我</w:t>
      </w:r>
      <w:r>
        <w:rPr>
          <w:spacing w:val="-3"/>
          <w:position w:val="1"/>
        </w:rPr>
        <w:t>们</w:t>
      </w:r>
      <w:r>
        <w:rPr>
          <w:position w:val="1"/>
        </w:rPr>
        <w:t>按</w:t>
      </w:r>
      <w:r>
        <w:rPr>
          <w:spacing w:val="-3"/>
          <w:position w:val="1"/>
        </w:rPr>
        <w:t>本</w:t>
      </w:r>
      <w:r>
        <w:rPr>
          <w:position w:val="1"/>
        </w:rPr>
        <w:t>合</w:t>
      </w:r>
      <w:r>
        <w:rPr>
          <w:spacing w:val="-3"/>
          <w:position w:val="1"/>
        </w:rPr>
        <w:t>同</w:t>
      </w:r>
      <w:r>
        <w:rPr>
          <w:position w:val="1"/>
        </w:rPr>
        <w:t>已</w:t>
      </w:r>
      <w:r>
        <w:rPr>
          <w:spacing w:val="-3"/>
          <w:position w:val="1"/>
        </w:rPr>
        <w:t>交</w:t>
      </w:r>
      <w:r>
        <w:rPr>
          <w:position w:val="1"/>
        </w:rPr>
        <w:t>保</w:t>
      </w:r>
    </w:p>
    <w:p>
      <w:pPr>
        <w:pStyle w:val="BodyText"/>
        <w:spacing w:line="274" w:lineRule="exact" w:before="0"/>
        <w:ind w:left="2834"/>
      </w:pPr>
      <w:r>
        <w:rPr/>
        <w:t>险费给付身故保险金，本合同终止。 </w:t>
      </w:r>
    </w:p>
    <w:p>
      <w:pPr>
        <w:pStyle w:val="BodyText"/>
        <w:spacing w:before="36"/>
        <w:ind w:left="2834"/>
      </w:pPr>
      <w:r>
        <w:rPr>
          <w:w w:val="100"/>
        </w:rPr>
        <w:t> </w:t>
      </w:r>
    </w:p>
    <w:p>
      <w:pPr>
        <w:pStyle w:val="BodyText"/>
        <w:spacing w:line="273" w:lineRule="auto" w:before="36"/>
        <w:ind w:left="2834" w:right="110"/>
      </w:pPr>
      <w:r>
        <w:rPr>
          <w:spacing w:val="-8"/>
        </w:rPr>
        <w:t>被保险人于年满 </w:t>
      </w:r>
      <w:r>
        <w:rPr/>
        <w:t>18</w:t>
      </w:r>
      <w:r>
        <w:rPr>
          <w:spacing w:val="-8"/>
        </w:rPr>
        <w:t> 周岁后身故，我们按本合同基本保险金额给付身故保险金， </w:t>
      </w:r>
      <w:r>
        <w:rPr>
          <w:spacing w:val="-6"/>
        </w:rPr>
        <w:t>本合同终止。</w:t>
      </w:r>
      <w:r>
        <w:rPr/>
        <w:t> </w:t>
      </w:r>
    </w:p>
    <w:p>
      <w:pPr>
        <w:spacing w:after="0" w:line="273" w:lineRule="auto"/>
        <w:sectPr>
          <w:pgSz w:w="11910" w:h="16840"/>
          <w:pgMar w:top="1080" w:bottom="280" w:left="920" w:right="800"/>
        </w:sectPr>
      </w:pPr>
    </w:p>
    <w:p>
      <w:pPr>
        <w:pStyle w:val="BodyText"/>
        <w:spacing w:line="242" w:lineRule="exact" w:before="7"/>
        <w:ind w:left="100"/>
      </w:pPr>
      <w:r>
        <w:rPr>
          <w:w w:val="100"/>
        </w:rPr>
        <w:t> </w:t>
      </w:r>
    </w:p>
    <w:p>
      <w:pPr>
        <w:tabs>
          <w:tab w:pos="1060" w:val="left" w:leader="none"/>
        </w:tabs>
        <w:spacing w:line="172" w:lineRule="auto" w:before="83"/>
        <w:ind w:left="1060" w:right="0" w:hanging="961"/>
        <w:jc w:val="left"/>
        <w:rPr>
          <w:rFonts w:ascii="Microsoft JhengHei" w:eastAsia="Microsoft JhengHei" w:hint="eastAsia"/>
          <w:b/>
          <w:sz w:val="24"/>
        </w:rPr>
      </w:pPr>
      <w:r>
        <w:rPr>
          <w:w w:val="100"/>
          <w:position w:val="1"/>
          <w:sz w:val="21"/>
        </w:rPr>
        <w:t> </w:t>
      </w:r>
      <w:r>
        <w:rPr>
          <w:position w:val="1"/>
          <w:sz w:val="21"/>
        </w:rPr>
        <w:tab/>
      </w:r>
      <w:r>
        <w:rPr>
          <w:rFonts w:ascii="Microsoft JhengHei" w:eastAsia="Microsoft JhengHei" w:hint="eastAsia"/>
          <w:b/>
          <w:sz w:val="24"/>
        </w:rPr>
        <w:t>重大疾病保险金</w:t>
      </w:r>
    </w:p>
    <w:p>
      <w:pPr>
        <w:pStyle w:val="BodyText"/>
        <w:spacing w:before="6"/>
        <w:ind w:left="0"/>
        <w:rPr>
          <w:rFonts w:ascii="Microsoft JhengHei"/>
          <w:b/>
          <w:sz w:val="18"/>
        </w:rPr>
      </w:pPr>
      <w:r>
        <w:rPr/>
        <w:br w:type="column"/>
      </w:r>
      <w:r>
        <w:rPr>
          <w:rFonts w:ascii="Microsoft JhengHei"/>
          <w:b/>
          <w:sz w:val="18"/>
        </w:rPr>
      </w:r>
    </w:p>
    <w:p>
      <w:pPr>
        <w:pStyle w:val="BodyText"/>
        <w:spacing w:line="273" w:lineRule="auto" w:before="0"/>
        <w:ind w:left="100" w:right="213"/>
        <w:jc w:val="both"/>
      </w:pPr>
      <w:r>
        <w:rPr>
          <w:spacing w:val="-3"/>
        </w:rPr>
        <w:t>本合同约定的重大疾病分为 </w:t>
      </w:r>
      <w:r>
        <w:rPr/>
        <w:t>A、</w:t>
      </w:r>
      <w:r>
        <w:rPr>
          <w:spacing w:val="-3"/>
        </w:rPr>
        <w:t>B</w:t>
      </w:r>
      <w:r>
        <w:rPr/>
        <w:t>、C、D</w:t>
      </w:r>
      <w:r>
        <w:rPr>
          <w:spacing w:val="-3"/>
        </w:rPr>
        <w:t> 四组，详细分组信息请见</w:t>
      </w:r>
      <w:r>
        <w:rPr>
          <w:b/>
          <w:spacing w:val="-1"/>
        </w:rPr>
        <w:t>《重大疾病</w:t>
      </w:r>
      <w:r>
        <w:rPr>
          <w:b/>
          <w:spacing w:val="-28"/>
          <w:w w:val="100"/>
        </w:rPr>
        <w:t>分组表》</w:t>
      </w:r>
      <w:r>
        <w:rPr>
          <w:spacing w:val="-3"/>
          <w:w w:val="100"/>
        </w:rPr>
        <w:t>（</w:t>
      </w:r>
      <w:r>
        <w:rPr>
          <w:w w:val="100"/>
        </w:rPr>
        <w:t>见</w:t>
      </w:r>
      <w:r>
        <w:rPr>
          <w:spacing w:val="-53"/>
        </w:rPr>
        <w:t> </w:t>
      </w:r>
      <w:r>
        <w:rPr>
          <w:w w:val="100"/>
        </w:rPr>
        <w:t>9.</w:t>
      </w:r>
      <w:r>
        <w:rPr>
          <w:spacing w:val="-3"/>
          <w:w w:val="100"/>
        </w:rPr>
        <w:t>8</w:t>
      </w:r>
      <w:r>
        <w:rPr>
          <w:spacing w:val="-106"/>
          <w:w w:val="100"/>
        </w:rPr>
        <w:t>）</w:t>
      </w:r>
      <w:r>
        <w:rPr>
          <w:spacing w:val="-3"/>
          <w:w w:val="100"/>
        </w:rPr>
        <w:t>。</w:t>
      </w:r>
      <w:r>
        <w:rPr>
          <w:w w:val="100"/>
        </w:rPr>
        <w:t> </w:t>
      </w:r>
    </w:p>
    <w:p>
      <w:pPr>
        <w:pStyle w:val="BodyText"/>
        <w:spacing w:before="7"/>
        <w:ind w:left="100"/>
      </w:pPr>
      <w:r>
        <w:rPr>
          <w:w w:val="100"/>
        </w:rPr>
        <w:t> </w:t>
      </w:r>
    </w:p>
    <w:p>
      <w:pPr>
        <w:pStyle w:val="BodyText"/>
        <w:spacing w:line="273" w:lineRule="auto" w:before="36"/>
        <w:ind w:left="100" w:right="213"/>
        <w:jc w:val="both"/>
      </w:pPr>
      <w:r>
        <w:rPr>
          <w:spacing w:val="-4"/>
          <w:shd w:fill="D9D9D9" w:color="auto" w:val="clear"/>
        </w:rPr>
        <w:t>每组重大疾病保险金的给付次数以一次为限，给付后该组重大疾病的保险责任</w:t>
      </w:r>
      <w:r>
        <w:rPr>
          <w:spacing w:val="-6"/>
          <w:shd w:fill="D9D9D9" w:color="auto" w:val="clear"/>
        </w:rPr>
        <w:t>终止。</w:t>
      </w:r>
      <w:r>
        <w:rPr>
          <w:spacing w:val="-17"/>
          <w:shd w:fill="D9D9D9" w:color="auto" w:val="clear"/>
        </w:rPr>
        <w:t>本合同重大疾病保险金的累计给付次数以三次为限，当累计给付达到三次</w:t>
      </w:r>
      <w:r>
        <w:rPr>
          <w:spacing w:val="-5"/>
          <w:shd w:fill="D9D9D9" w:color="auto" w:val="clear"/>
        </w:rPr>
        <w:t>时，本合同效力终止。</w:t>
      </w:r>
      <w:r>
        <w:rPr/>
        <w:t> </w:t>
      </w:r>
    </w:p>
    <w:p>
      <w:pPr>
        <w:pStyle w:val="BodyText"/>
        <w:spacing w:before="7"/>
        <w:ind w:left="100"/>
      </w:pPr>
      <w:r>
        <w:rPr>
          <w:w w:val="100"/>
        </w:rPr>
        <w:t> </w:t>
      </w:r>
    </w:p>
    <w:p>
      <w:pPr>
        <w:pStyle w:val="BodyText"/>
        <w:ind w:left="100"/>
      </w:pPr>
      <w:r>
        <w:rPr/>
        <w:t>（一）首次重大疾病保险金 </w:t>
      </w:r>
    </w:p>
    <w:p>
      <w:pPr>
        <w:pStyle w:val="BodyText"/>
        <w:spacing w:line="273" w:lineRule="auto"/>
        <w:ind w:left="100" w:right="213"/>
        <w:jc w:val="both"/>
      </w:pPr>
      <w:r>
        <w:rPr>
          <w:spacing w:val="-2"/>
        </w:rPr>
        <w:t>若被保险人</w:t>
      </w:r>
      <w:r>
        <w:rPr>
          <w:b/>
          <w:spacing w:val="-3"/>
        </w:rPr>
        <w:t>初次发生</w:t>
      </w:r>
      <w:r>
        <w:rPr>
          <w:spacing w:val="-3"/>
        </w:rPr>
        <w:t>（</w:t>
      </w:r>
      <w:r>
        <w:rPr>
          <w:spacing w:val="-23"/>
        </w:rPr>
        <w:t>见 </w:t>
      </w:r>
      <w:r>
        <w:rPr>
          <w:spacing w:val="-4"/>
        </w:rPr>
        <w:t>9.9）</w:t>
      </w:r>
      <w:r>
        <w:rPr>
          <w:spacing w:val="-3"/>
        </w:rPr>
        <w:t>并被</w:t>
      </w:r>
      <w:r>
        <w:rPr>
          <w:b/>
          <w:spacing w:val="-6"/>
        </w:rPr>
        <w:t>医院</w:t>
      </w:r>
      <w:r>
        <w:rPr/>
        <w:t>（</w:t>
      </w:r>
      <w:r>
        <w:rPr>
          <w:spacing w:val="-22"/>
        </w:rPr>
        <w:t>见 </w:t>
      </w:r>
      <w:r>
        <w:rPr>
          <w:spacing w:val="-4"/>
        </w:rPr>
        <w:t>9.10）</w:t>
      </w:r>
      <w:r>
        <w:rPr/>
        <w:t>的</w:t>
      </w:r>
      <w:r>
        <w:rPr>
          <w:b/>
          <w:spacing w:val="-3"/>
        </w:rPr>
        <w:t>专科医生</w:t>
      </w:r>
      <w:r>
        <w:rPr>
          <w:spacing w:val="-3"/>
        </w:rPr>
        <w:t>（</w:t>
      </w:r>
      <w:r>
        <w:rPr>
          <w:spacing w:val="-22"/>
        </w:rPr>
        <w:t>见 </w:t>
      </w:r>
      <w:r>
        <w:rPr>
          <w:spacing w:val="-4"/>
        </w:rPr>
        <w:t>9.11）</w:t>
      </w:r>
      <w:r>
        <w:rPr>
          <w:spacing w:val="-15"/>
        </w:rPr>
        <w:t>确</w:t>
      </w:r>
      <w:r>
        <w:rPr>
          <w:spacing w:val="-4"/>
        </w:rPr>
        <w:t>诊首次患有本合同约定的重大疾病，我们将按本合同基本保险金额给付首次重</w:t>
      </w:r>
      <w:r>
        <w:rPr>
          <w:spacing w:val="2"/>
        </w:rPr>
        <w:t>大疾病保险金</w:t>
      </w:r>
      <w:r>
        <w:rPr>
          <w:spacing w:val="2"/>
          <w:shd w:fill="D9D9D9" w:color="auto" w:val="clear"/>
        </w:rPr>
        <w:t>（</w:t>
      </w:r>
      <w:r>
        <w:rPr>
          <w:spacing w:val="1"/>
          <w:shd w:fill="D9D9D9" w:color="auto" w:val="clear"/>
        </w:rPr>
        <w:t>若被保险人同时符合一项以上重大疾病时，该给付以一次为限</w:t>
      </w:r>
      <w:r>
        <w:rPr>
          <w:spacing w:val="-182"/>
          <w:shd w:fill="D9D9D9" w:color="auto" w:val="clear"/>
        </w:rPr>
        <w:t>）</w:t>
      </w:r>
      <w:r>
        <w:rPr>
          <w:spacing w:val="-16"/>
        </w:rPr>
        <w:t>，给付后该重大疾病所属组别的保险责任终止。</w:t>
      </w:r>
      <w:r>
        <w:rPr/>
        <w:t> </w:t>
      </w:r>
    </w:p>
    <w:p>
      <w:pPr>
        <w:pStyle w:val="BodyText"/>
        <w:spacing w:before="7"/>
        <w:ind w:left="100"/>
      </w:pPr>
      <w:r>
        <w:rPr>
          <w:w w:val="100"/>
        </w:rPr>
        <w:t> </w:t>
      </w:r>
    </w:p>
    <w:p>
      <w:pPr>
        <w:pStyle w:val="BodyText"/>
        <w:spacing w:line="273" w:lineRule="auto" w:before="36"/>
        <w:ind w:left="100" w:right="204"/>
        <w:jc w:val="both"/>
      </w:pPr>
      <w:r>
        <w:rPr>
          <w:spacing w:val="-4"/>
          <w:shd w:fill="D9D9D9" w:color="auto" w:val="clear"/>
        </w:rPr>
        <w:t>若我们已经按上述约定给付首次重大疾病保险金，则本合同的现金价值自首次</w:t>
      </w:r>
      <w:r>
        <w:rPr>
          <w:spacing w:val="-200"/>
          <w:shd w:fill="D9D9D9" w:color="auto" w:val="clear"/>
        </w:rPr>
        <w:t>重</w:t>
      </w:r>
      <w:r>
        <w:rPr>
          <w:spacing w:val="-3"/>
          <w:shd w:fill="D9D9D9" w:color="auto" w:val="clear"/>
        </w:rPr>
        <w:t>大疾病确诊之日（即本合同首次重大疾病保险金对应重大疾病的确诊之日</w:t>
      </w:r>
      <w:r>
        <w:rPr>
          <w:shd w:fill="D9D9D9" w:color="auto" w:val="clear"/>
        </w:rPr>
        <w:t>）</w:t>
      </w:r>
      <w:r>
        <w:rPr>
          <w:spacing w:val="2"/>
          <w:shd w:fill="D9D9D9" w:color="auto" w:val="clear"/>
        </w:rPr>
        <w:t>起</w:t>
      </w:r>
      <w:r>
        <w:rPr>
          <w:spacing w:val="0"/>
          <w:shd w:fill="D9D9D9" w:color="auto" w:val="clear"/>
        </w:rPr>
        <w:t>降低为零，同时身故保险金的保险责任与轻症疾病保险金的保险责任均终止</w:t>
      </w:r>
      <w:r>
        <w:rPr>
          <w:spacing w:val="-3"/>
          <w:shd w:fill="D9D9D9" w:color="auto" w:val="clear"/>
        </w:rPr>
        <w:t>，我们仅继续承担重大疾病保险金的保险责任。</w:t>
      </w:r>
      <w:r>
        <w:rPr/>
        <w:t> </w:t>
      </w:r>
    </w:p>
    <w:p>
      <w:pPr>
        <w:pStyle w:val="BodyText"/>
        <w:spacing w:before="7"/>
        <w:ind w:left="100"/>
      </w:pPr>
      <w:r>
        <w:rPr>
          <w:w w:val="100"/>
        </w:rPr>
        <w:t> </w:t>
      </w:r>
    </w:p>
    <w:p>
      <w:pPr>
        <w:pStyle w:val="BodyText"/>
        <w:ind w:left="100"/>
      </w:pPr>
      <w:r>
        <w:rPr/>
        <w:t>（二）第二次重大疾病保险金 </w:t>
      </w:r>
    </w:p>
    <w:p>
      <w:pPr>
        <w:pStyle w:val="BodyText"/>
        <w:spacing w:line="273" w:lineRule="auto"/>
        <w:ind w:left="100" w:right="213"/>
        <w:jc w:val="both"/>
      </w:pPr>
      <w:r>
        <w:rPr>
          <w:spacing w:val="-4"/>
        </w:rPr>
        <w:t>在我们已按本合同的约定给付首次重大疾病保险金的情况下，若被保险人自首</w:t>
      </w:r>
      <w:r>
        <w:rPr>
          <w:spacing w:val="2"/>
        </w:rPr>
        <w:t>次重大疾病确诊之日</w:t>
      </w:r>
      <w:r>
        <w:rPr>
          <w:spacing w:val="5"/>
        </w:rPr>
        <w:t>（</w:t>
      </w:r>
      <w:r>
        <w:rPr>
          <w:spacing w:val="1"/>
        </w:rPr>
        <w:t>即本合同首次重大疾病保险金对应重大疾病的确诊之日</w:t>
      </w:r>
      <w:r>
        <w:rPr>
          <w:spacing w:val="-5"/>
        </w:rPr>
        <w:t>）</w:t>
      </w:r>
      <w:r>
        <w:rPr>
          <w:spacing w:val="-3"/>
        </w:rPr>
        <w:t>起</w:t>
      </w:r>
      <w:r>
        <w:rPr>
          <w:spacing w:val="-19"/>
          <w:shd w:fill="D9D9D9" w:color="auto" w:val="clear"/>
        </w:rPr>
        <w:t>满 </w:t>
      </w:r>
      <w:r>
        <w:rPr>
          <w:shd w:fill="D9D9D9" w:color="auto" w:val="clear"/>
        </w:rPr>
        <w:t>180</w:t>
      </w:r>
      <w:r>
        <w:rPr>
          <w:spacing w:val="-14"/>
          <w:shd w:fill="D9D9D9" w:color="auto" w:val="clear"/>
        </w:rPr>
        <w:t> 天后</w:t>
      </w:r>
      <w:r>
        <w:rPr>
          <w:spacing w:val="-3"/>
        </w:rPr>
        <w:t>，初次发生并被医院的专科医生确诊首次患有本合同约定的</w:t>
      </w:r>
      <w:r>
        <w:rPr>
          <w:spacing w:val="-4"/>
        </w:rPr>
        <w:t>除首次重大疾病所属组别以外其他组别中的任何一种重大疾病，我们将按本合同基本保险金额给付第二次重大疾病保险金</w:t>
      </w:r>
      <w:r>
        <w:rPr>
          <w:shd w:fill="D9D9D9" w:color="auto" w:val="clear"/>
        </w:rPr>
        <w:t>（</w:t>
      </w:r>
      <w:r>
        <w:rPr>
          <w:spacing w:val="-3"/>
          <w:shd w:fill="D9D9D9" w:color="auto" w:val="clear"/>
        </w:rPr>
        <w:t>若被保险人同时符合一项以上重</w:t>
      </w:r>
    </w:p>
    <w:p>
      <w:pPr>
        <w:spacing w:after="0" w:line="273" w:lineRule="auto"/>
        <w:jc w:val="both"/>
        <w:sectPr>
          <w:type w:val="continuous"/>
          <w:pgSz w:w="11910" w:h="16840"/>
          <w:pgMar w:top="720" w:bottom="280" w:left="920" w:right="800"/>
          <w:cols w:num="2" w:equalWidth="0">
            <w:col w:w="2503" w:space="231"/>
            <w:col w:w="7456"/>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2036"/>
        <w:gridCol w:w="7456"/>
      </w:tblGrid>
      <w:tr>
        <w:trPr>
          <w:trHeight w:val="261" w:hRule="atLeast"/>
        </w:trPr>
        <w:tc>
          <w:tcPr>
            <w:tcW w:w="2619" w:type="dxa"/>
            <w:gridSpan w:val="2"/>
            <w:vMerge w:val="restart"/>
          </w:tcPr>
          <w:p>
            <w:pPr>
              <w:pStyle w:val="TableParagraph"/>
              <w:rPr>
                <w:rFonts w:ascii="Times New Roman"/>
                <w:sz w:val="20"/>
              </w:rPr>
            </w:pPr>
          </w:p>
        </w:tc>
        <w:tc>
          <w:tcPr>
            <w:tcW w:w="7456" w:type="dxa"/>
          </w:tcPr>
          <w:p>
            <w:pPr>
              <w:pStyle w:val="TableParagraph"/>
              <w:spacing w:line="211" w:lineRule="exact"/>
              <w:ind w:left="165"/>
              <w:rPr>
                <w:sz w:val="21"/>
              </w:rPr>
            </w:pPr>
            <w:r>
              <w:rPr>
                <w:spacing w:val="-3"/>
                <w:w w:val="100"/>
                <w:sz w:val="21"/>
                <w:shd w:fill="D9D9D9" w:color="auto" w:val="clear"/>
              </w:rPr>
              <w:t>大疾病时，该给付以一次为限</w:t>
            </w:r>
            <w:r>
              <w:rPr>
                <w:spacing w:val="-106"/>
                <w:w w:val="100"/>
                <w:sz w:val="21"/>
                <w:shd w:fill="D9D9D9" w:color="auto" w:val="clear"/>
              </w:rPr>
              <w:t>）</w:t>
            </w:r>
            <w:r>
              <w:rPr>
                <w:spacing w:val="-8"/>
                <w:w w:val="100"/>
                <w:sz w:val="21"/>
              </w:rPr>
              <w:t>，给付后该重大疾病所属组别的保险责任终止。</w:t>
            </w:r>
            <w:r>
              <w:rPr>
                <w:w w:val="100"/>
                <w:sz w:val="21"/>
              </w:rPr>
              <w:t> </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2" w:lineRule="exact"/>
              <w:ind w:left="165"/>
              <w:rPr>
                <w:sz w:val="21"/>
              </w:rPr>
            </w:pPr>
            <w:r>
              <w:rPr>
                <w:w w:val="100"/>
                <w:sz w:val="21"/>
              </w:rPr>
              <w:t> </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（三）第三次重大疾病保险金 </w:t>
            </w:r>
          </w:p>
        </w:tc>
      </w:tr>
      <w:tr>
        <w:trPr>
          <w:trHeight w:val="311"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在我们已按本合同的约定给付第二次重大疾病保险金的情况下，若被保险人自</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第二次重大疾病确诊之日（即本合同第二次重大疾病保险金对应重大疾病的确</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诊之日）起</w:t>
            </w:r>
            <w:r>
              <w:rPr>
                <w:sz w:val="21"/>
                <w:shd w:fill="D9D9D9" w:color="auto" w:val="clear"/>
              </w:rPr>
              <w:t>满 180 天后</w:t>
            </w:r>
            <w:r>
              <w:rPr>
                <w:sz w:val="21"/>
              </w:rPr>
              <w:t>，初次发生并被医院的专科医生确诊首次患有本合同约</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定的除首次重大疾病所属组别和第二次重大疾病所属组别以外其他组别中的</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任何一种重大疾病，我们将按本合同基本保险金额给付第三次重大疾病保险金</w:t>
            </w:r>
          </w:p>
        </w:tc>
      </w:tr>
      <w:tr>
        <w:trPr>
          <w:trHeight w:val="311"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pacing w:val="1"/>
                <w:w w:val="100"/>
                <w:sz w:val="21"/>
                <w:shd w:fill="D9D9D9" w:color="auto" w:val="clear"/>
              </w:rPr>
              <w:t>（</w:t>
            </w:r>
            <w:r>
              <w:rPr>
                <w:w w:val="100"/>
                <w:sz w:val="21"/>
                <w:shd w:fill="D9D9D9" w:color="auto" w:val="clear"/>
              </w:rPr>
              <w:t>若被保险人同时符合一项以上重大疾病时，该给付以一次为限</w:t>
            </w:r>
            <w:r>
              <w:rPr>
                <w:spacing w:val="-97"/>
                <w:w w:val="100"/>
                <w:sz w:val="21"/>
                <w:shd w:fill="D9D9D9" w:color="auto" w:val="clear"/>
              </w:rPr>
              <w:t>）</w:t>
            </w:r>
            <w:r>
              <w:rPr>
                <w:w w:val="100"/>
                <w:sz w:val="21"/>
              </w:rPr>
              <w:t>，本合同效</w:t>
            </w:r>
          </w:p>
        </w:tc>
      </w:tr>
      <w:tr>
        <w:trPr>
          <w:trHeight w:val="312" w:hRule="atLeast"/>
        </w:trPr>
        <w:tc>
          <w:tcPr>
            <w:tcW w:w="2619" w:type="dxa"/>
            <w:gridSpan w:val="2"/>
            <w:vMerge/>
            <w:tcBorders>
              <w:top w:val="nil"/>
            </w:tcBorders>
          </w:tcPr>
          <w:p>
            <w:pPr>
              <w:rPr>
                <w:sz w:val="2"/>
                <w:szCs w:val="2"/>
              </w:rPr>
            </w:pPr>
          </w:p>
        </w:tc>
        <w:tc>
          <w:tcPr>
            <w:tcW w:w="7456" w:type="dxa"/>
          </w:tcPr>
          <w:p>
            <w:pPr>
              <w:pStyle w:val="TableParagraph"/>
              <w:spacing w:line="261" w:lineRule="exact"/>
              <w:ind w:left="165"/>
              <w:rPr>
                <w:sz w:val="21"/>
              </w:rPr>
            </w:pPr>
            <w:r>
              <w:rPr>
                <w:sz w:val="21"/>
              </w:rPr>
              <w:t>力终止。 </w:t>
            </w:r>
          </w:p>
        </w:tc>
      </w:tr>
      <w:tr>
        <w:trPr>
          <w:trHeight w:val="310" w:hRule="atLeast"/>
        </w:trPr>
        <w:tc>
          <w:tcPr>
            <w:tcW w:w="583" w:type="dxa"/>
          </w:tcPr>
          <w:p>
            <w:pPr>
              <w:pStyle w:val="TableParagraph"/>
              <w:spacing w:line="261" w:lineRule="exact"/>
              <w:ind w:left="50"/>
              <w:rPr>
                <w:sz w:val="21"/>
              </w:rPr>
            </w:pPr>
            <w:r>
              <w:rPr>
                <w:w w:val="100"/>
                <w:sz w:val="21"/>
              </w:rPr>
              <w:t> </w:t>
            </w: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rPr>
              <w:t> </w:t>
            </w:r>
          </w:p>
        </w:tc>
      </w:tr>
      <w:tr>
        <w:trPr>
          <w:trHeight w:val="637" w:hRule="atLeast"/>
        </w:trPr>
        <w:tc>
          <w:tcPr>
            <w:tcW w:w="583" w:type="dxa"/>
          </w:tcPr>
          <w:p>
            <w:pPr>
              <w:pStyle w:val="TableParagraph"/>
              <w:spacing w:line="263" w:lineRule="exact"/>
              <w:ind w:left="50"/>
              <w:rPr>
                <w:sz w:val="21"/>
              </w:rPr>
            </w:pPr>
            <w:r>
              <w:rPr>
                <w:w w:val="100"/>
                <w:sz w:val="21"/>
              </w:rPr>
              <w:t> </w:t>
            </w:r>
          </w:p>
        </w:tc>
        <w:tc>
          <w:tcPr>
            <w:tcW w:w="2036" w:type="dxa"/>
          </w:tcPr>
          <w:p>
            <w:pPr>
              <w:pStyle w:val="TableParagraph"/>
              <w:spacing w:line="172" w:lineRule="auto" w:before="1"/>
              <w:ind w:left="427" w:right="164"/>
              <w:rPr>
                <w:sz w:val="21"/>
              </w:rPr>
            </w:pPr>
            <w:r>
              <w:rPr>
                <w:rFonts w:ascii="Microsoft JhengHei" w:eastAsia="Microsoft JhengHei" w:hint="eastAsia"/>
                <w:b/>
                <w:sz w:val="24"/>
              </w:rPr>
              <w:t>轻症疾病保险金</w:t>
            </w:r>
            <w:r>
              <w:rPr>
                <w:w w:val="100"/>
                <w:sz w:val="21"/>
              </w:rPr>
              <w:t> </w:t>
            </w:r>
          </w:p>
        </w:tc>
        <w:tc>
          <w:tcPr>
            <w:tcW w:w="7456" w:type="dxa"/>
          </w:tcPr>
          <w:p>
            <w:pPr>
              <w:pStyle w:val="TableParagraph"/>
              <w:spacing w:line="273" w:lineRule="auto"/>
              <w:ind w:left="165" w:right="152"/>
              <w:rPr>
                <w:sz w:val="21"/>
              </w:rPr>
            </w:pPr>
            <w:r>
              <w:rPr>
                <w:sz w:val="21"/>
              </w:rPr>
              <w:t>本合同约定的轻症疾病分为A、B、C三组，详细分组信息请见</w:t>
            </w:r>
            <w:r>
              <w:rPr>
                <w:b/>
                <w:sz w:val="21"/>
              </w:rPr>
              <w:t>《轻症疾病分组</w:t>
            </w:r>
            <w:r>
              <w:rPr>
                <w:b/>
                <w:spacing w:val="-53"/>
                <w:w w:val="100"/>
                <w:sz w:val="21"/>
              </w:rPr>
              <w:t>表》</w:t>
            </w:r>
            <w:r>
              <w:rPr>
                <w:w w:val="100"/>
                <w:sz w:val="21"/>
              </w:rPr>
              <w:t>（见</w:t>
            </w:r>
            <w:r>
              <w:rPr>
                <w:spacing w:val="-3"/>
                <w:w w:val="100"/>
                <w:sz w:val="21"/>
              </w:rPr>
              <w:t>9</w:t>
            </w:r>
            <w:r>
              <w:rPr>
                <w:w w:val="100"/>
                <w:sz w:val="21"/>
              </w:rPr>
              <w:t>.1</w:t>
            </w:r>
            <w:r>
              <w:rPr>
                <w:spacing w:val="-1"/>
                <w:w w:val="100"/>
                <w:sz w:val="21"/>
              </w:rPr>
              <w:t>2</w:t>
            </w:r>
            <w:r>
              <w:rPr>
                <w:spacing w:val="-108"/>
                <w:w w:val="100"/>
                <w:sz w:val="21"/>
              </w:rPr>
              <w:t>）</w:t>
            </w:r>
            <w:r>
              <w:rPr>
                <w:spacing w:val="-3"/>
                <w:w w:val="100"/>
                <w:sz w:val="21"/>
              </w:rPr>
              <w:t>。</w:t>
            </w:r>
            <w:r>
              <w:rPr>
                <w:w w:val="100"/>
                <w:sz w:val="21"/>
              </w:rPr>
              <w:t> </w:t>
            </w:r>
          </w:p>
        </w:tc>
      </w:tr>
      <w:tr>
        <w:trPr>
          <w:trHeight w:val="300"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50" w:lineRule="exact"/>
              <w:ind w:left="165"/>
              <w:rPr>
                <w:sz w:val="21"/>
              </w:rPr>
            </w:pPr>
            <w:r>
              <w:rPr>
                <w:w w:val="100"/>
                <w:sz w:val="21"/>
              </w:rPr>
              <w:t>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shd w:fill="D9D9D9" w:color="auto" w:val="clear"/>
              </w:rPr>
              <w:t>每组轻症疾病保险金的给付次数以一次为限，给付后该组轻症疾病的保险责任</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shd w:fill="D9D9D9" w:color="auto" w:val="clear"/>
              </w:rPr>
              <w:t>终止。本合同轻症疾病保险金的累计给付次数以三次为限，当累计给付达到三</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shd w:fill="D9D9D9" w:color="auto" w:val="clear"/>
              </w:rPr>
              <w:t>次时，本项保险责任终止。</w:t>
            </w:r>
            <w:r>
              <w:rPr>
                <w:sz w:val="21"/>
              </w:rPr>
              <w:t>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rPr>
              <w:t>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shd w:fill="D9D9D9" w:color="auto" w:val="clear"/>
              </w:rPr>
              <w:t>若被保险人同时确诊初次发生一项或多项本合同约定的轻症疾病或重大疾病，</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shd w:fill="D9D9D9" w:color="auto" w:val="clear"/>
              </w:rPr>
              <w:t>我们仅承担给付重大疾病保险金的责任。</w:t>
            </w:r>
            <w:r>
              <w:rPr>
                <w:sz w:val="21"/>
              </w:rPr>
              <w:t> </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rPr>
              <w:t>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（一）首次轻症疾病保险金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2" w:lineRule="exact"/>
              <w:ind w:left="165"/>
              <w:rPr>
                <w:sz w:val="21"/>
              </w:rPr>
            </w:pPr>
            <w:r>
              <w:rPr>
                <w:sz w:val="21"/>
              </w:rPr>
              <w:t>若被保险人初次发生并被医院的专科医生确诊首次患有本合同约定的轻症疾</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病，我们将按本合同基本保险金额的 20%给付首次轻症疾病保险金</w:t>
            </w:r>
            <w:r>
              <w:rPr>
                <w:sz w:val="21"/>
                <w:shd w:fill="D9D9D9" w:color="auto" w:val="clear"/>
              </w:rPr>
              <w:t>（若被保险</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shd w:fill="D9D9D9" w:color="auto" w:val="clear"/>
              </w:rPr>
              <w:t>人同时符合一项以上轻症疾病时，该给付以一次为限</w:t>
            </w:r>
            <w:r>
              <w:rPr>
                <w:spacing w:val="-101"/>
                <w:w w:val="100"/>
                <w:sz w:val="21"/>
                <w:shd w:fill="D9D9D9" w:color="auto" w:val="clear"/>
              </w:rPr>
              <w:t>）</w:t>
            </w:r>
            <w:r>
              <w:rPr>
                <w:w w:val="100"/>
                <w:sz w:val="21"/>
              </w:rPr>
              <w:t>，给付后该轻症疾病所</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属组别的保险责任终止。 </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rPr>
              <w:t> </w:t>
            </w:r>
          </w:p>
        </w:tc>
      </w:tr>
      <w:tr>
        <w:trPr>
          <w:trHeight w:val="312" w:hRule="atLeast"/>
        </w:trPr>
        <w:tc>
          <w:tcPr>
            <w:tcW w:w="583" w:type="dxa"/>
          </w:tcPr>
          <w:p>
            <w:pPr>
              <w:pStyle w:val="TableParagraph"/>
              <w:spacing w:line="261" w:lineRule="exact"/>
              <w:ind w:left="50"/>
              <w:rPr>
                <w:sz w:val="21"/>
              </w:rPr>
            </w:pPr>
            <w:r>
              <w:rPr>
                <w:w w:val="100"/>
                <w:sz w:val="21"/>
              </w:rPr>
              <w:t> </w:t>
            </w: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（二）第二次轻症疾病保险金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在我们已按本合同的约定给付首次轻症疾病保险金的情况下，若被保险人自首</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次轻症疾病确诊之日（即本合同首次轻症疾病保险金对应轻症疾病的确诊之</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日）起</w:t>
            </w:r>
            <w:r>
              <w:rPr>
                <w:sz w:val="21"/>
                <w:shd w:fill="D9D9D9" w:color="auto" w:val="clear"/>
              </w:rPr>
              <w:t>满 180 天后</w:t>
            </w:r>
            <w:r>
              <w:rPr>
                <w:sz w:val="21"/>
              </w:rPr>
              <w:t>，初次发生并被医院的专科医生确诊首次患有本合同约定的</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除首次轻症疾病所属组别以外其他组别中的任何一种轻症疾病，我们将按本合</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同基本保险金额的 20%给付第二次轻症疾病保险金</w:t>
            </w:r>
            <w:r>
              <w:rPr>
                <w:sz w:val="21"/>
                <w:shd w:fill="D9D9D9" w:color="auto" w:val="clear"/>
              </w:rPr>
              <w:t>（若被保险人同时符合一项</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2" w:lineRule="exact"/>
              <w:ind w:left="165"/>
              <w:rPr>
                <w:sz w:val="21"/>
              </w:rPr>
            </w:pPr>
            <w:r>
              <w:rPr>
                <w:w w:val="100"/>
                <w:sz w:val="21"/>
                <w:shd w:fill="D9D9D9" w:color="auto" w:val="clear"/>
              </w:rPr>
              <w:t>以上轻症疾病时，该给付以一次为限</w:t>
            </w:r>
            <w:r>
              <w:rPr>
                <w:spacing w:val="-103"/>
                <w:w w:val="100"/>
                <w:sz w:val="21"/>
                <w:shd w:fill="D9D9D9" w:color="auto" w:val="clear"/>
              </w:rPr>
              <w:t>）</w:t>
            </w:r>
            <w:r>
              <w:rPr>
                <w:w w:val="100"/>
                <w:sz w:val="21"/>
              </w:rPr>
              <w:t>，给付后该轻症疾病所属组别的保险责</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任终止。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w w:val="100"/>
                <w:sz w:val="21"/>
              </w:rPr>
              <w:t> </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（三）第三次轻症疾病保险金 </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在我们已按本合同的约定给付第二次轻症疾病保险金的情况下，若被保险人自</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第二次轻症疾病确诊之日（即本合同第二次轻症疾病保险金对应轻症疾病的确</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诊之日）起</w:t>
            </w:r>
            <w:r>
              <w:rPr>
                <w:sz w:val="21"/>
                <w:shd w:fill="D9D9D9" w:color="auto" w:val="clear"/>
              </w:rPr>
              <w:t>满 180 天后</w:t>
            </w:r>
            <w:r>
              <w:rPr>
                <w:sz w:val="21"/>
              </w:rPr>
              <w:t>，初次发生并被医院的专科医生确诊首次患有本合同约</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定的除首次轻症疾病所属组别和第二次轻症疾病所属组别以外其他组别中的</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任何一种轻症疾病，我们将按本合同基本保险金额的 20%给付第三次轻症疾病</w:t>
            </w:r>
          </w:p>
        </w:tc>
      </w:tr>
      <w:tr>
        <w:trPr>
          <w:trHeight w:val="311"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pacing w:val="1"/>
                <w:w w:val="100"/>
                <w:sz w:val="21"/>
              </w:rPr>
              <w:t>保险金</w:t>
            </w:r>
            <w:r>
              <w:rPr>
                <w:spacing w:val="1"/>
                <w:w w:val="100"/>
                <w:sz w:val="21"/>
                <w:shd w:fill="D9D9D9" w:color="auto" w:val="clear"/>
              </w:rPr>
              <w:t>（</w:t>
            </w:r>
            <w:r>
              <w:rPr>
                <w:w w:val="100"/>
                <w:sz w:val="21"/>
                <w:shd w:fill="D9D9D9" w:color="auto" w:val="clear"/>
              </w:rPr>
              <w:t>若被保险人同时符合一项以上轻症疾病时，该给付以一次为限</w:t>
            </w:r>
            <w:r>
              <w:rPr>
                <w:spacing w:val="-103"/>
                <w:w w:val="100"/>
                <w:sz w:val="21"/>
                <w:shd w:fill="D9D9D9" w:color="auto" w:val="clear"/>
              </w:rPr>
              <w:t>）</w:t>
            </w:r>
            <w:r>
              <w:rPr>
                <w:w w:val="100"/>
                <w:sz w:val="21"/>
              </w:rPr>
              <w:t>，轻</w:t>
            </w:r>
          </w:p>
        </w:tc>
      </w:tr>
      <w:tr>
        <w:trPr>
          <w:trHeight w:val="312"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1" w:lineRule="exact"/>
              <w:ind w:left="165"/>
              <w:rPr>
                <w:sz w:val="21"/>
              </w:rPr>
            </w:pPr>
            <w:r>
              <w:rPr>
                <w:sz w:val="21"/>
              </w:rPr>
              <w:t>症疾病保险金的保险责任终止。 </w:t>
            </w:r>
          </w:p>
        </w:tc>
      </w:tr>
      <w:tr>
        <w:trPr>
          <w:trHeight w:val="310" w:hRule="atLeast"/>
        </w:trPr>
        <w:tc>
          <w:tcPr>
            <w:tcW w:w="583" w:type="dxa"/>
          </w:tcPr>
          <w:p>
            <w:pPr>
              <w:pStyle w:val="TableParagraph"/>
              <w:rPr>
                <w:rFonts w:ascii="Times New Roman"/>
                <w:sz w:val="20"/>
              </w:rPr>
            </w:pPr>
          </w:p>
        </w:tc>
        <w:tc>
          <w:tcPr>
            <w:tcW w:w="2036" w:type="dxa"/>
          </w:tcPr>
          <w:p>
            <w:pPr>
              <w:pStyle w:val="TableParagraph"/>
              <w:rPr>
                <w:rFonts w:ascii="Times New Roman"/>
                <w:sz w:val="20"/>
              </w:rPr>
            </w:pPr>
          </w:p>
        </w:tc>
        <w:tc>
          <w:tcPr>
            <w:tcW w:w="7456" w:type="dxa"/>
          </w:tcPr>
          <w:p>
            <w:pPr>
              <w:pStyle w:val="TableParagraph"/>
              <w:spacing w:line="262" w:lineRule="exact"/>
              <w:ind w:left="165"/>
              <w:rPr>
                <w:sz w:val="21"/>
              </w:rPr>
            </w:pPr>
            <w:r>
              <w:rPr>
                <w:w w:val="100"/>
                <w:sz w:val="21"/>
              </w:rPr>
              <w:t> </w:t>
            </w:r>
          </w:p>
        </w:tc>
      </w:tr>
      <w:tr>
        <w:trPr>
          <w:trHeight w:val="297" w:hRule="atLeast"/>
        </w:trPr>
        <w:tc>
          <w:tcPr>
            <w:tcW w:w="583" w:type="dxa"/>
          </w:tcPr>
          <w:p>
            <w:pPr>
              <w:pStyle w:val="TableParagraph"/>
              <w:spacing w:line="263" w:lineRule="exact"/>
              <w:ind w:left="50"/>
              <w:rPr>
                <w:sz w:val="21"/>
              </w:rPr>
            </w:pPr>
            <w:r>
              <w:rPr>
                <w:w w:val="100"/>
                <w:sz w:val="21"/>
              </w:rPr>
              <w:t> </w:t>
            </w:r>
          </w:p>
        </w:tc>
        <w:tc>
          <w:tcPr>
            <w:tcW w:w="2036" w:type="dxa"/>
          </w:tcPr>
          <w:p>
            <w:pPr>
              <w:pStyle w:val="TableParagraph"/>
              <w:spacing w:line="277" w:lineRule="exact"/>
              <w:ind w:left="427"/>
              <w:rPr>
                <w:rFonts w:ascii="Microsoft JhengHei" w:eastAsia="Microsoft JhengHei" w:hint="eastAsia"/>
                <w:b/>
                <w:sz w:val="24"/>
              </w:rPr>
            </w:pPr>
            <w:r>
              <w:rPr>
                <w:rFonts w:ascii="Microsoft JhengHei" w:eastAsia="Microsoft JhengHei" w:hint="eastAsia"/>
                <w:b/>
                <w:sz w:val="24"/>
              </w:rPr>
              <w:t>重大疾病或轻</w:t>
            </w:r>
          </w:p>
        </w:tc>
        <w:tc>
          <w:tcPr>
            <w:tcW w:w="7456" w:type="dxa"/>
          </w:tcPr>
          <w:p>
            <w:pPr>
              <w:pStyle w:val="TableParagraph"/>
              <w:spacing w:line="263" w:lineRule="exact"/>
              <w:ind w:left="165"/>
              <w:rPr>
                <w:sz w:val="21"/>
              </w:rPr>
            </w:pPr>
            <w:r>
              <w:rPr>
                <w:sz w:val="21"/>
              </w:rPr>
              <w:t>被保险人初次发生并被医院的专科医生确诊患有本合同约定的任何一项重大</w:t>
            </w:r>
          </w:p>
        </w:tc>
      </w:tr>
    </w:tbl>
    <w:p>
      <w:pPr>
        <w:spacing w:after="0" w:line="263" w:lineRule="exact"/>
        <w:rPr>
          <w:sz w:val="21"/>
        </w:rPr>
        <w:sectPr>
          <w:pgSz w:w="11910" w:h="16840"/>
          <w:pgMar w:top="1160" w:bottom="280" w:left="860" w:right="760"/>
        </w:sectPr>
      </w:pPr>
    </w:p>
    <w:p>
      <w:pPr>
        <w:pStyle w:val="Heading1"/>
        <w:spacing w:line="172" w:lineRule="auto" w:before="34"/>
        <w:ind w:left="1180"/>
        <w:rPr>
          <w:rFonts w:ascii="Microsoft JhengHei" w:eastAsia="Microsoft JhengHei" w:hint="eastAsia"/>
        </w:rPr>
      </w:pPr>
      <w:r>
        <w:rPr>
          <w:rFonts w:ascii="Microsoft JhengHei" w:eastAsia="Microsoft JhengHei" w:hint="eastAsia"/>
        </w:rPr>
        <w:t>症疾病豁免保险费</w:t>
      </w:r>
    </w:p>
    <w:p>
      <w:pPr>
        <w:pStyle w:val="BodyText"/>
        <w:spacing w:line="273" w:lineRule="auto" w:before="22"/>
        <w:ind w:left="291" w:right="233"/>
      </w:pPr>
      <w:r>
        <w:rPr/>
        <w:br w:type="column"/>
      </w:r>
      <w:r>
        <w:rPr/>
        <w:t>疾病或任何一项轻症疾病，我们将豁免疾病确诊日后本主合同保险期间内的各期保险费。 </w:t>
      </w:r>
    </w:p>
    <w:p>
      <w:pPr>
        <w:spacing w:after="0" w:line="273" w:lineRule="auto"/>
        <w:sectPr>
          <w:pgSz w:w="11910" w:h="16840"/>
          <w:pgMar w:top="1080" w:bottom="280" w:left="800" w:right="780"/>
          <w:cols w:num="2" w:equalWidth="0">
            <w:col w:w="2623" w:space="40"/>
            <w:col w:w="7667"/>
          </w:cols>
        </w:sectPr>
      </w:pPr>
    </w:p>
    <w:p>
      <w:pPr>
        <w:pStyle w:val="BodyText"/>
        <w:tabs>
          <w:tab w:pos="1180" w:val="left" w:leader="none"/>
          <w:tab w:pos="2954" w:val="left" w:leader="none"/>
        </w:tabs>
        <w:spacing w:before="5"/>
        <w:ind w:left="220"/>
      </w:pPr>
      <w:r>
        <w:rPr>
          <w:w w:val="100"/>
          <w:position w:val="1"/>
        </w:rPr>
        <w:t> </w:t>
      </w:r>
      <w:r>
        <w:rPr>
          <w:position w:val="1"/>
        </w:rPr>
        <w:tab/>
      </w:r>
      <w:r>
        <w:rPr>
          <w:w w:val="100"/>
        </w:rPr>
        <w:t> </w:t>
      </w:r>
      <w:r>
        <w:rPr/>
        <w:tab/>
      </w:r>
      <w:r>
        <w:rPr>
          <w:w w:val="100"/>
          <w:position w:val="1"/>
        </w:rPr>
        <w:t> </w:t>
      </w:r>
    </w:p>
    <w:p>
      <w:pPr>
        <w:pStyle w:val="ListParagraph"/>
        <w:numPr>
          <w:ilvl w:val="1"/>
          <w:numId w:val="2"/>
        </w:numPr>
        <w:tabs>
          <w:tab w:pos="846" w:val="left" w:leader="none"/>
        </w:tabs>
        <w:spacing w:line="273" w:lineRule="auto" w:before="40" w:after="0"/>
        <w:ind w:left="2954" w:right="231" w:hanging="2427"/>
        <w:jc w:val="both"/>
        <w:rPr>
          <w:sz w:val="21"/>
        </w:rPr>
      </w:pPr>
      <w:r>
        <w:rPr>
          <w:b/>
          <w:sz w:val="21"/>
        </w:rPr>
        <w:t>责任免除         </w:t>
      </w:r>
      <w:r>
        <w:rPr>
          <w:spacing w:val="-1"/>
          <w:sz w:val="21"/>
          <w:shd w:fill="D9D9D9" w:color="auto" w:val="clear"/>
        </w:rPr>
        <w:t>因下列第(</w:t>
      </w:r>
      <w:r>
        <w:rPr>
          <w:sz w:val="21"/>
          <w:shd w:fill="D9D9D9" w:color="auto" w:val="clear"/>
        </w:rPr>
        <w:t>1</w:t>
      </w:r>
      <w:r>
        <w:rPr>
          <w:spacing w:val="-2"/>
          <w:sz w:val="21"/>
          <w:shd w:fill="D9D9D9" w:color="auto" w:val="clear"/>
        </w:rPr>
        <w:t>)至第</w:t>
      </w:r>
      <w:r>
        <w:rPr>
          <w:sz w:val="21"/>
          <w:shd w:fill="D9D9D9" w:color="auto" w:val="clear"/>
        </w:rPr>
        <w:t>(7</w:t>
      </w:r>
      <w:r>
        <w:rPr>
          <w:spacing w:val="-4"/>
          <w:sz w:val="21"/>
          <w:shd w:fill="D9D9D9" w:color="auto" w:val="clear"/>
        </w:rPr>
        <w:t>)项情形之一，导致被保险人身故的，我们不承担给付身故保</w:t>
      </w:r>
      <w:r>
        <w:rPr>
          <w:spacing w:val="-2"/>
          <w:sz w:val="21"/>
          <w:shd w:fill="D9D9D9" w:color="auto" w:val="clear"/>
        </w:rPr>
        <w:t>险金</w:t>
      </w:r>
      <w:r>
        <w:rPr>
          <w:spacing w:val="-26"/>
          <w:sz w:val="21"/>
          <w:shd w:fill="D9D9D9" w:color="auto" w:val="clear"/>
        </w:rPr>
        <w:t>的责任；因下列第(</w:t>
      </w:r>
      <w:r>
        <w:rPr>
          <w:sz w:val="21"/>
          <w:shd w:fill="D9D9D9" w:color="auto" w:val="clear"/>
        </w:rPr>
        <w:t>1</w:t>
      </w:r>
      <w:r>
        <w:rPr>
          <w:spacing w:val="-1"/>
          <w:sz w:val="21"/>
          <w:shd w:fill="D9D9D9" w:color="auto" w:val="clear"/>
        </w:rPr>
        <w:t>)至第</w:t>
      </w:r>
      <w:r>
        <w:rPr>
          <w:sz w:val="21"/>
          <w:shd w:fill="D9D9D9" w:color="auto" w:val="clear"/>
        </w:rPr>
        <w:t>(9</w:t>
      </w:r>
      <w:r>
        <w:rPr>
          <w:spacing w:val="-3"/>
          <w:sz w:val="21"/>
          <w:shd w:fill="D9D9D9" w:color="auto" w:val="clear"/>
        </w:rPr>
        <w:t>)项情形之一，导致被保险人初次发生重大疾病</w:t>
      </w:r>
      <w:r>
        <w:rPr>
          <w:spacing w:val="-5"/>
          <w:sz w:val="21"/>
          <w:shd w:fill="D9D9D9" w:color="auto" w:val="clear"/>
        </w:rPr>
        <w:t>或轻症疾病的，我们不承担给付重大疾病保险金、轻症疾病保险金、重大疾病</w:t>
      </w:r>
      <w:r>
        <w:rPr>
          <w:spacing w:val="-3"/>
          <w:sz w:val="21"/>
          <w:shd w:fill="D9D9D9" w:color="auto" w:val="clear"/>
        </w:rPr>
        <w:t>或轻症疾病豁免保险费的责任：</w:t>
      </w:r>
      <w:r>
        <w:rPr>
          <w:sz w:val="21"/>
        </w:rPr>
        <w:t> </w:t>
      </w:r>
    </w:p>
    <w:p>
      <w:pPr>
        <w:pStyle w:val="BodyText"/>
        <w:spacing w:before="8"/>
        <w:ind w:left="2954"/>
      </w:pPr>
      <w:r>
        <w:rPr>
          <w:shd w:fill="D9D9D9" w:color="auto" w:val="clear"/>
        </w:rPr>
        <w:t>(1) 投保人对被保险人的故意杀害、故意伤害；</w:t>
      </w:r>
      <w:r>
        <w:rPr/>
        <w:t> </w:t>
      </w:r>
    </w:p>
    <w:p>
      <w:pPr>
        <w:pStyle w:val="BodyText"/>
        <w:ind w:left="2954"/>
      </w:pPr>
      <w:r>
        <w:rPr>
          <w:shd w:fill="D9D9D9" w:color="auto" w:val="clear"/>
        </w:rPr>
        <w:t>(2) 被保险人故意自伤、故意犯罪或抗拒依法采取的刑事强制措施；</w:t>
      </w:r>
      <w:r>
        <w:rPr/>
        <w:t> </w:t>
      </w:r>
    </w:p>
    <w:p>
      <w:pPr>
        <w:pStyle w:val="BodyText"/>
        <w:spacing w:line="273" w:lineRule="auto"/>
        <w:ind w:left="3374" w:right="233" w:hanging="420"/>
      </w:pPr>
      <w:r>
        <w:rPr>
          <w:shd w:fill="D9D9D9" w:color="auto" w:val="clear"/>
        </w:rPr>
        <w:t>(3)</w:t>
      </w:r>
      <w:r>
        <w:rPr>
          <w:spacing w:val="-5"/>
          <w:shd w:fill="D9D9D9" w:color="auto" w:val="clear"/>
        </w:rPr>
        <w:t> 被保险人自本合同成立或者合同效力恢复之日起 </w:t>
      </w:r>
      <w:r>
        <w:rPr>
          <w:shd w:fill="D9D9D9" w:color="auto" w:val="clear"/>
        </w:rPr>
        <w:t>2</w:t>
      </w:r>
      <w:r>
        <w:rPr>
          <w:spacing w:val="-9"/>
          <w:shd w:fill="D9D9D9" w:color="auto" w:val="clear"/>
        </w:rPr>
        <w:t> 年内自杀，但被保险人</w:t>
      </w:r>
      <w:r>
        <w:rPr>
          <w:spacing w:val="-5"/>
          <w:shd w:fill="D9D9D9" w:color="auto" w:val="clear"/>
        </w:rPr>
        <w:t>自杀时为无民事行为能力人的除外；</w:t>
      </w:r>
      <w:r>
        <w:rPr/>
        <w:t> </w:t>
      </w:r>
    </w:p>
    <w:p>
      <w:pPr>
        <w:pStyle w:val="BodyText"/>
        <w:spacing w:before="8"/>
        <w:ind w:left="2954"/>
      </w:pPr>
      <w:r>
        <w:rPr>
          <w:w w:val="100"/>
          <w:shd w:fill="D9D9D9" w:color="auto" w:val="clear"/>
        </w:rPr>
        <w:t>(4)</w:t>
      </w:r>
      <w:r>
        <w:rPr>
          <w:spacing w:val="-3"/>
          <w:w w:val="100"/>
          <w:shd w:fill="D9D9D9" w:color="auto" w:val="clear"/>
        </w:rPr>
        <w:t> 被保险人主动吸食或注射</w:t>
      </w:r>
      <w:r>
        <w:rPr>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3"/>
          <w:w w:val="100"/>
          <w:shd w:fill="D9D9D9" w:color="auto" w:val="clear"/>
        </w:rPr>
        <w:t>3</w:t>
      </w:r>
      <w:r>
        <w:rPr>
          <w:spacing w:val="-106"/>
          <w:w w:val="100"/>
          <w:shd w:fill="D9D9D9" w:color="auto" w:val="clear"/>
        </w:rPr>
        <w:t>）</w:t>
      </w:r>
      <w:r>
        <w:rPr>
          <w:spacing w:val="-3"/>
          <w:w w:val="100"/>
          <w:shd w:fill="D9D9D9" w:color="auto" w:val="clear"/>
        </w:rPr>
        <w:t>；</w:t>
      </w:r>
      <w:r>
        <w:rPr>
          <w:w w:val="100"/>
        </w:rPr>
        <w:t> </w:t>
      </w:r>
    </w:p>
    <w:p>
      <w:pPr>
        <w:spacing w:line="273" w:lineRule="auto" w:before="38"/>
        <w:ind w:left="3374" w:right="233" w:hanging="420"/>
        <w:jc w:val="left"/>
        <w:rPr>
          <w:sz w:val="21"/>
        </w:rPr>
      </w:pPr>
      <w:r>
        <w:rPr>
          <w:w w:val="100"/>
          <w:sz w:val="21"/>
          <w:shd w:fill="D9D9D9" w:color="auto" w:val="clear"/>
        </w:rPr>
        <w:t>(5)</w:t>
      </w:r>
      <w:r>
        <w:rPr>
          <w:spacing w:val="-3"/>
          <w:w w:val="100"/>
          <w:sz w:val="21"/>
          <w:shd w:fill="D9D9D9" w:color="auto" w:val="clear"/>
        </w:rPr>
        <w:t> 被保险人</w:t>
      </w:r>
      <w:r>
        <w:rPr>
          <w:b/>
          <w:w w:val="100"/>
          <w:sz w:val="21"/>
          <w:shd w:fill="D9D9D9" w:color="auto" w:val="clear"/>
        </w:rPr>
        <w:t>酒后驾驶</w:t>
      </w:r>
      <w:r>
        <w:rPr>
          <w:spacing w:val="-3"/>
          <w:w w:val="100"/>
          <w:sz w:val="21"/>
          <w:shd w:fill="D9D9D9" w:color="auto" w:val="clear"/>
        </w:rPr>
        <w:t>（</w:t>
      </w:r>
      <w:r>
        <w:rPr>
          <w:w w:val="100"/>
          <w:sz w:val="21"/>
          <w:shd w:fill="D9D9D9" w:color="auto" w:val="clear"/>
        </w:rPr>
        <w:t>见</w:t>
      </w:r>
      <w:r>
        <w:rPr>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w:t>
      </w:r>
      <w:r>
        <w:rPr>
          <w:spacing w:val="-1"/>
          <w:w w:val="100"/>
          <w:sz w:val="21"/>
          <w:shd w:fill="D9D9D9" w:color="auto" w:val="clear"/>
        </w:rPr>
        <w:t>4</w:t>
      </w:r>
      <w:r>
        <w:rPr>
          <w:spacing w:val="-108"/>
          <w:w w:val="100"/>
          <w:sz w:val="21"/>
          <w:shd w:fill="D9D9D9" w:color="auto" w:val="clear"/>
        </w:rPr>
        <w:t>）</w:t>
      </w:r>
      <w:r>
        <w:rPr>
          <w:spacing w:val="-3"/>
          <w:w w:val="100"/>
          <w:sz w:val="21"/>
          <w:shd w:fill="D9D9D9" w:color="auto" w:val="clear"/>
        </w:rPr>
        <w:t>、</w:t>
      </w:r>
      <w:r>
        <w:rPr>
          <w:b/>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w:t>
      </w:r>
      <w:r>
        <w:rPr>
          <w:spacing w:val="-1"/>
          <w:w w:val="100"/>
          <w:sz w:val="21"/>
          <w:shd w:fill="D9D9D9" w:color="auto" w:val="clear"/>
        </w:rPr>
        <w:t>5</w:t>
      </w:r>
      <w:r>
        <w:rPr>
          <w:spacing w:val="-108"/>
          <w:w w:val="100"/>
          <w:sz w:val="21"/>
          <w:shd w:fill="D9D9D9" w:color="auto" w:val="clear"/>
        </w:rPr>
        <w:t>）</w:t>
      </w:r>
      <w:r>
        <w:rPr>
          <w:spacing w:val="-2"/>
          <w:w w:val="100"/>
          <w:sz w:val="21"/>
          <w:shd w:fill="D9D9D9" w:color="auto" w:val="clear"/>
        </w:rPr>
        <w:t>，或驾</w:t>
      </w:r>
      <w:r>
        <w:rPr>
          <w:spacing w:val="-3"/>
          <w:sz w:val="21"/>
          <w:shd w:fill="D9D9D9" w:color="auto" w:val="clear"/>
        </w:rPr>
        <w:t>驶</w:t>
      </w:r>
      <w:r>
        <w:rPr>
          <w:b/>
          <w:sz w:val="21"/>
          <w:shd w:fill="D9D9D9" w:color="auto" w:val="clear"/>
        </w:rPr>
        <w:t>无有效行驶证</w:t>
      </w:r>
      <w:r>
        <w:rPr>
          <w:spacing w:val="-3"/>
          <w:sz w:val="21"/>
          <w:shd w:fill="D9D9D9" w:color="auto" w:val="clear"/>
        </w:rPr>
        <w:t>（</w:t>
      </w:r>
      <w:r>
        <w:rPr>
          <w:spacing w:val="-23"/>
          <w:sz w:val="21"/>
          <w:shd w:fill="D9D9D9" w:color="auto" w:val="clear"/>
        </w:rPr>
        <w:t>见 </w:t>
      </w:r>
      <w:r>
        <w:rPr>
          <w:sz w:val="21"/>
          <w:shd w:fill="D9D9D9" w:color="auto" w:val="clear"/>
        </w:rPr>
        <w:t>9.16）</w:t>
      </w:r>
      <w:r>
        <w:rPr>
          <w:spacing w:val="-3"/>
          <w:sz w:val="21"/>
          <w:shd w:fill="D9D9D9" w:color="auto" w:val="clear"/>
        </w:rPr>
        <w:t>的</w:t>
      </w:r>
      <w:r>
        <w:rPr>
          <w:b/>
          <w:sz w:val="21"/>
          <w:shd w:fill="D9D9D9" w:color="auto" w:val="clear"/>
        </w:rPr>
        <w:t>机动车</w:t>
      </w:r>
      <w:r>
        <w:rPr>
          <w:spacing w:val="-3"/>
          <w:sz w:val="21"/>
          <w:shd w:fill="D9D9D9" w:color="auto" w:val="clear"/>
        </w:rPr>
        <w:t>（</w:t>
      </w:r>
      <w:r>
        <w:rPr>
          <w:spacing w:val="-24"/>
          <w:sz w:val="21"/>
          <w:shd w:fill="D9D9D9" w:color="auto" w:val="clear"/>
        </w:rPr>
        <w:t>见 </w:t>
      </w:r>
      <w:r>
        <w:rPr>
          <w:sz w:val="21"/>
          <w:shd w:fill="D9D9D9" w:color="auto" w:val="clear"/>
        </w:rPr>
        <w:t>9.17）</w:t>
      </w:r>
      <w:r>
        <w:rPr>
          <w:spacing w:val="-3"/>
          <w:sz w:val="21"/>
          <w:shd w:fill="D9D9D9" w:color="auto" w:val="clear"/>
        </w:rPr>
        <w:t>期间；</w:t>
      </w:r>
      <w:r>
        <w:rPr>
          <w:sz w:val="21"/>
        </w:rPr>
        <w:t> </w:t>
      </w:r>
    </w:p>
    <w:p>
      <w:pPr>
        <w:pStyle w:val="BodyText"/>
        <w:spacing w:line="273" w:lineRule="auto" w:before="8"/>
        <w:ind w:left="2954" w:right="3301"/>
      </w:pPr>
      <w:r>
        <w:rPr>
          <w:shd w:fill="D9D9D9" w:color="auto" w:val="clear"/>
        </w:rPr>
        <w:t>(6) 战争、军事冲突、暴乱或武装叛乱；</w:t>
      </w:r>
      <w:r>
        <w:rPr/>
        <w:t> </w:t>
      </w:r>
      <w:r>
        <w:rPr>
          <w:shd w:fill="D9D9D9" w:color="auto" w:val="clear"/>
        </w:rPr>
        <w:t>(7) 核爆炸、核辐射或核污染；</w:t>
      </w:r>
      <w:r>
        <w:rPr/>
        <w:t> </w:t>
      </w:r>
    </w:p>
    <w:p>
      <w:pPr>
        <w:spacing w:before="8"/>
        <w:ind w:left="2954" w:right="0" w:firstLine="0"/>
        <w:jc w:val="left"/>
        <w:rPr>
          <w:sz w:val="21"/>
        </w:rPr>
      </w:pPr>
      <w:r>
        <w:rPr>
          <w:sz w:val="21"/>
          <w:shd w:fill="D9D9D9" w:color="auto" w:val="clear"/>
        </w:rPr>
        <w:t>(8) 被保险人</w:t>
      </w:r>
      <w:r>
        <w:rPr>
          <w:b/>
          <w:sz w:val="21"/>
          <w:shd w:fill="D9D9D9" w:color="auto" w:val="clear"/>
        </w:rPr>
        <w:t>感染艾滋病病毒或患艾滋病</w:t>
      </w:r>
      <w:r>
        <w:rPr>
          <w:sz w:val="21"/>
          <w:shd w:fill="D9D9D9" w:color="auto" w:val="clear"/>
        </w:rPr>
        <w:t>（见 9.18）；</w:t>
      </w:r>
      <w:r>
        <w:rPr>
          <w:sz w:val="21"/>
        </w:rPr>
        <w:t> </w:t>
      </w:r>
    </w:p>
    <w:p>
      <w:pPr>
        <w:spacing w:before="37"/>
        <w:ind w:left="2954" w:right="0" w:firstLine="0"/>
        <w:jc w:val="left"/>
        <w:rPr>
          <w:sz w:val="21"/>
        </w:rPr>
      </w:pPr>
      <w:r>
        <w:rPr>
          <w:w w:val="100"/>
          <w:sz w:val="21"/>
          <w:shd w:fill="D9D9D9" w:color="auto" w:val="clear"/>
        </w:rPr>
        <w:t>(9)</w:t>
      </w:r>
      <w:r>
        <w:rPr>
          <w:spacing w:val="-3"/>
          <w:w w:val="100"/>
          <w:sz w:val="21"/>
          <w:shd w:fill="D9D9D9" w:color="auto" w:val="clear"/>
        </w:rPr>
        <w:t> </w:t>
      </w: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w:t>
      </w:r>
      <w:r>
        <w:rPr>
          <w:spacing w:val="-3"/>
          <w:w w:val="100"/>
          <w:sz w:val="21"/>
          <w:shd w:fill="D9D9D9" w:color="auto" w:val="clear"/>
        </w:rPr>
        <w:t>9</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2</w:t>
      </w:r>
      <w:r>
        <w:rPr>
          <w:spacing w:val="-1"/>
          <w:w w:val="100"/>
          <w:sz w:val="21"/>
          <w:shd w:fill="D9D9D9" w:color="auto" w:val="clear"/>
        </w:rPr>
        <w:t>0</w:t>
      </w:r>
      <w:r>
        <w:rPr>
          <w:spacing w:val="-106"/>
          <w:w w:val="100"/>
          <w:sz w:val="21"/>
          <w:shd w:fill="D9D9D9" w:color="auto" w:val="clear"/>
        </w:rPr>
        <w:t>）</w:t>
      </w:r>
      <w:r>
        <w:rPr>
          <w:spacing w:val="-3"/>
          <w:w w:val="100"/>
          <w:sz w:val="21"/>
          <w:shd w:fill="D9D9D9" w:color="auto" w:val="clear"/>
        </w:rPr>
        <w:t>。</w:t>
      </w:r>
      <w:r>
        <w:rPr>
          <w:w w:val="100"/>
          <w:sz w:val="21"/>
        </w:rPr>
        <w:t> </w:t>
      </w:r>
    </w:p>
    <w:p>
      <w:pPr>
        <w:pStyle w:val="BodyText"/>
        <w:ind w:left="2954"/>
      </w:pPr>
      <w:r>
        <w:rPr>
          <w:w w:val="100"/>
        </w:rPr>
        <w:t> </w:t>
      </w:r>
    </w:p>
    <w:p>
      <w:pPr>
        <w:pStyle w:val="BodyText"/>
        <w:spacing w:line="273" w:lineRule="auto"/>
        <w:ind w:left="2954" w:right="242"/>
      </w:pPr>
      <w:r>
        <w:rPr>
          <w:shd w:fill="D9D9D9" w:color="auto" w:val="clear"/>
        </w:rPr>
        <w:t>发生上述第(1)项情形导致被保险人身故，本合同终止，我们向被保险人继承</w:t>
      </w:r>
      <w:r>
        <w:rPr>
          <w:spacing w:val="-212"/>
          <w:shd w:fill="D9D9D9" w:color="auto" w:val="clear"/>
        </w:rPr>
        <w:t>人</w:t>
      </w:r>
      <w:r>
        <w:rPr>
          <w:spacing w:val="-3"/>
          <w:shd w:fill="D9D9D9" w:color="auto" w:val="clear"/>
        </w:rPr>
        <w:t>退还本合同的现金价值。</w:t>
      </w:r>
      <w:r>
        <w:rPr>
          <w:spacing w:val="-3"/>
        </w:rPr>
        <w:t> </w:t>
      </w:r>
    </w:p>
    <w:p>
      <w:pPr>
        <w:pStyle w:val="BodyText"/>
        <w:spacing w:before="7"/>
        <w:ind w:left="2954"/>
      </w:pPr>
      <w:r>
        <w:rPr>
          <w:w w:val="100"/>
        </w:rPr>
        <w:t> </w:t>
      </w:r>
    </w:p>
    <w:p>
      <w:pPr>
        <w:pStyle w:val="BodyText"/>
        <w:spacing w:line="273" w:lineRule="auto"/>
        <w:ind w:left="2954" w:right="233"/>
      </w:pPr>
      <w:r>
        <w:rPr>
          <w:shd w:fill="D9D9D9" w:color="auto" w:val="clear"/>
        </w:rPr>
        <w:t>发生上述第(2)至第(7)项情形导致被保险人身故，本合同终止，我们向您退还本合同的现金价值。</w:t>
      </w:r>
      <w:r>
        <w:rPr/>
        <w:t> </w:t>
      </w:r>
    </w:p>
    <w:p>
      <w:pPr>
        <w:pStyle w:val="BodyText"/>
        <w:tabs>
          <w:tab w:pos="1180" w:val="left" w:leader="none"/>
          <w:tab w:pos="2954" w:val="left" w:leader="none"/>
        </w:tabs>
        <w:spacing w:line="242" w:lineRule="exact" w:before="7"/>
        <w:ind w:left="220"/>
      </w:pPr>
      <w:r>
        <w:rPr>
          <w:w w:val="100"/>
        </w:rPr>
        <w:t> </w:t>
      </w:r>
      <w:r>
        <w:rPr/>
        <w:tab/>
      </w:r>
      <w:r>
        <w:rPr>
          <w:w w:val="100"/>
        </w:rPr>
        <w:t> </w:t>
      </w:r>
      <w:r>
        <w:rPr/>
        <w:tab/>
      </w:r>
      <w:r>
        <w:rPr>
          <w:w w:val="100"/>
        </w:rPr>
        <w:t> </w:t>
      </w:r>
    </w:p>
    <w:p>
      <w:pPr>
        <w:pStyle w:val="Heading1"/>
        <w:tabs>
          <w:tab w:pos="1180" w:val="left" w:leader="none"/>
        </w:tabs>
      </w:pPr>
      <w:r>
        <w:rPr/>
        <w:pict>
          <v:group style="position:absolute;margin-left:45.599998pt;margin-top:35.336491pt;width:504.15pt;height:1pt;mso-position-horizontal-relative:page;mso-position-vertical-relative:paragraph;z-index:1048;mso-wrap-distance-left:0;mso-wrap-distance-right:0" coordorigin="912,707" coordsize="10083,20">
            <v:line style="position:absolute" from="912,716" to="1872,716" stroked="true" strokeweight=".95999pt" strokecolor="#000000">
              <v:stroke dashstyle="solid"/>
            </v:line>
            <v:rect style="position:absolute;left:1872;top:706;width:20;height:20" filled="true" fillcolor="#000000" stroked="false">
              <v:fill type="solid"/>
            </v:rect>
            <v:line style="position:absolute" from="1892,716" to="3673,716" stroked="true" strokeweight=".95999pt" strokecolor="#000000">
              <v:stroke dashstyle="solid"/>
            </v:line>
            <v:rect style="position:absolute;left:3673;top:706;width:20;height:20" filled="true" fillcolor="#000000" stroked="false">
              <v:fill type="solid"/>
            </v:rect>
            <v:line style="position:absolute" from="3692,716" to="10994,716" stroked="true" strokeweight=".95999pt" strokecolor="#000000">
              <v:stroke dashstyle="solid"/>
            </v:line>
            <w10:wrap type="topAndBottom"/>
          </v:group>
        </w:pict>
      </w:r>
      <w:r>
        <w:rPr>
          <w:rFonts w:ascii="Yu Gothic" w:hAnsi="Yu Gothic" w:eastAsia="Yu Gothic" w:hint="eastAsia"/>
          <w:position w:val="-3"/>
          <w:sz w:val="40"/>
        </w:rPr>
        <w:t></w:t>
        <w:tab/>
      </w:r>
      <w:r>
        <w:rPr/>
        <w:t>如何申请领取保险金</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p>
    <w:p>
      <w:pPr>
        <w:pStyle w:val="BodyText"/>
        <w:tabs>
          <w:tab w:pos="1180" w:val="left" w:leader="none"/>
          <w:tab w:pos="2980" w:val="left" w:leader="none"/>
        </w:tabs>
        <w:spacing w:before="0"/>
        <w:ind w:left="220"/>
      </w:pPr>
      <w:r>
        <w:rPr>
          <w:w w:val="100"/>
        </w:rPr>
        <w:t> </w:t>
      </w:r>
      <w:r>
        <w:rPr/>
        <w:tab/>
      </w:r>
      <w:r>
        <w:rPr>
          <w:w w:val="100"/>
        </w:rPr>
        <w:t> </w:t>
      </w:r>
      <w:r>
        <w:rPr/>
        <w:tab/>
      </w:r>
      <w:r>
        <w:rPr>
          <w:w w:val="100"/>
        </w:rPr>
        <w:t> </w:t>
      </w:r>
    </w:p>
    <w:p>
      <w:pPr>
        <w:pStyle w:val="ListParagraph"/>
        <w:numPr>
          <w:ilvl w:val="1"/>
          <w:numId w:val="3"/>
        </w:numPr>
        <w:tabs>
          <w:tab w:pos="846" w:val="left" w:leader="none"/>
          <w:tab w:pos="1180" w:val="left" w:leader="none"/>
        </w:tabs>
        <w:spacing w:line="240" w:lineRule="auto" w:before="37" w:after="0"/>
        <w:ind w:left="845" w:right="0" w:hanging="318"/>
        <w:jc w:val="left"/>
        <w:rPr>
          <w:sz w:val="21"/>
        </w:rPr>
      </w:pPr>
      <w:r>
        <w:rPr>
          <w:b/>
          <w:spacing w:val="1"/>
          <w:sz w:val="21"/>
        </w:rPr>
        <w:t>受益人           </w:t>
      </w:r>
      <w:r>
        <w:rPr>
          <w:spacing w:val="-3"/>
          <w:sz w:val="21"/>
        </w:rPr>
        <w:t>您或者被保险人可以指定一人或多人为身故保险金受益人。</w:t>
      </w:r>
      <w:r>
        <w:rPr>
          <w:sz w:val="21"/>
        </w:rPr>
        <w:t> </w:t>
      </w:r>
    </w:p>
    <w:p>
      <w:pPr>
        <w:pStyle w:val="BodyText"/>
        <w:ind w:left="2981"/>
      </w:pPr>
      <w:r>
        <w:rPr>
          <w:w w:val="100"/>
        </w:rPr>
        <w:t> </w:t>
      </w:r>
    </w:p>
    <w:p>
      <w:pPr>
        <w:pStyle w:val="BodyText"/>
        <w:spacing w:line="273" w:lineRule="auto"/>
        <w:ind w:left="2981" w:right="236"/>
        <w:jc w:val="both"/>
      </w:pPr>
      <w:r>
        <w:rPr>
          <w:spacing w:val="-6"/>
        </w:rPr>
        <w:t>身故保险金受益人为多人时，可以确定受益顺序和受益份额；如果没有确定受</w:t>
      </w:r>
      <w:r>
        <w:rPr>
          <w:spacing w:val="-8"/>
        </w:rPr>
        <w:t>益顺序，各受益人均按照第一顺序享有受益权；如果没有确定受益份额，各受</w:t>
      </w:r>
      <w:r>
        <w:rPr>
          <w:spacing w:val="-5"/>
        </w:rPr>
        <w:t>益人按照相等份额享有受益权。</w:t>
      </w:r>
      <w:r>
        <w:rPr/>
        <w:t> </w:t>
      </w:r>
    </w:p>
    <w:p>
      <w:pPr>
        <w:pStyle w:val="BodyText"/>
        <w:spacing w:before="8"/>
        <w:ind w:left="2981"/>
      </w:pPr>
      <w:r>
        <w:rPr>
          <w:w w:val="100"/>
        </w:rPr>
        <w:t> </w:t>
      </w:r>
    </w:p>
    <w:p>
      <w:pPr>
        <w:pStyle w:val="BodyText"/>
        <w:spacing w:line="273" w:lineRule="auto"/>
        <w:ind w:left="2981" w:right="191"/>
      </w:pPr>
      <w:r>
        <w:rPr/>
        <w:t>被保险人为无民事行为能力人或限制民事行为能力人的，可以由其监护人指定受益人。 </w:t>
      </w:r>
    </w:p>
    <w:p>
      <w:pPr>
        <w:pStyle w:val="BodyText"/>
        <w:spacing w:before="7"/>
        <w:ind w:left="2981"/>
      </w:pPr>
      <w:r>
        <w:rPr>
          <w:w w:val="100"/>
        </w:rPr>
        <w:t> </w:t>
      </w:r>
    </w:p>
    <w:p>
      <w:pPr>
        <w:pStyle w:val="BodyText"/>
        <w:spacing w:line="273" w:lineRule="auto" w:before="36"/>
        <w:ind w:left="2981" w:right="235"/>
        <w:jc w:val="both"/>
        <w:rPr>
          <w:b/>
        </w:rPr>
      </w:pPr>
      <w:r>
        <w:rPr>
          <w:spacing w:val="-5"/>
        </w:rPr>
        <w:t>您或者被保险人可以变更身故保险金受益人、受益顺序或受益份额，并书面通</w:t>
      </w:r>
      <w:r>
        <w:rPr>
          <w:spacing w:val="-8"/>
        </w:rPr>
        <w:t>知我们，我们收到变更书面通知后，在保险单或其他保险凭证上批注或附贴批</w:t>
      </w:r>
      <w:r>
        <w:rPr>
          <w:spacing w:val="-6"/>
        </w:rPr>
        <w:t>单。</w:t>
      </w:r>
      <w:r>
        <w:rPr>
          <w:b/>
          <w:w w:val="99"/>
        </w:rPr>
        <w:t> </w:t>
      </w:r>
    </w:p>
    <w:p>
      <w:pPr>
        <w:pStyle w:val="BodyText"/>
        <w:spacing w:before="7"/>
        <w:ind w:left="2981"/>
      </w:pPr>
      <w:r>
        <w:rPr>
          <w:w w:val="100"/>
        </w:rPr>
        <w:t> </w:t>
      </w:r>
    </w:p>
    <w:p>
      <w:pPr>
        <w:pStyle w:val="BodyText"/>
        <w:spacing w:line="273" w:lineRule="auto" w:before="36"/>
        <w:ind w:left="2981" w:right="206"/>
      </w:pPr>
      <w:r>
        <w:rPr/>
        <w:t>您在指定和变更身故保险金受益人、受益顺序或受益份额时，必须经过被保险人同意。 </w:t>
      </w:r>
    </w:p>
    <w:p>
      <w:pPr>
        <w:pStyle w:val="Heading2"/>
        <w:spacing w:before="7"/>
        <w:ind w:left="2981"/>
      </w:pPr>
      <w:r>
        <w:rPr>
          <w:w w:val="99"/>
        </w:rPr>
        <w:t> </w:t>
      </w:r>
    </w:p>
    <w:p>
      <w:pPr>
        <w:pStyle w:val="BodyText"/>
        <w:spacing w:line="273" w:lineRule="auto"/>
        <w:ind w:left="2981" w:right="235"/>
      </w:pPr>
      <w:r>
        <w:rPr>
          <w:spacing w:val="-7"/>
        </w:rPr>
        <w:t>被保险人身故后，有下列情形之一的，保险金作为被保险人的遗产，由我们依</w:t>
      </w:r>
      <w:r>
        <w:rPr>
          <w:spacing w:val="-5"/>
        </w:rPr>
        <w:t>照《中华人民共和国继承法》的规定履行给付保险金的义务：</w:t>
      </w:r>
      <w:r>
        <w:rPr/>
        <w:t> </w:t>
      </w:r>
    </w:p>
    <w:p>
      <w:pPr>
        <w:spacing w:after="0" w:line="273" w:lineRule="auto"/>
        <w:sectPr>
          <w:type w:val="continuous"/>
          <w:pgSz w:w="11910" w:h="16840"/>
          <w:pgMar w:top="720" w:bottom="280" w:left="800" w:right="780"/>
        </w:sectPr>
      </w:pPr>
    </w:p>
    <w:p>
      <w:pPr>
        <w:pStyle w:val="BodyText"/>
        <w:spacing w:before="22"/>
        <w:ind w:left="2921"/>
      </w:pPr>
      <w:r>
        <w:rPr/>
        <w:t>（1）没有指定受益人，或者受益人指定不明无法确定的；  </w:t>
      </w:r>
    </w:p>
    <w:p>
      <w:pPr>
        <w:pStyle w:val="BodyText"/>
        <w:ind w:left="2921"/>
      </w:pPr>
      <w:r>
        <w:rPr/>
        <w:t>（2）受益人先于被保险人身故，没有其他受益人的； </w:t>
      </w:r>
    </w:p>
    <w:p>
      <w:pPr>
        <w:pStyle w:val="BodyText"/>
        <w:spacing w:before="36"/>
        <w:ind w:left="2921"/>
      </w:pPr>
      <w:r>
        <w:rPr/>
        <w:t>（3）受益人依法丧失受益权或者放弃受益权，没有其他受益人的。 </w:t>
      </w:r>
    </w:p>
    <w:p>
      <w:pPr>
        <w:pStyle w:val="BodyText"/>
        <w:spacing w:before="36"/>
        <w:ind w:left="2921"/>
      </w:pPr>
      <w:r>
        <w:rPr>
          <w:w w:val="100"/>
        </w:rPr>
        <w:t> </w:t>
      </w:r>
    </w:p>
    <w:p>
      <w:pPr>
        <w:pStyle w:val="BodyText"/>
        <w:spacing w:line="273" w:lineRule="auto" w:before="36"/>
        <w:ind w:left="2921" w:right="247"/>
      </w:pPr>
      <w:r>
        <w:rPr/>
        <w:t>受益人与被保险人在同一事件中身故，且不能确定身故先后顺序的，推定受益人身故在先。 </w:t>
      </w:r>
    </w:p>
    <w:p>
      <w:pPr>
        <w:pStyle w:val="BodyText"/>
        <w:spacing w:before="7"/>
        <w:ind w:left="2921"/>
      </w:pPr>
      <w:r>
        <w:rPr>
          <w:w w:val="100"/>
        </w:rPr>
        <w:t> </w:t>
      </w:r>
    </w:p>
    <w:p>
      <w:pPr>
        <w:pStyle w:val="BodyText"/>
        <w:spacing w:line="273" w:lineRule="auto"/>
        <w:ind w:left="2921" w:right="170"/>
      </w:pPr>
      <w:r>
        <w:rPr>
          <w:spacing w:val="-12"/>
        </w:rPr>
        <w:t>受益人故意造成被保险人身故、伤残、疾病的，或者故意杀害被保险人未遂的， </w:t>
      </w:r>
      <w:r>
        <w:rPr>
          <w:spacing w:val="-6"/>
        </w:rPr>
        <w:t>该受益人丧失受益权。</w:t>
      </w:r>
      <w:r>
        <w:rPr/>
        <w:t> </w:t>
      </w:r>
    </w:p>
    <w:p>
      <w:pPr>
        <w:pStyle w:val="BodyText"/>
        <w:spacing w:before="8"/>
        <w:ind w:left="2921"/>
      </w:pPr>
      <w:r>
        <w:rPr>
          <w:w w:val="100"/>
        </w:rPr>
        <w:t> </w:t>
      </w:r>
    </w:p>
    <w:p>
      <w:pPr>
        <w:pStyle w:val="BodyText"/>
        <w:ind w:left="2921"/>
      </w:pPr>
      <w:r>
        <w:rPr/>
        <w:t>除另有约定外，本合同重大疾病、轻症疾病保险金的受益人为被保险人本人。 </w:t>
      </w:r>
    </w:p>
    <w:p>
      <w:pPr>
        <w:pStyle w:val="Heading2"/>
        <w:tabs>
          <w:tab w:pos="1120" w:val="left" w:leader="none"/>
          <w:tab w:pos="2920" w:val="left" w:leader="none"/>
        </w:tabs>
        <w:spacing w:before="37"/>
        <w:ind w:left="467"/>
        <w:rPr>
          <w:b w:val="0"/>
        </w:rPr>
      </w:pPr>
      <w:r>
        <w:rPr>
          <w:w w:val="99"/>
        </w:rPr>
        <w:t> </w:t>
      </w:r>
      <w:r>
        <w:rPr/>
        <w:tab/>
      </w:r>
      <w:r>
        <w:rPr>
          <w:w w:val="99"/>
        </w:rPr>
        <w:t> </w:t>
      </w:r>
      <w:r>
        <w:rPr/>
        <w:tab/>
      </w:r>
      <w:r>
        <w:rPr>
          <w:b w:val="0"/>
          <w:w w:val="100"/>
        </w:rPr>
        <w:t> </w:t>
      </w:r>
    </w:p>
    <w:p>
      <w:pPr>
        <w:pStyle w:val="ListParagraph"/>
        <w:numPr>
          <w:ilvl w:val="1"/>
          <w:numId w:val="3"/>
        </w:numPr>
        <w:tabs>
          <w:tab w:pos="786" w:val="left" w:leader="none"/>
        </w:tabs>
        <w:spacing w:line="240" w:lineRule="auto" w:before="38" w:after="0"/>
        <w:ind w:left="785" w:right="0" w:hanging="318"/>
        <w:jc w:val="left"/>
        <w:rPr>
          <w:sz w:val="21"/>
        </w:rPr>
      </w:pPr>
      <w:r>
        <w:rPr>
          <w:b/>
          <w:spacing w:val="1"/>
          <w:sz w:val="21"/>
        </w:rPr>
        <w:t>保险事故通知     </w:t>
      </w:r>
      <w:r>
        <w:rPr>
          <w:spacing w:val="-3"/>
          <w:sz w:val="21"/>
        </w:rPr>
        <w:t>请您或受益人在知道保险事故后</w:t>
      </w:r>
      <w:r>
        <w:rPr>
          <w:sz w:val="21"/>
        </w:rPr>
        <w:t>10</w:t>
      </w:r>
      <w:r>
        <w:rPr>
          <w:spacing w:val="-3"/>
          <w:sz w:val="21"/>
        </w:rPr>
        <w:t>日内通知我们。</w:t>
      </w:r>
      <w:r>
        <w:rPr>
          <w:sz w:val="21"/>
        </w:rPr>
        <w:t> </w:t>
      </w:r>
    </w:p>
    <w:p>
      <w:pPr>
        <w:pStyle w:val="BodyText"/>
        <w:ind w:left="2921"/>
      </w:pPr>
      <w:r>
        <w:rPr/>
        <w:pict>
          <v:group style="position:absolute;margin-left:189.050003pt;margin-top:19.033649pt;width:360.8pt;height:29.3pt;mso-position-horizontal-relative:page;mso-position-vertical-relative:paragraph;z-index:1096;mso-wrap-distance-left:0;mso-wrap-distance-right:0" coordorigin="3781,381" coordsize="7216,586">
            <v:rect style="position:absolute;left:3781;top:380;width:7106;height:274" filled="true" fillcolor="#d9d9d9" stroked="false">
              <v:fill type="solid"/>
            </v:rect>
            <v:rect style="position:absolute;left:3781;top:692;width:7106;height:274" filled="true" fillcolor="#d9d9d9" stroked="false">
              <v:fill type="solid"/>
            </v:rect>
            <v:shapetype id="_x0000_t202" o:spt="202" coordsize="21600,21600" path="m,l,21600r21600,l21600,xe">
              <v:stroke joinstyle="miter"/>
              <v:path gradientshapeok="t" o:connecttype="rect"/>
            </v:shapetype>
            <v:shape style="position:absolute;left:3781;top:380;width:7216;height:586" type="#_x0000_t202" filled="false" stroked="false">
              <v:textbox inset="0,0,0,0">
                <w:txbxContent>
                  <w:p>
                    <w:pPr>
                      <w:spacing w:line="243" w:lineRule="exact" w:before="0"/>
                      <w:ind w:left="0" w:right="0" w:firstLine="0"/>
                      <w:jc w:val="left"/>
                      <w:rPr>
                        <w:sz w:val="21"/>
                      </w:rPr>
                    </w:pPr>
                    <w:r>
                      <w:rPr>
                        <w:spacing w:val="-9"/>
                        <w:sz w:val="21"/>
                      </w:rPr>
                      <w:t>如果您或受益人故意或者因重大过失未及时通知，致使保险事故的性质、原因、</w:t>
                    </w:r>
                  </w:p>
                  <w:p>
                    <w:pPr>
                      <w:spacing w:before="37"/>
                      <w:ind w:left="0" w:right="0" w:firstLine="0"/>
                      <w:jc w:val="left"/>
                      <w:rPr>
                        <w:sz w:val="21"/>
                      </w:rPr>
                    </w:pPr>
                    <w:r>
                      <w:rPr>
                        <w:sz w:val="21"/>
                      </w:rPr>
                      <w:t>损失程度等难以确定的，我们对无法确定的部分，不承担给付保险金的责任，</w:t>
                    </w:r>
                  </w:p>
                </w:txbxContent>
              </v:textbox>
              <w10:wrap type="none"/>
            </v:shape>
            <w10:wrap type="topAndBottom"/>
          </v:group>
        </w:pict>
      </w:r>
      <w:r>
        <w:rPr>
          <w:w w:val="100"/>
        </w:rPr>
        <w:t> </w:t>
      </w:r>
    </w:p>
    <w:p>
      <w:pPr>
        <w:pStyle w:val="BodyText"/>
        <w:spacing w:line="253" w:lineRule="exact" w:before="0"/>
        <w:ind w:left="2921"/>
      </w:pPr>
      <w:r>
        <w:rPr/>
        <w:t>但我们通过其他途径已经及时知道或者应当及时知道保险事故发生或者虽未</w:t>
      </w:r>
    </w:p>
    <w:p>
      <w:pPr>
        <w:pStyle w:val="BodyText"/>
        <w:ind w:left="2921"/>
      </w:pPr>
      <w:r>
        <w:rPr/>
        <w:t>及时通知但不影响我们确定保险事故的性质、原因、损失程度的除外。 </w:t>
      </w:r>
    </w:p>
    <w:p>
      <w:pPr>
        <w:pStyle w:val="BodyText"/>
        <w:ind w:left="2921"/>
      </w:pPr>
      <w:r>
        <w:rPr>
          <w:w w:val="100"/>
        </w:rPr>
        <w:t> </w:t>
      </w:r>
    </w:p>
    <w:p>
      <w:pPr>
        <w:pStyle w:val="ListParagraph"/>
        <w:numPr>
          <w:ilvl w:val="1"/>
          <w:numId w:val="3"/>
        </w:numPr>
        <w:tabs>
          <w:tab w:pos="786" w:val="left" w:leader="none"/>
          <w:tab w:pos="1120" w:val="left" w:leader="none"/>
        </w:tabs>
        <w:spacing w:line="240" w:lineRule="auto" w:before="37" w:after="0"/>
        <w:ind w:left="785" w:right="0" w:hanging="318"/>
        <w:jc w:val="left"/>
        <w:rPr>
          <w:sz w:val="21"/>
        </w:rPr>
      </w:pPr>
      <w:r>
        <w:rPr>
          <w:b/>
          <w:spacing w:val="1"/>
          <w:sz w:val="21"/>
        </w:rPr>
        <w:t>保险金申请       </w:t>
      </w:r>
      <w:r>
        <w:rPr>
          <w:spacing w:val="-3"/>
          <w:sz w:val="21"/>
        </w:rPr>
        <w:t>在申请保险金时，请按照下列方式办理：</w:t>
      </w:r>
      <w:r>
        <w:rPr>
          <w:sz w:val="21"/>
        </w:rPr>
        <w:t> </w:t>
      </w:r>
    </w:p>
    <w:p>
      <w:pPr>
        <w:pStyle w:val="BodyText"/>
        <w:tabs>
          <w:tab w:pos="1120" w:val="left" w:leader="none"/>
          <w:tab w:pos="2920" w:val="left" w:leader="none"/>
        </w:tabs>
        <w:ind w:left="160"/>
      </w:pPr>
      <w:r>
        <w:rPr>
          <w:w w:val="100"/>
        </w:rPr>
        <w:t> </w:t>
      </w:r>
      <w:r>
        <w:rPr/>
        <w:tab/>
      </w:r>
      <w:r>
        <w:rPr>
          <w:w w:val="100"/>
        </w:rPr>
        <w:t> </w:t>
      </w:r>
      <w:r>
        <w:rPr/>
        <w:tab/>
      </w:r>
      <w:r>
        <w:rPr>
          <w:w w:val="100"/>
        </w:rPr>
        <w:t> </w:t>
      </w:r>
    </w:p>
    <w:p>
      <w:pPr>
        <w:spacing w:after="0"/>
        <w:sectPr>
          <w:pgSz w:w="11910" w:h="16840"/>
          <w:pgMar w:top="1080" w:bottom="280" w:left="860" w:right="740"/>
        </w:sectPr>
      </w:pPr>
    </w:p>
    <w:p>
      <w:pPr>
        <w:tabs>
          <w:tab w:pos="1120" w:val="left" w:leader="none"/>
        </w:tabs>
        <w:spacing w:line="182" w:lineRule="auto" w:before="18"/>
        <w:ind w:left="1120" w:right="0" w:hanging="961"/>
        <w:jc w:val="left"/>
        <w:rPr>
          <w:rFonts w:ascii="Microsoft JhengHei" w:eastAsia="Microsoft JhengHei" w:hint="eastAsia"/>
          <w:b/>
          <w:sz w:val="24"/>
        </w:rPr>
      </w:pPr>
      <w:r>
        <w:rPr>
          <w:w w:val="100"/>
          <w:sz w:val="21"/>
        </w:rPr>
        <w:t> </w:t>
      </w:r>
      <w:r>
        <w:rPr>
          <w:sz w:val="21"/>
        </w:rPr>
        <w:tab/>
      </w:r>
      <w:r>
        <w:rPr>
          <w:rFonts w:ascii="Microsoft JhengHei" w:eastAsia="Microsoft JhengHei" w:hint="eastAsia"/>
          <w:b/>
          <w:position w:val="1"/>
          <w:sz w:val="24"/>
        </w:rPr>
        <w:t>身故保险金申</w:t>
      </w:r>
      <w:r>
        <w:rPr>
          <w:rFonts w:ascii="Microsoft JhengHei" w:eastAsia="Microsoft JhengHei" w:hint="eastAsia"/>
          <w:b/>
          <w:sz w:val="24"/>
        </w:rPr>
        <w:t>请</w:t>
      </w:r>
    </w:p>
    <w:p>
      <w:pPr>
        <w:pStyle w:val="BodyText"/>
        <w:spacing w:line="273" w:lineRule="auto"/>
        <w:ind w:left="160" w:right="247"/>
      </w:pPr>
      <w:r>
        <w:rPr/>
        <w:br w:type="column"/>
      </w:r>
      <w:r>
        <w:rPr/>
        <w:t>在申请身故保险金时，受益人须填写保险金给付申请书，并提供下列证明和资料： </w:t>
      </w:r>
    </w:p>
    <w:p>
      <w:pPr>
        <w:pStyle w:val="BodyText"/>
        <w:spacing w:before="7"/>
        <w:ind w:left="160"/>
      </w:pPr>
      <w:r>
        <w:rPr/>
        <w:t>（1）保险合同； </w:t>
      </w:r>
    </w:p>
    <w:p>
      <w:pPr>
        <w:pStyle w:val="BodyText"/>
        <w:spacing w:before="36"/>
        <w:ind w:left="160"/>
      </w:pPr>
      <w:r>
        <w:rPr/>
        <w:t>（2）受益人的有效身份证件； </w:t>
      </w:r>
    </w:p>
    <w:p>
      <w:pPr>
        <w:spacing w:after="0"/>
        <w:sectPr>
          <w:type w:val="continuous"/>
          <w:pgSz w:w="11910" w:h="16840"/>
          <w:pgMar w:top="720" w:bottom="280" w:left="860" w:right="740"/>
          <w:cols w:num="2" w:equalWidth="0">
            <w:col w:w="2563" w:space="198"/>
            <w:col w:w="7549"/>
          </w:cols>
        </w:sectPr>
      </w:pPr>
    </w:p>
    <w:p>
      <w:pPr>
        <w:pStyle w:val="BodyText"/>
        <w:spacing w:before="8"/>
        <w:ind w:left="0"/>
        <w:rPr>
          <w:sz w:val="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2120"/>
        <w:gridCol w:w="7374"/>
      </w:tblGrid>
      <w:tr>
        <w:trPr>
          <w:trHeight w:val="885" w:hRule="atLeast"/>
        </w:trPr>
        <w:tc>
          <w:tcPr>
            <w:tcW w:w="2703" w:type="dxa"/>
            <w:gridSpan w:val="2"/>
          </w:tcPr>
          <w:p>
            <w:pPr>
              <w:pStyle w:val="TableParagraph"/>
              <w:rPr>
                <w:rFonts w:ascii="Times New Roman"/>
                <w:sz w:val="20"/>
              </w:rPr>
            </w:pPr>
          </w:p>
        </w:tc>
        <w:tc>
          <w:tcPr>
            <w:tcW w:w="7374" w:type="dxa"/>
          </w:tcPr>
          <w:p>
            <w:pPr>
              <w:pStyle w:val="TableParagraph"/>
              <w:spacing w:line="211" w:lineRule="exact"/>
              <w:ind w:left="124"/>
              <w:rPr>
                <w:sz w:val="21"/>
              </w:rPr>
            </w:pPr>
            <w:r>
              <w:rPr>
                <w:sz w:val="21"/>
              </w:rPr>
              <w:t>（3）国家卫生行政部门认定的医疗机构、公安部门或其他相关机构出具的被</w:t>
            </w:r>
          </w:p>
          <w:p>
            <w:pPr>
              <w:pStyle w:val="TableParagraph"/>
              <w:spacing w:before="37"/>
              <w:ind w:left="650"/>
              <w:rPr>
                <w:sz w:val="21"/>
              </w:rPr>
            </w:pPr>
            <w:r>
              <w:rPr>
                <w:sz w:val="21"/>
              </w:rPr>
              <w:t>保险人的死亡证明； </w:t>
            </w:r>
          </w:p>
          <w:p>
            <w:pPr>
              <w:pStyle w:val="TableParagraph"/>
              <w:spacing w:before="37"/>
              <w:ind w:left="124"/>
              <w:rPr>
                <w:sz w:val="21"/>
              </w:rPr>
            </w:pPr>
            <w:r>
              <w:rPr>
                <w:sz w:val="21"/>
              </w:rPr>
              <w:t>（4）所能提供的与确认保险事故的性质、原因等有关的其他证明和资料。 </w:t>
            </w:r>
          </w:p>
        </w:tc>
      </w:tr>
      <w:tr>
        <w:trPr>
          <w:trHeight w:val="312" w:hRule="atLeast"/>
        </w:trPr>
        <w:tc>
          <w:tcPr>
            <w:tcW w:w="583" w:type="dxa"/>
          </w:tcPr>
          <w:p>
            <w:pPr>
              <w:pStyle w:val="TableParagraph"/>
              <w:spacing w:line="261" w:lineRule="exact"/>
              <w:ind w:left="50"/>
              <w:rPr>
                <w:sz w:val="21"/>
              </w:rPr>
            </w:pPr>
            <w:r>
              <w:rPr>
                <w:w w:val="100"/>
                <w:sz w:val="21"/>
              </w:rPr>
              <w:t> </w:t>
            </w:r>
          </w:p>
        </w:tc>
        <w:tc>
          <w:tcPr>
            <w:tcW w:w="2120" w:type="dxa"/>
          </w:tcPr>
          <w:p>
            <w:pPr>
              <w:pStyle w:val="TableParagraph"/>
              <w:spacing w:line="261" w:lineRule="exact"/>
              <w:ind w:left="427"/>
              <w:rPr>
                <w:sz w:val="21"/>
              </w:rPr>
            </w:pPr>
            <w:r>
              <w:rPr>
                <w:w w:val="100"/>
                <w:sz w:val="21"/>
              </w:rPr>
              <w:t> </w:t>
            </w:r>
          </w:p>
        </w:tc>
        <w:tc>
          <w:tcPr>
            <w:tcW w:w="7374" w:type="dxa"/>
          </w:tcPr>
          <w:p>
            <w:pPr>
              <w:pStyle w:val="TableParagraph"/>
              <w:spacing w:line="261" w:lineRule="exact"/>
              <w:ind w:left="108"/>
              <w:rPr>
                <w:sz w:val="21"/>
              </w:rPr>
            </w:pPr>
            <w:r>
              <w:rPr>
                <w:w w:val="100"/>
                <w:sz w:val="21"/>
              </w:rPr>
              <w:t> </w:t>
            </w:r>
          </w:p>
        </w:tc>
      </w:tr>
      <w:tr>
        <w:trPr>
          <w:trHeight w:val="337" w:hRule="atLeast"/>
        </w:trPr>
        <w:tc>
          <w:tcPr>
            <w:tcW w:w="583" w:type="dxa"/>
          </w:tcPr>
          <w:p>
            <w:pPr>
              <w:pStyle w:val="TableParagraph"/>
              <w:spacing w:line="261" w:lineRule="exact"/>
              <w:ind w:left="50"/>
              <w:rPr>
                <w:sz w:val="21"/>
              </w:rPr>
            </w:pPr>
            <w:r>
              <w:rPr>
                <w:w w:val="100"/>
                <w:sz w:val="21"/>
              </w:rPr>
              <w:t> </w:t>
            </w:r>
          </w:p>
        </w:tc>
        <w:tc>
          <w:tcPr>
            <w:tcW w:w="2120" w:type="dxa"/>
          </w:tcPr>
          <w:p>
            <w:pPr>
              <w:pStyle w:val="TableParagraph"/>
              <w:spacing w:line="317" w:lineRule="exact"/>
              <w:ind w:left="427"/>
              <w:rPr>
                <w:rFonts w:ascii="Microsoft JhengHei" w:eastAsia="Microsoft JhengHei" w:hint="eastAsia"/>
                <w:b/>
                <w:sz w:val="24"/>
              </w:rPr>
            </w:pPr>
            <w:r>
              <w:rPr>
                <w:rFonts w:ascii="Microsoft JhengHei" w:eastAsia="Microsoft JhengHei" w:hint="eastAsia"/>
                <w:b/>
                <w:sz w:val="24"/>
              </w:rPr>
              <w:t>重大疾病保险</w:t>
            </w:r>
          </w:p>
        </w:tc>
        <w:tc>
          <w:tcPr>
            <w:tcW w:w="7374" w:type="dxa"/>
          </w:tcPr>
          <w:p>
            <w:pPr>
              <w:pStyle w:val="TableParagraph"/>
              <w:spacing w:line="261" w:lineRule="exact"/>
              <w:ind w:left="108"/>
              <w:rPr>
                <w:sz w:val="21"/>
              </w:rPr>
            </w:pPr>
            <w:r>
              <w:rPr>
                <w:spacing w:val="-14"/>
                <w:sz w:val="21"/>
              </w:rPr>
              <w:t>在申请重大疾病保险金、轻症疾病保险金、重大疾病或轻症疾病豁免保险费时，</w:t>
            </w:r>
          </w:p>
        </w:tc>
      </w:tr>
      <w:tr>
        <w:trPr>
          <w:trHeight w:val="316" w:hRule="atLeast"/>
        </w:trPr>
        <w:tc>
          <w:tcPr>
            <w:tcW w:w="583" w:type="dxa"/>
          </w:tcPr>
          <w:p>
            <w:pPr>
              <w:pStyle w:val="TableParagraph"/>
              <w:rPr>
                <w:rFonts w:ascii="Times New Roman"/>
                <w:sz w:val="20"/>
              </w:rPr>
            </w:pPr>
          </w:p>
        </w:tc>
        <w:tc>
          <w:tcPr>
            <w:tcW w:w="2120" w:type="dxa"/>
          </w:tcPr>
          <w:p>
            <w:pPr>
              <w:pStyle w:val="TableParagraph"/>
              <w:spacing w:line="297" w:lineRule="exact"/>
              <w:ind w:left="427"/>
              <w:rPr>
                <w:rFonts w:ascii="Microsoft JhengHei" w:eastAsia="Microsoft JhengHei" w:hint="eastAsia"/>
                <w:b/>
                <w:sz w:val="24"/>
              </w:rPr>
            </w:pPr>
            <w:r>
              <w:rPr>
                <w:rFonts w:ascii="Microsoft JhengHei" w:eastAsia="Microsoft JhengHei" w:hint="eastAsia"/>
                <w:b/>
                <w:sz w:val="24"/>
              </w:rPr>
              <w:t>金、轻症疾病保</w:t>
            </w:r>
          </w:p>
        </w:tc>
        <w:tc>
          <w:tcPr>
            <w:tcW w:w="7374" w:type="dxa"/>
          </w:tcPr>
          <w:p>
            <w:pPr>
              <w:pStyle w:val="TableParagraph"/>
              <w:spacing w:line="236" w:lineRule="exact"/>
              <w:ind w:left="108"/>
              <w:rPr>
                <w:sz w:val="21"/>
              </w:rPr>
            </w:pPr>
            <w:r>
              <w:rPr>
                <w:sz w:val="21"/>
              </w:rPr>
              <w:t>受益人须填写保险金给付申请书，并提供下列证明和资料： </w:t>
            </w:r>
          </w:p>
        </w:tc>
      </w:tr>
      <w:tr>
        <w:trPr>
          <w:trHeight w:val="1218" w:hRule="atLeast"/>
        </w:trPr>
        <w:tc>
          <w:tcPr>
            <w:tcW w:w="583" w:type="dxa"/>
          </w:tcPr>
          <w:p>
            <w:pPr>
              <w:pStyle w:val="TableParagraph"/>
              <w:rPr>
                <w:rFonts w:ascii="Times New Roman"/>
                <w:sz w:val="20"/>
              </w:rPr>
            </w:pPr>
          </w:p>
        </w:tc>
        <w:tc>
          <w:tcPr>
            <w:tcW w:w="2120" w:type="dxa"/>
          </w:tcPr>
          <w:p>
            <w:pPr>
              <w:pStyle w:val="TableParagraph"/>
              <w:spacing w:line="182" w:lineRule="auto"/>
              <w:ind w:left="427" w:right="106"/>
              <w:rPr>
                <w:rFonts w:ascii="Microsoft JhengHei" w:eastAsia="Microsoft JhengHei" w:hint="eastAsia"/>
                <w:b/>
                <w:sz w:val="24"/>
              </w:rPr>
            </w:pPr>
            <w:r>
              <w:rPr>
                <w:rFonts w:ascii="Microsoft JhengHei" w:eastAsia="Microsoft JhengHei" w:hint="eastAsia"/>
                <w:b/>
                <w:spacing w:val="-15"/>
                <w:sz w:val="24"/>
              </w:rPr>
              <w:t>险金、重大疾病或轻症疾病豁</w:t>
            </w:r>
          </w:p>
          <w:p>
            <w:pPr>
              <w:pStyle w:val="TableParagraph"/>
              <w:spacing w:line="322" w:lineRule="exact" w:before="14"/>
              <w:ind w:left="427"/>
              <w:rPr>
                <w:i/>
                <w:sz w:val="22"/>
              </w:rPr>
            </w:pPr>
            <w:r>
              <w:rPr>
                <w:rFonts w:ascii="Microsoft JhengHei" w:eastAsia="Microsoft JhengHei" w:hint="eastAsia"/>
                <w:b/>
                <w:sz w:val="24"/>
              </w:rPr>
              <w:t>免保险费申请</w:t>
            </w:r>
            <w:r>
              <w:rPr>
                <w:b/>
                <w:w w:val="99"/>
                <w:sz w:val="21"/>
              </w:rPr>
              <w:t> </w:t>
            </w:r>
            <w:r>
              <w:rPr>
                <w:i/>
                <w:w w:val="96"/>
                <w:sz w:val="22"/>
              </w:rPr>
              <w:t> </w:t>
            </w:r>
          </w:p>
        </w:tc>
        <w:tc>
          <w:tcPr>
            <w:tcW w:w="7374" w:type="dxa"/>
          </w:tcPr>
          <w:p>
            <w:pPr>
              <w:pStyle w:val="TableParagraph"/>
              <w:spacing w:line="231" w:lineRule="exact"/>
              <w:ind w:left="108"/>
              <w:rPr>
                <w:sz w:val="21"/>
              </w:rPr>
            </w:pPr>
            <w:r>
              <w:rPr>
                <w:sz w:val="21"/>
              </w:rPr>
              <w:t>（1）保险合同； </w:t>
            </w:r>
          </w:p>
          <w:p>
            <w:pPr>
              <w:pStyle w:val="TableParagraph"/>
              <w:spacing w:before="37"/>
              <w:ind w:left="108"/>
              <w:rPr>
                <w:sz w:val="21"/>
              </w:rPr>
            </w:pPr>
            <w:r>
              <w:rPr>
                <w:sz w:val="21"/>
              </w:rPr>
              <w:t>（2）受益人的有效身份证件； </w:t>
            </w:r>
          </w:p>
          <w:p>
            <w:pPr>
              <w:pStyle w:val="TableParagraph"/>
              <w:spacing w:line="273" w:lineRule="auto" w:before="37"/>
              <w:ind w:left="611" w:right="223" w:hanging="504"/>
              <w:rPr>
                <w:sz w:val="21"/>
              </w:rPr>
            </w:pPr>
            <w:r>
              <w:rPr>
                <w:sz w:val="21"/>
              </w:rPr>
              <w:t>（3）医院出具的附有病理显微镜检查、血液检验及其他科学方法检验报告的疾病诊断证明书； </w:t>
            </w:r>
          </w:p>
        </w:tc>
      </w:tr>
      <w:tr>
        <w:trPr>
          <w:trHeight w:val="312" w:hRule="atLeast"/>
        </w:trPr>
        <w:tc>
          <w:tcPr>
            <w:tcW w:w="583" w:type="dxa"/>
          </w:tcPr>
          <w:p>
            <w:pPr>
              <w:pStyle w:val="TableParagraph"/>
              <w:rPr>
                <w:rFonts w:ascii="Times New Roman"/>
                <w:sz w:val="20"/>
              </w:rPr>
            </w:pPr>
          </w:p>
        </w:tc>
        <w:tc>
          <w:tcPr>
            <w:tcW w:w="2120" w:type="dxa"/>
          </w:tcPr>
          <w:p>
            <w:pPr>
              <w:pStyle w:val="TableParagraph"/>
              <w:rPr>
                <w:rFonts w:ascii="Times New Roman"/>
                <w:sz w:val="20"/>
              </w:rPr>
            </w:pPr>
          </w:p>
        </w:tc>
        <w:tc>
          <w:tcPr>
            <w:tcW w:w="7374" w:type="dxa"/>
          </w:tcPr>
          <w:p>
            <w:pPr>
              <w:pStyle w:val="TableParagraph"/>
              <w:spacing w:line="261" w:lineRule="exact"/>
              <w:ind w:left="124"/>
              <w:rPr>
                <w:sz w:val="21"/>
              </w:rPr>
            </w:pPr>
            <w:r>
              <w:rPr>
                <w:sz w:val="21"/>
              </w:rPr>
              <w:t>（4）所能提供的与确认保险事故的性质、原因等有关的其他证明和资料。 </w:t>
            </w:r>
          </w:p>
        </w:tc>
      </w:tr>
      <w:tr>
        <w:trPr>
          <w:trHeight w:val="305" w:hRule="atLeast"/>
        </w:trPr>
        <w:tc>
          <w:tcPr>
            <w:tcW w:w="583" w:type="dxa"/>
          </w:tcPr>
          <w:p>
            <w:pPr>
              <w:pStyle w:val="TableParagraph"/>
              <w:spacing w:line="261" w:lineRule="exact"/>
              <w:ind w:left="50"/>
              <w:rPr>
                <w:sz w:val="21"/>
              </w:rPr>
            </w:pPr>
            <w:r>
              <w:rPr>
                <w:w w:val="100"/>
                <w:sz w:val="21"/>
              </w:rPr>
              <w:t> </w:t>
            </w:r>
          </w:p>
        </w:tc>
        <w:tc>
          <w:tcPr>
            <w:tcW w:w="2120" w:type="dxa"/>
          </w:tcPr>
          <w:p>
            <w:pPr>
              <w:pStyle w:val="TableParagraph"/>
              <w:rPr>
                <w:rFonts w:ascii="Times New Roman"/>
                <w:sz w:val="20"/>
              </w:rPr>
            </w:pPr>
          </w:p>
        </w:tc>
        <w:tc>
          <w:tcPr>
            <w:tcW w:w="7374" w:type="dxa"/>
          </w:tcPr>
          <w:p>
            <w:pPr>
              <w:pStyle w:val="TableParagraph"/>
              <w:spacing w:line="261" w:lineRule="exact"/>
              <w:ind w:left="108"/>
              <w:rPr>
                <w:sz w:val="21"/>
              </w:rPr>
            </w:pPr>
            <w:r>
              <w:rPr>
                <w:w w:val="100"/>
                <w:sz w:val="21"/>
              </w:rPr>
              <w:t> </w:t>
            </w:r>
          </w:p>
        </w:tc>
      </w:tr>
      <w:tr>
        <w:trPr>
          <w:trHeight w:val="327" w:hRule="atLeast"/>
        </w:trPr>
        <w:tc>
          <w:tcPr>
            <w:tcW w:w="583" w:type="dxa"/>
          </w:tcPr>
          <w:p>
            <w:pPr>
              <w:pStyle w:val="TableParagraph"/>
              <w:spacing w:before="2"/>
              <w:ind w:left="50"/>
              <w:rPr>
                <w:sz w:val="21"/>
              </w:rPr>
            </w:pPr>
            <w:r>
              <w:rPr>
                <w:w w:val="100"/>
                <w:sz w:val="21"/>
              </w:rPr>
              <w:t> </w:t>
            </w:r>
          </w:p>
        </w:tc>
        <w:tc>
          <w:tcPr>
            <w:tcW w:w="2120" w:type="dxa"/>
          </w:tcPr>
          <w:p>
            <w:pPr>
              <w:pStyle w:val="TableParagraph"/>
              <w:spacing w:line="255" w:lineRule="exact"/>
              <w:ind w:left="427"/>
              <w:rPr>
                <w:sz w:val="21"/>
              </w:rPr>
            </w:pPr>
            <w:r>
              <w:rPr>
                <w:w w:val="100"/>
                <w:sz w:val="21"/>
              </w:rPr>
              <w:t> </w:t>
            </w:r>
          </w:p>
        </w:tc>
        <w:tc>
          <w:tcPr>
            <w:tcW w:w="7374" w:type="dxa"/>
          </w:tcPr>
          <w:p>
            <w:pPr>
              <w:pStyle w:val="TableParagraph"/>
              <w:spacing w:before="2"/>
              <w:ind w:left="108"/>
              <w:rPr>
                <w:sz w:val="21"/>
              </w:rPr>
            </w:pPr>
            <w:r>
              <w:rPr>
                <w:sz w:val="21"/>
              </w:rPr>
              <w:t>对于以上各项保险金，如受益人委托他人代为申请的，受托人还应提供受益人</w:t>
            </w:r>
          </w:p>
        </w:tc>
      </w:tr>
      <w:tr>
        <w:trPr>
          <w:trHeight w:val="311" w:hRule="atLeast"/>
        </w:trPr>
        <w:tc>
          <w:tcPr>
            <w:tcW w:w="2703" w:type="dxa"/>
            <w:gridSpan w:val="2"/>
            <w:vMerge w:val="restart"/>
          </w:tcPr>
          <w:p>
            <w:pPr>
              <w:pStyle w:val="TableParagraph"/>
              <w:rPr>
                <w:rFonts w:ascii="Times New Roman"/>
                <w:sz w:val="20"/>
              </w:rPr>
            </w:pPr>
          </w:p>
        </w:tc>
        <w:tc>
          <w:tcPr>
            <w:tcW w:w="7374" w:type="dxa"/>
          </w:tcPr>
          <w:p>
            <w:pPr>
              <w:pStyle w:val="TableParagraph"/>
              <w:spacing w:line="261" w:lineRule="exact"/>
              <w:ind w:left="108"/>
              <w:rPr>
                <w:sz w:val="21"/>
              </w:rPr>
            </w:pPr>
            <w:r>
              <w:rPr>
                <w:sz w:val="21"/>
              </w:rPr>
              <w:t>亲笔签名的授权委托书、受托人的有效身份证件等相关证明文件。</w:t>
            </w:r>
          </w:p>
        </w:tc>
      </w:tr>
      <w:tr>
        <w:trPr>
          <w:trHeight w:val="312" w:hRule="atLeast"/>
        </w:trPr>
        <w:tc>
          <w:tcPr>
            <w:tcW w:w="2703" w:type="dxa"/>
            <w:gridSpan w:val="2"/>
            <w:vMerge/>
            <w:tcBorders>
              <w:top w:val="nil"/>
            </w:tcBorders>
          </w:tcPr>
          <w:p>
            <w:pPr>
              <w:rPr>
                <w:sz w:val="2"/>
                <w:szCs w:val="2"/>
              </w:rPr>
            </w:pPr>
          </w:p>
        </w:tc>
        <w:tc>
          <w:tcPr>
            <w:tcW w:w="7374" w:type="dxa"/>
          </w:tcPr>
          <w:p>
            <w:pPr>
              <w:pStyle w:val="TableParagraph"/>
              <w:spacing w:line="261" w:lineRule="exact"/>
              <w:ind w:left="124"/>
              <w:rPr>
                <w:sz w:val="21"/>
              </w:rPr>
            </w:pPr>
            <w:r>
              <w:rPr>
                <w:w w:val="100"/>
                <w:sz w:val="21"/>
              </w:rPr>
              <w:t> </w:t>
            </w:r>
          </w:p>
        </w:tc>
      </w:tr>
      <w:tr>
        <w:trPr>
          <w:trHeight w:val="311" w:hRule="atLeast"/>
        </w:trPr>
        <w:tc>
          <w:tcPr>
            <w:tcW w:w="2703" w:type="dxa"/>
            <w:gridSpan w:val="2"/>
            <w:vMerge/>
            <w:tcBorders>
              <w:top w:val="nil"/>
            </w:tcBorders>
          </w:tcPr>
          <w:p>
            <w:pPr>
              <w:rPr>
                <w:sz w:val="2"/>
                <w:szCs w:val="2"/>
              </w:rPr>
            </w:pPr>
          </w:p>
        </w:tc>
        <w:tc>
          <w:tcPr>
            <w:tcW w:w="7374" w:type="dxa"/>
          </w:tcPr>
          <w:p>
            <w:pPr>
              <w:pStyle w:val="TableParagraph"/>
              <w:spacing w:line="261" w:lineRule="exact"/>
              <w:ind w:left="108"/>
              <w:rPr>
                <w:sz w:val="21"/>
              </w:rPr>
            </w:pPr>
            <w:r>
              <w:rPr>
                <w:sz w:val="21"/>
              </w:rPr>
              <w:t>保险金作为被保险人遗产时，必须提供可证明合法继承权的相关权利文件。 </w:t>
            </w:r>
          </w:p>
        </w:tc>
      </w:tr>
      <w:tr>
        <w:trPr>
          <w:trHeight w:val="312" w:hRule="atLeast"/>
        </w:trPr>
        <w:tc>
          <w:tcPr>
            <w:tcW w:w="2703" w:type="dxa"/>
            <w:gridSpan w:val="2"/>
            <w:vMerge/>
            <w:tcBorders>
              <w:top w:val="nil"/>
            </w:tcBorders>
          </w:tcPr>
          <w:p>
            <w:pPr>
              <w:rPr>
                <w:sz w:val="2"/>
                <w:szCs w:val="2"/>
              </w:rPr>
            </w:pPr>
          </w:p>
        </w:tc>
        <w:tc>
          <w:tcPr>
            <w:tcW w:w="7374" w:type="dxa"/>
          </w:tcPr>
          <w:p>
            <w:pPr>
              <w:pStyle w:val="TableParagraph"/>
              <w:spacing w:line="261" w:lineRule="exact"/>
              <w:ind w:left="108"/>
              <w:rPr>
                <w:sz w:val="21"/>
              </w:rPr>
            </w:pPr>
            <w:r>
              <w:rPr>
                <w:w w:val="100"/>
                <w:sz w:val="21"/>
              </w:rPr>
              <w:t> </w:t>
            </w:r>
          </w:p>
        </w:tc>
      </w:tr>
      <w:tr>
        <w:trPr>
          <w:trHeight w:val="311" w:hRule="atLeast"/>
        </w:trPr>
        <w:tc>
          <w:tcPr>
            <w:tcW w:w="2703" w:type="dxa"/>
            <w:gridSpan w:val="2"/>
            <w:vMerge/>
            <w:tcBorders>
              <w:top w:val="nil"/>
            </w:tcBorders>
          </w:tcPr>
          <w:p>
            <w:pPr>
              <w:rPr>
                <w:sz w:val="2"/>
                <w:szCs w:val="2"/>
              </w:rPr>
            </w:pPr>
          </w:p>
        </w:tc>
        <w:tc>
          <w:tcPr>
            <w:tcW w:w="7374" w:type="dxa"/>
          </w:tcPr>
          <w:p>
            <w:pPr>
              <w:pStyle w:val="TableParagraph"/>
              <w:spacing w:line="261" w:lineRule="exact"/>
              <w:ind w:left="108"/>
              <w:rPr>
                <w:sz w:val="21"/>
              </w:rPr>
            </w:pPr>
            <w:r>
              <w:rPr>
                <w:sz w:val="21"/>
              </w:rPr>
              <w:t>受益人或继承人为未成年人或无民事行为能力人的，由其合法监护人代其申请</w:t>
            </w:r>
          </w:p>
        </w:tc>
      </w:tr>
      <w:tr>
        <w:trPr>
          <w:trHeight w:val="312" w:hRule="atLeast"/>
        </w:trPr>
        <w:tc>
          <w:tcPr>
            <w:tcW w:w="2703" w:type="dxa"/>
            <w:gridSpan w:val="2"/>
            <w:vMerge/>
            <w:tcBorders>
              <w:top w:val="nil"/>
            </w:tcBorders>
          </w:tcPr>
          <w:p>
            <w:pPr>
              <w:rPr>
                <w:sz w:val="2"/>
                <w:szCs w:val="2"/>
              </w:rPr>
            </w:pPr>
          </w:p>
        </w:tc>
        <w:tc>
          <w:tcPr>
            <w:tcW w:w="7374" w:type="dxa"/>
          </w:tcPr>
          <w:p>
            <w:pPr>
              <w:pStyle w:val="TableParagraph"/>
              <w:spacing w:line="261" w:lineRule="exact"/>
              <w:ind w:left="108"/>
              <w:rPr>
                <w:sz w:val="21"/>
              </w:rPr>
            </w:pPr>
            <w:r>
              <w:rPr>
                <w:sz w:val="21"/>
              </w:rPr>
              <w:t>领取保险金，其合法监护人还必须提供受益人或继承人为未成年人或无民事行</w:t>
            </w:r>
          </w:p>
        </w:tc>
      </w:tr>
      <w:tr>
        <w:trPr>
          <w:trHeight w:val="261" w:hRule="atLeast"/>
        </w:trPr>
        <w:tc>
          <w:tcPr>
            <w:tcW w:w="2703" w:type="dxa"/>
            <w:gridSpan w:val="2"/>
            <w:vMerge/>
            <w:tcBorders>
              <w:top w:val="nil"/>
            </w:tcBorders>
          </w:tcPr>
          <w:p>
            <w:pPr>
              <w:rPr>
                <w:sz w:val="2"/>
                <w:szCs w:val="2"/>
              </w:rPr>
            </w:pPr>
          </w:p>
        </w:tc>
        <w:tc>
          <w:tcPr>
            <w:tcW w:w="7374" w:type="dxa"/>
          </w:tcPr>
          <w:p>
            <w:pPr>
              <w:pStyle w:val="TableParagraph"/>
              <w:spacing w:line="242" w:lineRule="exact"/>
              <w:ind w:left="108"/>
              <w:rPr>
                <w:sz w:val="21"/>
              </w:rPr>
            </w:pPr>
            <w:r>
              <w:rPr>
                <w:sz w:val="21"/>
              </w:rPr>
              <w:t>为能力人的证明和监护人具有合法监护权的证明。</w:t>
            </w:r>
          </w:p>
        </w:tc>
      </w:tr>
    </w:tbl>
    <w:p>
      <w:pPr>
        <w:spacing w:after="0" w:line="242" w:lineRule="exact"/>
        <w:rPr>
          <w:sz w:val="21"/>
        </w:rPr>
        <w:sectPr>
          <w:type w:val="continuous"/>
          <w:pgSz w:w="11910" w:h="16840"/>
          <w:pgMar w:top="72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850"/>
        <w:gridCol w:w="7298"/>
      </w:tblGrid>
      <w:tr>
        <w:trPr>
          <w:trHeight w:val="574" w:hRule="atLeast"/>
        </w:trPr>
        <w:tc>
          <w:tcPr>
            <w:tcW w:w="953" w:type="dxa"/>
          </w:tcPr>
          <w:p>
            <w:pPr>
              <w:pStyle w:val="TableParagraph"/>
              <w:rPr>
                <w:rFonts w:ascii="Times New Roman"/>
                <w:sz w:val="20"/>
              </w:rPr>
            </w:pPr>
          </w:p>
        </w:tc>
        <w:tc>
          <w:tcPr>
            <w:tcW w:w="1850" w:type="dxa"/>
          </w:tcPr>
          <w:p>
            <w:pPr>
              <w:pStyle w:val="TableParagraph"/>
              <w:rPr>
                <w:rFonts w:ascii="Times New Roman"/>
                <w:sz w:val="20"/>
              </w:rPr>
            </w:pPr>
          </w:p>
        </w:tc>
        <w:tc>
          <w:tcPr>
            <w:tcW w:w="7298" w:type="dxa"/>
          </w:tcPr>
          <w:p>
            <w:pPr>
              <w:pStyle w:val="TableParagraph"/>
              <w:spacing w:line="211" w:lineRule="exact"/>
              <w:ind w:left="66"/>
              <w:rPr>
                <w:sz w:val="21"/>
              </w:rPr>
            </w:pPr>
            <w:r>
              <w:rPr>
                <w:sz w:val="21"/>
              </w:rPr>
              <w:t>以上证明和资料不完整的，我们将一次性通知受益人补充提供有关证明和资</w:t>
            </w:r>
          </w:p>
          <w:p>
            <w:pPr>
              <w:pStyle w:val="TableParagraph"/>
              <w:spacing w:before="37"/>
              <w:ind w:left="66"/>
              <w:rPr>
                <w:sz w:val="21"/>
              </w:rPr>
            </w:pPr>
            <w:r>
              <w:rPr>
                <w:sz w:val="21"/>
              </w:rPr>
              <w:t>料。 </w:t>
            </w:r>
          </w:p>
        </w:tc>
      </w:tr>
      <w:tr>
        <w:trPr>
          <w:trHeight w:val="312" w:hRule="atLeast"/>
        </w:trPr>
        <w:tc>
          <w:tcPr>
            <w:tcW w:w="953" w:type="dxa"/>
          </w:tcPr>
          <w:p>
            <w:pPr>
              <w:pStyle w:val="TableParagraph"/>
              <w:spacing w:line="261" w:lineRule="exact"/>
              <w:ind w:left="107"/>
              <w:rPr>
                <w:sz w:val="21"/>
              </w:rPr>
            </w:pPr>
            <w:r>
              <w:rPr>
                <w:w w:val="100"/>
                <w:sz w:val="21"/>
              </w:rPr>
              <w:t> </w:t>
            </w:r>
          </w:p>
        </w:tc>
        <w:tc>
          <w:tcPr>
            <w:tcW w:w="1850" w:type="dxa"/>
          </w:tcPr>
          <w:p>
            <w:pPr>
              <w:pStyle w:val="TableParagraph"/>
              <w:spacing w:line="261" w:lineRule="exact"/>
              <w:ind w:left="115"/>
              <w:rPr>
                <w:sz w:val="21"/>
              </w:rPr>
            </w:pPr>
            <w:r>
              <w:rPr>
                <w:w w:val="100"/>
                <w:sz w:val="21"/>
              </w:rPr>
              <w:t> </w:t>
            </w:r>
          </w:p>
        </w:tc>
        <w:tc>
          <w:tcPr>
            <w:tcW w:w="7298" w:type="dxa"/>
          </w:tcPr>
          <w:p>
            <w:pPr>
              <w:pStyle w:val="TableParagraph"/>
              <w:spacing w:line="261" w:lineRule="exact"/>
              <w:ind w:left="66"/>
              <w:rPr>
                <w:sz w:val="21"/>
              </w:rPr>
            </w:pPr>
            <w:r>
              <w:rPr>
                <w:w w:val="100"/>
                <w:sz w:val="21"/>
              </w:rPr>
              <w:t> </w:t>
            </w:r>
          </w:p>
        </w:tc>
      </w:tr>
      <w:tr>
        <w:trPr>
          <w:trHeight w:val="7488" w:hRule="atLeast"/>
        </w:trPr>
        <w:tc>
          <w:tcPr>
            <w:tcW w:w="953" w:type="dxa"/>
          </w:tcPr>
          <w:p>
            <w:pPr>
              <w:pStyle w:val="TableParagraph"/>
              <w:spacing w:line="261" w:lineRule="exact"/>
              <w:ind w:right="112"/>
              <w:jc w:val="right"/>
              <w:rPr>
                <w:b/>
                <w:sz w:val="21"/>
              </w:rPr>
            </w:pPr>
            <w:r>
              <w:rPr>
                <w:b/>
                <w:sz w:val="21"/>
              </w:rPr>
              <w:t>3.4 </w:t>
            </w:r>
          </w:p>
        </w:tc>
        <w:tc>
          <w:tcPr>
            <w:tcW w:w="1850" w:type="dxa"/>
          </w:tcPr>
          <w:p>
            <w:pPr>
              <w:pStyle w:val="TableParagraph"/>
              <w:spacing w:line="261" w:lineRule="exact"/>
              <w:ind w:left="115"/>
              <w:rPr>
                <w:b/>
                <w:sz w:val="21"/>
              </w:rPr>
            </w:pPr>
            <w:r>
              <w:rPr>
                <w:b/>
                <w:sz w:val="21"/>
              </w:rPr>
              <w:t>保险金给付</w:t>
            </w:r>
            <w:r>
              <w:rPr>
                <w:b/>
                <w:w w:val="99"/>
                <w:sz w:val="21"/>
              </w:rPr>
              <w:t>      </w:t>
            </w:r>
          </w:p>
        </w:tc>
        <w:tc>
          <w:tcPr>
            <w:tcW w:w="7298" w:type="dxa"/>
          </w:tcPr>
          <w:p>
            <w:pPr>
              <w:pStyle w:val="TableParagraph"/>
              <w:spacing w:line="261" w:lineRule="exact"/>
              <w:ind w:left="66"/>
              <w:rPr>
                <w:sz w:val="21"/>
              </w:rPr>
            </w:pPr>
            <w:r>
              <w:rPr>
                <w:sz w:val="21"/>
              </w:rPr>
              <w:t>我们在收到保险金给付申请书及合同约定的证明和资料后，将在5日内作出核</w:t>
            </w:r>
          </w:p>
          <w:p>
            <w:pPr>
              <w:pStyle w:val="TableParagraph"/>
              <w:spacing w:before="37"/>
              <w:ind w:left="66"/>
              <w:rPr>
                <w:sz w:val="21"/>
              </w:rPr>
            </w:pPr>
            <w:r>
              <w:rPr>
                <w:sz w:val="21"/>
              </w:rPr>
              <w:t>定；情形复杂的，在30日内作出核定。 </w:t>
            </w:r>
          </w:p>
          <w:p>
            <w:pPr>
              <w:pStyle w:val="TableParagraph"/>
              <w:spacing w:before="37"/>
              <w:ind w:left="66"/>
              <w:rPr>
                <w:sz w:val="21"/>
              </w:rPr>
            </w:pPr>
            <w:r>
              <w:rPr>
                <w:w w:val="100"/>
                <w:sz w:val="21"/>
              </w:rPr>
              <w:t> </w:t>
            </w:r>
          </w:p>
          <w:p>
            <w:pPr>
              <w:pStyle w:val="TableParagraph"/>
              <w:spacing w:line="273" w:lineRule="auto" w:before="37"/>
              <w:ind w:left="66" w:right="73"/>
              <w:rPr>
                <w:sz w:val="21"/>
              </w:rPr>
            </w:pPr>
            <w:r>
              <w:rPr>
                <w:sz w:val="21"/>
              </w:rPr>
              <w:t>对属于保险责任的，我们在与受益人达成给付保险金的协议后10日内，履行给付保险金义务。 </w:t>
            </w:r>
          </w:p>
          <w:p>
            <w:pPr>
              <w:pStyle w:val="TableParagraph"/>
              <w:spacing w:before="7"/>
              <w:ind w:left="66"/>
              <w:rPr>
                <w:sz w:val="21"/>
              </w:rPr>
            </w:pPr>
            <w:r>
              <w:rPr>
                <w:w w:val="100"/>
                <w:sz w:val="21"/>
              </w:rPr>
              <w:t> </w:t>
            </w:r>
          </w:p>
          <w:p>
            <w:pPr>
              <w:pStyle w:val="TableParagraph"/>
              <w:spacing w:line="273" w:lineRule="auto" w:before="36"/>
              <w:ind w:left="66" w:right="122"/>
              <w:jc w:val="both"/>
              <w:rPr>
                <w:sz w:val="21"/>
              </w:rPr>
            </w:pPr>
            <w:r>
              <w:rPr>
                <w:spacing w:val="-6"/>
                <w:sz w:val="21"/>
              </w:rPr>
              <w:t>我们未及时履行前款规定义务的，对属于保险责任的，除支付保险金外，应当</w:t>
            </w:r>
            <w:r>
              <w:rPr>
                <w:spacing w:val="-7"/>
                <w:sz w:val="21"/>
              </w:rPr>
              <w:t>赔偿受益人因此受到的利息损失。利息损失指根据中国人民银行最近一次已公</w:t>
            </w:r>
            <w:r>
              <w:rPr>
                <w:spacing w:val="-3"/>
                <w:sz w:val="21"/>
              </w:rPr>
              <w:t>布的同期的人民币活期存款基准利率计算的利息损失。 </w:t>
            </w:r>
          </w:p>
          <w:p>
            <w:pPr>
              <w:pStyle w:val="TableParagraph"/>
              <w:spacing w:before="7"/>
              <w:ind w:left="66"/>
              <w:rPr>
                <w:sz w:val="21"/>
              </w:rPr>
            </w:pPr>
            <w:r>
              <w:rPr>
                <w:w w:val="100"/>
                <w:sz w:val="21"/>
              </w:rPr>
              <w:t> </w:t>
            </w:r>
          </w:p>
          <w:p>
            <w:pPr>
              <w:pStyle w:val="TableParagraph"/>
              <w:spacing w:line="273" w:lineRule="auto" w:before="36"/>
              <w:ind w:left="66" w:right="124"/>
              <w:rPr>
                <w:sz w:val="21"/>
              </w:rPr>
            </w:pPr>
            <w:r>
              <w:rPr>
                <w:sz w:val="21"/>
              </w:rPr>
              <w:t>对不属于保险责任的，我们自作出核定之日起3日内向受益人发出拒绝给付保险金通知书并说明理由。 </w:t>
            </w:r>
          </w:p>
          <w:p>
            <w:pPr>
              <w:pStyle w:val="TableParagraph"/>
              <w:spacing w:before="7"/>
              <w:ind w:left="66"/>
              <w:rPr>
                <w:sz w:val="21"/>
              </w:rPr>
            </w:pPr>
            <w:r>
              <w:rPr>
                <w:w w:val="100"/>
                <w:sz w:val="21"/>
              </w:rPr>
              <w:t> </w:t>
            </w:r>
          </w:p>
          <w:p>
            <w:pPr>
              <w:pStyle w:val="TableParagraph"/>
              <w:spacing w:line="273" w:lineRule="auto" w:before="36"/>
              <w:ind w:left="66" w:right="122"/>
              <w:jc w:val="both"/>
              <w:rPr>
                <w:sz w:val="21"/>
              </w:rPr>
            </w:pPr>
            <w:r>
              <w:rPr>
                <w:spacing w:val="-3"/>
                <w:sz w:val="21"/>
              </w:rPr>
              <w:t>我们在收到保险金给付申请书及有关证明和资料之日起</w:t>
            </w:r>
            <w:r>
              <w:rPr>
                <w:sz w:val="21"/>
              </w:rPr>
              <w:t>60</w:t>
            </w:r>
            <w:r>
              <w:rPr>
                <w:spacing w:val="-8"/>
                <w:sz w:val="21"/>
              </w:rPr>
              <w:t>日内，对给付保险金的数额不能确定的，根据已有证明和资料可以确定的数额先予支付；我们最终</w:t>
            </w:r>
            <w:r>
              <w:rPr>
                <w:spacing w:val="-5"/>
                <w:sz w:val="21"/>
              </w:rPr>
              <w:t>确定给付保险金的数额后，将支付相应的差额。</w:t>
            </w:r>
            <w:r>
              <w:rPr>
                <w:sz w:val="21"/>
              </w:rPr>
              <w:t> </w:t>
            </w:r>
          </w:p>
          <w:p>
            <w:pPr>
              <w:pStyle w:val="TableParagraph"/>
              <w:spacing w:before="7"/>
              <w:ind w:left="66"/>
              <w:rPr>
                <w:sz w:val="21"/>
              </w:rPr>
            </w:pPr>
            <w:r>
              <w:rPr>
                <w:w w:val="100"/>
                <w:sz w:val="21"/>
              </w:rPr>
              <w:t> </w:t>
            </w:r>
          </w:p>
          <w:p>
            <w:pPr>
              <w:pStyle w:val="TableParagraph"/>
              <w:spacing w:line="273" w:lineRule="auto" w:before="37"/>
              <w:ind w:left="66" w:right="122"/>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r>
              <w:rPr>
                <w:spacing w:val="-6"/>
                <w:sz w:val="21"/>
              </w:rPr>
              <w:t>同终止。</w:t>
            </w:r>
            <w:r>
              <w:rPr>
                <w:sz w:val="21"/>
              </w:rPr>
              <w:t> </w:t>
            </w:r>
          </w:p>
          <w:p>
            <w:pPr>
              <w:pStyle w:val="TableParagraph"/>
              <w:spacing w:before="7"/>
              <w:ind w:left="66"/>
              <w:rPr>
                <w:sz w:val="21"/>
              </w:rPr>
            </w:pPr>
            <w:r>
              <w:rPr>
                <w:w w:val="100"/>
                <w:sz w:val="21"/>
              </w:rPr>
              <w:t> </w:t>
            </w:r>
          </w:p>
          <w:p>
            <w:pPr>
              <w:pStyle w:val="TableParagraph"/>
              <w:spacing w:line="273" w:lineRule="auto" w:before="36"/>
              <w:ind w:left="46" w:right="121" w:firstLine="19"/>
              <w:jc w:val="both"/>
              <w:rPr>
                <w:sz w:val="21"/>
              </w:rPr>
            </w:pPr>
            <w:r>
              <w:rPr>
                <w:sz w:val="21"/>
              </w:rPr>
              <w:t>如果被保险人在宣告死亡后重新出现或者身故保险金受益人确知其没有死亡</w:t>
            </w:r>
            <w:r>
              <w:rPr>
                <w:spacing w:val="-3"/>
                <w:sz w:val="21"/>
              </w:rPr>
              <w:t>的，身故保险金受益人应于知道或应当知道后 </w:t>
            </w:r>
            <w:r>
              <w:rPr>
                <w:sz w:val="21"/>
              </w:rPr>
              <w:t>30</w:t>
            </w:r>
            <w:r>
              <w:rPr>
                <w:spacing w:val="-3"/>
                <w:sz w:val="21"/>
              </w:rPr>
              <w:t> 日内向我们退还已领取的身故保险金，本合同的效力依法确定。</w:t>
            </w:r>
            <w:r>
              <w:rPr>
                <w:sz w:val="21"/>
              </w:rPr>
              <w:t> </w:t>
            </w:r>
          </w:p>
        </w:tc>
      </w:tr>
      <w:tr>
        <w:trPr>
          <w:trHeight w:val="312" w:hRule="atLeast"/>
        </w:trPr>
        <w:tc>
          <w:tcPr>
            <w:tcW w:w="953" w:type="dxa"/>
          </w:tcPr>
          <w:p>
            <w:pPr>
              <w:pStyle w:val="TableParagraph"/>
              <w:spacing w:line="261" w:lineRule="exact"/>
              <w:ind w:left="107"/>
              <w:rPr>
                <w:sz w:val="21"/>
              </w:rPr>
            </w:pPr>
            <w:r>
              <w:rPr>
                <w:w w:val="100"/>
                <w:sz w:val="21"/>
              </w:rPr>
              <w:t> </w:t>
            </w:r>
          </w:p>
        </w:tc>
        <w:tc>
          <w:tcPr>
            <w:tcW w:w="1850" w:type="dxa"/>
          </w:tcPr>
          <w:p>
            <w:pPr>
              <w:pStyle w:val="TableParagraph"/>
              <w:spacing w:line="261" w:lineRule="exact"/>
              <w:ind w:left="115"/>
              <w:rPr>
                <w:sz w:val="21"/>
              </w:rPr>
            </w:pPr>
            <w:r>
              <w:rPr>
                <w:w w:val="100"/>
                <w:sz w:val="21"/>
              </w:rPr>
              <w:t> </w:t>
            </w:r>
          </w:p>
        </w:tc>
        <w:tc>
          <w:tcPr>
            <w:tcW w:w="7298" w:type="dxa"/>
          </w:tcPr>
          <w:p>
            <w:pPr>
              <w:pStyle w:val="TableParagraph"/>
              <w:spacing w:line="261" w:lineRule="exact"/>
              <w:ind w:left="66"/>
              <w:rPr>
                <w:sz w:val="21"/>
              </w:rPr>
            </w:pPr>
            <w:r>
              <w:rPr>
                <w:w w:val="100"/>
                <w:sz w:val="21"/>
              </w:rPr>
              <w:t> </w:t>
            </w:r>
          </w:p>
        </w:tc>
      </w:tr>
      <w:tr>
        <w:trPr>
          <w:trHeight w:val="936" w:hRule="atLeast"/>
        </w:trPr>
        <w:tc>
          <w:tcPr>
            <w:tcW w:w="953" w:type="dxa"/>
          </w:tcPr>
          <w:p>
            <w:pPr>
              <w:pStyle w:val="TableParagraph"/>
              <w:spacing w:line="261" w:lineRule="exact"/>
              <w:ind w:right="112"/>
              <w:jc w:val="right"/>
              <w:rPr>
                <w:b/>
                <w:sz w:val="21"/>
              </w:rPr>
            </w:pPr>
            <w:r>
              <w:rPr>
                <w:b/>
                <w:sz w:val="21"/>
              </w:rPr>
              <w:t>3.5 </w:t>
            </w:r>
          </w:p>
        </w:tc>
        <w:tc>
          <w:tcPr>
            <w:tcW w:w="1850" w:type="dxa"/>
          </w:tcPr>
          <w:p>
            <w:pPr>
              <w:pStyle w:val="TableParagraph"/>
              <w:spacing w:line="261" w:lineRule="exact"/>
              <w:ind w:left="115"/>
              <w:rPr>
                <w:b/>
                <w:sz w:val="21"/>
              </w:rPr>
            </w:pPr>
            <w:r>
              <w:rPr>
                <w:b/>
                <w:sz w:val="21"/>
              </w:rPr>
              <w:t>诉讼时效</w:t>
            </w:r>
            <w:r>
              <w:rPr>
                <w:b/>
                <w:w w:val="99"/>
                <w:sz w:val="21"/>
              </w:rPr>
              <w:t>        </w:t>
            </w:r>
          </w:p>
        </w:tc>
        <w:tc>
          <w:tcPr>
            <w:tcW w:w="7298" w:type="dxa"/>
          </w:tcPr>
          <w:p>
            <w:pPr>
              <w:pStyle w:val="TableParagraph"/>
              <w:spacing w:line="261" w:lineRule="exact"/>
              <w:ind w:left="66"/>
              <w:rPr>
                <w:sz w:val="21"/>
              </w:rPr>
            </w:pPr>
            <w:r>
              <w:rPr>
                <w:spacing w:val="-5"/>
                <w:sz w:val="21"/>
              </w:rPr>
              <w:t>受益人向我们请求给付身故保险金的诉讼时效期间为 </w:t>
            </w:r>
            <w:r>
              <w:rPr>
                <w:sz w:val="21"/>
              </w:rPr>
              <w:t>5</w:t>
            </w:r>
            <w:r>
              <w:rPr>
                <w:spacing w:val="-10"/>
                <w:sz w:val="21"/>
              </w:rPr>
              <w:t> 年，自其知道或者应当</w:t>
            </w:r>
          </w:p>
          <w:p>
            <w:pPr>
              <w:pStyle w:val="TableParagraph"/>
              <w:spacing w:before="37"/>
              <w:ind w:left="66"/>
              <w:rPr>
                <w:sz w:val="21"/>
              </w:rPr>
            </w:pPr>
            <w:r>
              <w:rPr>
                <w:sz w:val="21"/>
              </w:rPr>
              <w:t>知道保险事故发生之日起计算。 </w:t>
            </w:r>
          </w:p>
          <w:p>
            <w:pPr>
              <w:pStyle w:val="TableParagraph"/>
              <w:spacing w:before="37"/>
              <w:ind w:left="66"/>
              <w:rPr>
                <w:sz w:val="21"/>
              </w:rPr>
            </w:pPr>
            <w:r>
              <w:rPr>
                <w:w w:val="100"/>
                <w:sz w:val="21"/>
              </w:rPr>
              <w:t> </w:t>
            </w:r>
          </w:p>
        </w:tc>
      </w:tr>
      <w:tr>
        <w:trPr>
          <w:trHeight w:val="961" w:hRule="atLeast"/>
        </w:trPr>
        <w:tc>
          <w:tcPr>
            <w:tcW w:w="953" w:type="dxa"/>
          </w:tcPr>
          <w:p>
            <w:pPr>
              <w:pStyle w:val="TableParagraph"/>
              <w:spacing w:line="261" w:lineRule="exact"/>
              <w:ind w:left="107"/>
              <w:rPr>
                <w:sz w:val="21"/>
              </w:rPr>
            </w:pPr>
            <w:r>
              <w:rPr>
                <w:w w:val="100"/>
                <w:sz w:val="21"/>
              </w:rPr>
              <w:t> </w:t>
            </w:r>
          </w:p>
        </w:tc>
        <w:tc>
          <w:tcPr>
            <w:tcW w:w="1850" w:type="dxa"/>
          </w:tcPr>
          <w:p>
            <w:pPr>
              <w:pStyle w:val="TableParagraph"/>
              <w:spacing w:line="261" w:lineRule="exact"/>
              <w:ind w:left="115"/>
              <w:rPr>
                <w:sz w:val="21"/>
              </w:rPr>
            </w:pPr>
            <w:r>
              <w:rPr>
                <w:w w:val="100"/>
                <w:sz w:val="21"/>
              </w:rPr>
              <w:t> </w:t>
            </w:r>
          </w:p>
        </w:tc>
        <w:tc>
          <w:tcPr>
            <w:tcW w:w="7298" w:type="dxa"/>
          </w:tcPr>
          <w:p>
            <w:pPr>
              <w:pStyle w:val="TableParagraph"/>
              <w:spacing w:line="261" w:lineRule="exact"/>
              <w:ind w:left="66"/>
              <w:rPr>
                <w:sz w:val="21"/>
              </w:rPr>
            </w:pPr>
            <w:r>
              <w:rPr>
                <w:spacing w:val="-5"/>
                <w:sz w:val="21"/>
              </w:rPr>
              <w:t>受益人向我们请求给付其他保险金的诉讼时效期间为 </w:t>
            </w:r>
            <w:r>
              <w:rPr>
                <w:sz w:val="21"/>
              </w:rPr>
              <w:t>2</w:t>
            </w:r>
            <w:r>
              <w:rPr>
                <w:spacing w:val="-10"/>
                <w:sz w:val="21"/>
              </w:rPr>
              <w:t> 年，自其知道或者应当</w:t>
            </w:r>
          </w:p>
          <w:p>
            <w:pPr>
              <w:pStyle w:val="TableParagraph"/>
              <w:spacing w:before="37"/>
              <w:ind w:left="66"/>
              <w:rPr>
                <w:sz w:val="21"/>
              </w:rPr>
            </w:pPr>
            <w:r>
              <w:rPr>
                <w:sz w:val="21"/>
              </w:rPr>
              <w:t>知道保险事故发生之日起计算。</w:t>
            </w:r>
          </w:p>
          <w:p>
            <w:pPr>
              <w:pStyle w:val="TableParagraph"/>
              <w:spacing w:before="37"/>
              <w:ind w:left="66"/>
              <w:rPr>
                <w:sz w:val="21"/>
              </w:rPr>
            </w:pPr>
            <w:r>
              <w:rPr>
                <w:w w:val="100"/>
                <w:sz w:val="21"/>
              </w:rPr>
              <w:t> </w:t>
            </w:r>
          </w:p>
        </w:tc>
      </w:tr>
      <w:tr>
        <w:trPr>
          <w:trHeight w:val="597" w:hRule="atLeast"/>
        </w:trPr>
        <w:tc>
          <w:tcPr>
            <w:tcW w:w="953" w:type="dxa"/>
            <w:tcBorders>
              <w:bottom w:val="single" w:sz="8" w:space="0" w:color="000000"/>
            </w:tcBorders>
          </w:tcPr>
          <w:p>
            <w:pPr>
              <w:pStyle w:val="TableParagraph"/>
              <w:spacing w:line="533" w:lineRule="exact"/>
              <w:ind w:left="310"/>
              <w:rPr>
                <w:rFonts w:ascii="Yu Gothic" w:hAnsi="Yu Gothic"/>
                <w:b/>
                <w:sz w:val="40"/>
              </w:rPr>
            </w:pPr>
            <w:r>
              <w:rPr>
                <w:rFonts w:ascii="Yu Gothic" w:hAnsi="Yu Gothic"/>
                <w:b/>
                <w:w w:val="89"/>
                <w:sz w:val="40"/>
              </w:rPr>
              <w:t></w:t>
            </w:r>
          </w:p>
        </w:tc>
        <w:tc>
          <w:tcPr>
            <w:tcW w:w="9148" w:type="dxa"/>
            <w:gridSpan w:val="2"/>
            <w:tcBorders>
              <w:bottom w:val="single" w:sz="8" w:space="0" w:color="000000"/>
            </w:tcBorders>
          </w:tcPr>
          <w:p>
            <w:pPr>
              <w:pStyle w:val="TableParagraph"/>
              <w:spacing w:before="92"/>
              <w:ind w:left="115" w:right="-15"/>
              <w:rPr>
                <w:b/>
                <w:sz w:val="24"/>
              </w:rPr>
            </w:pPr>
            <w:r>
              <w:rPr>
                <w:b/>
                <w:sz w:val="24"/>
              </w:rPr>
              <w:t>如何支付保险费</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953" w:type="dxa"/>
            <w:tcBorders>
              <w:top w:val="single" w:sz="8" w:space="0" w:color="000000"/>
            </w:tcBorders>
          </w:tcPr>
          <w:p>
            <w:pPr>
              <w:pStyle w:val="TableParagraph"/>
              <w:spacing w:line="264" w:lineRule="exact"/>
              <w:ind w:left="107"/>
              <w:rPr>
                <w:sz w:val="21"/>
              </w:rPr>
            </w:pPr>
            <w:r>
              <w:rPr>
                <w:w w:val="100"/>
                <w:sz w:val="21"/>
              </w:rPr>
              <w:t> </w:t>
            </w:r>
          </w:p>
        </w:tc>
        <w:tc>
          <w:tcPr>
            <w:tcW w:w="1850" w:type="dxa"/>
            <w:tcBorders>
              <w:top w:val="single" w:sz="8" w:space="0" w:color="000000"/>
            </w:tcBorders>
          </w:tcPr>
          <w:p>
            <w:pPr>
              <w:pStyle w:val="TableParagraph"/>
              <w:spacing w:line="264" w:lineRule="exact"/>
              <w:ind w:left="115"/>
              <w:rPr>
                <w:sz w:val="21"/>
              </w:rPr>
            </w:pPr>
            <w:r>
              <w:rPr>
                <w:w w:val="100"/>
                <w:sz w:val="21"/>
              </w:rPr>
              <w:t> </w:t>
            </w:r>
          </w:p>
        </w:tc>
        <w:tc>
          <w:tcPr>
            <w:tcW w:w="7298" w:type="dxa"/>
            <w:tcBorders>
              <w:top w:val="single" w:sz="8" w:space="0" w:color="000000"/>
            </w:tcBorders>
          </w:tcPr>
          <w:p>
            <w:pPr>
              <w:pStyle w:val="TableParagraph"/>
              <w:spacing w:line="264" w:lineRule="exact"/>
              <w:ind w:left="66"/>
              <w:rPr>
                <w:sz w:val="21"/>
              </w:rPr>
            </w:pPr>
            <w:r>
              <w:rPr>
                <w:w w:val="100"/>
                <w:sz w:val="21"/>
              </w:rPr>
              <w:t> </w:t>
            </w:r>
          </w:p>
        </w:tc>
      </w:tr>
      <w:tr>
        <w:trPr>
          <w:trHeight w:val="1859" w:hRule="atLeast"/>
        </w:trPr>
        <w:tc>
          <w:tcPr>
            <w:tcW w:w="953" w:type="dxa"/>
          </w:tcPr>
          <w:p>
            <w:pPr>
              <w:pStyle w:val="TableParagraph"/>
              <w:spacing w:line="261" w:lineRule="exact"/>
              <w:ind w:right="112"/>
              <w:jc w:val="right"/>
              <w:rPr>
                <w:b/>
                <w:sz w:val="21"/>
              </w:rPr>
            </w:pPr>
            <w:r>
              <w:rPr>
                <w:b/>
                <w:sz w:val="21"/>
              </w:rPr>
              <w:t>4.1 </w:t>
            </w:r>
          </w:p>
        </w:tc>
        <w:tc>
          <w:tcPr>
            <w:tcW w:w="1850" w:type="dxa"/>
          </w:tcPr>
          <w:p>
            <w:pPr>
              <w:pStyle w:val="TableParagraph"/>
              <w:spacing w:line="261" w:lineRule="exact"/>
              <w:ind w:left="115"/>
              <w:rPr>
                <w:b/>
                <w:sz w:val="21"/>
              </w:rPr>
            </w:pPr>
            <w:r>
              <w:rPr>
                <w:b/>
                <w:sz w:val="21"/>
              </w:rPr>
              <w:t>保险费的支付</w:t>
            </w:r>
            <w:r>
              <w:rPr>
                <w:b/>
                <w:w w:val="99"/>
                <w:sz w:val="21"/>
              </w:rPr>
              <w:t> </w:t>
            </w:r>
          </w:p>
        </w:tc>
        <w:tc>
          <w:tcPr>
            <w:tcW w:w="7298" w:type="dxa"/>
          </w:tcPr>
          <w:p>
            <w:pPr>
              <w:pStyle w:val="TableParagraph"/>
              <w:spacing w:line="261" w:lineRule="exact"/>
              <w:ind w:left="66"/>
              <w:rPr>
                <w:sz w:val="21"/>
              </w:rPr>
            </w:pPr>
            <w:r>
              <w:rPr>
                <w:sz w:val="21"/>
              </w:rPr>
              <w:t>本合同的交费方式和交费期间由您和我们约定并在保险单上载明。 </w:t>
            </w:r>
          </w:p>
          <w:p>
            <w:pPr>
              <w:pStyle w:val="TableParagraph"/>
              <w:spacing w:before="44"/>
              <w:ind w:left="66"/>
              <w:rPr>
                <w:sz w:val="21"/>
              </w:rPr>
            </w:pPr>
            <w:r>
              <w:rPr>
                <w:w w:val="100"/>
                <w:sz w:val="21"/>
              </w:rPr>
              <w:t> </w:t>
            </w:r>
          </w:p>
          <w:p>
            <w:pPr>
              <w:pStyle w:val="TableParagraph"/>
              <w:spacing w:before="17"/>
              <w:ind w:left="66"/>
              <w:rPr>
                <w:sz w:val="21"/>
              </w:rPr>
            </w:pPr>
            <w:r>
              <w:rPr>
                <w:sz w:val="21"/>
              </w:rPr>
              <w:t>您应当按照本合同约定向我们支付保险费。</w:t>
            </w:r>
          </w:p>
          <w:p>
            <w:pPr>
              <w:pStyle w:val="TableParagraph"/>
              <w:spacing w:line="273" w:lineRule="auto" w:before="36"/>
              <w:ind w:left="66" w:right="122"/>
              <w:jc w:val="both"/>
              <w:rPr>
                <w:sz w:val="21"/>
              </w:rPr>
            </w:pPr>
            <w:r>
              <w:rPr>
                <w:spacing w:val="-5"/>
                <w:sz w:val="21"/>
              </w:rPr>
              <w:t>您应在本合同约定生效日零时前支付首期保险费，如果您在约定生效日零时之</w:t>
            </w:r>
            <w:r>
              <w:rPr>
                <w:spacing w:val="-7"/>
                <w:sz w:val="21"/>
              </w:rPr>
              <w:t>后仍未支付首期保险费，则本合同不生效。支付首期保险费后，应在每期保险</w:t>
            </w:r>
            <w:r>
              <w:rPr>
                <w:spacing w:val="-5"/>
                <w:sz w:val="21"/>
              </w:rPr>
              <w:t>费约定支付日或之前支付对应各期的保险费。</w:t>
            </w:r>
            <w:r>
              <w:rPr>
                <w:sz w:val="21"/>
              </w:rPr>
              <w:t> </w:t>
            </w:r>
          </w:p>
        </w:tc>
      </w:tr>
      <w:tr>
        <w:trPr>
          <w:trHeight w:val="312" w:hRule="atLeast"/>
        </w:trPr>
        <w:tc>
          <w:tcPr>
            <w:tcW w:w="953" w:type="dxa"/>
          </w:tcPr>
          <w:p>
            <w:pPr>
              <w:pStyle w:val="TableParagraph"/>
              <w:spacing w:line="261" w:lineRule="exact"/>
              <w:ind w:right="14"/>
              <w:jc w:val="center"/>
              <w:rPr>
                <w:b/>
                <w:sz w:val="21"/>
              </w:rPr>
            </w:pPr>
            <w:r>
              <w:rPr>
                <w:b/>
                <w:w w:val="99"/>
                <w:sz w:val="21"/>
              </w:rPr>
              <w:t> </w:t>
            </w:r>
          </w:p>
        </w:tc>
        <w:tc>
          <w:tcPr>
            <w:tcW w:w="1850" w:type="dxa"/>
          </w:tcPr>
          <w:p>
            <w:pPr>
              <w:pStyle w:val="TableParagraph"/>
              <w:spacing w:line="261" w:lineRule="exact"/>
              <w:ind w:left="115"/>
              <w:rPr>
                <w:b/>
                <w:sz w:val="21"/>
              </w:rPr>
            </w:pPr>
            <w:r>
              <w:rPr>
                <w:b/>
                <w:w w:val="99"/>
                <w:sz w:val="21"/>
              </w:rPr>
              <w:t> </w:t>
            </w:r>
          </w:p>
        </w:tc>
        <w:tc>
          <w:tcPr>
            <w:tcW w:w="7298" w:type="dxa"/>
          </w:tcPr>
          <w:p>
            <w:pPr>
              <w:pStyle w:val="TableParagraph"/>
              <w:spacing w:line="261" w:lineRule="exact"/>
              <w:ind w:left="66"/>
              <w:rPr>
                <w:sz w:val="21"/>
              </w:rPr>
            </w:pPr>
            <w:r>
              <w:rPr>
                <w:w w:val="100"/>
                <w:sz w:val="21"/>
              </w:rPr>
              <w:t> </w:t>
            </w:r>
          </w:p>
        </w:tc>
      </w:tr>
      <w:tr>
        <w:trPr>
          <w:trHeight w:val="573" w:hRule="atLeast"/>
        </w:trPr>
        <w:tc>
          <w:tcPr>
            <w:tcW w:w="953" w:type="dxa"/>
          </w:tcPr>
          <w:p>
            <w:pPr>
              <w:pStyle w:val="TableParagraph"/>
              <w:spacing w:line="262" w:lineRule="exact"/>
              <w:ind w:right="112"/>
              <w:jc w:val="right"/>
              <w:rPr>
                <w:b/>
                <w:sz w:val="21"/>
              </w:rPr>
            </w:pPr>
            <w:r>
              <w:rPr>
                <w:b/>
                <w:sz w:val="21"/>
              </w:rPr>
              <w:t>4.2 </w:t>
            </w:r>
          </w:p>
        </w:tc>
        <w:tc>
          <w:tcPr>
            <w:tcW w:w="1850" w:type="dxa"/>
          </w:tcPr>
          <w:p>
            <w:pPr>
              <w:pStyle w:val="TableParagraph"/>
              <w:spacing w:line="262" w:lineRule="exact"/>
              <w:ind w:left="115"/>
              <w:rPr>
                <w:b/>
                <w:sz w:val="21"/>
              </w:rPr>
            </w:pPr>
            <w:r>
              <w:rPr>
                <w:b/>
                <w:sz w:val="21"/>
              </w:rPr>
              <w:t>宽限期</w:t>
            </w:r>
            <w:r>
              <w:rPr>
                <w:b/>
                <w:w w:val="99"/>
                <w:sz w:val="21"/>
              </w:rPr>
              <w:t> </w:t>
            </w:r>
          </w:p>
        </w:tc>
        <w:tc>
          <w:tcPr>
            <w:tcW w:w="7298" w:type="dxa"/>
          </w:tcPr>
          <w:p>
            <w:pPr>
              <w:pStyle w:val="TableParagraph"/>
              <w:spacing w:line="262" w:lineRule="exact"/>
              <w:ind w:left="66"/>
              <w:rPr>
                <w:sz w:val="21"/>
              </w:rPr>
            </w:pPr>
            <w:r>
              <w:rPr>
                <w:sz w:val="21"/>
              </w:rPr>
              <w:t>您支付首期保险费后，如果您到期未支付保险费，自保险费约定支付日的次日</w:t>
            </w:r>
          </w:p>
          <w:p>
            <w:pPr>
              <w:pStyle w:val="TableParagraph"/>
              <w:spacing w:line="255" w:lineRule="exact" w:before="37"/>
              <w:ind w:left="66"/>
              <w:rPr>
                <w:sz w:val="21"/>
              </w:rPr>
            </w:pPr>
            <w:r>
              <w:rPr>
                <w:sz w:val="21"/>
              </w:rPr>
              <w:t>零时起 60 日为宽限期。宽限期内发生的保险事故，我们仍会承担保险责任，</w:t>
            </w:r>
          </w:p>
        </w:tc>
      </w:tr>
    </w:tbl>
    <w:p>
      <w:pPr>
        <w:spacing w:after="0" w:line="255" w:lineRule="exact"/>
        <w:rPr>
          <w:sz w:val="21"/>
        </w:rPr>
        <w:sectPr>
          <w:pgSz w:w="11910" w:h="16840"/>
          <w:pgMar w:top="1160" w:bottom="280" w:left="800" w:right="780"/>
        </w:sectPr>
      </w:pPr>
    </w:p>
    <w:p>
      <w:pPr>
        <w:pStyle w:val="BodyText"/>
        <w:spacing w:before="22"/>
        <w:ind w:left="2981"/>
      </w:pPr>
      <w:r>
        <w:rPr/>
        <w:t>但在给付保险金时会扣减您欠交的保险费。 </w:t>
      </w:r>
    </w:p>
    <w:p>
      <w:pPr>
        <w:pStyle w:val="BodyText"/>
        <w:spacing w:before="10"/>
        <w:ind w:left="0"/>
        <w:rPr>
          <w:sz w:val="25"/>
        </w:rPr>
      </w:pPr>
    </w:p>
    <w:p>
      <w:pPr>
        <w:pStyle w:val="BodyText"/>
        <w:spacing w:line="273" w:lineRule="auto" w:before="0"/>
        <w:ind w:left="2981" w:right="190"/>
      </w:pPr>
      <w:r>
        <w:rPr/>
        <w:t>如果您在宽限期结束之后仍未支付保险费，则本合同自宽限期满的次日零时起效力中止，但本合同另有约定的除外。 </w:t>
      </w:r>
    </w:p>
    <w:p>
      <w:pPr>
        <w:pStyle w:val="Heading2"/>
        <w:tabs>
          <w:tab w:pos="1180" w:val="left" w:leader="none"/>
          <w:tab w:pos="2980" w:val="left" w:leader="none"/>
        </w:tabs>
        <w:spacing w:line="242" w:lineRule="exact" w:before="7"/>
        <w:ind w:left="527"/>
        <w:rPr>
          <w:b w:val="0"/>
        </w:rPr>
      </w:pPr>
      <w:r>
        <w:rPr>
          <w:w w:val="99"/>
        </w:rPr>
        <w:t> </w:t>
      </w:r>
      <w:r>
        <w:rPr/>
        <w:tab/>
      </w:r>
      <w:r>
        <w:rPr>
          <w:w w:val="99"/>
        </w:rPr>
        <w:t> </w:t>
      </w:r>
      <w:r>
        <w:rPr/>
        <w:tab/>
      </w:r>
      <w:r>
        <w:rPr>
          <w:b w:val="0"/>
          <w:w w:val="100"/>
        </w:rPr>
        <w:t> </w:t>
      </w:r>
    </w:p>
    <w:p>
      <w:pPr>
        <w:tabs>
          <w:tab w:pos="1180" w:val="left" w:leader="none"/>
        </w:tabs>
        <w:spacing w:line="641" w:lineRule="exact" w:before="0"/>
        <w:ind w:left="422" w:right="0" w:firstLine="0"/>
        <w:jc w:val="left"/>
        <w:rPr>
          <w:b/>
          <w:sz w:val="24"/>
        </w:rPr>
      </w:pPr>
      <w:r>
        <w:rPr/>
        <w:pict>
          <v:group style="position:absolute;margin-left:45.599998pt;margin-top:35.336487pt;width:504.15pt;height:1pt;mso-position-horizontal-relative:page;mso-position-vertical-relative:paragraph;z-index:1120;mso-wrap-distance-left:0;mso-wrap-distance-right:0" coordorigin="912,707" coordsize="10083,20">
            <v:line style="position:absolute" from="912,716" to="1872,716" stroked="true" strokeweight=".95999pt" strokecolor="#000000">
              <v:stroke dashstyle="solid"/>
            </v:line>
            <v:rect style="position:absolute;left:1872;top:706;width:20;height:20" filled="true" fillcolor="#000000" stroked="false">
              <v:fill type="solid"/>
            </v:rect>
            <v:line style="position:absolute" from="1892,716" to="3673,716" stroked="true" strokeweight=".95999pt" strokecolor="#000000">
              <v:stroke dashstyle="solid"/>
            </v:line>
            <v:rect style="position:absolute;left:3673;top:706;width:20;height:20" filled="true" fillcolor="#000000" stroked="false">
              <v:fill type="solid"/>
            </v:rect>
            <v:line style="position:absolute" from="3692,716" to="10994,716" stroked="true" strokeweight=".95999pt" strokecolor="#000000">
              <v:stroke dashstyle="solid"/>
            </v:line>
            <w10:wrap type="topAndBottom"/>
          </v:group>
        </w:pict>
      </w:r>
      <w:r>
        <w:rPr>
          <w:rFonts w:ascii="Yu Gothic" w:hAnsi="Yu Gothic" w:eastAsia="Yu Gothic" w:hint="eastAsia"/>
          <w:b/>
          <w:position w:val="-3"/>
          <w:sz w:val="40"/>
        </w:rPr>
        <w:t></w:t>
        <w:tab/>
      </w:r>
      <w:r>
        <w:rPr>
          <w:b/>
          <w:sz w:val="24"/>
        </w:rPr>
        <w:t>现金价值权益</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p>
      <w:pPr>
        <w:pStyle w:val="BodyText"/>
        <w:tabs>
          <w:tab w:pos="1180" w:val="left" w:leader="none"/>
          <w:tab w:pos="2980" w:val="left" w:leader="none"/>
        </w:tabs>
        <w:spacing w:before="0"/>
        <w:ind w:left="220"/>
      </w:pPr>
      <w:r>
        <w:rPr>
          <w:w w:val="100"/>
        </w:rPr>
        <w:t> </w:t>
      </w:r>
      <w:r>
        <w:rPr/>
        <w:tab/>
      </w:r>
      <w:r>
        <w:rPr>
          <w:w w:val="100"/>
        </w:rPr>
        <w:t> </w:t>
      </w:r>
      <w:r>
        <w:rPr/>
        <w:tab/>
      </w:r>
      <w:r>
        <w:rPr>
          <w:w w:val="100"/>
        </w:rPr>
        <w:t> </w:t>
      </w:r>
    </w:p>
    <w:p>
      <w:pPr>
        <w:pStyle w:val="ListParagraph"/>
        <w:numPr>
          <w:ilvl w:val="1"/>
          <w:numId w:val="4"/>
        </w:numPr>
        <w:tabs>
          <w:tab w:pos="846" w:val="left" w:leader="none"/>
        </w:tabs>
        <w:spacing w:line="273" w:lineRule="auto" w:before="37" w:after="0"/>
        <w:ind w:left="2981" w:right="235" w:hanging="2454"/>
        <w:jc w:val="both"/>
        <w:rPr>
          <w:sz w:val="21"/>
        </w:rPr>
      </w:pPr>
      <w:r>
        <w:rPr>
          <w:b/>
          <w:spacing w:val="2"/>
          <w:sz w:val="21"/>
        </w:rPr>
        <w:t>现金价值         </w:t>
      </w:r>
      <w:r>
        <w:rPr>
          <w:spacing w:val="-7"/>
          <w:sz w:val="21"/>
        </w:rPr>
        <w:t>指保险单所具有的价值，通常体现为解除合同时，根据精算原理计算的，由我们退还的那部分金额。本合同保单年度末的现金价值会在保险单上载明。保单年</w:t>
      </w:r>
      <w:r>
        <w:rPr>
          <w:spacing w:val="-4"/>
          <w:sz w:val="21"/>
        </w:rPr>
        <w:t>度内的现金价值，您可以向我们咨询。</w:t>
      </w:r>
      <w:r>
        <w:rPr>
          <w:sz w:val="21"/>
        </w:rPr>
        <w:t> </w:t>
      </w:r>
    </w:p>
    <w:p>
      <w:pPr>
        <w:pStyle w:val="Heading2"/>
        <w:tabs>
          <w:tab w:pos="1180"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4"/>
        </w:numPr>
        <w:tabs>
          <w:tab w:pos="846" w:val="left" w:leader="none"/>
        </w:tabs>
        <w:spacing w:line="273" w:lineRule="auto" w:before="37" w:after="0"/>
        <w:ind w:left="2981" w:right="235" w:hanging="2454"/>
        <w:jc w:val="both"/>
        <w:rPr>
          <w:sz w:val="21"/>
        </w:rPr>
      </w:pPr>
      <w:r>
        <w:rPr>
          <w:b/>
          <w:spacing w:val="2"/>
          <w:sz w:val="21"/>
        </w:rPr>
        <w:t>保单贷款         </w:t>
      </w:r>
      <w:r>
        <w:rPr>
          <w:spacing w:val="-6"/>
          <w:sz w:val="21"/>
        </w:rPr>
        <w:t>在本合同有效期内，您可以申请并经我们审核同意后办理保单贷款。贷款金额不得超过您申请时本合同现金价值扣除各项欠款及应付利息后余额的80%，每次贷款期限最长不超过6个月，贷款利率按您与我们约定的利率执行。贷款本息</w:t>
      </w:r>
      <w:r>
        <w:rPr>
          <w:spacing w:val="-7"/>
          <w:sz w:val="21"/>
        </w:rPr>
        <w:t>在贷款到期时一并归还。若您到期未能足额偿还贷款本息，则您所欠的贷款本</w:t>
      </w:r>
      <w:r>
        <w:rPr>
          <w:spacing w:val="-4"/>
          <w:sz w:val="21"/>
        </w:rPr>
        <w:t>金及利息将作为新的贷款本金计息。</w:t>
      </w:r>
      <w:r>
        <w:rPr>
          <w:sz w:val="21"/>
        </w:rPr>
        <w:t> </w:t>
      </w:r>
    </w:p>
    <w:p>
      <w:pPr>
        <w:pStyle w:val="BodyText"/>
        <w:spacing w:before="7"/>
        <w:ind w:left="2981"/>
      </w:pPr>
      <w:r>
        <w:rPr>
          <w:w w:val="100"/>
        </w:rPr>
        <w:t> </w:t>
      </w:r>
    </w:p>
    <w:p>
      <w:pPr>
        <w:pStyle w:val="BodyText"/>
        <w:spacing w:line="273" w:lineRule="auto" w:before="36"/>
        <w:ind w:left="2981" w:right="199"/>
      </w:pPr>
      <w:r>
        <w:rPr>
          <w:spacing w:val="-4"/>
          <w:shd w:fill="D9D9D9" w:color="auto" w:val="clear"/>
        </w:rPr>
        <w:t>当未还贷款本金及利息加上其他各项欠款及应付利息达到本合同现金价值时， </w:t>
      </w:r>
      <w:r>
        <w:rPr>
          <w:spacing w:val="-3"/>
          <w:shd w:fill="D9D9D9" w:color="auto" w:val="clear"/>
        </w:rPr>
        <w:t>本合同效力中</w:t>
      </w:r>
      <w:r>
        <w:rPr>
          <w:spacing w:val="-106"/>
          <w:shd w:fill="D9D9D9" w:color="auto" w:val="clear"/>
        </w:rPr>
        <w:t>止。</w:t>
      </w:r>
      <w:r>
        <w:rPr/>
        <w:t> </w:t>
      </w:r>
    </w:p>
    <w:p>
      <w:pPr>
        <w:pStyle w:val="Heading2"/>
        <w:tabs>
          <w:tab w:pos="1180" w:val="left" w:leader="none"/>
          <w:tab w:pos="2980" w:val="left" w:leader="none"/>
        </w:tabs>
        <w:spacing w:line="242" w:lineRule="exact" w:before="7"/>
        <w:ind w:left="527"/>
        <w:rPr>
          <w:b w:val="0"/>
        </w:rPr>
      </w:pPr>
      <w:r>
        <w:rPr>
          <w:w w:val="99"/>
        </w:rPr>
        <w:t> </w:t>
      </w:r>
      <w:r>
        <w:rPr/>
        <w:tab/>
      </w:r>
      <w:r>
        <w:rPr>
          <w:w w:val="99"/>
        </w:rPr>
        <w:t> </w:t>
      </w:r>
      <w:r>
        <w:rPr/>
        <w:tab/>
      </w:r>
      <w:r>
        <w:rPr>
          <w:b w:val="0"/>
          <w:w w:val="100"/>
        </w:rPr>
        <w:t> </w:t>
      </w:r>
    </w:p>
    <w:p>
      <w:pPr>
        <w:tabs>
          <w:tab w:pos="1180" w:val="left" w:leader="none"/>
        </w:tabs>
        <w:spacing w:line="641" w:lineRule="exact" w:before="0"/>
        <w:ind w:left="422" w:right="0" w:firstLine="0"/>
        <w:jc w:val="left"/>
        <w:rPr>
          <w:b/>
          <w:sz w:val="24"/>
        </w:rPr>
      </w:pPr>
      <w:r>
        <w:rPr/>
        <w:pict>
          <v:group style="position:absolute;margin-left:45.599998pt;margin-top:35.35648pt;width:504.15pt;height:1pt;mso-position-horizontal-relative:page;mso-position-vertical-relative:paragraph;z-index:1144;mso-wrap-distance-left:0;mso-wrap-distance-right:0" coordorigin="912,707" coordsize="10083,20">
            <v:line style="position:absolute" from="912,717" to="1872,717" stroked="true" strokeweight=".95999pt" strokecolor="#000000">
              <v:stroke dashstyle="solid"/>
            </v:line>
            <v:rect style="position:absolute;left:1872;top:707;width:20;height:20" filled="true" fillcolor="#000000" stroked="false">
              <v:fill type="solid"/>
            </v:rect>
            <v:line style="position:absolute" from="1892,717" to="3673,717" stroked="true" strokeweight=".95999pt" strokecolor="#000000">
              <v:stroke dashstyle="solid"/>
            </v:line>
            <v:rect style="position:absolute;left:3673;top:707;width:20;height:20" filled="true" fillcolor="#000000" stroked="false">
              <v:fill type="solid"/>
            </v:rect>
            <v:line style="position:absolute" from="3692,717" to="10994,717" stroked="true" strokeweight=".95999pt" strokecolor="#000000">
              <v:stroke dashstyle="solid"/>
            </v:line>
            <w10:wrap type="topAndBottom"/>
          </v:group>
        </w:pict>
      </w:r>
      <w:r>
        <w:rPr>
          <w:rFonts w:ascii="Yu Gothic" w:hAnsi="Yu Gothic" w:eastAsia="Yu Gothic" w:hint="eastAsia"/>
          <w:b/>
          <w:position w:val="-3"/>
          <w:sz w:val="40"/>
        </w:rPr>
        <w:t></w:t>
        <w:tab/>
      </w:r>
      <w:r>
        <w:rPr>
          <w:b/>
          <w:w w:val="95"/>
          <w:sz w:val="24"/>
        </w:rPr>
        <w:t>合同效力的中止和恢复</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p>
      <w:pPr>
        <w:pStyle w:val="BodyText"/>
        <w:tabs>
          <w:tab w:pos="1180" w:val="left" w:leader="none"/>
          <w:tab w:pos="2980" w:val="left" w:leader="none"/>
        </w:tabs>
        <w:spacing w:before="0"/>
        <w:ind w:left="220"/>
      </w:pPr>
      <w:r>
        <w:rPr>
          <w:w w:val="100"/>
        </w:rPr>
        <w:t> </w:t>
      </w:r>
      <w:r>
        <w:rPr/>
        <w:tab/>
      </w:r>
      <w:r>
        <w:rPr>
          <w:w w:val="100"/>
        </w:rPr>
        <w:t> </w:t>
      </w:r>
      <w:r>
        <w:rPr/>
        <w:tab/>
      </w:r>
      <w:r>
        <w:rPr>
          <w:w w:val="100"/>
        </w:rPr>
        <w:t> </w:t>
      </w:r>
    </w:p>
    <w:p>
      <w:pPr>
        <w:pStyle w:val="ListParagraph"/>
        <w:numPr>
          <w:ilvl w:val="1"/>
          <w:numId w:val="5"/>
        </w:numPr>
        <w:tabs>
          <w:tab w:pos="846" w:val="left" w:leader="none"/>
        </w:tabs>
        <w:spacing w:line="240" w:lineRule="auto" w:before="37" w:after="0"/>
        <w:ind w:left="2981" w:right="0" w:hanging="2454"/>
        <w:jc w:val="left"/>
        <w:rPr>
          <w:sz w:val="21"/>
        </w:rPr>
      </w:pPr>
      <w:r>
        <w:rPr>
          <w:b/>
          <w:spacing w:val="1"/>
          <w:sz w:val="21"/>
        </w:rPr>
        <w:t>效力中止         </w:t>
      </w:r>
      <w:r>
        <w:rPr>
          <w:spacing w:val="-3"/>
          <w:sz w:val="21"/>
          <w:shd w:fill="D9D9D9" w:color="auto" w:val="clear"/>
        </w:rPr>
        <w:t>在本合同效力中止期间，我们不承担保险责任。</w:t>
      </w:r>
      <w:r>
        <w:rPr>
          <w:sz w:val="21"/>
        </w:rPr>
        <w:t> </w:t>
      </w:r>
    </w:p>
    <w:p>
      <w:pPr>
        <w:pStyle w:val="Heading2"/>
        <w:tabs>
          <w:tab w:pos="1180" w:val="left" w:leader="none"/>
        </w:tabs>
        <w:spacing w:before="37"/>
        <w:ind w:left="527"/>
      </w:pPr>
      <w:r>
        <w:rPr>
          <w:w w:val="99"/>
        </w:rPr>
        <w:t> </w:t>
      </w:r>
      <w:r>
        <w:rPr/>
        <w:tab/>
      </w:r>
      <w:r>
        <w:rPr>
          <w:w w:val="99"/>
        </w:rPr>
        <w:t> </w:t>
      </w:r>
    </w:p>
    <w:p>
      <w:pPr>
        <w:pStyle w:val="ListParagraph"/>
        <w:numPr>
          <w:ilvl w:val="1"/>
          <w:numId w:val="5"/>
        </w:numPr>
        <w:tabs>
          <w:tab w:pos="846" w:val="left" w:leader="none"/>
        </w:tabs>
        <w:spacing w:line="273" w:lineRule="auto" w:before="37" w:after="0"/>
        <w:ind w:left="2981" w:right="132" w:hanging="2454"/>
        <w:jc w:val="left"/>
        <w:rPr>
          <w:sz w:val="21"/>
        </w:rPr>
      </w:pPr>
      <w:r>
        <w:rPr>
          <w:b/>
          <w:spacing w:val="2"/>
          <w:sz w:val="21"/>
        </w:rPr>
        <w:t>效力恢复        </w:t>
      </w:r>
      <w:r>
        <w:rPr>
          <w:spacing w:val="-9"/>
          <w:sz w:val="21"/>
        </w:rPr>
        <w:t>本合同效力中止后 </w:t>
      </w:r>
      <w:r>
        <w:rPr>
          <w:sz w:val="21"/>
        </w:rPr>
        <w:t>2</w:t>
      </w:r>
      <w:r>
        <w:rPr>
          <w:spacing w:val="-11"/>
          <w:sz w:val="21"/>
        </w:rPr>
        <w:t> 年内，您可以申请恢复合同效力。经我们与您协商并达成协议</w:t>
      </w:r>
      <w:r>
        <w:rPr>
          <w:spacing w:val="-6"/>
          <w:sz w:val="21"/>
        </w:rPr>
        <w:t>，在您补交保险费、利息及其他各项欠款的次日零时起，合同效力恢复。</w:t>
      </w:r>
      <w:r>
        <w:rPr>
          <w:sz w:val="21"/>
        </w:rPr>
        <w:t> </w:t>
      </w:r>
    </w:p>
    <w:p>
      <w:pPr>
        <w:pStyle w:val="BodyText"/>
        <w:spacing w:before="7"/>
        <w:ind w:left="2981"/>
      </w:pPr>
      <w:r>
        <w:rPr>
          <w:w w:val="100"/>
        </w:rPr>
        <w:t> </w:t>
      </w:r>
    </w:p>
    <w:p>
      <w:pPr>
        <w:pStyle w:val="BodyText"/>
        <w:spacing w:line="273" w:lineRule="auto" w:before="36"/>
        <w:ind w:left="2981" w:right="235"/>
        <w:jc w:val="both"/>
      </w:pPr>
      <w:r>
        <w:rPr>
          <w:spacing w:val="-6"/>
          <w:shd w:fill="D9D9D9" w:color="auto" w:val="clear"/>
        </w:rPr>
        <w:t>自本合同效力中止之日起满 </w:t>
      </w:r>
      <w:r>
        <w:rPr>
          <w:shd w:fill="D9D9D9" w:color="auto" w:val="clear"/>
        </w:rPr>
        <w:t>2</w:t>
      </w:r>
      <w:r>
        <w:rPr>
          <w:spacing w:val="-10"/>
          <w:shd w:fill="D9D9D9" w:color="auto" w:val="clear"/>
        </w:rPr>
        <w:t> 年您和我们未达成协议恢复合同效力的，我们有</w:t>
      </w:r>
      <w:r>
        <w:rPr>
          <w:spacing w:val="-5"/>
          <w:shd w:fill="D9D9D9" w:color="auto" w:val="clear"/>
        </w:rPr>
        <w:t>权解除合同</w:t>
      </w:r>
      <w:r>
        <w:rPr>
          <w:spacing w:val="-18"/>
          <w:shd w:fill="D9D9D9" w:color="auto" w:val="clear"/>
        </w:rPr>
        <w:t>。本合同自解除之日起终止，我们向您退还合同效力中止时现金价 </w:t>
      </w:r>
      <w:r>
        <w:rPr>
          <w:spacing w:val="-11"/>
          <w:shd w:fill="D9D9D9" w:color="auto" w:val="clear"/>
        </w:rPr>
        <w:t>值。</w:t>
      </w:r>
      <w:r>
        <w:rPr/>
        <w:t> </w:t>
      </w:r>
    </w:p>
    <w:p>
      <w:pPr>
        <w:pStyle w:val="Heading2"/>
        <w:tabs>
          <w:tab w:pos="1180" w:val="left" w:leader="none"/>
          <w:tab w:pos="2980" w:val="left" w:leader="none"/>
        </w:tabs>
        <w:spacing w:line="242" w:lineRule="exact" w:before="7"/>
        <w:ind w:left="527"/>
        <w:rPr>
          <w:b w:val="0"/>
        </w:rPr>
      </w:pPr>
      <w:r>
        <w:rPr>
          <w:w w:val="99"/>
        </w:rPr>
        <w:t> </w:t>
      </w:r>
      <w:r>
        <w:rPr/>
        <w:tab/>
      </w:r>
      <w:r>
        <w:rPr>
          <w:w w:val="99"/>
        </w:rPr>
        <w:t> </w:t>
      </w:r>
      <w:r>
        <w:rPr/>
        <w:tab/>
      </w:r>
      <w:r>
        <w:rPr>
          <w:b w:val="0"/>
          <w:w w:val="100"/>
        </w:rPr>
        <w:t> </w:t>
      </w:r>
    </w:p>
    <w:p>
      <w:pPr>
        <w:tabs>
          <w:tab w:pos="1180" w:val="left" w:leader="none"/>
        </w:tabs>
        <w:spacing w:line="641" w:lineRule="exact" w:before="0"/>
        <w:ind w:left="422" w:right="0" w:firstLine="0"/>
        <w:jc w:val="left"/>
        <w:rPr>
          <w:b/>
          <w:sz w:val="24"/>
        </w:rPr>
      </w:pPr>
      <w:r>
        <w:rPr>
          <w:rFonts w:ascii="Yu Gothic" w:hAnsi="Yu Gothic" w:eastAsia="Yu Gothic" w:hint="eastAsia"/>
          <w:b/>
          <w:position w:val="-3"/>
          <w:sz w:val="40"/>
        </w:rPr>
        <w:t></w:t>
        <w:tab/>
      </w:r>
      <w:r>
        <w:rPr>
          <w:b/>
          <w:w w:val="95"/>
          <w:sz w:val="24"/>
        </w:rPr>
        <w:t>合同解除及效力终止</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p>
      <w:pPr>
        <w:pStyle w:val="BodyText"/>
        <w:spacing w:before="10"/>
        <w:ind w:left="0"/>
        <w:rPr>
          <w:b/>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
        <w:gridCol w:w="639"/>
        <w:gridCol w:w="1856"/>
        <w:gridCol w:w="7274"/>
      </w:tblGrid>
      <w:tr>
        <w:trPr>
          <w:trHeight w:val="936" w:hRule="atLeast"/>
        </w:trPr>
        <w:tc>
          <w:tcPr>
            <w:tcW w:w="315" w:type="dxa"/>
            <w:tcBorders>
              <w:top w:val="single" w:sz="8" w:space="0" w:color="000000"/>
            </w:tcBorders>
          </w:tcPr>
          <w:p>
            <w:pPr>
              <w:pStyle w:val="TableParagraph"/>
              <w:spacing w:line="262" w:lineRule="exact"/>
              <w:ind w:left="107"/>
              <w:rPr>
                <w:sz w:val="21"/>
              </w:rPr>
            </w:pPr>
            <w:r>
              <w:rPr>
                <w:w w:val="100"/>
                <w:sz w:val="21"/>
              </w:rPr>
              <w:t> </w:t>
            </w:r>
          </w:p>
        </w:tc>
        <w:tc>
          <w:tcPr>
            <w:tcW w:w="639" w:type="dxa"/>
            <w:tcBorders>
              <w:top w:val="single" w:sz="8" w:space="0" w:color="000000"/>
            </w:tcBorders>
          </w:tcPr>
          <w:p>
            <w:pPr>
              <w:pStyle w:val="TableParagraph"/>
              <w:spacing w:before="11"/>
              <w:rPr>
                <w:b/>
                <w:sz w:val="22"/>
              </w:rPr>
            </w:pPr>
          </w:p>
          <w:p>
            <w:pPr>
              <w:pStyle w:val="TableParagraph"/>
              <w:ind w:left="100"/>
              <w:rPr>
                <w:b/>
                <w:sz w:val="21"/>
              </w:rPr>
            </w:pPr>
            <w:r>
              <w:rPr>
                <w:b/>
                <w:sz w:val="21"/>
              </w:rPr>
              <w:t>7.1 </w:t>
            </w:r>
          </w:p>
        </w:tc>
        <w:tc>
          <w:tcPr>
            <w:tcW w:w="1856" w:type="dxa"/>
            <w:tcBorders>
              <w:top w:val="single" w:sz="8" w:space="0" w:color="000000"/>
            </w:tcBorders>
          </w:tcPr>
          <w:p>
            <w:pPr>
              <w:pStyle w:val="TableParagraph"/>
              <w:spacing w:line="262" w:lineRule="exact"/>
              <w:ind w:left="114"/>
              <w:rPr>
                <w:sz w:val="21"/>
              </w:rPr>
            </w:pPr>
            <w:r>
              <w:rPr>
                <w:w w:val="100"/>
                <w:sz w:val="21"/>
              </w:rPr>
              <w:t> </w:t>
            </w:r>
          </w:p>
          <w:p>
            <w:pPr>
              <w:pStyle w:val="TableParagraph"/>
              <w:spacing w:line="273" w:lineRule="auto" w:before="37"/>
              <w:ind w:left="114" w:right="261"/>
              <w:rPr>
                <w:b/>
                <w:sz w:val="21"/>
              </w:rPr>
            </w:pPr>
            <w:r>
              <w:rPr>
                <w:b/>
                <w:sz w:val="21"/>
              </w:rPr>
              <w:t>您解除合同的手续及风险</w:t>
            </w:r>
            <w:r>
              <w:rPr>
                <w:b/>
                <w:w w:val="99"/>
                <w:sz w:val="21"/>
              </w:rPr>
              <w:t> </w:t>
            </w:r>
          </w:p>
        </w:tc>
        <w:tc>
          <w:tcPr>
            <w:tcW w:w="7274" w:type="dxa"/>
            <w:tcBorders>
              <w:top w:val="single" w:sz="8" w:space="0" w:color="000000"/>
            </w:tcBorders>
          </w:tcPr>
          <w:p>
            <w:pPr>
              <w:pStyle w:val="TableParagraph"/>
              <w:spacing w:line="262" w:lineRule="exact"/>
              <w:ind w:left="59"/>
              <w:rPr>
                <w:sz w:val="21"/>
              </w:rPr>
            </w:pPr>
            <w:r>
              <w:rPr>
                <w:w w:val="100"/>
                <w:sz w:val="21"/>
              </w:rPr>
              <w:t> </w:t>
            </w:r>
          </w:p>
          <w:p>
            <w:pPr>
              <w:pStyle w:val="TableParagraph"/>
              <w:spacing w:line="273" w:lineRule="auto" w:before="37"/>
              <w:ind w:left="59" w:right="73"/>
              <w:rPr>
                <w:sz w:val="21"/>
              </w:rPr>
            </w:pPr>
            <w:r>
              <w:rPr>
                <w:sz w:val="21"/>
              </w:rPr>
              <w:t>如您在犹豫期后申请解除本合同，请填写解除合同申请书并向我们提供下列资料： </w:t>
            </w:r>
          </w:p>
        </w:tc>
      </w:tr>
      <w:tr>
        <w:trPr>
          <w:trHeight w:val="312"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spacing w:line="261" w:lineRule="exact"/>
              <w:ind w:left="421"/>
              <w:rPr>
                <w:b/>
                <w:sz w:val="21"/>
              </w:rPr>
            </w:pPr>
            <w:r>
              <w:rPr>
                <w:b/>
                <w:w w:val="99"/>
                <w:sz w:val="21"/>
              </w:rPr>
              <w:t>             </w:t>
            </w:r>
          </w:p>
        </w:tc>
        <w:tc>
          <w:tcPr>
            <w:tcW w:w="7274" w:type="dxa"/>
          </w:tcPr>
          <w:p>
            <w:pPr>
              <w:pStyle w:val="TableParagraph"/>
              <w:spacing w:line="261" w:lineRule="exact"/>
              <w:ind w:left="59"/>
              <w:rPr>
                <w:sz w:val="21"/>
              </w:rPr>
            </w:pPr>
            <w:r>
              <w:rPr>
                <w:sz w:val="21"/>
              </w:rPr>
              <w:t>（1）保险合同； </w:t>
            </w:r>
          </w:p>
        </w:tc>
      </w:tr>
      <w:tr>
        <w:trPr>
          <w:trHeight w:val="311"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1" w:lineRule="exact"/>
              <w:ind w:left="59"/>
              <w:rPr>
                <w:sz w:val="21"/>
              </w:rPr>
            </w:pPr>
            <w:r>
              <w:rPr>
                <w:sz w:val="21"/>
              </w:rPr>
              <w:t>（2）您的有效身份证件。 </w:t>
            </w:r>
          </w:p>
        </w:tc>
      </w:tr>
      <w:tr>
        <w:trPr>
          <w:trHeight w:val="311"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1" w:lineRule="exact"/>
              <w:ind w:left="59"/>
              <w:rPr>
                <w:sz w:val="21"/>
              </w:rPr>
            </w:pPr>
            <w:r>
              <w:rPr>
                <w:w w:val="100"/>
                <w:sz w:val="21"/>
              </w:rPr>
              <w:t> </w:t>
            </w:r>
          </w:p>
        </w:tc>
      </w:tr>
      <w:tr>
        <w:trPr>
          <w:trHeight w:val="311"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1" w:lineRule="exact"/>
              <w:ind w:left="59"/>
              <w:rPr>
                <w:sz w:val="21"/>
              </w:rPr>
            </w:pPr>
            <w:r>
              <w:rPr>
                <w:sz w:val="21"/>
              </w:rPr>
              <w:t>自我们收到解除合同申请书时起，本合同效力终止。我们将于收到上述资料后</w:t>
            </w:r>
          </w:p>
        </w:tc>
      </w:tr>
      <w:tr>
        <w:trPr>
          <w:trHeight w:val="312"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1" w:lineRule="exact"/>
              <w:ind w:left="59"/>
              <w:rPr>
                <w:sz w:val="21"/>
              </w:rPr>
            </w:pPr>
            <w:r>
              <w:rPr>
                <w:sz w:val="21"/>
              </w:rPr>
              <w:t>30 日内向您退还本合同终止时的现金价值。 </w:t>
            </w:r>
          </w:p>
        </w:tc>
      </w:tr>
      <w:tr>
        <w:trPr>
          <w:trHeight w:val="312"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2" w:lineRule="exact"/>
              <w:ind w:left="59"/>
              <w:rPr>
                <w:sz w:val="21"/>
              </w:rPr>
            </w:pPr>
            <w:r>
              <w:rPr>
                <w:w w:val="100"/>
                <w:sz w:val="21"/>
              </w:rPr>
              <w:t> </w:t>
            </w:r>
          </w:p>
        </w:tc>
      </w:tr>
      <w:tr>
        <w:trPr>
          <w:trHeight w:val="311" w:hRule="atLeast"/>
        </w:trPr>
        <w:tc>
          <w:tcPr>
            <w:tcW w:w="315" w:type="dxa"/>
          </w:tcPr>
          <w:p>
            <w:pPr>
              <w:pStyle w:val="TableParagraph"/>
              <w:rPr>
                <w:rFonts w:ascii="Times New Roman"/>
                <w:sz w:val="20"/>
              </w:rPr>
            </w:pPr>
          </w:p>
        </w:tc>
        <w:tc>
          <w:tcPr>
            <w:tcW w:w="639" w:type="dxa"/>
          </w:tcPr>
          <w:p>
            <w:pPr>
              <w:pStyle w:val="TableParagraph"/>
              <w:rPr>
                <w:rFonts w:ascii="Times New Roman"/>
                <w:sz w:val="20"/>
              </w:rPr>
            </w:pPr>
          </w:p>
        </w:tc>
        <w:tc>
          <w:tcPr>
            <w:tcW w:w="1856" w:type="dxa"/>
          </w:tcPr>
          <w:p>
            <w:pPr>
              <w:pStyle w:val="TableParagraph"/>
              <w:rPr>
                <w:rFonts w:ascii="Times New Roman"/>
                <w:sz w:val="20"/>
              </w:rPr>
            </w:pPr>
          </w:p>
        </w:tc>
        <w:tc>
          <w:tcPr>
            <w:tcW w:w="7274" w:type="dxa"/>
          </w:tcPr>
          <w:p>
            <w:pPr>
              <w:pStyle w:val="TableParagraph"/>
              <w:spacing w:line="261" w:lineRule="exact"/>
              <w:ind w:left="59"/>
              <w:rPr>
                <w:sz w:val="21"/>
              </w:rPr>
            </w:pPr>
            <w:r>
              <w:rPr>
                <w:sz w:val="21"/>
                <w:shd w:fill="D9D9D9" w:color="auto" w:val="clear"/>
              </w:rPr>
              <w:t>您在犹豫期后解除合同会遭受一定损失。</w:t>
            </w:r>
            <w:r>
              <w:rPr>
                <w:sz w:val="21"/>
              </w:rPr>
              <w:t> </w:t>
            </w:r>
          </w:p>
        </w:tc>
      </w:tr>
      <w:tr>
        <w:trPr>
          <w:trHeight w:val="261" w:hRule="atLeast"/>
        </w:trPr>
        <w:tc>
          <w:tcPr>
            <w:tcW w:w="315" w:type="dxa"/>
          </w:tcPr>
          <w:p>
            <w:pPr>
              <w:pStyle w:val="TableParagraph"/>
              <w:rPr>
                <w:rFonts w:ascii="Times New Roman"/>
                <w:sz w:val="18"/>
              </w:rPr>
            </w:pPr>
          </w:p>
        </w:tc>
        <w:tc>
          <w:tcPr>
            <w:tcW w:w="639" w:type="dxa"/>
          </w:tcPr>
          <w:p>
            <w:pPr>
              <w:pStyle w:val="TableParagraph"/>
              <w:spacing w:line="242" w:lineRule="exact"/>
              <w:ind w:left="100"/>
              <w:rPr>
                <w:b/>
                <w:sz w:val="21"/>
              </w:rPr>
            </w:pPr>
            <w:r>
              <w:rPr>
                <w:b/>
                <w:w w:val="99"/>
                <w:sz w:val="21"/>
              </w:rPr>
              <w:t> </w:t>
            </w:r>
          </w:p>
        </w:tc>
        <w:tc>
          <w:tcPr>
            <w:tcW w:w="1856" w:type="dxa"/>
          </w:tcPr>
          <w:p>
            <w:pPr>
              <w:pStyle w:val="TableParagraph"/>
              <w:spacing w:line="242" w:lineRule="exact"/>
              <w:ind w:left="114"/>
              <w:rPr>
                <w:b/>
                <w:sz w:val="21"/>
              </w:rPr>
            </w:pPr>
            <w:r>
              <w:rPr>
                <w:b/>
                <w:w w:val="99"/>
                <w:sz w:val="21"/>
              </w:rPr>
              <w:t> </w:t>
            </w:r>
          </w:p>
        </w:tc>
        <w:tc>
          <w:tcPr>
            <w:tcW w:w="7274" w:type="dxa"/>
          </w:tcPr>
          <w:p>
            <w:pPr>
              <w:pStyle w:val="TableParagraph"/>
              <w:spacing w:line="242" w:lineRule="exact"/>
              <w:ind w:left="59"/>
              <w:rPr>
                <w:sz w:val="21"/>
              </w:rPr>
            </w:pPr>
            <w:r>
              <w:rPr>
                <w:w w:val="100"/>
                <w:sz w:val="21"/>
              </w:rPr>
              <w:t> </w:t>
            </w:r>
          </w:p>
        </w:tc>
      </w:tr>
    </w:tbl>
    <w:p>
      <w:pPr>
        <w:spacing w:after="0" w:line="242" w:lineRule="exact"/>
        <w:rPr>
          <w:sz w:val="21"/>
        </w:rPr>
        <w:sectPr>
          <w:pgSz w:w="11910" w:h="16840"/>
          <w:pgMar w:top="1080" w:bottom="280" w:left="800" w:right="780"/>
        </w:sectPr>
      </w:pPr>
    </w:p>
    <w:p>
      <w:pPr>
        <w:tabs>
          <w:tab w:pos="1180" w:val="left" w:leader="none"/>
          <w:tab w:pos="2980" w:val="left" w:leader="none"/>
        </w:tabs>
        <w:spacing w:before="22"/>
        <w:ind w:left="527" w:right="0" w:firstLine="0"/>
        <w:jc w:val="left"/>
        <w:rPr>
          <w:sz w:val="21"/>
        </w:rPr>
      </w:pPr>
      <w:r>
        <w:rPr>
          <w:b/>
          <w:sz w:val="21"/>
        </w:rPr>
        <w:t>7.2</w:t>
        <w:tab/>
        <w:t>合同效力的终</w:t>
      </w:r>
      <w:r>
        <w:rPr>
          <w:b/>
          <w:spacing w:val="-3"/>
          <w:sz w:val="21"/>
        </w:rPr>
        <w:t>止</w:t>
        <w:tab/>
      </w:r>
      <w:r>
        <w:rPr>
          <w:sz w:val="21"/>
        </w:rPr>
        <w:t>发生</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时</w:t>
      </w:r>
      <w:r>
        <w:rPr>
          <w:sz w:val="21"/>
        </w:rPr>
        <w:t>，</w:t>
      </w:r>
      <w:r>
        <w:rPr>
          <w:spacing w:val="-3"/>
          <w:sz w:val="21"/>
        </w:rPr>
        <w:t>本</w:t>
      </w:r>
      <w:r>
        <w:rPr>
          <w:sz w:val="21"/>
        </w:rPr>
        <w:t>合同</w:t>
      </w:r>
      <w:r>
        <w:rPr>
          <w:spacing w:val="-3"/>
          <w:sz w:val="21"/>
        </w:rPr>
        <w:t>效</w:t>
      </w:r>
      <w:r>
        <w:rPr>
          <w:sz w:val="21"/>
        </w:rPr>
        <w:t>力</w:t>
      </w:r>
      <w:r>
        <w:rPr>
          <w:spacing w:val="-3"/>
          <w:sz w:val="21"/>
        </w:rPr>
        <w:t>终</w:t>
      </w:r>
      <w:r>
        <w:rPr>
          <w:sz w:val="21"/>
        </w:rPr>
        <w:t>止：</w:t>
      </w:r>
    </w:p>
    <w:p>
      <w:pPr>
        <w:pStyle w:val="BodyText"/>
        <w:ind w:left="2981"/>
      </w:pPr>
      <w:r>
        <w:rPr/>
        <w:t>（</w:t>
      </w:r>
      <w:r>
        <w:rPr>
          <w:rFonts w:ascii="Times New Roman" w:eastAsia="Times New Roman"/>
        </w:rPr>
        <w:t>1</w:t>
      </w:r>
      <w:r>
        <w:rPr/>
        <w:t>）被保险人身故；</w:t>
      </w:r>
    </w:p>
    <w:p>
      <w:pPr>
        <w:pStyle w:val="BodyText"/>
        <w:spacing w:before="20"/>
        <w:ind w:left="2981"/>
      </w:pPr>
      <w:r>
        <w:rPr/>
        <w:t>（</w:t>
      </w:r>
      <w:r>
        <w:rPr>
          <w:rFonts w:ascii="Times New Roman" w:eastAsia="Times New Roman"/>
        </w:rPr>
        <w:t>2</w:t>
      </w:r>
      <w:r>
        <w:rPr/>
        <w:t>）我们收到解除合同申请书；</w:t>
      </w:r>
    </w:p>
    <w:p>
      <w:pPr>
        <w:pStyle w:val="BodyText"/>
        <w:spacing w:before="20"/>
        <w:ind w:left="2981"/>
      </w:pPr>
      <w:r>
        <w:rPr/>
        <w:t>（</w:t>
      </w:r>
      <w:r>
        <w:rPr>
          <w:rFonts w:ascii="Times New Roman" w:eastAsia="Times New Roman"/>
        </w:rPr>
        <w:t>3</w:t>
      </w:r>
      <w:r>
        <w:rPr/>
        <w:t>）因本合同其他条款所列情况而终止。</w:t>
      </w:r>
    </w:p>
    <w:p>
      <w:pPr>
        <w:pStyle w:val="BodyText"/>
        <w:tabs>
          <w:tab w:pos="1180" w:val="left" w:leader="none"/>
          <w:tab w:pos="2980" w:val="left" w:leader="none"/>
        </w:tabs>
        <w:spacing w:line="242" w:lineRule="exact" w:before="20"/>
        <w:ind w:left="220"/>
      </w:pPr>
      <w:r>
        <w:rPr>
          <w:w w:val="100"/>
        </w:rPr>
        <w:t> </w:t>
      </w:r>
      <w:r>
        <w:rPr/>
        <w:tab/>
      </w:r>
      <w:r>
        <w:rPr>
          <w:w w:val="100"/>
        </w:rPr>
        <w:t> </w:t>
      </w:r>
      <w:r>
        <w:rPr/>
        <w:tab/>
      </w:r>
      <w:r>
        <w:rPr>
          <w:w w:val="100"/>
        </w:rPr>
        <w:t> </w:t>
      </w:r>
    </w:p>
    <w:p>
      <w:pPr>
        <w:pStyle w:val="Heading1"/>
        <w:tabs>
          <w:tab w:pos="1180" w:val="left" w:leader="none"/>
        </w:tabs>
      </w:pPr>
      <w:r>
        <w:rPr/>
        <w:pict>
          <v:group style="position:absolute;margin-left:45.599998pt;margin-top:35.336460pt;width:504.15pt;height:1pt;mso-position-horizontal-relative:page;mso-position-vertical-relative:paragraph;z-index:1168;mso-wrap-distance-left:0;mso-wrap-distance-right:0" coordorigin="912,707" coordsize="10083,20">
            <v:line style="position:absolute" from="912,716" to="1872,716" stroked="true" strokeweight=".96001pt" strokecolor="#000000">
              <v:stroke dashstyle="solid"/>
            </v:line>
            <v:rect style="position:absolute;left:1872;top:706;width:20;height:20" filled="true" fillcolor="#000000" stroked="false">
              <v:fill type="solid"/>
            </v:rect>
            <v:line style="position:absolute" from="1892,716" to="3673,716" stroked="true" strokeweight=".96001pt" strokecolor="#000000">
              <v:stroke dashstyle="solid"/>
            </v:line>
            <v:rect style="position:absolute;left:3673;top:706;width:20;height:20" filled="true" fillcolor="#000000" stroked="false">
              <v:fill type="solid"/>
            </v:rect>
            <v:line style="position:absolute" from="3692,716" to="10994,716" stroked="true" strokeweight=".96001pt" strokecolor="#000000">
              <v:stroke dashstyle="solid"/>
            </v:line>
            <w10:wrap type="topAndBottom"/>
          </v:group>
        </w:pict>
      </w:r>
      <w:r>
        <w:rPr>
          <w:rFonts w:ascii="Yu Gothic" w:hAnsi="Yu Gothic" w:eastAsia="Yu Gothic" w:hint="eastAsia"/>
          <w:position w:val="-3"/>
          <w:sz w:val="40"/>
        </w:rPr>
        <w:t></w:t>
        <w:tab/>
      </w:r>
      <w:r>
        <w:rPr/>
        <w:t>其他需要关注的事项</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2"/>
          <w:w w:val="99"/>
        </w:rPr>
        <w:t> </w:t>
      </w:r>
      <w:r>
        <w:rPr>
          <w:w w:val="99"/>
        </w:rPr>
        <w:t>  </w:t>
      </w:r>
      <w:r>
        <w:rPr>
          <w:spacing w:val="1"/>
          <w:w w:val="99"/>
        </w:rPr>
        <w:t> </w:t>
      </w:r>
      <w:r>
        <w:rPr>
          <w:w w:val="99"/>
        </w:rPr>
        <w:t>   </w:t>
      </w:r>
    </w:p>
    <w:p>
      <w:pPr>
        <w:pStyle w:val="BodyText"/>
        <w:tabs>
          <w:tab w:pos="1180" w:val="left" w:leader="none"/>
          <w:tab w:pos="2980" w:val="left" w:leader="none"/>
        </w:tabs>
        <w:spacing w:before="0"/>
        <w:ind w:left="220"/>
      </w:pPr>
      <w:r>
        <w:rPr>
          <w:w w:val="100"/>
        </w:rPr>
        <w:t> </w:t>
      </w:r>
      <w:r>
        <w:rPr/>
        <w:tab/>
      </w:r>
      <w:r>
        <w:rPr>
          <w:w w:val="100"/>
        </w:rPr>
        <w:t> </w:t>
      </w:r>
      <w:r>
        <w:rPr/>
        <w:tab/>
      </w:r>
      <w:r>
        <w:rPr>
          <w:w w:val="100"/>
        </w:rPr>
        <w:t> </w:t>
      </w:r>
    </w:p>
    <w:p>
      <w:pPr>
        <w:spacing w:after="0"/>
        <w:sectPr>
          <w:pgSz w:w="11910" w:h="16840"/>
          <w:pgMar w:top="1080" w:bottom="280" w:left="800" w:right="780"/>
        </w:sectPr>
      </w:pPr>
    </w:p>
    <w:p>
      <w:pPr>
        <w:pStyle w:val="Heading2"/>
        <w:numPr>
          <w:ilvl w:val="1"/>
          <w:numId w:val="6"/>
        </w:numPr>
        <w:tabs>
          <w:tab w:pos="846" w:val="left" w:leader="none"/>
        </w:tabs>
        <w:spacing w:line="240" w:lineRule="auto" w:before="37" w:after="0"/>
        <w:ind w:left="1180" w:right="0" w:hanging="653"/>
        <w:jc w:val="left"/>
      </w:pPr>
      <w:r>
        <w:rPr/>
        <w:t>明确说明与如实</w:t>
      </w:r>
    </w:p>
    <w:p>
      <w:pPr>
        <w:spacing w:before="37"/>
        <w:ind w:left="1180" w:right="0" w:firstLine="0"/>
        <w:jc w:val="left"/>
        <w:rPr>
          <w:b/>
          <w:sz w:val="21"/>
        </w:rPr>
      </w:pPr>
      <w:r>
        <w:rPr>
          <w:b/>
          <w:sz w:val="21"/>
        </w:rPr>
        <w:t>告知</w:t>
      </w:r>
      <w:r>
        <w:rPr>
          <w:b/>
          <w:w w:val="99"/>
          <w:sz w:val="21"/>
        </w:rPr>
        <w:t>            </w:t>
      </w:r>
    </w:p>
    <w:p>
      <w:pPr>
        <w:pStyle w:val="BodyText"/>
        <w:ind w:left="70"/>
      </w:pPr>
      <w:r>
        <w:rPr/>
        <w:br w:type="column"/>
      </w:r>
      <w:r>
        <w:rPr/>
        <w:t>订立本合同时，我们应向您说明本合同的内容。 </w:t>
      </w:r>
    </w:p>
    <w:p>
      <w:pPr>
        <w:pStyle w:val="BodyText"/>
        <w:ind w:left="70"/>
      </w:pPr>
      <w:r>
        <w:rPr>
          <w:w w:val="100"/>
        </w:rPr>
        <w:t> </w:t>
      </w:r>
    </w:p>
    <w:p>
      <w:pPr>
        <w:pStyle w:val="BodyText"/>
        <w:spacing w:line="273" w:lineRule="auto"/>
        <w:ind w:left="70" w:right="127"/>
        <w:jc w:val="both"/>
      </w:pPr>
      <w:r>
        <w:rPr>
          <w:spacing w:val="-5"/>
        </w:rPr>
        <w:t>对保险条款中免除我们责任的条款，我们在订立合同时应当在投保单、保险单</w:t>
      </w:r>
      <w:r>
        <w:rPr>
          <w:spacing w:val="-6"/>
        </w:rPr>
        <w:t>或者其他保险凭证上作出足以引起您注意的提示，并对该条款的内容以书面或</w:t>
      </w:r>
      <w:r>
        <w:rPr>
          <w:spacing w:val="-12"/>
        </w:rPr>
        <w:t>者口头形式向您作出明确说明，未作提示或者明确说明的，该条款不产生效力。</w:t>
      </w:r>
    </w:p>
    <w:p>
      <w:pPr>
        <w:pStyle w:val="BodyText"/>
        <w:spacing w:before="7"/>
        <w:ind w:left="70"/>
      </w:pPr>
      <w:r>
        <w:rPr>
          <w:w w:val="100"/>
        </w:rPr>
        <w:t> </w:t>
      </w:r>
    </w:p>
    <w:p>
      <w:pPr>
        <w:pStyle w:val="BodyText"/>
        <w:spacing w:before="36"/>
        <w:ind w:left="70"/>
      </w:pPr>
      <w:r>
        <w:rPr/>
        <w:t>我们就您和被保险人的有关情况提出询问，您应当如实告知。 </w:t>
      </w:r>
    </w:p>
    <w:p>
      <w:pPr>
        <w:pStyle w:val="BodyText"/>
        <w:spacing w:before="36"/>
        <w:ind w:left="70"/>
      </w:pPr>
      <w:r>
        <w:rPr>
          <w:w w:val="100"/>
        </w:rPr>
        <w:t> </w:t>
      </w:r>
    </w:p>
    <w:p>
      <w:pPr>
        <w:pStyle w:val="BodyText"/>
        <w:spacing w:line="273" w:lineRule="auto" w:before="36"/>
        <w:ind w:left="70" w:right="236"/>
      </w:pPr>
      <w:r>
        <w:rPr>
          <w:spacing w:val="-5"/>
          <w:shd w:fill="D9D9D9" w:color="auto" w:val="clear"/>
        </w:rPr>
        <w:t>如果您故意或者因重大过失未履行前款规定的如实告知义务，足以影响我们决</w:t>
      </w:r>
      <w:r>
        <w:rPr>
          <w:spacing w:val="-209"/>
          <w:shd w:fill="D9D9D9" w:color="auto" w:val="clear"/>
        </w:rPr>
        <w:t>定</w:t>
      </w:r>
      <w:r>
        <w:rPr>
          <w:spacing w:val="-3"/>
          <w:shd w:fill="D9D9D9" w:color="auto" w:val="clear"/>
        </w:rPr>
        <w:t>是否同意承保或者提高保险费率的，我们有权解除本合同。</w:t>
      </w:r>
      <w:r>
        <w:rPr/>
        <w:t> </w:t>
      </w:r>
    </w:p>
    <w:p>
      <w:pPr>
        <w:pStyle w:val="BodyText"/>
        <w:spacing w:before="7"/>
        <w:ind w:left="70"/>
      </w:pPr>
      <w:r>
        <w:rPr>
          <w:w w:val="100"/>
        </w:rPr>
        <w:t> </w:t>
      </w:r>
    </w:p>
    <w:p>
      <w:pPr>
        <w:pStyle w:val="BodyText"/>
        <w:spacing w:line="273" w:lineRule="auto"/>
        <w:ind w:left="70" w:right="235"/>
      </w:pPr>
      <w:r>
        <w:rPr>
          <w:spacing w:val="-6"/>
          <w:shd w:fill="D9D9D9" w:color="auto" w:val="clear"/>
        </w:rPr>
        <w:t>如果您故意不履行如实告知义务，对于本合同解除前发生的保险事故，我们不</w:t>
      </w:r>
      <w:r>
        <w:rPr>
          <w:spacing w:val="-207"/>
          <w:shd w:fill="D9D9D9" w:color="auto" w:val="clear"/>
        </w:rPr>
        <w:t>承</w:t>
      </w:r>
      <w:r>
        <w:rPr>
          <w:spacing w:val="-3"/>
          <w:shd w:fill="D9D9D9" w:color="auto" w:val="clear"/>
        </w:rPr>
        <w:t>担给付保险金的责任，并不退还保险费。</w:t>
      </w:r>
      <w:r>
        <w:rPr/>
        <w:t> </w:t>
      </w:r>
    </w:p>
    <w:p>
      <w:pPr>
        <w:pStyle w:val="BodyText"/>
        <w:spacing w:before="7"/>
        <w:ind w:left="70"/>
      </w:pPr>
      <w:r>
        <w:rPr>
          <w:w w:val="100"/>
        </w:rPr>
        <w:t> </w:t>
      </w:r>
    </w:p>
    <w:p>
      <w:pPr>
        <w:pStyle w:val="BodyText"/>
        <w:spacing w:line="273" w:lineRule="auto" w:before="36"/>
        <w:ind w:left="70" w:right="235"/>
        <w:jc w:val="both"/>
      </w:pPr>
      <w:r>
        <w:rPr>
          <w:spacing w:val="-5"/>
          <w:shd w:fill="D9D9D9" w:color="auto" w:val="clear"/>
        </w:rPr>
        <w:t>如果您因重大过失未履行如实告知义务，对保险事故的发生有严重影响的，对</w:t>
      </w:r>
      <w:r>
        <w:rPr>
          <w:spacing w:val="-4"/>
          <w:shd w:fill="D9D9D9" w:color="auto" w:val="clear"/>
        </w:rPr>
        <w:t>于本合同</w:t>
      </w:r>
      <w:r>
        <w:rPr>
          <w:spacing w:val="-18"/>
          <w:shd w:fill="D9D9D9" w:color="auto" w:val="clear"/>
        </w:rPr>
        <w:t>解除前发生的保险事故，我们不承担给付保险金的责任，但应当退还保</w:t>
      </w:r>
      <w:r>
        <w:rPr>
          <w:spacing w:val="-9"/>
          <w:shd w:fill="D9D9D9" w:color="auto" w:val="clear"/>
        </w:rPr>
        <w:t>险费。</w:t>
      </w:r>
      <w:r>
        <w:rPr/>
        <w:t> </w:t>
      </w:r>
    </w:p>
    <w:p>
      <w:pPr>
        <w:pStyle w:val="BodyText"/>
        <w:spacing w:before="7"/>
        <w:ind w:left="70"/>
      </w:pPr>
      <w:r>
        <w:rPr>
          <w:w w:val="100"/>
        </w:rPr>
        <w:t> </w:t>
      </w:r>
    </w:p>
    <w:p>
      <w:pPr>
        <w:pStyle w:val="BodyText"/>
        <w:spacing w:line="273" w:lineRule="auto"/>
        <w:ind w:left="70" w:right="190"/>
      </w:pPr>
      <w:r>
        <w:rPr/>
        <w:t>我们在合同订立时已经知道您未如实告知的情况的，我们不得解除合同；发生保险事故的，我们承担给付保险金的责任。 </w:t>
      </w:r>
    </w:p>
    <w:p>
      <w:pPr>
        <w:spacing w:after="0" w:line="273" w:lineRule="auto"/>
        <w:sectPr>
          <w:type w:val="continuous"/>
          <w:pgSz w:w="11910" w:h="16840"/>
          <w:pgMar w:top="720" w:bottom="280" w:left="800" w:right="780"/>
          <w:cols w:num="2" w:equalWidth="0">
            <w:col w:w="2871" w:space="40"/>
            <w:col w:w="7419"/>
          </w:cols>
        </w:sectPr>
      </w:pPr>
    </w:p>
    <w:p>
      <w:pPr>
        <w:pStyle w:val="BodyText"/>
        <w:spacing w:before="8"/>
        <w:ind w:left="0"/>
      </w:pPr>
    </w:p>
    <w:p>
      <w:pPr>
        <w:spacing w:after="0"/>
        <w:sectPr>
          <w:type w:val="continuous"/>
          <w:pgSz w:w="11910" w:h="16840"/>
          <w:pgMar w:top="720" w:bottom="280" w:left="800" w:right="780"/>
        </w:sectPr>
      </w:pPr>
    </w:p>
    <w:p>
      <w:pPr>
        <w:pStyle w:val="Heading2"/>
        <w:numPr>
          <w:ilvl w:val="1"/>
          <w:numId w:val="6"/>
        </w:numPr>
        <w:tabs>
          <w:tab w:pos="846" w:val="left" w:leader="none"/>
          <w:tab w:pos="1180" w:val="left" w:leader="none"/>
        </w:tabs>
        <w:spacing w:line="273" w:lineRule="auto" w:before="36" w:after="0"/>
        <w:ind w:left="1180" w:right="0" w:hanging="653"/>
        <w:jc w:val="left"/>
      </w:pPr>
      <w:r>
        <w:rPr/>
        <w:t>我们合同解除权的</w:t>
      </w:r>
      <w:r>
        <w:rPr>
          <w:spacing w:val="-1"/>
        </w:rPr>
        <w:t>限制</w:t>
      </w:r>
      <w:r>
        <w:rPr>
          <w:spacing w:val="-1"/>
          <w:w w:val="99"/>
        </w:rPr>
        <w:t> </w:t>
      </w:r>
    </w:p>
    <w:p>
      <w:pPr>
        <w:pStyle w:val="BodyText"/>
        <w:spacing w:before="36"/>
        <w:ind w:left="282"/>
      </w:pPr>
      <w:r>
        <w:rPr/>
        <w:br w:type="column"/>
      </w:r>
      <w:r>
        <w:rPr/>
        <w:t>前条规定的合同解除权，自我们知道有解除事由之日起，超过 30 日不行使而</w:t>
      </w:r>
    </w:p>
    <w:p>
      <w:pPr>
        <w:pStyle w:val="BodyText"/>
        <w:spacing w:line="273" w:lineRule="auto" w:before="36"/>
        <w:ind w:left="282" w:right="236"/>
      </w:pPr>
      <w:r>
        <w:rPr>
          <w:spacing w:val="-6"/>
        </w:rPr>
        <w:t>消灭。自本合同成立或复效之日起超过 </w:t>
      </w:r>
      <w:r>
        <w:rPr/>
        <w:t>2</w:t>
      </w:r>
      <w:r>
        <w:rPr>
          <w:spacing w:val="-10"/>
        </w:rPr>
        <w:t> 年的，我们不得解除合同；发生保险</w:t>
      </w:r>
      <w:r>
        <w:rPr>
          <w:spacing w:val="-5"/>
        </w:rPr>
        <w:t>事故的，我们承担给付保险金的责任。</w:t>
      </w:r>
      <w:r>
        <w:rPr/>
        <w:t> </w:t>
      </w:r>
    </w:p>
    <w:p>
      <w:pPr>
        <w:spacing w:after="0" w:line="273" w:lineRule="auto"/>
        <w:sectPr>
          <w:type w:val="continuous"/>
          <w:pgSz w:w="11910" w:h="16840"/>
          <w:pgMar w:top="720" w:bottom="280" w:left="800" w:right="780"/>
          <w:cols w:num="2" w:equalWidth="0">
            <w:col w:w="2659" w:space="40"/>
            <w:col w:w="7631"/>
          </w:cols>
        </w:sectPr>
      </w:pPr>
    </w:p>
    <w:p>
      <w:pPr>
        <w:pStyle w:val="Heading2"/>
        <w:tabs>
          <w:tab w:pos="1180"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6"/>
        </w:numPr>
        <w:tabs>
          <w:tab w:pos="846" w:val="left" w:leader="none"/>
          <w:tab w:pos="2980" w:val="left" w:leader="none"/>
        </w:tabs>
        <w:spacing w:line="273" w:lineRule="auto" w:before="37" w:after="0"/>
        <w:ind w:left="2981" w:right="236" w:hanging="2454"/>
        <w:jc w:val="left"/>
        <w:rPr>
          <w:sz w:val="21"/>
        </w:rPr>
      </w:pPr>
      <w:r>
        <w:rPr>
          <w:b/>
          <w:sz w:val="21"/>
        </w:rPr>
        <w:t>年龄错</w:t>
      </w:r>
      <w:r>
        <w:rPr>
          <w:b/>
          <w:spacing w:val="-3"/>
          <w:sz w:val="21"/>
        </w:rPr>
        <w:t>误</w:t>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37"/>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w:t>
      </w:r>
      <w:r>
        <w:rPr>
          <w:spacing w:val="-5"/>
          <w:sz w:val="21"/>
        </w:rPr>
        <w:t>单</w:t>
      </w:r>
      <w:r>
        <w:rPr>
          <w:sz w:val="21"/>
        </w:rPr>
        <w:t>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7"/>
        <w:ind w:left="3485" w:right="163" w:hanging="504"/>
      </w:pPr>
      <w:r>
        <w:rPr>
          <w:shd w:fill="D9D9D9" w:color="auto" w:val="clear"/>
        </w:rPr>
        <w:t>（1）您申报的被保险人年龄不真实，并且其真实年龄不符合本合同约定投保年龄限制的，在保险事故发生之前我们有权解除合同，并向您退还保险</w:t>
      </w:r>
      <w:r>
        <w:rPr>
          <w:spacing w:val="-134"/>
          <w:shd w:fill="D9D9D9" w:color="auto" w:val="clear"/>
        </w:rPr>
        <w:t>单</w:t>
      </w:r>
      <w:r>
        <w:rPr>
          <w:spacing w:val="-3"/>
          <w:shd w:fill="D9D9D9" w:color="auto" w:val="clear"/>
        </w:rPr>
        <w:t>的现金价值。我们行使合同解除权适用“</w:t>
      </w:r>
      <w:r>
        <w:rPr>
          <w:shd w:fill="D9D9D9" w:color="auto" w:val="clear"/>
        </w:rPr>
        <w:t>8.2</w:t>
      </w:r>
      <w:r>
        <w:rPr>
          <w:spacing w:val="-6"/>
          <w:shd w:fill="D9D9D9" w:color="auto" w:val="clear"/>
        </w:rPr>
        <w:t> 我们合同解除权的限制”的</w:t>
      </w:r>
      <w:r>
        <w:rPr>
          <w:spacing w:val="-2"/>
          <w:shd w:fill="D9D9D9" w:color="auto" w:val="clear"/>
        </w:rPr>
        <w:t>规定；</w:t>
      </w:r>
      <w:r>
        <w:rPr>
          <w:spacing w:val="-3"/>
          <w:shd w:fill="D9D9D9" w:color="auto" w:val="clear"/>
        </w:rPr>
        <w:t> </w:t>
      </w:r>
      <w:r>
        <w:rPr/>
        <w:t> </w:t>
      </w:r>
    </w:p>
    <w:p>
      <w:pPr>
        <w:pStyle w:val="BodyText"/>
        <w:spacing w:line="273" w:lineRule="auto" w:before="7"/>
        <w:ind w:left="3487" w:right="240" w:hanging="507"/>
        <w:jc w:val="both"/>
      </w:pPr>
      <w:r>
        <w:rPr>
          <w:shd w:fill="D9D9D9" w:color="auto" w:val="clear"/>
        </w:rPr>
        <w:t>（2）您申报的被保险人年龄不真实，致使您实付保险费少于应付保险费的， 我们有权更正并要求您补交保险费；若已经发生保险事故，在给付保险金时</w:t>
      </w:r>
      <w:r>
        <w:rPr>
          <w:spacing w:val="-212"/>
          <w:shd w:fill="D9D9D9" w:color="auto" w:val="clear"/>
        </w:rPr>
        <w:t>按</w:t>
      </w:r>
      <w:r>
        <w:rPr>
          <w:spacing w:val="-3"/>
          <w:shd w:fill="D9D9D9" w:color="auto" w:val="clear"/>
        </w:rPr>
        <w:t>实付保险费与应付保险费的比例给付；</w:t>
      </w:r>
      <w:r>
        <w:rPr/>
        <w:t> </w:t>
      </w:r>
    </w:p>
    <w:p>
      <w:pPr>
        <w:pStyle w:val="BodyText"/>
        <w:spacing w:line="273" w:lineRule="auto" w:before="7"/>
        <w:ind w:left="3506" w:right="240" w:hanging="526"/>
      </w:pPr>
      <w:r>
        <w:rPr/>
        <w:t>（3）您申报的被保险人年龄不真实，致使您实付保险费多于应付保险费的， 我们会将多收的保险费退还给您。 </w:t>
      </w:r>
    </w:p>
    <w:p>
      <w:pPr>
        <w:pStyle w:val="Heading2"/>
        <w:tabs>
          <w:tab w:pos="1180" w:val="left" w:leader="none"/>
        </w:tabs>
        <w:spacing w:before="8"/>
        <w:ind w:left="527"/>
      </w:pPr>
      <w:r>
        <w:rPr>
          <w:w w:val="99"/>
        </w:rPr>
        <w:t> </w:t>
      </w:r>
      <w:r>
        <w:rPr/>
        <w:tab/>
      </w:r>
      <w:r>
        <w:rPr>
          <w:w w:val="99"/>
        </w:rPr>
        <w:t> </w:t>
      </w:r>
    </w:p>
    <w:p>
      <w:pPr>
        <w:pStyle w:val="ListParagraph"/>
        <w:numPr>
          <w:ilvl w:val="1"/>
          <w:numId w:val="6"/>
        </w:numPr>
        <w:tabs>
          <w:tab w:pos="846" w:val="left" w:leader="none"/>
          <w:tab w:pos="1180" w:val="left" w:leader="none"/>
          <w:tab w:pos="2980" w:val="left" w:leader="none"/>
        </w:tabs>
        <w:spacing w:line="240" w:lineRule="auto" w:before="37" w:after="0"/>
        <w:ind w:left="1180" w:right="0" w:hanging="653"/>
        <w:jc w:val="left"/>
        <w:rPr>
          <w:sz w:val="21"/>
        </w:rPr>
      </w:pPr>
      <w:r>
        <w:rPr>
          <w:b/>
          <w:sz w:val="21"/>
        </w:rPr>
        <w:t>未还款</w:t>
      </w:r>
      <w:r>
        <w:rPr>
          <w:b/>
          <w:spacing w:val="-3"/>
          <w:sz w:val="21"/>
        </w:rPr>
        <w:t>项</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2"/>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退</w:t>
      </w:r>
      <w:r>
        <w:rPr>
          <w:spacing w:val="-3"/>
          <w:sz w:val="21"/>
        </w:rPr>
        <w:t>还</w:t>
      </w:r>
      <w:r>
        <w:rPr>
          <w:sz w:val="21"/>
        </w:rPr>
        <w:t>保</w:t>
      </w:r>
      <w:r>
        <w:rPr>
          <w:spacing w:val="-3"/>
          <w:sz w:val="21"/>
        </w:rPr>
        <w:t>险</w:t>
      </w:r>
      <w:r>
        <w:rPr>
          <w:sz w:val="21"/>
        </w:rPr>
        <w:t>费</w:t>
      </w:r>
      <w:r>
        <w:rPr>
          <w:spacing w:val="-3"/>
          <w:sz w:val="21"/>
        </w:rPr>
        <w:t>时</w:t>
      </w:r>
      <w:r>
        <w:rPr>
          <w:spacing w:val="-17"/>
          <w:sz w:val="21"/>
        </w:rPr>
        <w:t>，</w:t>
      </w:r>
      <w:r>
        <w:rPr>
          <w:spacing w:val="-3"/>
          <w:sz w:val="21"/>
        </w:rPr>
        <w:t>如</w:t>
      </w:r>
      <w:r>
        <w:rPr>
          <w:sz w:val="21"/>
        </w:rPr>
        <w:t>果</w:t>
      </w:r>
      <w:r>
        <w:rPr>
          <w:spacing w:val="-3"/>
          <w:sz w:val="21"/>
        </w:rPr>
        <w:t>您</w:t>
      </w:r>
      <w:r>
        <w:rPr>
          <w:sz w:val="21"/>
        </w:rPr>
        <w:t>有</w:t>
      </w:r>
      <w:r>
        <w:rPr>
          <w:spacing w:val="-3"/>
          <w:sz w:val="21"/>
        </w:rPr>
        <w:t>欠</w:t>
      </w:r>
      <w:r>
        <w:rPr>
          <w:sz w:val="21"/>
        </w:rPr>
        <w:t>交</w:t>
      </w:r>
      <w:r>
        <w:rPr>
          <w:spacing w:val="-3"/>
          <w:sz w:val="21"/>
        </w:rPr>
        <w:t>的保</w:t>
      </w:r>
      <w:r>
        <w:rPr>
          <w:sz w:val="21"/>
        </w:rPr>
        <w:t>险</w:t>
      </w:r>
    </w:p>
    <w:p>
      <w:pPr>
        <w:spacing w:after="0" w:line="240" w:lineRule="auto"/>
        <w:jc w:val="left"/>
        <w:rPr>
          <w:sz w:val="21"/>
        </w:rPr>
        <w:sectPr>
          <w:type w:val="continuous"/>
          <w:pgSz w:w="11910" w:h="16840"/>
          <w:pgMar w:top="720" w:bottom="280" w:left="800" w:right="780"/>
        </w:sectPr>
      </w:pPr>
    </w:p>
    <w:p>
      <w:pPr>
        <w:pStyle w:val="BodyText"/>
        <w:spacing w:before="22"/>
        <w:ind w:left="2981"/>
      </w:pPr>
      <w:r>
        <w:rPr/>
        <w:t>费、保单贷款或其他各项欠款，我们在扣除上述各项欠款及应付利息后给付。 </w:t>
      </w:r>
    </w:p>
    <w:p>
      <w:pPr>
        <w:pStyle w:val="Heading2"/>
        <w:tabs>
          <w:tab w:pos="1180" w:val="left" w:leader="none"/>
          <w:tab w:pos="2980" w:val="left" w:leader="none"/>
        </w:tabs>
        <w:spacing w:before="37"/>
        <w:ind w:left="527"/>
        <w:rPr>
          <w:b w:val="0"/>
        </w:rPr>
      </w:pPr>
      <w:r>
        <w:rPr>
          <w:w w:val="99"/>
        </w:rPr>
        <w:t> </w:t>
      </w:r>
      <w:r>
        <w:rPr/>
        <w:tab/>
      </w:r>
      <w:r>
        <w:rPr>
          <w:w w:val="99"/>
        </w:rPr>
        <w:t> </w:t>
      </w:r>
      <w:r>
        <w:rPr/>
        <w:tab/>
      </w:r>
      <w:r>
        <w:rPr>
          <w:b w:val="0"/>
          <w:w w:val="100"/>
        </w:rPr>
        <w:t> </w:t>
      </w:r>
    </w:p>
    <w:p>
      <w:pPr>
        <w:pStyle w:val="ListParagraph"/>
        <w:numPr>
          <w:ilvl w:val="1"/>
          <w:numId w:val="6"/>
        </w:numPr>
        <w:tabs>
          <w:tab w:pos="846" w:val="left" w:leader="none"/>
        </w:tabs>
        <w:spacing w:line="273" w:lineRule="auto" w:before="36" w:after="0"/>
        <w:ind w:left="2981" w:right="236" w:hanging="2454"/>
        <w:jc w:val="both"/>
        <w:rPr>
          <w:sz w:val="21"/>
        </w:rPr>
      </w:pPr>
      <w:r>
        <w:rPr>
          <w:b/>
          <w:spacing w:val="2"/>
          <w:sz w:val="21"/>
        </w:rPr>
        <w:t>合同内容变更     </w:t>
      </w:r>
      <w:r>
        <w:rPr>
          <w:spacing w:val="-7"/>
          <w:sz w:val="21"/>
        </w:rPr>
        <w:t>在本合同有效期内，经您与我们协商一致，可以变更本合同内容。变更本合同内</w:t>
      </w:r>
      <w:r>
        <w:rPr>
          <w:spacing w:val="-8"/>
          <w:sz w:val="21"/>
        </w:rPr>
        <w:t>容的，应当由我们在保险单或其他保险凭证上批注或附贴批单，或由您与我们</w:t>
      </w:r>
      <w:r>
        <w:rPr>
          <w:spacing w:val="-4"/>
          <w:sz w:val="21"/>
        </w:rPr>
        <w:t>订立书面的变更协议。</w:t>
      </w:r>
      <w:r>
        <w:rPr>
          <w:sz w:val="21"/>
        </w:rPr>
        <w:t> </w:t>
      </w:r>
    </w:p>
    <w:p>
      <w:pPr>
        <w:pStyle w:val="Heading2"/>
        <w:tabs>
          <w:tab w:pos="1180"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6"/>
        </w:numPr>
        <w:tabs>
          <w:tab w:pos="846" w:val="left" w:leader="none"/>
        </w:tabs>
        <w:spacing w:line="273" w:lineRule="auto" w:before="37" w:after="0"/>
        <w:ind w:left="2981" w:right="235" w:hanging="2454"/>
        <w:jc w:val="both"/>
        <w:rPr>
          <w:sz w:val="21"/>
        </w:rPr>
      </w:pPr>
      <w:r>
        <w:rPr>
          <w:b/>
          <w:spacing w:val="2"/>
          <w:sz w:val="21"/>
        </w:rPr>
        <w:t>联系方式变更     </w:t>
      </w:r>
      <w:r>
        <w:rPr>
          <w:spacing w:val="-7"/>
          <w:sz w:val="21"/>
        </w:rPr>
        <w:t>为了保障您的合法权益，您的住所、通讯地址或电话等联系方式变更时，请及时</w:t>
      </w:r>
      <w:r>
        <w:rPr>
          <w:spacing w:val="-6"/>
          <w:sz w:val="21"/>
        </w:rPr>
        <w:t>以书面形式或双方认可的其他形式通知我们。若您未以书面形式或双方认可的</w:t>
      </w:r>
      <w:r>
        <w:rPr>
          <w:spacing w:val="-8"/>
          <w:sz w:val="21"/>
        </w:rPr>
        <w:t>其他形式通知我们，我们按本合同载明的最后住所或通讯地址发送的有关通知</w:t>
      </w:r>
      <w:r>
        <w:rPr>
          <w:spacing w:val="-4"/>
          <w:sz w:val="21"/>
        </w:rPr>
        <w:t>，均视为已送达给您。</w:t>
      </w:r>
      <w:r>
        <w:rPr>
          <w:sz w:val="21"/>
        </w:rPr>
        <w:t> </w:t>
      </w:r>
    </w:p>
    <w:p>
      <w:pPr>
        <w:pStyle w:val="Heading2"/>
        <w:tabs>
          <w:tab w:pos="1180" w:val="left" w:leader="none"/>
          <w:tab w:pos="2980" w:val="left" w:leader="none"/>
        </w:tabs>
        <w:spacing w:before="8"/>
        <w:ind w:left="527"/>
        <w:rPr>
          <w:b w:val="0"/>
        </w:rPr>
      </w:pPr>
      <w:r>
        <w:rPr>
          <w:w w:val="99"/>
        </w:rPr>
        <w:t> </w:t>
      </w:r>
      <w:r>
        <w:rPr/>
        <w:tab/>
      </w:r>
      <w:r>
        <w:rPr>
          <w:w w:val="99"/>
        </w:rPr>
        <w:t> </w:t>
      </w:r>
      <w:r>
        <w:rPr/>
        <w:tab/>
      </w:r>
      <w:r>
        <w:rPr>
          <w:b w:val="0"/>
          <w:w w:val="100"/>
        </w:rPr>
        <w:t> </w:t>
      </w:r>
    </w:p>
    <w:p>
      <w:pPr>
        <w:pStyle w:val="ListParagraph"/>
        <w:numPr>
          <w:ilvl w:val="1"/>
          <w:numId w:val="6"/>
        </w:numPr>
        <w:tabs>
          <w:tab w:pos="846" w:val="left" w:leader="none"/>
        </w:tabs>
        <w:spacing w:line="273" w:lineRule="auto" w:before="37" w:after="0"/>
        <w:ind w:left="2981" w:right="235" w:hanging="2454"/>
        <w:jc w:val="both"/>
        <w:rPr>
          <w:sz w:val="21"/>
        </w:rPr>
      </w:pPr>
      <w:r>
        <w:rPr>
          <w:b/>
          <w:spacing w:val="2"/>
          <w:sz w:val="21"/>
        </w:rPr>
        <w:t>争议处理         </w:t>
      </w:r>
      <w:r>
        <w:rPr>
          <w:spacing w:val="-8"/>
          <w:sz w:val="21"/>
        </w:rPr>
        <w:t>本合同履行过程中，双方发生争议时，由双方协商解决，协商不成的，可以从下</w:t>
      </w:r>
      <w:r>
        <w:rPr>
          <w:spacing w:val="-4"/>
          <w:sz w:val="21"/>
        </w:rPr>
        <w:t>列两种方式中选择一种争议处理方式：</w:t>
      </w:r>
    </w:p>
    <w:p>
      <w:pPr>
        <w:pStyle w:val="BodyText"/>
        <w:spacing w:before="7"/>
        <w:ind w:left="2981"/>
      </w:pPr>
      <w:r>
        <w:rPr/>
        <w:t>（</w:t>
      </w:r>
      <w:r>
        <w:rPr>
          <w:rFonts w:ascii="Times New Roman" w:eastAsia="Times New Roman"/>
        </w:rPr>
        <w:t>1</w:t>
      </w:r>
      <w:r>
        <w:rPr/>
        <w:t>）提交双方选定的仲裁委员会仲裁；</w:t>
      </w:r>
    </w:p>
    <w:p>
      <w:pPr>
        <w:pStyle w:val="BodyText"/>
        <w:spacing w:before="21"/>
        <w:ind w:left="2976"/>
      </w:pPr>
      <w:r>
        <w:rPr/>
        <w:t>（</w:t>
      </w:r>
      <w:r>
        <w:rPr>
          <w:rFonts w:ascii="Times New Roman" w:eastAsia="Times New Roman"/>
        </w:rPr>
        <w:t>2</w:t>
      </w:r>
      <w:r>
        <w:rPr/>
        <w:t>）依法提交人民法院起诉。 </w:t>
      </w:r>
    </w:p>
    <w:p>
      <w:pPr>
        <w:pStyle w:val="BodyText"/>
        <w:tabs>
          <w:tab w:pos="1180" w:val="left" w:leader="none"/>
          <w:tab w:pos="2980" w:val="left" w:leader="none"/>
        </w:tabs>
        <w:spacing w:line="242" w:lineRule="exact" w:before="21"/>
        <w:ind w:left="220"/>
      </w:pPr>
      <w:r>
        <w:rPr>
          <w:w w:val="100"/>
        </w:rPr>
        <w:t> </w:t>
      </w:r>
      <w:r>
        <w:rPr/>
        <w:tab/>
      </w:r>
      <w:r>
        <w:rPr>
          <w:w w:val="100"/>
        </w:rPr>
        <w:t> </w:t>
      </w:r>
      <w:r>
        <w:rPr/>
        <w:tab/>
      </w:r>
      <w:r>
        <w:rPr>
          <w:w w:val="100"/>
        </w:rPr>
        <w:t> </w:t>
      </w:r>
    </w:p>
    <w:p>
      <w:pPr>
        <w:pStyle w:val="Heading1"/>
        <w:tabs>
          <w:tab w:pos="1180" w:val="left" w:leader="none"/>
        </w:tabs>
        <w:ind w:left="417"/>
      </w:pPr>
      <w:r>
        <w:rPr/>
        <w:pict>
          <v:group style="position:absolute;margin-left:45.599998pt;margin-top:35.336506pt;width:504.15pt;height:1pt;mso-position-horizontal-relative:page;mso-position-vertical-relative:paragraph;z-index:1192;mso-wrap-distance-left:0;mso-wrap-distance-right:0" coordorigin="912,707" coordsize="10083,20">
            <v:line style="position:absolute" from="912,716" to="1872,716" stroked="true" strokeweight=".95999pt" strokecolor="#000000">
              <v:stroke dashstyle="solid"/>
            </v:line>
            <v:rect style="position:absolute;left:1872;top:706;width:20;height:20" filled="true" fillcolor="#000000" stroked="false">
              <v:fill type="solid"/>
            </v:rect>
            <v:line style="position:absolute" from="1892,716" to="3673,716" stroked="true" strokeweight=".95999pt" strokecolor="#000000">
              <v:stroke dashstyle="solid"/>
            </v:line>
            <v:rect style="position:absolute;left:3673;top:706;width:20;height:20" filled="true" fillcolor="#000000" stroked="false">
              <v:fill type="solid"/>
            </v:rect>
            <v:line style="position:absolute" from="3692,716" to="10994,716" stroked="true" strokeweight=".95999pt" strokecolor="#000000">
              <v:stroke dashstyle="solid"/>
            </v:line>
            <w10:wrap type="topAndBottom"/>
          </v:group>
        </w:pict>
      </w:r>
      <w:r>
        <w:rPr>
          <w:rFonts w:ascii="Yu Gothic" w:hAnsi="Yu Gothic" w:eastAsia="Yu Gothic" w:hint="eastAsia"/>
          <w:position w:val="-3"/>
          <w:sz w:val="40"/>
        </w:rPr>
        <w:t></w:t>
        <w:tab/>
      </w:r>
      <w:r>
        <w:rPr>
          <w:w w:val="95"/>
        </w:rPr>
        <w:t>释义</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r>
        <w:rPr>
          <w:spacing w:val="1"/>
          <w:w w:val="99"/>
        </w:rPr>
        <w:t> </w:t>
      </w:r>
      <w:r>
        <w:rPr>
          <w:w w:val="99"/>
        </w:rPr>
        <w:t>   </w:t>
      </w:r>
    </w:p>
    <w:p>
      <w:pPr>
        <w:pStyle w:val="BodyText"/>
        <w:tabs>
          <w:tab w:pos="1180" w:val="left" w:leader="none"/>
          <w:tab w:pos="2980" w:val="left" w:leader="none"/>
        </w:tabs>
        <w:spacing w:before="0"/>
        <w:ind w:left="220"/>
      </w:pPr>
      <w:r>
        <w:rPr>
          <w:w w:val="100"/>
        </w:rPr>
        <w:t> </w:t>
      </w:r>
      <w:r>
        <w:rPr/>
        <w:tab/>
      </w:r>
      <w:r>
        <w:rPr>
          <w:w w:val="100"/>
        </w:rPr>
        <w:t> </w:t>
      </w:r>
      <w:r>
        <w:rPr/>
        <w:tab/>
      </w:r>
      <w:r>
        <w:rPr>
          <w:w w:val="100"/>
        </w:rPr>
        <w:t> </w:t>
      </w:r>
    </w:p>
    <w:p>
      <w:pPr>
        <w:spacing w:after="0"/>
        <w:sectPr>
          <w:pgSz w:w="11910" w:h="16840"/>
          <w:pgMar w:top="1080" w:bottom="280" w:left="800" w:right="780"/>
        </w:sectPr>
      </w:pPr>
    </w:p>
    <w:p>
      <w:pPr>
        <w:pStyle w:val="Heading2"/>
        <w:numPr>
          <w:ilvl w:val="1"/>
          <w:numId w:val="7"/>
        </w:numPr>
        <w:tabs>
          <w:tab w:pos="846" w:val="left" w:leader="none"/>
          <w:tab w:pos="1180" w:val="left" w:leader="none"/>
        </w:tabs>
        <w:spacing w:line="240" w:lineRule="auto" w:before="37" w:after="0"/>
        <w:ind w:left="2981" w:right="0" w:hanging="2454"/>
        <w:jc w:val="left"/>
      </w:pPr>
      <w:r>
        <w:rPr>
          <w:spacing w:val="-1"/>
        </w:rPr>
        <w:t>保单年度</w:t>
      </w:r>
      <w:r>
        <w:rPr>
          <w:w w:val="99"/>
        </w:rPr>
        <w:t> </w:t>
      </w:r>
    </w:p>
    <w:p>
      <w:pPr>
        <w:spacing w:before="37"/>
        <w:ind w:left="0" w:right="533" w:firstLine="0"/>
        <w:jc w:val="right"/>
        <w:rPr>
          <w:b/>
          <w:sz w:val="21"/>
        </w:rPr>
      </w:pPr>
      <w:r>
        <w:rPr>
          <w:b/>
          <w:w w:val="99"/>
          <w:sz w:val="21"/>
        </w:rPr>
        <w:t> </w:t>
      </w:r>
    </w:p>
    <w:p>
      <w:pPr>
        <w:pStyle w:val="BodyText"/>
        <w:spacing w:line="273" w:lineRule="auto"/>
        <w:ind w:left="527" w:right="240"/>
      </w:pPr>
      <w:r>
        <w:rPr/>
        <w:br w:type="column"/>
      </w:r>
      <w:r>
        <w:rPr/>
        <w:t>指从保险合同生效日或生效对应日零时起至下一年度保险合同生效对应日零时止的期间为一个保单年度。 </w:t>
      </w:r>
    </w:p>
    <w:p>
      <w:pPr>
        <w:spacing w:after="0" w:line="273" w:lineRule="auto"/>
        <w:sectPr>
          <w:type w:val="continuous"/>
          <w:pgSz w:w="11910" w:h="16840"/>
          <w:pgMar w:top="720" w:bottom="280" w:left="800" w:right="780"/>
          <w:cols w:num="2" w:equalWidth="0">
            <w:col w:w="2129" w:space="324"/>
            <w:col w:w="7877"/>
          </w:cols>
        </w:sectPr>
      </w:pPr>
    </w:p>
    <w:p>
      <w:pPr>
        <w:pStyle w:val="Heading2"/>
        <w:tabs>
          <w:tab w:pos="1487"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7"/>
        </w:numPr>
        <w:tabs>
          <w:tab w:pos="846" w:val="left" w:leader="none"/>
          <w:tab w:pos="1180" w:val="left" w:leader="none"/>
          <w:tab w:pos="2980" w:val="left" w:leader="none"/>
        </w:tabs>
        <w:spacing w:line="273" w:lineRule="auto" w:before="37" w:after="0"/>
        <w:ind w:left="2981" w:right="235" w:hanging="2454"/>
        <w:jc w:val="left"/>
        <w:rPr>
          <w:sz w:val="21"/>
        </w:rPr>
      </w:pPr>
      <w:r>
        <w:rPr>
          <w:b/>
          <w:sz w:val="21"/>
        </w:rPr>
        <w:t>周岁</w:t>
        <w:tab/>
      </w:r>
      <w:r>
        <w:rPr>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22"/>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周岁</w:t>
      </w:r>
      <w:r>
        <w:rPr>
          <w:spacing w:val="-20"/>
          <w:sz w:val="21"/>
        </w:rPr>
        <w:t>，</w:t>
      </w:r>
      <w:r>
        <w:rPr>
          <w:sz w:val="21"/>
        </w:rPr>
        <w:t>每 经过</w:t>
      </w:r>
      <w:r>
        <w:rPr>
          <w:spacing w:val="-3"/>
          <w:sz w:val="21"/>
        </w:rPr>
        <w:t>一</w:t>
      </w:r>
      <w:r>
        <w:rPr>
          <w:sz w:val="21"/>
        </w:rPr>
        <w:t>年</w:t>
      </w:r>
      <w:r>
        <w:rPr>
          <w:spacing w:val="-3"/>
          <w:sz w:val="21"/>
        </w:rPr>
        <w:t>增</w:t>
      </w:r>
      <w:r>
        <w:rPr>
          <w:sz w:val="21"/>
        </w:rPr>
        <w:t>加</w:t>
      </w:r>
      <w:r>
        <w:rPr>
          <w:spacing w:val="-3"/>
          <w:sz w:val="21"/>
        </w:rPr>
        <w:t>一</w:t>
      </w:r>
      <w:r>
        <w:rPr>
          <w:sz w:val="21"/>
        </w:rPr>
        <w:t>岁</w:t>
      </w:r>
      <w:r>
        <w:rPr>
          <w:spacing w:val="-3"/>
          <w:sz w:val="21"/>
        </w:rPr>
        <w:t>，</w:t>
      </w:r>
      <w:r>
        <w:rPr>
          <w:sz w:val="21"/>
        </w:rPr>
        <w:t>不</w:t>
      </w:r>
      <w:r>
        <w:rPr>
          <w:spacing w:val="-3"/>
          <w:sz w:val="21"/>
        </w:rPr>
        <w:t>足</w:t>
      </w:r>
      <w:r>
        <w:rPr>
          <w:sz w:val="21"/>
        </w:rPr>
        <w:t>一年</w:t>
      </w:r>
      <w:r>
        <w:rPr>
          <w:spacing w:val="-3"/>
          <w:sz w:val="21"/>
        </w:rPr>
        <w:t>的</w:t>
      </w:r>
      <w:r>
        <w:rPr>
          <w:sz w:val="21"/>
        </w:rPr>
        <w:t>不</w:t>
      </w:r>
      <w:r>
        <w:rPr>
          <w:spacing w:val="-3"/>
          <w:sz w:val="21"/>
        </w:rPr>
        <w:t>计。</w:t>
      </w:r>
      <w:r>
        <w:rPr>
          <w:sz w:val="21"/>
        </w:rPr>
        <w:t> </w:t>
      </w:r>
    </w:p>
    <w:p>
      <w:pPr>
        <w:pStyle w:val="Heading2"/>
        <w:tabs>
          <w:tab w:pos="1487" w:val="left" w:leader="none"/>
          <w:tab w:pos="2980" w:val="left" w:leader="none"/>
        </w:tabs>
        <w:spacing w:before="8"/>
        <w:ind w:left="527"/>
        <w:rPr>
          <w:b w:val="0"/>
        </w:rPr>
      </w:pPr>
      <w:r>
        <w:rPr>
          <w:w w:val="99"/>
        </w:rPr>
        <w:t> </w:t>
      </w:r>
      <w:r>
        <w:rPr/>
        <w:tab/>
      </w:r>
      <w:r>
        <w:rPr>
          <w:w w:val="99"/>
        </w:rPr>
        <w:t> </w:t>
      </w:r>
      <w:r>
        <w:rPr/>
        <w:tab/>
      </w:r>
      <w:r>
        <w:rPr>
          <w:b w:val="0"/>
          <w:w w:val="100"/>
        </w:rPr>
        <w:t> </w:t>
      </w:r>
    </w:p>
    <w:p>
      <w:pPr>
        <w:pStyle w:val="ListParagraph"/>
        <w:numPr>
          <w:ilvl w:val="1"/>
          <w:numId w:val="7"/>
        </w:numPr>
        <w:tabs>
          <w:tab w:pos="846" w:val="left" w:leader="none"/>
          <w:tab w:pos="1180" w:val="left" w:leader="none"/>
          <w:tab w:pos="2980" w:val="left" w:leader="none"/>
        </w:tabs>
        <w:spacing w:line="273" w:lineRule="auto" w:before="37" w:after="0"/>
        <w:ind w:left="2981" w:right="236" w:hanging="2454"/>
        <w:jc w:val="left"/>
        <w:rPr>
          <w:sz w:val="21"/>
        </w:rPr>
      </w:pPr>
      <w:r>
        <w:rPr>
          <w:b/>
          <w:sz w:val="21"/>
        </w:rPr>
        <w:t>有效身份证</w:t>
      </w:r>
      <w:r>
        <w:rPr>
          <w:b/>
          <w:spacing w:val="-3"/>
          <w:sz w:val="21"/>
        </w:rPr>
        <w:t>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15"/>
          <w:sz w:val="21"/>
        </w:rPr>
        <w:t>，</w:t>
      </w:r>
      <w:r>
        <w:rPr>
          <w:sz w:val="21"/>
        </w:rPr>
        <w:t>如</w:t>
      </w:r>
      <w:r>
        <w:rPr>
          <w:spacing w:val="-15"/>
          <w:sz w:val="21"/>
        </w:rPr>
        <w:t>：</w:t>
      </w:r>
      <w:r>
        <w:rPr>
          <w:sz w:val="21"/>
        </w:rPr>
        <w:t>居民</w:t>
      </w:r>
      <w:r>
        <w:rPr>
          <w:spacing w:val="-3"/>
          <w:sz w:val="21"/>
        </w:rPr>
        <w:t>身</w:t>
      </w:r>
      <w:r>
        <w:rPr>
          <w:sz w:val="21"/>
        </w:rPr>
        <w:t>份</w:t>
      </w:r>
      <w:r>
        <w:rPr>
          <w:spacing w:val="-3"/>
          <w:sz w:val="21"/>
        </w:rPr>
        <w:t>证</w:t>
      </w:r>
      <w:r>
        <w:rPr>
          <w:spacing w:val="-13"/>
          <w:sz w:val="21"/>
        </w:rPr>
        <w:t>、</w:t>
      </w:r>
      <w:r>
        <w:rPr>
          <w:spacing w:val="-3"/>
          <w:sz w:val="21"/>
        </w:rPr>
        <w:t>按</w:t>
      </w:r>
      <w:r>
        <w:rPr>
          <w:sz w:val="21"/>
        </w:rPr>
        <w:t>规</w:t>
      </w:r>
      <w:r>
        <w:rPr>
          <w:spacing w:val="-3"/>
          <w:sz w:val="21"/>
        </w:rPr>
        <w:t>定</w:t>
      </w:r>
      <w:r>
        <w:rPr>
          <w:sz w:val="21"/>
        </w:rPr>
        <w:t>可</w:t>
      </w:r>
      <w:r>
        <w:rPr>
          <w:spacing w:val="-5"/>
          <w:sz w:val="21"/>
        </w:rPr>
        <w:t>使</w:t>
      </w:r>
      <w:r>
        <w:rPr>
          <w:sz w:val="21"/>
        </w:rPr>
        <w:t>用 的有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w:t>
      </w:r>
      <w:r>
        <w:rPr>
          <w:spacing w:val="-3"/>
          <w:sz w:val="21"/>
        </w:rPr>
        <w:t>警</w:t>
      </w:r>
      <w:r>
        <w:rPr>
          <w:sz w:val="21"/>
        </w:rPr>
        <w:t>官证</w:t>
      </w:r>
      <w:r>
        <w:rPr>
          <w:spacing w:val="-3"/>
          <w:sz w:val="21"/>
        </w:rPr>
        <w:t>、</w:t>
      </w:r>
      <w:r>
        <w:rPr>
          <w:sz w:val="21"/>
        </w:rPr>
        <w:t>士</w:t>
      </w:r>
      <w:r>
        <w:rPr>
          <w:spacing w:val="-3"/>
          <w:sz w:val="21"/>
        </w:rPr>
        <w:t>兵</w:t>
      </w:r>
      <w:r>
        <w:rPr>
          <w:sz w:val="21"/>
        </w:rPr>
        <w:t>证</w:t>
      </w:r>
      <w:r>
        <w:rPr>
          <w:spacing w:val="-3"/>
          <w:sz w:val="21"/>
        </w:rPr>
        <w:t>等</w:t>
      </w:r>
      <w:r>
        <w:rPr>
          <w:sz w:val="21"/>
        </w:rPr>
        <w:t>证</w:t>
      </w:r>
      <w:r>
        <w:rPr>
          <w:spacing w:val="-3"/>
          <w:sz w:val="21"/>
        </w:rPr>
        <w:t>件。</w:t>
      </w:r>
      <w:r>
        <w:rPr>
          <w:sz w:val="21"/>
        </w:rPr>
        <w:t> </w:t>
      </w:r>
    </w:p>
    <w:p>
      <w:pPr>
        <w:pStyle w:val="Heading2"/>
        <w:tabs>
          <w:tab w:pos="1487"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7"/>
        </w:numPr>
        <w:tabs>
          <w:tab w:pos="846" w:val="left" w:leader="none"/>
          <w:tab w:pos="1180" w:val="left" w:leader="none"/>
          <w:tab w:pos="2980" w:val="left" w:leader="none"/>
        </w:tabs>
        <w:spacing w:line="240" w:lineRule="auto" w:before="36" w:after="0"/>
        <w:ind w:left="2981" w:right="0" w:hanging="2454"/>
        <w:jc w:val="left"/>
        <w:rPr>
          <w:sz w:val="21"/>
        </w:rPr>
      </w:pPr>
      <w:r>
        <w:rPr>
          <w:b/>
          <w:sz w:val="21"/>
        </w:rPr>
        <w:t>意外伤害事</w:t>
      </w:r>
      <w:r>
        <w:rPr>
          <w:b/>
          <w:spacing w:val="-3"/>
          <w:sz w:val="21"/>
        </w:rPr>
        <w:t>故</w:t>
        <w:tab/>
      </w:r>
      <w:r>
        <w:rPr>
          <w:sz w:val="21"/>
        </w:rPr>
        <w:t>指外</w:t>
      </w:r>
      <w:r>
        <w:rPr>
          <w:spacing w:val="-3"/>
          <w:sz w:val="21"/>
        </w:rPr>
        <w:t>来</w:t>
      </w:r>
      <w:r>
        <w:rPr>
          <w:sz w:val="21"/>
        </w:rPr>
        <w:t>的</w:t>
      </w:r>
      <w:r>
        <w:rPr>
          <w:spacing w:val="-51"/>
          <w:sz w:val="21"/>
        </w:rPr>
        <w:t>、</w:t>
      </w:r>
      <w:r>
        <w:rPr>
          <w:sz w:val="21"/>
        </w:rPr>
        <w:t>突</w:t>
      </w:r>
      <w:r>
        <w:rPr>
          <w:spacing w:val="-3"/>
          <w:sz w:val="21"/>
        </w:rPr>
        <w:t>发</w:t>
      </w:r>
      <w:r>
        <w:rPr>
          <w:sz w:val="21"/>
        </w:rPr>
        <w:t>的</w:t>
      </w:r>
      <w:r>
        <w:rPr>
          <w:spacing w:val="-48"/>
          <w:sz w:val="21"/>
        </w:rPr>
        <w:t>、</w:t>
      </w:r>
      <w:r>
        <w:rPr>
          <w:spacing w:val="-3"/>
          <w:sz w:val="21"/>
        </w:rPr>
        <w:t>非</w:t>
      </w:r>
      <w:r>
        <w:rPr>
          <w:sz w:val="21"/>
        </w:rPr>
        <w:t>本</w:t>
      </w:r>
      <w:r>
        <w:rPr>
          <w:spacing w:val="-3"/>
          <w:sz w:val="21"/>
        </w:rPr>
        <w:t>意</w:t>
      </w:r>
      <w:r>
        <w:rPr>
          <w:sz w:val="21"/>
        </w:rPr>
        <w:t>的</w:t>
      </w:r>
      <w:r>
        <w:rPr>
          <w:spacing w:val="-48"/>
          <w:sz w:val="21"/>
        </w:rPr>
        <w:t>、</w:t>
      </w:r>
      <w:r>
        <w:rPr>
          <w:spacing w:val="-3"/>
          <w:sz w:val="21"/>
        </w:rPr>
        <w:t>非</w:t>
      </w:r>
      <w:r>
        <w:rPr>
          <w:sz w:val="21"/>
        </w:rPr>
        <w:t>疾</w:t>
      </w:r>
      <w:r>
        <w:rPr>
          <w:spacing w:val="-3"/>
          <w:sz w:val="21"/>
        </w:rPr>
        <w:t>病</w:t>
      </w:r>
      <w:r>
        <w:rPr>
          <w:sz w:val="21"/>
        </w:rPr>
        <w:t>的</w:t>
      </w:r>
      <w:r>
        <w:rPr>
          <w:spacing w:val="-3"/>
          <w:sz w:val="21"/>
        </w:rPr>
        <w:t>使</w:t>
      </w:r>
      <w:r>
        <w:rPr>
          <w:sz w:val="21"/>
        </w:rPr>
        <w:t>被</w:t>
      </w:r>
      <w:r>
        <w:rPr>
          <w:spacing w:val="-3"/>
          <w:sz w:val="21"/>
        </w:rPr>
        <w:t>保</w:t>
      </w:r>
      <w:r>
        <w:rPr>
          <w:sz w:val="21"/>
        </w:rPr>
        <w:t>险</w:t>
      </w:r>
      <w:r>
        <w:rPr>
          <w:spacing w:val="-3"/>
          <w:sz w:val="21"/>
        </w:rPr>
        <w:t>人</w:t>
      </w:r>
      <w:r>
        <w:rPr>
          <w:sz w:val="21"/>
        </w:rPr>
        <w:t>身体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w:t>
      </w:r>
      <w:r>
        <w:rPr>
          <w:spacing w:val="-3"/>
          <w:sz w:val="21"/>
        </w:rPr>
        <w:t>件</w:t>
      </w:r>
      <w:r>
        <w:rPr>
          <w:spacing w:val="-108"/>
          <w:sz w:val="21"/>
        </w:rPr>
        <w:t>。</w:t>
      </w:r>
      <w:r>
        <w:rPr>
          <w:sz w:val="21"/>
        </w:rPr>
        <w:t> </w:t>
      </w:r>
    </w:p>
    <w:p>
      <w:pPr>
        <w:pStyle w:val="Heading2"/>
        <w:tabs>
          <w:tab w:pos="1487" w:val="left" w:leader="none"/>
          <w:tab w:pos="2980" w:val="left" w:leader="none"/>
        </w:tabs>
        <w:spacing w:before="36"/>
        <w:ind w:left="527"/>
        <w:rPr>
          <w:b w:val="0"/>
        </w:rPr>
      </w:pPr>
      <w:r>
        <w:rPr>
          <w:w w:val="99"/>
        </w:rPr>
        <w:t> </w:t>
      </w:r>
      <w:r>
        <w:rPr/>
        <w:tab/>
      </w:r>
      <w:r>
        <w:rPr>
          <w:w w:val="99"/>
        </w:rPr>
        <w:t> </w:t>
      </w:r>
      <w:r>
        <w:rPr/>
        <w:tab/>
      </w:r>
      <w:r>
        <w:rPr>
          <w:b w:val="0"/>
          <w:w w:val="100"/>
        </w:rPr>
        <w:t> </w:t>
      </w:r>
    </w:p>
    <w:p>
      <w:pPr>
        <w:spacing w:after="0"/>
        <w:sectPr>
          <w:type w:val="continuous"/>
          <w:pgSz w:w="11910" w:h="16840"/>
          <w:pgMar w:top="720" w:bottom="280" w:left="800" w:right="780"/>
        </w:sectPr>
      </w:pPr>
    </w:p>
    <w:p>
      <w:pPr>
        <w:pStyle w:val="ListParagraph"/>
        <w:numPr>
          <w:ilvl w:val="1"/>
          <w:numId w:val="7"/>
        </w:numPr>
        <w:tabs>
          <w:tab w:pos="848" w:val="left" w:leader="none"/>
          <w:tab w:pos="1180" w:val="left" w:leader="none"/>
        </w:tabs>
        <w:spacing w:line="240" w:lineRule="auto" w:before="36" w:after="0"/>
        <w:ind w:left="847" w:right="0" w:hanging="317"/>
        <w:jc w:val="left"/>
        <w:rPr>
          <w:b/>
          <w:sz w:val="21"/>
        </w:rPr>
      </w:pPr>
      <w:r>
        <w:rPr>
          <w:b/>
          <w:sz w:val="21"/>
        </w:rPr>
        <w:t>本合同已交保险</w:t>
      </w:r>
    </w:p>
    <w:p>
      <w:pPr>
        <w:spacing w:before="36"/>
        <w:ind w:left="1213" w:right="1195" w:firstLine="0"/>
        <w:jc w:val="center"/>
        <w:rPr>
          <w:b/>
          <w:sz w:val="21"/>
        </w:rPr>
      </w:pPr>
      <w:r>
        <w:rPr>
          <w:b/>
          <w:sz w:val="21"/>
        </w:rPr>
        <w:t>费</w:t>
      </w:r>
      <w:r>
        <w:rPr>
          <w:b/>
          <w:w w:val="99"/>
          <w:sz w:val="21"/>
        </w:rPr>
        <w:t> </w:t>
      </w:r>
    </w:p>
    <w:p>
      <w:pPr>
        <w:pStyle w:val="BodyText"/>
        <w:spacing w:line="273" w:lineRule="auto" w:before="36"/>
        <w:ind w:left="282" w:right="235"/>
        <w:jc w:val="both"/>
      </w:pPr>
      <w:r>
        <w:rPr/>
        <w:br w:type="column"/>
      </w:r>
      <w:r>
        <w:rPr>
          <w:spacing w:val="-5"/>
          <w:shd w:fill="D9D9D9" w:color="auto" w:val="clear"/>
        </w:rPr>
        <w:t>指您为本主险合同已支付的保险费金额总和，不包括职业加费、健康加费及附</w:t>
      </w:r>
      <w:r>
        <w:rPr>
          <w:spacing w:val="-4"/>
          <w:shd w:fill="D9D9D9" w:color="auto" w:val="clear"/>
        </w:rPr>
        <w:t>加合同的</w:t>
      </w:r>
      <w:r>
        <w:rPr>
          <w:spacing w:val="-19"/>
          <w:shd w:fill="D9D9D9" w:color="auto" w:val="clear"/>
        </w:rPr>
        <w:t>保险费。若保险金额或保险费支付方式发生变更，本合同已交保险费将</w:t>
      </w:r>
      <w:r>
        <w:rPr>
          <w:spacing w:val="-6"/>
          <w:shd w:fill="D9D9D9" w:color="auto" w:val="clear"/>
        </w:rPr>
        <w:t>进行相应的调整。</w:t>
      </w:r>
    </w:p>
    <w:p>
      <w:pPr>
        <w:spacing w:after="0" w:line="273" w:lineRule="auto"/>
        <w:jc w:val="both"/>
        <w:sectPr>
          <w:type w:val="continuous"/>
          <w:pgSz w:w="11910" w:h="16840"/>
          <w:pgMar w:top="720" w:bottom="280" w:left="800" w:right="780"/>
          <w:cols w:num="2" w:equalWidth="0">
            <w:col w:w="2659" w:space="40"/>
            <w:col w:w="7631"/>
          </w:cols>
        </w:sectPr>
      </w:pPr>
    </w:p>
    <w:p>
      <w:pPr>
        <w:pStyle w:val="Heading2"/>
        <w:tabs>
          <w:tab w:pos="1487" w:val="left" w:leader="none"/>
          <w:tab w:pos="2980" w:val="left" w:leader="none"/>
        </w:tabs>
        <w:spacing w:before="7"/>
        <w:ind w:left="527"/>
        <w:rPr>
          <w:b w:val="0"/>
        </w:rPr>
      </w:pPr>
      <w:r>
        <w:rPr>
          <w:w w:val="99"/>
        </w:rPr>
        <w:t> </w:t>
      </w:r>
      <w:r>
        <w:rPr/>
        <w:tab/>
      </w:r>
      <w:r>
        <w:rPr>
          <w:w w:val="99"/>
        </w:rPr>
        <w:t> </w:t>
      </w:r>
      <w:r>
        <w:rPr/>
        <w:tab/>
      </w:r>
      <w:r>
        <w:rPr>
          <w:b w:val="0"/>
          <w:w w:val="100"/>
        </w:rPr>
        <w:t> </w:t>
      </w:r>
    </w:p>
    <w:p>
      <w:pPr>
        <w:pStyle w:val="ListParagraph"/>
        <w:numPr>
          <w:ilvl w:val="1"/>
          <w:numId w:val="7"/>
        </w:numPr>
        <w:tabs>
          <w:tab w:pos="846" w:val="left" w:leader="none"/>
          <w:tab w:pos="1180" w:val="left" w:leader="none"/>
          <w:tab w:pos="2980" w:val="left" w:leader="none"/>
        </w:tabs>
        <w:spacing w:line="273" w:lineRule="auto" w:before="36" w:after="0"/>
        <w:ind w:left="2981" w:right="385" w:hanging="2454"/>
        <w:jc w:val="left"/>
        <w:rPr>
          <w:b/>
          <w:sz w:val="21"/>
        </w:rPr>
      </w:pPr>
      <w:r>
        <w:rPr>
          <w:b/>
          <w:sz w:val="21"/>
        </w:rPr>
        <w:t>重大疾</w:t>
      </w:r>
      <w:r>
        <w:rPr>
          <w:b/>
          <w:spacing w:val="-3"/>
          <w:sz w:val="21"/>
        </w:rPr>
        <w:t>病</w:t>
        <w:tab/>
      </w:r>
      <w:r>
        <w:rPr>
          <w:b/>
          <w:sz w:val="21"/>
        </w:rPr>
        <w:t>以下重大疾病定义</w:t>
      </w:r>
      <w:r>
        <w:rPr>
          <w:b/>
          <w:spacing w:val="-3"/>
          <w:sz w:val="21"/>
        </w:rPr>
        <w:t>是</w:t>
      </w:r>
      <w:r>
        <w:rPr>
          <w:b/>
          <w:sz w:val="21"/>
        </w:rPr>
        <w:t>由</w:t>
      </w:r>
      <w:r>
        <w:rPr>
          <w:b/>
          <w:spacing w:val="-3"/>
          <w:sz w:val="21"/>
        </w:rPr>
        <w:t>中</w:t>
      </w:r>
      <w:r>
        <w:rPr>
          <w:b/>
          <w:sz w:val="21"/>
        </w:rPr>
        <w:t>国保险行业协会与</w:t>
      </w:r>
      <w:r>
        <w:rPr>
          <w:b/>
          <w:spacing w:val="-3"/>
          <w:sz w:val="21"/>
        </w:rPr>
        <w:t>中</w:t>
      </w:r>
      <w:r>
        <w:rPr>
          <w:b/>
          <w:sz w:val="21"/>
        </w:rPr>
        <w:t>国</w:t>
      </w:r>
      <w:r>
        <w:rPr>
          <w:b/>
          <w:spacing w:val="-3"/>
          <w:sz w:val="21"/>
        </w:rPr>
        <w:t>医</w:t>
      </w:r>
      <w:r>
        <w:rPr>
          <w:b/>
          <w:sz w:val="21"/>
        </w:rPr>
        <w:t>师协会共同制定的</w:t>
      </w:r>
      <w:r>
        <w:rPr>
          <w:b/>
          <w:spacing w:val="-3"/>
          <w:sz w:val="21"/>
        </w:rPr>
        <w:t>重</w:t>
      </w:r>
      <w:r>
        <w:rPr>
          <w:b/>
          <w:sz w:val="21"/>
        </w:rPr>
        <w:t>大疾 病保险的疾病定义</w:t>
      </w:r>
      <w:r>
        <w:rPr>
          <w:b/>
          <w:spacing w:val="-3"/>
          <w:sz w:val="21"/>
        </w:rPr>
        <w:t>。</w:t>
      </w:r>
      <w:r>
        <w:rPr>
          <w:b/>
          <w:w w:val="99"/>
          <w:sz w:val="21"/>
        </w:rPr>
        <w:t> </w:t>
      </w:r>
    </w:p>
    <w:p>
      <w:pPr>
        <w:spacing w:before="7"/>
        <w:ind w:left="2981" w:right="0" w:firstLine="0"/>
        <w:jc w:val="left"/>
        <w:rPr>
          <w:b/>
          <w:sz w:val="21"/>
        </w:rPr>
      </w:pPr>
      <w:r>
        <w:rPr>
          <w:b/>
          <w:w w:val="99"/>
          <w:sz w:val="21"/>
        </w:rPr>
        <w:t> </w:t>
      </w:r>
    </w:p>
    <w:p>
      <w:pPr>
        <w:spacing w:before="37"/>
        <w:ind w:left="2981" w:right="0" w:firstLine="0"/>
        <w:jc w:val="left"/>
        <w:rPr>
          <w:b/>
          <w:sz w:val="21"/>
        </w:rPr>
      </w:pPr>
      <w:r>
        <w:rPr>
          <w:b/>
          <w:sz w:val="21"/>
        </w:rPr>
        <w:t>（一） 恶性肿瘤</w:t>
      </w:r>
      <w:r>
        <w:rPr>
          <w:b/>
          <w:w w:val="99"/>
          <w:sz w:val="21"/>
        </w:rPr>
        <w:t> </w:t>
      </w:r>
    </w:p>
    <w:p>
      <w:pPr>
        <w:pStyle w:val="BodyText"/>
        <w:spacing w:line="273" w:lineRule="auto"/>
        <w:ind w:left="2981" w:right="136"/>
        <w:jc w:val="both"/>
      </w:pPr>
      <w:r>
        <w:rPr>
          <w:spacing w:val="-5"/>
        </w:rPr>
        <w:t>指恶性细胞不受控制的进行性增长和扩散，浸润和破坏周围正常组织，可以经</w:t>
      </w:r>
      <w:r>
        <w:rPr>
          <w:spacing w:val="-8"/>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73" w:lineRule="auto" w:before="7"/>
        <w:ind w:left="2981" w:right="4400"/>
      </w:pPr>
      <w:r>
        <w:rPr/>
        <w:t>（ICD-10）</w:t>
      </w:r>
      <w:r>
        <w:rPr>
          <w:spacing w:val="-3"/>
        </w:rPr>
        <w:t>的恶性肿瘤范畴。 </w:t>
      </w:r>
      <w:r>
        <w:rPr>
          <w:spacing w:val="-3"/>
          <w:shd w:fill="D9D9D9" w:color="auto" w:val="clear"/>
        </w:rPr>
        <w:t>下列疾病不在保障范围内： </w:t>
      </w:r>
      <w:r>
        <w:rPr/>
        <w:t> </w:t>
      </w:r>
    </w:p>
    <w:p>
      <w:pPr>
        <w:pStyle w:val="BodyText"/>
        <w:spacing w:before="7"/>
        <w:ind w:left="2981"/>
        <w:jc w:val="both"/>
      </w:pPr>
      <w:r>
        <w:rPr>
          <w:shd w:fill="D9D9D9" w:color="auto" w:val="clear"/>
        </w:rPr>
        <w:t>（1）原位癌； </w:t>
      </w:r>
      <w:r>
        <w:rPr/>
        <w:t> </w:t>
      </w:r>
    </w:p>
    <w:p>
      <w:pPr>
        <w:pStyle w:val="BodyText"/>
        <w:ind w:left="2981"/>
        <w:jc w:val="both"/>
      </w:pPr>
      <w:r>
        <w:rPr>
          <w:shd w:fill="D9D9D9" w:color="auto" w:val="clear"/>
        </w:rPr>
        <w:t>（2）相当于 Binet 分期方案 A 期程度的慢性淋巴细胞白血病； </w:t>
      </w:r>
      <w:r>
        <w:rPr/>
        <w:t> </w:t>
      </w:r>
    </w:p>
    <w:p>
      <w:pPr>
        <w:pStyle w:val="BodyText"/>
        <w:spacing w:before="36"/>
        <w:ind w:left="2981"/>
        <w:jc w:val="both"/>
      </w:pPr>
      <w:r>
        <w:rPr>
          <w:shd w:fill="D9D9D9" w:color="auto" w:val="clear"/>
        </w:rPr>
        <w:t>（3）相当于 Ann Arbor 分期方案 I 期程度的何杰金氏病； </w:t>
      </w:r>
      <w:r>
        <w:rPr/>
        <w:t> </w:t>
      </w:r>
    </w:p>
    <w:p>
      <w:pPr>
        <w:spacing w:after="0"/>
        <w:jc w:val="both"/>
        <w:sectPr>
          <w:type w:val="continuous"/>
          <w:pgSz w:w="11910" w:h="16840"/>
          <w:pgMar w:top="720" w:bottom="280" w:left="800" w:right="780"/>
        </w:sectPr>
      </w:pPr>
    </w:p>
    <w:p>
      <w:pPr>
        <w:pStyle w:val="BodyText"/>
        <w:spacing w:before="22"/>
      </w:pPr>
      <w:r>
        <w:rPr>
          <w:w w:val="100"/>
          <w:shd w:fill="D9D9D9" w:color="auto" w:val="clear"/>
        </w:rPr>
        <w:t>（4</w:t>
      </w:r>
      <w:r>
        <w:rPr>
          <w:spacing w:val="-3"/>
          <w:w w:val="100"/>
          <w:shd w:fill="D9D9D9" w:color="auto" w:val="clear"/>
        </w:rPr>
        <w:t>）</w:t>
      </w:r>
      <w:r>
        <w:rPr>
          <w:spacing w:val="-2"/>
          <w:w w:val="100"/>
          <w:shd w:fill="D9D9D9" w:color="auto" w:val="clear"/>
        </w:rPr>
        <w:t>皮肤癌</w:t>
      </w:r>
      <w:r>
        <w:rPr>
          <w:spacing w:val="-3"/>
          <w:w w:val="100"/>
          <w:shd w:fill="D9D9D9" w:color="auto" w:val="clear"/>
        </w:rPr>
        <w:t>（不包括恶性黑色素瘤及已发生转移的皮肤癌</w:t>
      </w:r>
      <w:r>
        <w:rPr>
          <w:spacing w:val="-106"/>
          <w:w w:val="100"/>
          <w:shd w:fill="D9D9D9" w:color="auto" w:val="clear"/>
        </w:rPr>
        <w:t>）</w:t>
      </w:r>
      <w:r>
        <w:rPr>
          <w:w w:val="100"/>
          <w:shd w:fill="D9D9D9" w:color="auto" w:val="clear"/>
        </w:rPr>
        <w:t>；</w:t>
      </w:r>
      <w:r>
        <w:rPr>
          <w:spacing w:val="-3"/>
          <w:w w:val="100"/>
          <w:shd w:fill="D9D9D9" w:color="auto" w:val="clear"/>
        </w:rPr>
        <w:t> </w:t>
      </w:r>
      <w:r>
        <w:rPr>
          <w:w w:val="100"/>
        </w:rPr>
        <w:t> </w:t>
      </w:r>
    </w:p>
    <w:p>
      <w:pPr>
        <w:pStyle w:val="BodyText"/>
        <w:spacing w:line="315" w:lineRule="exact"/>
      </w:pPr>
      <w:r>
        <w:rPr/>
        <w:pict>
          <v:group style="position:absolute;margin-left:189.050003pt;margin-top:3.409691pt;width:242.45pt;height:13.75pt;mso-position-horizontal-relative:page;mso-position-vertical-relative:paragraph;z-index:-70672" coordorigin="3781,68" coordsize="4849,275">
            <v:rect style="position:absolute;left:3781;top:68;width:4849;height:275" filled="true" fillcolor="#d9d9d9" stroked="false">
              <v:fill type="solid"/>
            </v:rect>
            <v:line style="position:absolute" from="5365,140" to="5365,282" stroked="true" strokeweight="6.24pt" strokecolor="#d9d9d9">
              <v:stroke dashstyle="solid"/>
            </v:line>
            <v:shape style="position:absolute;left:5403;top:140;width:596;height:188" coordorigin="5403,140" coordsize="596,188" path="m5490,232l5403,232,5403,325,5490,325,5490,232m5730,229l5643,229,5643,140,5499,140,5499,282,5643,282,5643,328,5730,328,5730,229m5999,229l5912,229,5912,140,5739,140,5739,282,5912,282,5912,328,5999,328,5999,229e" filled="true" fillcolor="#d9d9d9" stroked="false">
              <v:path arrowok="t"/>
              <v:fill type="solid"/>
            </v:shape>
            <w10:wrap type="none"/>
          </v:group>
        </w:pict>
      </w:r>
      <w:r>
        <w:rPr/>
        <w:t>（5）TNM 分期为</w:t>
      </w:r>
      <w:r>
        <w:rPr>
          <w:rFonts w:ascii="Cambria Math" w:eastAsia="Cambria Math"/>
        </w:rPr>
        <w:t>T</w:t>
      </w:r>
      <w:r>
        <w:rPr>
          <w:rFonts w:ascii="Cambria Math" w:eastAsia="Cambria Math"/>
          <w:position w:val="-3"/>
          <w:sz w:val="15"/>
        </w:rPr>
        <w:t>1</w:t>
      </w:r>
      <w:r>
        <w:rPr>
          <w:rFonts w:ascii="Cambria Math" w:eastAsia="Cambria Math"/>
        </w:rPr>
        <w:t>N</w:t>
      </w:r>
      <w:r>
        <w:rPr>
          <w:rFonts w:ascii="Cambria Math" w:eastAsia="Cambria Math"/>
          <w:position w:val="-3"/>
          <w:sz w:val="15"/>
        </w:rPr>
        <w:t>0</w:t>
      </w:r>
      <w:r>
        <w:rPr>
          <w:rFonts w:ascii="Cambria Math" w:eastAsia="Cambria Math"/>
        </w:rPr>
        <w:t>M</w:t>
      </w:r>
      <w:r>
        <w:rPr>
          <w:rFonts w:ascii="Cambria Math" w:eastAsia="Cambria Math"/>
          <w:position w:val="-3"/>
          <w:sz w:val="15"/>
        </w:rPr>
        <w:t>0</w:t>
      </w:r>
      <w:r>
        <w:rPr/>
        <w:t>期或更轻分期的前列腺癌；  </w:t>
      </w:r>
    </w:p>
    <w:p>
      <w:pPr>
        <w:pStyle w:val="BodyText"/>
        <w:spacing w:line="272" w:lineRule="exact" w:before="0"/>
      </w:pPr>
      <w:r>
        <w:rPr>
          <w:shd w:fill="D9D9D9" w:color="auto" w:val="clear"/>
        </w:rPr>
        <w:t>（6）感染艾滋病病毒或患艾滋病期间所患恶性肿瘤。</w:t>
      </w:r>
      <w:r>
        <w:rPr/>
        <w:t>  </w:t>
      </w:r>
    </w:p>
    <w:p>
      <w:pPr>
        <w:pStyle w:val="BodyText"/>
        <w:spacing w:before="38"/>
      </w:pPr>
      <w:r>
        <w:rPr>
          <w:w w:val="100"/>
        </w:rPr>
        <w:t> </w:t>
      </w:r>
    </w:p>
    <w:p>
      <w:pPr>
        <w:pStyle w:val="Heading2"/>
        <w:tabs>
          <w:tab w:pos="4621" w:val="left" w:leader="none"/>
        </w:tabs>
        <w:spacing w:before="37"/>
      </w:pPr>
      <w:r>
        <w:rPr/>
        <w:t>（二）</w:t>
      </w:r>
      <w:r>
        <w:rPr>
          <w:spacing w:val="2"/>
        </w:rPr>
        <w:t> </w:t>
      </w:r>
      <w:r>
        <w:rPr/>
        <w:t>急性心肌梗</w:t>
      </w:r>
      <w:r>
        <w:rPr>
          <w:spacing w:val="-3"/>
        </w:rPr>
        <w:t>塞</w:t>
      </w:r>
      <w:r>
        <w:rPr>
          <w:spacing w:val="-3"/>
          <w:w w:val="99"/>
        </w:rPr>
        <w:t> </w:t>
      </w:r>
      <w:r>
        <w:rPr>
          <w:w w:val="99"/>
        </w:rPr>
        <w:t> </w:t>
      </w:r>
      <w:r>
        <w:rPr/>
        <w:tab/>
      </w:r>
      <w:r>
        <w:rPr>
          <w:w w:val="99"/>
        </w:rPr>
        <w:t> </w:t>
      </w:r>
    </w:p>
    <w:p>
      <w:pPr>
        <w:pStyle w:val="BodyText"/>
        <w:spacing w:line="273" w:lineRule="auto"/>
        <w:ind w:right="170"/>
      </w:pPr>
      <w:r>
        <w:rPr/>
        <w:t>指因冠状动脉阻塞导致的相应区域供血不足造成部分心肌坏死。须满足下列至少三项条件：  </w:t>
      </w:r>
    </w:p>
    <w:p>
      <w:pPr>
        <w:pStyle w:val="BodyText"/>
        <w:spacing w:before="8"/>
      </w:pPr>
      <w:r>
        <w:rPr/>
        <w:t>（1）典型临床表现，例如急性胸痛等；  </w:t>
      </w:r>
    </w:p>
    <w:p>
      <w:pPr>
        <w:pStyle w:val="BodyText"/>
      </w:pPr>
      <w:r>
        <w:rPr/>
        <w:t>（2）新近的心电图改变提示急性心肌梗塞；  </w:t>
      </w:r>
    </w:p>
    <w:p>
      <w:pPr>
        <w:pStyle w:val="BodyText"/>
        <w:spacing w:line="273" w:lineRule="auto"/>
        <w:ind w:right="220"/>
      </w:pPr>
      <w:r>
        <w:rPr/>
        <w:t>（3）心肌酶或肌钙蛋白有诊断意义的升高，或呈符合急性心肌梗塞的动态性变化；  </w:t>
      </w:r>
    </w:p>
    <w:p>
      <w:pPr>
        <w:pStyle w:val="BodyText"/>
        <w:spacing w:before="8"/>
      </w:pPr>
      <w:r>
        <w:rPr>
          <w:spacing w:val="-11"/>
        </w:rPr>
        <w:t>（4）</w:t>
      </w:r>
      <w:r>
        <w:rPr>
          <w:spacing w:val="-15"/>
        </w:rPr>
        <w:t>发病 </w:t>
      </w:r>
      <w:r>
        <w:rPr/>
        <w:t>90</w:t>
      </w:r>
      <w:r>
        <w:rPr>
          <w:spacing w:val="-13"/>
        </w:rPr>
        <w:t> 天后，经检查证实左心室功能降低，如左心室射血分数低于 </w:t>
      </w:r>
      <w:r>
        <w:rPr/>
        <w:t>50</w:t>
      </w:r>
      <w:r>
        <w:rPr>
          <w:spacing w:val="-53"/>
        </w:rPr>
        <w:t>%。</w:t>
      </w:r>
      <w:r>
        <w:rPr/>
        <w:t> </w:t>
      </w:r>
    </w:p>
    <w:p>
      <w:pPr>
        <w:pStyle w:val="BodyText"/>
        <w:spacing w:before="38"/>
      </w:pPr>
      <w:r>
        <w:rPr>
          <w:w w:val="100"/>
        </w:rPr>
        <w:t> </w:t>
      </w:r>
    </w:p>
    <w:p>
      <w:pPr>
        <w:pStyle w:val="Heading2"/>
        <w:spacing w:before="37"/>
      </w:pPr>
      <w:r>
        <w:rPr/>
        <w:t>（三）脑中风后遗症</w:t>
      </w:r>
      <w:r>
        <w:rPr>
          <w:w w:val="99"/>
        </w:rPr>
        <w:t>   </w:t>
      </w:r>
    </w:p>
    <w:p>
      <w:pPr>
        <w:pStyle w:val="BodyText"/>
        <w:spacing w:line="273" w:lineRule="auto"/>
        <w:ind w:right="215"/>
        <w:jc w:val="both"/>
      </w:pPr>
      <w:r>
        <w:rPr>
          <w:spacing w:val="-5"/>
        </w:rPr>
        <w:t>指因脑血管的突发病变引起脑血管出血、栓塞或梗塞，并导致神经系统永久性</w:t>
      </w:r>
      <w:r>
        <w:rPr>
          <w:spacing w:val="-7"/>
        </w:rPr>
        <w:t>的功能障碍。神经系统永久性的功能障碍，指疾病确诊 </w:t>
      </w:r>
      <w:r>
        <w:rPr/>
        <w:t>180</w:t>
      </w:r>
      <w:r>
        <w:rPr>
          <w:spacing w:val="-9"/>
        </w:rPr>
        <w:t> 天后，仍遗留下列</w:t>
      </w:r>
      <w:r>
        <w:rPr>
          <w:spacing w:val="-3"/>
        </w:rPr>
        <w:t>一种或一种以上障碍：</w:t>
      </w:r>
      <w:r>
        <w:rPr>
          <w:spacing w:val="-2"/>
        </w:rPr>
        <w:t> </w:t>
      </w:r>
      <w:r>
        <w:rPr/>
        <w:t> </w:t>
      </w:r>
    </w:p>
    <w:p>
      <w:pPr>
        <w:pStyle w:val="BodyText"/>
        <w:spacing w:before="8"/>
      </w:pPr>
      <w:r>
        <w:rPr/>
        <w:t>（1）一肢或一肢以上</w:t>
      </w:r>
      <w:r>
        <w:rPr>
          <w:shd w:fill="D9D9D9" w:color="auto" w:val="clear"/>
        </w:rPr>
        <w:t>肢体机能完全丧失</w:t>
      </w:r>
      <w:r>
        <w:rPr/>
        <w:t>(见释义)；  </w:t>
      </w:r>
    </w:p>
    <w:p>
      <w:pPr>
        <w:pStyle w:val="BodyText"/>
      </w:pPr>
      <w:r>
        <w:rPr/>
        <w:t>（2）</w:t>
      </w:r>
      <w:r>
        <w:rPr>
          <w:shd w:fill="D9D9D9" w:color="auto" w:val="clear"/>
        </w:rPr>
        <w:t>语言能力或咀嚼吞咽能力完全丧失</w:t>
      </w:r>
      <w:r>
        <w:rPr/>
        <w:t>(见释义)；  </w:t>
      </w:r>
    </w:p>
    <w:p>
      <w:pPr>
        <w:pStyle w:val="BodyText"/>
        <w:spacing w:line="273" w:lineRule="auto"/>
        <w:ind w:right="215"/>
      </w:pPr>
      <w:r>
        <w:rPr/>
        <w:t>（3）自主生活能力完全丧失，无法独立完成</w:t>
      </w:r>
      <w:r>
        <w:rPr>
          <w:shd w:fill="D9D9D9" w:color="auto" w:val="clear"/>
        </w:rPr>
        <w:t>六项基本日常生活活动</w:t>
      </w:r>
      <w:r>
        <w:rPr/>
        <w:t>(见释义) 中的三项或三项以上。  </w:t>
      </w:r>
    </w:p>
    <w:p>
      <w:pPr>
        <w:pStyle w:val="BodyText"/>
        <w:spacing w:before="8"/>
      </w:pPr>
      <w:r>
        <w:rPr>
          <w:w w:val="100"/>
        </w:rPr>
        <w:t> </w:t>
      </w:r>
    </w:p>
    <w:p>
      <w:pPr>
        <w:pStyle w:val="Heading2"/>
        <w:spacing w:before="37"/>
      </w:pPr>
      <w:r>
        <w:rPr/>
        <w:t>（四）重大器官移植术或造血干细胞移植术</w:t>
      </w:r>
      <w:r>
        <w:rPr>
          <w:w w:val="99"/>
        </w:rPr>
        <w:t>   </w:t>
      </w:r>
    </w:p>
    <w:p>
      <w:pPr>
        <w:pStyle w:val="BodyText"/>
        <w:spacing w:line="273" w:lineRule="auto" w:before="36"/>
        <w:ind w:right="215"/>
      </w:pPr>
      <w:r>
        <w:rPr>
          <w:spacing w:val="-7"/>
        </w:rPr>
        <w:t>重大器官移植术，指因相应器官功能衰竭，已经实施了肾脏、肝脏、心脏或肺</w:t>
      </w:r>
      <w:r>
        <w:rPr>
          <w:spacing w:val="-5"/>
        </w:rPr>
        <w:t>脏的异体移植手术。 </w:t>
      </w:r>
      <w:r>
        <w:rPr/>
        <w:t> </w:t>
      </w:r>
    </w:p>
    <w:p>
      <w:pPr>
        <w:pStyle w:val="BodyText"/>
        <w:spacing w:line="273" w:lineRule="auto" w:before="7"/>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r>
        <w:rPr/>
        <w:t> </w:t>
      </w:r>
    </w:p>
    <w:p>
      <w:pPr>
        <w:pStyle w:val="BodyText"/>
        <w:spacing w:before="7"/>
      </w:pPr>
      <w:r>
        <w:rPr>
          <w:w w:val="100"/>
        </w:rPr>
        <w:t>  </w:t>
      </w:r>
    </w:p>
    <w:p>
      <w:pPr>
        <w:pStyle w:val="Heading2"/>
        <w:spacing w:before="36"/>
      </w:pPr>
      <w:r>
        <w:rPr/>
        <w:t>（五）冠状动脉搭桥术（或称冠状动脉旁路移植术）</w:t>
      </w:r>
      <w:r>
        <w:rPr>
          <w:w w:val="99"/>
        </w:rPr>
        <w:t>   </w:t>
      </w:r>
    </w:p>
    <w:p>
      <w:pPr>
        <w:pStyle w:val="BodyText"/>
        <w:spacing w:line="273" w:lineRule="auto" w:before="36"/>
        <w:ind w:right="220"/>
      </w:pPr>
      <w:r>
        <w:rPr/>
        <w:t>指为治疗严重的冠心病，实际实施了开胸进行的冠状动脉血管旁路移植的手术。  </w:t>
      </w:r>
    </w:p>
    <w:p>
      <w:pPr>
        <w:pStyle w:val="BodyText"/>
        <w:spacing w:line="273" w:lineRule="auto" w:before="7"/>
        <w:ind w:right="215"/>
        <w:rPr>
          <w:b/>
        </w:rPr>
      </w:pPr>
      <w:r>
        <w:rPr>
          <w:spacing w:val="-6"/>
          <w:shd w:fill="D9D9D9" w:color="auto" w:val="clear"/>
        </w:rPr>
        <w:t>冠状动脉支架植入术、心导管球囊扩张术、激光射频技术及其它非开胸的介入</w:t>
      </w:r>
      <w:r>
        <w:rPr>
          <w:spacing w:val="-208"/>
          <w:shd w:fill="D9D9D9" w:color="auto" w:val="clear"/>
        </w:rPr>
        <w:t>手</w:t>
      </w:r>
      <w:r>
        <w:rPr>
          <w:spacing w:val="-3"/>
          <w:shd w:fill="D9D9D9" w:color="auto" w:val="clear"/>
        </w:rPr>
        <w:t>术、腔镜手术不在保障范围内。</w:t>
      </w:r>
      <w:r>
        <w:rPr>
          <w:b/>
          <w:w w:val="99"/>
        </w:rPr>
        <w:t>  </w:t>
      </w:r>
    </w:p>
    <w:p>
      <w:pPr>
        <w:pStyle w:val="Heading2"/>
        <w:spacing w:before="7"/>
      </w:pPr>
      <w:r>
        <w:rPr>
          <w:w w:val="99"/>
        </w:rPr>
        <w:t> </w:t>
      </w:r>
    </w:p>
    <w:p>
      <w:pPr>
        <w:spacing w:before="36"/>
        <w:ind w:left="2101" w:right="0" w:firstLine="0"/>
        <w:jc w:val="left"/>
        <w:rPr>
          <w:b/>
          <w:sz w:val="21"/>
        </w:rPr>
      </w:pPr>
      <w:r>
        <w:rPr>
          <w:b/>
          <w:sz w:val="21"/>
        </w:rPr>
        <w:t>（六）终末期肾病（或称慢性肾功能衰竭尿毒症期）</w:t>
      </w:r>
      <w:r>
        <w:rPr>
          <w:b/>
          <w:w w:val="99"/>
          <w:sz w:val="21"/>
        </w:rPr>
        <w:t>   </w:t>
      </w:r>
    </w:p>
    <w:p>
      <w:pPr>
        <w:pStyle w:val="BodyText"/>
        <w:spacing w:before="36"/>
      </w:pPr>
      <w:r>
        <w:rPr/>
        <w:t>指双肾功能慢性不可逆性衰竭，达到尿毒症期，经诊断后已经进行了至少 90</w:t>
      </w:r>
    </w:p>
    <w:p>
      <w:pPr>
        <w:pStyle w:val="BodyText"/>
        <w:spacing w:before="36"/>
      </w:pPr>
      <w:r>
        <w:rPr/>
        <w:t>天的规律性透析治疗或实施了肾脏移植手术。  </w:t>
      </w:r>
    </w:p>
    <w:p>
      <w:pPr>
        <w:pStyle w:val="BodyText"/>
        <w:spacing w:before="36"/>
      </w:pPr>
      <w:r>
        <w:rPr>
          <w:w w:val="100"/>
        </w:rPr>
        <w:t> </w:t>
      </w:r>
    </w:p>
    <w:p>
      <w:pPr>
        <w:pStyle w:val="Heading2"/>
        <w:spacing w:before="36"/>
      </w:pPr>
      <w:r>
        <w:rPr/>
        <w:t>（七）多个肢体缺失</w:t>
      </w:r>
      <w:r>
        <w:rPr>
          <w:w w:val="99"/>
        </w:rPr>
        <w:t> </w:t>
      </w:r>
    </w:p>
    <w:p>
      <w:pPr>
        <w:pStyle w:val="BodyText"/>
        <w:spacing w:line="273" w:lineRule="auto" w:before="36"/>
        <w:ind w:right="163"/>
      </w:pPr>
      <w:r>
        <w:rPr/>
        <w:t>指因疾病或意外伤害导致两个或两个以上肢体自腕关节或踝关节近端（靠近躯干端）以上完全性断离。  </w:t>
      </w:r>
    </w:p>
    <w:p>
      <w:pPr>
        <w:pStyle w:val="BodyText"/>
        <w:spacing w:before="7"/>
      </w:pPr>
      <w:r>
        <w:rPr>
          <w:w w:val="100"/>
        </w:rPr>
        <w:t> </w:t>
      </w:r>
    </w:p>
    <w:p>
      <w:pPr>
        <w:pStyle w:val="Heading2"/>
        <w:spacing w:before="37"/>
      </w:pPr>
      <w:r>
        <w:rPr/>
        <w:t>（八）急性或亚急性重症肝炎</w:t>
      </w:r>
      <w:r>
        <w:rPr>
          <w:w w:val="99"/>
        </w:rPr>
        <w:t>   </w:t>
      </w:r>
    </w:p>
    <w:p>
      <w:pPr>
        <w:pStyle w:val="BodyText"/>
        <w:spacing w:line="273" w:lineRule="auto"/>
        <w:ind w:right="170"/>
      </w:pPr>
      <w:r>
        <w:rPr/>
        <w:t>指因肝炎病毒感染引起肝脏组织弥漫性坏死，导致急性肝功能衰竭，且经血清学或病毒学检查证实，并须满足下列全部条件：  </w:t>
      </w:r>
    </w:p>
    <w:p>
      <w:pPr>
        <w:spacing w:after="0" w:line="273" w:lineRule="auto"/>
        <w:sectPr>
          <w:pgSz w:w="11910" w:h="16840"/>
          <w:pgMar w:top="1080" w:bottom="280" w:left="1680" w:right="800"/>
        </w:sectPr>
      </w:pPr>
    </w:p>
    <w:p>
      <w:pPr>
        <w:pStyle w:val="BodyText"/>
        <w:spacing w:before="22"/>
      </w:pPr>
      <w:r>
        <w:rPr/>
        <w:t>（1）重度黄疸或黄疸迅速加重；  </w:t>
      </w:r>
    </w:p>
    <w:p>
      <w:pPr>
        <w:pStyle w:val="BodyText"/>
      </w:pPr>
      <w:r>
        <w:rPr/>
        <w:t>（2）肝性脑病；  </w:t>
      </w:r>
    </w:p>
    <w:p>
      <w:pPr>
        <w:pStyle w:val="BodyText"/>
        <w:spacing w:before="36"/>
      </w:pPr>
      <w:r>
        <w:rPr/>
        <w:t>（3）B 超或其它影像学检查显示肝脏体积急速萎缩；  </w:t>
      </w:r>
    </w:p>
    <w:p>
      <w:pPr>
        <w:pStyle w:val="BodyText"/>
        <w:spacing w:before="36"/>
      </w:pPr>
      <w:r>
        <w:rPr/>
        <w:t>（4）肝功能指标进行性恶化。  </w:t>
      </w:r>
    </w:p>
    <w:p>
      <w:pPr>
        <w:pStyle w:val="BodyText"/>
        <w:spacing w:before="36"/>
      </w:pPr>
      <w:r>
        <w:rPr>
          <w:w w:val="100"/>
        </w:rPr>
        <w:t> </w:t>
      </w:r>
    </w:p>
    <w:p>
      <w:pPr>
        <w:pStyle w:val="Heading2"/>
        <w:tabs>
          <w:tab w:pos="4200" w:val="left" w:leader="none"/>
        </w:tabs>
        <w:spacing w:before="36"/>
      </w:pPr>
      <w:r>
        <w:rPr/>
        <w:t>（九）良性脑肿瘤</w:t>
      </w:r>
      <w:r>
        <w:rPr>
          <w:spacing w:val="-3"/>
          <w:w w:val="99"/>
        </w:rPr>
        <w:t> </w:t>
      </w:r>
      <w:r>
        <w:rPr>
          <w:w w:val="99"/>
        </w:rPr>
        <w:t> </w:t>
      </w:r>
      <w:r>
        <w:rPr/>
        <w:tab/>
      </w:r>
      <w:r>
        <w:rPr>
          <w:w w:val="99"/>
        </w:rPr>
        <w:t> </w:t>
      </w:r>
    </w:p>
    <w:p>
      <w:pPr>
        <w:pStyle w:val="BodyText"/>
        <w:spacing w:line="273" w:lineRule="auto" w:before="36"/>
        <w:ind w:right="216"/>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 </w:t>
      </w:r>
      <w:r>
        <w:rPr/>
        <w:t> </w:t>
      </w:r>
    </w:p>
    <w:p>
      <w:pPr>
        <w:pStyle w:val="BodyText"/>
        <w:spacing w:before="7"/>
      </w:pPr>
      <w:r>
        <w:rPr/>
        <w:t>（1）实际实施了开颅进行的脑肿瘤完全切除或部分切除的手术；  </w:t>
      </w:r>
    </w:p>
    <w:p>
      <w:pPr>
        <w:pStyle w:val="BodyText"/>
      </w:pPr>
      <w:r>
        <w:rPr/>
        <w:t>（2）实际实施了对脑肿瘤进行的放射治疗。  </w:t>
      </w:r>
    </w:p>
    <w:p>
      <w:pPr>
        <w:pStyle w:val="BodyText"/>
        <w:spacing w:before="38"/>
        <w:rPr>
          <w:b/>
        </w:rPr>
      </w:pPr>
      <w:r>
        <w:rPr>
          <w:shd w:fill="D9D9D9" w:color="auto" w:val="clear"/>
        </w:rPr>
        <w:t>脑垂体瘤、脑囊肿、脑血管性疾病不在保障范围内。</w:t>
      </w:r>
      <w:r>
        <w:rPr>
          <w:b/>
          <w:w w:val="99"/>
        </w:rPr>
        <w:t>  </w:t>
      </w:r>
    </w:p>
    <w:p>
      <w:pPr>
        <w:pStyle w:val="BodyText"/>
      </w:pPr>
      <w:r>
        <w:rPr>
          <w:w w:val="100"/>
        </w:rPr>
        <w:t> </w:t>
      </w:r>
    </w:p>
    <w:p>
      <w:pPr>
        <w:pStyle w:val="Heading2"/>
        <w:spacing w:before="37"/>
      </w:pPr>
      <w:r>
        <w:rPr/>
        <w:t>（十）慢性肝功能衰竭失代偿期</w:t>
      </w:r>
      <w:r>
        <w:rPr>
          <w:w w:val="99"/>
        </w:rPr>
        <w:t>  </w:t>
      </w:r>
      <w:r>
        <w:rPr/>
        <w:t>  </w:t>
      </w:r>
      <w:r>
        <w:rPr>
          <w:w w:val="99"/>
        </w:rPr>
        <w:t>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273" w:lineRule="auto"/>
        <w:ind w:right="1965"/>
      </w:pPr>
      <w:r>
        <w:rPr/>
        <w:t>（4）</w:t>
      </w:r>
      <w:r>
        <w:rPr>
          <w:spacing w:val="-3"/>
        </w:rPr>
        <w:t>充血性脾肿大伴脾功能亢进或食管胃底静脉曲张。 </w:t>
      </w:r>
      <w:r>
        <w:rPr>
          <w:spacing w:val="-3"/>
          <w:shd w:fill="D9D9D9" w:color="auto" w:val="clear"/>
        </w:rPr>
        <w:t>因酗酒或药物滥用导致的肝功能衰竭不在保障范围内。</w:t>
      </w:r>
      <w:r>
        <w:rPr/>
        <w:t> </w:t>
      </w:r>
    </w:p>
    <w:p>
      <w:pPr>
        <w:pStyle w:val="Heading2"/>
        <w:spacing w:before="7"/>
      </w:pPr>
      <w:r>
        <w:rPr>
          <w:w w:val="99"/>
        </w:rPr>
        <w:t>  </w:t>
      </w:r>
    </w:p>
    <w:p>
      <w:pPr>
        <w:spacing w:before="37"/>
        <w:ind w:left="2101" w:right="0" w:firstLine="0"/>
        <w:jc w:val="left"/>
        <w:rPr>
          <w:b/>
          <w:sz w:val="21"/>
        </w:rPr>
      </w:pPr>
      <w:r>
        <w:rPr>
          <w:b/>
          <w:sz w:val="21"/>
        </w:rPr>
        <w:t>（十一）脑炎后遗症或脑膜炎后遗症</w:t>
      </w:r>
      <w:r>
        <w:rPr>
          <w:b/>
          <w:w w:val="99"/>
          <w:sz w:val="21"/>
        </w:rPr>
        <w:t>  </w:t>
      </w:r>
      <w:r>
        <w:rPr>
          <w:b/>
          <w:sz w:val="21"/>
        </w:rPr>
        <w:t>  </w:t>
      </w:r>
      <w:r>
        <w:rPr>
          <w:b/>
          <w:w w:val="99"/>
          <w:sz w:val="21"/>
        </w:rPr>
        <w:t> </w:t>
      </w:r>
    </w:p>
    <w:p>
      <w:pPr>
        <w:pStyle w:val="BodyText"/>
        <w:spacing w:line="273" w:lineRule="auto"/>
        <w:ind w:right="172"/>
      </w:pPr>
      <w:r>
        <w:rPr/>
        <w:t>指因患脑炎或脑膜炎导致的神经系统永久性的功能障碍。神经系统永久性的功能障碍，指疾病确诊 180 天后，仍遗留下列一种或一种以上障碍：  </w:t>
      </w:r>
    </w:p>
    <w:p>
      <w:pPr>
        <w:pStyle w:val="BodyText"/>
        <w:spacing w:before="7"/>
      </w:pPr>
      <w:r>
        <w:rPr/>
        <w:t>（1）一肢或一肢以上肢体机能完全丧失；  </w:t>
      </w:r>
    </w:p>
    <w:p>
      <w:pPr>
        <w:pStyle w:val="BodyText"/>
        <w:spacing w:before="36"/>
      </w:pPr>
      <w:r>
        <w:rPr/>
        <w:t>（2）语言能力或咀嚼吞咽能力完全丧失；  </w:t>
      </w:r>
    </w:p>
    <w:p>
      <w:pPr>
        <w:pStyle w:val="BodyText"/>
        <w:spacing w:line="273" w:lineRule="auto" w:before="36"/>
        <w:ind w:right="220"/>
      </w:pPr>
      <w:r>
        <w:rPr/>
        <w:t>（3）自主生活能力完全丧失，无法独立完成六项基本日常生活活动中的三项或三项以上。  </w:t>
      </w:r>
    </w:p>
    <w:p>
      <w:pPr>
        <w:pStyle w:val="BodyText"/>
        <w:spacing w:before="7"/>
      </w:pPr>
      <w:r>
        <w:rPr>
          <w:w w:val="100"/>
        </w:rPr>
        <w:t> </w:t>
      </w:r>
    </w:p>
    <w:p>
      <w:pPr>
        <w:pStyle w:val="Heading2"/>
        <w:tabs>
          <w:tab w:pos="4200" w:val="left" w:leader="none"/>
        </w:tabs>
        <w:spacing w:before="37"/>
      </w:pPr>
      <w:r>
        <w:rPr/>
        <w:t>（十二）深度昏迷</w:t>
      </w:r>
      <w:r>
        <w:rPr>
          <w:spacing w:val="-3"/>
          <w:w w:val="99"/>
        </w:rPr>
        <w:t> </w:t>
      </w:r>
      <w:r>
        <w:rPr>
          <w:w w:val="99"/>
        </w:rPr>
        <w:t> </w:t>
      </w:r>
      <w:r>
        <w:rPr/>
        <w:tab/>
      </w:r>
      <w:r>
        <w:rPr>
          <w:w w:val="99"/>
        </w:rPr>
        <w:t> </w:t>
      </w:r>
    </w:p>
    <w:p>
      <w:pPr>
        <w:pStyle w:val="BodyText"/>
        <w:spacing w:line="273" w:lineRule="auto"/>
        <w:ind w:right="215"/>
      </w:pPr>
      <w:r>
        <w:rPr>
          <w:spacing w:val="-6"/>
        </w:rPr>
        <w:t>指因疾病或意外伤害导致意识丧失，对外界刺激和体内需求均无反应，昏迷程</w:t>
      </w:r>
      <w:r>
        <w:rPr>
          <w:spacing w:val="-4"/>
        </w:rPr>
        <w:t>度按照格拉斯哥昏迷分级</w:t>
      </w:r>
      <w:r>
        <w:rPr/>
        <w:t>（Glasgow coma scale）</w:t>
      </w:r>
      <w:r>
        <w:rPr>
          <w:spacing w:val="-14"/>
        </w:rPr>
        <w:t>结果为 </w:t>
      </w:r>
      <w:r>
        <w:rPr/>
        <w:t>5</w:t>
      </w:r>
      <w:r>
        <w:rPr>
          <w:spacing w:val="-26"/>
        </w:rPr>
        <w:t> 分或 </w:t>
      </w:r>
      <w:r>
        <w:rPr/>
        <w:t>5</w:t>
      </w:r>
      <w:r>
        <w:rPr>
          <w:spacing w:val="-11"/>
        </w:rPr>
        <w:t> 分以下，且</w:t>
      </w:r>
    </w:p>
    <w:p>
      <w:pPr>
        <w:pStyle w:val="BodyText"/>
        <w:spacing w:line="273" w:lineRule="auto" w:before="8"/>
        <w:ind w:right="1965"/>
        <w:rPr>
          <w:b/>
        </w:rPr>
      </w:pPr>
      <w:r>
        <w:rPr>
          <w:spacing w:val="-5"/>
        </w:rPr>
        <w:t>已经持续使用呼吸机及其它生命维持系统 </w:t>
      </w:r>
      <w:r>
        <w:rPr/>
        <w:t>96</w:t>
      </w:r>
      <w:r>
        <w:rPr>
          <w:spacing w:val="-8"/>
        </w:rPr>
        <w:t> 小时以上。</w:t>
      </w:r>
      <w:r>
        <w:rPr>
          <w:shd w:fill="D9D9D9" w:color="auto" w:val="clear"/>
        </w:rPr>
        <w:t>因</w:t>
      </w:r>
      <w:r>
        <w:rPr>
          <w:spacing w:val="-3"/>
          <w:shd w:fill="D9D9D9" w:color="auto" w:val="clear"/>
        </w:rPr>
        <w:t>酗酒或药物滥用导致的深度昏迷不在保障范围内。</w:t>
      </w:r>
      <w:r>
        <w:rPr>
          <w:b/>
          <w:w w:val="99"/>
        </w:rPr>
        <w:t>  </w:t>
      </w:r>
    </w:p>
    <w:p>
      <w:pPr>
        <w:pStyle w:val="BodyText"/>
        <w:spacing w:before="7"/>
      </w:pPr>
      <w:r>
        <w:rPr>
          <w:w w:val="100"/>
        </w:rPr>
        <w:t> </w:t>
      </w:r>
    </w:p>
    <w:p>
      <w:pPr>
        <w:pStyle w:val="Heading2"/>
        <w:spacing w:before="36"/>
      </w:pPr>
      <w:r>
        <w:rPr/>
        <w:t>（十三）双耳失聪</w:t>
      </w:r>
      <w:r>
        <w:rPr>
          <w:w w:val="99"/>
        </w:rPr>
        <w:t>  </w:t>
      </w:r>
    </w:p>
    <w:p>
      <w:pPr>
        <w:pStyle w:val="BodyText"/>
        <w:spacing w:before="36"/>
      </w:pPr>
      <w:r>
        <w:rPr/>
        <w:t>指因疾病或意外伤害导致双耳听力</w:t>
      </w:r>
      <w:r>
        <w:rPr>
          <w:shd w:fill="D9D9D9" w:color="auto" w:val="clear"/>
        </w:rPr>
        <w:t>永久不可逆性</w:t>
      </w:r>
      <w:r>
        <w:rPr/>
        <w:t>(见释义)丧失，在 500 赫兹、</w:t>
      </w:r>
    </w:p>
    <w:p>
      <w:pPr>
        <w:pStyle w:val="BodyText"/>
        <w:spacing w:line="273" w:lineRule="auto" w:before="36"/>
        <w:ind w:right="110"/>
      </w:pPr>
      <w:r>
        <w:rPr/>
        <w:t>1000</w:t>
      </w:r>
      <w:r>
        <w:rPr>
          <w:spacing w:val="-21"/>
        </w:rPr>
        <w:t> 赫兹和 </w:t>
      </w:r>
      <w:r>
        <w:rPr/>
        <w:t>2000</w:t>
      </w:r>
      <w:r>
        <w:rPr>
          <w:spacing w:val="-17"/>
        </w:rPr>
        <w:t> 赫兹语音频率下，平均听阈大于 </w:t>
      </w:r>
      <w:r>
        <w:rPr/>
        <w:t>90</w:t>
      </w:r>
      <w:r>
        <w:rPr>
          <w:spacing w:val="-16"/>
        </w:rPr>
        <w:t> 分贝，且经纯音听力测试、</w:t>
      </w:r>
      <w:r>
        <w:rPr>
          <w:spacing w:val="-7"/>
        </w:rPr>
        <w:t>声导抗检测或听觉诱发电位检测等证实。 </w:t>
      </w:r>
      <w:r>
        <w:rPr/>
        <w:t> </w:t>
      </w:r>
    </w:p>
    <w:p>
      <w:pPr>
        <w:pStyle w:val="BodyText"/>
        <w:spacing w:line="273" w:lineRule="auto" w:before="7"/>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8"/>
          <w:shd w:fill="D9D9D9" w:color="auto" w:val="clear"/>
        </w:rPr>
        <w:t> 周岁以后的听力丧失</w:t>
      </w:r>
      <w:r>
        <w:rPr>
          <w:spacing w:val="-208"/>
          <w:shd w:fill="D9D9D9" w:color="auto" w:val="clear"/>
        </w:rPr>
        <w:t>诊</w:t>
      </w:r>
      <w:r>
        <w:rPr>
          <w:spacing w:val="-3"/>
          <w:shd w:fill="D9D9D9" w:color="auto" w:val="clear"/>
        </w:rPr>
        <w:t>断及检查证明。</w:t>
      </w:r>
      <w:r>
        <w:rPr/>
        <w:t> </w:t>
      </w:r>
    </w:p>
    <w:p>
      <w:pPr>
        <w:pStyle w:val="BodyText"/>
        <w:spacing w:before="7"/>
      </w:pPr>
      <w:r>
        <w:rPr>
          <w:w w:val="100"/>
        </w:rPr>
        <w:t> </w:t>
      </w:r>
    </w:p>
    <w:p>
      <w:pPr>
        <w:pStyle w:val="Heading2"/>
        <w:spacing w:before="36"/>
      </w:pPr>
      <w:r>
        <w:rPr/>
        <w:t>（十四）双目失明</w:t>
      </w:r>
      <w:r>
        <w:rPr>
          <w:w w:val="99"/>
        </w:rPr>
        <w:t> </w:t>
      </w:r>
    </w:p>
    <w:p>
      <w:pPr>
        <w:pStyle w:val="BodyText"/>
        <w:spacing w:line="273" w:lineRule="auto"/>
        <w:ind w:right="170"/>
      </w:pPr>
      <w:r>
        <w:rPr/>
        <w:t>指因疾病或意外伤害导致双眼视力永久不可逆性丧失，双眼中较好眼须满足下列至少一项条件：  </w:t>
      </w:r>
    </w:p>
    <w:p>
      <w:pPr>
        <w:spacing w:after="0" w:line="273" w:lineRule="auto"/>
        <w:sectPr>
          <w:pgSz w:w="11910" w:h="16840"/>
          <w:pgMar w:top="1080" w:bottom="280" w:left="1680" w:right="800"/>
        </w:sectPr>
      </w:pPr>
    </w:p>
    <w:p>
      <w:pPr>
        <w:pStyle w:val="BodyText"/>
        <w:spacing w:before="22"/>
      </w:pPr>
      <w:r>
        <w:rPr/>
        <w:t>（1）眼球缺失或摘除；  </w:t>
      </w:r>
    </w:p>
    <w:p>
      <w:pPr>
        <w:pStyle w:val="BodyText"/>
        <w:spacing w:line="273" w:lineRule="auto"/>
        <w:ind w:right="215"/>
      </w:pPr>
      <w:r>
        <w:rPr/>
        <w:t>（2）</w:t>
      </w:r>
      <w:r>
        <w:rPr>
          <w:spacing w:val="-5"/>
        </w:rPr>
        <w:t>矫正视力低于 </w:t>
      </w:r>
      <w:r>
        <w:rPr/>
        <w:t>0.02（</w:t>
      </w:r>
      <w:r>
        <w:rPr>
          <w:spacing w:val="-4"/>
        </w:rPr>
        <w:t>采用国际标准视力表，如果使用其它视力表应进行</w:t>
      </w:r>
      <w:r>
        <w:rPr>
          <w:spacing w:val="-4"/>
          <w:w w:val="100"/>
        </w:rPr>
        <w:t>换算</w:t>
      </w:r>
      <w:r>
        <w:rPr>
          <w:spacing w:val="-108"/>
          <w:w w:val="100"/>
        </w:rPr>
        <w:t>）</w:t>
      </w:r>
      <w:r>
        <w:rPr>
          <w:spacing w:val="-1"/>
          <w:w w:val="100"/>
        </w:rPr>
        <w:t>；</w:t>
      </w:r>
      <w:r>
        <w:rPr>
          <w:spacing w:val="-3"/>
          <w:w w:val="100"/>
        </w:rPr>
        <w:t> </w:t>
      </w:r>
      <w:r>
        <w:rPr>
          <w:w w:val="100"/>
        </w:rPr>
        <w:t> </w:t>
      </w:r>
    </w:p>
    <w:p>
      <w:pPr>
        <w:pStyle w:val="BodyText"/>
        <w:spacing w:before="7"/>
      </w:pPr>
      <w:r>
        <w:rPr/>
        <w:t>（3）视野半径小于 5 度。  </w:t>
      </w:r>
    </w:p>
    <w:p>
      <w:pPr>
        <w:pStyle w:val="BodyText"/>
        <w:spacing w:line="273" w:lineRule="auto"/>
        <w:ind w:right="21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8"/>
          <w:shd w:fill="D9D9D9" w:color="auto" w:val="clear"/>
        </w:rPr>
        <w:t> 周岁以后的视力丧失</w:t>
      </w:r>
      <w:r>
        <w:rPr>
          <w:spacing w:val="-5"/>
          <w:shd w:fill="D9D9D9" w:color="auto" w:val="clear"/>
        </w:rPr>
        <w:t>诊断及检查证明。</w:t>
      </w:r>
      <w:r>
        <w:rPr/>
        <w:t> </w:t>
      </w:r>
    </w:p>
    <w:p>
      <w:pPr>
        <w:pStyle w:val="BodyText"/>
        <w:spacing w:before="7"/>
      </w:pPr>
      <w:r>
        <w:rPr>
          <w:w w:val="100"/>
        </w:rPr>
        <w:t> </w:t>
      </w:r>
    </w:p>
    <w:p>
      <w:pPr>
        <w:pStyle w:val="Heading2"/>
        <w:tabs>
          <w:tab w:pos="3780" w:val="left" w:leader="none"/>
        </w:tabs>
        <w:spacing w:before="36"/>
      </w:pPr>
      <w:r>
        <w:rPr/>
        <w:t>（十五）瘫痪</w:t>
      </w:r>
      <w:r>
        <w:rPr>
          <w:spacing w:val="-3"/>
          <w:w w:val="99"/>
        </w:rPr>
        <w:t> </w:t>
      </w:r>
      <w:r>
        <w:rPr>
          <w:w w:val="99"/>
        </w:rPr>
        <w:t> </w:t>
      </w:r>
      <w:r>
        <w:rPr/>
        <w:tab/>
      </w:r>
      <w:r>
        <w:rPr>
          <w:w w:val="99"/>
        </w:rPr>
        <w:t> </w:t>
      </w:r>
    </w:p>
    <w:p>
      <w:pPr>
        <w:pStyle w:val="BodyText"/>
        <w:spacing w:line="273" w:lineRule="auto" w:before="36"/>
        <w:ind w:right="216"/>
        <w:jc w:val="both"/>
      </w:pPr>
      <w:r>
        <w:rPr>
          <w:spacing w:val="-5"/>
        </w:rPr>
        <w:t>指因疾病或意外伤害导致两肢或两肢以上肢体机能永久完全丧失。肢体机能永</w:t>
      </w:r>
      <w:r>
        <w:rPr>
          <w:spacing w:val="-14"/>
        </w:rPr>
        <w:t>久完全丧失，指疾病确诊 </w:t>
      </w:r>
      <w:r>
        <w:rPr/>
        <w:t>180</w:t>
      </w:r>
      <w:r>
        <w:rPr>
          <w:spacing w:val="-13"/>
        </w:rPr>
        <w:t> 天后或意外伤害发生 </w:t>
      </w:r>
      <w:r>
        <w:rPr/>
        <w:t>180</w:t>
      </w:r>
      <w:r>
        <w:rPr>
          <w:spacing w:val="-22"/>
        </w:rPr>
        <w:t> 天后，每肢</w:t>
      </w:r>
      <w:r>
        <w:rPr>
          <w:spacing w:val="-2"/>
          <w:shd w:fill="D9D9D9" w:color="auto" w:val="clear"/>
        </w:rPr>
        <w:t>三大关节</w:t>
      </w:r>
      <w:r>
        <w:rPr>
          <w:spacing w:val="-2"/>
        </w:rPr>
        <w:t>(见</w:t>
      </w:r>
      <w:r>
        <w:rPr>
          <w:spacing w:val="-3"/>
        </w:rPr>
        <w:t>释义)中的两大关节仍然完全僵硬，或不能随意识活动。 </w:t>
      </w:r>
      <w:r>
        <w:rPr/>
        <w:t> </w:t>
      </w:r>
    </w:p>
    <w:p>
      <w:pPr>
        <w:pStyle w:val="BodyText"/>
        <w:spacing w:before="7"/>
      </w:pPr>
      <w:r>
        <w:rPr>
          <w:w w:val="100"/>
        </w:rPr>
        <w:t> </w:t>
      </w:r>
    </w:p>
    <w:p>
      <w:pPr>
        <w:pStyle w:val="Heading2"/>
        <w:tabs>
          <w:tab w:pos="4621" w:val="left" w:leader="none"/>
        </w:tabs>
        <w:spacing w:before="37"/>
      </w:pPr>
      <w:r>
        <w:rPr>
          <w:spacing w:val="-1"/>
        </w:rPr>
        <w:t>（</w:t>
      </w:r>
      <w:r>
        <w:rPr/>
        <w:t>十六）心脏瓣膜</w:t>
      </w:r>
      <w:r>
        <w:rPr>
          <w:spacing w:val="-3"/>
        </w:rPr>
        <w:t>手</w:t>
      </w:r>
      <w:r>
        <w:rPr/>
        <w:t>术</w:t>
      </w:r>
      <w:r>
        <w:rPr>
          <w:spacing w:val="-2"/>
          <w:w w:val="99"/>
        </w:rPr>
        <w:t> </w:t>
      </w:r>
      <w:r>
        <w:rPr>
          <w:w w:val="99"/>
        </w:rPr>
        <w:t> </w:t>
      </w:r>
      <w:r>
        <w:rPr/>
        <w:tab/>
      </w:r>
      <w:r>
        <w:rPr>
          <w:w w:val="99"/>
        </w:rPr>
        <w:t> </w:t>
      </w:r>
    </w:p>
    <w:p>
      <w:pPr>
        <w:pStyle w:val="BodyText"/>
        <w:spacing w:before="36"/>
      </w:pPr>
      <w:r>
        <w:rPr/>
        <w:t>指为治疗心脏瓣膜疾病，实际实施了开胸进行的心脏瓣膜置换或修复的手术。 </w:t>
      </w:r>
    </w:p>
    <w:p>
      <w:pPr>
        <w:pStyle w:val="BodyText"/>
        <w:spacing w:before="36"/>
      </w:pPr>
      <w:r>
        <w:rPr>
          <w:w w:val="100"/>
        </w:rPr>
        <w:t> </w:t>
      </w:r>
    </w:p>
    <w:p>
      <w:pPr>
        <w:pStyle w:val="Heading2"/>
        <w:spacing w:before="36"/>
      </w:pPr>
      <w:r>
        <w:rPr/>
        <w:t>（十七）严重阿尔茨海默病</w:t>
      </w:r>
      <w:r>
        <w:rPr>
          <w:w w:val="99"/>
        </w:rPr>
        <w:t>  </w:t>
      </w:r>
      <w:r>
        <w:rPr/>
        <w:t>  </w:t>
      </w:r>
      <w:r>
        <w:rPr>
          <w:w w:val="99"/>
        </w:rPr>
        <w:t> </w:t>
      </w:r>
    </w:p>
    <w:p>
      <w:pPr>
        <w:pStyle w:val="BodyText"/>
        <w:spacing w:line="273" w:lineRule="auto" w:before="36"/>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r>
        <w:rPr>
          <w:spacing w:val="-3"/>
        </w:rPr>
        <w:t> </w:t>
      </w:r>
      <w:r>
        <w:rPr/>
        <w:t> </w:t>
      </w:r>
    </w:p>
    <w:p>
      <w:pPr>
        <w:pStyle w:val="BodyText"/>
        <w:spacing w:before="7"/>
      </w:pPr>
      <w:r>
        <w:rPr>
          <w:shd w:fill="D9D9D9" w:color="auto" w:val="clear"/>
        </w:rPr>
        <w:t>神经官能症和精神疾病不在保障范围内。 </w:t>
      </w:r>
      <w:r>
        <w:rPr/>
        <w:t> </w:t>
      </w:r>
    </w:p>
    <w:p>
      <w:pPr>
        <w:pStyle w:val="BodyText"/>
      </w:pPr>
      <w:r>
        <w:rPr>
          <w:w w:val="100"/>
        </w:rPr>
        <w:t> </w:t>
      </w:r>
    </w:p>
    <w:p>
      <w:pPr>
        <w:pStyle w:val="Heading2"/>
        <w:spacing w:before="36"/>
      </w:pPr>
      <w:r>
        <w:rPr/>
        <w:t>（十八）严重脑损伤</w:t>
      </w:r>
      <w:r>
        <w:rPr>
          <w:w w:val="99"/>
        </w:rPr>
        <w:t>   </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3"/>
        </w:rPr>
        <w:t>仍遗留下列一种或一种以上障碍： </w:t>
      </w:r>
      <w:r>
        <w:rPr/>
        <w:t> </w:t>
      </w:r>
    </w:p>
    <w:p>
      <w:pPr>
        <w:pStyle w:val="BodyText"/>
        <w:spacing w:before="7"/>
      </w:pPr>
      <w:r>
        <w:rPr/>
        <w:t>（1）一肢或一肢以上肢体机能完全丧失；  </w:t>
      </w:r>
    </w:p>
    <w:p>
      <w:pPr>
        <w:pStyle w:val="BodyText"/>
        <w:spacing w:before="36"/>
      </w:pPr>
      <w:r>
        <w:rPr/>
        <w:t>（2）语言能力或咀嚼吞咽能力完全丧失；  </w:t>
      </w:r>
    </w:p>
    <w:p>
      <w:pPr>
        <w:pStyle w:val="BodyText"/>
        <w:spacing w:line="273" w:lineRule="auto" w:before="36"/>
        <w:ind w:right="220"/>
      </w:pPr>
      <w:r>
        <w:rPr/>
        <w:t>（3）自主生活能力完全丧失，无法独立完成六项基本日常生活活动中的三项或三项以上。  </w:t>
      </w:r>
    </w:p>
    <w:p>
      <w:pPr>
        <w:pStyle w:val="BodyText"/>
        <w:spacing w:before="7"/>
      </w:pPr>
      <w:r>
        <w:rPr>
          <w:w w:val="100"/>
        </w:rPr>
        <w:t> </w:t>
      </w:r>
    </w:p>
    <w:p>
      <w:pPr>
        <w:pStyle w:val="Heading2"/>
        <w:tabs>
          <w:tab w:pos="4621" w:val="left" w:leader="none"/>
        </w:tabs>
        <w:spacing w:before="37"/>
      </w:pPr>
      <w:r>
        <w:rPr>
          <w:spacing w:val="-1"/>
        </w:rPr>
        <w:t>（</w:t>
      </w:r>
      <w:r>
        <w:rPr/>
        <w:t>十九）严重帕金</w:t>
      </w:r>
      <w:r>
        <w:rPr>
          <w:spacing w:val="-3"/>
        </w:rPr>
        <w:t>森</w:t>
      </w:r>
      <w:r>
        <w:rPr/>
        <w:t>病</w:t>
      </w:r>
      <w:r>
        <w:rPr>
          <w:spacing w:val="-2"/>
          <w:w w:val="99"/>
        </w:rPr>
        <w:t> </w:t>
      </w:r>
      <w:r>
        <w:rPr>
          <w:w w:val="99"/>
        </w:rPr>
        <w:t> </w:t>
      </w:r>
      <w:r>
        <w:rPr/>
        <w:tab/>
      </w:r>
      <w:r>
        <w:rPr>
          <w:w w:val="99"/>
        </w:rPr>
        <w:t> </w:t>
      </w:r>
    </w:p>
    <w:p>
      <w:pPr>
        <w:pStyle w:val="BodyText"/>
        <w:spacing w:line="273" w:lineRule="auto" w:before="36"/>
        <w:ind w:right="186"/>
      </w:pPr>
      <w:r>
        <w:rPr/>
        <w:t>是一种中枢神经系统的退行性疾病，临床表现为震颤麻痹、共济失调等。须满足下列全部条件：  </w:t>
      </w:r>
    </w:p>
    <w:p>
      <w:pPr>
        <w:pStyle w:val="BodyText"/>
        <w:spacing w:before="7"/>
      </w:pPr>
      <w:r>
        <w:rPr/>
        <w:t>（1）药物治疗无法控制病情；  </w:t>
      </w:r>
    </w:p>
    <w:p>
      <w:pPr>
        <w:pStyle w:val="BodyText"/>
        <w:spacing w:line="273" w:lineRule="auto"/>
        <w:ind w:right="219"/>
      </w:pPr>
      <w:r>
        <w:rPr/>
        <w:t>（2）自主生活能力完全丧失，无法独立完成六项基本日常生活活动中的三项或三项以上。  </w:t>
      </w:r>
    </w:p>
    <w:p>
      <w:pPr>
        <w:pStyle w:val="BodyText"/>
        <w:spacing w:before="7"/>
        <w:rPr>
          <w:b/>
        </w:rPr>
      </w:pPr>
      <w:r>
        <w:rPr>
          <w:shd w:fill="D9D9D9" w:color="auto" w:val="clear"/>
        </w:rPr>
        <w:t>继发性帕金森综合征不在保障范围内。</w:t>
      </w:r>
      <w:r>
        <w:rPr>
          <w:b/>
          <w:w w:val="99"/>
        </w:rPr>
        <w:t>  </w:t>
      </w:r>
    </w:p>
    <w:p>
      <w:pPr>
        <w:pStyle w:val="BodyText"/>
        <w:spacing w:before="36"/>
      </w:pPr>
      <w:r>
        <w:rPr>
          <w:w w:val="100"/>
        </w:rPr>
        <w:t> </w:t>
      </w:r>
    </w:p>
    <w:p>
      <w:pPr>
        <w:pStyle w:val="Heading2"/>
        <w:tabs>
          <w:tab w:pos="4621" w:val="left" w:leader="none"/>
        </w:tabs>
        <w:spacing w:before="36"/>
      </w:pPr>
      <w:r>
        <w:rPr>
          <w:spacing w:val="-1"/>
        </w:rPr>
        <w:t>（</w:t>
      </w:r>
      <w:r>
        <w:rPr/>
        <w:t>二十）严重Ⅲ度</w:t>
      </w:r>
      <w:r>
        <w:rPr>
          <w:spacing w:val="-3"/>
        </w:rPr>
        <w:t>烧</w:t>
      </w:r>
      <w:r>
        <w:rPr/>
        <w:t>伤</w:t>
      </w:r>
      <w:r>
        <w:rPr>
          <w:spacing w:val="-2"/>
          <w:w w:val="99"/>
        </w:rPr>
        <w:t> </w:t>
      </w:r>
      <w:r>
        <w:rPr>
          <w:w w:val="99"/>
        </w:rPr>
        <w:t> </w:t>
      </w:r>
      <w:r>
        <w:rPr/>
        <w:tab/>
      </w:r>
      <w:r>
        <w:rPr>
          <w:w w:val="99"/>
        </w:rPr>
        <w:t> </w:t>
      </w:r>
    </w:p>
    <w:p>
      <w:pPr>
        <w:pStyle w:val="BodyText"/>
        <w:spacing w:line="273" w:lineRule="auto" w:before="36"/>
        <w:ind w:right="110"/>
      </w:pPr>
      <w:r>
        <w:rPr>
          <w:spacing w:val="-9"/>
        </w:rPr>
        <w:t>指烧伤程度为Ⅲ度，且Ⅲ度烧伤的面积达到全身体表面积的 </w:t>
      </w:r>
      <w:r>
        <w:rPr/>
        <w:t>20</w:t>
      </w:r>
      <w:r>
        <w:rPr>
          <w:spacing w:val="-14"/>
        </w:rPr>
        <w:t>％或 </w:t>
      </w:r>
      <w:r>
        <w:rPr/>
        <w:t>20</w:t>
      </w:r>
      <w:r>
        <w:rPr>
          <w:spacing w:val="-3"/>
        </w:rPr>
        <w:t>％以上。体表面积根据《中国新九分法》计算。 </w:t>
      </w:r>
      <w:r>
        <w:rPr/>
        <w:t> </w:t>
      </w:r>
    </w:p>
    <w:p>
      <w:pPr>
        <w:pStyle w:val="BodyText"/>
        <w:spacing w:before="7"/>
      </w:pPr>
      <w:r>
        <w:rPr>
          <w:w w:val="100"/>
        </w:rPr>
        <w:t> </w:t>
      </w:r>
    </w:p>
    <w:p>
      <w:pPr>
        <w:pStyle w:val="Heading2"/>
        <w:spacing w:before="36"/>
      </w:pPr>
      <w:r>
        <w:rPr/>
        <w:t>（二十一）严重原发性肺动脉高压</w:t>
      </w:r>
      <w:r>
        <w:rPr>
          <w:w w:val="99"/>
        </w:rPr>
        <w:t>   </w:t>
      </w:r>
    </w:p>
    <w:p>
      <w:pPr>
        <w:spacing w:after="0"/>
        <w:sectPr>
          <w:pgSz w:w="11910" w:h="16840"/>
          <w:pgMar w:top="1080" w:bottom="280" w:left="1680" w:right="800"/>
        </w:sectPr>
      </w:pPr>
    </w:p>
    <w:p>
      <w:pPr>
        <w:pStyle w:val="BodyText"/>
        <w:spacing w:line="273" w:lineRule="auto" w:before="22"/>
        <w:ind w:right="135"/>
        <w:jc w:val="both"/>
      </w:pPr>
      <w:r>
        <w:rPr>
          <w:spacing w:val="-6"/>
        </w:rPr>
        <w:t>指不明原因的肺动脉压力持续性增高，进行性发展而导致的慢性疾病，已经造成永久不可逆性的体力活动能力受限，达到美国纽约心脏病学会心功能状态分</w:t>
      </w:r>
      <w:r>
        <w:rPr>
          <w:spacing w:val="-27"/>
        </w:rPr>
        <w:t>级 </w:t>
      </w:r>
      <w:r>
        <w:rPr/>
        <w:t>IV</w:t>
      </w:r>
      <w:r>
        <w:rPr>
          <w:spacing w:val="-11"/>
        </w:rPr>
        <w:t> 级，且静息状态下肺动脉平均压超过 </w:t>
      </w:r>
      <w:r>
        <w:rPr/>
        <w:t>30mmHg。  </w:t>
      </w:r>
    </w:p>
    <w:p>
      <w:pPr>
        <w:pStyle w:val="BodyText"/>
        <w:spacing w:before="8"/>
      </w:pPr>
      <w:r>
        <w:rPr>
          <w:w w:val="100"/>
        </w:rPr>
        <w:t> </w:t>
      </w:r>
    </w:p>
    <w:p>
      <w:pPr>
        <w:pStyle w:val="Heading2"/>
        <w:spacing w:before="37"/>
      </w:pPr>
      <w:r>
        <w:rPr/>
        <w:t>（二十二）严重运动神经元病</w:t>
      </w:r>
      <w:r>
        <w:rPr>
          <w:w w:val="99"/>
        </w:rPr>
        <w:t>   </w:t>
      </w:r>
    </w:p>
    <w:p>
      <w:pPr>
        <w:pStyle w:val="BodyText"/>
        <w:spacing w:line="273" w:lineRule="auto"/>
        <w:ind w:right="99"/>
        <w:jc w:val="both"/>
      </w:pPr>
      <w:r>
        <w:rPr>
          <w:spacing w:val="-4"/>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w:t>
      </w:r>
      <w:r>
        <w:rPr>
          <w:spacing w:val="-7"/>
        </w:rPr>
        <w:t>条件。 </w:t>
      </w:r>
      <w:r>
        <w:rPr/>
        <w:t> </w:t>
      </w:r>
    </w:p>
    <w:p>
      <w:pPr>
        <w:pStyle w:val="BodyText"/>
        <w:spacing w:before="8"/>
      </w:pPr>
      <w:r>
        <w:rPr>
          <w:w w:val="100"/>
        </w:rPr>
        <w:t> </w:t>
      </w:r>
    </w:p>
    <w:p>
      <w:pPr>
        <w:pStyle w:val="Heading2"/>
        <w:spacing w:before="37"/>
      </w:pPr>
      <w:r>
        <w:rPr/>
        <w:t>（二十三）语言能力丧失</w:t>
      </w:r>
      <w:r>
        <w:rPr>
          <w:w w:val="99"/>
        </w:rPr>
        <w:t> </w:t>
      </w:r>
    </w:p>
    <w:p>
      <w:pPr>
        <w:pStyle w:val="BodyText"/>
        <w:spacing w:line="273" w:lineRule="auto"/>
        <w:ind w:right="135"/>
      </w:pPr>
      <w:r>
        <w:rPr>
          <w:spacing w:val="-3"/>
        </w:rPr>
        <w:t>指因疾病或意外伤害导致完全丧失语言能力，经过积极治疗至少 </w:t>
      </w:r>
      <w:r>
        <w:rPr/>
        <w:t>12</w:t>
      </w:r>
      <w:r>
        <w:rPr>
          <w:spacing w:val="-2"/>
        </w:rPr>
        <w:t> 个月</w:t>
      </w:r>
      <w:r>
        <w:rPr>
          <w:spacing w:val="-5"/>
        </w:rPr>
        <w:t>（</w:t>
      </w:r>
      <w:r>
        <w:rPr/>
        <w:t>声</w:t>
      </w:r>
      <w:r>
        <w:rPr>
          <w:spacing w:val="-3"/>
          <w:w w:val="100"/>
        </w:rPr>
        <w:t>带完全切除不受此时间限制</w:t>
      </w:r>
      <w:r>
        <w:rPr>
          <w:spacing w:val="-106"/>
          <w:w w:val="100"/>
        </w:rPr>
        <w:t>）</w:t>
      </w:r>
      <w:r>
        <w:rPr>
          <w:spacing w:val="-3"/>
          <w:w w:val="100"/>
        </w:rPr>
        <w:t>，仍无法通过现有医疗手段恢复。 </w:t>
      </w:r>
      <w:r>
        <w:rPr>
          <w:w w:val="100"/>
        </w:rPr>
        <w:t> </w:t>
      </w:r>
    </w:p>
    <w:p>
      <w:pPr>
        <w:pStyle w:val="BodyText"/>
        <w:spacing w:before="8"/>
      </w:pPr>
      <w:r>
        <w:rPr>
          <w:shd w:fill="D9D9D9" w:color="auto" w:val="clear"/>
        </w:rPr>
        <w:t>精神心理因素所致的语言能力丧失不在保障范围内。</w:t>
      </w:r>
      <w:r>
        <w:rPr/>
        <w:t> </w:t>
      </w:r>
    </w:p>
    <w:p>
      <w:pPr>
        <w:pStyle w:val="BodyText"/>
        <w:spacing w:line="273" w:lineRule="auto"/>
        <w:ind w:right="135"/>
      </w:pPr>
      <w:r>
        <w:rPr>
          <w:spacing w:val="-6"/>
          <w:shd w:fill="D9D9D9" w:color="auto" w:val="clear"/>
        </w:rPr>
        <w:t>被保险人申请理赔时年龄必须在 </w:t>
      </w:r>
      <w:r>
        <w:rPr>
          <w:shd w:fill="D9D9D9" w:color="auto" w:val="clear"/>
        </w:rPr>
        <w:t>3</w:t>
      </w:r>
      <w:r>
        <w:rPr>
          <w:spacing w:val="-14"/>
          <w:shd w:fill="D9D9D9" w:color="auto" w:val="clear"/>
        </w:rPr>
        <w:t> 周岁以上，并且提供 </w:t>
      </w:r>
      <w:r>
        <w:rPr>
          <w:shd w:fill="D9D9D9" w:color="auto" w:val="clear"/>
        </w:rPr>
        <w:t>3</w:t>
      </w:r>
      <w:r>
        <w:rPr>
          <w:spacing w:val="-8"/>
          <w:shd w:fill="D9D9D9" w:color="auto" w:val="clear"/>
        </w:rPr>
        <w:t> 周岁以后的语言能力</w:t>
      </w:r>
      <w:r>
        <w:rPr>
          <w:spacing w:val="-5"/>
          <w:shd w:fill="D9D9D9" w:color="auto" w:val="clear"/>
        </w:rPr>
        <w:t>丧失诊断及检查证明。</w:t>
      </w:r>
      <w:r>
        <w:rPr/>
        <w:t> </w:t>
      </w:r>
    </w:p>
    <w:p>
      <w:pPr>
        <w:pStyle w:val="BodyText"/>
        <w:spacing w:before="7"/>
      </w:pPr>
      <w:r>
        <w:rPr>
          <w:w w:val="100"/>
        </w:rPr>
        <w:t> </w:t>
      </w:r>
    </w:p>
    <w:p>
      <w:pPr>
        <w:pStyle w:val="Heading2"/>
        <w:spacing w:before="36"/>
      </w:pPr>
      <w:r>
        <w:rPr/>
        <w:t>（二十四）重型再生障碍性贫血</w:t>
      </w:r>
      <w:r>
        <w:rPr>
          <w:w w:val="99"/>
        </w:rPr>
        <w:t>  </w:t>
      </w:r>
      <w:r>
        <w:rPr/>
        <w:t>  </w:t>
      </w:r>
      <w:r>
        <w:rPr>
          <w:w w:val="99"/>
        </w:rPr>
        <w:t> </w:t>
      </w:r>
    </w:p>
    <w:p>
      <w:pPr>
        <w:pStyle w:val="BodyText"/>
        <w:spacing w:line="273" w:lineRule="auto" w:before="36"/>
        <w:ind w:right="140"/>
      </w:pPr>
      <w:r>
        <w:rPr/>
        <w:t>指因骨髓造血功能慢性持续性衰竭导致的贫血、中性粒细胞减少及血小板减少。须满足下列全部条件：  </w:t>
      </w:r>
    </w:p>
    <w:p>
      <w:pPr>
        <w:pStyle w:val="BodyText"/>
        <w:spacing w:before="7"/>
        <w:jc w:val="both"/>
      </w:pPr>
      <w:r>
        <w:rPr/>
        <w:t>（1）骨髓穿刺检查或骨髓活检结果支持诊断；  </w:t>
      </w:r>
    </w:p>
    <w:p>
      <w:pPr>
        <w:pStyle w:val="BodyText"/>
        <w:jc w:val="both"/>
      </w:pPr>
      <w:r>
        <w:rPr/>
        <w:t>（2）外周血象须具备以下三项条件：  </w:t>
      </w:r>
    </w:p>
    <w:p>
      <w:pPr>
        <w:pStyle w:val="BodyText"/>
        <w:jc w:val="both"/>
      </w:pPr>
      <w:r>
        <w:rPr/>
        <w:t>① 中性粒细胞绝对值≤0.5×10</w:t>
      </w:r>
      <w:r>
        <w:rPr>
          <w:position w:val="11"/>
          <w:sz w:val="11"/>
        </w:rPr>
        <w:t>9</w:t>
      </w:r>
      <w:r>
        <w:rPr/>
        <w:t>/L ；  </w:t>
      </w:r>
    </w:p>
    <w:p>
      <w:pPr>
        <w:pStyle w:val="BodyText"/>
        <w:spacing w:before="36"/>
        <w:jc w:val="both"/>
      </w:pPr>
      <w:r>
        <w:rPr/>
        <w:t>② 网织红细胞＜1%；  </w:t>
      </w:r>
    </w:p>
    <w:p>
      <w:pPr>
        <w:pStyle w:val="BodyText"/>
        <w:spacing w:before="36"/>
        <w:jc w:val="both"/>
      </w:pPr>
      <w:r>
        <w:rPr/>
        <w:t>③ 血小板绝对值≤20×10</w:t>
      </w:r>
      <w:r>
        <w:rPr>
          <w:position w:val="11"/>
          <w:sz w:val="11"/>
        </w:rPr>
        <w:t>9</w:t>
      </w:r>
      <w:r>
        <w:rPr/>
        <w:t>/L。  </w:t>
      </w:r>
    </w:p>
    <w:p>
      <w:pPr>
        <w:pStyle w:val="BodyText"/>
        <w:spacing w:before="36"/>
        <w:jc w:val="both"/>
      </w:pPr>
      <w:r>
        <w:rPr>
          <w:w w:val="100"/>
        </w:rPr>
        <w:t> </w:t>
      </w:r>
    </w:p>
    <w:p>
      <w:pPr>
        <w:pStyle w:val="Heading2"/>
        <w:spacing w:before="36"/>
        <w:jc w:val="both"/>
      </w:pPr>
      <w:r>
        <w:rPr/>
        <w:t>（二十五）主动脉手术</w:t>
      </w:r>
      <w:r>
        <w:rPr>
          <w:w w:val="99"/>
        </w:rPr>
        <w:t>  </w:t>
      </w:r>
      <w:r>
        <w:rPr/>
        <w:t>  </w:t>
      </w:r>
      <w:r>
        <w:rPr>
          <w:w w:val="99"/>
        </w:rPr>
        <w:t> </w:t>
      </w:r>
    </w:p>
    <w:p>
      <w:pPr>
        <w:pStyle w:val="BodyText"/>
        <w:spacing w:line="273" w:lineRule="auto" w:before="36"/>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3"/>
        </w:rPr>
        <w:t>的分支血管。 </w:t>
      </w:r>
      <w:r>
        <w:rPr/>
        <w:t> </w:t>
      </w:r>
    </w:p>
    <w:p>
      <w:pPr>
        <w:pStyle w:val="BodyText"/>
        <w:spacing w:before="7"/>
      </w:pPr>
      <w:r>
        <w:rPr>
          <w:shd w:fill="D9D9D9" w:color="auto" w:val="clear"/>
        </w:rPr>
        <w:t>动脉内血管成形术不在保障范围内。</w:t>
      </w:r>
      <w:r>
        <w:rPr/>
        <w:t> </w:t>
      </w:r>
    </w:p>
    <w:p>
      <w:pPr>
        <w:pStyle w:val="BodyText"/>
      </w:pPr>
      <w:r>
        <w:rPr>
          <w:w w:val="100"/>
        </w:rPr>
        <w:t> </w:t>
      </w:r>
    </w:p>
    <w:p>
      <w:pPr>
        <w:pStyle w:val="Heading2"/>
        <w:spacing w:line="273" w:lineRule="auto" w:before="37"/>
        <w:ind w:right="145"/>
      </w:pPr>
      <w:r>
        <w:rPr/>
        <w:t>以下重大疾病定义是本公司在中国保险行业协会与中国医师协会共同制定的重大疾病保险的疾病种类范围以外增加的疾病定义。</w:t>
      </w:r>
      <w:r>
        <w:rPr>
          <w:w w:val="99"/>
        </w:rPr>
        <w:t> </w:t>
      </w:r>
    </w:p>
    <w:p>
      <w:pPr>
        <w:pStyle w:val="BodyText"/>
        <w:spacing w:before="7"/>
      </w:pPr>
      <w:r>
        <w:rPr>
          <w:w w:val="100"/>
        </w:rPr>
        <w:t> </w:t>
      </w:r>
    </w:p>
    <w:p>
      <w:pPr>
        <w:pStyle w:val="Heading2"/>
        <w:spacing w:before="36"/>
      </w:pPr>
      <w:r>
        <w:rPr/>
        <w:t>（二十六）系统性红斑狼疮－（并发）Ⅲ型或以上狼疮性肾炎</w:t>
      </w:r>
      <w:r>
        <w:rPr>
          <w:w w:val="99"/>
        </w:rPr>
        <w:t> </w:t>
      </w:r>
    </w:p>
    <w:p>
      <w:pPr>
        <w:pStyle w:val="BodyText"/>
        <w:spacing w:line="273" w:lineRule="auto" w:before="36"/>
        <w:ind w:right="135"/>
        <w:jc w:val="both"/>
      </w:pPr>
      <w:r>
        <w:rPr/>
        <w:t>系统性红斑狼疮是指由于自身抗体和免疫复合物的沉积破坏了血管和细胞而</w:t>
      </w:r>
      <w:r>
        <w:rPr>
          <w:spacing w:val="-5"/>
        </w:rPr>
        <w:t>导致的累及多系统损害的一种自体免疫性疾病。本保障仅限于被保险人因系统</w:t>
      </w:r>
      <w:r>
        <w:rPr>
          <w:spacing w:val="-6"/>
        </w:rPr>
        <w:t>性红斑狼疮并发狼疮性肾炎并引起肾功能损害，且肾脏病理诊断符合以下列明</w:t>
      </w:r>
      <w:r>
        <w:rPr>
          <w:spacing w:val="-5"/>
        </w:rPr>
        <w:t>的世界卫生组织</w:t>
      </w:r>
      <w:r>
        <w:rPr>
          <w:spacing w:val="-3"/>
        </w:rPr>
        <w:t>（WHO）</w:t>
      </w:r>
      <w:r>
        <w:rPr>
          <w:spacing w:val="-6"/>
        </w:rPr>
        <w:t>对狼疮性肾炎所分类中的第 </w:t>
      </w:r>
      <w:r>
        <w:rPr/>
        <w:t>III</w:t>
      </w:r>
      <w:r>
        <w:rPr>
          <w:spacing w:val="-8"/>
        </w:rPr>
        <w:t>、</w:t>
      </w:r>
      <w:r>
        <w:rPr/>
        <w:t>IV</w:t>
      </w:r>
      <w:r>
        <w:rPr>
          <w:spacing w:val="-8"/>
        </w:rPr>
        <w:t>、</w:t>
      </w:r>
      <w:r>
        <w:rPr/>
        <w:t>V</w:t>
      </w:r>
      <w:r>
        <w:rPr>
          <w:spacing w:val="-10"/>
        </w:rPr>
        <w:t>、</w:t>
      </w:r>
      <w:r>
        <w:rPr/>
        <w:t>VI</w:t>
      </w:r>
      <w:r>
        <w:rPr>
          <w:spacing w:val="-11"/>
        </w:rPr>
        <w:t> 型。诊断</w:t>
      </w:r>
      <w:r>
        <w:rPr>
          <w:spacing w:val="-3"/>
        </w:rPr>
        <w:t>须由有资格的风湿和免疫病专科医生确认。 </w:t>
      </w:r>
      <w:r>
        <w:rPr/>
        <w:t> </w:t>
      </w:r>
    </w:p>
    <w:p>
      <w:pPr>
        <w:pStyle w:val="BodyText"/>
        <w:spacing w:before="7"/>
        <w:jc w:val="both"/>
      </w:pPr>
      <w:r>
        <w:rPr/>
        <w:t>世界卫生组织（WHO）对狼疮性肾炎的分类标准： </w:t>
      </w:r>
    </w:p>
    <w:p>
      <w:pPr>
        <w:pStyle w:val="BodyText"/>
        <w:jc w:val="both"/>
      </w:pPr>
      <w:r>
        <w:rPr/>
        <w:t>（1）I 型–正常肾小球型； </w:t>
      </w:r>
    </w:p>
    <w:p>
      <w:pPr>
        <w:pStyle w:val="BodyText"/>
        <w:jc w:val="both"/>
      </w:pPr>
      <w:r>
        <w:rPr/>
        <w:t>（2）II 型–系膜增生型； </w:t>
      </w:r>
    </w:p>
    <w:p>
      <w:pPr>
        <w:pStyle w:val="BodyText"/>
        <w:jc w:val="both"/>
      </w:pPr>
      <w:r>
        <w:rPr/>
        <w:t>（3）III 型–局灶及节段增生型； </w:t>
      </w:r>
    </w:p>
    <w:p>
      <w:pPr>
        <w:pStyle w:val="BodyText"/>
        <w:jc w:val="both"/>
      </w:pPr>
      <w:r>
        <w:rPr/>
        <w:t>（4）IV 型–弥漫增生型； </w:t>
      </w:r>
    </w:p>
    <w:p>
      <w:pPr>
        <w:spacing w:after="0"/>
        <w:jc w:val="both"/>
        <w:sectPr>
          <w:pgSz w:w="11910" w:h="16840"/>
          <w:pgMar w:top="1080" w:bottom="280" w:left="1680" w:right="880"/>
        </w:sectPr>
      </w:pPr>
    </w:p>
    <w:p>
      <w:pPr>
        <w:pStyle w:val="BodyText"/>
        <w:spacing w:before="22"/>
        <w:jc w:val="both"/>
      </w:pPr>
      <w:r>
        <w:rPr/>
        <w:t>（5）V 型–膜型； </w:t>
      </w:r>
    </w:p>
    <w:p>
      <w:pPr>
        <w:pStyle w:val="BodyText"/>
        <w:jc w:val="both"/>
      </w:pPr>
      <w:r>
        <w:rPr/>
        <w:t>（6）VI 型–肾小球硬化型。 </w:t>
      </w:r>
    </w:p>
    <w:p>
      <w:pPr>
        <w:pStyle w:val="BodyText"/>
        <w:spacing w:before="36"/>
        <w:jc w:val="both"/>
      </w:pPr>
      <w:r>
        <w:rPr>
          <w:w w:val="100"/>
        </w:rPr>
        <w:t> </w:t>
      </w:r>
    </w:p>
    <w:p>
      <w:pPr>
        <w:pStyle w:val="Heading2"/>
        <w:spacing w:before="36"/>
        <w:jc w:val="both"/>
      </w:pPr>
      <w:r>
        <w:rPr/>
        <w:t>（二十七）肾髓质囊性病</w:t>
      </w:r>
    </w:p>
    <w:p>
      <w:pPr>
        <w:pStyle w:val="BodyText"/>
        <w:spacing w:before="36"/>
        <w:jc w:val="both"/>
      </w:pPr>
      <w:r>
        <w:rPr/>
        <w:t>肾髓质囊性病的诊断须同时符合下列要求：</w:t>
      </w:r>
    </w:p>
    <w:p>
      <w:pPr>
        <w:pStyle w:val="BodyText"/>
        <w:spacing w:before="36"/>
        <w:jc w:val="both"/>
      </w:pPr>
      <w:r>
        <w:rPr/>
        <w:t>（</w:t>
      </w:r>
      <w:r>
        <w:rPr>
          <w:rFonts w:ascii="Times New Roman" w:eastAsia="Times New Roman"/>
        </w:rPr>
        <w:t>1</w:t>
      </w:r>
      <w:r>
        <w:rPr/>
        <w:t>）肾髓质有囊肿、肾小管萎缩及间质纤维化等病理改变；</w:t>
      </w:r>
    </w:p>
    <w:p>
      <w:pPr>
        <w:pStyle w:val="BodyText"/>
        <w:spacing w:before="20"/>
        <w:jc w:val="both"/>
      </w:pPr>
      <w:r>
        <w:rPr/>
        <w:t>（</w:t>
      </w:r>
      <w:r>
        <w:rPr>
          <w:rFonts w:ascii="Times New Roman" w:eastAsia="Times New Roman"/>
        </w:rPr>
        <w:t>2</w:t>
      </w:r>
      <w:r>
        <w:rPr/>
        <w:t>）肾功能衰竭；</w:t>
      </w:r>
    </w:p>
    <w:p>
      <w:pPr>
        <w:pStyle w:val="BodyText"/>
        <w:spacing w:before="20"/>
        <w:jc w:val="both"/>
      </w:pPr>
      <w:r>
        <w:rPr/>
        <w:t>（</w:t>
      </w:r>
      <w:r>
        <w:rPr>
          <w:rFonts w:ascii="Times New Roman" w:eastAsia="Times New Roman"/>
        </w:rPr>
        <w:t>3</w:t>
      </w:r>
      <w:r>
        <w:rPr/>
        <w:t>）诊断须由肾组织活检确定。</w:t>
      </w:r>
    </w:p>
    <w:p>
      <w:pPr>
        <w:pStyle w:val="BodyText"/>
        <w:spacing w:line="273" w:lineRule="auto" w:before="20"/>
        <w:ind w:right="99"/>
      </w:pPr>
      <w:r>
        <w:rPr>
          <w:spacing w:val="-4"/>
          <w:shd w:fill="D9D9D9" w:color="auto" w:val="clear"/>
        </w:rPr>
        <w:t>本公司承担本项疾病责任不受本合同责任免除中“遗传性疾病，先天性畸形、</w:t>
      </w:r>
      <w:r>
        <w:rPr>
          <w:spacing w:val="-209"/>
          <w:shd w:fill="D9D9D9" w:color="auto" w:val="clear"/>
        </w:rPr>
        <w:t>变</w:t>
      </w:r>
      <w:r>
        <w:rPr>
          <w:spacing w:val="-3"/>
          <w:shd w:fill="D9D9D9" w:color="auto" w:val="clear"/>
        </w:rPr>
        <w:t>形或染色体异常”的限制。</w:t>
      </w:r>
    </w:p>
    <w:p>
      <w:pPr>
        <w:pStyle w:val="BodyText"/>
        <w:spacing w:before="7"/>
      </w:pPr>
      <w:r>
        <w:rPr>
          <w:w w:val="100"/>
        </w:rPr>
        <w:t> </w:t>
      </w:r>
    </w:p>
    <w:p>
      <w:pPr>
        <w:pStyle w:val="Heading2"/>
        <w:spacing w:before="37"/>
      </w:pPr>
      <w:r>
        <w:rPr/>
        <w:t>（二十八）慢性呼吸功能衰竭终末期肺病</w:t>
      </w:r>
    </w:p>
    <w:p>
      <w:pPr>
        <w:pStyle w:val="BodyText"/>
        <w:spacing w:line="273" w:lineRule="auto"/>
        <w:ind w:right="90"/>
      </w:pPr>
      <w:r>
        <w:rPr/>
        <w:t>慢性肺部疾病导致永久不可逆性的慢性呼吸功能衰竭。慢性呼吸功能衰竭必须明确诊断并满足下列全部条件：</w:t>
      </w:r>
    </w:p>
    <w:p>
      <w:pPr>
        <w:pStyle w:val="BodyText"/>
        <w:spacing w:before="7"/>
        <w:jc w:val="both"/>
      </w:pPr>
      <w:r>
        <w:rPr/>
        <w:t>（</w:t>
      </w:r>
      <w:r>
        <w:rPr>
          <w:rFonts w:ascii="Times New Roman" w:eastAsia="Times New Roman"/>
        </w:rPr>
        <w:t>1</w:t>
      </w:r>
      <w:r>
        <w:rPr/>
        <w:t>）动脉血氧分压（</w:t>
      </w:r>
      <w:r>
        <w:rPr>
          <w:rFonts w:ascii="Times New Roman" w:eastAsia="Times New Roman"/>
        </w:rPr>
        <w:t>PaO2</w:t>
      </w:r>
      <w:r>
        <w:rPr/>
        <w:t>）</w:t>
      </w:r>
      <w:r>
        <w:rPr>
          <w:rFonts w:ascii="Times New Roman" w:eastAsia="Times New Roman"/>
        </w:rPr>
        <w:t>&lt;50mmHg</w:t>
      </w:r>
      <w:r>
        <w:rPr/>
        <w:t>；</w:t>
      </w:r>
    </w:p>
    <w:p>
      <w:pPr>
        <w:pStyle w:val="BodyText"/>
        <w:spacing w:before="21"/>
        <w:jc w:val="both"/>
      </w:pPr>
      <w:r>
        <w:rPr/>
        <w:t>（</w:t>
      </w:r>
      <w:r>
        <w:rPr>
          <w:rFonts w:ascii="Times New Roman" w:eastAsia="Times New Roman"/>
        </w:rPr>
        <w:t>2</w:t>
      </w:r>
      <w:r>
        <w:rPr/>
        <w:t>）动脉血氧饱和度（</w:t>
      </w:r>
      <w:r>
        <w:rPr>
          <w:rFonts w:ascii="Times New Roman" w:eastAsia="Times New Roman"/>
        </w:rPr>
        <w:t>SaO2</w:t>
      </w:r>
      <w:r>
        <w:rPr/>
        <w:t>）</w:t>
      </w:r>
      <w:r>
        <w:rPr>
          <w:rFonts w:ascii="Times New Roman" w:eastAsia="Times New Roman"/>
        </w:rPr>
        <w:t>&lt;80%</w:t>
      </w:r>
      <w:r>
        <w:rPr/>
        <w:t>；</w:t>
      </w:r>
    </w:p>
    <w:p>
      <w:pPr>
        <w:pStyle w:val="BodyText"/>
        <w:spacing w:before="21"/>
        <w:jc w:val="both"/>
      </w:pPr>
      <w:r>
        <w:rPr/>
        <w:t>（</w:t>
      </w:r>
      <w:r>
        <w:rPr>
          <w:rFonts w:ascii="Times New Roman" w:eastAsia="Times New Roman"/>
        </w:rPr>
        <w:t>3</w:t>
      </w:r>
      <w:r>
        <w:rPr/>
        <w:t>）因缺氧必须接受持续的输氧治疗。</w:t>
      </w:r>
    </w:p>
    <w:p>
      <w:pPr>
        <w:pStyle w:val="BodyText"/>
        <w:spacing w:before="21"/>
        <w:jc w:val="both"/>
      </w:pPr>
      <w:r>
        <w:rPr/>
        <w:t>理赔时必须提供以上三项相应的证明文件或检查报告。</w:t>
      </w:r>
    </w:p>
    <w:p>
      <w:pPr>
        <w:pStyle w:val="BodyText"/>
        <w:jc w:val="both"/>
      </w:pPr>
      <w:r>
        <w:rPr>
          <w:w w:val="100"/>
        </w:rPr>
        <w:t> </w:t>
      </w:r>
    </w:p>
    <w:p>
      <w:pPr>
        <w:pStyle w:val="Heading2"/>
        <w:spacing w:before="37"/>
        <w:jc w:val="both"/>
      </w:pPr>
      <w:r>
        <w:rPr/>
        <w:t>（二十九）侵蚀性葡萄胎（或称恶性葡萄胎）</w:t>
      </w:r>
    </w:p>
    <w:p>
      <w:pPr>
        <w:pStyle w:val="BodyText"/>
        <w:spacing w:line="273" w:lineRule="auto"/>
        <w:ind w:right="140"/>
      </w:pPr>
      <w:r>
        <w:rPr/>
        <w:t>该类疾病是指异常增生的绒毛组织浸润生长侵入子宫肌层或转移至其他器官或组织的葡萄胎，并已经进行化疗或手术治疗的。 </w:t>
      </w:r>
    </w:p>
    <w:p>
      <w:pPr>
        <w:pStyle w:val="BodyText"/>
        <w:spacing w:before="6"/>
        <w:ind w:left="0"/>
        <w:rPr>
          <w:sz w:val="24"/>
        </w:rPr>
      </w:pPr>
    </w:p>
    <w:p>
      <w:pPr>
        <w:pStyle w:val="Heading2"/>
      </w:pPr>
      <w:r>
        <w:rPr/>
        <w:t>（三十）系统性硬皮病</w:t>
      </w:r>
    </w:p>
    <w:p>
      <w:pPr>
        <w:pStyle w:val="BodyText"/>
        <w:spacing w:line="273" w:lineRule="auto"/>
        <w:ind w:right="136"/>
        <w:jc w:val="both"/>
      </w:pPr>
      <w:r>
        <w:rPr>
          <w:spacing w:val="-6"/>
        </w:rPr>
        <w:t>指一种全身性的胶原血管性疾病，可以导致皮肤、血管及内脏器官进行性弥漫</w:t>
      </w:r>
      <w:r>
        <w:rPr>
          <w:spacing w:val="-8"/>
        </w:rPr>
        <w:t>性纤维化。诊断必须经活检及血清学检查证实，疾病必须是全身性，且须满足</w:t>
      </w:r>
      <w:r>
        <w:rPr>
          <w:spacing w:val="-5"/>
        </w:rPr>
        <w:t>下列至少一项条件：</w:t>
      </w:r>
    </w:p>
    <w:p>
      <w:pPr>
        <w:pStyle w:val="BodyText"/>
        <w:spacing w:before="8"/>
      </w:pPr>
      <w:r>
        <w:rPr/>
        <w:t>（</w:t>
      </w:r>
      <w:r>
        <w:rPr>
          <w:rFonts w:ascii="Times New Roman" w:eastAsia="Times New Roman"/>
        </w:rPr>
        <w:t>1</w:t>
      </w:r>
      <w:r>
        <w:rPr/>
        <w:t>）肺脏：肺部病变进而发展为肺间质纤维化和肺动脉高压；</w:t>
      </w:r>
    </w:p>
    <w:p>
      <w:pPr>
        <w:pStyle w:val="BodyText"/>
        <w:spacing w:before="21"/>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spacing w:line="256" w:lineRule="auto" w:before="21"/>
        <w:ind w:right="834"/>
      </w:pPr>
      <w:r>
        <w:rPr/>
        <w:t>（</w:t>
      </w:r>
      <w:r>
        <w:rPr>
          <w:rFonts w:ascii="Times New Roman" w:eastAsia="Times New Roman"/>
        </w:rPr>
        <w:t>3</w:t>
      </w:r>
      <w:r>
        <w:rPr/>
        <w:t>）肾脏：肾脏受损导致双肾功能慢性不可逆衰竭，达到尿毒症期。</w:t>
      </w:r>
      <w:r>
        <w:rPr>
          <w:shd w:fill="D9D9D9" w:color="auto" w:val="clear"/>
        </w:rPr>
        <w:t>以下情况不在保障范围内：</w:t>
      </w:r>
    </w:p>
    <w:p>
      <w:pPr>
        <w:pStyle w:val="BodyText"/>
        <w:spacing w:before="22"/>
        <w:jc w:val="both"/>
      </w:pPr>
      <w:r>
        <w:rPr>
          <w:shd w:fill="D9D9D9" w:color="auto" w:val="clear"/>
        </w:rPr>
        <w:t>（</w:t>
      </w:r>
      <w:r>
        <w:rPr>
          <w:rFonts w:ascii="Times New Roman" w:eastAsia="Times New Roman"/>
          <w:shd w:fill="D9D9D9" w:color="auto" w:val="clear"/>
        </w:rPr>
        <w:t>1</w:t>
      </w:r>
      <w:r>
        <w:rPr>
          <w:shd w:fill="D9D9D9" w:color="auto" w:val="clear"/>
        </w:rPr>
        <w:t>）局限性硬皮病（带状硬皮病或斑状损害）</w:t>
      </w:r>
    </w:p>
    <w:p>
      <w:pPr>
        <w:pStyle w:val="BodyText"/>
        <w:spacing w:before="20"/>
        <w:jc w:val="both"/>
      </w:pPr>
      <w:r>
        <w:rPr>
          <w:shd w:fill="D9D9D9" w:color="auto" w:val="clear"/>
        </w:rPr>
        <w:t>（</w:t>
      </w:r>
      <w:r>
        <w:rPr>
          <w:rFonts w:ascii="Times New Roman" w:eastAsia="Times New Roman"/>
          <w:shd w:fill="D9D9D9" w:color="auto" w:val="clear"/>
        </w:rPr>
        <w:t>2</w:t>
      </w:r>
      <w:r>
        <w:rPr>
          <w:shd w:fill="D9D9D9" w:color="auto" w:val="clear"/>
        </w:rPr>
        <w:t>）嗜酸性筋膜炎</w:t>
      </w:r>
    </w:p>
    <w:p>
      <w:pPr>
        <w:pStyle w:val="BodyText"/>
        <w:spacing w:before="21"/>
        <w:jc w:val="both"/>
      </w:pPr>
      <w:r>
        <w:rPr>
          <w:shd w:fill="D9D9D9" w:color="auto" w:val="clear"/>
        </w:rPr>
        <w:t>（</w:t>
      </w:r>
      <w:r>
        <w:rPr>
          <w:rFonts w:ascii="Times New Roman" w:eastAsia="Times New Roman"/>
          <w:shd w:fill="D9D9D9" w:color="auto" w:val="clear"/>
        </w:rPr>
        <w:t>3</w:t>
      </w:r>
      <w:r>
        <w:rPr>
          <w:shd w:fill="D9D9D9" w:color="auto" w:val="clear"/>
        </w:rPr>
        <w:t>）</w:t>
      </w:r>
      <w:r>
        <w:rPr>
          <w:rFonts w:ascii="Times New Roman" w:eastAsia="Times New Roman"/>
          <w:shd w:fill="D9D9D9" w:color="auto" w:val="clear"/>
        </w:rPr>
        <w:t>CREST </w:t>
      </w:r>
      <w:r>
        <w:rPr>
          <w:shd w:fill="D9D9D9" w:color="auto" w:val="clear"/>
        </w:rPr>
        <w:t>综合征</w:t>
      </w:r>
    </w:p>
    <w:p>
      <w:pPr>
        <w:pStyle w:val="BodyText"/>
        <w:spacing w:before="5"/>
        <w:ind w:left="0"/>
        <w:rPr>
          <w:sz w:val="25"/>
        </w:rPr>
      </w:pPr>
    </w:p>
    <w:p>
      <w:pPr>
        <w:pStyle w:val="Heading2"/>
        <w:spacing w:before="1"/>
        <w:jc w:val="both"/>
      </w:pPr>
      <w:r>
        <w:rPr/>
        <w:t>（三十一）原发性硬化性胆管炎</w:t>
      </w:r>
    </w:p>
    <w:p>
      <w:pPr>
        <w:pStyle w:val="BodyText"/>
        <w:spacing w:line="273" w:lineRule="auto"/>
        <w:ind w:right="100"/>
        <w:jc w:val="both"/>
      </w:pPr>
      <w:r>
        <w:rPr/>
        <w:t>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before="7"/>
        <w:jc w:val="both"/>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1"/>
        <w:jc w:val="both"/>
      </w:pPr>
      <w:r>
        <w:rPr/>
        <w:t>（</w:t>
      </w:r>
      <w:r>
        <w:rPr>
          <w:rFonts w:ascii="Times New Roman" w:eastAsia="Times New Roman"/>
        </w:rPr>
        <w:t>2</w:t>
      </w:r>
      <w:r>
        <w:rPr/>
        <w:t>）持续性黄疸病史；</w:t>
      </w:r>
    </w:p>
    <w:p>
      <w:pPr>
        <w:pStyle w:val="BodyText"/>
        <w:spacing w:before="21"/>
        <w:jc w:val="both"/>
      </w:pPr>
      <w:r>
        <w:rPr/>
        <w:t>（</w:t>
      </w:r>
      <w:r>
        <w:rPr>
          <w:rFonts w:ascii="Times New Roman" w:eastAsia="Times New Roman"/>
        </w:rPr>
        <w:t>3</w:t>
      </w:r>
      <w:r>
        <w:rPr/>
        <w:t>）出现胆汁性肝硬化或门脉高压。</w:t>
      </w:r>
    </w:p>
    <w:p>
      <w:pPr>
        <w:pStyle w:val="BodyText"/>
        <w:spacing w:before="21"/>
        <w:jc w:val="both"/>
      </w:pPr>
      <w:r>
        <w:rPr>
          <w:shd w:fill="D9D9D9" w:color="auto" w:val="clear"/>
        </w:rPr>
        <w:t>因肿瘤或胆管损伤等继发性的硬化性胆管炎不在保障范围内。</w:t>
      </w:r>
    </w:p>
    <w:p>
      <w:pPr>
        <w:pStyle w:val="BodyText"/>
        <w:spacing w:before="9"/>
        <w:ind w:left="0"/>
        <w:rPr>
          <w:sz w:val="26"/>
        </w:rPr>
      </w:pPr>
    </w:p>
    <w:p>
      <w:pPr>
        <w:pStyle w:val="Heading2"/>
        <w:jc w:val="both"/>
      </w:pPr>
      <w:r>
        <w:rPr/>
        <w:t>（三十二）严重溃疡性结肠炎</w:t>
      </w:r>
    </w:p>
    <w:p>
      <w:pPr>
        <w:pStyle w:val="BodyText"/>
        <w:spacing w:before="36"/>
        <w:jc w:val="both"/>
      </w:pPr>
      <w:r>
        <w:rPr/>
        <w:t>溃疡性结肠炎是指伴有致命性电解质紊乱的急性暴发性溃疡性结肠炎，病变累</w:t>
      </w:r>
    </w:p>
    <w:p>
      <w:pPr>
        <w:spacing w:after="0"/>
        <w:jc w:val="both"/>
        <w:sectPr>
          <w:pgSz w:w="11910" w:h="16840"/>
          <w:pgMar w:top="1080" w:bottom="280" w:left="1680" w:right="880"/>
        </w:sectPr>
      </w:pPr>
    </w:p>
    <w:p>
      <w:pPr>
        <w:pStyle w:val="BodyText"/>
        <w:spacing w:line="273" w:lineRule="auto" w:before="22"/>
        <w:ind w:right="215"/>
        <w:jc w:val="both"/>
      </w:pPr>
      <w:r>
        <w:rPr>
          <w:spacing w:val="-6"/>
        </w:rPr>
        <w:t>及全结肠，表现为严重的血便和系统性症状体征，治疗通常采取全结肠切除和</w:t>
      </w:r>
      <w:r>
        <w:rPr>
          <w:spacing w:val="-7"/>
        </w:rPr>
        <w:t>回肠造瘘术。溃疡性结肠炎必须根据组织病理学特点诊断，并且被保险人已经</w:t>
      </w:r>
      <w:r>
        <w:rPr>
          <w:spacing w:val="-5"/>
        </w:rPr>
        <w:t>接受了结肠切除和回肠造瘘术。</w:t>
      </w:r>
    </w:p>
    <w:p>
      <w:pPr>
        <w:pStyle w:val="BodyText"/>
        <w:spacing w:before="5"/>
        <w:ind w:left="0"/>
        <w:rPr>
          <w:sz w:val="24"/>
        </w:rPr>
      </w:pPr>
    </w:p>
    <w:p>
      <w:pPr>
        <w:pStyle w:val="Heading2"/>
        <w:spacing w:before="1"/>
      </w:pPr>
      <w:r>
        <w:rPr/>
        <w:t>（三十三）特发性慢性肾上腺皮质功能减退</w:t>
      </w:r>
    </w:p>
    <w:p>
      <w:pPr>
        <w:pStyle w:val="BodyText"/>
        <w:spacing w:line="273" w:lineRule="auto"/>
        <w:ind w:right="215"/>
        <w:jc w:val="both"/>
      </w:pPr>
      <w:r>
        <w:rPr>
          <w:spacing w:val="-6"/>
        </w:rPr>
        <w:t>因为自身免疫功能紊乱，使肾上腺组织逐渐受损，而需要长期接受糖皮质激素</w:t>
      </w:r>
      <w:r>
        <w:rPr>
          <w:spacing w:val="-7"/>
        </w:rPr>
        <w:t>及肾上腺皮质激素替代疗法。该病必须经内分泌专科医生确诊，并有以下报告</w:t>
      </w:r>
      <w:r>
        <w:rPr>
          <w:spacing w:val="-4"/>
        </w:rPr>
        <w:t>作为证据：</w:t>
      </w:r>
    </w:p>
    <w:p>
      <w:pPr>
        <w:pStyle w:val="BodyText"/>
        <w:spacing w:before="7"/>
      </w:pPr>
      <w:r>
        <w:rPr/>
        <w:t>（</w:t>
      </w:r>
      <w:r>
        <w:rPr>
          <w:rFonts w:ascii="Times New Roman" w:eastAsia="Times New Roman"/>
        </w:rPr>
        <w:t>1</w:t>
      </w:r>
      <w:r>
        <w:rPr/>
        <w:t>）促肾上腺皮质激素</w:t>
      </w:r>
      <w:r>
        <w:rPr>
          <w:rFonts w:ascii="Times New Roman" w:eastAsia="Times New Roman"/>
        </w:rPr>
        <w:t>(ACTH)</w:t>
      </w:r>
      <w:r>
        <w:rPr/>
        <w:t>刺激试验；</w:t>
      </w:r>
    </w:p>
    <w:p>
      <w:pPr>
        <w:pStyle w:val="BodyText"/>
        <w:spacing w:before="21"/>
      </w:pPr>
      <w:r>
        <w:rPr/>
        <w:t>（</w:t>
      </w:r>
      <w:r>
        <w:rPr>
          <w:rFonts w:ascii="Times New Roman" w:eastAsia="Times New Roman"/>
        </w:rPr>
        <w:t>2</w:t>
      </w:r>
      <w:r>
        <w:rPr/>
        <w:t>）胰岛素血糖减少测试；</w:t>
      </w:r>
    </w:p>
    <w:p>
      <w:pPr>
        <w:pStyle w:val="BodyText"/>
        <w:spacing w:before="21"/>
      </w:pPr>
      <w:r>
        <w:rPr/>
        <w:t>（</w:t>
      </w: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pPr>
      <w:r>
        <w:rPr/>
        <w:t>（</w:t>
      </w: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22"/>
        <w:ind w:right="215"/>
      </w:pPr>
      <w:r>
        <w:rPr>
          <w:spacing w:val="-5"/>
          <w:shd w:fill="D9D9D9" w:color="auto" w:val="clear"/>
        </w:rPr>
        <w:t>慢性肾上腺皮质功能衰竭只对由自身免疫功能紊乱引起的承担保险责任，其他</w:t>
      </w:r>
      <w:r>
        <w:rPr>
          <w:spacing w:val="-2"/>
          <w:shd w:fill="D9D9D9" w:color="auto" w:val="clear"/>
        </w:rPr>
        <w:t>原因引起</w:t>
      </w:r>
      <w:r>
        <w:rPr>
          <w:spacing w:val="-54"/>
          <w:shd w:fill="D9D9D9" w:color="auto" w:val="clear"/>
        </w:rPr>
        <w:t>的除外。</w:t>
      </w:r>
    </w:p>
    <w:p>
      <w:pPr>
        <w:pStyle w:val="BodyText"/>
        <w:spacing w:before="5"/>
        <w:ind w:left="0"/>
        <w:rPr>
          <w:sz w:val="24"/>
        </w:rPr>
      </w:pPr>
    </w:p>
    <w:p>
      <w:pPr>
        <w:pStyle w:val="Heading2"/>
      </w:pPr>
      <w:r>
        <w:rPr/>
        <w:t>（三十四）经输血导致的 </w:t>
      </w:r>
      <w:r>
        <w:rPr>
          <w:rFonts w:ascii="Times New Roman" w:eastAsia="Times New Roman"/>
        </w:rPr>
        <w:t>HIV </w:t>
      </w:r>
      <w:r>
        <w:rPr/>
        <w:t>感染</w:t>
      </w:r>
    </w:p>
    <w:p>
      <w:pPr>
        <w:pStyle w:val="BodyText"/>
        <w:spacing w:before="20"/>
      </w:pPr>
      <w:r>
        <w:rPr/>
        <w:t>是指被保险人感染上人类免疫缺陷病毒（</w:t>
      </w:r>
      <w:r>
        <w:rPr>
          <w:rFonts w:ascii="Times New Roman" w:eastAsia="Times New Roman"/>
        </w:rPr>
        <w:t>HIV</w:t>
      </w:r>
      <w:r>
        <w:rPr/>
        <w:t>）并且符合下列所有条件：</w:t>
      </w:r>
    </w:p>
    <w:p>
      <w:pPr>
        <w:pStyle w:val="BodyText"/>
        <w:spacing w:before="20"/>
      </w:pPr>
      <w:r>
        <w:rPr/>
        <w:t>（</w:t>
      </w:r>
      <w:r>
        <w:rPr>
          <w:rFonts w:ascii="Times New Roman" w:eastAsia="Times New Roman"/>
        </w:rPr>
        <w:t>1</w:t>
      </w:r>
      <w:r>
        <w:rPr/>
        <w:t>）被保险人因治疗必需而接受输血，并且因输血而感染人类免疫缺陷病毒</w:t>
      </w:r>
    </w:p>
    <w:p>
      <w:pPr>
        <w:pStyle w:val="BodyText"/>
        <w:spacing w:before="20"/>
      </w:pP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56" w:lineRule="auto" w:before="20"/>
        <w:ind w:right="220"/>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1"/>
      </w:pPr>
      <w:r>
        <w:rPr/>
        <w:t>（</w:t>
      </w:r>
      <w:r>
        <w:rPr>
          <w:rFonts w:ascii="Times New Roman" w:eastAsia="Times New Roman"/>
        </w:rPr>
        <w:t>3</w:t>
      </w:r>
      <w:r>
        <w:rPr/>
        <w:t>）提供输血治疗的输血中心或医院必须拥有合法经营执照；</w:t>
      </w:r>
    </w:p>
    <w:p>
      <w:pPr>
        <w:pStyle w:val="BodyText"/>
        <w:spacing w:before="21"/>
      </w:pPr>
      <w:r>
        <w:rPr/>
        <w:t>（</w:t>
      </w:r>
      <w:r>
        <w:rPr>
          <w:rFonts w:ascii="Times New Roman" w:eastAsia="Times New Roman"/>
        </w:rPr>
        <w:t>4</w:t>
      </w:r>
      <w:r>
        <w:rPr/>
        <w:t>）受感染的被保险人不是血友病患者。</w:t>
      </w:r>
    </w:p>
    <w:p>
      <w:pPr>
        <w:pStyle w:val="BodyText"/>
        <w:spacing w:line="266" w:lineRule="auto" w:before="21"/>
        <w:ind w:right="108"/>
      </w:pPr>
      <w:r>
        <w:rPr>
          <w:spacing w:val="-3"/>
          <w:shd w:fill="D9D9D9" w:color="auto" w:val="clear"/>
        </w:rPr>
        <w:t>在任何治愈艾滋病或阻止人类免疫缺陷病毒</w:t>
      </w:r>
      <w:r>
        <w:rPr>
          <w:shd w:fill="D9D9D9" w:color="auto" w:val="clear"/>
        </w:rPr>
        <w:t>（</w:t>
      </w:r>
      <w:r>
        <w:rPr>
          <w:rFonts w:asci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3"/>
          <w:shd w:fill="D9D9D9" w:color="auto" w:val="clear"/>
        </w:rPr>
        <w:t>后，或能防止艾滋病发生的医疗方法被研究出来以后，本保障将不再予以赔付。</w:t>
      </w:r>
      <w:r>
        <w:rPr>
          <w:spacing w:val="1"/>
          <w:shd w:fill="D9D9D9" w:color="auto" w:val="clear"/>
        </w:rPr>
        <w:t>保险公司必须拥</w:t>
      </w:r>
      <w:r>
        <w:rPr>
          <w:spacing w:val="-208"/>
          <w:shd w:fill="D9D9D9" w:color="auto" w:val="clear"/>
        </w:rPr>
        <w:t>有</w:t>
      </w:r>
      <w:r>
        <w:rPr>
          <w:shd w:fill="D9D9D9" w:color="auto" w:val="clear"/>
        </w:rPr>
        <w:t>获得使用被保险人的所有血液样本的权利和能够对这些样本 </w:t>
      </w:r>
      <w:r>
        <w:rPr>
          <w:spacing w:val="-3"/>
          <w:shd w:fill="D9D9D9" w:color="auto" w:val="clear"/>
        </w:rPr>
        <w:t>进行独立检验的权利。</w:t>
      </w:r>
    </w:p>
    <w:p>
      <w:pPr>
        <w:pStyle w:val="BodyText"/>
        <w:spacing w:line="273" w:lineRule="auto" w:before="13"/>
        <w:ind w:right="215"/>
      </w:pPr>
      <w:r>
        <w:rPr>
          <w:spacing w:val="-5"/>
          <w:shd w:fill="D9D9D9" w:color="auto" w:val="clear"/>
        </w:rPr>
        <w:t>本公司承担本项疾病责任不受本合同责任免除中“被保险人感染艾滋病病毒或</w:t>
      </w:r>
      <w:r>
        <w:rPr>
          <w:spacing w:val="-209"/>
          <w:shd w:fill="D9D9D9" w:color="auto" w:val="clear"/>
        </w:rPr>
        <w:t>患</w:t>
      </w:r>
      <w:r>
        <w:rPr>
          <w:spacing w:val="-3"/>
          <w:shd w:fill="D9D9D9" w:color="auto" w:val="clear"/>
        </w:rPr>
        <w:t>艾滋病”的限制。</w:t>
      </w:r>
    </w:p>
    <w:p>
      <w:pPr>
        <w:pStyle w:val="BodyText"/>
        <w:spacing w:before="5"/>
        <w:ind w:left="0"/>
        <w:rPr>
          <w:sz w:val="24"/>
        </w:rPr>
      </w:pPr>
    </w:p>
    <w:p>
      <w:pPr>
        <w:pStyle w:val="Heading2"/>
      </w:pPr>
      <w:r>
        <w:rPr/>
        <w:t>（三十五）终末期疾病</w:t>
      </w:r>
    </w:p>
    <w:p>
      <w:pPr>
        <w:pStyle w:val="BodyText"/>
        <w:spacing w:line="273" w:lineRule="auto"/>
        <w:ind w:right="220"/>
      </w:pPr>
      <w:r>
        <w:rPr/>
        <w:t>经我们指定或认可的医院的专科医生确诊疾病已经发展到无法治疗的阶段并导致被保险人的生存期自确诊之日起不超过 </w:t>
      </w:r>
      <w:r>
        <w:rPr>
          <w:rFonts w:ascii="Times New Roman" w:eastAsia="Times New Roman"/>
        </w:rPr>
        <w:t>6 </w:t>
      </w:r>
      <w:r>
        <w:rPr/>
        <w:t>个月。</w:t>
      </w:r>
    </w:p>
    <w:p>
      <w:pPr>
        <w:pStyle w:val="BodyText"/>
        <w:spacing w:before="0"/>
        <w:ind w:left="0"/>
        <w:rPr>
          <w:sz w:val="23"/>
        </w:rPr>
      </w:pPr>
    </w:p>
    <w:p>
      <w:pPr>
        <w:pStyle w:val="Heading2"/>
      </w:pPr>
      <w:r>
        <w:rPr/>
        <w:t>（三十六）严重 </w:t>
      </w:r>
      <w:r>
        <w:rPr>
          <w:rFonts w:ascii="Times New Roman" w:eastAsia="Times New Roman"/>
        </w:rPr>
        <w:t>1 </w:t>
      </w:r>
      <w:r>
        <w:rPr/>
        <w:t>型糖尿病</w:t>
      </w:r>
    </w:p>
    <w:p>
      <w:pPr>
        <w:pStyle w:val="BodyText"/>
        <w:spacing w:line="256" w:lineRule="auto" w:before="21"/>
        <w:ind w:right="216"/>
      </w:pPr>
      <w:r>
        <w:rPr>
          <w:spacing w:val="-12"/>
        </w:rPr>
        <w:t>严重 </w:t>
      </w:r>
      <w:r>
        <w:rPr>
          <w:rFonts w:ascii="Times New Roman" w:eastAsia="Times New Roman"/>
        </w:rPr>
        <w:t>1 </w:t>
      </w:r>
      <w:r>
        <w:rPr>
          <w:spacing w:val="-5"/>
        </w:rPr>
        <w:t>型糖尿病为由于胰岛素分泌绝对不足引起的慢性血糖升高，且已经持续</w:t>
      </w:r>
      <w:r>
        <w:rPr>
          <w:spacing w:val="-7"/>
        </w:rPr>
        <w:t>性地依赖外源性胰岛素维持 </w:t>
      </w:r>
      <w:r>
        <w:rPr>
          <w:rFonts w:ascii="Times New Roman" w:eastAsia="Times New Roman"/>
        </w:rPr>
        <w:t>180 </w:t>
      </w:r>
      <w:r>
        <w:rPr>
          <w:spacing w:val="-14"/>
        </w:rPr>
        <w:t>日以上。须经血胰岛素测定、血 </w:t>
      </w:r>
      <w:r>
        <w:rPr>
          <w:rFonts w:ascii="Times New Roman" w:eastAsia="Times New Roman"/>
        </w:rPr>
        <w:t>C </w:t>
      </w:r>
      <w:r>
        <w:rPr>
          <w:spacing w:val="-3"/>
        </w:rPr>
        <w:t>肽测定或尿</w:t>
      </w:r>
    </w:p>
    <w:p>
      <w:pPr>
        <w:pStyle w:val="BodyText"/>
        <w:spacing w:line="256" w:lineRule="auto" w:before="5"/>
        <w:ind w:right="188"/>
      </w:pPr>
      <w:r>
        <w:rPr>
          <w:rFonts w:ascii="Times New Roman" w:eastAsia="Times New Roman"/>
        </w:rPr>
        <w:t>C </w:t>
      </w:r>
      <w:r>
        <w:rPr/>
        <w:t>肽测定，结果异常，并由内分泌科专科医生明确诊断。并须在本合同有效期内，满足下述至少 </w:t>
      </w:r>
      <w:r>
        <w:rPr>
          <w:rFonts w:ascii="Times New Roman" w:eastAsia="Times New Roman"/>
        </w:rPr>
        <w:t>1 </w:t>
      </w:r>
      <w:r>
        <w:rPr/>
        <w:t>个条件：</w:t>
      </w:r>
    </w:p>
    <w:p>
      <w:pPr>
        <w:pStyle w:val="BodyText"/>
        <w:spacing w:before="5"/>
      </w:pPr>
      <w:r>
        <w:rPr/>
        <w:t>（</w:t>
      </w:r>
      <w:r>
        <w:rPr>
          <w:rFonts w:ascii="Times New Roman" w:eastAsia="Times New Roman"/>
        </w:rPr>
        <w:t>1</w:t>
      </w:r>
      <w:r>
        <w:rPr/>
        <w:t>）已出现增殖性视网膜病变；</w:t>
      </w:r>
    </w:p>
    <w:p>
      <w:pPr>
        <w:pStyle w:val="BodyText"/>
        <w:spacing w:before="21"/>
      </w:pPr>
      <w:r>
        <w:rPr/>
        <w:t>（</w:t>
      </w:r>
      <w:r>
        <w:rPr>
          <w:rFonts w:ascii="Times New Roman" w:eastAsia="Times New Roman"/>
        </w:rPr>
        <w:t>2</w:t>
      </w:r>
      <w:r>
        <w:rPr/>
        <w:t>）须植入心脏起搏器治疗心脏病；</w:t>
      </w:r>
    </w:p>
    <w:p>
      <w:pPr>
        <w:pStyle w:val="BodyText"/>
        <w:spacing w:line="256" w:lineRule="auto" w:before="21"/>
        <w:ind w:right="220"/>
      </w:pPr>
      <w:r>
        <w:rPr/>
        <w:t>（</w:t>
      </w:r>
      <w:r>
        <w:rPr>
          <w:rFonts w:ascii="Times New Roman" w:eastAsia="Times New Roman"/>
        </w:rPr>
        <w:t>3</w:t>
      </w:r>
      <w:r>
        <w:rPr/>
        <w:t>）在本公司认可医院内已经进行了医疗必须的由足踝或以上位置的单足截除手术。</w:t>
      </w:r>
    </w:p>
    <w:p>
      <w:pPr>
        <w:pStyle w:val="BodyText"/>
        <w:spacing w:before="7"/>
        <w:ind w:left="0"/>
        <w:rPr>
          <w:sz w:val="25"/>
        </w:rPr>
      </w:pPr>
    </w:p>
    <w:p>
      <w:pPr>
        <w:pStyle w:val="Heading2"/>
      </w:pPr>
      <w:r>
        <w:rPr/>
        <w:t>（三十七）原发性骨髓纤维化</w:t>
      </w:r>
    </w:p>
    <w:p>
      <w:pPr>
        <w:pStyle w:val="BodyText"/>
        <w:spacing w:before="36"/>
      </w:pPr>
      <w:r>
        <w:rPr/>
        <w:t>原发性骨髓纤维化为原因不明的骨髓中成纤维细胞增殖，伴有髓外造血，表现</w:t>
      </w:r>
    </w:p>
    <w:p>
      <w:pPr>
        <w:spacing w:after="0"/>
        <w:sectPr>
          <w:pgSz w:w="11910" w:h="16840"/>
          <w:pgMar w:top="1080" w:bottom="280" w:left="1680" w:right="800"/>
        </w:sectPr>
      </w:pPr>
    </w:p>
    <w:p>
      <w:pPr>
        <w:pStyle w:val="BodyText"/>
        <w:spacing w:line="273" w:lineRule="auto" w:before="22"/>
        <w:ind w:right="110"/>
        <w:jc w:val="both"/>
      </w:pPr>
      <w:r>
        <w:rPr>
          <w:spacing w:val="-6"/>
        </w:rPr>
        <w:t>为进行性贫血、脾肿大等症状。本疾病须根据骨髓的活组织检查和周围血象检</w:t>
      </w:r>
      <w:r>
        <w:rPr/>
        <w:t>查由我们认可的医院血液科专科医生明确诊断，并至少符合下列条件中的三 </w:t>
      </w:r>
      <w:r>
        <w:rPr>
          <w:spacing w:val="-12"/>
        </w:rPr>
        <w:t>项，且符合条件的状态持续 </w:t>
      </w:r>
      <w:r>
        <w:rPr>
          <w:rFonts w:ascii="Times New Roman" w:eastAsia="Times New Roman"/>
        </w:rPr>
        <w:t>180 </w:t>
      </w:r>
      <w:r>
        <w:rPr>
          <w:spacing w:val="-10"/>
        </w:rPr>
        <w:t>天及以上，并已经实际实施了针对此症的治疗：</w:t>
      </w:r>
    </w:p>
    <w:p>
      <w:pPr>
        <w:pStyle w:val="BodyText"/>
        <w:spacing w:line="279" w:lineRule="exact" w:before="0"/>
        <w:jc w:val="both"/>
      </w:pPr>
      <w:r>
        <w:rPr/>
        <w:t>（</w:t>
      </w:r>
      <w:r>
        <w:rPr>
          <w:rFonts w:ascii="Times New Roman" w:eastAsia="Times New Roman"/>
        </w:rPr>
        <w:t>1</w:t>
      </w:r>
      <w:r>
        <w:rPr/>
        <w:t>）血红蛋白</w:t>
      </w:r>
      <w:r>
        <w:rPr>
          <w:rFonts w:ascii="Times New Roman" w:eastAsia="Times New Roman"/>
        </w:rPr>
        <w:t>&lt;100g/L</w:t>
      </w:r>
      <w:r>
        <w:rPr/>
        <w:t>；</w:t>
      </w:r>
    </w:p>
    <w:p>
      <w:pPr>
        <w:pStyle w:val="BodyText"/>
        <w:spacing w:before="21"/>
        <w:jc w:val="both"/>
      </w:pPr>
      <w:r>
        <w:rPr/>
        <w:t>（</w:t>
      </w:r>
      <w:r>
        <w:rPr>
          <w:rFonts w:ascii="Times New Roman" w:hAnsi="Times New Roman" w:eastAsia="Times New Roman"/>
        </w:rPr>
        <w:t>2</w:t>
      </w:r>
      <w:r>
        <w:rPr/>
        <w:t>）白细胞计数</w:t>
      </w:r>
      <w:r>
        <w:rPr>
          <w:rFonts w:ascii="Times New Roman" w:hAnsi="Times New Roman" w:eastAsia="Times New Roman"/>
        </w:rPr>
        <w:t>&gt;25</w:t>
      </w:r>
      <w:r>
        <w:rPr/>
        <w:t>×10</w:t>
      </w:r>
      <w:r>
        <w:rPr>
          <w:position w:val="11"/>
          <w:sz w:val="11"/>
        </w:rPr>
        <w:t>9</w:t>
      </w:r>
      <w:r>
        <w:rPr>
          <w:rFonts w:ascii="Times New Roman" w:hAnsi="Times New Roman" w:eastAsia="Times New Roman"/>
        </w:rPr>
        <w:t>/L</w:t>
      </w:r>
      <w:r>
        <w:rPr/>
        <w:t>；</w:t>
      </w:r>
    </w:p>
    <w:p>
      <w:pPr>
        <w:pStyle w:val="BodyText"/>
        <w:spacing w:before="21"/>
        <w:jc w:val="both"/>
      </w:pPr>
      <w:r>
        <w:rPr/>
        <w:t>（</w:t>
      </w:r>
      <w:r>
        <w:rPr>
          <w:rFonts w:ascii="Times New Roman" w:hAnsi="Times New Roman" w:eastAsia="Times New Roman"/>
        </w:rPr>
        <w:t>3</w:t>
      </w:r>
      <w:r>
        <w:rPr/>
        <w:t>）外周血原始细胞≥ </w:t>
      </w:r>
      <w:r>
        <w:rPr>
          <w:rFonts w:ascii="Times New Roman" w:hAnsi="Times New Roman" w:eastAsia="Times New Roman"/>
        </w:rPr>
        <w:t>1%</w:t>
      </w:r>
      <w:r>
        <w:rPr/>
        <w:t>；</w:t>
      </w:r>
    </w:p>
    <w:p>
      <w:pPr>
        <w:pStyle w:val="BodyText"/>
        <w:spacing w:before="21"/>
        <w:jc w:val="both"/>
      </w:pPr>
      <w:r>
        <w:rPr/>
        <w:t>（</w:t>
      </w:r>
      <w:r>
        <w:rPr>
          <w:rFonts w:ascii="Times New Roman" w:hAnsi="Times New Roman" w:eastAsia="Times New Roman"/>
        </w:rPr>
        <w:t>4</w:t>
      </w:r>
      <w:r>
        <w:rPr/>
        <w:t>）血小板计数</w:t>
      </w:r>
      <w:r>
        <w:rPr>
          <w:rFonts w:ascii="Times New Roman" w:hAnsi="Times New Roman" w:eastAsia="Times New Roman"/>
        </w:rPr>
        <w:t>&lt;100</w:t>
      </w:r>
      <w:r>
        <w:rPr/>
        <w:t>×10</w:t>
      </w:r>
      <w:r>
        <w:rPr>
          <w:position w:val="11"/>
          <w:sz w:val="11"/>
        </w:rPr>
        <w:t>9</w:t>
      </w:r>
      <w:r>
        <w:rPr>
          <w:rFonts w:ascii="Times New Roman" w:hAnsi="Times New Roman" w:eastAsia="Times New Roman"/>
        </w:rPr>
        <w:t>/L</w:t>
      </w:r>
      <w:r>
        <w:rPr/>
        <w:t>。</w:t>
      </w:r>
    </w:p>
    <w:p>
      <w:pPr>
        <w:pStyle w:val="BodyText"/>
        <w:spacing w:before="21"/>
        <w:jc w:val="both"/>
      </w:pPr>
      <w:r>
        <w:rPr>
          <w:shd w:fill="D9D9D9" w:color="auto" w:val="clear"/>
        </w:rPr>
        <w:t>任何其它病因导致的继发性骨髓纤维化不在保障范围内。</w:t>
      </w:r>
    </w:p>
    <w:p>
      <w:pPr>
        <w:pStyle w:val="BodyText"/>
        <w:spacing w:before="8"/>
        <w:ind w:left="0"/>
        <w:rPr>
          <w:sz w:val="26"/>
        </w:rPr>
      </w:pPr>
    </w:p>
    <w:p>
      <w:pPr>
        <w:pStyle w:val="Heading2"/>
        <w:spacing w:before="1"/>
        <w:jc w:val="both"/>
      </w:pPr>
      <w:r>
        <w:rPr/>
        <w:t>（三十八）严重骨髓增生异常综合征</w:t>
      </w:r>
    </w:p>
    <w:p>
      <w:pPr>
        <w:pStyle w:val="BodyText"/>
        <w:spacing w:line="256" w:lineRule="auto"/>
        <w:ind w:right="213"/>
        <w:jc w:val="both"/>
      </w:pPr>
      <w:r>
        <w:rPr>
          <w:spacing w:val="-3"/>
        </w:rPr>
        <w:t>严重骨髓增生异常综合征是指符合世界卫生组织</w:t>
      </w:r>
      <w:r>
        <w:rPr/>
        <w:t>（</w:t>
      </w:r>
      <w:r>
        <w:rPr>
          <w:rFonts w:ascii="Times New Roman" w:eastAsia="Times New Roman"/>
        </w:rPr>
        <w:t>WHO</w:t>
      </w:r>
      <w:r>
        <w:rPr/>
        <w:t>）</w:t>
      </w:r>
      <w:r>
        <w:rPr>
          <w:rFonts w:ascii="Times New Roman" w:eastAsia="Times New Roman"/>
        </w:rPr>
        <w:t>2008 </w:t>
      </w:r>
      <w:r>
        <w:rPr>
          <w:spacing w:val="-4"/>
        </w:rPr>
        <w:t>年分型方案中</w:t>
      </w:r>
      <w:r>
        <w:rPr>
          <w:spacing w:val="-3"/>
          <w:w w:val="100"/>
        </w:rPr>
        <w:t>的难治性贫血细胞减少伴原始细胞增多</w:t>
      </w:r>
      <w:r>
        <w:rPr>
          <w:rFonts w:ascii="Times New Roman" w:eastAsia="Times New Roman"/>
          <w:spacing w:val="-4"/>
          <w:w w:val="100"/>
        </w:rPr>
        <w:t>-</w:t>
      </w:r>
      <w:r>
        <w:rPr>
          <w:rFonts w:ascii="Times New Roman" w:eastAsia="Times New Roman"/>
          <w:w w:val="100"/>
        </w:rPr>
        <w:t>1</w:t>
      </w:r>
      <w:r>
        <w:rPr>
          <w:w w:val="100"/>
        </w:rPr>
        <w:t>（</w:t>
      </w:r>
      <w:r>
        <w:rPr>
          <w:rFonts w:ascii="Times New Roman" w:eastAsia="Times New Roman"/>
          <w:spacing w:val="-2"/>
          <w:w w:val="100"/>
        </w:rPr>
        <w:t>RA</w:t>
      </w:r>
      <w:r>
        <w:rPr>
          <w:rFonts w:ascii="Times New Roman" w:eastAsia="Times New Roman"/>
          <w:w w:val="100"/>
        </w:rPr>
        <w:t>E</w:t>
      </w:r>
      <w:r>
        <w:rPr>
          <w:rFonts w:ascii="Times New Roman" w:eastAsia="Times New Roman"/>
          <w:spacing w:val="0"/>
          <w:w w:val="100"/>
        </w:rPr>
        <w:t>B</w:t>
      </w:r>
      <w:r>
        <w:rPr>
          <w:rFonts w:ascii="Times New Roman" w:eastAsia="Times New Roman"/>
          <w:spacing w:val="-3"/>
          <w:w w:val="100"/>
        </w:rPr>
        <w:t>-</w:t>
      </w:r>
      <w:r>
        <w:rPr>
          <w:rFonts w:ascii="Times New Roman" w:eastAsia="Times New Roman"/>
          <w:w w:val="100"/>
        </w:rPr>
        <w:t>1</w:t>
      </w:r>
      <w:r>
        <w:rPr>
          <w:spacing w:val="-106"/>
          <w:w w:val="100"/>
        </w:rPr>
        <w:t>）</w:t>
      </w:r>
      <w:r>
        <w:rPr>
          <w:spacing w:val="-3"/>
          <w:w w:val="100"/>
        </w:rPr>
        <w:t>、难治性贫血细胞减少伴原始细胞增多</w:t>
      </w:r>
      <w:r>
        <w:rPr>
          <w:rFonts w:ascii="Times New Roman" w:eastAsia="Times New Roman"/>
          <w:spacing w:val="-4"/>
          <w:w w:val="100"/>
        </w:rPr>
        <w:t>-</w:t>
      </w:r>
      <w:r>
        <w:rPr>
          <w:rFonts w:ascii="Times New Roman" w:eastAsia="Times New Roman"/>
          <w:spacing w:val="-10"/>
          <w:w w:val="100"/>
        </w:rPr>
        <w:t>2</w:t>
      </w:r>
      <w:r>
        <w:rPr>
          <w:w w:val="100"/>
        </w:rPr>
        <w:t>（</w:t>
      </w:r>
      <w:r>
        <w:rPr>
          <w:rFonts w:ascii="Times New Roman" w:eastAsia="Times New Roman"/>
          <w:spacing w:val="-2"/>
          <w:w w:val="100"/>
        </w:rPr>
        <w:t>RA</w:t>
      </w:r>
      <w:r>
        <w:rPr>
          <w:rFonts w:ascii="Times New Roman" w:eastAsia="Times New Roman"/>
          <w:w w:val="100"/>
        </w:rPr>
        <w:t>E</w:t>
      </w:r>
      <w:r>
        <w:rPr>
          <w:rFonts w:ascii="Times New Roman" w:eastAsia="Times New Roman"/>
          <w:spacing w:val="0"/>
          <w:w w:val="100"/>
        </w:rPr>
        <w:t>B</w:t>
      </w:r>
      <w:r>
        <w:rPr>
          <w:rFonts w:ascii="Times New Roman" w:eastAsia="Times New Roman"/>
          <w:spacing w:val="-4"/>
          <w:w w:val="100"/>
        </w:rPr>
        <w:t>-</w:t>
      </w:r>
      <w:r>
        <w:rPr>
          <w:rFonts w:ascii="Times New Roman" w:eastAsia="Times New Roman"/>
          <w:w w:val="100"/>
        </w:rPr>
        <w:t>2</w:t>
      </w:r>
      <w:r>
        <w:rPr>
          <w:spacing w:val="-106"/>
          <w:w w:val="100"/>
        </w:rPr>
        <w:t>）</w:t>
      </w:r>
      <w:r>
        <w:rPr>
          <w:spacing w:val="-10"/>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spacing w:val="-5"/>
          <w:w w:val="100"/>
        </w:rPr>
        <w:t>未分类</w:t>
      </w:r>
      <w:r>
        <w:rPr>
          <w:w w:val="100"/>
        </w:rPr>
        <w:t>（</w:t>
      </w:r>
      <w:r>
        <w:rPr>
          <w:rFonts w:ascii="Times New Roman" w:eastAsia="Times New Roman"/>
          <w:spacing w:val="-3"/>
          <w:w w:val="100"/>
        </w:rPr>
        <w:t>M</w:t>
      </w:r>
      <w:r>
        <w:rPr>
          <w:rFonts w:ascii="Times New Roman" w:eastAsia="Times New Roman"/>
          <w:w w:val="100"/>
        </w:rPr>
        <w:t>DS</w:t>
      </w:r>
      <w:r>
        <w:rPr>
          <w:rFonts w:ascii="Times New Roman" w:eastAsia="Times New Roman"/>
          <w:spacing w:val="-4"/>
          <w:w w:val="100"/>
        </w:rPr>
        <w:t>-</w:t>
      </w:r>
      <w:r>
        <w:rPr>
          <w:rFonts w:ascii="Times New Roman" w:eastAsia="Times New Roman"/>
          <w:spacing w:val="0"/>
          <w:w w:val="100"/>
        </w:rPr>
        <w:t>U</w:t>
      </w:r>
      <w:r>
        <w:rPr>
          <w:spacing w:val="-108"/>
          <w:w w:val="100"/>
        </w:rPr>
        <w:t>）</w:t>
      </w:r>
      <w:r>
        <w:rPr>
          <w:spacing w:val="-10"/>
          <w:w w:val="100"/>
        </w:rPr>
        <w:t>、</w:t>
      </w:r>
      <w:r>
        <w:rPr>
          <w:rFonts w:ascii="Times New Roman" w:eastAsia="Times New Roman"/>
          <w:spacing w:val="-1"/>
          <w:w w:val="100"/>
        </w:rPr>
        <w:t>M</w:t>
      </w:r>
      <w:r>
        <w:rPr>
          <w:rFonts w:ascii="Times New Roman" w:eastAsia="Times New Roman"/>
          <w:spacing w:val="-2"/>
          <w:w w:val="100"/>
        </w:rPr>
        <w:t>D</w:t>
      </w:r>
      <w:r>
        <w:rPr>
          <w:rFonts w:ascii="Times New Roman" w:eastAsia="Times New Roman"/>
          <w:w w:val="100"/>
        </w:rPr>
        <w:t>S</w:t>
      </w:r>
      <w:r>
        <w:rPr>
          <w:rFonts w:ascii="Times New Roman" w:eastAsia="Times New Roman"/>
        </w:rPr>
        <w:t> </w:t>
      </w:r>
      <w:r>
        <w:rPr>
          <w:spacing w:val="-2"/>
          <w:w w:val="100"/>
        </w:rPr>
        <w:t>伴单纯</w:t>
      </w:r>
      <w:r>
        <w:rPr>
          <w:spacing w:val="-53"/>
        </w:rPr>
        <w:t> </w:t>
      </w:r>
      <w:r>
        <w:rPr>
          <w:rFonts w:ascii="Times New Roman" w:eastAsia="Times New Roman"/>
          <w:w w:val="100"/>
        </w:rPr>
        <w:t>5q</w:t>
      </w:r>
      <w:r>
        <w:rPr>
          <w:rFonts w:ascii="Times New Roman" w:eastAsia="Times New Roman"/>
          <w:spacing w:val="-4"/>
          <w:w w:val="100"/>
        </w:rPr>
        <w:t>-</w:t>
      </w:r>
      <w:r>
        <w:rPr>
          <w:spacing w:val="-4"/>
          <w:w w:val="100"/>
        </w:rPr>
        <w:t>，且需</w:t>
      </w:r>
      <w:r>
        <w:rPr>
          <w:spacing w:val="-3"/>
        </w:rPr>
        <w:t>满足下列所有条件：</w:t>
      </w:r>
    </w:p>
    <w:p>
      <w:pPr>
        <w:pStyle w:val="BodyText"/>
        <w:spacing w:line="256" w:lineRule="auto" w:before="22"/>
        <w:ind w:right="220"/>
      </w:pPr>
      <w:r>
        <w:rPr/>
        <w:t>（</w:t>
      </w:r>
      <w:r>
        <w:rPr>
          <w:rFonts w:ascii="Times New Roman" w:eastAsia="Times New Roman"/>
        </w:rPr>
        <w:t>1</w:t>
      </w:r>
      <w:r>
        <w:rPr/>
        <w:t>）由我们认可的医院中设有专门血液病专科的公立三级甲等医院，血液病专科的主治级别以上的医师确诊；</w:t>
      </w:r>
    </w:p>
    <w:p>
      <w:pPr>
        <w:pStyle w:val="BodyText"/>
        <w:spacing w:before="22"/>
      </w:pPr>
      <w:r>
        <w:rPr/>
        <w:t>（</w:t>
      </w:r>
      <w:r>
        <w:rPr>
          <w:rFonts w:ascii="Times New Roman" w:eastAsia="Times New Roman"/>
        </w:rPr>
        <w:t>2</w:t>
      </w:r>
      <w:r>
        <w:rPr/>
        <w:t>）骨髓穿刺或骨髓活检结果支持诊断；</w:t>
      </w:r>
    </w:p>
    <w:p>
      <w:pPr>
        <w:pStyle w:val="BodyText"/>
        <w:spacing w:before="21"/>
      </w:pPr>
      <w:r>
        <w:rPr/>
        <w:t>（</w:t>
      </w:r>
      <w:r>
        <w:rPr>
          <w:rFonts w:ascii="Times New Roman" w:eastAsia="Times New Roman"/>
        </w:rPr>
        <w:t>3</w:t>
      </w:r>
      <w:r>
        <w:rPr/>
        <w:t>）被保险人已持续接受一个月以上的化疗或已接受骨髓移植治疗。</w:t>
      </w:r>
    </w:p>
    <w:p>
      <w:pPr>
        <w:pStyle w:val="BodyText"/>
        <w:spacing w:before="6"/>
        <w:ind w:left="0"/>
        <w:rPr>
          <w:sz w:val="25"/>
        </w:rPr>
      </w:pPr>
    </w:p>
    <w:p>
      <w:pPr>
        <w:pStyle w:val="Heading2"/>
      </w:pPr>
      <w:r>
        <w:rPr/>
        <w:t>（三十九）因职业关系导致的 </w:t>
      </w:r>
      <w:r>
        <w:rPr>
          <w:rFonts w:ascii="Times New Roman" w:eastAsia="Times New Roman"/>
        </w:rPr>
        <w:t>HIV </w:t>
      </w:r>
      <w:r>
        <w:rPr/>
        <w:t>感染</w:t>
      </w:r>
    </w:p>
    <w:p>
      <w:pPr>
        <w:pStyle w:val="BodyText"/>
        <w:spacing w:line="273" w:lineRule="auto" w:before="21"/>
        <w:ind w:right="216"/>
      </w:pPr>
      <w:r>
        <w:rPr>
          <w:spacing w:val="-5"/>
        </w:rPr>
        <w:t>被保险人在其常规职业工作过程中遭遇外伤，或职业需要处理血液或其它体液</w:t>
      </w:r>
      <w:r>
        <w:rPr>
          <w:spacing w:val="-4"/>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56" w:lineRule="auto" w:before="0"/>
        <w:ind w:right="220"/>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before="33"/>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right="213"/>
        <w:jc w:val="both"/>
      </w:pPr>
      <w:r>
        <w:rPr/>
        <w:t>（</w:t>
      </w:r>
      <w:r>
        <w:rPr>
          <w:rFonts w:ascii="Times New Roman" w:eastAsia="Times New Roman"/>
        </w:rPr>
        <w:t>3</w:t>
      </w:r>
      <w:r>
        <w:rPr/>
        <w:t>）</w:t>
      </w:r>
      <w:r>
        <w:rPr>
          <w:spacing w:val="-3"/>
        </w:rPr>
        <w:t>必须提供被保险人在所报事故后发生的 </w:t>
      </w:r>
      <w:r>
        <w:rPr>
          <w:rFonts w:ascii="Times New Roman" w:eastAsia="Times New Roman"/>
        </w:rPr>
        <w:t>5 </w:t>
      </w:r>
      <w:r>
        <w:rPr>
          <w:spacing w:val="-3"/>
        </w:rPr>
        <w:t>天以内进行的检查报告，该报</w:t>
      </w:r>
      <w:r>
        <w:rPr>
          <w:spacing w:val="-5"/>
        </w:rPr>
        <w:t>告必须显示被保险人血液人类免疫缺陷病毒</w:t>
      </w:r>
      <w:r>
        <w:rPr>
          <w:spacing w:val="-7"/>
        </w:rPr>
        <w:t>（</w:t>
      </w:r>
      <w:r>
        <w:rPr>
          <w:rFonts w:ascii="Times New Roman" w:eastAsia="Times New Roman"/>
          <w:spacing w:val="-7"/>
        </w:rPr>
        <w:t>HIV</w:t>
      </w:r>
      <w:r>
        <w:rPr>
          <w:spacing w:val="-7"/>
        </w:rPr>
        <w:t>）</w:t>
      </w:r>
      <w:r>
        <w:rPr/>
        <w:t>阴性和</w:t>
      </w:r>
      <w:r>
        <w:rPr>
          <w:rFonts w:ascii="Times New Roman" w:eastAsia="Times New Roman"/>
          <w:spacing w:val="-4"/>
        </w:rPr>
        <w:t>/</w:t>
      </w:r>
      <w:r>
        <w:rPr>
          <w:spacing w:val="-3"/>
        </w:rPr>
        <w:t>或人类免疫缺陷病</w:t>
      </w:r>
      <w:r>
        <w:rPr>
          <w:spacing w:val="-1"/>
        </w:rPr>
        <w:t>毒（</w:t>
      </w:r>
      <w:r>
        <w:rPr>
          <w:rFonts w:ascii="Times New Roman" w:eastAsia="Times New Roman"/>
          <w:spacing w:val="-1"/>
        </w:rPr>
        <w:t>HIV</w:t>
      </w:r>
      <w:r>
        <w:rPr>
          <w:spacing w:val="-1"/>
        </w:rPr>
        <w:t>）</w:t>
      </w:r>
      <w:r>
        <w:rPr>
          <w:spacing w:val="-3"/>
        </w:rPr>
        <w:t>抗体阴性；</w:t>
      </w:r>
    </w:p>
    <w:p>
      <w:pPr>
        <w:pStyle w:val="BodyText"/>
        <w:spacing w:before="5"/>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p>
    <w:p>
      <w:pPr>
        <w:pStyle w:val="BodyText"/>
        <w:spacing w:line="256" w:lineRule="auto" w:before="21"/>
        <w:ind w:right="3214"/>
      </w:pPr>
      <w:r>
        <w:rPr/>
        <w:t>（</w:t>
      </w:r>
      <w:r>
        <w:rPr>
          <w:rFonts w:ascii="Times New Roman" w:eastAsia="Times New Roman"/>
        </w:rPr>
        <w:t>HIV</w:t>
      </w:r>
      <w:r>
        <w:rPr/>
        <w:t>）或人类免疫缺陷病毒（</w:t>
      </w:r>
      <w:r>
        <w:rPr>
          <w:rFonts w:ascii="Times New Roman" w:eastAsia="Times New Roman"/>
        </w:rPr>
        <w:t>HIV</w:t>
      </w:r>
      <w:r>
        <w:rPr/>
        <w:t>）抗体。限定职业：</w:t>
      </w:r>
    </w:p>
    <w:p>
      <w:pPr>
        <w:pStyle w:val="BodyText"/>
        <w:spacing w:line="273" w:lineRule="auto" w:before="22"/>
        <w:ind w:right="215"/>
      </w:pPr>
      <w:r>
        <w:rPr>
          <w:spacing w:val="-7"/>
        </w:rPr>
        <w:t>医生和牙科医生、护士、医院化验室工作人员、医院护工、医生助理和牙医助</w:t>
      </w:r>
      <w:r>
        <w:rPr>
          <w:spacing w:val="-5"/>
        </w:rPr>
        <w:t>理、救护车工作人员、助产士、消防队员、警察、狱警。</w:t>
      </w:r>
    </w:p>
    <w:p>
      <w:pPr>
        <w:pStyle w:val="BodyText"/>
        <w:spacing w:line="266" w:lineRule="auto" w:before="8"/>
        <w:ind w:right="110"/>
      </w:pPr>
      <w:r>
        <w:rPr>
          <w:spacing w:val="-3"/>
          <w:shd w:fill="D9D9D9" w:color="auto" w:val="clear"/>
        </w:rPr>
        <w:t>在任何治愈艾滋病或阻止人类免疫缺陷病毒</w:t>
      </w:r>
      <w:r>
        <w:rPr>
          <w:shd w:fill="D9D9D9" w:color="auto" w:val="clear"/>
        </w:rPr>
        <w:t>（</w:t>
      </w:r>
      <w:r>
        <w:rPr>
          <w:rFonts w:ascii="Times New Roman" w:hAnsi="Times New Roman" w:eastAsia="Times New Roman"/>
          <w:shd w:fill="D9D9D9" w:color="auto" w:val="clear"/>
        </w:rPr>
        <w:t>HIV</w:t>
      </w:r>
      <w:r>
        <w:rPr>
          <w:shd w:fill="D9D9D9" w:color="auto" w:val="clear"/>
        </w:rPr>
        <w:t>）</w:t>
      </w:r>
      <w:r>
        <w:rPr>
          <w:spacing w:val="-3"/>
          <w:shd w:fill="D9D9D9" w:color="auto" w:val="clear"/>
        </w:rPr>
        <w:t>病毒作用的疗法被发现以</w:t>
      </w:r>
      <w:r>
        <w:rPr>
          <w:spacing w:val="-13"/>
          <w:shd w:fill="D9D9D9" w:color="auto" w:val="clear"/>
        </w:rPr>
        <w:t>后，或能防止艾滋病发生的医疗方法被研究出来以后，本保障将不再予以赔付。本公</w:t>
      </w:r>
      <w:r>
        <w:rPr>
          <w:spacing w:val="-18"/>
          <w:shd w:fill="D9D9D9" w:color="auto" w:val="clear"/>
        </w:rPr>
        <w:t>司承担本项疾病责任不受本合同责任免除中“被保险人感染艾滋病病毒或患</w:t>
      </w:r>
      <w:r>
        <w:rPr>
          <w:spacing w:val="-6"/>
          <w:shd w:fill="D9D9D9" w:color="auto" w:val="clear"/>
        </w:rPr>
        <w:t>艾滋病”的限制。</w:t>
      </w:r>
    </w:p>
    <w:p>
      <w:pPr>
        <w:pStyle w:val="BodyText"/>
        <w:spacing w:before="12"/>
        <w:ind w:left="0"/>
        <w:rPr>
          <w:sz w:val="24"/>
        </w:rPr>
      </w:pPr>
    </w:p>
    <w:p>
      <w:pPr>
        <w:pStyle w:val="Heading2"/>
        <w:jc w:val="both"/>
      </w:pPr>
      <w:r>
        <w:rPr/>
        <w:t>（四十）严重哮喘</w:t>
      </w:r>
    </w:p>
    <w:p>
      <w:pPr>
        <w:pStyle w:val="BodyText"/>
        <w:jc w:val="both"/>
      </w:pPr>
      <w:r>
        <w:rPr/>
        <w:t>一种可逆性、反复发作的支气管阻塞型疾病。需满足下列至少三项条件：</w:t>
      </w:r>
    </w:p>
    <w:p>
      <w:pPr>
        <w:pStyle w:val="BodyText"/>
        <w:jc w:val="both"/>
      </w:pPr>
      <w:r>
        <w:rPr>
          <w:spacing w:val="-16"/>
        </w:rPr>
        <w:t>（</w:t>
      </w:r>
      <w:r>
        <w:rPr>
          <w:rFonts w:ascii="Times New Roman" w:eastAsia="Times New Roman"/>
          <w:spacing w:val="-16"/>
        </w:rPr>
        <w:t>1</w:t>
      </w:r>
      <w:r>
        <w:rPr>
          <w:spacing w:val="-16"/>
        </w:rPr>
        <w:t>）</w:t>
      </w:r>
      <w:r>
        <w:rPr>
          <w:spacing w:val="-7"/>
        </w:rPr>
        <w:t>过去两年中有哮喘持续状态</w:t>
      </w:r>
      <w:r>
        <w:rPr/>
        <w:t>（</w:t>
      </w:r>
      <w:r>
        <w:rPr>
          <w:spacing w:val="-8"/>
        </w:rPr>
        <w:t>哮喘持续发作 </w:t>
      </w:r>
      <w:r>
        <w:rPr>
          <w:rFonts w:ascii="Times New Roman" w:eastAsia="Times New Roman"/>
        </w:rPr>
        <w:t>24 </w:t>
      </w:r>
      <w:r>
        <w:rPr>
          <w:spacing w:val="-3"/>
        </w:rPr>
        <w:t>小时以上不能缓解</w:t>
      </w:r>
      <w:r>
        <w:rPr>
          <w:spacing w:val="-51"/>
        </w:rPr>
        <w:t>）</w:t>
      </w:r>
      <w:r>
        <w:rPr/>
        <w:t>病史；</w:t>
      </w:r>
    </w:p>
    <w:p>
      <w:pPr>
        <w:pStyle w:val="BodyText"/>
        <w:spacing w:before="21"/>
        <w:jc w:val="both"/>
      </w:pPr>
      <w:r>
        <w:rPr/>
        <w:t>（</w:t>
      </w:r>
      <w:r>
        <w:rPr>
          <w:rFonts w:ascii="Times New Roman" w:eastAsia="Times New Roman"/>
        </w:rPr>
        <w:t>2</w:t>
      </w:r>
      <w:r>
        <w:rPr/>
        <w:t>）身体活动耐受能力显著且持续下降；</w:t>
      </w:r>
    </w:p>
    <w:p>
      <w:pPr>
        <w:pStyle w:val="BodyText"/>
        <w:spacing w:before="21"/>
        <w:jc w:val="both"/>
      </w:pPr>
      <w:r>
        <w:rPr/>
        <w:t>（</w:t>
      </w:r>
      <w:r>
        <w:rPr>
          <w:rFonts w:ascii="Times New Roman" w:eastAsia="Times New Roman"/>
        </w:rPr>
        <w:t>3</w:t>
      </w:r>
      <w:r>
        <w:rPr/>
        <w:t>）肺部慢性过度膨胀充气导致的胸廓畸形；</w:t>
      </w:r>
    </w:p>
    <w:p>
      <w:pPr>
        <w:pStyle w:val="BodyText"/>
        <w:spacing w:before="21"/>
        <w:jc w:val="both"/>
      </w:pPr>
      <w:r>
        <w:rPr/>
        <w:t>（</w:t>
      </w:r>
      <w:r>
        <w:rPr>
          <w:rFonts w:ascii="Times New Roman" w:eastAsia="Times New Roman"/>
        </w:rPr>
        <w:t>4</w:t>
      </w:r>
      <w:r>
        <w:rPr/>
        <w:t>）在家中需要医师处方的氧气治疗法；</w:t>
      </w:r>
    </w:p>
    <w:p>
      <w:pPr>
        <w:pStyle w:val="BodyText"/>
        <w:spacing w:before="21"/>
        <w:jc w:val="both"/>
      </w:pPr>
      <w:r>
        <w:rPr/>
        <w:t>（</w:t>
      </w:r>
      <w:r>
        <w:rPr>
          <w:rFonts w:ascii="Times New Roman" w:eastAsia="Times New Roman"/>
        </w:rPr>
        <w:t>5</w:t>
      </w:r>
      <w:r>
        <w:rPr/>
        <w:t>）</w:t>
      </w:r>
      <w:r>
        <w:rPr>
          <w:spacing w:val="-3"/>
        </w:rPr>
        <w:t>持续日常服用口服可的松类固醇激素</w:t>
      </w:r>
      <w:r>
        <w:rPr/>
        <w:t>（</w:t>
      </w:r>
      <w:r>
        <w:rPr>
          <w:spacing w:val="-8"/>
        </w:rPr>
        <w:t>至少持续服用 </w:t>
      </w:r>
      <w:r>
        <w:rPr>
          <w:rFonts w:ascii="Times New Roman" w:eastAsia="Times New Roman"/>
        </w:rPr>
        <w:t>6 </w:t>
      </w:r>
      <w:r>
        <w:rPr>
          <w:spacing w:val="-3"/>
        </w:rPr>
        <w:t>个月以上</w:t>
      </w:r>
      <w:r>
        <w:rPr>
          <w:spacing w:val="-108"/>
        </w:rPr>
        <w:t>）</w:t>
      </w:r>
      <w:r>
        <w:rPr/>
        <w:t>。</w:t>
      </w:r>
    </w:p>
    <w:p>
      <w:pPr>
        <w:spacing w:after="0"/>
        <w:jc w:val="both"/>
        <w:sectPr>
          <w:pgSz w:w="11910" w:h="16840"/>
          <w:pgMar w:top="1080" w:bottom="280" w:left="1680" w:right="800"/>
        </w:sectPr>
      </w:pPr>
    </w:p>
    <w:p>
      <w:pPr>
        <w:pStyle w:val="Heading2"/>
        <w:spacing w:before="22"/>
      </w:pPr>
      <w:r>
        <w:rPr/>
        <w:t>（四十一）严重自身免疫性肝炎</w:t>
      </w:r>
    </w:p>
    <w:p>
      <w:pPr>
        <w:pStyle w:val="BodyText"/>
        <w:spacing w:line="273" w:lineRule="auto"/>
        <w:ind w:right="215"/>
        <w:jc w:val="both"/>
      </w:pPr>
      <w:r>
        <w:rPr>
          <w:spacing w:val="-5"/>
        </w:rPr>
        <w:t>自身免疫性肝炎是一种原因不明的慢性肝脏的坏死性炎性疾病，机体免疫机制</w:t>
      </w:r>
      <w:r>
        <w:rPr>
          <w:spacing w:val="-8"/>
        </w:rPr>
        <w:t>被破坏，产生针对肝脏自身抗原的抗体导致自身免疫反应，从而破坏肝细胞造</w:t>
      </w:r>
      <w:r>
        <w:rPr>
          <w:spacing w:val="-5"/>
        </w:rPr>
        <w:t>成肝脏炎症坏死，进而发展为肝硬化。必须满足所有以下条件：</w:t>
      </w:r>
    </w:p>
    <w:p>
      <w:pPr>
        <w:pStyle w:val="BodyText"/>
        <w:spacing w:before="7"/>
      </w:pPr>
      <w:r>
        <w:rPr/>
        <w:t>（</w:t>
      </w:r>
      <w:r>
        <w:rPr>
          <w:rFonts w:ascii="Times New Roman" w:hAnsi="Times New Roman" w:eastAsia="Times New Roman"/>
        </w:rPr>
        <w:t>1</w:t>
      </w:r>
      <w:r>
        <w:rPr/>
        <w:t>）高γ球蛋白血症；</w:t>
      </w:r>
    </w:p>
    <w:p>
      <w:pPr>
        <w:pStyle w:val="BodyText"/>
        <w:spacing w:line="256" w:lineRule="auto" w:before="21"/>
        <w:ind w:right="218"/>
      </w:pPr>
      <w:r>
        <w:rPr/>
        <w:t>（</w:t>
      </w:r>
      <w:r>
        <w:rPr>
          <w:rFonts w:ascii="Times New Roman" w:eastAsia="Times New Roman"/>
        </w:rPr>
        <w:t>2</w:t>
      </w:r>
      <w:r>
        <w:rPr/>
        <w:t>）</w:t>
      </w:r>
      <w:r>
        <w:rPr>
          <w:spacing w:val="-2"/>
        </w:rPr>
        <w:t>血液中存在高水平的自身免疫抗体，如 </w:t>
      </w:r>
      <w:r>
        <w:rPr>
          <w:rFonts w:ascii="Times New Roman" w:eastAsia="Times New Roman"/>
        </w:rPr>
        <w:t>ANA</w:t>
      </w:r>
      <w:r>
        <w:rPr/>
        <w:t>（</w:t>
      </w:r>
      <w:r>
        <w:rPr>
          <w:spacing w:val="-1"/>
        </w:rPr>
        <w:t>抗核抗体</w:t>
      </w:r>
      <w:r>
        <w:rPr>
          <w:spacing w:val="-108"/>
        </w:rPr>
        <w:t>）</w:t>
      </w:r>
      <w:r>
        <w:rPr/>
        <w:t>、</w:t>
      </w:r>
      <w:r>
        <w:rPr>
          <w:rFonts w:ascii="Times New Roman" w:eastAsia="Times New Roman"/>
        </w:rPr>
        <w:t>SMA</w:t>
      </w:r>
      <w:r>
        <w:rPr/>
        <w:t>（</w:t>
      </w:r>
      <w:r>
        <w:rPr>
          <w:spacing w:val="-2"/>
        </w:rPr>
        <w:t>抗平</w:t>
      </w:r>
      <w:r>
        <w:rPr>
          <w:spacing w:val="-3"/>
        </w:rPr>
        <w:t>滑肌抗体</w:t>
      </w:r>
      <w:r>
        <w:rPr>
          <w:spacing w:val="-108"/>
        </w:rPr>
        <w:t>）</w:t>
      </w:r>
      <w:r>
        <w:rPr>
          <w:spacing w:val="-15"/>
        </w:rPr>
        <w:t>、抗 </w:t>
      </w:r>
      <w:r>
        <w:rPr>
          <w:rFonts w:ascii="Times New Roman" w:eastAsia="Times New Roman"/>
          <w:spacing w:val="-3"/>
        </w:rPr>
        <w:t>LKM1 </w:t>
      </w:r>
      <w:r>
        <w:rPr/>
        <w:t>抗体或抗</w:t>
      </w:r>
      <w:r>
        <w:rPr>
          <w:rFonts w:ascii="Times New Roman" w:eastAsia="Times New Roman"/>
          <w:spacing w:val="-3"/>
        </w:rPr>
        <w:t>-SLA/LP </w:t>
      </w:r>
      <w:r>
        <w:rPr>
          <w:spacing w:val="-2"/>
        </w:rPr>
        <w:t>抗体；</w:t>
      </w:r>
    </w:p>
    <w:p>
      <w:pPr>
        <w:pStyle w:val="BodyText"/>
        <w:spacing w:before="5"/>
        <w:jc w:val="both"/>
      </w:pPr>
      <w:r>
        <w:rPr/>
        <w:t>（</w:t>
      </w:r>
      <w:r>
        <w:rPr>
          <w:rFonts w:ascii="Times New Roman" w:eastAsia="Times New Roman"/>
        </w:rPr>
        <w:t>3</w:t>
      </w:r>
      <w:r>
        <w:rPr/>
        <w:t>）肝脏活检证实免疫性肝炎；</w:t>
      </w:r>
    </w:p>
    <w:p>
      <w:pPr>
        <w:pStyle w:val="BodyText"/>
        <w:spacing w:before="21"/>
        <w:jc w:val="both"/>
      </w:pPr>
      <w:r>
        <w:rPr/>
        <w:t>（</w:t>
      </w:r>
      <w:r>
        <w:rPr>
          <w:rFonts w:ascii="Times New Roman" w:eastAsia="Times New Roman"/>
        </w:rPr>
        <w:t>4</w:t>
      </w:r>
      <w:r>
        <w:rPr/>
        <w:t>）临床已经出现腹水、食道静脉曲张和脾肿大等肝硬化表现。</w:t>
      </w:r>
    </w:p>
    <w:p>
      <w:pPr>
        <w:pStyle w:val="BodyText"/>
        <w:spacing w:before="5"/>
        <w:ind w:left="0"/>
        <w:rPr>
          <w:sz w:val="25"/>
        </w:rPr>
      </w:pPr>
    </w:p>
    <w:p>
      <w:pPr>
        <w:pStyle w:val="Heading2"/>
        <w:jc w:val="both"/>
      </w:pPr>
      <w:r>
        <w:rPr/>
        <w:t>（四十二）多发性硬化</w:t>
      </w:r>
    </w:p>
    <w:p>
      <w:pPr>
        <w:pStyle w:val="BodyText"/>
        <w:spacing w:before="36"/>
        <w:jc w:val="both"/>
      </w:pPr>
      <w:r>
        <w:rPr/>
        <w:t>被保险人因脑及脊髓内的脱髓鞘病变而出现神经系统多灶性（多发性）多时相</w:t>
      </w:r>
    </w:p>
    <w:p>
      <w:pPr>
        <w:pStyle w:val="BodyText"/>
        <w:spacing w:line="261" w:lineRule="auto"/>
        <w:ind w:right="215"/>
        <w:jc w:val="both"/>
      </w:pPr>
      <w:r>
        <w:rPr/>
        <w:t>（</w:t>
      </w:r>
      <w:r>
        <w:rPr>
          <w:spacing w:val="-14"/>
        </w:rPr>
        <w:t>至少 </w:t>
      </w:r>
      <w:r>
        <w:rPr>
          <w:rFonts w:ascii="Times New Roman" w:eastAsia="Times New Roman"/>
        </w:rPr>
        <w:t>6 </w:t>
      </w:r>
      <w:r>
        <w:rPr>
          <w:spacing w:val="-4"/>
        </w:rPr>
        <w:t>个月以内有一次以上</w:t>
      </w:r>
      <w:r>
        <w:rPr>
          <w:spacing w:val="-3"/>
        </w:rPr>
        <w:t>（不包含一次</w:t>
      </w:r>
      <w:r>
        <w:rPr>
          <w:spacing w:val="-10"/>
        </w:rPr>
        <w:t>）</w:t>
      </w:r>
      <w:r>
        <w:rPr>
          <w:spacing w:val="-2"/>
        </w:rPr>
        <w:t>的发作</w:t>
      </w:r>
      <w:r>
        <w:rPr>
          <w:spacing w:val="-10"/>
        </w:rPr>
        <w:t>）</w:t>
      </w:r>
      <w:r>
        <w:rPr>
          <w:spacing w:val="-4"/>
        </w:rPr>
        <w:t>的病变，须由计算机断</w:t>
      </w:r>
      <w:r>
        <w:rPr>
          <w:spacing w:val="0"/>
          <w:w w:val="100"/>
        </w:rPr>
        <w:t>层扫描</w:t>
      </w:r>
      <w:r>
        <w:rPr>
          <w:spacing w:val="1"/>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3"/>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spacing w:val="-1"/>
          <w:w w:val="100"/>
        </w:rPr>
        <w:t>P</w:t>
      </w:r>
      <w:r>
        <w:rPr>
          <w:rFonts w:ascii="Times New Roman" w:eastAsia="Times New Roman"/>
          <w:spacing w:val="-2"/>
          <w:w w:val="100"/>
        </w:rPr>
        <w:t>E</w:t>
      </w:r>
      <w:r>
        <w:rPr>
          <w:rFonts w:ascii="Times New Roman" w:eastAsia="Times New Roman"/>
          <w:spacing w:val="2"/>
          <w:w w:val="100"/>
        </w:rPr>
        <w:t>T</w:t>
      </w:r>
      <w:r>
        <w:rPr>
          <w:w w:val="100"/>
        </w:rPr>
        <w:t>）等影像</w:t>
      </w:r>
      <w:r>
        <w:rPr>
          <w:spacing w:val="-6"/>
        </w:rPr>
        <w:t>学检查证实，且已经造成自主生活能力完全丧失，无法独立完成六项基本日常生活活动中的三项或三项以上，持续至少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before="11"/>
        <w:ind w:left="0"/>
        <w:rPr>
          <w:sz w:val="23"/>
        </w:rPr>
      </w:pPr>
    </w:p>
    <w:p>
      <w:pPr>
        <w:pStyle w:val="Heading2"/>
      </w:pPr>
      <w:r>
        <w:rPr/>
        <w:t>（四十三）脊髓灰质炎后遗症</w:t>
      </w:r>
    </w:p>
    <w:p>
      <w:pPr>
        <w:pStyle w:val="BodyText"/>
        <w:spacing w:line="266" w:lineRule="auto"/>
        <w:ind w:right="215"/>
        <w:jc w:val="both"/>
      </w:pPr>
      <w:r>
        <w:rPr/>
        <w:t>是指由于急性脊髓灰质炎病毒感染所导致的运动功能障碍或呼吸功能减弱的</w:t>
      </w:r>
      <w:r>
        <w:rPr>
          <w:spacing w:val="-7"/>
        </w:rPr>
        <w:t>瘫痪性疾病。诊断必须由我们认可的神经科专科医生确诊并提供相关的脊髓灰质炎病毒感染的证据（例如：脑脊液检查或血清学抗体检查报告</w:t>
      </w:r>
      <w:r>
        <w:rPr>
          <w:spacing w:val="-106"/>
        </w:rPr>
        <w:t>）</w:t>
      </w:r>
      <w:r>
        <w:rPr/>
        <w:t>。</w:t>
      </w:r>
      <w:r>
        <w:rPr>
          <w:shd w:fill="D9D9D9" w:color="auto" w:val="clear"/>
        </w:rPr>
        <w:t>未导致肢</w:t>
      </w:r>
      <w:r>
        <w:rPr>
          <w:spacing w:val="-2"/>
          <w:shd w:fill="D9D9D9" w:color="auto" w:val="clear"/>
        </w:rPr>
        <w:t>体瘫痪及其它病因所致的瘫痪，例如格林一巴利综</w:t>
      </w:r>
      <w:r>
        <w:rPr>
          <w:spacing w:val="-212"/>
          <w:shd w:fill="D9D9D9" w:color="auto" w:val="clear"/>
        </w:rPr>
        <w:t>合</w:t>
      </w:r>
      <w:r>
        <w:rPr>
          <w:shd w:fill="D9D9D9" w:color="auto" w:val="clear"/>
        </w:rPr>
        <w:t>症</w:t>
      </w:r>
      <w:r>
        <w:rPr>
          <w:rFonts w:ascii="Times New Roman" w:eastAsia="Times New Roman"/>
          <w:shd w:fill="D9D9D9" w:color="auto" w:val="clear"/>
        </w:rPr>
        <w:t>(</w:t>
      </w:r>
      <w:r>
        <w:rPr>
          <w:shd w:fill="D9D9D9" w:color="auto" w:val="clear"/>
        </w:rPr>
        <w:t>急性感染性多神经炎</w:t>
      </w:r>
      <w:r>
        <w:rPr>
          <w:rFonts w:ascii="Times New Roman" w:eastAsia="Times New Roman"/>
          <w:shd w:fill="D9D9D9" w:color="auto" w:val="clear"/>
        </w:rPr>
        <w:t>)</w:t>
      </w:r>
      <w:r>
        <w:rPr>
          <w:shd w:fill="D9D9D9" w:color="auto" w:val="clear"/>
        </w:rPr>
        <w:t>则</w:t>
      </w:r>
      <w:r>
        <w:rPr>
          <w:spacing w:val="-5"/>
          <w:shd w:fill="D9D9D9" w:color="auto" w:val="clear"/>
        </w:rPr>
        <w:t>不在此保障范围以内。</w:t>
      </w:r>
      <w:r>
        <w:rPr>
          <w:spacing w:val="-4"/>
        </w:rPr>
        <w:t>瘫痪指两肢或两肢以上肢体机能永久完全丧失。肢体机</w:t>
      </w:r>
      <w:r>
        <w:rPr>
          <w:spacing w:val="-9"/>
        </w:rPr>
        <w:t>能永久完全丧失，指疾病确诊 </w:t>
      </w:r>
      <w:r>
        <w:rPr>
          <w:rFonts w:ascii="Times New Roman" w:eastAsia="Times New Roman"/>
        </w:rPr>
        <w:t>180 </w:t>
      </w:r>
      <w:r>
        <w:rPr>
          <w:spacing w:val="-6"/>
        </w:rPr>
        <w:t>天后，每肢三大关节中的两大关节仍然完全</w:t>
      </w:r>
      <w:r>
        <w:rPr>
          <w:spacing w:val="-4"/>
        </w:rPr>
        <w:t>僵硬，或不能随意识活动。</w:t>
      </w:r>
    </w:p>
    <w:p>
      <w:pPr>
        <w:pStyle w:val="BodyText"/>
        <w:spacing w:before="11"/>
        <w:ind w:left="0"/>
        <w:rPr>
          <w:sz w:val="24"/>
        </w:rPr>
      </w:pPr>
    </w:p>
    <w:p>
      <w:pPr>
        <w:pStyle w:val="Heading2"/>
        <w:spacing w:before="1"/>
      </w:pPr>
      <w:r>
        <w:rPr/>
        <w:t>（四十四）植物人状态</w:t>
      </w:r>
    </w:p>
    <w:p>
      <w:pPr>
        <w:pStyle w:val="BodyText"/>
        <w:spacing w:line="256" w:lineRule="auto"/>
        <w:ind w:right="215"/>
        <w:jc w:val="both"/>
      </w:pPr>
      <w:r>
        <w:rPr/>
        <w:t>指脑皮质广泛性坏死而导致对自身及周边的认知能力完全丧失</w:t>
      </w:r>
      <w:r>
        <w:rPr>
          <w:rFonts w:ascii="Times New Roman" w:eastAsia="Times New Roman"/>
        </w:rPr>
        <w:t>,</w:t>
      </w:r>
      <w:r>
        <w:rPr/>
        <w:t>但脑干功能依</w:t>
      </w:r>
      <w:r>
        <w:rPr>
          <w:spacing w:val="-5"/>
          <w:w w:val="100"/>
        </w:rPr>
        <w:t>然存在。必须由神经专科医生明确诊断</w:t>
      </w:r>
      <w:r>
        <w:rPr>
          <w:rFonts w:ascii="Times New Roman" w:eastAsia="Times New Roman"/>
          <w:spacing w:val="-3"/>
          <w:w w:val="100"/>
        </w:rPr>
        <w:t>,</w:t>
      </w:r>
      <w:r>
        <w:rPr>
          <w:spacing w:val="-5"/>
          <w:w w:val="100"/>
        </w:rPr>
        <w:t>并有头颅断层扫描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w:t>
      </w:r>
      <w:r>
        <w:rPr>
          <w:spacing w:val="-1"/>
        </w:rPr>
        <w:t>查（</w:t>
      </w:r>
      <w:r>
        <w:rPr>
          <w:rFonts w:ascii="Times New Roman" w:eastAsia="Times New Roman"/>
          <w:spacing w:val="-1"/>
        </w:rPr>
        <w:t>MRI</w:t>
      </w:r>
      <w:r>
        <w:rPr>
          <w:spacing w:val="-1"/>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w:t>
      </w:r>
    </w:p>
    <w:p>
      <w:pPr>
        <w:pStyle w:val="BodyText"/>
        <w:spacing w:line="273" w:lineRule="auto" w:before="4"/>
        <w:ind w:right="170"/>
      </w:pPr>
      <w:r>
        <w:rPr>
          <w:shd w:fill="D9D9D9" w:color="auto" w:val="clear"/>
        </w:rPr>
        <w:t>上述情况必须有至少一个月的病历记录加以证实。由于酗酒或滥用药物所致的植物人状态不在保障范围内。</w:t>
      </w:r>
    </w:p>
    <w:p>
      <w:pPr>
        <w:pStyle w:val="BodyText"/>
        <w:spacing w:before="5"/>
        <w:ind w:left="0"/>
        <w:rPr>
          <w:sz w:val="24"/>
        </w:rPr>
      </w:pPr>
    </w:p>
    <w:p>
      <w:pPr>
        <w:pStyle w:val="Heading2"/>
      </w:pPr>
      <w:r>
        <w:rPr/>
        <w:t>（四十五）全身性（型）重症肌无力</w:t>
      </w:r>
    </w:p>
    <w:p>
      <w:pPr>
        <w:pStyle w:val="BodyText"/>
        <w:spacing w:line="273" w:lineRule="auto" w:before="36"/>
        <w:ind w:right="107"/>
      </w:pPr>
      <w:r>
        <w:rPr>
          <w:spacing w:val="-5"/>
        </w:rPr>
        <w:t>是指一种神经与肌肉接头部位传递障碍的自身免疫性疾病，临床特征是局部或</w:t>
      </w:r>
      <w:r>
        <w:rPr>
          <w:spacing w:val="-12"/>
        </w:rPr>
        <w:t>全身横纹肌于活动时易于疲劳无力，颅神经眼外肌最易累及，也可涉及呼吸肌、</w:t>
      </w:r>
      <w:r>
        <w:rPr>
          <w:spacing w:val="-9"/>
        </w:rPr>
        <w:t>下肢近端肌群以至全身肌肉，须经本公司认可的神经科医师确诊。其诊断必须</w:t>
      </w:r>
      <w:r>
        <w:rPr>
          <w:spacing w:val="-5"/>
        </w:rPr>
        <w:t>同时具有下列情况：</w:t>
      </w:r>
    </w:p>
    <w:p>
      <w:pPr>
        <w:pStyle w:val="BodyText"/>
        <w:spacing w:before="7"/>
      </w:pPr>
      <w:r>
        <w:rPr/>
        <w:t>（</w:t>
      </w:r>
      <w:r>
        <w:rPr>
          <w:rFonts w:ascii="Times New Roman" w:eastAsia="Times New Roman"/>
        </w:rPr>
        <w:t>1</w:t>
      </w:r>
      <w:r>
        <w:rPr/>
        <w:t>）经药物、胸腺手术治疗一年以上无法控制病情，丧失正常工作能力；</w:t>
      </w:r>
    </w:p>
    <w:p>
      <w:pPr>
        <w:pStyle w:val="BodyText"/>
        <w:spacing w:line="256" w:lineRule="auto" w:before="21"/>
        <w:ind w:right="213"/>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56" w:lineRule="auto" w:before="22"/>
        <w:ind w:right="220"/>
      </w:pPr>
      <w:r>
        <w:rPr/>
        <w:t>（</w:t>
      </w:r>
      <w:r>
        <w:rPr>
          <w:rFonts w:ascii="Times New Roman" w:eastAsia="Times New Roman"/>
        </w:rPr>
        <w:t>3</w:t>
      </w:r>
      <w:r>
        <w:rPr/>
        <w:t>）症状缓解、复发及恶化交替出现，临床接受新斯的明等抗胆碱酯酶药物治疗的病史。</w:t>
      </w:r>
    </w:p>
    <w:p>
      <w:pPr>
        <w:pStyle w:val="BodyText"/>
        <w:spacing w:before="7"/>
        <w:ind w:left="0"/>
        <w:rPr>
          <w:sz w:val="25"/>
        </w:rPr>
      </w:pPr>
    </w:p>
    <w:p>
      <w:pPr>
        <w:pStyle w:val="Heading2"/>
        <w:jc w:val="both"/>
      </w:pPr>
      <w:r>
        <w:rPr/>
        <w:t>（四十六）非阿尔茨海默病所致严重痴呆</w:t>
      </w:r>
    </w:p>
    <w:p>
      <w:pPr>
        <w:pStyle w:val="BodyText"/>
        <w:jc w:val="both"/>
      </w:pPr>
      <w:r>
        <w:rPr/>
        <w:t>指因阿尔茨海默病以外的脑的器质性疾病造成脑功能衰竭导致永久不可逆性</w:t>
      </w:r>
    </w:p>
    <w:p>
      <w:pPr>
        <w:spacing w:after="0"/>
        <w:jc w:val="both"/>
        <w:sectPr>
          <w:pgSz w:w="11910" w:h="16840"/>
          <w:pgMar w:top="1080" w:bottom="280" w:left="1680" w:right="800"/>
        </w:sectPr>
      </w:pPr>
    </w:p>
    <w:p>
      <w:pPr>
        <w:pStyle w:val="BodyText"/>
        <w:spacing w:line="273" w:lineRule="auto" w:before="22"/>
        <w:ind w:right="107"/>
      </w:pPr>
      <w:r>
        <w:rPr>
          <w:spacing w:val="-6"/>
        </w:rPr>
        <w:t>的严重痴呆，临床表现为明显的认知能力障碍、行为异常和社交能力减退。被</w:t>
      </w:r>
      <w:r>
        <w:rPr>
          <w:spacing w:val="-7"/>
        </w:rPr>
        <w:t>保险人自主生活能力完全丧失，无法独立完成六项基本日常生活活动中的三项</w:t>
      </w:r>
      <w:r>
        <w:rPr>
          <w:spacing w:val="-14"/>
        </w:rPr>
        <w:t>或三项以上，日常生活必须持续受到他人监护。导致痴呆的疾病必须明确诊断， </w:t>
      </w:r>
      <w:r>
        <w:rPr>
          <w:spacing w:val="-10"/>
        </w:rPr>
        <w:t>并且由完整的临床、实验室和影像学检查结果证实。</w:t>
      </w:r>
      <w:r>
        <w:rPr>
          <w:spacing w:val="-11"/>
          <w:shd w:fill="D9D9D9" w:color="auto" w:val="clear"/>
        </w:rPr>
        <w:t>神经官能症和精神疾病不在</w:t>
      </w:r>
      <w:r>
        <w:rPr>
          <w:spacing w:val="-3"/>
          <w:shd w:fill="D9D9D9" w:color="auto" w:val="clear"/>
        </w:rPr>
        <w:t>保障范围内。</w:t>
      </w:r>
    </w:p>
    <w:p>
      <w:pPr>
        <w:pStyle w:val="BodyText"/>
        <w:spacing w:before="5"/>
        <w:ind w:left="0"/>
        <w:rPr>
          <w:sz w:val="24"/>
        </w:rPr>
      </w:pPr>
    </w:p>
    <w:p>
      <w:pPr>
        <w:pStyle w:val="Heading2"/>
        <w:spacing w:before="1"/>
      </w:pPr>
      <w:r>
        <w:rPr/>
        <w:t>（四十七）严重癫痫</w:t>
      </w:r>
    </w:p>
    <w:p>
      <w:pPr>
        <w:pStyle w:val="BodyText"/>
      </w:pPr>
      <w:r>
        <w:rPr/>
        <w:t>本病的诊断须由神经科或儿科专科医生根据典型临床症状和脑电图及 </w:t>
      </w:r>
      <w:r>
        <w:rPr>
          <w:rFonts w:ascii="Times New Roman" w:eastAsia="Times New Roman"/>
        </w:rPr>
        <w:t>MRI</w:t>
      </w:r>
      <w:r>
        <w:rPr/>
        <w:t>、</w:t>
      </w:r>
    </w:p>
    <w:p>
      <w:pPr>
        <w:pStyle w:val="BodyText"/>
        <w:spacing w:line="264" w:lineRule="auto" w:before="21"/>
        <w:ind w:right="216"/>
        <w:jc w:val="both"/>
      </w:pPr>
      <w:r>
        <w:rPr>
          <w:rFonts w:ascii="Times New Roman" w:eastAsia="Times New Roman"/>
        </w:rPr>
        <w:t>PET</w:t>
      </w:r>
      <w:r>
        <w:rPr>
          <w:spacing w:val="-51"/>
        </w:rPr>
        <w:t>、</w:t>
      </w:r>
      <w:r>
        <w:rPr>
          <w:rFonts w:ascii="Times New Roman" w:eastAsia="Times New Roman"/>
        </w:rPr>
        <w:t>CT </w:t>
      </w:r>
      <w:r>
        <w:rPr>
          <w:spacing w:val="-12"/>
        </w:rPr>
        <w:t>等影相学检查做出。理赔时必须提供 </w:t>
      </w:r>
      <w:r>
        <w:rPr>
          <w:rFonts w:ascii="Times New Roman" w:eastAsia="Times New Roman"/>
        </w:rPr>
        <w:t>6 </w:t>
      </w:r>
      <w:r>
        <w:rPr>
          <w:spacing w:val="-3"/>
        </w:rPr>
        <w:t>个月以上的相关病历记录证明</w:t>
      </w:r>
      <w:r>
        <w:rPr/>
        <w:t>被保险人存在经抗癫痫药物治疗无效而反复发作的强直阵挛性发作或癫痫大</w:t>
      </w:r>
      <w:r>
        <w:rPr>
          <w:spacing w:val="-3"/>
        </w:rPr>
        <w:t>发作，且已行神经外科手术以治疗反复发作的癫痫。</w:t>
      </w:r>
    </w:p>
    <w:p>
      <w:pPr>
        <w:pStyle w:val="BodyText"/>
        <w:spacing w:before="16"/>
      </w:pPr>
      <w:r>
        <w:rPr>
          <w:spacing w:val="-7"/>
          <w:shd w:fill="D9D9D9" w:color="auto" w:val="clear"/>
        </w:rPr>
        <w:t>发热性惊厥以及没有全身性发作的失神发作</w:t>
      </w:r>
      <w:r>
        <w:rPr>
          <w:shd w:fill="D9D9D9" w:color="auto" w:val="clear"/>
        </w:rPr>
        <w:t>（</w:t>
      </w:r>
      <w:r>
        <w:rPr>
          <w:spacing w:val="-3"/>
          <w:shd w:fill="D9D9D9" w:color="auto" w:val="clear"/>
        </w:rPr>
        <w:t>癫痫小发作</w:t>
      </w:r>
      <w:r>
        <w:rPr>
          <w:spacing w:val="-70"/>
          <w:shd w:fill="D9D9D9" w:color="auto" w:val="clear"/>
        </w:rPr>
        <w:t>）</w:t>
      </w:r>
      <w:r>
        <w:rPr>
          <w:spacing w:val="-3"/>
          <w:shd w:fill="D9D9D9" w:color="auto" w:val="clear"/>
        </w:rPr>
        <w:t>不在本保障范围内。</w:t>
      </w:r>
    </w:p>
    <w:p>
      <w:pPr>
        <w:pStyle w:val="BodyText"/>
        <w:spacing w:before="9"/>
        <w:ind w:left="0"/>
        <w:rPr>
          <w:sz w:val="26"/>
        </w:rPr>
      </w:pPr>
    </w:p>
    <w:p>
      <w:pPr>
        <w:pStyle w:val="Heading2"/>
      </w:pPr>
      <w:r>
        <w:rPr/>
        <w:t>（四十八）严重细菌性脑脊髓膜炎</w:t>
      </w:r>
    </w:p>
    <w:p>
      <w:pPr>
        <w:pStyle w:val="BodyText"/>
        <w:spacing w:line="273" w:lineRule="auto"/>
        <w:ind w:right="218"/>
      </w:pPr>
      <w:r>
        <w:rPr>
          <w:spacing w:val="-4"/>
        </w:rPr>
        <w:t>指因脑膜炎双球菌感染引起脑脊髓膜化脓性病变，且导致</w:t>
      </w:r>
      <w:r>
        <w:rPr>
          <w:spacing w:val="-6"/>
          <w:shd w:fill="D9D9D9" w:color="auto" w:val="clear"/>
        </w:rPr>
        <w:t>永久性神经损害</w:t>
      </w:r>
      <w:r>
        <w:rPr>
          <w:spacing w:val="-3"/>
        </w:rPr>
        <w:t>（见</w:t>
      </w:r>
      <w:r>
        <w:rPr>
          <w:w w:val="100"/>
        </w:rPr>
        <w:t>释义</w:t>
      </w:r>
      <w:r>
        <w:rPr>
          <w:spacing w:val="-108"/>
          <w:w w:val="100"/>
        </w:rPr>
        <w:t>）</w:t>
      </w:r>
      <w:r>
        <w:rPr>
          <w:spacing w:val="-2"/>
          <w:w w:val="100"/>
        </w:rPr>
        <w:t>，持续</w:t>
      </w:r>
      <w:r>
        <w:rPr>
          <w:spacing w:val="-53"/>
        </w:rPr>
        <w:t> </w:t>
      </w:r>
      <w:r>
        <w:rPr>
          <w:rFonts w:ascii="Times New Roman" w:eastAsia="Times New Roman"/>
          <w:w w:val="100"/>
        </w:rPr>
        <w:t>90</w:t>
      </w:r>
      <w:r>
        <w:rPr>
          <w:rFonts w:ascii="Times New Roman" w:eastAsia="Times New Roman"/>
        </w:rPr>
        <w:t> </w:t>
      </w:r>
      <w:r>
        <w:rPr>
          <w:spacing w:val="-3"/>
          <w:w w:val="100"/>
        </w:rPr>
        <w:t>天以上，并且脑脊液检查显示脑膜炎双球菌阳性。</w:t>
      </w:r>
    </w:p>
    <w:p>
      <w:pPr>
        <w:pStyle w:val="BodyText"/>
        <w:spacing w:before="12"/>
        <w:ind w:left="0"/>
        <w:rPr>
          <w:sz w:val="22"/>
        </w:rPr>
      </w:pPr>
    </w:p>
    <w:p>
      <w:pPr>
        <w:pStyle w:val="Heading2"/>
        <w:spacing w:before="1"/>
      </w:pPr>
      <w:r>
        <w:rPr/>
        <w:t>（四十九）疯牛病</w:t>
      </w:r>
    </w:p>
    <w:p>
      <w:pPr>
        <w:pStyle w:val="BodyText"/>
      </w:pPr>
      <w:r>
        <w:rPr/>
        <w:t>神经系统疾病及致命的成胶质状脑病，并有以下症状：</w:t>
      </w:r>
    </w:p>
    <w:p>
      <w:pPr>
        <w:pStyle w:val="BodyText"/>
      </w:pPr>
      <w:r>
        <w:rPr/>
        <w:t>（</w:t>
      </w:r>
      <w:r>
        <w:rPr>
          <w:rFonts w:ascii="Times New Roman" w:eastAsia="Times New Roman"/>
        </w:rPr>
        <w:t>1</w:t>
      </w:r>
      <w:r>
        <w:rPr/>
        <w:t>）不能控制的肌肉痉挛及震颤；</w:t>
      </w:r>
    </w:p>
    <w:p>
      <w:pPr>
        <w:pStyle w:val="BodyText"/>
        <w:spacing w:before="21"/>
      </w:pPr>
      <w:r>
        <w:rPr/>
        <w:t>（</w:t>
      </w:r>
      <w:r>
        <w:rPr>
          <w:rFonts w:ascii="Times New Roman" w:eastAsia="Times New Roman"/>
        </w:rPr>
        <w:t>2</w:t>
      </w:r>
      <w:r>
        <w:rPr/>
        <w:t>）逐渐痴呆；</w:t>
      </w:r>
    </w:p>
    <w:p>
      <w:pPr>
        <w:pStyle w:val="BodyText"/>
        <w:spacing w:before="21"/>
      </w:pPr>
      <w:r>
        <w:rPr/>
        <w:t>（</w:t>
      </w:r>
      <w:r>
        <w:rPr>
          <w:rFonts w:ascii="Times New Roman" w:eastAsia="Times New Roman"/>
        </w:rPr>
        <w:t>3</w:t>
      </w:r>
      <w:r>
        <w:rPr/>
        <w:t>）小脑功能不良，共济失调；</w:t>
      </w:r>
    </w:p>
    <w:p>
      <w:pPr>
        <w:pStyle w:val="BodyText"/>
        <w:spacing w:before="21"/>
      </w:pPr>
      <w:r>
        <w:rPr/>
        <w:t>（</w:t>
      </w:r>
      <w:r>
        <w:rPr>
          <w:rFonts w:ascii="Times New Roman" w:eastAsia="Times New Roman"/>
        </w:rPr>
        <w:t>4</w:t>
      </w:r>
      <w:r>
        <w:rPr/>
        <w:t>）手足徐动症。</w:t>
      </w:r>
    </w:p>
    <w:p>
      <w:pPr>
        <w:pStyle w:val="BodyText"/>
        <w:spacing w:line="273" w:lineRule="auto" w:before="20"/>
        <w:ind w:right="186"/>
      </w:pPr>
      <w:r>
        <w:rPr/>
        <w:t>诊断必须由神经科专科医生基于以下检查报告作出：脑电图、脑脊液报告、电脑断层扫描</w:t>
      </w:r>
      <w:r>
        <w:rPr>
          <w:rFonts w:ascii="Times New Roman" w:eastAsia="Times New Roman"/>
        </w:rPr>
        <w:t>(CT)</w:t>
      </w:r>
      <w:r>
        <w:rPr/>
        <w:t>及核磁共振</w:t>
      </w:r>
      <w:r>
        <w:rPr>
          <w:rFonts w:ascii="Times New Roman" w:eastAsia="Times New Roman"/>
        </w:rPr>
        <w:t>(MRI)</w:t>
      </w:r>
      <w:r>
        <w:rPr/>
        <w:t>。</w:t>
      </w:r>
    </w:p>
    <w:p>
      <w:pPr>
        <w:pStyle w:val="BodyText"/>
        <w:spacing w:before="12"/>
        <w:ind w:left="0"/>
        <w:rPr>
          <w:sz w:val="22"/>
        </w:rPr>
      </w:pPr>
    </w:p>
    <w:p>
      <w:pPr>
        <w:pStyle w:val="Heading2"/>
      </w:pPr>
      <w:r>
        <w:rPr/>
        <w:t>（五十）艾森门格综合征</w:t>
      </w:r>
    </w:p>
    <w:p>
      <w:pPr>
        <w:pStyle w:val="BodyText"/>
        <w:spacing w:line="273" w:lineRule="auto"/>
        <w:ind w:right="170"/>
      </w:pPr>
      <w:r>
        <w:rPr/>
        <w:t>因心脏病导致的严重肺动脉高压及右向左分流。诊断必须由心脏专科医生经超声心动图和心导管检查证实及需符合以下所有标准：</w:t>
      </w:r>
    </w:p>
    <w:p>
      <w:pPr>
        <w:pStyle w:val="BodyText"/>
        <w:spacing w:before="8"/>
      </w:pPr>
      <w:r>
        <w:rPr/>
        <w:t>（</w:t>
      </w:r>
      <w:r>
        <w:rPr>
          <w:rFonts w:ascii="Times New Roman" w:eastAsia="Times New Roman"/>
        </w:rPr>
        <w:t>1</w:t>
      </w:r>
      <w:r>
        <w:rPr/>
        <w:t>）平均肺动脉压高于 </w:t>
      </w:r>
      <w:r>
        <w:rPr>
          <w:rFonts w:ascii="Times New Roman" w:eastAsia="Times New Roman"/>
        </w:rPr>
        <w:t>40mmHg</w:t>
      </w:r>
      <w:r>
        <w:rPr/>
        <w:t>；</w:t>
      </w:r>
    </w:p>
    <w:p>
      <w:pPr>
        <w:pStyle w:val="BodyText"/>
        <w:spacing w:before="21"/>
      </w:pPr>
      <w:r>
        <w:rPr>
          <w:w w:val="100"/>
        </w:rPr>
        <w:t>（</w:t>
      </w:r>
      <w:r>
        <w:rPr>
          <w:rFonts w:ascii="Times New Roman" w:eastAsia="Times New Roman"/>
          <w:w w:val="100"/>
        </w:rPr>
        <w:t>2</w:t>
      </w:r>
      <w:r>
        <w:rPr>
          <w:spacing w:val="-3"/>
          <w:w w:val="100"/>
        </w:rPr>
        <w:t>）肺血管阻力高于</w:t>
      </w:r>
      <w:r>
        <w:rPr>
          <w:spacing w:val="-53"/>
        </w:rPr>
        <w:t> </w:t>
      </w:r>
      <w:r>
        <w:rPr>
          <w:rFonts w:ascii="Times New Roman" w:eastAsia="Times New Roman"/>
          <w:w w:val="100"/>
        </w:rPr>
        <w:t>3</w:t>
      </w:r>
      <w:r>
        <w:rPr>
          <w:rFonts w:ascii="Times New Roman" w:eastAsia="Times New Roman"/>
          <w:spacing w:val="-4"/>
          <w:w w:val="100"/>
        </w:rPr>
        <w:t>mm</w:t>
      </w:r>
      <w:r>
        <w:rPr>
          <w:rFonts w:ascii="Times New Roman" w:eastAsia="Times New Roman"/>
          <w:spacing w:val="0"/>
          <w:w w:val="100"/>
        </w:rPr>
        <w:t>/</w:t>
      </w:r>
      <w:r>
        <w:rPr>
          <w:rFonts w:ascii="Times New Roman" w:eastAsia="Times New Roman"/>
          <w:spacing w:val="-2"/>
          <w:w w:val="100"/>
        </w:rPr>
        <w:t>L</w:t>
      </w:r>
      <w:r>
        <w:rPr>
          <w:rFonts w:ascii="Times New Roman" w:eastAsia="Times New Roman"/>
          <w:spacing w:val="0"/>
          <w:w w:val="100"/>
        </w:rPr>
        <w:t>/</w:t>
      </w:r>
      <w:r>
        <w:rPr>
          <w:rFonts w:ascii="Times New Roman" w:eastAsia="Times New Roman"/>
          <w:spacing w:val="-2"/>
          <w:w w:val="100"/>
        </w:rPr>
        <w:t>mi</w:t>
      </w:r>
      <w:r>
        <w:rPr>
          <w:rFonts w:ascii="Times New Roman" w:eastAsia="Times New Roman"/>
          <w:w w:val="100"/>
        </w:rPr>
        <w:t>n</w:t>
      </w:r>
      <w:r>
        <w:rPr>
          <w:w w:val="100"/>
        </w:rPr>
        <w:t>（</w:t>
      </w:r>
      <w:r>
        <w:rPr>
          <w:rFonts w:ascii="Times New Roman" w:eastAsia="Times New Roman"/>
          <w:spacing w:val="-17"/>
          <w:w w:val="100"/>
        </w:rPr>
        <w:t>W</w:t>
      </w:r>
      <w:r>
        <w:rPr>
          <w:rFonts w:ascii="Times New Roman" w:eastAsia="Times New Roman"/>
          <w:w w:val="100"/>
        </w:rPr>
        <w:t>ood</w:t>
      </w:r>
      <w:r>
        <w:rPr>
          <w:rFonts w:ascii="Times New Roman" w:eastAsia="Times New Roman"/>
          <w:spacing w:val="-3"/>
        </w:rPr>
        <w:t> </w:t>
      </w:r>
      <w:r>
        <w:rPr>
          <w:spacing w:val="-2"/>
          <w:w w:val="100"/>
        </w:rPr>
        <w:t>单位</w:t>
      </w:r>
      <w:r>
        <w:rPr>
          <w:spacing w:val="-106"/>
          <w:w w:val="100"/>
        </w:rPr>
        <w:t>）</w:t>
      </w:r>
      <w:r>
        <w:rPr>
          <w:w w:val="100"/>
        </w:rPr>
        <w:t>；</w:t>
      </w:r>
    </w:p>
    <w:p>
      <w:pPr>
        <w:pStyle w:val="BodyText"/>
        <w:spacing w:before="21"/>
      </w:pPr>
      <w:r>
        <w:rPr/>
        <w:t>（</w:t>
      </w:r>
      <w:r>
        <w:rPr>
          <w:rFonts w:ascii="Times New Roman" w:eastAsia="Times New Roman"/>
        </w:rPr>
        <w:t>3</w:t>
      </w:r>
      <w:r>
        <w:rPr/>
        <w:t>）正常肺微血管楔压低于 </w:t>
      </w:r>
      <w:r>
        <w:rPr>
          <w:rFonts w:ascii="Times New Roman" w:eastAsia="Times New Roman"/>
        </w:rPr>
        <w:t>15mmHg</w:t>
      </w:r>
      <w:r>
        <w:rPr/>
        <w:t>；</w:t>
      </w:r>
    </w:p>
    <w:p>
      <w:pPr>
        <w:pStyle w:val="BodyText"/>
        <w:spacing w:line="273" w:lineRule="auto" w:before="21"/>
        <w:ind w:right="179"/>
      </w:pPr>
      <w:r>
        <w:rPr>
          <w:spacing w:val="-4"/>
          <w:shd w:fill="D9D9D9" w:color="auto" w:val="clear"/>
        </w:rPr>
        <w:t>本公司承担本项疾病责任不受本合同责任免除中“遗传性疾病，先天性畸形、</w:t>
      </w:r>
      <w:r>
        <w:rPr>
          <w:spacing w:val="-209"/>
          <w:shd w:fill="D9D9D9" w:color="auto" w:val="clear"/>
        </w:rPr>
        <w:t>变</w:t>
      </w:r>
      <w:r>
        <w:rPr>
          <w:spacing w:val="-3"/>
          <w:shd w:fill="D9D9D9" w:color="auto" w:val="clear"/>
        </w:rPr>
        <w:t>形或染色体异常”的限制。</w:t>
      </w:r>
    </w:p>
    <w:p>
      <w:pPr>
        <w:pStyle w:val="BodyText"/>
        <w:spacing w:before="5"/>
        <w:ind w:left="0"/>
        <w:rPr>
          <w:sz w:val="24"/>
        </w:rPr>
      </w:pPr>
    </w:p>
    <w:p>
      <w:pPr>
        <w:pStyle w:val="Heading2"/>
      </w:pPr>
      <w:r>
        <w:rPr/>
        <w:t>（五十一）严重肌营养不良症</w:t>
      </w:r>
    </w:p>
    <w:p>
      <w:pPr>
        <w:pStyle w:val="BodyText"/>
        <w:spacing w:line="273" w:lineRule="auto"/>
        <w:ind w:right="187"/>
      </w:pPr>
      <w:r>
        <w:rPr/>
        <w:t>指一组原发于肌肉的遗传性疾病，临床表现为与神经系统无关的肌肉无力和肌肉萎缩。须满足下列全部条件：</w:t>
      </w:r>
    </w:p>
    <w:p>
      <w:pPr>
        <w:pStyle w:val="BodyText"/>
        <w:spacing w:before="8"/>
      </w:pPr>
      <w:r>
        <w:rPr/>
        <w:t>（</w:t>
      </w:r>
      <w:r>
        <w:rPr>
          <w:rFonts w:ascii="Times New Roman" w:eastAsia="Times New Roman"/>
        </w:rPr>
        <w:t>1</w:t>
      </w:r>
      <w:r>
        <w:rPr/>
        <w:t>）肌肉组织活检结果满足肌营养不良症的肌肉细胞变性、坏死等阳性改变；</w:t>
      </w:r>
    </w:p>
    <w:p>
      <w:pPr>
        <w:pStyle w:val="BodyText"/>
        <w:spacing w:line="256" w:lineRule="auto" w:before="21"/>
        <w:ind w:right="220"/>
      </w:pPr>
      <w:r>
        <w:rPr/>
        <w:t>（</w:t>
      </w:r>
      <w:r>
        <w:rPr>
          <w:rFonts w:ascii="Times New Roman" w:eastAsia="Times New Roman"/>
        </w:rPr>
        <w:t>2</w:t>
      </w:r>
      <w:r>
        <w:rPr/>
        <w:t>）自主生活能力严重丧失，无法独立完成六项基本日常生活活动中的三项或三项以上。</w:t>
      </w:r>
    </w:p>
    <w:p>
      <w:pPr>
        <w:pStyle w:val="BodyText"/>
        <w:spacing w:line="273" w:lineRule="auto" w:before="22"/>
        <w:ind w:right="179"/>
      </w:pPr>
      <w:r>
        <w:rPr>
          <w:spacing w:val="-4"/>
          <w:shd w:fill="D9D9D9" w:color="auto" w:val="clear"/>
        </w:rPr>
        <w:t>本公司承担本项疾病责任不受本合同责任免除中“遗传性疾病，先天性畸形、</w:t>
      </w:r>
      <w:r>
        <w:rPr>
          <w:spacing w:val="-209"/>
          <w:shd w:fill="D9D9D9" w:color="auto" w:val="clear"/>
        </w:rPr>
        <w:t>变</w:t>
      </w:r>
      <w:r>
        <w:rPr>
          <w:spacing w:val="-3"/>
          <w:shd w:fill="D9D9D9" w:color="auto" w:val="clear"/>
        </w:rPr>
        <w:t>形或染色体异常”的限制。</w:t>
      </w:r>
    </w:p>
    <w:p>
      <w:pPr>
        <w:pStyle w:val="BodyText"/>
        <w:spacing w:before="5"/>
        <w:ind w:left="0"/>
        <w:rPr>
          <w:sz w:val="24"/>
        </w:rPr>
      </w:pPr>
    </w:p>
    <w:p>
      <w:pPr>
        <w:pStyle w:val="Heading2"/>
        <w:spacing w:before="1"/>
      </w:pPr>
      <w:r>
        <w:rPr/>
        <w:t>（五十二）进行性核上性麻痹</w:t>
      </w:r>
    </w:p>
    <w:p>
      <w:pPr>
        <w:pStyle w:val="BodyText"/>
      </w:pPr>
      <w:r>
        <w:rPr/>
        <w:t>一种隐袭起病、逐渐加重的神经系统变性疾病。本疾病必须由本公司认可的医</w:t>
      </w:r>
    </w:p>
    <w:p>
      <w:pPr>
        <w:spacing w:after="0"/>
        <w:sectPr>
          <w:pgSz w:w="11910" w:h="16840"/>
          <w:pgMar w:top="1080" w:bottom="280" w:left="1680" w:right="800"/>
        </w:sectPr>
      </w:pPr>
    </w:p>
    <w:p>
      <w:pPr>
        <w:pStyle w:val="BodyText"/>
        <w:spacing w:before="22"/>
        <w:jc w:val="both"/>
      </w:pPr>
      <w:r>
        <w:rPr/>
        <w:t>院的神经科专科医生确诊，并须满足下列所有条件：</w:t>
      </w:r>
    </w:p>
    <w:p>
      <w:pPr>
        <w:pStyle w:val="BodyText"/>
        <w:jc w:val="both"/>
      </w:pPr>
      <w:r>
        <w:rPr/>
        <w:t>（</w:t>
      </w:r>
      <w:r>
        <w:rPr>
          <w:rFonts w:ascii="Times New Roman" w:eastAsia="Times New Roman"/>
        </w:rPr>
        <w:t>1</w:t>
      </w:r>
      <w:r>
        <w:rPr/>
        <w:t>）步态共济失调；</w:t>
      </w:r>
    </w:p>
    <w:p>
      <w:pPr>
        <w:pStyle w:val="BodyText"/>
        <w:spacing w:before="20"/>
        <w:jc w:val="both"/>
      </w:pPr>
      <w:r>
        <w:rPr/>
        <w:t>（</w:t>
      </w:r>
      <w:r>
        <w:rPr>
          <w:rFonts w:ascii="Times New Roman" w:eastAsia="Times New Roman"/>
        </w:rPr>
        <w:t>2</w:t>
      </w:r>
      <w:r>
        <w:rPr/>
        <w:t>）对称性眼球垂直运动障碍；</w:t>
      </w:r>
    </w:p>
    <w:p>
      <w:pPr>
        <w:pStyle w:val="BodyText"/>
        <w:spacing w:before="20"/>
        <w:jc w:val="both"/>
      </w:pPr>
      <w:r>
        <w:rPr/>
        <w:t>（</w:t>
      </w:r>
      <w:r>
        <w:rPr>
          <w:rFonts w:ascii="Times New Roman" w:eastAsia="Times New Roman"/>
        </w:rPr>
        <w:t>3</w:t>
      </w:r>
      <w:r>
        <w:rPr/>
        <w:t>）假性球麻痹，表现为构音障碍和吞咽困难。</w:t>
      </w:r>
    </w:p>
    <w:p>
      <w:pPr>
        <w:pStyle w:val="BodyText"/>
        <w:spacing w:before="5"/>
        <w:ind w:left="0"/>
        <w:rPr>
          <w:sz w:val="25"/>
        </w:rPr>
      </w:pPr>
    </w:p>
    <w:p>
      <w:pPr>
        <w:pStyle w:val="Heading2"/>
        <w:jc w:val="both"/>
      </w:pPr>
      <w:r>
        <w:rPr/>
        <w:t>（五十三）严重瑞氏综合征</w:t>
      </w:r>
    </w:p>
    <w:p>
      <w:pPr>
        <w:pStyle w:val="BodyText"/>
        <w:spacing w:line="273" w:lineRule="auto" w:before="36"/>
        <w:ind w:right="99"/>
        <w:jc w:val="both"/>
      </w:pPr>
      <w:r>
        <w:rPr>
          <w:spacing w:val="-4"/>
        </w:rPr>
        <w:t>瑞氏综合征是线粒体功能障碍性疾病。导致脂肪代谢障碍，引起短链脂肪酸、</w:t>
      </w:r>
      <w:r>
        <w:rPr>
          <w:spacing w:val="-8"/>
        </w:rPr>
        <w:t>血氨升高，造成脑水肿。主要临床表现为急性发热、反复呕吐、惊厥及意识障</w:t>
      </w:r>
      <w:r>
        <w:rPr>
          <w:spacing w:val="-9"/>
        </w:rPr>
        <w:t>碍等等。肝脏活检是确诊的重要手段。瑞氏综合征需由三级医院的儿科专科医</w:t>
      </w:r>
      <w:r>
        <w:rPr>
          <w:spacing w:val="-5"/>
        </w:rPr>
        <w:t>生确诊，并符合下列所有条件：</w:t>
      </w:r>
    </w:p>
    <w:p>
      <w:pPr>
        <w:pStyle w:val="BodyText"/>
        <w:spacing w:before="7"/>
        <w:jc w:val="both"/>
      </w:pPr>
      <w:r>
        <w:rPr/>
        <w:t>（</w:t>
      </w:r>
      <w:r>
        <w:rPr>
          <w:rFonts w:ascii="Times New Roman" w:eastAsia="Times New Roman"/>
        </w:rPr>
        <w:t>1</w:t>
      </w:r>
      <w:r>
        <w:rPr/>
        <w:t>）有脑水肿和颅内压升高的脑脊液检查和影像学检查证据；</w:t>
      </w:r>
    </w:p>
    <w:p>
      <w:pPr>
        <w:pStyle w:val="BodyText"/>
        <w:spacing w:before="21"/>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before="21"/>
        <w:jc w:val="both"/>
      </w:pPr>
      <w:r>
        <w:rPr/>
        <w:t>（</w:t>
      </w:r>
      <w:r>
        <w:rPr>
          <w:rFonts w:ascii="Times New Roman" w:eastAsia="Times New Roman"/>
        </w:rPr>
        <w:t>3</w:t>
      </w:r>
      <w:r>
        <w:rPr/>
        <w:t>）临床出现昏迷，病程至少达到疾病分期第 </w:t>
      </w:r>
      <w:r>
        <w:rPr>
          <w:rFonts w:ascii="Times New Roman" w:eastAsia="Times New Roman"/>
        </w:rPr>
        <w:t>3 </w:t>
      </w:r>
      <w:r>
        <w:rPr/>
        <w:t>期。</w:t>
      </w:r>
    </w:p>
    <w:p>
      <w:pPr>
        <w:pStyle w:val="BodyText"/>
        <w:spacing w:before="5"/>
        <w:ind w:left="0"/>
        <w:rPr>
          <w:sz w:val="25"/>
        </w:rPr>
      </w:pPr>
    </w:p>
    <w:p>
      <w:pPr>
        <w:pStyle w:val="Heading2"/>
        <w:jc w:val="both"/>
      </w:pPr>
      <w:r>
        <w:rPr/>
        <w:t>（五十四）肾上腺脑白质营养不良</w:t>
      </w:r>
    </w:p>
    <w:p>
      <w:pPr>
        <w:pStyle w:val="BodyText"/>
        <w:spacing w:line="273" w:lineRule="auto" w:before="36"/>
        <w:ind w:right="135"/>
        <w:jc w:val="both"/>
      </w:pPr>
      <w:r>
        <w:rPr>
          <w:spacing w:val="-6"/>
        </w:rPr>
        <w:t>指一种最常见的过氧化物酶体病，主要累及肾上腺和脑白质，主要表现为进行性的精神运动障碍，视力及听力下降和</w:t>
      </w:r>
      <w:r>
        <w:rPr>
          <w:spacing w:val="-3"/>
        </w:rPr>
        <w:t>（</w:t>
      </w:r>
      <w:r>
        <w:rPr/>
        <w:t>或</w:t>
      </w:r>
      <w:r>
        <w:rPr>
          <w:spacing w:val="-10"/>
        </w:rPr>
        <w:t>）</w:t>
      </w:r>
      <w:r>
        <w:rPr>
          <w:spacing w:val="-4"/>
        </w:rPr>
        <w:t>肾上腺皮质功能低下等。须经专</w:t>
      </w:r>
      <w:r>
        <w:rPr>
          <w:spacing w:val="-7"/>
        </w:rPr>
        <w:t>科医生诊断，且已经造成自主生活能力完全丧失，无法独立完成六项基本日常生活活动中的三项或三项以上，持续至少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line="264" w:lineRule="exact" w:before="0"/>
      </w:pPr>
      <w:r>
        <w:rPr>
          <w:shd w:fill="D9D9D9" w:color="auto" w:val="clear"/>
        </w:rPr>
        <w:t>被保险人申请理赔时年龄必须在 3 周岁以上。</w:t>
      </w:r>
      <w:r>
        <w:rPr/>
        <w:t> </w:t>
      </w:r>
    </w:p>
    <w:p>
      <w:pPr>
        <w:pStyle w:val="BodyText"/>
        <w:spacing w:before="9"/>
        <w:ind w:left="0"/>
        <w:rPr>
          <w:sz w:val="26"/>
        </w:rPr>
      </w:pPr>
    </w:p>
    <w:p>
      <w:pPr>
        <w:pStyle w:val="Heading2"/>
      </w:pPr>
      <w:r>
        <w:rPr/>
        <w:t>（五十五）破裂脑动脉瘤夹闭手术</w:t>
      </w:r>
    </w:p>
    <w:p>
      <w:pPr>
        <w:pStyle w:val="BodyText"/>
        <w:spacing w:line="273" w:lineRule="auto"/>
        <w:ind w:right="90"/>
      </w:pPr>
      <w:r>
        <w:rPr/>
        <w:t>指因脑动脉瘤破裂造成蛛网膜下腔出血，被保险人实际接受了在全麻下进行的开颅动脉夹闭手术。</w:t>
      </w:r>
    </w:p>
    <w:p>
      <w:pPr>
        <w:pStyle w:val="BodyText"/>
        <w:spacing w:line="273" w:lineRule="auto" w:before="8"/>
        <w:ind w:right="135"/>
      </w:pPr>
      <w:r>
        <w:rPr>
          <w:spacing w:val="-3"/>
          <w:shd w:fill="D9D9D9" w:color="auto" w:val="clear"/>
        </w:rPr>
        <w:t>脑动脉瘤（</w:t>
      </w:r>
      <w:r>
        <w:rPr>
          <w:spacing w:val="-2"/>
          <w:shd w:fill="D9D9D9" w:color="auto" w:val="clear"/>
        </w:rPr>
        <w:t>未破裂</w:t>
      </w:r>
      <w:r>
        <w:rPr>
          <w:spacing w:val="-10"/>
          <w:shd w:fill="D9D9D9" w:color="auto" w:val="clear"/>
        </w:rPr>
        <w:t>）</w:t>
      </w:r>
      <w:r>
        <w:rPr>
          <w:spacing w:val="-6"/>
          <w:shd w:fill="D9D9D9" w:color="auto" w:val="clear"/>
        </w:rPr>
        <w:t>预防性手术、颅骨打孔手术、动脉瘤栓塞手术、血管内手</w:t>
      </w:r>
      <w:r>
        <w:rPr>
          <w:spacing w:val="-207"/>
          <w:shd w:fill="D9D9D9" w:color="auto" w:val="clear"/>
        </w:rPr>
        <w:t>术</w:t>
      </w:r>
      <w:r>
        <w:rPr>
          <w:spacing w:val="-3"/>
          <w:shd w:fill="D9D9D9" w:color="auto" w:val="clear"/>
        </w:rPr>
        <w:t>及其他颅脑手术不在本保障范围内。</w:t>
      </w:r>
    </w:p>
    <w:p>
      <w:pPr>
        <w:pStyle w:val="BodyText"/>
        <w:spacing w:before="5"/>
        <w:ind w:left="0"/>
        <w:rPr>
          <w:sz w:val="24"/>
        </w:rPr>
      </w:pPr>
    </w:p>
    <w:p>
      <w:pPr>
        <w:pStyle w:val="Heading2"/>
        <w:spacing w:before="1"/>
      </w:pPr>
      <w:r>
        <w:rPr/>
        <w:t>（五十六）原发性心肌病</w:t>
      </w:r>
    </w:p>
    <w:p>
      <w:pPr>
        <w:pStyle w:val="BodyText"/>
        <w:spacing w:line="273" w:lineRule="auto"/>
        <w:ind w:right="135"/>
        <w:jc w:val="both"/>
      </w:pPr>
      <w:r>
        <w:rPr>
          <w:spacing w:val="-6"/>
        </w:rPr>
        <w:t>指不明原因引起的一类心肌病变，包括原发性扩张型心肌病、原发性肥厚型心</w:t>
      </w:r>
      <w:r>
        <w:rPr>
          <w:spacing w:val="-7"/>
        </w:rPr>
        <w:t>肌病及原发性限制型心肌病三种，病变必须已造成事实上心室功能障碍而出现</w:t>
      </w:r>
      <w:r>
        <w:rPr>
          <w:spacing w:val="-7"/>
          <w:w w:val="100"/>
        </w:rPr>
        <w:t>明显的心功能衰竭</w:t>
      </w:r>
      <w:r>
        <w:rPr>
          <w:w w:val="100"/>
        </w:rPr>
        <w:t>（</w:t>
      </w:r>
      <w:r>
        <w:rPr>
          <w:spacing w:val="-3"/>
          <w:w w:val="100"/>
        </w:rPr>
        <w:t>美国纽约心脏病学会心功能状态分级达</w:t>
      </w:r>
      <w:r>
        <w:rPr>
          <w:spacing w:val="-3"/>
        </w:rPr>
        <w:t> </w:t>
      </w:r>
      <w:r>
        <w:rPr>
          <w:spacing w:val="-3"/>
          <w:w w:val="100"/>
        </w:rPr>
        <w:t>I</w:t>
      </w:r>
      <w:r>
        <w:rPr>
          <w:w w:val="100"/>
        </w:rPr>
        <w:t>V</w:t>
      </w:r>
      <w:r>
        <w:rPr>
          <w:spacing w:val="-53"/>
        </w:rPr>
        <w:t> </w:t>
      </w:r>
      <w:r>
        <w:rPr>
          <w:w w:val="100"/>
        </w:rPr>
        <w:t>级</w:t>
      </w:r>
      <w:r>
        <w:rPr>
          <w:spacing w:val="-108"/>
          <w:w w:val="100"/>
        </w:rPr>
        <w:t>）</w:t>
      </w:r>
      <w:r>
        <w:rPr>
          <w:spacing w:val="-6"/>
          <w:w w:val="100"/>
        </w:rPr>
        <w:t>，且有相关</w:t>
      </w:r>
      <w:r>
        <w:rPr>
          <w:spacing w:val="-9"/>
        </w:rPr>
        <w:t>住院医疗记录显示 </w:t>
      </w:r>
      <w:r>
        <w:rPr/>
        <w:t>IV</w:t>
      </w:r>
      <w:r>
        <w:rPr>
          <w:spacing w:val="-12"/>
        </w:rPr>
        <w:t> 级心功能衰竭状态持续至少 </w:t>
      </w:r>
      <w:r>
        <w:rPr>
          <w:rFonts w:ascii="Times New Roman" w:eastAsia="Times New Roman"/>
        </w:rPr>
        <w:t>180 </w:t>
      </w:r>
      <w:r>
        <w:rPr/>
        <w:t>天。</w:t>
      </w:r>
    </w:p>
    <w:p>
      <w:pPr>
        <w:pStyle w:val="BodyText"/>
        <w:spacing w:line="273" w:lineRule="auto" w:before="0"/>
        <w:ind w:right="107"/>
      </w:pPr>
      <w:r>
        <w:rPr>
          <w:shd w:fill="D9D9D9" w:color="auto" w:val="clear"/>
        </w:rPr>
        <w:t>本病须经专科医生明确诊断。继发于全身性疾病或其它器官系统疾病造成的心肌病变除外。</w:t>
      </w:r>
    </w:p>
    <w:p>
      <w:pPr>
        <w:pStyle w:val="BodyText"/>
        <w:spacing w:before="4"/>
        <w:ind w:left="0"/>
        <w:rPr>
          <w:sz w:val="25"/>
        </w:rPr>
      </w:pPr>
    </w:p>
    <w:p>
      <w:pPr>
        <w:pStyle w:val="Heading2"/>
      </w:pPr>
      <w:r>
        <w:rPr/>
        <w:t>（五十七）严重类风湿性关节炎</w:t>
      </w:r>
    </w:p>
    <w:p>
      <w:pPr>
        <w:pStyle w:val="BodyText"/>
        <w:spacing w:line="273" w:lineRule="auto"/>
        <w:ind w:right="99"/>
        <w:jc w:val="both"/>
      </w:pPr>
      <w:r>
        <w:rPr>
          <w:spacing w:val="-4"/>
        </w:rPr>
        <w:t>类风湿性关节炎为广泛分布的慢性进行性多关节病变，表现为关节严重变形， </w:t>
      </w:r>
      <w:r>
        <w:rPr>
          <w:spacing w:val="-3"/>
        </w:rPr>
        <w:t>侵犯至少三个主要关节或关节组</w:t>
      </w:r>
      <w:r>
        <w:rPr/>
        <w:t>（</w:t>
      </w:r>
      <w:r>
        <w:rPr>
          <w:spacing w:val="-3"/>
        </w:rPr>
        <w:t>如：双手（</w:t>
      </w:r>
      <w:r>
        <w:rPr>
          <w:spacing w:val="-2"/>
        </w:rPr>
        <w:t>多手指</w:t>
      </w:r>
      <w:r>
        <w:rPr/>
        <w:t>）</w:t>
      </w:r>
      <w:r>
        <w:rPr>
          <w:spacing w:val="-3"/>
        </w:rPr>
        <w:t>关节、双足</w:t>
      </w:r>
      <w:r>
        <w:rPr/>
        <w:t>（</w:t>
      </w:r>
      <w:r>
        <w:rPr>
          <w:spacing w:val="-3"/>
        </w:rPr>
        <w:t>多足趾</w:t>
      </w:r>
      <w:r>
        <w:rPr/>
        <w:t>） 关节、双腕关节、双膝关节和双髋关节</w:t>
      </w:r>
      <w:r>
        <w:rPr>
          <w:spacing w:val="-106"/>
        </w:rPr>
        <w:t>）</w:t>
      </w:r>
      <w:r>
        <w:rPr/>
        <w:t>。类风湿性关节炎必须明确诊断并且</w:t>
      </w:r>
      <w:r>
        <w:rPr>
          <w:spacing w:val="-3"/>
        </w:rPr>
        <w:t>已经达到类风湿性关节炎功能分级Ⅲ级以上的功能障碍（</w:t>
      </w:r>
      <w:r>
        <w:rPr>
          <w:spacing w:val="-4"/>
        </w:rPr>
        <w:t>关节活动严重限制， </w:t>
      </w:r>
      <w:r>
        <w:rPr>
          <w:spacing w:val="-3"/>
        </w:rPr>
        <w:t>不能完成大部分的日常工作和活动）并且满足下列全部条件：</w:t>
      </w:r>
    </w:p>
    <w:p>
      <w:pPr>
        <w:pStyle w:val="BodyText"/>
        <w:spacing w:before="8"/>
        <w:jc w:val="both"/>
      </w:pPr>
      <w:r>
        <w:rPr/>
        <w:t>（</w:t>
      </w:r>
      <w:r>
        <w:rPr>
          <w:rFonts w:ascii="Times New Roman" w:eastAsia="Times New Roman"/>
        </w:rPr>
        <w:t>1</w:t>
      </w:r>
      <w:r>
        <w:rPr/>
        <w:t>）晨僵；</w:t>
      </w:r>
    </w:p>
    <w:p>
      <w:pPr>
        <w:pStyle w:val="BodyText"/>
        <w:spacing w:before="21"/>
        <w:jc w:val="both"/>
      </w:pPr>
      <w:r>
        <w:rPr/>
        <w:t>（</w:t>
      </w:r>
      <w:r>
        <w:rPr>
          <w:rFonts w:ascii="Times New Roman" w:eastAsia="Times New Roman"/>
        </w:rPr>
        <w:t>2</w:t>
      </w:r>
      <w:r>
        <w:rPr/>
        <w:t>）对称性关节炎；</w:t>
      </w:r>
    </w:p>
    <w:p>
      <w:pPr>
        <w:pStyle w:val="BodyText"/>
        <w:spacing w:before="21"/>
        <w:jc w:val="both"/>
      </w:pPr>
      <w:r>
        <w:rPr/>
        <w:t>（</w:t>
      </w:r>
      <w:r>
        <w:rPr>
          <w:rFonts w:ascii="Times New Roman" w:eastAsia="Times New Roman"/>
        </w:rPr>
        <w:t>3</w:t>
      </w:r>
      <w:r>
        <w:rPr/>
        <w:t>）类风湿性皮下结节；</w:t>
      </w:r>
    </w:p>
    <w:p>
      <w:pPr>
        <w:pStyle w:val="BodyText"/>
        <w:spacing w:before="22"/>
        <w:jc w:val="both"/>
      </w:pPr>
      <w:r>
        <w:rPr/>
        <w:t>（</w:t>
      </w:r>
      <w:r>
        <w:rPr>
          <w:rFonts w:ascii="Times New Roman" w:eastAsia="Times New Roman"/>
        </w:rPr>
        <w:t>4</w:t>
      </w:r>
      <w:r>
        <w:rPr/>
        <w:t>）类风湿因子滴度升高。</w:t>
      </w:r>
    </w:p>
    <w:p>
      <w:pPr>
        <w:spacing w:after="0"/>
        <w:jc w:val="both"/>
        <w:sectPr>
          <w:pgSz w:w="11910" w:h="16840"/>
          <w:pgMar w:top="1080" w:bottom="280" w:left="1680" w:right="880"/>
        </w:sectPr>
      </w:pPr>
    </w:p>
    <w:p>
      <w:pPr>
        <w:pStyle w:val="Heading2"/>
        <w:spacing w:before="22"/>
      </w:pPr>
      <w:r>
        <w:rPr/>
        <w:t>（五十八）冠状动脉粥样斑块切除术</w:t>
      </w:r>
    </w:p>
    <w:p>
      <w:pPr>
        <w:pStyle w:val="BodyText"/>
        <w:spacing w:line="261" w:lineRule="auto"/>
        <w:ind w:right="116"/>
        <w:jc w:val="both"/>
      </w:pPr>
      <w:r>
        <w:rPr/>
        <w:t>是指有心绞痛等心脏不适症状，经过血管造影技术检查证实同时存在两支</w:t>
      </w:r>
      <w:r>
        <w:rPr>
          <w:rFonts w:ascii="Times New Roman" w:eastAsia="Times New Roman"/>
        </w:rPr>
        <w:t>(</w:t>
      </w:r>
      <w:r>
        <w:rPr/>
        <w:t>其中一支为左冠状动脉主干、左前降支或左回旋支</w:t>
      </w:r>
      <w:r>
        <w:rPr>
          <w:rFonts w:ascii="Times New Roman" w:eastAsia="Times New Roman"/>
        </w:rPr>
        <w:t>)</w:t>
      </w:r>
      <w:r>
        <w:rPr/>
        <w:t>或更多支的冠状动脉血管发</w:t>
      </w:r>
      <w:r>
        <w:rPr>
          <w:spacing w:val="-2"/>
          <w:w w:val="100"/>
        </w:rPr>
        <w:t>生严重的狭窄</w:t>
      </w:r>
      <w:r>
        <w:rPr>
          <w:spacing w:val="-3"/>
          <w:w w:val="100"/>
        </w:rPr>
        <w:t>（狭窄程度在</w:t>
      </w:r>
      <w:r>
        <w:rPr>
          <w:spacing w:val="-3"/>
        </w:rPr>
        <w:t> </w:t>
      </w:r>
      <w:r>
        <w:rPr>
          <w:rFonts w:ascii="Times New Roman" w:eastAsia="Times New Roman"/>
          <w:w w:val="100"/>
        </w:rPr>
        <w:t>70</w:t>
      </w:r>
      <w:r>
        <w:rPr>
          <w:rFonts w:ascii="Times New Roman" w:eastAsia="Times New Roman"/>
          <w:spacing w:val="-1"/>
          <w:w w:val="100"/>
        </w:rPr>
        <w:t>%</w:t>
      </w:r>
      <w:r>
        <w:rPr>
          <w:spacing w:val="-2"/>
          <w:w w:val="100"/>
        </w:rPr>
        <w:t>以上</w:t>
      </w:r>
      <w:r>
        <w:rPr>
          <w:spacing w:val="-106"/>
          <w:w w:val="100"/>
        </w:rPr>
        <w:t>）</w:t>
      </w:r>
      <w:r>
        <w:rPr>
          <w:spacing w:val="-4"/>
          <w:w w:val="100"/>
        </w:rPr>
        <w:t>，需要并且已实施冠状动脉粥样斑块切</w:t>
      </w:r>
      <w:r>
        <w:rPr>
          <w:spacing w:val="-6"/>
        </w:rPr>
        <w:t>除术以改善血管的血流状况。索赔时必须提供血管造影的影像资料、报告、手</w:t>
      </w:r>
      <w:r>
        <w:rPr>
          <w:spacing w:val="-4"/>
        </w:rPr>
        <w:t>术记录和病历。</w:t>
      </w:r>
    </w:p>
    <w:p>
      <w:pPr>
        <w:pStyle w:val="Heading2"/>
        <w:spacing w:before="17"/>
      </w:pPr>
      <w:r>
        <w:rPr>
          <w:w w:val="99"/>
        </w:rPr>
        <w:t> </w:t>
      </w:r>
    </w:p>
    <w:p>
      <w:pPr>
        <w:spacing w:before="36"/>
        <w:ind w:left="2101" w:right="0" w:firstLine="0"/>
        <w:jc w:val="left"/>
        <w:rPr>
          <w:b/>
          <w:sz w:val="21"/>
        </w:rPr>
      </w:pPr>
      <w:r>
        <w:rPr>
          <w:b/>
          <w:sz w:val="21"/>
        </w:rPr>
        <w:t>（五十九）肺源性心脏病</w:t>
      </w:r>
      <w:r>
        <w:rPr>
          <w:b/>
          <w:w w:val="99"/>
          <w:sz w:val="21"/>
        </w:rPr>
        <w:t> </w:t>
      </w:r>
    </w:p>
    <w:p>
      <w:pPr>
        <w:pStyle w:val="BodyText"/>
        <w:spacing w:line="273" w:lineRule="auto" w:before="36"/>
        <w:ind w:right="70"/>
      </w:pPr>
      <w:r>
        <w:rPr/>
        <w:t>指由于各种胸肺及支气管病变而继发的肺动脉高压，最后导致以右室肥大为特征的心脏病。须经呼吸专科医生确诊，且必须同时满足如下诊断标准：</w:t>
      </w:r>
    </w:p>
    <w:p>
      <w:pPr>
        <w:pStyle w:val="BodyText"/>
        <w:spacing w:before="7"/>
        <w:jc w:val="both"/>
      </w:pPr>
      <w:r>
        <w:rPr>
          <w:w w:val="100"/>
        </w:rPr>
        <w:t>（</w:t>
      </w:r>
      <w:r>
        <w:rPr>
          <w:rFonts w:ascii="Times New Roman" w:eastAsia="Times New Roman"/>
          <w:w w:val="100"/>
        </w:rPr>
        <w:t>1</w:t>
      </w:r>
      <w:r>
        <w:rPr>
          <w:spacing w:val="-3"/>
          <w:w w:val="100"/>
        </w:rPr>
        <w:t>）左心房压力增高（</w:t>
      </w:r>
      <w:r>
        <w:rPr>
          <w:spacing w:val="-2"/>
          <w:w w:val="100"/>
        </w:rPr>
        <w:t>不低于</w:t>
      </w:r>
      <w:r>
        <w:rPr>
          <w:spacing w:val="-53"/>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1"/>
        <w:jc w:val="both"/>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rFonts w:ascii="Times New Roman" w:eastAsia="Times New Roman"/>
          <w:spacing w:val="-1"/>
          <w:w w:val="100"/>
        </w:rPr>
        <w:t>Pul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Re</w:t>
      </w:r>
      <w:r>
        <w:rPr>
          <w:rFonts w:ascii="Times New Roman" w:eastAsia="Times New Roman"/>
          <w:spacing w:val="-1"/>
          <w:w w:val="100"/>
        </w:rPr>
        <w:t>s</w:t>
      </w:r>
      <w:r>
        <w:rPr>
          <w:rFonts w:ascii="Times New Roman" w:eastAsia="Times New Roman"/>
          <w:spacing w:val="-2"/>
          <w:w w:val="100"/>
        </w:rPr>
        <w:t>i</w:t>
      </w:r>
      <w:r>
        <w:rPr>
          <w:rFonts w:ascii="Times New Roman" w:eastAsia="Times New Roman"/>
          <w:spacing w:val="-1"/>
          <w:w w:val="100"/>
        </w:rPr>
        <w:t>s</w:t>
      </w:r>
      <w:r>
        <w:rPr>
          <w:rFonts w:ascii="Times New Roman" w:eastAsia="Times New Roman"/>
          <w:spacing w:val="-2"/>
          <w:w w:val="100"/>
        </w:rPr>
        <w:t>t</w:t>
      </w:r>
      <w:r>
        <w:rPr>
          <w:rFonts w:ascii="Times New Roman" w:eastAsia="Times New Roman"/>
          <w:w w:val="100"/>
        </w:rPr>
        <w:t>ance</w:t>
      </w:r>
      <w:r>
        <w:rPr>
          <w:spacing w:val="-106"/>
          <w:w w:val="100"/>
        </w:rPr>
        <w:t>）；</w:t>
      </w:r>
    </w:p>
    <w:p>
      <w:pPr>
        <w:pStyle w:val="BodyText"/>
        <w:spacing w:before="21"/>
        <w:jc w:val="both"/>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0"/>
        <w:jc w:val="both"/>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0"/>
        <w:jc w:val="both"/>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0"/>
        <w:jc w:val="both"/>
      </w:pPr>
      <w:r>
        <w:rPr/>
        <w:t>（</w:t>
      </w:r>
      <w:r>
        <w:rPr>
          <w:rFonts w:ascii="Times New Roman" w:eastAsia="Times New Roman"/>
        </w:rPr>
        <w:t>6</w:t>
      </w:r>
      <w:r>
        <w:rPr/>
        <w:t>）右心室过度肥大、扩张，出现右心衰竭和呼吸困难。</w:t>
      </w:r>
    </w:p>
    <w:p>
      <w:pPr>
        <w:pStyle w:val="BodyText"/>
        <w:spacing w:before="5"/>
        <w:ind w:left="0"/>
        <w:rPr>
          <w:sz w:val="25"/>
        </w:rPr>
      </w:pPr>
    </w:p>
    <w:p>
      <w:pPr>
        <w:pStyle w:val="Heading2"/>
        <w:jc w:val="both"/>
      </w:pPr>
      <w:r>
        <w:rPr/>
        <w:t>（六十）主动脉夹层血肿</w:t>
      </w:r>
    </w:p>
    <w:p>
      <w:pPr>
        <w:pStyle w:val="BodyText"/>
        <w:spacing w:line="264" w:lineRule="auto" w:before="36"/>
        <w:ind w:right="113"/>
        <w:jc w:val="both"/>
      </w:pPr>
      <w:r>
        <w:rPr>
          <w:spacing w:val="-5"/>
        </w:rPr>
        <w:t>是指主动脉壁在受到某些病理因素的破坏后，高速、高压的主动脉血流将其内</w:t>
      </w:r>
      <w:r>
        <w:rPr>
          <w:spacing w:val="-8"/>
        </w:rPr>
        <w:t>膜撕裂，以致主动脉腔内的血流通过主动脉内膜的破裂口进入主动脉内壁而形</w:t>
      </w:r>
      <w:r>
        <w:rPr>
          <w:spacing w:val="-5"/>
          <w:w w:val="100"/>
        </w:rPr>
        <w:t>成血肿。被保险人需通过</w:t>
      </w:r>
      <w:r>
        <w:rPr>
          <w:spacing w:val="-5"/>
        </w:rPr>
        <w:t> </w:t>
      </w:r>
      <w:r>
        <w:rPr>
          <w:rFonts w:ascii="Times New Roman" w:eastAsia="Times New Roman"/>
          <w:w w:val="100"/>
        </w:rPr>
        <w:t>X</w:t>
      </w:r>
      <w:r>
        <w:rPr>
          <w:rFonts w:ascii="Times New Roman" w:eastAsia="Times New Roman"/>
          <w:spacing w:val="-3"/>
        </w:rPr>
        <w:t>  </w:t>
      </w:r>
      <w:r>
        <w:rPr>
          <w:spacing w:val="-3"/>
          <w:w w:val="100"/>
        </w:rPr>
        <w:t>线断层扫描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、磁共振扫描（</w:t>
      </w:r>
      <w:r>
        <w:rPr>
          <w:rFonts w:ascii="Times New Roman" w:eastAsia="Times New Roman"/>
          <w:spacing w:val="-1"/>
          <w:w w:val="100"/>
        </w:rPr>
        <w:t>MR</w:t>
      </w:r>
      <w:r>
        <w:rPr>
          <w:rFonts w:ascii="Times New Roman" w:eastAsia="Times New Roman"/>
          <w:spacing w:val="-3"/>
          <w:w w:val="100"/>
        </w:rPr>
        <w:t>I</w:t>
      </w:r>
      <w:r>
        <w:rPr>
          <w:spacing w:val="-106"/>
          <w:w w:val="100"/>
        </w:rPr>
        <w:t>）</w:t>
      </w:r>
      <w:r>
        <w:rPr>
          <w:spacing w:val="-2"/>
          <w:w w:val="100"/>
        </w:rPr>
        <w:t>、磁共振</w:t>
      </w:r>
      <w:r>
        <w:rPr>
          <w:spacing w:val="-10"/>
        </w:rPr>
        <w:t>血管检验法</w:t>
      </w:r>
      <w:r>
        <w:rPr>
          <w:spacing w:val="-8"/>
        </w:rPr>
        <w:t>（</w:t>
      </w:r>
      <w:r>
        <w:rPr>
          <w:rFonts w:ascii="Times New Roman" w:eastAsia="Times New Roman"/>
          <w:spacing w:val="-8"/>
        </w:rPr>
        <w:t>MRA</w:t>
      </w:r>
      <w:r>
        <w:rPr>
          <w:spacing w:val="-8"/>
        </w:rPr>
        <w:t>）</w:t>
      </w:r>
      <w:r>
        <w:rPr>
          <w:spacing w:val="-7"/>
        </w:rPr>
        <w:t>或血管扫描等检查，并且实施了胸腹切开的直视主动脉手术。</w:t>
      </w:r>
    </w:p>
    <w:p>
      <w:pPr>
        <w:pStyle w:val="BodyText"/>
        <w:spacing w:before="0"/>
        <w:ind w:left="0"/>
        <w:rPr>
          <w:sz w:val="25"/>
        </w:rPr>
      </w:pPr>
    </w:p>
    <w:p>
      <w:pPr>
        <w:pStyle w:val="Heading2"/>
      </w:pPr>
      <w:r>
        <w:rPr/>
        <w:t>（六十一）幼年型类风湿性关节炎</w:t>
      </w:r>
    </w:p>
    <w:p>
      <w:pPr>
        <w:pStyle w:val="BodyText"/>
        <w:spacing w:line="273" w:lineRule="auto" w:before="36"/>
        <w:ind w:right="115"/>
        <w:jc w:val="both"/>
      </w:pPr>
      <w:r>
        <w:rPr>
          <w:spacing w:val="-6"/>
        </w:rPr>
        <w:t>一种少儿慢性关节炎，其特征为发热和系统性疾病体征，该体征可能于关节炎</w:t>
      </w:r>
      <w:r>
        <w:rPr>
          <w:spacing w:val="-7"/>
        </w:rPr>
        <w:t>出现之前的数月间持续存在。主要临床症状包括每日发高热、消散性皮疹、关</w:t>
      </w:r>
      <w:r>
        <w:rPr>
          <w:spacing w:val="-9"/>
        </w:rPr>
        <w:t>节炎、脾肿大、淋巴结肿大、浆膜炎、体重下降、中性白细胞增多、急性期蛋</w:t>
      </w:r>
      <w:r>
        <w:rPr>
          <w:spacing w:val="-3"/>
        </w:rPr>
        <w:t>白增加及血清抗核抗体</w:t>
      </w:r>
      <w:r>
        <w:rPr>
          <w:spacing w:val="-1"/>
        </w:rPr>
        <w:t>（</w:t>
      </w:r>
      <w:r>
        <w:rPr>
          <w:rFonts w:ascii="Times New Roman" w:eastAsia="Times New Roman"/>
          <w:spacing w:val="-1"/>
        </w:rPr>
        <w:t>ANA</w:t>
      </w:r>
      <w:r>
        <w:rPr>
          <w:spacing w:val="-1"/>
        </w:rPr>
        <w:t>）</w:t>
      </w:r>
      <w:r>
        <w:rPr>
          <w:spacing w:val="-3"/>
        </w:rPr>
        <w:t>和类风湿因子</w:t>
      </w:r>
      <w:r>
        <w:rPr/>
        <w:t>（</w:t>
      </w:r>
      <w:r>
        <w:rPr>
          <w:rFonts w:ascii="Times New Roman" w:eastAsia="Times New Roman"/>
        </w:rPr>
        <w:t>RF</w:t>
      </w:r>
      <w:r>
        <w:rPr/>
        <w:t>）</w:t>
      </w:r>
      <w:r>
        <w:rPr>
          <w:spacing w:val="-2"/>
        </w:rPr>
        <w:t>阳性。</w:t>
      </w:r>
    </w:p>
    <w:p>
      <w:pPr>
        <w:pStyle w:val="BodyText"/>
        <w:spacing w:line="273" w:lineRule="auto" w:before="0"/>
        <w:ind w:right="120"/>
      </w:pPr>
      <w:r>
        <w:rPr>
          <w:shd w:fill="D9D9D9" w:color="auto" w:val="clear"/>
        </w:rPr>
        <w:t>本合同仅对实际接受了膝关节或髋关节置换手术治疗的严重的幼年型类风湿关节炎予以理赔。</w:t>
      </w:r>
    </w:p>
    <w:p>
      <w:pPr>
        <w:pStyle w:val="BodyText"/>
        <w:spacing w:before="4"/>
        <w:ind w:left="0"/>
        <w:rPr>
          <w:sz w:val="25"/>
        </w:rPr>
      </w:pPr>
    </w:p>
    <w:p>
      <w:pPr>
        <w:pStyle w:val="Heading2"/>
      </w:pPr>
      <w:r>
        <w:rPr/>
        <w:t>（六十二）严重川崎病</w:t>
      </w:r>
    </w:p>
    <w:p>
      <w:pPr>
        <w:pStyle w:val="BodyText"/>
      </w:pPr>
      <w:r>
        <w:rPr/>
        <w:t>是指原因不明的系统性血管炎，并须满足下列全部条件：</w:t>
      </w:r>
    </w:p>
    <w:p>
      <w:pPr>
        <w:pStyle w:val="BodyText"/>
      </w:pPr>
      <w:r>
        <w:rPr/>
        <w:t>（</w:t>
      </w:r>
      <w:r>
        <w:rPr>
          <w:rFonts w:ascii="Times New Roman" w:eastAsia="Times New Roman"/>
        </w:rPr>
        <w:t>1</w:t>
      </w:r>
      <w:r>
        <w:rPr/>
        <w:t>）超声心动图显示川崎病并发冠状动脉瘤或其他心血管异常；</w:t>
      </w:r>
    </w:p>
    <w:p>
      <w:pPr>
        <w:pStyle w:val="BodyText"/>
        <w:spacing w:line="256" w:lineRule="auto" w:before="21"/>
        <w:ind w:right="120"/>
      </w:pPr>
      <w:r>
        <w:rPr/>
        <w:t>（</w:t>
      </w:r>
      <w:r>
        <w:rPr>
          <w:rFonts w:ascii="Times New Roman" w:eastAsia="Times New Roman"/>
        </w:rPr>
        <w:t>2</w:t>
      </w:r>
      <w:r>
        <w:rPr/>
        <w:t>）已接受了针对川崎病并发冠状动脉瘤或其他心血管异常所进行的手术治疗。</w:t>
      </w:r>
    </w:p>
    <w:p>
      <w:pPr>
        <w:pStyle w:val="BodyText"/>
        <w:spacing w:before="7"/>
        <w:ind w:left="0"/>
        <w:rPr>
          <w:sz w:val="25"/>
        </w:rPr>
      </w:pPr>
    </w:p>
    <w:p>
      <w:pPr>
        <w:pStyle w:val="Heading2"/>
      </w:pPr>
      <w:r>
        <w:rPr/>
        <w:t>（六十三）严重心肌炎</w:t>
      </w:r>
    </w:p>
    <w:p>
      <w:pPr>
        <w:pStyle w:val="BodyText"/>
        <w:spacing w:line="273" w:lineRule="auto"/>
        <w:ind w:right="72"/>
      </w:pPr>
      <w:r>
        <w:rPr/>
        <w:t>指心肌局限性或弥漫性的急性或慢性炎症病变，导致心脏功能障碍，达到纽约心脏学会心功能分级状态分级 </w:t>
      </w:r>
      <w:r>
        <w:rPr>
          <w:rFonts w:ascii="Times New Roman" w:eastAsia="Times New Roman"/>
        </w:rPr>
        <w:t>IV </w:t>
      </w:r>
      <w:r>
        <w:rPr/>
        <w:t>级，且需持续至少 </w:t>
      </w:r>
      <w:r>
        <w:rPr>
          <w:rFonts w:ascii="Times New Roman" w:eastAsia="Times New Roman"/>
        </w:rPr>
        <w:t>90 </w:t>
      </w:r>
      <w:r>
        <w:rPr/>
        <w:t>天。</w:t>
      </w:r>
    </w:p>
    <w:p>
      <w:pPr>
        <w:pStyle w:val="BodyText"/>
        <w:spacing w:before="12"/>
        <w:ind w:left="0"/>
        <w:rPr>
          <w:sz w:val="22"/>
        </w:rPr>
      </w:pPr>
    </w:p>
    <w:p>
      <w:pPr>
        <w:pStyle w:val="Heading2"/>
        <w:jc w:val="both"/>
      </w:pPr>
      <w:r>
        <w:rPr/>
        <w:t>（六十四）斯蒂尔病</w:t>
      </w:r>
    </w:p>
    <w:p>
      <w:pPr>
        <w:pStyle w:val="BodyText"/>
        <w:spacing w:before="36"/>
        <w:jc w:val="both"/>
      </w:pPr>
      <w:r>
        <w:rPr/>
        <w:t>斯蒂尔病须满足下列全部条件：</w:t>
      </w:r>
    </w:p>
    <w:p>
      <w:pPr>
        <w:pStyle w:val="BodyText"/>
        <w:spacing w:before="34"/>
        <w:jc w:val="both"/>
      </w:pPr>
      <w:r>
        <w:rPr/>
        <w:t>（</w:t>
      </w:r>
      <w:r>
        <w:rPr>
          <w:rFonts w:ascii="Times New Roman" w:eastAsia="Times New Roman"/>
        </w:rPr>
        <w:t>1</w:t>
      </w:r>
      <w:r>
        <w:rPr/>
        <w:t>）因该病引致广泛性关节破坏，以致需要进行髋及膝关节置换；</w:t>
      </w:r>
    </w:p>
    <w:p>
      <w:pPr>
        <w:pStyle w:val="BodyText"/>
        <w:spacing w:before="23"/>
        <w:jc w:val="both"/>
      </w:pPr>
      <w:r>
        <w:rPr/>
        <w:t>（</w:t>
      </w:r>
      <w:r>
        <w:rPr>
          <w:rFonts w:ascii="Times New Roman" w:eastAsia="Times New Roman"/>
        </w:rPr>
        <w:t>2</w:t>
      </w:r>
      <w:r>
        <w:rPr/>
        <w:t>）由风湿病专科医生确定诊断。</w:t>
      </w:r>
    </w:p>
    <w:p>
      <w:pPr>
        <w:spacing w:after="0"/>
        <w:jc w:val="both"/>
        <w:sectPr>
          <w:pgSz w:w="11910" w:h="16840"/>
          <w:pgMar w:top="1080" w:bottom="280" w:left="1680" w:right="900"/>
        </w:sectPr>
      </w:pPr>
    </w:p>
    <w:p>
      <w:pPr>
        <w:pStyle w:val="Heading2"/>
        <w:spacing w:before="14"/>
      </w:pPr>
      <w:r>
        <w:rPr/>
        <w:t>（六十五）感染性心内膜炎</w:t>
      </w:r>
    </w:p>
    <w:p>
      <w:pPr>
        <w:pStyle w:val="BodyText"/>
        <w:spacing w:line="273" w:lineRule="auto"/>
        <w:ind w:right="215"/>
        <w:jc w:val="both"/>
      </w:pPr>
      <w:r>
        <w:rPr>
          <w:spacing w:val="-4"/>
        </w:rPr>
        <w:t>指因细菌、真菌和其他微生物</w:t>
      </w:r>
      <w:r>
        <w:rPr/>
        <w:t>（</w:t>
      </w:r>
      <w:r>
        <w:rPr>
          <w:spacing w:val="-6"/>
        </w:rPr>
        <w:t>如病毒、立克次体、衣原体、螺旋体等</w:t>
      </w:r>
      <w:r>
        <w:rPr>
          <w:spacing w:val="-8"/>
        </w:rPr>
        <w:t>）</w:t>
      </w:r>
      <w:r>
        <w:rPr>
          <w:spacing w:val="-2"/>
        </w:rPr>
        <w:t>直接</w:t>
      </w:r>
      <w:r>
        <w:rPr>
          <w:spacing w:val="-5"/>
        </w:rPr>
        <w:t>感染而产生心瓣膜或心室壁内膜的炎症，须经心脏专科医生确诊，并符合以下</w:t>
      </w:r>
      <w:r>
        <w:rPr>
          <w:spacing w:val="-4"/>
        </w:rPr>
        <w:t>所有条件：</w:t>
      </w:r>
    </w:p>
    <w:p>
      <w:pPr>
        <w:pStyle w:val="BodyText"/>
        <w:spacing w:before="8"/>
      </w:pPr>
      <w:r>
        <w:rPr/>
        <w:t>（</w:t>
      </w:r>
      <w:r>
        <w:rPr>
          <w:rFonts w:ascii="Times New Roman" w:eastAsia="Times New Roman"/>
        </w:rPr>
        <w:t>1</w:t>
      </w:r>
      <w:r>
        <w:rPr/>
        <w:t>）血液培养测试结果为阳性，并至少符合以下条件之一：</w:t>
      </w:r>
    </w:p>
    <w:p>
      <w:pPr>
        <w:pStyle w:val="BodyText"/>
        <w:spacing w:line="273" w:lineRule="auto" w:before="21"/>
        <w:ind w:right="220"/>
      </w:pPr>
      <w:r>
        <w:rPr/>
        <w:t>① 微生物：在赘生物，栓塞的赘生物或心脏内脓肿培养或组织检查证实有微生物；</w:t>
      </w:r>
    </w:p>
    <w:p>
      <w:pPr>
        <w:pStyle w:val="BodyText"/>
        <w:spacing w:before="7"/>
      </w:pPr>
      <w:r>
        <w:rPr/>
        <w:t>② 病理性病灶：组织检查证实赘生物或心脏内脓肿有活动性心内膜炎；</w:t>
      </w:r>
    </w:p>
    <w:p>
      <w:pPr>
        <w:pStyle w:val="BodyText"/>
        <w:spacing w:before="36"/>
      </w:pPr>
      <w:r>
        <w:rPr/>
        <w:t>③ 分别两次血液培养证实有典型的微生物且与心内膜炎符合；</w:t>
      </w:r>
    </w:p>
    <w:p>
      <w:pPr>
        <w:pStyle w:val="BodyText"/>
        <w:spacing w:before="36"/>
      </w:pPr>
      <w:r>
        <w:rPr/>
        <w:t>④ 持续血液培养证实有微生物阳性反应，且与心内膜炎符合。</w:t>
      </w:r>
    </w:p>
    <w:p>
      <w:pPr>
        <w:pStyle w:val="BodyText"/>
        <w:spacing w:line="259" w:lineRule="auto" w:before="36"/>
        <w:ind w:right="215"/>
      </w:pPr>
      <w:r>
        <w:rPr/>
        <w:t>（</w:t>
      </w:r>
      <w:r>
        <w:rPr>
          <w:rFonts w:ascii="Times New Roman" w:eastAsia="Times New Roman"/>
        </w:rPr>
        <w:t>2</w:t>
      </w:r>
      <w:r>
        <w:rPr/>
        <w:t>）</w:t>
      </w:r>
      <w:r>
        <w:rPr>
          <w:spacing w:val="-3"/>
        </w:rPr>
        <w:t>心内膜炎引起中度心瓣膜关闭不全（</w:t>
      </w:r>
      <w:r>
        <w:rPr>
          <w:spacing w:val="1"/>
        </w:rPr>
        <w:t>指返流指数 </w:t>
      </w:r>
      <w:r>
        <w:rPr>
          <w:rFonts w:ascii="Times New Roman" w:eastAsia="Times New Roman"/>
        </w:rPr>
        <w:t>20%</w:t>
      </w:r>
      <w:r>
        <w:rPr>
          <w:spacing w:val="-3"/>
        </w:rPr>
        <w:t>或以上</w:t>
      </w:r>
      <w:r>
        <w:rPr/>
        <w:t>）</w:t>
      </w:r>
      <w:r>
        <w:rPr>
          <w:spacing w:val="-3"/>
        </w:rPr>
        <w:t>或中度心</w:t>
      </w:r>
      <w:r>
        <w:rPr>
          <w:spacing w:val="-3"/>
          <w:w w:val="100"/>
        </w:rPr>
        <w:t>瓣膜狭窄（指心瓣膜开口范围小于或等于正常的</w:t>
      </w:r>
      <w:r>
        <w:rPr>
          <w:spacing w:val="-3"/>
        </w:rPr>
        <w:t> </w:t>
      </w:r>
      <w:r>
        <w:rPr>
          <w:rFonts w:ascii="Times New Roman" w:eastAsia="Times New Roman"/>
          <w:spacing w:val="-3"/>
          <w:w w:val="100"/>
        </w:rPr>
        <w:t>30</w:t>
      </w:r>
      <w:r>
        <w:rPr>
          <w:rFonts w:ascii="Times New Roman" w:eastAsia="Times New Roman"/>
          <w:spacing w:val="-1"/>
          <w:w w:val="100"/>
        </w:rPr>
        <w:t>%</w:t>
      </w:r>
      <w:r>
        <w:rPr>
          <w:spacing w:val="-106"/>
          <w:w w:val="100"/>
        </w:rPr>
        <w:t>）；</w:t>
      </w:r>
    </w:p>
    <w:p>
      <w:pPr>
        <w:pStyle w:val="BodyText"/>
        <w:spacing w:before="2"/>
      </w:pPr>
      <w:r>
        <w:rPr/>
        <w:t>（</w:t>
      </w:r>
      <w:r>
        <w:rPr>
          <w:rFonts w:ascii="Times New Roman" w:eastAsia="Times New Roman"/>
        </w:rPr>
        <w:t>3</w:t>
      </w:r>
      <w:r>
        <w:rPr/>
        <w:t>）心内膜炎及心瓣膜损毁程度需经由心脏专科医生确诊。</w:t>
      </w:r>
    </w:p>
    <w:p>
      <w:pPr>
        <w:pStyle w:val="BodyText"/>
        <w:spacing w:before="6"/>
        <w:ind w:left="0"/>
        <w:rPr>
          <w:sz w:val="25"/>
        </w:rPr>
      </w:pPr>
    </w:p>
    <w:p>
      <w:pPr>
        <w:pStyle w:val="Heading2"/>
      </w:pPr>
      <w:r>
        <w:rPr/>
        <w:t>（六十六）Ⅲ度房室传导阻滞</w:t>
      </w:r>
    </w:p>
    <w:p>
      <w:pPr>
        <w:pStyle w:val="BodyText"/>
        <w:spacing w:line="273" w:lineRule="auto"/>
        <w:ind w:right="187"/>
      </w:pPr>
      <w:r>
        <w:rPr/>
        <w:t>指心房激动在房室交界区、房室束及其分支内发生阻滞，不能正常地传到心室的心脏传导性疾病，须满足下列所有条件：</w:t>
      </w:r>
    </w:p>
    <w:p>
      <w:pPr>
        <w:pStyle w:val="BodyText"/>
        <w:spacing w:before="8"/>
        <w:jc w:val="both"/>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jc w:val="both"/>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before="21"/>
        <w:jc w:val="both"/>
      </w:pPr>
      <w:r>
        <w:rPr/>
        <w:t>（</w:t>
      </w:r>
      <w:r>
        <w:rPr>
          <w:rFonts w:ascii="Times New Roman" w:eastAsia="Times New Roman"/>
        </w:rPr>
        <w:t>3</w:t>
      </w:r>
      <w:r>
        <w:rPr/>
        <w:t>）必须持续性依赖心脏起搏器维持心脏正常功能，且已经放置心脏起搏器。</w:t>
      </w:r>
    </w:p>
    <w:p>
      <w:pPr>
        <w:pStyle w:val="BodyText"/>
        <w:spacing w:before="6"/>
        <w:ind w:left="0"/>
        <w:rPr>
          <w:sz w:val="25"/>
        </w:rPr>
      </w:pPr>
    </w:p>
    <w:p>
      <w:pPr>
        <w:pStyle w:val="Heading2"/>
        <w:jc w:val="both"/>
      </w:pPr>
      <w:r>
        <w:rPr/>
        <w:t>（六十七）丝虫病所致象皮肿</w:t>
      </w:r>
    </w:p>
    <w:p>
      <w:pPr>
        <w:pStyle w:val="BodyText"/>
        <w:spacing w:line="273" w:lineRule="auto" w:before="36"/>
        <w:ind w:right="215"/>
        <w:jc w:val="both"/>
      </w:pPr>
      <w:r>
        <w:rPr>
          <w:spacing w:val="-6"/>
        </w:rPr>
        <w:t>指末期丝虫病，按国际淋巴学会分级为三度淋巴液肿，其临床表现为肢体非凹</w:t>
      </w:r>
      <w:r>
        <w:rPr>
          <w:spacing w:val="-7"/>
        </w:rPr>
        <w:t>陷性水肿伴畸形增大、硬皮症和疣状增生。此病症须经本公司认可的专科医生</w:t>
      </w:r>
      <w:r>
        <w:rPr>
          <w:spacing w:val="-5"/>
        </w:rPr>
        <w:t>根据临床表现和微丝蚴的化验结果确诊。</w:t>
      </w:r>
    </w:p>
    <w:p>
      <w:pPr>
        <w:pStyle w:val="BodyText"/>
        <w:spacing w:before="5"/>
        <w:ind w:left="0"/>
        <w:rPr>
          <w:sz w:val="24"/>
        </w:rPr>
      </w:pPr>
    </w:p>
    <w:p>
      <w:pPr>
        <w:pStyle w:val="Heading2"/>
      </w:pPr>
      <w:r>
        <w:rPr/>
        <w:t>（六十八）慢性复发性胰腺炎</w:t>
      </w:r>
    </w:p>
    <w:p>
      <w:pPr>
        <w:pStyle w:val="BodyText"/>
        <w:spacing w:line="273" w:lineRule="auto"/>
        <w:ind w:right="215"/>
        <w:jc w:val="both"/>
      </w:pPr>
      <w:r>
        <w:rPr>
          <w:spacing w:val="-5"/>
        </w:rPr>
        <w:t>胰腺炎反复发作超过三次以上并导致胰腺功能紊乱和营养不良，需要接受酶替</w:t>
      </w:r>
      <w:r>
        <w:rPr/>
        <w:t>代治疗。诊断必须有消化科专科医生确认并且有内窥镜逆行胰胆管造影所证实。</w:t>
      </w:r>
    </w:p>
    <w:p>
      <w:pPr>
        <w:pStyle w:val="BodyText"/>
        <w:spacing w:before="8"/>
        <w:jc w:val="both"/>
      </w:pPr>
      <w:r>
        <w:rPr>
          <w:shd w:fill="D9D9D9" w:color="auto" w:val="clear"/>
        </w:rPr>
        <w:t>因酒精所致的慢性复发性胰腺炎除外。</w:t>
      </w:r>
    </w:p>
    <w:p>
      <w:pPr>
        <w:pStyle w:val="BodyText"/>
        <w:spacing w:before="9"/>
        <w:ind w:left="0"/>
        <w:rPr>
          <w:sz w:val="26"/>
        </w:rPr>
      </w:pPr>
    </w:p>
    <w:p>
      <w:pPr>
        <w:pStyle w:val="Heading2"/>
        <w:jc w:val="both"/>
      </w:pPr>
      <w:r>
        <w:rPr/>
        <w:t>（六十九）重症急性坏死性筋膜炎</w:t>
      </w:r>
    </w:p>
    <w:p>
      <w:pPr>
        <w:pStyle w:val="BodyText"/>
        <w:spacing w:before="36"/>
        <w:jc w:val="both"/>
      </w:pPr>
      <w:r>
        <w:rPr/>
        <w:t>坏死性筋膜炎的诊断须同时符合下列要求：</w:t>
      </w:r>
    </w:p>
    <w:p>
      <w:pPr>
        <w:pStyle w:val="BodyText"/>
        <w:spacing w:before="36"/>
        <w:jc w:val="both"/>
      </w:pPr>
      <w:r>
        <w:rPr/>
        <w:t>（</w:t>
      </w:r>
      <w:r>
        <w:rPr>
          <w:rFonts w:ascii="Times New Roman" w:eastAsia="Times New Roman"/>
        </w:rPr>
        <w:t>1</w:t>
      </w:r>
      <w:r>
        <w:rPr/>
        <w:t>）符合坏死性筋膜炎的一般临床表现；</w:t>
      </w:r>
    </w:p>
    <w:p>
      <w:pPr>
        <w:pStyle w:val="BodyText"/>
        <w:spacing w:before="20"/>
        <w:jc w:val="both"/>
      </w:pPr>
      <w:r>
        <w:rPr/>
        <w:t>（</w:t>
      </w:r>
      <w:r>
        <w:rPr>
          <w:rFonts w:ascii="Times New Roman" w:eastAsia="Times New Roman"/>
        </w:rPr>
        <w:t>2</w:t>
      </w:r>
      <w:r>
        <w:rPr/>
        <w:t>）细菌培养检出致病菌；</w:t>
      </w:r>
    </w:p>
    <w:p>
      <w:pPr>
        <w:pStyle w:val="BodyText"/>
        <w:spacing w:line="256" w:lineRule="auto" w:before="20"/>
        <w:ind w:right="220"/>
      </w:pPr>
      <w:r>
        <w:rPr/>
        <w:t>（</w:t>
      </w:r>
      <w:r>
        <w:rPr>
          <w:rFonts w:ascii="Times New Roman" w:eastAsia="Times New Roman"/>
        </w:rPr>
        <w:t>3</w:t>
      </w:r>
      <w:r>
        <w:rPr/>
        <w:t>）出现广泛性肌肉及软组织坏死，并导致身体受影响部位永久完全失去功能。</w:t>
      </w:r>
    </w:p>
    <w:p>
      <w:pPr>
        <w:pStyle w:val="BodyText"/>
        <w:spacing w:before="21"/>
      </w:pPr>
      <w:r>
        <w:rPr/>
        <w:t>所谓永久完全失去功能是指受影响部位的全部功能完全丧失超过 </w:t>
      </w:r>
      <w:r>
        <w:rPr>
          <w:rFonts w:ascii="Times New Roman" w:eastAsia="Times New Roman"/>
        </w:rPr>
        <w:t>180  </w:t>
      </w:r>
      <w:r>
        <w:rPr/>
        <w:t>天者。</w:t>
      </w:r>
    </w:p>
    <w:p>
      <w:pPr>
        <w:pStyle w:val="BodyText"/>
        <w:spacing w:before="5"/>
        <w:ind w:left="0"/>
        <w:rPr>
          <w:sz w:val="25"/>
        </w:rPr>
      </w:pPr>
    </w:p>
    <w:p>
      <w:pPr>
        <w:pStyle w:val="Heading2"/>
      </w:pPr>
      <w:r>
        <w:rPr/>
        <w:t>（七十）严重克隆病（</w:t>
      </w:r>
      <w:r>
        <w:rPr>
          <w:rFonts w:ascii="Times New Roman" w:hAnsi="Times New Roman" w:eastAsia="Times New Roman"/>
        </w:rPr>
        <w:t>Crohn</w:t>
      </w:r>
      <w:r>
        <w:rPr/>
        <w:t>’</w:t>
      </w:r>
      <w:r>
        <w:rPr>
          <w:rFonts w:ascii="Times New Roman" w:hAnsi="Times New Roman" w:eastAsia="Times New Roman"/>
        </w:rPr>
        <w:t>s </w:t>
      </w:r>
      <w:r>
        <w:rPr/>
        <w:t>病）</w:t>
      </w:r>
    </w:p>
    <w:p>
      <w:pPr>
        <w:pStyle w:val="BodyText"/>
        <w:spacing w:line="273" w:lineRule="auto" w:before="21"/>
        <w:ind w:right="215"/>
        <w:jc w:val="both"/>
      </w:pPr>
      <w:r>
        <w:rPr>
          <w:spacing w:val="-6"/>
        </w:rPr>
        <w:t>克隆病是一种慢性肉芽肿性肠炎，具有特征性的克隆病病理组织学变化。诊断</w:t>
      </w:r>
      <w:r>
        <w:rPr>
          <w:spacing w:val="-7"/>
        </w:rPr>
        <w:t>必须由病理检查结果证实。被保险人所患的克隆病必须已经造成瘘管形成并伴</w:t>
      </w:r>
      <w:r>
        <w:rPr>
          <w:spacing w:val="-5"/>
        </w:rPr>
        <w:t>有肠梗阻或肠穿孔。</w:t>
      </w:r>
    </w:p>
    <w:p>
      <w:pPr>
        <w:spacing w:after="0" w:line="273" w:lineRule="auto"/>
        <w:jc w:val="both"/>
        <w:sectPr>
          <w:pgSz w:w="11910" w:h="16840"/>
          <w:pgMar w:top="1400" w:bottom="280" w:left="1680" w:right="800"/>
        </w:sectPr>
      </w:pPr>
    </w:p>
    <w:p>
      <w:pPr>
        <w:pStyle w:val="Heading2"/>
        <w:spacing w:before="22"/>
      </w:pPr>
      <w:r>
        <w:rPr/>
        <w:t>（七十一）急性坏死性胰腺炎开腹手术</w:t>
      </w:r>
    </w:p>
    <w:p>
      <w:pPr>
        <w:pStyle w:val="BodyText"/>
        <w:spacing w:line="273" w:lineRule="auto"/>
        <w:ind w:right="187"/>
      </w:pPr>
      <w:r>
        <w:rPr/>
        <w:t>指为治疗急性坏死性胰腺炎，实际实施了开腹进行的坏死组织清除术、病灶切除术或胰腺部分切除术。</w:t>
      </w:r>
    </w:p>
    <w:p>
      <w:pPr>
        <w:pStyle w:val="BodyText"/>
        <w:spacing w:line="273" w:lineRule="auto" w:before="7"/>
        <w:ind w:right="220"/>
      </w:pPr>
      <w:r>
        <w:rPr>
          <w:shd w:fill="D9D9D9" w:color="auto" w:val="clear"/>
        </w:rPr>
        <w:t>因饮酒所致的急性出血坏死性胰腺炎或经腹腔镜手术进行的治疗不在保障范</w:t>
      </w:r>
      <w:r>
        <w:rPr>
          <w:spacing w:val="-201"/>
          <w:shd w:fill="D9D9D9" w:color="auto" w:val="clear"/>
        </w:rPr>
        <w:t>围</w:t>
      </w:r>
      <w:r>
        <w:rPr>
          <w:shd w:fill="D9D9D9" w:color="auto" w:val="clear"/>
        </w:rPr>
        <w:t>内。</w:t>
      </w:r>
    </w:p>
    <w:p>
      <w:pPr>
        <w:pStyle w:val="BodyText"/>
        <w:spacing w:before="5"/>
        <w:ind w:left="0"/>
        <w:rPr>
          <w:sz w:val="24"/>
        </w:rPr>
      </w:pPr>
    </w:p>
    <w:p>
      <w:pPr>
        <w:pStyle w:val="Heading2"/>
      </w:pPr>
      <w:r>
        <w:rPr/>
        <w:t>（七十二）胰腺移植</w:t>
      </w:r>
    </w:p>
    <w:p>
      <w:pPr>
        <w:pStyle w:val="BodyText"/>
        <w:spacing w:line="273" w:lineRule="auto" w:before="36"/>
        <w:ind w:right="179"/>
      </w:pPr>
      <w:r>
        <w:rPr/>
        <w:t>指胰腺功能衰竭，已经实施了在全身麻醉下进行的胰腺的异体器官移植手术。</w:t>
      </w:r>
      <w:r>
        <w:rPr>
          <w:shd w:fill="D9D9D9" w:color="auto" w:val="clear"/>
        </w:rPr>
        <w:t>单纯胰岛移植、部分胰腺组织或细胞的移植不在本保障范围内。</w:t>
      </w:r>
    </w:p>
    <w:p>
      <w:pPr>
        <w:pStyle w:val="BodyText"/>
        <w:spacing w:before="5"/>
        <w:ind w:left="0"/>
        <w:rPr>
          <w:sz w:val="24"/>
        </w:rPr>
      </w:pPr>
    </w:p>
    <w:p>
      <w:pPr>
        <w:pStyle w:val="Heading2"/>
      </w:pPr>
      <w:r>
        <w:rPr/>
        <w:t>（七十三）肺淋巴管肌瘤病</w:t>
      </w:r>
    </w:p>
    <w:p>
      <w:pPr>
        <w:pStyle w:val="BodyText"/>
        <w:spacing w:line="273" w:lineRule="auto"/>
        <w:ind w:right="187"/>
      </w:pPr>
      <w:r>
        <w:rPr/>
        <w:t>肺淋巴管肌瘤病是一种弥漫性肺部疾病，主要病理改变为肺间质、支气管、血管和淋巴管内出现未成熟的平滑肌异常增生，同时需满足下列全部条件：</w:t>
      </w:r>
    </w:p>
    <w:p>
      <w:pPr>
        <w:pStyle w:val="BodyText"/>
        <w:spacing w:before="7"/>
      </w:pPr>
      <w:r>
        <w:rPr/>
        <w:t>（</w:t>
      </w:r>
      <w:r>
        <w:rPr>
          <w:rFonts w:ascii="Times New Roman" w:eastAsia="Times New Roman"/>
        </w:rPr>
        <w:t>1</w:t>
      </w:r>
      <w:r>
        <w:rPr/>
        <w:t>）经组织病理学诊断；</w:t>
      </w:r>
    </w:p>
    <w:p>
      <w:pPr>
        <w:pStyle w:val="BodyText"/>
        <w:spacing w:before="20"/>
      </w:pPr>
      <w:r>
        <w:rPr/>
        <w:t>（</w:t>
      </w:r>
      <w:r>
        <w:rPr>
          <w:rFonts w:ascii="Times New Roman" w:eastAsia="Times New Roman"/>
        </w:rPr>
        <w:t>2</w:t>
      </w:r>
      <w:r>
        <w:rPr/>
        <w:t>）</w:t>
      </w:r>
      <w:r>
        <w:rPr>
          <w:rFonts w:ascii="Times New Roman" w:eastAsia="Times New Roman"/>
        </w:rPr>
        <w:t>CT </w:t>
      </w:r>
      <w:r>
        <w:rPr/>
        <w:t>显示双肺弥漫性囊性改变；</w:t>
      </w:r>
    </w:p>
    <w:p>
      <w:pPr>
        <w:pStyle w:val="BodyText"/>
        <w:spacing w:line="256" w:lineRule="auto" w:before="20"/>
        <w:ind w:right="220"/>
      </w:pPr>
      <w:r>
        <w:rPr/>
        <w:t>（</w:t>
      </w:r>
      <w:r>
        <w:rPr>
          <w:rFonts w:ascii="Times New Roman" w:eastAsia="Times New Roman"/>
        </w:rPr>
        <w:t>3</w:t>
      </w:r>
      <w:r>
        <w:rPr/>
        <w:t>）休息时出现呼吸困难或并经本公司认可医院的专科医生认可有必要进行肺移植手术。</w:t>
      </w:r>
    </w:p>
    <w:p>
      <w:pPr>
        <w:pStyle w:val="BodyText"/>
        <w:spacing w:before="6"/>
        <w:ind w:left="0"/>
        <w:rPr>
          <w:sz w:val="25"/>
        </w:rPr>
      </w:pPr>
    </w:p>
    <w:p>
      <w:pPr>
        <w:pStyle w:val="Heading2"/>
      </w:pPr>
      <w:r>
        <w:rPr/>
        <w:t>（七十四）严重获得性或继发性肺泡蛋白质沉积症</w:t>
      </w:r>
    </w:p>
    <w:p>
      <w:pPr>
        <w:pStyle w:val="BodyText"/>
        <w:spacing w:line="273" w:lineRule="auto" w:before="36"/>
        <w:ind w:right="220"/>
      </w:pPr>
      <w:r>
        <w:rPr/>
        <w:t>因获得性或继发性原因或导致双肺肺泡和细支气管腔内充满不可溶性富磷脂蛋白的疾病。理赔时须满足下列所有条件：</w:t>
      </w:r>
    </w:p>
    <w:p>
      <w:pPr>
        <w:pStyle w:val="BodyText"/>
        <w:spacing w:line="256" w:lineRule="auto" w:before="7"/>
        <w:ind w:right="110"/>
      </w:pPr>
      <w:r>
        <w:rPr>
          <w:w w:val="100"/>
        </w:rPr>
        <w:t>（</w:t>
      </w:r>
      <w:r>
        <w:rPr>
          <w:rFonts w:ascii="Times New Roman" w:eastAsia="Times New Roman"/>
          <w:w w:val="100"/>
        </w:rPr>
        <w:t>1</w:t>
      </w:r>
      <w:r>
        <w:rPr>
          <w:spacing w:val="-99"/>
          <w:w w:val="100"/>
        </w:rPr>
        <w:t>）</w:t>
      </w:r>
      <w:r>
        <w:rPr>
          <w:spacing w:val="-7"/>
          <w:w w:val="100"/>
        </w:rPr>
        <w:t>支气管镜活检或开胸肺活检病理检查证实肺泡内充满有过碘酸雪夫</w:t>
      </w:r>
      <w:r>
        <w:rPr>
          <w:spacing w:val="-3"/>
          <w:w w:val="100"/>
        </w:rPr>
        <w:t>（</w:t>
      </w:r>
      <w:r>
        <w:rPr>
          <w:rFonts w:ascii="Times New Roman" w:eastAsia="Times New Roman"/>
          <w:spacing w:val="-20"/>
          <w:w w:val="100"/>
        </w:rPr>
        <w:t>P</w:t>
      </w:r>
      <w:r>
        <w:rPr>
          <w:rFonts w:ascii="Times New Roman" w:eastAsia="Times New Roman"/>
          <w:w w:val="100"/>
        </w:rPr>
        <w:t>A</w:t>
      </w:r>
      <w:r>
        <w:rPr>
          <w:rFonts w:ascii="Times New Roman" w:eastAsia="Times New Roman"/>
          <w:spacing w:val="-2"/>
          <w:w w:val="100"/>
        </w:rPr>
        <w:t>S</w:t>
      </w:r>
      <w:r>
        <w:rPr>
          <w:w w:val="100"/>
        </w:rPr>
        <w:t>）</w:t>
      </w:r>
      <w:r>
        <w:rPr>
          <w:spacing w:val="-3"/>
        </w:rPr>
        <w:t>染色阳性的蛋白样物质；</w:t>
      </w:r>
    </w:p>
    <w:p>
      <w:pPr>
        <w:pStyle w:val="BodyText"/>
        <w:spacing w:line="256" w:lineRule="auto" w:before="22"/>
        <w:ind w:right="220"/>
      </w:pPr>
      <w:r>
        <w:rPr/>
        <w:t>（</w:t>
      </w:r>
      <w:r>
        <w:rPr>
          <w:rFonts w:ascii="Times New Roman" w:eastAsia="Times New Roman"/>
        </w:rPr>
        <w:t>2</w:t>
      </w:r>
      <w:r>
        <w:rPr/>
        <w:t>）被保险人因中重度呼吸困难或低氧血症而实际已行全身麻醉下的全肺灌洗治疗。</w:t>
      </w:r>
    </w:p>
    <w:p>
      <w:pPr>
        <w:pStyle w:val="BodyText"/>
        <w:spacing w:before="7"/>
        <w:ind w:left="0"/>
        <w:rPr>
          <w:sz w:val="25"/>
        </w:rPr>
      </w:pPr>
    </w:p>
    <w:p>
      <w:pPr>
        <w:pStyle w:val="Heading2"/>
      </w:pPr>
      <w:r>
        <w:rPr/>
        <w:t>（七十五）严重肠道疾病并发症</w:t>
      </w:r>
    </w:p>
    <w:p>
      <w:pPr>
        <w:pStyle w:val="BodyText"/>
      </w:pPr>
      <w:r>
        <w:rPr/>
        <w:t>严重肠道疾病或外伤导致小肠损害并发症，满足以下所有条件：</w:t>
      </w:r>
    </w:p>
    <w:p>
      <w:pPr>
        <w:pStyle w:val="BodyText"/>
      </w:pPr>
      <w:r>
        <w:rPr/>
        <w:t>（</w:t>
      </w:r>
      <w:r>
        <w:rPr>
          <w:rFonts w:ascii="Times New Roman" w:eastAsia="Times New Roman"/>
        </w:rPr>
        <w:t>1</w:t>
      </w:r>
      <w:r>
        <w:rPr/>
        <w:t>）至少切除了三分之二小肠；</w:t>
      </w:r>
    </w:p>
    <w:p>
      <w:pPr>
        <w:pStyle w:val="BodyText"/>
        <w:spacing w:before="21"/>
      </w:pPr>
      <w:r>
        <w:rPr/>
        <w:t>（</w:t>
      </w:r>
      <w:r>
        <w:rPr>
          <w:rFonts w:ascii="Times New Roman" w:eastAsia="Times New Roman"/>
        </w:rPr>
        <w:t>2</w:t>
      </w:r>
      <w:r>
        <w:rPr/>
        <w:t>）完全肠外营养支持三个月以上。</w:t>
      </w:r>
    </w:p>
    <w:p>
      <w:pPr>
        <w:pStyle w:val="BodyText"/>
        <w:spacing w:before="5"/>
        <w:ind w:left="0"/>
        <w:rPr>
          <w:sz w:val="25"/>
        </w:rPr>
      </w:pPr>
    </w:p>
    <w:p>
      <w:pPr>
        <w:pStyle w:val="Heading2"/>
        <w:spacing w:before="1"/>
      </w:pPr>
      <w:r>
        <w:rPr/>
        <w:t>（七十六）埃博拉病毒感染</w:t>
      </w:r>
    </w:p>
    <w:p>
      <w:pPr>
        <w:pStyle w:val="BodyText"/>
      </w:pPr>
      <w:r>
        <w:rPr/>
        <w:t>指埃博拉病毒感染导致的烈性传染病，并须满足下列全部条件：</w:t>
      </w:r>
    </w:p>
    <w:p>
      <w:pPr>
        <w:pStyle w:val="BodyText"/>
      </w:pPr>
      <w:r>
        <w:rPr/>
        <w:t>（</w:t>
      </w:r>
      <w:r>
        <w:rPr>
          <w:rFonts w:ascii="Times New Roman" w:eastAsia="Times New Roman"/>
        </w:rPr>
        <w:t>1</w:t>
      </w:r>
      <w:r>
        <w:rPr/>
        <w:t>）实验室检查证实埃博拉病毒的存在；</w:t>
      </w:r>
    </w:p>
    <w:p>
      <w:pPr>
        <w:pStyle w:val="BodyText"/>
        <w:spacing w:before="20"/>
      </w:pPr>
      <w:r>
        <w:rPr/>
        <w:t>（</w:t>
      </w:r>
      <w:r>
        <w:rPr>
          <w:rFonts w:ascii="Times New Roman" w:eastAsia="Times New Roman"/>
        </w:rPr>
        <w:t>2</w:t>
      </w:r>
      <w:r>
        <w:rPr/>
        <w:t>）从发病开始有超过 </w:t>
      </w:r>
      <w:r>
        <w:rPr>
          <w:rFonts w:ascii="Times New Roman" w:eastAsia="Times New Roman"/>
        </w:rPr>
        <w:t>30 </w:t>
      </w:r>
      <w:r>
        <w:rPr/>
        <w:t>天的进行性感染症状。</w:t>
      </w:r>
    </w:p>
    <w:p>
      <w:pPr>
        <w:pStyle w:val="BodyText"/>
        <w:spacing w:before="5"/>
        <w:ind w:left="0"/>
        <w:rPr>
          <w:sz w:val="25"/>
        </w:rPr>
      </w:pPr>
    </w:p>
    <w:p>
      <w:pPr>
        <w:pStyle w:val="Heading2"/>
      </w:pPr>
      <w:r>
        <w:rPr/>
        <w:t>（七十七）重症手足口病</w:t>
      </w:r>
    </w:p>
    <w:p>
      <w:pPr>
        <w:pStyle w:val="BodyText"/>
        <w:spacing w:line="273" w:lineRule="auto"/>
        <w:ind w:right="108"/>
      </w:pPr>
      <w:r>
        <w:rPr>
          <w:spacing w:val="-11"/>
        </w:rPr>
        <w:t>由肠道病毒引起的急性传染病，主要症状表现为手、足、口腔等部位的斑丘疹、</w:t>
      </w:r>
      <w:r>
        <w:rPr>
          <w:spacing w:val="-9"/>
        </w:rPr>
        <w:t>疱疹。经我们认可的医疗机构的儿科专科医生确诊为患有手足口病，并伴有下</w:t>
      </w:r>
      <w:r>
        <w:rPr>
          <w:spacing w:val="-5"/>
        </w:rPr>
        <w:t>列三项中的任意一项并发症：</w:t>
      </w:r>
    </w:p>
    <w:p>
      <w:pPr>
        <w:pStyle w:val="BodyText"/>
        <w:spacing w:line="256" w:lineRule="auto" w:before="8"/>
        <w:ind w:right="220"/>
      </w:pPr>
      <w:r>
        <w:rPr/>
        <w:t>（</w:t>
      </w:r>
      <w:r>
        <w:rPr>
          <w:rFonts w:ascii="Times New Roman" w:eastAsia="Times New Roman"/>
        </w:rPr>
        <w:t>1</w:t>
      </w:r>
      <w:r>
        <w:rPr/>
        <w:t>）有脑膜炎或脑炎并发症，且导致意识障碍或瘫痪的临床表现及实验室检查证据；</w:t>
      </w:r>
    </w:p>
    <w:p>
      <w:pPr>
        <w:pStyle w:val="BodyText"/>
        <w:spacing w:before="22"/>
      </w:pPr>
      <w:r>
        <w:rPr/>
        <w:t>（</w:t>
      </w:r>
      <w:r>
        <w:rPr>
          <w:rFonts w:ascii="Times New Roman" w:eastAsia="Times New Roman"/>
        </w:rPr>
        <w:t>2</w:t>
      </w:r>
      <w:r>
        <w:rPr/>
        <w:t>）有肺炎或肺水肿并发症，且导致呼吸衰竭的临床表现及实验室检查证据；</w:t>
      </w:r>
    </w:p>
    <w:p>
      <w:pPr>
        <w:pStyle w:val="BodyText"/>
        <w:spacing w:line="256" w:lineRule="auto" w:before="20"/>
        <w:ind w:right="220"/>
      </w:pPr>
      <w:r>
        <w:rPr/>
        <w:t>（</w:t>
      </w:r>
      <w:r>
        <w:rPr>
          <w:rFonts w:ascii="Times New Roman" w:eastAsia="Times New Roman"/>
        </w:rPr>
        <w:t>3</w:t>
      </w:r>
      <w:r>
        <w:rPr/>
        <w:t>）有心肌炎并发症，且导致心脏扩大或心力衰竭的临床表现及实验室检查证据。</w:t>
      </w:r>
    </w:p>
    <w:p>
      <w:pPr>
        <w:spacing w:after="0" w:line="256" w:lineRule="auto"/>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1169"/>
        <w:gridCol w:w="8318"/>
      </w:tblGrid>
      <w:tr>
        <w:trPr>
          <w:trHeight w:val="4630" w:hRule="atLeast"/>
        </w:trPr>
        <w:tc>
          <w:tcPr>
            <w:tcW w:w="579" w:type="dxa"/>
          </w:tcPr>
          <w:p>
            <w:pPr>
              <w:pStyle w:val="TableParagraph"/>
              <w:rPr>
                <w:rFonts w:ascii="Times New Roman"/>
                <w:sz w:val="20"/>
              </w:rPr>
            </w:pPr>
          </w:p>
        </w:tc>
        <w:tc>
          <w:tcPr>
            <w:tcW w:w="1169" w:type="dxa"/>
          </w:tcPr>
          <w:p>
            <w:pPr>
              <w:pStyle w:val="TableParagraph"/>
              <w:rPr>
                <w:rFonts w:ascii="Times New Roman"/>
                <w:sz w:val="20"/>
              </w:rPr>
            </w:pPr>
          </w:p>
        </w:tc>
        <w:tc>
          <w:tcPr>
            <w:tcW w:w="8318" w:type="dxa"/>
          </w:tcPr>
          <w:p>
            <w:pPr>
              <w:pStyle w:val="TableParagraph"/>
              <w:spacing w:line="211" w:lineRule="exact"/>
              <w:ind w:left="905"/>
              <w:rPr>
                <w:b/>
                <w:sz w:val="21"/>
              </w:rPr>
            </w:pPr>
            <w:r>
              <w:rPr>
                <w:b/>
                <w:sz w:val="21"/>
              </w:rPr>
              <w:t>（七十八）溶血性链球菌引起的坏疽</w:t>
            </w:r>
          </w:p>
          <w:p>
            <w:pPr>
              <w:pStyle w:val="TableParagraph"/>
              <w:spacing w:line="273" w:lineRule="auto" w:before="37"/>
              <w:ind w:left="905" w:right="303"/>
              <w:jc w:val="both"/>
              <w:rPr>
                <w:sz w:val="21"/>
              </w:rPr>
            </w:pPr>
            <w:r>
              <w:rPr>
                <w:spacing w:val="-5"/>
                <w:sz w:val="21"/>
              </w:rPr>
              <w:t>躯干或肢体的浅筋膜或涉及肌肉的深筋膜感染，呈暴发性进展，必须即刻手术</w:t>
            </w:r>
            <w:r>
              <w:rPr>
                <w:sz w:val="21"/>
              </w:rPr>
              <w:t>清创。须在外科手术后进行组织培养证实溶血性链球菌坏疽并由专科医生确诊。</w:t>
            </w:r>
          </w:p>
          <w:p>
            <w:pPr>
              <w:pStyle w:val="TableParagraph"/>
              <w:spacing w:before="5"/>
              <w:rPr>
                <w:sz w:val="24"/>
              </w:rPr>
            </w:pPr>
          </w:p>
          <w:p>
            <w:pPr>
              <w:pStyle w:val="TableParagraph"/>
              <w:ind w:left="905"/>
              <w:rPr>
                <w:b/>
                <w:sz w:val="21"/>
              </w:rPr>
            </w:pPr>
            <w:r>
              <w:rPr>
                <w:b/>
                <w:sz w:val="21"/>
              </w:rPr>
              <w:t>（七十九）嗜铬细胞瘤</w:t>
            </w:r>
          </w:p>
          <w:p>
            <w:pPr>
              <w:pStyle w:val="TableParagraph"/>
              <w:spacing w:line="273" w:lineRule="auto" w:before="34"/>
              <w:ind w:left="905" w:right="267"/>
              <w:rPr>
                <w:sz w:val="21"/>
              </w:rPr>
            </w:pPr>
            <w:r>
              <w:rPr>
                <w:sz w:val="21"/>
              </w:rPr>
              <w:t>是指肾上腺或嗜铬外组织出现神经内分泌肿瘤，并分泌过多的儿茶酚胺类，需要确实进行手术以切除肿瘤。嗜铬细胞瘤的诊断必须由内分泌专科医生确定。</w:t>
            </w:r>
          </w:p>
          <w:p>
            <w:pPr>
              <w:pStyle w:val="TableParagraph"/>
              <w:spacing w:before="7"/>
              <w:ind w:left="905"/>
              <w:rPr>
                <w:sz w:val="21"/>
              </w:rPr>
            </w:pPr>
            <w:r>
              <w:rPr>
                <w:w w:val="100"/>
                <w:sz w:val="21"/>
              </w:rPr>
              <w:t> </w:t>
            </w:r>
          </w:p>
          <w:p>
            <w:pPr>
              <w:pStyle w:val="TableParagraph"/>
              <w:spacing w:before="37"/>
              <w:ind w:left="905"/>
              <w:rPr>
                <w:sz w:val="21"/>
              </w:rPr>
            </w:pPr>
            <w:r>
              <w:rPr>
                <w:b/>
                <w:sz w:val="21"/>
              </w:rPr>
              <w:t>（八十）肝豆状核变性</w:t>
            </w:r>
            <w:r>
              <w:rPr>
                <w:w w:val="100"/>
                <w:sz w:val="21"/>
              </w:rPr>
              <w:t> </w:t>
            </w:r>
          </w:p>
          <w:p>
            <w:pPr>
              <w:pStyle w:val="TableParagraph"/>
              <w:spacing w:line="264" w:lineRule="auto" w:before="37"/>
              <w:ind w:left="905" w:right="300"/>
              <w:jc w:val="both"/>
              <w:rPr>
                <w:sz w:val="21"/>
              </w:rPr>
            </w:pPr>
            <w:r>
              <w:rPr>
                <w:spacing w:val="-5"/>
                <w:sz w:val="21"/>
              </w:rPr>
              <w:t>肝豆状核变性是一种可能危及生命的铜代谢疾病，以铜沉积造成的渐进性肝功</w:t>
            </w:r>
            <w:r>
              <w:rPr>
                <w:spacing w:val="-4"/>
                <w:sz w:val="21"/>
              </w:rPr>
              <w:t>能损害及</w:t>
            </w:r>
            <w:r>
              <w:rPr>
                <w:rFonts w:ascii="Times New Roman" w:eastAsia="Times New Roman"/>
                <w:sz w:val="21"/>
              </w:rPr>
              <w:t>/</w:t>
            </w:r>
            <w:r>
              <w:rPr>
                <w:spacing w:val="-11"/>
                <w:sz w:val="21"/>
              </w:rPr>
              <w:t>或神经功能恶化为特征。必须由本公司认可医院的专科医生通过肝脏</w:t>
            </w:r>
            <w:r>
              <w:rPr>
                <w:spacing w:val="-8"/>
                <w:sz w:val="21"/>
              </w:rPr>
              <w:t>活组织检查结果确定诊断并配合螯合剂治疗持续至少 </w:t>
            </w:r>
            <w:r>
              <w:rPr>
                <w:rFonts w:ascii="Times New Roman" w:eastAsia="Times New Roman"/>
                <w:sz w:val="21"/>
              </w:rPr>
              <w:t>6 </w:t>
            </w:r>
            <w:r>
              <w:rPr>
                <w:spacing w:val="-2"/>
                <w:sz w:val="21"/>
              </w:rPr>
              <w:t>个月。</w:t>
            </w:r>
          </w:p>
          <w:p>
            <w:pPr>
              <w:pStyle w:val="TableParagraph"/>
              <w:spacing w:line="273" w:lineRule="auto"/>
              <w:ind w:left="905" w:right="267"/>
              <w:rPr>
                <w:sz w:val="21"/>
              </w:rPr>
            </w:pPr>
            <w:r>
              <w:rPr>
                <w:spacing w:val="-4"/>
                <w:sz w:val="21"/>
                <w:shd w:fill="D9D9D9" w:color="auto" w:val="clear"/>
              </w:rPr>
              <w:t>本公司承担本项疾病责任不受本合同责任免除中“遗传性疾病，先天性畸形、</w:t>
            </w:r>
            <w:r>
              <w:rPr>
                <w:spacing w:val="-210"/>
                <w:sz w:val="21"/>
                <w:shd w:fill="D9D9D9" w:color="auto" w:val="clear"/>
              </w:rPr>
              <w:t>变</w:t>
            </w:r>
            <w:r>
              <w:rPr>
                <w:spacing w:val="-3"/>
                <w:sz w:val="21"/>
                <w:shd w:fill="D9D9D9" w:color="auto" w:val="clear"/>
              </w:rPr>
              <w:t>形或染色体异常”的限制。</w:t>
            </w:r>
          </w:p>
        </w:tc>
      </w:tr>
      <w:tr>
        <w:trPr>
          <w:trHeight w:val="312" w:hRule="atLeast"/>
        </w:trPr>
        <w:tc>
          <w:tcPr>
            <w:tcW w:w="579" w:type="dxa"/>
          </w:tcPr>
          <w:p>
            <w:pPr>
              <w:pStyle w:val="TableParagraph"/>
              <w:spacing w:line="261" w:lineRule="exact"/>
              <w:ind w:right="71"/>
              <w:jc w:val="center"/>
              <w:rPr>
                <w:b/>
                <w:sz w:val="21"/>
              </w:rPr>
            </w:pPr>
            <w:r>
              <w:rPr>
                <w:b/>
                <w:w w:val="99"/>
                <w:sz w:val="21"/>
              </w:rPr>
              <w:t> </w:t>
            </w:r>
          </w:p>
        </w:tc>
        <w:tc>
          <w:tcPr>
            <w:tcW w:w="1169" w:type="dxa"/>
          </w:tcPr>
          <w:p>
            <w:pPr>
              <w:pStyle w:val="TableParagraph"/>
              <w:spacing w:line="261" w:lineRule="exact"/>
              <w:ind w:left="273"/>
              <w:rPr>
                <w:b/>
                <w:sz w:val="21"/>
              </w:rPr>
            </w:pPr>
            <w:r>
              <w:rPr>
                <w:b/>
                <w:w w:val="99"/>
                <w:sz w:val="21"/>
              </w:rPr>
              <w:t> </w:t>
            </w:r>
          </w:p>
        </w:tc>
        <w:tc>
          <w:tcPr>
            <w:tcW w:w="8318" w:type="dxa"/>
          </w:tcPr>
          <w:p>
            <w:pPr>
              <w:pStyle w:val="TableParagraph"/>
              <w:rPr>
                <w:rFonts w:ascii="Times New Roman"/>
                <w:sz w:val="20"/>
              </w:rPr>
            </w:pPr>
          </w:p>
        </w:tc>
      </w:tr>
      <w:tr>
        <w:trPr>
          <w:trHeight w:val="9311" w:hRule="atLeast"/>
        </w:trPr>
        <w:tc>
          <w:tcPr>
            <w:tcW w:w="579" w:type="dxa"/>
          </w:tcPr>
          <w:p>
            <w:pPr>
              <w:pStyle w:val="TableParagraph"/>
              <w:spacing w:line="261" w:lineRule="exact"/>
              <w:ind w:right="71"/>
              <w:jc w:val="center"/>
              <w:rPr>
                <w:b/>
                <w:sz w:val="21"/>
              </w:rPr>
            </w:pPr>
            <w:r>
              <w:rPr>
                <w:b/>
                <w:w w:val="99"/>
                <w:sz w:val="21"/>
              </w:rPr>
              <w:t> </w:t>
            </w:r>
          </w:p>
        </w:tc>
        <w:tc>
          <w:tcPr>
            <w:tcW w:w="1169" w:type="dxa"/>
          </w:tcPr>
          <w:p>
            <w:pPr>
              <w:pStyle w:val="TableParagraph"/>
              <w:spacing w:line="261" w:lineRule="exact"/>
              <w:ind w:left="273"/>
              <w:rPr>
                <w:b/>
                <w:sz w:val="21"/>
              </w:rPr>
            </w:pPr>
            <w:r>
              <w:rPr>
                <w:b/>
                <w:w w:val="99"/>
                <w:sz w:val="21"/>
              </w:rPr>
              <w:t> </w:t>
            </w:r>
          </w:p>
        </w:tc>
        <w:tc>
          <w:tcPr>
            <w:tcW w:w="8318" w:type="dxa"/>
          </w:tcPr>
          <w:p>
            <w:pPr>
              <w:pStyle w:val="TableParagraph"/>
              <w:spacing w:line="261" w:lineRule="exact"/>
              <w:ind w:left="905"/>
              <w:rPr>
                <w:sz w:val="21"/>
              </w:rPr>
            </w:pPr>
            <w:r>
              <w:rPr>
                <w:sz w:val="21"/>
              </w:rPr>
              <w:t>上述释义中部分术语释义如下： </w:t>
            </w:r>
          </w:p>
          <w:p>
            <w:pPr>
              <w:pStyle w:val="TableParagraph"/>
              <w:spacing w:before="37"/>
              <w:ind w:left="790"/>
              <w:rPr>
                <w:sz w:val="21"/>
              </w:rPr>
            </w:pPr>
            <w:r>
              <w:rPr>
                <w:w w:val="100"/>
                <w:sz w:val="21"/>
              </w:rPr>
              <w:t> </w:t>
            </w:r>
          </w:p>
          <w:p>
            <w:pPr>
              <w:pStyle w:val="TableParagraph"/>
              <w:spacing w:before="37"/>
              <w:ind w:left="905"/>
              <w:rPr>
                <w:sz w:val="21"/>
              </w:rPr>
            </w:pPr>
            <w:r>
              <w:rPr>
                <w:w w:val="100"/>
                <w:sz w:val="21"/>
              </w:rPr>
              <w:t> </w:t>
            </w:r>
            <w:r>
              <w:rPr>
                <w:sz w:val="21"/>
              </w:rPr>
              <w:t>（一）肢体机能完全丧失 </w:t>
            </w:r>
          </w:p>
          <w:p>
            <w:pPr>
              <w:pStyle w:val="TableParagraph"/>
              <w:spacing w:line="273" w:lineRule="auto" w:before="37"/>
              <w:ind w:left="905" w:right="307"/>
              <w:rPr>
                <w:sz w:val="21"/>
              </w:rPr>
            </w:pPr>
            <w:r>
              <w:rPr>
                <w:sz w:val="21"/>
              </w:rPr>
              <w:t>肢体机能完全丧失是指肢体的三大关节中的两大关节僵硬，或不能随意识活动。肢体是指包括肩关节的整个上肢或包括髋关节的整个下肢。 </w:t>
            </w:r>
          </w:p>
          <w:p>
            <w:pPr>
              <w:pStyle w:val="TableParagraph"/>
              <w:spacing w:before="7"/>
              <w:ind w:left="790"/>
              <w:rPr>
                <w:sz w:val="21"/>
              </w:rPr>
            </w:pPr>
            <w:r>
              <w:rPr>
                <w:w w:val="100"/>
                <w:sz w:val="21"/>
              </w:rPr>
              <w:t> </w:t>
            </w:r>
          </w:p>
          <w:p>
            <w:pPr>
              <w:pStyle w:val="TableParagraph"/>
              <w:spacing w:before="37"/>
              <w:ind w:left="905"/>
              <w:rPr>
                <w:sz w:val="21"/>
              </w:rPr>
            </w:pPr>
            <w:r>
              <w:rPr>
                <w:w w:val="100"/>
                <w:sz w:val="21"/>
              </w:rPr>
              <w:t> </w:t>
            </w:r>
            <w:r>
              <w:rPr>
                <w:sz w:val="21"/>
              </w:rPr>
              <w:t>（二）语言能力或咀嚼吞咽能力完全丧失 </w:t>
            </w:r>
          </w:p>
          <w:p>
            <w:pPr>
              <w:pStyle w:val="TableParagraph"/>
              <w:spacing w:line="273" w:lineRule="auto" w:before="37"/>
              <w:ind w:left="905" w:right="199"/>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5"/>
                <w:sz w:val="21"/>
              </w:rPr>
              <w:t>中的任何三种、或声带全部切除，或因大脑语言中枢受伤害而患失语症。</w:t>
            </w:r>
            <w:r>
              <w:rPr>
                <w:spacing w:val="-5"/>
                <w:sz w:val="21"/>
              </w:rPr>
              <w:t>咀嚼吞咽能力完全丧失是指因牙齿以外的原因导致器质障碍或机能障碍，以致</w:t>
            </w:r>
            <w:r>
              <w:rPr>
                <w:spacing w:val="-4"/>
                <w:sz w:val="21"/>
              </w:rPr>
              <w:t>不能作咀嚼吞咽运动，除流质食物外不能摄取或吞咽的状态。</w:t>
            </w:r>
            <w:r>
              <w:rPr>
                <w:sz w:val="21"/>
              </w:rPr>
              <w:t> </w:t>
            </w:r>
          </w:p>
          <w:p>
            <w:pPr>
              <w:pStyle w:val="TableParagraph"/>
              <w:spacing w:before="7"/>
              <w:ind w:left="790"/>
              <w:rPr>
                <w:sz w:val="21"/>
              </w:rPr>
            </w:pPr>
            <w:r>
              <w:rPr>
                <w:w w:val="100"/>
                <w:sz w:val="21"/>
              </w:rPr>
              <w:t>  </w:t>
            </w:r>
          </w:p>
          <w:p>
            <w:pPr>
              <w:pStyle w:val="TableParagraph"/>
              <w:spacing w:before="36"/>
              <w:ind w:left="905"/>
              <w:rPr>
                <w:sz w:val="21"/>
              </w:rPr>
            </w:pPr>
            <w:r>
              <w:rPr>
                <w:w w:val="100"/>
                <w:sz w:val="21"/>
              </w:rPr>
              <w:t> </w:t>
            </w:r>
            <w:r>
              <w:rPr>
                <w:sz w:val="21"/>
              </w:rPr>
              <w:t>（三）六项基本日常生活活动 </w:t>
            </w:r>
          </w:p>
          <w:p>
            <w:pPr>
              <w:pStyle w:val="TableParagraph"/>
              <w:spacing w:before="36"/>
              <w:ind w:left="905"/>
              <w:rPr>
                <w:sz w:val="21"/>
              </w:rPr>
            </w:pPr>
            <w:r>
              <w:rPr>
                <w:sz w:val="21"/>
              </w:rPr>
              <w:t>六项基本日常生活活动是指： </w:t>
            </w:r>
          </w:p>
          <w:p>
            <w:pPr>
              <w:pStyle w:val="TableParagraph"/>
              <w:spacing w:before="36"/>
              <w:ind w:left="905"/>
              <w:rPr>
                <w:sz w:val="21"/>
              </w:rPr>
            </w:pPr>
            <w:r>
              <w:rPr>
                <w:sz w:val="21"/>
              </w:rPr>
              <w:t>（1）穿衣：自己能够穿衣及脱衣； </w:t>
            </w:r>
          </w:p>
          <w:p>
            <w:pPr>
              <w:pStyle w:val="TableParagraph"/>
              <w:spacing w:before="36"/>
              <w:ind w:left="905"/>
              <w:rPr>
                <w:sz w:val="21"/>
              </w:rPr>
            </w:pPr>
            <w:r>
              <w:rPr>
                <w:sz w:val="21"/>
              </w:rPr>
              <w:t>（2）移动：自己从一个房间到另一个房间； </w:t>
            </w:r>
          </w:p>
          <w:p>
            <w:pPr>
              <w:pStyle w:val="TableParagraph"/>
              <w:spacing w:before="36"/>
              <w:ind w:left="905"/>
              <w:rPr>
                <w:sz w:val="21"/>
              </w:rPr>
            </w:pPr>
            <w:r>
              <w:rPr>
                <w:sz w:val="21"/>
              </w:rPr>
              <w:t>（3）行动：自己上下床或上下轮椅； </w:t>
            </w:r>
          </w:p>
          <w:p>
            <w:pPr>
              <w:pStyle w:val="TableParagraph"/>
              <w:spacing w:before="37"/>
              <w:ind w:left="905"/>
              <w:rPr>
                <w:sz w:val="21"/>
              </w:rPr>
            </w:pPr>
            <w:r>
              <w:rPr>
                <w:sz w:val="21"/>
              </w:rPr>
              <w:t>（4）如厕：自己控制进行大小便； </w:t>
            </w:r>
          </w:p>
          <w:p>
            <w:pPr>
              <w:pStyle w:val="TableParagraph"/>
              <w:spacing w:before="37"/>
              <w:ind w:left="905"/>
              <w:rPr>
                <w:sz w:val="21"/>
              </w:rPr>
            </w:pPr>
            <w:r>
              <w:rPr>
                <w:sz w:val="21"/>
              </w:rPr>
              <w:t>（5）进食：自己从已准备好的碗或碟中取食物放入口中； </w:t>
            </w:r>
          </w:p>
          <w:p>
            <w:pPr>
              <w:pStyle w:val="TableParagraph"/>
              <w:spacing w:before="37"/>
              <w:ind w:left="905"/>
              <w:rPr>
                <w:sz w:val="21"/>
              </w:rPr>
            </w:pPr>
            <w:r>
              <w:rPr>
                <w:sz w:val="21"/>
              </w:rPr>
              <w:t>（6）洗澡：自己进行淋浴或盆浴。 </w:t>
            </w:r>
          </w:p>
          <w:p>
            <w:pPr>
              <w:pStyle w:val="TableParagraph"/>
              <w:spacing w:before="37"/>
              <w:ind w:left="790"/>
              <w:rPr>
                <w:sz w:val="21"/>
              </w:rPr>
            </w:pPr>
            <w:r>
              <w:rPr>
                <w:w w:val="100"/>
                <w:sz w:val="21"/>
              </w:rPr>
              <w:t> </w:t>
            </w:r>
          </w:p>
          <w:p>
            <w:pPr>
              <w:pStyle w:val="TableParagraph"/>
              <w:spacing w:before="37"/>
              <w:ind w:left="905"/>
              <w:rPr>
                <w:sz w:val="21"/>
              </w:rPr>
            </w:pPr>
            <w:r>
              <w:rPr>
                <w:w w:val="100"/>
                <w:sz w:val="21"/>
              </w:rPr>
              <w:t> </w:t>
            </w:r>
            <w:r>
              <w:rPr>
                <w:sz w:val="21"/>
              </w:rPr>
              <w:t>（四）永久不可逆性 </w:t>
            </w:r>
          </w:p>
          <w:p>
            <w:pPr>
              <w:pStyle w:val="TableParagraph"/>
              <w:spacing w:line="273" w:lineRule="auto" w:before="37"/>
              <w:ind w:left="905" w:right="267"/>
              <w:rPr>
                <w:sz w:val="21"/>
              </w:rPr>
            </w:pPr>
            <w:r>
              <w:rPr>
                <w:spacing w:val="-5"/>
                <w:sz w:val="21"/>
              </w:rPr>
              <w:t>永久不可逆是指自疾病确诊或意外伤害发生之日起，经过积极治疗 </w:t>
            </w:r>
            <w:r>
              <w:rPr>
                <w:sz w:val="21"/>
              </w:rPr>
              <w:t>180</w:t>
            </w:r>
            <w:r>
              <w:rPr>
                <w:spacing w:val="-12"/>
                <w:sz w:val="21"/>
              </w:rPr>
              <w:t> 天后， </w:t>
            </w:r>
            <w:r>
              <w:rPr>
                <w:spacing w:val="-6"/>
                <w:sz w:val="21"/>
              </w:rPr>
              <w:t>仍无法通过现有医疗手段恢复。</w:t>
            </w:r>
            <w:r>
              <w:rPr>
                <w:sz w:val="21"/>
              </w:rPr>
              <w:t> </w:t>
            </w:r>
          </w:p>
          <w:p>
            <w:pPr>
              <w:pStyle w:val="TableParagraph"/>
              <w:spacing w:before="7"/>
              <w:ind w:left="790"/>
              <w:rPr>
                <w:sz w:val="21"/>
              </w:rPr>
            </w:pPr>
            <w:r>
              <w:rPr>
                <w:w w:val="100"/>
                <w:sz w:val="21"/>
              </w:rPr>
              <w:t> </w:t>
            </w:r>
          </w:p>
          <w:p>
            <w:pPr>
              <w:pStyle w:val="TableParagraph"/>
              <w:spacing w:before="36"/>
              <w:ind w:left="905"/>
              <w:rPr>
                <w:sz w:val="21"/>
              </w:rPr>
            </w:pPr>
            <w:r>
              <w:rPr>
                <w:w w:val="100"/>
                <w:sz w:val="21"/>
              </w:rPr>
              <w:t> </w:t>
            </w:r>
            <w:r>
              <w:rPr>
                <w:sz w:val="21"/>
              </w:rPr>
              <w:t>（五）三大关节 </w:t>
            </w:r>
          </w:p>
          <w:p>
            <w:pPr>
              <w:pStyle w:val="TableParagraph"/>
              <w:spacing w:before="36"/>
              <w:ind w:left="790"/>
              <w:rPr>
                <w:sz w:val="21"/>
              </w:rPr>
            </w:pPr>
            <w:r>
              <w:rPr>
                <w:sz w:val="21"/>
              </w:rPr>
              <w:t>上肢三大关节是指肩、肘、腕关节，下肢三大关节是指髋、膝、踝关节。 </w:t>
            </w:r>
          </w:p>
          <w:p>
            <w:pPr>
              <w:pStyle w:val="TableParagraph"/>
              <w:spacing w:before="36"/>
              <w:ind w:left="905"/>
              <w:rPr>
                <w:sz w:val="21"/>
              </w:rPr>
            </w:pPr>
            <w:r>
              <w:rPr>
                <w:w w:val="100"/>
                <w:sz w:val="21"/>
              </w:rPr>
              <w:t> </w:t>
            </w:r>
          </w:p>
          <w:p>
            <w:pPr>
              <w:pStyle w:val="TableParagraph"/>
              <w:spacing w:before="37"/>
              <w:ind w:left="1045" w:right="5133"/>
              <w:jc w:val="center"/>
              <w:rPr>
                <w:sz w:val="21"/>
              </w:rPr>
            </w:pPr>
            <w:r>
              <w:rPr>
                <w:sz w:val="21"/>
              </w:rPr>
              <w:t>（六）永久性神经损害 </w:t>
            </w:r>
          </w:p>
          <w:p>
            <w:pPr>
              <w:pStyle w:val="TableParagraph"/>
              <w:spacing w:line="255" w:lineRule="exact" w:before="37"/>
              <w:ind w:left="838"/>
              <w:rPr>
                <w:sz w:val="21"/>
              </w:rPr>
            </w:pPr>
            <w:r>
              <w:rPr>
                <w:sz w:val="21"/>
              </w:rPr>
              <w:t>永久性神经损害是指由细菌性脑脊髓膜炎引起的耳聋、失明、动眼神经麻痹、</w:t>
            </w:r>
          </w:p>
        </w:tc>
      </w:tr>
    </w:tbl>
    <w:p>
      <w:pPr>
        <w:spacing w:after="0" w:line="255" w:lineRule="exact"/>
        <w:rPr>
          <w:sz w:val="21"/>
        </w:rPr>
        <w:sectPr>
          <w:pgSz w:w="11910" w:h="16840"/>
          <w:pgMar w:top="1160" w:bottom="280" w:left="1020" w:right="600"/>
        </w:sectPr>
      </w:pPr>
    </w:p>
    <w:p>
      <w:pPr>
        <w:pStyle w:val="BodyText"/>
        <w:spacing w:line="273" w:lineRule="auto" w:before="22"/>
        <w:ind w:left="2691" w:right="315"/>
      </w:pPr>
      <w:r>
        <w:rPr>
          <w:spacing w:val="-10"/>
        </w:rPr>
        <w:t>瘫痪、脑积水、智力或性情中度以上的损害，且上述症状持续 </w:t>
      </w:r>
      <w:r>
        <w:rPr/>
        <w:t>90</w:t>
      </w:r>
      <w:r>
        <w:rPr>
          <w:spacing w:val="-8"/>
        </w:rPr>
        <w:t> 天以上仍无改</w:t>
      </w:r>
      <w:r>
        <w:rPr>
          <w:spacing w:val="-6"/>
        </w:rPr>
        <w:t>善迹象。</w:t>
      </w:r>
      <w:r>
        <w:rPr/>
        <w:t> </w:t>
      </w:r>
    </w:p>
    <w:p>
      <w:pPr>
        <w:pStyle w:val="BodyText"/>
        <w:spacing w:before="4"/>
        <w:ind w:left="0"/>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442"/>
        <w:gridCol w:w="7728"/>
      </w:tblGrid>
      <w:tr>
        <w:trPr>
          <w:trHeight w:val="13317" w:hRule="atLeast"/>
        </w:trPr>
        <w:tc>
          <w:tcPr>
            <w:tcW w:w="792" w:type="dxa"/>
          </w:tcPr>
          <w:p>
            <w:pPr>
              <w:pStyle w:val="TableParagraph"/>
              <w:spacing w:line="211" w:lineRule="exact"/>
              <w:ind w:left="200"/>
              <w:rPr>
                <w:b/>
                <w:sz w:val="21"/>
              </w:rPr>
            </w:pPr>
            <w:r>
              <w:rPr>
                <w:b/>
                <w:sz w:val="21"/>
              </w:rPr>
              <w:t>9.7 </w:t>
            </w:r>
          </w:p>
        </w:tc>
        <w:tc>
          <w:tcPr>
            <w:tcW w:w="1442" w:type="dxa"/>
          </w:tcPr>
          <w:p>
            <w:pPr>
              <w:pStyle w:val="TableParagraph"/>
              <w:spacing w:line="211" w:lineRule="exact"/>
              <w:ind w:left="168"/>
              <w:rPr>
                <w:b/>
                <w:sz w:val="21"/>
              </w:rPr>
            </w:pPr>
            <w:r>
              <w:rPr>
                <w:b/>
                <w:sz w:val="21"/>
              </w:rPr>
              <w:t>轻症疾病</w:t>
            </w:r>
            <w:r>
              <w:rPr>
                <w:b/>
                <w:w w:val="99"/>
                <w:sz w:val="21"/>
              </w:rPr>
              <w:t> </w:t>
            </w:r>
          </w:p>
        </w:tc>
        <w:tc>
          <w:tcPr>
            <w:tcW w:w="7728" w:type="dxa"/>
          </w:tcPr>
          <w:p>
            <w:pPr>
              <w:pStyle w:val="TableParagraph"/>
              <w:spacing w:line="211" w:lineRule="exact"/>
              <w:ind w:left="323"/>
              <w:rPr>
                <w:b/>
                <w:sz w:val="21"/>
              </w:rPr>
            </w:pPr>
            <w:r>
              <w:rPr>
                <w:b/>
                <w:sz w:val="21"/>
              </w:rPr>
              <w:t>（一）非危及生命的（极早期的）恶性病变</w:t>
            </w:r>
            <w:r>
              <w:rPr>
                <w:b/>
                <w:w w:val="99"/>
                <w:sz w:val="21"/>
              </w:rPr>
              <w:t> </w:t>
            </w:r>
          </w:p>
          <w:p>
            <w:pPr>
              <w:pStyle w:val="TableParagraph"/>
              <w:spacing w:before="37"/>
              <w:ind w:left="323"/>
              <w:rPr>
                <w:sz w:val="21"/>
              </w:rPr>
            </w:pPr>
            <w:r>
              <w:rPr>
                <w:sz w:val="21"/>
              </w:rPr>
              <w:t>指经组织病理学检查被明确诊断为下列恶性病变，并且接受了相应的治疗。  </w:t>
            </w:r>
          </w:p>
          <w:p>
            <w:pPr>
              <w:pStyle w:val="TableParagraph"/>
              <w:spacing w:before="37"/>
              <w:ind w:left="323"/>
              <w:rPr>
                <w:sz w:val="21"/>
              </w:rPr>
            </w:pPr>
            <w:r>
              <w:rPr>
                <w:sz w:val="21"/>
              </w:rPr>
              <w:t>（1）原位癌； </w:t>
            </w:r>
          </w:p>
          <w:p>
            <w:pPr>
              <w:pStyle w:val="TableParagraph"/>
              <w:spacing w:before="37"/>
              <w:ind w:left="323"/>
              <w:rPr>
                <w:sz w:val="21"/>
              </w:rPr>
            </w:pPr>
            <w:r>
              <w:rPr>
                <w:sz w:val="21"/>
              </w:rPr>
              <w:t>（2）相当于 Binet 分期方案 A 期程度的慢性淋巴细胞白血病； </w:t>
            </w:r>
          </w:p>
          <w:p>
            <w:pPr>
              <w:pStyle w:val="TableParagraph"/>
              <w:spacing w:before="37"/>
              <w:ind w:left="323"/>
              <w:rPr>
                <w:sz w:val="21"/>
              </w:rPr>
            </w:pPr>
            <w:r>
              <w:rPr>
                <w:sz w:val="21"/>
              </w:rPr>
              <w:t>（3）相当于 Ann Arbor 分期方案 I 期程度的何杰金氏病； </w:t>
            </w:r>
          </w:p>
          <w:p>
            <w:pPr>
              <w:pStyle w:val="TableParagraph"/>
              <w:spacing w:before="37"/>
              <w:ind w:left="323"/>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spacing w:val="-3"/>
                <w:w w:val="100"/>
                <w:sz w:val="21"/>
              </w:rPr>
              <w:t>；</w:t>
            </w:r>
            <w:r>
              <w:rPr>
                <w:w w:val="100"/>
                <w:sz w:val="21"/>
              </w:rPr>
              <w:t> </w:t>
            </w:r>
          </w:p>
          <w:p>
            <w:pPr>
              <w:pStyle w:val="TableParagraph"/>
              <w:spacing w:line="315" w:lineRule="exact" w:before="37"/>
              <w:ind w:left="323"/>
              <w:rPr>
                <w:sz w:val="21"/>
              </w:rPr>
            </w:pPr>
            <w:r>
              <w:rPr>
                <w:sz w:val="21"/>
              </w:rPr>
              <w:t>（5）TNM 分期为</w:t>
            </w:r>
            <w:r>
              <w:rPr>
                <w:rFonts w:ascii="Cambria Math" w:eastAsia="Cambria Math"/>
                <w:sz w:val="21"/>
              </w:rPr>
              <w:t>T</w:t>
            </w:r>
            <w:r>
              <w:rPr>
                <w:rFonts w:ascii="Cambria Math" w:eastAsia="Cambria Math"/>
                <w:position w:val="-3"/>
                <w:sz w:val="15"/>
              </w:rPr>
              <w:t>1</w:t>
            </w:r>
            <w:r>
              <w:rPr>
                <w:rFonts w:ascii="Cambria Math" w:eastAsia="Cambria Math"/>
                <w:sz w:val="21"/>
              </w:rPr>
              <w:t>N</w:t>
            </w:r>
            <w:r>
              <w:rPr>
                <w:rFonts w:ascii="Cambria Math" w:eastAsia="Cambria Math"/>
                <w:position w:val="-3"/>
                <w:sz w:val="15"/>
              </w:rPr>
              <w:t>0</w:t>
            </w:r>
            <w:r>
              <w:rPr>
                <w:rFonts w:ascii="Cambria Math" w:eastAsia="Cambria Math"/>
                <w:sz w:val="21"/>
              </w:rPr>
              <w:t>M</w:t>
            </w:r>
            <w:r>
              <w:rPr>
                <w:rFonts w:ascii="Cambria Math" w:eastAsia="Cambria Math"/>
                <w:position w:val="-3"/>
                <w:sz w:val="15"/>
              </w:rPr>
              <w:t>0</w:t>
            </w:r>
            <w:r>
              <w:rPr>
                <w:sz w:val="21"/>
              </w:rPr>
              <w:t>期或者更轻分期的前列腺癌。 </w:t>
            </w:r>
          </w:p>
          <w:p>
            <w:pPr>
              <w:pStyle w:val="TableParagraph"/>
              <w:spacing w:line="273" w:lineRule="auto"/>
              <w:ind w:left="323" w:right="202"/>
              <w:rPr>
                <w:sz w:val="21"/>
              </w:rPr>
            </w:pPr>
            <w:r>
              <w:rPr>
                <w:sz w:val="21"/>
                <w:shd w:fill="D9D9D9" w:color="auto" w:val="clear"/>
              </w:rPr>
              <w:t>感染艾滋病病毒或者患艾滋病期间所患极早期恶性肿瘤或者恶性病变不在保障范围之内。</w:t>
            </w:r>
            <w:r>
              <w:rPr>
                <w:sz w:val="21"/>
              </w:rPr>
              <w:t> </w:t>
            </w:r>
          </w:p>
          <w:p>
            <w:pPr>
              <w:pStyle w:val="TableParagraph"/>
              <w:spacing w:before="11"/>
              <w:ind w:left="323"/>
              <w:rPr>
                <w:b/>
                <w:sz w:val="21"/>
              </w:rPr>
            </w:pPr>
            <w:r>
              <w:rPr>
                <w:b/>
                <w:w w:val="99"/>
                <w:sz w:val="21"/>
              </w:rPr>
              <w:t> </w:t>
            </w:r>
          </w:p>
          <w:p>
            <w:pPr>
              <w:pStyle w:val="TableParagraph"/>
              <w:spacing w:before="36"/>
              <w:ind w:left="323"/>
              <w:rPr>
                <w:b/>
                <w:sz w:val="21"/>
              </w:rPr>
            </w:pPr>
            <w:r>
              <w:rPr>
                <w:b/>
                <w:sz w:val="21"/>
              </w:rPr>
              <w:t>（二）全身较小面积Ⅲ度烧伤</w:t>
            </w:r>
            <w:r>
              <w:rPr>
                <w:b/>
                <w:w w:val="99"/>
                <w:sz w:val="21"/>
              </w:rPr>
              <w:t> </w:t>
            </w:r>
          </w:p>
          <w:p>
            <w:pPr>
              <w:pStyle w:val="TableParagraph"/>
              <w:spacing w:line="273" w:lineRule="auto" w:before="36"/>
              <w:ind w:left="323" w:right="199"/>
              <w:rPr>
                <w:sz w:val="21"/>
              </w:rPr>
            </w:pPr>
            <w:r>
              <w:rPr>
                <w:spacing w:val="-8"/>
                <w:sz w:val="21"/>
              </w:rPr>
              <w:t>指烧伤程度为Ⅲ度，且Ⅲ度烧伤面积为全身体表面积的 </w:t>
            </w:r>
            <w:r>
              <w:rPr>
                <w:sz w:val="21"/>
              </w:rPr>
              <w:t>10</w:t>
            </w:r>
            <w:r>
              <w:rPr>
                <w:spacing w:val="-12"/>
                <w:sz w:val="21"/>
              </w:rPr>
              <w:t>%或者 </w:t>
            </w:r>
            <w:r>
              <w:rPr>
                <w:sz w:val="21"/>
              </w:rPr>
              <w:t>10</w:t>
            </w:r>
            <w:r>
              <w:rPr>
                <w:spacing w:val="-6"/>
                <w:sz w:val="21"/>
              </w:rPr>
              <w:t>%以上，但尚</w:t>
            </w:r>
            <w:r>
              <w:rPr>
                <w:spacing w:val="-11"/>
                <w:sz w:val="21"/>
              </w:rPr>
              <w:t>未达到 </w:t>
            </w:r>
            <w:r>
              <w:rPr>
                <w:sz w:val="21"/>
              </w:rPr>
              <w:t>20</w:t>
            </w:r>
            <w:r>
              <w:rPr>
                <w:spacing w:val="-3"/>
                <w:sz w:val="21"/>
              </w:rPr>
              <w:t>%。体表面积根据《中国新九分法》计算。 </w:t>
            </w:r>
          </w:p>
          <w:p>
            <w:pPr>
              <w:pStyle w:val="TableParagraph"/>
              <w:spacing w:before="7"/>
              <w:ind w:left="323"/>
              <w:rPr>
                <w:b/>
                <w:sz w:val="21"/>
              </w:rPr>
            </w:pPr>
            <w:r>
              <w:rPr>
                <w:b/>
                <w:w w:val="99"/>
                <w:sz w:val="21"/>
              </w:rPr>
              <w:t> </w:t>
            </w:r>
          </w:p>
          <w:p>
            <w:pPr>
              <w:pStyle w:val="TableParagraph"/>
              <w:spacing w:before="37"/>
              <w:ind w:left="323"/>
              <w:rPr>
                <w:b/>
                <w:sz w:val="21"/>
              </w:rPr>
            </w:pPr>
            <w:r>
              <w:rPr>
                <w:b/>
                <w:sz w:val="21"/>
              </w:rPr>
              <w:t>（三）慢性肾功能障碍</w:t>
            </w:r>
            <w:r>
              <w:rPr>
                <w:b/>
                <w:w w:val="99"/>
                <w:sz w:val="21"/>
              </w:rPr>
              <w:t> </w:t>
            </w:r>
          </w:p>
          <w:p>
            <w:pPr>
              <w:pStyle w:val="TableParagraph"/>
              <w:spacing w:before="37"/>
              <w:ind w:left="323"/>
              <w:rPr>
                <w:sz w:val="21"/>
              </w:rPr>
            </w:pPr>
            <w:r>
              <w:rPr>
                <w:sz w:val="21"/>
              </w:rPr>
              <w:t>慢性肾功能障碍是指慢性肾功能不全的晚期。必须满足下列全部条件： </w:t>
            </w:r>
          </w:p>
          <w:p>
            <w:pPr>
              <w:pStyle w:val="TableParagraph"/>
              <w:spacing w:line="273" w:lineRule="auto" w:before="37"/>
              <w:ind w:left="323" w:right="199"/>
              <w:rPr>
                <w:sz w:val="21"/>
              </w:rPr>
            </w:pPr>
            <w:r>
              <w:rPr>
                <w:w w:val="100"/>
                <w:sz w:val="21"/>
              </w:rPr>
              <w:t>（1</w:t>
            </w:r>
            <w:r>
              <w:rPr>
                <w:spacing w:val="-17"/>
                <w:w w:val="100"/>
                <w:sz w:val="21"/>
              </w:rPr>
              <w:t>）</w:t>
            </w:r>
            <w:r>
              <w:rPr>
                <w:spacing w:val="-6"/>
                <w:w w:val="100"/>
                <w:sz w:val="21"/>
              </w:rPr>
              <w:t>肾小球滤过率</w:t>
            </w:r>
            <w:r>
              <w:rPr>
                <w:w w:val="100"/>
                <w:sz w:val="21"/>
              </w:rPr>
              <w:t>（</w:t>
            </w:r>
            <w:r>
              <w:rPr>
                <w:spacing w:val="-2"/>
                <w:w w:val="100"/>
                <w:sz w:val="21"/>
              </w:rPr>
              <w:t>使用</w:t>
            </w:r>
            <w:r>
              <w:rPr>
                <w:spacing w:val="-55"/>
                <w:sz w:val="21"/>
              </w:rPr>
              <w:t> </w:t>
            </w:r>
            <w:r>
              <w:rPr>
                <w:w w:val="100"/>
                <w:sz w:val="21"/>
              </w:rPr>
              <w:t>MDRD</w:t>
            </w:r>
            <w:r>
              <w:rPr>
                <w:spacing w:val="-55"/>
                <w:sz w:val="21"/>
              </w:rPr>
              <w:t> </w:t>
            </w:r>
            <w:r>
              <w:rPr>
                <w:spacing w:val="-2"/>
                <w:w w:val="100"/>
                <w:sz w:val="21"/>
              </w:rPr>
              <w:t>公式或</w:t>
            </w:r>
            <w:r>
              <w:rPr>
                <w:spacing w:val="-53"/>
                <w:sz w:val="21"/>
              </w:rPr>
              <w:t> </w:t>
            </w:r>
            <w:r>
              <w:rPr>
                <w:w w:val="100"/>
                <w:sz w:val="21"/>
              </w:rPr>
              <w:t>Co</w:t>
            </w:r>
            <w:r>
              <w:rPr>
                <w:spacing w:val="-3"/>
                <w:w w:val="100"/>
                <w:sz w:val="21"/>
              </w:rPr>
              <w:t>c</w:t>
            </w:r>
            <w:r>
              <w:rPr>
                <w:w w:val="100"/>
                <w:sz w:val="21"/>
              </w:rPr>
              <w:t>kcr</w:t>
            </w:r>
            <w:r>
              <w:rPr>
                <w:spacing w:val="-3"/>
                <w:w w:val="100"/>
                <w:sz w:val="21"/>
              </w:rPr>
              <w:t>o</w:t>
            </w:r>
            <w:r>
              <w:rPr>
                <w:w w:val="100"/>
                <w:sz w:val="21"/>
              </w:rPr>
              <w:t>f</w:t>
            </w:r>
            <w:r>
              <w:rPr>
                <w:spacing w:val="-1"/>
                <w:w w:val="100"/>
                <w:sz w:val="21"/>
              </w:rPr>
              <w:t>t</w:t>
            </w:r>
            <w:r>
              <w:rPr>
                <w:w w:val="100"/>
                <w:sz w:val="21"/>
              </w:rPr>
              <w:t>-</w:t>
            </w:r>
            <w:r>
              <w:rPr>
                <w:spacing w:val="-3"/>
                <w:w w:val="100"/>
                <w:sz w:val="21"/>
              </w:rPr>
              <w:t>Ga</w:t>
            </w:r>
            <w:r>
              <w:rPr>
                <w:w w:val="100"/>
                <w:sz w:val="21"/>
              </w:rPr>
              <w:t>ult</w:t>
            </w:r>
            <w:r>
              <w:rPr>
                <w:spacing w:val="-52"/>
                <w:sz w:val="21"/>
              </w:rPr>
              <w:t> </w:t>
            </w:r>
            <w:r>
              <w:rPr>
                <w:spacing w:val="-3"/>
                <w:w w:val="100"/>
                <w:sz w:val="21"/>
              </w:rPr>
              <w:t>公式计算的结果</w:t>
            </w:r>
            <w:r>
              <w:rPr>
                <w:spacing w:val="-106"/>
                <w:w w:val="100"/>
                <w:sz w:val="21"/>
              </w:rPr>
              <w:t>）</w:t>
            </w:r>
            <w:r>
              <w:rPr>
                <w:spacing w:val="-9"/>
                <w:w w:val="100"/>
                <w:sz w:val="21"/>
              </w:rPr>
              <w:t>，低于</w:t>
            </w:r>
            <w:r>
              <w:rPr>
                <w:spacing w:val="-53"/>
                <w:sz w:val="21"/>
              </w:rPr>
              <w:t> </w:t>
            </w:r>
            <w:r>
              <w:rPr>
                <w:w w:val="100"/>
                <w:sz w:val="21"/>
              </w:rPr>
              <w:t>30</w:t>
            </w:r>
            <w:r>
              <w:rPr>
                <w:spacing w:val="-3"/>
                <w:w w:val="100"/>
                <w:sz w:val="21"/>
              </w:rPr>
              <w:t>m</w:t>
            </w:r>
            <w:r>
              <w:rPr>
                <w:w w:val="100"/>
                <w:sz w:val="21"/>
              </w:rPr>
              <w:t>l./</w:t>
            </w:r>
            <w:r>
              <w:rPr>
                <w:spacing w:val="-3"/>
                <w:w w:val="100"/>
                <w:sz w:val="21"/>
              </w:rPr>
              <w:t>m</w:t>
            </w:r>
            <w:r>
              <w:rPr>
                <w:w w:val="100"/>
                <w:sz w:val="21"/>
              </w:rPr>
              <w:t>in/</w:t>
            </w:r>
            <w:r>
              <w:rPr>
                <w:spacing w:val="-3"/>
                <w:w w:val="100"/>
                <w:sz w:val="21"/>
              </w:rPr>
              <w:t>1</w:t>
            </w:r>
            <w:r>
              <w:rPr>
                <w:w w:val="100"/>
                <w:sz w:val="21"/>
              </w:rPr>
              <w:t>.73</w:t>
            </w:r>
            <w:r>
              <w:rPr>
                <w:spacing w:val="-55"/>
                <w:sz w:val="21"/>
              </w:rPr>
              <w:t> </w:t>
            </w:r>
            <w:r>
              <w:rPr>
                <w:spacing w:val="-3"/>
                <w:w w:val="100"/>
                <w:sz w:val="21"/>
              </w:rPr>
              <w:t>平方米，且此状态须持续至少</w:t>
            </w:r>
            <w:r>
              <w:rPr>
                <w:spacing w:val="-53"/>
                <w:sz w:val="21"/>
              </w:rPr>
              <w:t> </w:t>
            </w:r>
            <w:r>
              <w:rPr>
                <w:spacing w:val="-3"/>
                <w:w w:val="100"/>
                <w:sz w:val="21"/>
              </w:rPr>
              <w:t>18</w:t>
            </w:r>
            <w:r>
              <w:rPr>
                <w:w w:val="100"/>
                <w:sz w:val="21"/>
              </w:rPr>
              <w:t>0</w:t>
            </w:r>
            <w:r>
              <w:rPr>
                <w:spacing w:val="-52"/>
                <w:sz w:val="21"/>
              </w:rPr>
              <w:t> </w:t>
            </w:r>
            <w:r>
              <w:rPr>
                <w:w w:val="100"/>
                <w:sz w:val="21"/>
              </w:rPr>
              <w:t>天</w:t>
            </w:r>
            <w:r>
              <w:rPr>
                <w:spacing w:val="-108"/>
                <w:w w:val="100"/>
                <w:sz w:val="21"/>
              </w:rPr>
              <w:t>）</w:t>
            </w:r>
            <w:r>
              <w:rPr>
                <w:spacing w:val="-3"/>
                <w:w w:val="100"/>
                <w:sz w:val="21"/>
              </w:rPr>
              <w:t>；</w:t>
            </w:r>
            <w:r>
              <w:rPr>
                <w:w w:val="100"/>
                <w:sz w:val="21"/>
              </w:rPr>
              <w:t> </w:t>
            </w:r>
          </w:p>
          <w:p>
            <w:pPr>
              <w:pStyle w:val="TableParagraph"/>
              <w:spacing w:before="7"/>
              <w:ind w:left="323"/>
              <w:rPr>
                <w:sz w:val="21"/>
              </w:rPr>
            </w:pPr>
            <w:r>
              <w:rPr>
                <w:sz w:val="21"/>
              </w:rPr>
              <w:t>（2）慢性肾功能障碍的诊断必须由泌尿科或肾脏科医师确诊。 </w:t>
            </w:r>
          </w:p>
          <w:p>
            <w:pPr>
              <w:pStyle w:val="TableParagraph"/>
              <w:spacing w:before="37"/>
              <w:ind w:left="323"/>
              <w:rPr>
                <w:sz w:val="21"/>
              </w:rPr>
            </w:pPr>
            <w:r>
              <w:rPr>
                <w:w w:val="100"/>
                <w:sz w:val="21"/>
              </w:rPr>
              <w:t> </w:t>
            </w:r>
          </w:p>
          <w:p>
            <w:pPr>
              <w:pStyle w:val="TableParagraph"/>
              <w:spacing w:before="37"/>
              <w:ind w:left="323"/>
              <w:rPr>
                <w:b/>
                <w:sz w:val="21"/>
              </w:rPr>
            </w:pPr>
            <w:r>
              <w:rPr>
                <w:b/>
                <w:sz w:val="21"/>
              </w:rPr>
              <w:t>（四）单侧肺脏切除</w:t>
            </w:r>
            <w:r>
              <w:rPr>
                <w:b/>
                <w:w w:val="99"/>
                <w:sz w:val="21"/>
              </w:rPr>
              <w:t> </w:t>
            </w:r>
          </w:p>
          <w:p>
            <w:pPr>
              <w:pStyle w:val="TableParagraph"/>
              <w:spacing w:line="273" w:lineRule="auto" w:before="37"/>
              <w:ind w:left="323" w:right="573"/>
              <w:rPr>
                <w:sz w:val="21"/>
              </w:rPr>
            </w:pPr>
            <w:r>
              <w:rPr>
                <w:spacing w:val="-3"/>
                <w:sz w:val="21"/>
              </w:rPr>
              <w:t>指因疾病或意外伤害导致肺部严重损害，已经实施了单侧全肺切除手术。</w:t>
            </w:r>
            <w:r>
              <w:rPr>
                <w:spacing w:val="-3"/>
                <w:sz w:val="21"/>
                <w:shd w:fill="D9D9D9" w:color="auto" w:val="clear"/>
              </w:rPr>
              <w:t>下列情况不在保障范围内：</w:t>
            </w:r>
            <w:r>
              <w:rPr>
                <w:spacing w:val="-3"/>
                <w:sz w:val="21"/>
              </w:rPr>
              <w:t> </w:t>
            </w:r>
          </w:p>
          <w:p>
            <w:pPr>
              <w:pStyle w:val="TableParagraph"/>
              <w:spacing w:before="8"/>
              <w:ind w:left="323"/>
              <w:rPr>
                <w:sz w:val="21"/>
              </w:rPr>
            </w:pPr>
            <w:r>
              <w:rPr>
                <w:sz w:val="21"/>
                <w:shd w:fill="D9D9D9" w:color="auto" w:val="clear"/>
              </w:rPr>
              <w:t>（1）肺叶切除、肺段切除手术；</w:t>
            </w:r>
            <w:r>
              <w:rPr>
                <w:sz w:val="21"/>
              </w:rPr>
              <w:t> </w:t>
            </w:r>
          </w:p>
          <w:p>
            <w:pPr>
              <w:pStyle w:val="TableParagraph"/>
              <w:spacing w:before="37"/>
              <w:ind w:left="323"/>
              <w:rPr>
                <w:sz w:val="21"/>
              </w:rPr>
            </w:pPr>
            <w:r>
              <w:rPr>
                <w:sz w:val="21"/>
                <w:shd w:fill="D9D9D9" w:color="auto" w:val="clear"/>
              </w:rPr>
              <w:t>（2）因恶性肿瘤进行的肺切除手术；</w:t>
            </w:r>
            <w:r>
              <w:rPr>
                <w:sz w:val="21"/>
              </w:rPr>
              <w:t> </w:t>
            </w:r>
          </w:p>
          <w:p>
            <w:pPr>
              <w:pStyle w:val="TableParagraph"/>
              <w:spacing w:before="37"/>
              <w:ind w:left="323"/>
              <w:rPr>
                <w:sz w:val="21"/>
              </w:rPr>
            </w:pPr>
            <w:r>
              <w:rPr>
                <w:sz w:val="21"/>
                <w:shd w:fill="D9D9D9" w:color="auto" w:val="clear"/>
              </w:rPr>
              <w:t>（3）作为器官捐献者而实施的肺切除手术。</w:t>
            </w:r>
            <w:r>
              <w:rPr>
                <w:sz w:val="21"/>
              </w:rPr>
              <w:t> </w:t>
            </w:r>
          </w:p>
          <w:p>
            <w:pPr>
              <w:pStyle w:val="TableParagraph"/>
              <w:spacing w:before="37"/>
              <w:ind w:left="323"/>
              <w:rPr>
                <w:b/>
                <w:sz w:val="21"/>
              </w:rPr>
            </w:pPr>
            <w:r>
              <w:rPr>
                <w:b/>
                <w:w w:val="99"/>
                <w:sz w:val="21"/>
              </w:rPr>
              <w:t> </w:t>
            </w:r>
          </w:p>
          <w:p>
            <w:pPr>
              <w:pStyle w:val="TableParagraph"/>
              <w:spacing w:before="37"/>
              <w:ind w:left="323"/>
              <w:rPr>
                <w:b/>
                <w:sz w:val="21"/>
              </w:rPr>
            </w:pPr>
            <w:r>
              <w:rPr>
                <w:b/>
                <w:sz w:val="21"/>
              </w:rPr>
              <w:t>（五）可逆性再生障碍性贫血</w:t>
            </w:r>
            <w:r>
              <w:rPr>
                <w:b/>
                <w:w w:val="99"/>
                <w:sz w:val="21"/>
              </w:rPr>
              <w:t> </w:t>
            </w:r>
          </w:p>
          <w:p>
            <w:pPr>
              <w:pStyle w:val="TableParagraph"/>
              <w:spacing w:line="273" w:lineRule="auto" w:before="37"/>
              <w:ind w:left="323" w:right="202"/>
              <w:rPr>
                <w:sz w:val="21"/>
              </w:rPr>
            </w:pPr>
            <w:r>
              <w:rPr>
                <w:sz w:val="21"/>
              </w:rPr>
              <w:t>指因急性可逆性的骨髓造血功能衰竭而导致贫血、中性粒细胞减少和血小板减少，必须由血液科医生的诊断，且病历资料显示接受了下列任一治疗： </w:t>
            </w:r>
          </w:p>
          <w:p>
            <w:pPr>
              <w:pStyle w:val="TableParagraph"/>
              <w:spacing w:before="8"/>
              <w:ind w:left="323"/>
              <w:rPr>
                <w:sz w:val="21"/>
              </w:rPr>
            </w:pPr>
            <w:r>
              <w:rPr>
                <w:sz w:val="21"/>
              </w:rPr>
              <w:t>（1）骨髓刺激疗法至少一个月； </w:t>
            </w:r>
          </w:p>
          <w:p>
            <w:pPr>
              <w:pStyle w:val="TableParagraph"/>
              <w:spacing w:before="37"/>
              <w:ind w:left="323"/>
              <w:rPr>
                <w:sz w:val="21"/>
              </w:rPr>
            </w:pPr>
            <w:r>
              <w:rPr>
                <w:sz w:val="21"/>
              </w:rPr>
              <w:t>（2）免疫抑制剂治疗至少一个月； </w:t>
            </w:r>
          </w:p>
          <w:p>
            <w:pPr>
              <w:pStyle w:val="TableParagraph"/>
              <w:spacing w:before="37"/>
              <w:ind w:left="323"/>
              <w:rPr>
                <w:sz w:val="21"/>
              </w:rPr>
            </w:pPr>
            <w:r>
              <w:rPr>
                <w:sz w:val="21"/>
              </w:rPr>
              <w:t>（3）接受了骨髓移植。 </w:t>
            </w:r>
          </w:p>
          <w:p>
            <w:pPr>
              <w:pStyle w:val="TableParagraph"/>
              <w:spacing w:before="37"/>
              <w:ind w:left="323"/>
              <w:rPr>
                <w:b/>
                <w:sz w:val="21"/>
              </w:rPr>
            </w:pPr>
            <w:r>
              <w:rPr>
                <w:b/>
                <w:w w:val="99"/>
                <w:sz w:val="21"/>
              </w:rPr>
              <w:t> </w:t>
            </w:r>
          </w:p>
          <w:p>
            <w:pPr>
              <w:pStyle w:val="TableParagraph"/>
              <w:spacing w:before="37"/>
              <w:ind w:left="323"/>
              <w:rPr>
                <w:b/>
                <w:sz w:val="21"/>
              </w:rPr>
            </w:pPr>
            <w:r>
              <w:rPr>
                <w:b/>
                <w:sz w:val="21"/>
              </w:rPr>
              <w:t>（六）肝脏手术</w:t>
            </w:r>
            <w:r>
              <w:rPr>
                <w:b/>
                <w:w w:val="99"/>
                <w:sz w:val="21"/>
              </w:rPr>
              <w:t> </w:t>
            </w:r>
          </w:p>
          <w:p>
            <w:pPr>
              <w:pStyle w:val="TableParagraph"/>
              <w:spacing w:line="273" w:lineRule="auto" w:before="37"/>
              <w:ind w:left="323" w:right="199"/>
              <w:rPr>
                <w:sz w:val="21"/>
              </w:rPr>
            </w:pPr>
            <w:r>
              <w:rPr>
                <w:sz w:val="21"/>
              </w:rPr>
              <w:t>指因疾病或意外事故实际实施的肝脏部分切除术，手术须至少有一个完整的肝叶被切除。 </w:t>
            </w:r>
          </w:p>
          <w:p>
            <w:pPr>
              <w:pStyle w:val="TableParagraph"/>
              <w:spacing w:before="7"/>
              <w:ind w:left="323"/>
              <w:rPr>
                <w:sz w:val="21"/>
              </w:rPr>
            </w:pPr>
            <w:r>
              <w:rPr>
                <w:w w:val="100"/>
                <w:sz w:val="21"/>
              </w:rPr>
              <w:t> </w:t>
            </w:r>
          </w:p>
          <w:p>
            <w:pPr>
              <w:pStyle w:val="TableParagraph"/>
              <w:spacing w:before="36"/>
              <w:ind w:left="323"/>
              <w:rPr>
                <w:b/>
                <w:sz w:val="21"/>
              </w:rPr>
            </w:pPr>
            <w:r>
              <w:rPr>
                <w:b/>
                <w:sz w:val="21"/>
              </w:rPr>
              <w:t>（七）因肾上腺皮脂腺瘤切除肾上腺</w:t>
            </w:r>
            <w:r>
              <w:rPr>
                <w:b/>
                <w:w w:val="99"/>
                <w:sz w:val="21"/>
              </w:rPr>
              <w:t> </w:t>
            </w:r>
          </w:p>
          <w:p>
            <w:pPr>
              <w:pStyle w:val="TableParagraph"/>
              <w:spacing w:line="273" w:lineRule="auto" w:before="36"/>
              <w:ind w:left="323" w:right="202"/>
              <w:jc w:val="both"/>
              <w:rPr>
                <w:sz w:val="21"/>
              </w:rPr>
            </w:pPr>
            <w:r>
              <w:rPr>
                <w:sz w:val="21"/>
              </w:rPr>
              <w:t>因肾上腺皮质腺瘤所导致的醛固酮分泌过多而产生的继发性恶性高血压而实际接受了肾上腺切除术治疗。诊断及治疗均须在本公司认可医院内由专科医生认为是医疗必须的情况下进行。 </w:t>
            </w:r>
          </w:p>
          <w:p>
            <w:pPr>
              <w:pStyle w:val="TableParagraph"/>
              <w:spacing w:line="255" w:lineRule="exact" w:before="7"/>
              <w:ind w:left="323"/>
              <w:rPr>
                <w:b/>
                <w:sz w:val="21"/>
              </w:rPr>
            </w:pPr>
            <w:r>
              <w:rPr>
                <w:b/>
                <w:w w:val="99"/>
                <w:sz w:val="21"/>
              </w:rPr>
              <w:t> </w:t>
            </w:r>
          </w:p>
        </w:tc>
      </w:tr>
    </w:tbl>
    <w:p>
      <w:pPr>
        <w:spacing w:after="0" w:line="255" w:lineRule="exact"/>
        <w:rPr>
          <w:sz w:val="21"/>
        </w:rPr>
        <w:sectPr>
          <w:pgSz w:w="11910" w:h="16840"/>
          <w:pgMar w:top="1080" w:bottom="280" w:left="1020" w:right="700"/>
        </w:sectPr>
      </w:pPr>
    </w:p>
    <w:p>
      <w:pPr>
        <w:pStyle w:val="Heading2"/>
        <w:spacing w:before="22"/>
        <w:ind w:left="2005"/>
      </w:pPr>
      <w:r>
        <w:rPr/>
        <w:t>（八）双侧卵巢或睾丸切除术</w:t>
      </w:r>
      <w:r>
        <w:rPr>
          <w:w w:val="99"/>
        </w:rPr>
        <w:t> </w:t>
      </w:r>
    </w:p>
    <w:p>
      <w:pPr>
        <w:pStyle w:val="BodyText"/>
        <w:spacing w:line="273" w:lineRule="auto"/>
        <w:ind w:left="2005" w:right="219"/>
      </w:pPr>
      <w:r>
        <w:rPr/>
        <w:t>指为治疗疾病实际接受了经腹部切开或腹腔镜进行的双侧卵巢或睾丸完全切除手术。</w:t>
      </w:r>
      <w:r>
        <w:rPr>
          <w:shd w:fill="D9D9D9" w:color="auto" w:val="clear"/>
        </w:rPr>
        <w:t>部分卵巢或睾丸切除不在保障范围。</w:t>
      </w:r>
      <w:r>
        <w:rPr/>
        <w:t> </w:t>
      </w:r>
    </w:p>
    <w:p>
      <w:pPr>
        <w:pStyle w:val="Heading2"/>
        <w:spacing w:before="7"/>
        <w:ind w:left="2005"/>
      </w:pPr>
      <w:r>
        <w:rPr>
          <w:w w:val="99"/>
        </w:rPr>
        <w:t> </w:t>
      </w:r>
    </w:p>
    <w:p>
      <w:pPr>
        <w:spacing w:before="37"/>
        <w:ind w:left="2005" w:right="0" w:firstLine="0"/>
        <w:jc w:val="left"/>
        <w:rPr>
          <w:b/>
          <w:sz w:val="21"/>
        </w:rPr>
      </w:pPr>
      <w:r>
        <w:rPr>
          <w:b/>
          <w:sz w:val="21"/>
        </w:rPr>
        <w:t>（九）不典型的急性心肌梗塞</w:t>
      </w:r>
      <w:r>
        <w:rPr>
          <w:b/>
          <w:w w:val="99"/>
          <w:sz w:val="21"/>
        </w:rPr>
        <w:t> </w:t>
      </w:r>
    </w:p>
    <w:p>
      <w:pPr>
        <w:pStyle w:val="BodyText"/>
        <w:ind w:left="2005"/>
      </w:pPr>
      <w:r>
        <w:rPr/>
        <w:t>指被临床诊断为急性心肌梗塞并接受了急性心肌梗塞治疗虽然未达到重大疾病</w:t>
      </w:r>
    </w:p>
    <w:p>
      <w:pPr>
        <w:pStyle w:val="BodyText"/>
        <w:ind w:left="2005"/>
      </w:pPr>
      <w:r>
        <w:rPr/>
        <w:t>“急性心肌梗塞”的给付标准，但满足下列全部条件： </w:t>
      </w:r>
    </w:p>
    <w:p>
      <w:pPr>
        <w:pStyle w:val="BodyText"/>
        <w:ind w:left="2005"/>
      </w:pPr>
      <w:r>
        <w:rPr/>
        <w:t>（1）肌钙蛋白有诊断意义的升高；  </w:t>
      </w:r>
    </w:p>
    <w:p>
      <w:pPr>
        <w:pStyle w:val="BodyText"/>
        <w:ind w:left="2005"/>
      </w:pPr>
      <w:r>
        <w:rPr/>
        <w:t>（2）心电图有损伤性的 ST 段改变但未出现病理 Q 波。  </w:t>
      </w:r>
    </w:p>
    <w:p>
      <w:pPr>
        <w:pStyle w:val="BodyText"/>
        <w:spacing w:line="273" w:lineRule="auto"/>
        <w:ind w:left="2005" w:right="216"/>
        <w:jc w:val="both"/>
      </w:pPr>
      <w:r>
        <w:rPr>
          <w:spacing w:val="-5"/>
          <w:shd w:fill="D9D9D9" w:color="auto" w:val="clear"/>
        </w:rPr>
        <w:t>如果被保险人在不典型的急性心肌梗塞后 </w:t>
      </w:r>
      <w:r>
        <w:rPr>
          <w:shd w:fill="D9D9D9" w:color="auto" w:val="clear"/>
        </w:rPr>
        <w:t>90</w:t>
      </w:r>
      <w:r>
        <w:rPr>
          <w:spacing w:val="-11"/>
          <w:shd w:fill="D9D9D9" w:color="auto" w:val="clear"/>
        </w:rPr>
        <w:t> 天内实施了冠状动脉介入手术，本合同只给予在本疾病项下的理赔，不再给予冠状动脉介入手术理赔。理赔后不</w:t>
      </w:r>
      <w:r>
        <w:rPr>
          <w:spacing w:val="-6"/>
          <w:shd w:fill="D9D9D9" w:color="auto" w:val="clear"/>
        </w:rPr>
        <w:t>典型的急性心肌梗塞和冠状动脉介入手术保</w:t>
      </w:r>
      <w:r>
        <w:rPr>
          <w:spacing w:val="-212"/>
          <w:shd w:fill="D9D9D9" w:color="auto" w:val="clear"/>
        </w:rPr>
        <w:t>障</w:t>
      </w:r>
      <w:r>
        <w:rPr>
          <w:spacing w:val="-3"/>
          <w:shd w:fill="D9D9D9" w:color="auto" w:val="clear"/>
        </w:rPr>
        <w:t>同时终止。</w:t>
      </w:r>
      <w:r>
        <w:rPr/>
        <w:t> </w:t>
      </w:r>
    </w:p>
    <w:p>
      <w:pPr>
        <w:pStyle w:val="Heading2"/>
        <w:spacing w:before="8"/>
        <w:ind w:left="2005"/>
      </w:pPr>
      <w:r>
        <w:rPr>
          <w:w w:val="99"/>
        </w:rPr>
        <w:t> </w:t>
      </w:r>
    </w:p>
    <w:p>
      <w:pPr>
        <w:spacing w:before="37"/>
        <w:ind w:left="2005" w:right="0" w:firstLine="0"/>
        <w:jc w:val="left"/>
        <w:rPr>
          <w:b/>
          <w:sz w:val="21"/>
        </w:rPr>
      </w:pPr>
      <w:r>
        <w:rPr>
          <w:b/>
          <w:sz w:val="21"/>
        </w:rPr>
        <w:t>（十）轻微脑中风后遗症</w:t>
      </w:r>
      <w:r>
        <w:rPr>
          <w:b/>
          <w:w w:val="99"/>
          <w:sz w:val="21"/>
        </w:rPr>
        <w:t> </w:t>
      </w:r>
    </w:p>
    <w:p>
      <w:pPr>
        <w:pStyle w:val="BodyText"/>
        <w:spacing w:line="273" w:lineRule="auto"/>
        <w:ind w:left="2005" w:right="273"/>
        <w:jc w:val="both"/>
      </w:pPr>
      <w:r>
        <w:rPr>
          <w:spacing w:val="-3"/>
        </w:rPr>
        <w:t>指被保险人实际发生了脑血管的突发病变并出现神经系统功能障碍表现，头颅</w:t>
      </w:r>
      <w:r>
        <w:rPr>
          <w:spacing w:val="-3"/>
          <w:w w:val="100"/>
        </w:rPr>
        <w:t>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等影像学检查证实存在对应病灶，确诊</w:t>
      </w:r>
      <w:r>
        <w:rPr>
          <w:spacing w:val="-5"/>
        </w:rPr>
        <w:t>为脑出血、脑栓塞或者脑梗塞，在确诊 </w:t>
      </w:r>
      <w:r>
        <w:rPr/>
        <w:t>180</w:t>
      </w:r>
      <w:r>
        <w:rPr>
          <w:spacing w:val="-8"/>
        </w:rPr>
        <w:t> 天后遗留神经系统功能障碍，但未</w:t>
      </w:r>
      <w:r>
        <w:rPr>
          <w:spacing w:val="-3"/>
        </w:rPr>
        <w:t>达到本合同所指重大疾病“脑中风后遗症”的标准。遗留的神经系统功能障碍须满足下列一种或者一种以上障碍：</w:t>
      </w:r>
      <w:r>
        <w:rPr/>
        <w:t> </w:t>
      </w:r>
    </w:p>
    <w:p>
      <w:pPr>
        <w:pStyle w:val="BodyText"/>
        <w:spacing w:before="7"/>
        <w:ind w:left="2005"/>
      </w:pPr>
      <w:r>
        <w:rPr/>
        <w:t>（1）一肢或者一肢以上肢体机能部分丧失，其肢体肌力为Ⅲ级,或者小于Ⅲ级； </w:t>
      </w:r>
    </w:p>
    <w:p>
      <w:pPr>
        <w:pStyle w:val="BodyText"/>
        <w:spacing w:line="273" w:lineRule="auto" w:before="36"/>
        <w:ind w:left="2005" w:right="168"/>
      </w:pPr>
      <w:r>
        <w:rPr/>
        <w:t>（2）自主生活能力部分丧失，无法独立完成六项基本日常生活活动中的两项或者两项以上。 </w:t>
      </w:r>
    </w:p>
    <w:p>
      <w:pPr>
        <w:pStyle w:val="Heading2"/>
        <w:spacing w:before="7"/>
        <w:ind w:left="2005"/>
      </w:pPr>
      <w:r>
        <w:rPr>
          <w:w w:val="99"/>
        </w:rPr>
        <w:t> </w:t>
      </w:r>
    </w:p>
    <w:p>
      <w:pPr>
        <w:spacing w:before="36"/>
        <w:ind w:left="2005" w:right="0" w:firstLine="0"/>
        <w:jc w:val="left"/>
        <w:rPr>
          <w:b/>
          <w:sz w:val="21"/>
        </w:rPr>
      </w:pPr>
      <w:r>
        <w:rPr>
          <w:b/>
          <w:sz w:val="21"/>
        </w:rPr>
        <w:t>（十一）冠状动脉介入手术（非开胸手术）</w:t>
      </w:r>
      <w:r>
        <w:rPr>
          <w:b/>
          <w:w w:val="99"/>
          <w:sz w:val="21"/>
        </w:rPr>
        <w:t> </w:t>
      </w:r>
    </w:p>
    <w:p>
      <w:pPr>
        <w:pStyle w:val="BodyText"/>
        <w:spacing w:line="273" w:lineRule="auto" w:before="36"/>
        <w:ind w:left="2005" w:right="112"/>
      </w:pPr>
      <w:r>
        <w:rPr/>
        <w:t>为了治疗明显的冠状动脉狭窄性疾病，首次实际实施了冠状动脉球囊扩张成形</w:t>
      </w:r>
      <w:r>
        <w:rPr>
          <w:spacing w:val="-11"/>
        </w:rPr>
        <w:t>术、冠状动脉支架植入术、冠状动脉粥肿斑块切除术或者激光冠状动脉成形术。</w:t>
      </w:r>
      <w:r>
        <w:rPr/>
        <w:t> </w:t>
      </w:r>
    </w:p>
    <w:p>
      <w:pPr>
        <w:pStyle w:val="Heading2"/>
        <w:spacing w:before="7"/>
        <w:ind w:left="2005"/>
      </w:pPr>
      <w:r>
        <w:rPr>
          <w:w w:val="99"/>
        </w:rPr>
        <w:t> </w:t>
      </w:r>
    </w:p>
    <w:p>
      <w:pPr>
        <w:spacing w:before="37"/>
        <w:ind w:left="2005" w:right="0" w:firstLine="0"/>
        <w:jc w:val="left"/>
        <w:rPr>
          <w:b/>
          <w:sz w:val="21"/>
        </w:rPr>
      </w:pPr>
      <w:r>
        <w:rPr>
          <w:b/>
          <w:sz w:val="21"/>
        </w:rPr>
        <w:t>（十二）心脏瓣膜介入手术（非开胸手术）</w:t>
      </w:r>
      <w:r>
        <w:rPr>
          <w:b/>
          <w:w w:val="99"/>
          <w:sz w:val="21"/>
        </w:rPr>
        <w:t> </w:t>
      </w:r>
    </w:p>
    <w:p>
      <w:pPr>
        <w:pStyle w:val="BodyText"/>
        <w:spacing w:line="273" w:lineRule="auto"/>
        <w:ind w:left="2005" w:right="219"/>
      </w:pPr>
      <w:r>
        <w:rPr/>
        <w:t>为了治疗心脏瓣膜疾病，实际实施了非开胸的经胸壁打孔内镜手术或者经皮经导管介入手术进行的心脏瓣膜置换或者修复手术。 </w:t>
      </w:r>
    </w:p>
    <w:p>
      <w:pPr>
        <w:pStyle w:val="Heading2"/>
        <w:spacing w:before="7"/>
        <w:ind w:left="2005"/>
      </w:pPr>
      <w:r>
        <w:rPr>
          <w:w w:val="99"/>
        </w:rPr>
        <w:t> </w:t>
      </w:r>
    </w:p>
    <w:p>
      <w:pPr>
        <w:spacing w:before="36"/>
        <w:ind w:left="2005" w:right="0" w:firstLine="0"/>
        <w:jc w:val="left"/>
        <w:rPr>
          <w:b/>
          <w:sz w:val="21"/>
        </w:rPr>
      </w:pPr>
      <w:r>
        <w:rPr>
          <w:b/>
          <w:sz w:val="21"/>
        </w:rPr>
        <w:t>（十三）主动脉内手术（非开胸手术）</w:t>
      </w:r>
      <w:r>
        <w:rPr>
          <w:b/>
          <w:w w:val="99"/>
          <w:sz w:val="21"/>
        </w:rPr>
        <w:t> </w:t>
      </w:r>
    </w:p>
    <w:p>
      <w:pPr>
        <w:pStyle w:val="BodyText"/>
        <w:spacing w:line="273" w:lineRule="auto" w:before="36"/>
        <w:ind w:left="2005" w:right="216"/>
      </w:pPr>
      <w:r>
        <w:rPr/>
        <w:t>为了治疗主动脉疾病实际实施了经皮经导管进行的动脉内手术。</w:t>
      </w:r>
      <w:r>
        <w:rPr>
          <w:shd w:fill="D9D9D9" w:color="auto" w:val="clear"/>
        </w:rPr>
        <w:t>主动脉指胸主</w:t>
      </w:r>
      <w:r>
        <w:rPr>
          <w:spacing w:val="-212"/>
          <w:shd w:fill="D9D9D9" w:color="auto" w:val="clear"/>
        </w:rPr>
        <w:t>动</w:t>
      </w:r>
      <w:r>
        <w:rPr>
          <w:spacing w:val="-3"/>
          <w:shd w:fill="D9D9D9" w:color="auto" w:val="clear"/>
        </w:rPr>
        <w:t>脉和腹主动脉，不包括胸主动脉和腹主动脉的分支血管。</w:t>
      </w:r>
      <w:r>
        <w:rPr/>
        <w:t> </w:t>
      </w:r>
    </w:p>
    <w:p>
      <w:pPr>
        <w:pStyle w:val="Heading2"/>
        <w:spacing w:before="7"/>
        <w:ind w:left="2005"/>
      </w:pPr>
      <w:r>
        <w:rPr>
          <w:w w:val="99"/>
        </w:rPr>
        <w:t> </w:t>
      </w:r>
    </w:p>
    <w:p>
      <w:pPr>
        <w:spacing w:before="37"/>
        <w:ind w:left="2005" w:right="0" w:firstLine="0"/>
        <w:jc w:val="left"/>
        <w:rPr>
          <w:b/>
          <w:sz w:val="21"/>
        </w:rPr>
      </w:pPr>
      <w:r>
        <w:rPr>
          <w:b/>
          <w:sz w:val="21"/>
        </w:rPr>
        <w:t>（十四）继发性肺动脉高压</w:t>
      </w:r>
      <w:r>
        <w:rPr>
          <w:b/>
          <w:w w:val="99"/>
          <w:sz w:val="21"/>
        </w:rPr>
        <w:t> </w:t>
      </w:r>
    </w:p>
    <w:p>
      <w:pPr>
        <w:pStyle w:val="BodyText"/>
        <w:spacing w:line="273" w:lineRule="auto"/>
        <w:ind w:left="2005" w:right="199"/>
        <w:jc w:val="both"/>
      </w:pPr>
      <w:r>
        <w:rPr/>
        <w:t>继发性肺动脉压力持续增高，导致右心室肥厚，已经造成永久不可逆性的体力</w:t>
      </w:r>
      <w:r>
        <w:rPr>
          <w:spacing w:val="-4"/>
        </w:rPr>
        <w:t>活动能力受限，达到美国纽约心脏病学会心功能状态分级 </w:t>
      </w:r>
      <w:r>
        <w:rPr/>
        <w:t>III</w:t>
      </w:r>
      <w:r>
        <w:rPr>
          <w:spacing w:val="-5"/>
        </w:rPr>
        <w:t> 级。诊断需要有</w:t>
      </w:r>
      <w:r>
        <w:rPr>
          <w:spacing w:val="12"/>
        </w:rPr>
        <w:t>心脏科专家确诊，并且心导管检查报告显示静息状态下肺动脉平均压超过</w:t>
      </w:r>
    </w:p>
    <w:p>
      <w:pPr>
        <w:pStyle w:val="BodyText"/>
        <w:spacing w:before="7"/>
        <w:ind w:left="2005"/>
      </w:pPr>
      <w:r>
        <w:rPr/>
        <w:t>25mmHg。 </w:t>
      </w:r>
    </w:p>
    <w:p>
      <w:pPr>
        <w:pStyle w:val="Heading2"/>
        <w:spacing w:before="36"/>
        <w:ind w:left="2005"/>
      </w:pPr>
      <w:r>
        <w:rPr>
          <w:w w:val="99"/>
        </w:rPr>
        <w:t> </w:t>
      </w:r>
    </w:p>
    <w:p>
      <w:pPr>
        <w:spacing w:before="36"/>
        <w:ind w:left="2005" w:right="0" w:firstLine="0"/>
        <w:jc w:val="left"/>
        <w:rPr>
          <w:b/>
          <w:sz w:val="21"/>
        </w:rPr>
      </w:pPr>
      <w:r>
        <w:rPr>
          <w:b/>
          <w:sz w:val="21"/>
        </w:rPr>
        <w:t>（十五）微创冠状动脉搭桥术</w:t>
      </w:r>
      <w:r>
        <w:rPr>
          <w:b/>
          <w:w w:val="99"/>
          <w:sz w:val="21"/>
        </w:rPr>
        <w:t> </w:t>
      </w:r>
    </w:p>
    <w:p>
      <w:pPr>
        <w:pStyle w:val="BodyText"/>
        <w:spacing w:line="273" w:lineRule="auto" w:before="36"/>
        <w:ind w:left="2005" w:right="215"/>
        <w:jc w:val="both"/>
      </w:pPr>
      <w:r>
        <w:rPr>
          <w:spacing w:val="-5"/>
          <w:w w:val="100"/>
        </w:rPr>
        <w:t>指确实透过微型的胸壁锁孔</w:t>
      </w:r>
      <w:r>
        <w:rPr>
          <w:spacing w:val="-3"/>
          <w:w w:val="100"/>
        </w:rPr>
        <w:t>（于肋骨之间开一个细小的切口</w:t>
      </w:r>
      <w:r>
        <w:rPr>
          <w:spacing w:val="-108"/>
          <w:w w:val="100"/>
        </w:rPr>
        <w:t>）</w:t>
      </w:r>
      <w:r>
        <w:rPr>
          <w:spacing w:val="-7"/>
          <w:w w:val="100"/>
        </w:rPr>
        <w:t>，进行非体外循环</w:t>
      </w:r>
      <w:r>
        <w:rPr>
          <w:spacing w:val="-7"/>
        </w:rPr>
        <w:t>下的冠状动脉搭桥手术，以矫正一条或以上冠状动脉狭窄或闭塞。微创进行直接的冠状动脉搭桥手术亦可称“锁孔”式冠状动脉手术。有关程序为医疗所需</w:t>
      </w:r>
      <w:r>
        <w:rPr>
          <w:spacing w:val="-5"/>
        </w:rPr>
        <w:t>及由本公司认可医院的心脏专科医生进行。</w:t>
      </w:r>
      <w:r>
        <w:rPr/>
        <w:t> </w:t>
      </w:r>
    </w:p>
    <w:p>
      <w:pPr>
        <w:spacing w:after="0" w:line="273" w:lineRule="auto"/>
        <w:jc w:val="both"/>
        <w:sectPr>
          <w:pgSz w:w="11910" w:h="16840"/>
          <w:pgMar w:top="1080" w:bottom="280" w:left="1680" w:right="800"/>
        </w:sectPr>
      </w:pPr>
    </w:p>
    <w:p>
      <w:pPr>
        <w:pStyle w:val="Heading2"/>
        <w:spacing w:before="22"/>
        <w:ind w:left="2005"/>
      </w:pPr>
      <w:r>
        <w:rPr>
          <w:w w:val="99"/>
        </w:rPr>
        <w:t> </w:t>
      </w:r>
    </w:p>
    <w:p>
      <w:pPr>
        <w:spacing w:before="37"/>
        <w:ind w:left="2005" w:right="0" w:firstLine="0"/>
        <w:jc w:val="left"/>
        <w:rPr>
          <w:b/>
          <w:sz w:val="21"/>
        </w:rPr>
      </w:pPr>
      <w:r>
        <w:rPr>
          <w:b/>
          <w:sz w:val="21"/>
        </w:rPr>
        <w:t>（十六）特定周围动脉疾病的血管介入治疗</w:t>
      </w:r>
      <w:r>
        <w:rPr>
          <w:b/>
          <w:w w:val="99"/>
          <w:sz w:val="21"/>
        </w:rPr>
        <w:t> </w:t>
      </w:r>
    </w:p>
    <w:p>
      <w:pPr>
        <w:pStyle w:val="BodyText"/>
        <w:spacing w:before="34"/>
        <w:ind w:left="2005"/>
      </w:pPr>
      <w:r>
        <w:rPr/>
        <w:t>指为治疗一条或者一条以上的下列动脉狭窄而实施的血管介入治疗： </w:t>
      </w:r>
    </w:p>
    <w:p>
      <w:pPr>
        <w:pStyle w:val="BodyText"/>
        <w:spacing w:before="39"/>
        <w:ind w:left="2005"/>
      </w:pPr>
      <w:r>
        <w:rPr/>
        <w:t>（1）为下肢或者上肢供血的动脉； </w:t>
      </w:r>
    </w:p>
    <w:p>
      <w:pPr>
        <w:pStyle w:val="BodyText"/>
        <w:spacing w:before="36"/>
        <w:ind w:left="2005"/>
      </w:pPr>
      <w:r>
        <w:rPr/>
        <w:t>（2）肾动脉； </w:t>
      </w:r>
    </w:p>
    <w:p>
      <w:pPr>
        <w:pStyle w:val="BodyText"/>
        <w:spacing w:line="273" w:lineRule="auto" w:before="36"/>
        <w:ind w:left="2005" w:right="5213"/>
      </w:pPr>
      <w:r>
        <w:rPr/>
        <w:t>（3）</w:t>
      </w:r>
      <w:r>
        <w:rPr>
          <w:spacing w:val="-3"/>
        </w:rPr>
        <w:t>肠系膜动脉。   须满足下列全部条件：</w:t>
      </w:r>
      <w:r>
        <w:rPr/>
        <w:t> </w:t>
      </w:r>
    </w:p>
    <w:p>
      <w:pPr>
        <w:pStyle w:val="BodyText"/>
        <w:spacing w:before="7"/>
        <w:ind w:left="2005"/>
      </w:pPr>
      <w:r>
        <w:rPr/>
        <w:t>（1）经血管造影术证实一条或者一条以上的上述动脉狭窄达到 50%或者以上； </w:t>
      </w:r>
    </w:p>
    <w:p>
      <w:pPr>
        <w:pStyle w:val="BodyText"/>
        <w:spacing w:line="273" w:lineRule="auto"/>
        <w:ind w:left="2005" w:right="213"/>
      </w:pPr>
      <w:r>
        <w:rPr/>
        <w:t>（2）对一条或者一条以上的上述动脉施行了血管介入治疗，如血管成形术及/ 或者进行植入支架或者动脉粥样样瘤清除手术。 </w:t>
      </w:r>
    </w:p>
    <w:p>
      <w:pPr>
        <w:pStyle w:val="BodyText"/>
        <w:spacing w:line="273" w:lineRule="auto" w:before="8"/>
        <w:ind w:left="2005" w:right="219"/>
      </w:pPr>
      <w:r>
        <w:rPr/>
        <w:t>此诊断及治疗均须在我们指定或认可的医院，由血管疾病的专科医生确诊为医疗必须的情况下进行。 </w:t>
      </w:r>
    </w:p>
    <w:p>
      <w:pPr>
        <w:pStyle w:val="Heading2"/>
        <w:spacing w:before="8"/>
        <w:ind w:left="2005"/>
      </w:pPr>
      <w:r>
        <w:rPr>
          <w:w w:val="99"/>
        </w:rPr>
        <w:t> </w:t>
      </w:r>
    </w:p>
    <w:p>
      <w:pPr>
        <w:spacing w:before="36"/>
        <w:ind w:left="2005" w:right="0" w:firstLine="0"/>
        <w:jc w:val="left"/>
        <w:rPr>
          <w:b/>
          <w:sz w:val="21"/>
        </w:rPr>
      </w:pPr>
      <w:r>
        <w:rPr>
          <w:b/>
          <w:sz w:val="21"/>
        </w:rPr>
        <w:t>（十七）Ⅲ度房室传导阻滞-已放置心脏起搏器</w:t>
      </w:r>
      <w:r>
        <w:rPr>
          <w:b/>
          <w:w w:val="99"/>
          <w:sz w:val="21"/>
        </w:rPr>
        <w:t> </w:t>
      </w:r>
    </w:p>
    <w:p>
      <w:pPr>
        <w:pStyle w:val="BodyText"/>
        <w:spacing w:line="273" w:lineRule="auto" w:before="36"/>
        <w:ind w:left="2005" w:right="219"/>
      </w:pPr>
      <w:r>
        <w:rPr/>
        <w:t>指全部由心脏窦房结产生的自动节律性电生理激动都不能传导至心室，经心脏专科医生明确诊断、并且已经实施了植入永久性心脏起搏器的手术。 </w:t>
      </w:r>
    </w:p>
    <w:p>
      <w:pPr>
        <w:pStyle w:val="Heading2"/>
        <w:spacing w:before="7"/>
        <w:ind w:left="2005"/>
      </w:pPr>
      <w:r>
        <w:rPr>
          <w:w w:val="99"/>
        </w:rPr>
        <w:t> </w:t>
      </w:r>
    </w:p>
    <w:p>
      <w:pPr>
        <w:spacing w:before="37"/>
        <w:ind w:left="2005" w:right="0" w:firstLine="0"/>
        <w:jc w:val="left"/>
        <w:rPr>
          <w:b/>
          <w:sz w:val="21"/>
        </w:rPr>
      </w:pPr>
      <w:r>
        <w:rPr>
          <w:b/>
          <w:sz w:val="21"/>
        </w:rPr>
        <w:t>（十八）视力严重受损</w:t>
      </w:r>
      <w:r>
        <w:rPr>
          <w:b/>
          <w:w w:val="99"/>
          <w:sz w:val="21"/>
        </w:rPr>
        <w:t> </w:t>
      </w:r>
    </w:p>
    <w:p>
      <w:pPr>
        <w:pStyle w:val="BodyText"/>
        <w:ind w:left="2005"/>
      </w:pPr>
      <w:r>
        <w:rPr/>
        <w:t>指因疾病或者意外伤害导致双眼视力永久不可逆性丧失，虽然未达到重大疾病</w:t>
      </w:r>
    </w:p>
    <w:p>
      <w:pPr>
        <w:pStyle w:val="BodyText"/>
        <w:ind w:left="2005"/>
      </w:pPr>
      <w:r>
        <w:rPr/>
        <w:t>“双目失明”的给付标准，但满足下列条件之一： </w:t>
      </w:r>
    </w:p>
    <w:p>
      <w:pPr>
        <w:pStyle w:val="BodyText"/>
        <w:spacing w:line="273" w:lineRule="auto"/>
        <w:ind w:left="2005" w:right="215"/>
      </w:pPr>
      <w:r>
        <w:rPr/>
        <w:t>（1）</w:t>
      </w:r>
      <w:r>
        <w:rPr>
          <w:spacing w:val="-5"/>
        </w:rPr>
        <w:t>双眼中较好眼矫正视力低于 </w:t>
      </w:r>
      <w:r>
        <w:rPr/>
        <w:t>0.1（</w:t>
      </w:r>
      <w:r>
        <w:rPr>
          <w:spacing w:val="-3"/>
        </w:rPr>
        <w:t>采用国际标准视力表，如果使用其他视</w:t>
      </w:r>
      <w:r>
        <w:rPr>
          <w:spacing w:val="-3"/>
          <w:w w:val="100"/>
        </w:rPr>
        <w:t>力表应进行换算</w:t>
      </w:r>
      <w:r>
        <w:rPr>
          <w:spacing w:val="-106"/>
          <w:w w:val="100"/>
        </w:rPr>
        <w:t>）</w:t>
      </w:r>
      <w:r>
        <w:rPr>
          <w:spacing w:val="-3"/>
          <w:w w:val="100"/>
        </w:rPr>
        <w:t>；</w:t>
      </w:r>
      <w:r>
        <w:rPr>
          <w:w w:val="100"/>
        </w:rPr>
        <w:t> </w:t>
      </w:r>
    </w:p>
    <w:p>
      <w:pPr>
        <w:pStyle w:val="BodyText"/>
        <w:spacing w:before="8"/>
        <w:ind w:left="2005"/>
      </w:pPr>
      <w:r>
        <w:rPr/>
        <w:t>（2）双眼中较好眼视野半径小于 20 度。 </w:t>
      </w:r>
    </w:p>
    <w:p>
      <w:pPr>
        <w:pStyle w:val="BodyText"/>
        <w:spacing w:line="273" w:lineRule="auto"/>
        <w:ind w:left="2005" w:right="215"/>
      </w:pPr>
      <w:r>
        <w:rPr>
          <w:spacing w:val="-5"/>
          <w:shd w:fill="D9D9D9" w:color="auto" w:val="clear"/>
        </w:rPr>
        <w:t>被保险人申请理赔时年龄必须在 </w:t>
      </w:r>
      <w:r>
        <w:rPr>
          <w:shd w:fill="D9D9D9" w:color="auto" w:val="clear"/>
        </w:rPr>
        <w:t>3</w:t>
      </w:r>
      <w:r>
        <w:rPr>
          <w:spacing w:val="-9"/>
          <w:shd w:fill="D9D9D9" w:color="auto" w:val="clear"/>
        </w:rPr>
        <w:t> 周岁以上，并且提供 </w:t>
      </w:r>
      <w:r>
        <w:rPr>
          <w:shd w:fill="D9D9D9" w:color="auto" w:val="clear"/>
        </w:rPr>
        <w:t>3</w:t>
      </w:r>
      <w:r>
        <w:rPr>
          <w:spacing w:val="-7"/>
          <w:shd w:fill="D9D9D9" w:color="auto" w:val="clear"/>
        </w:rPr>
        <w:t> 周岁以后的视力丧失</w:t>
      </w:r>
      <w:r>
        <w:rPr>
          <w:spacing w:val="-208"/>
          <w:shd w:fill="D9D9D9" w:color="auto" w:val="clear"/>
        </w:rPr>
        <w:t>诊</w:t>
      </w:r>
      <w:r>
        <w:rPr>
          <w:spacing w:val="-3"/>
          <w:shd w:fill="D9D9D9" w:color="auto" w:val="clear"/>
        </w:rPr>
        <w:t>断及检查证据。</w:t>
      </w:r>
      <w:r>
        <w:rPr/>
        <w:t> </w:t>
      </w:r>
    </w:p>
    <w:p>
      <w:pPr>
        <w:pStyle w:val="Heading2"/>
        <w:spacing w:before="7"/>
        <w:ind w:left="2005"/>
      </w:pPr>
      <w:r>
        <w:rPr>
          <w:w w:val="99"/>
        </w:rPr>
        <w:t> </w:t>
      </w:r>
    </w:p>
    <w:p>
      <w:pPr>
        <w:spacing w:before="36"/>
        <w:ind w:left="2005" w:right="0" w:firstLine="0"/>
        <w:jc w:val="left"/>
        <w:rPr>
          <w:b/>
          <w:sz w:val="21"/>
        </w:rPr>
      </w:pPr>
      <w:r>
        <w:rPr>
          <w:b/>
          <w:sz w:val="21"/>
        </w:rPr>
        <w:t>（十九）脑垂体瘤、脑囊肿，脑血管瘤</w:t>
      </w:r>
      <w:r>
        <w:rPr>
          <w:b/>
          <w:w w:val="99"/>
          <w:sz w:val="21"/>
        </w:rPr>
        <w:t> </w:t>
      </w:r>
    </w:p>
    <w:p>
      <w:pPr>
        <w:pStyle w:val="BodyText"/>
        <w:spacing w:line="273" w:lineRule="auto" w:before="36"/>
        <w:ind w:left="2005" w:right="215"/>
        <w:jc w:val="both"/>
      </w:pPr>
      <w:r>
        <w:rPr>
          <w:w w:val="100"/>
        </w:rPr>
        <w:t>指经头颅断层扫描（CT</w:t>
      </w:r>
      <w:r>
        <w:rPr>
          <w:spacing w:val="-104"/>
          <w:w w:val="100"/>
        </w:rPr>
        <w:t>）</w:t>
      </w:r>
      <w:r>
        <w:rPr>
          <w:w w:val="100"/>
        </w:rPr>
        <w:t>、核磁共振检查</w:t>
      </w:r>
      <w:r>
        <w:rPr>
          <w:spacing w:val="2"/>
          <w:w w:val="100"/>
        </w:rPr>
        <w:t>（</w:t>
      </w:r>
      <w:r>
        <w:rPr>
          <w:spacing w:val="-3"/>
          <w:w w:val="100"/>
        </w:rPr>
        <w:t>M</w:t>
      </w:r>
      <w:r>
        <w:rPr>
          <w:w w:val="100"/>
        </w:rPr>
        <w:t>R</w:t>
      </w:r>
      <w:r>
        <w:rPr>
          <w:spacing w:val="-1"/>
          <w:w w:val="100"/>
        </w:rPr>
        <w:t>I</w:t>
      </w:r>
      <w:r>
        <w:rPr>
          <w:spacing w:val="1"/>
          <w:w w:val="100"/>
        </w:rPr>
        <w:t>）</w:t>
      </w:r>
      <w:r>
        <w:rPr>
          <w:w w:val="100"/>
        </w:rPr>
        <w:t>或者其他影像学检查被确诊为</w:t>
      </w:r>
      <w:r>
        <w:rPr/>
        <w:t>下列病变，并实际接受了手术或者放射治疗，且未达到本合同重大疾病“破裂</w:t>
      </w:r>
      <w:r>
        <w:rPr>
          <w:spacing w:val="-3"/>
        </w:rPr>
        <w:t>脑动脉瘤夹闭手术”的给付标准。</w:t>
      </w:r>
      <w:r>
        <w:rPr/>
        <w:t> </w:t>
      </w:r>
    </w:p>
    <w:p>
      <w:pPr>
        <w:pStyle w:val="BodyText"/>
        <w:spacing w:before="7"/>
        <w:ind w:left="2005"/>
      </w:pPr>
      <w:r>
        <w:rPr/>
        <w:t>（1）脑垂体瘤； </w:t>
      </w:r>
    </w:p>
    <w:p>
      <w:pPr>
        <w:pStyle w:val="BodyText"/>
        <w:ind w:left="2005"/>
      </w:pPr>
      <w:r>
        <w:rPr/>
        <w:t>（2）脑囊肿； </w:t>
      </w:r>
    </w:p>
    <w:p>
      <w:pPr>
        <w:pStyle w:val="BodyText"/>
        <w:ind w:left="2005"/>
      </w:pPr>
      <w:r>
        <w:rPr/>
        <w:t>（3）脑血管瘤。 </w:t>
      </w:r>
    </w:p>
    <w:p>
      <w:pPr>
        <w:pStyle w:val="Heading2"/>
        <w:spacing w:before="37"/>
        <w:ind w:left="2005"/>
      </w:pPr>
      <w:r>
        <w:rPr>
          <w:w w:val="99"/>
        </w:rPr>
        <w:t> </w:t>
      </w:r>
    </w:p>
    <w:p>
      <w:pPr>
        <w:spacing w:before="36"/>
        <w:ind w:left="2005" w:right="0" w:firstLine="0"/>
        <w:jc w:val="left"/>
        <w:rPr>
          <w:b/>
          <w:sz w:val="21"/>
        </w:rPr>
      </w:pPr>
      <w:r>
        <w:rPr>
          <w:b/>
          <w:sz w:val="21"/>
        </w:rPr>
        <w:t>（二十）重度头部外伤</w:t>
      </w:r>
      <w:r>
        <w:rPr>
          <w:b/>
          <w:w w:val="99"/>
          <w:sz w:val="21"/>
        </w:rPr>
        <w:t> </w:t>
      </w:r>
    </w:p>
    <w:p>
      <w:pPr>
        <w:pStyle w:val="BodyText"/>
        <w:spacing w:line="273" w:lineRule="auto" w:before="36"/>
        <w:ind w:left="2005" w:right="214"/>
      </w:pPr>
      <w:r>
        <w:rPr/>
        <w:t>指因头部遭受机械性外力，引起脑重要部位损伤，导致神经系统永久性的功能</w:t>
      </w:r>
      <w:r>
        <w:rPr>
          <w:w w:val="100"/>
        </w:rPr>
        <w:t>障碍。须由头颅断层扫描</w:t>
      </w:r>
      <w:r>
        <w:rPr>
          <w:spacing w:val="2"/>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p>
    <w:p>
      <w:pPr>
        <w:pStyle w:val="BodyText"/>
        <w:spacing w:line="273" w:lineRule="auto" w:before="7"/>
        <w:ind w:left="2005" w:right="122"/>
      </w:pPr>
      <w:r>
        <w:rPr/>
        <w:t>（PET）</w:t>
      </w:r>
      <w:r>
        <w:rPr>
          <w:spacing w:val="-5"/>
        </w:rPr>
        <w:t>等影像学检查证实。神经系统永久性的功能障碍，指脑损伤 </w:t>
      </w:r>
      <w:r>
        <w:rPr/>
        <w:t>180</w:t>
      </w:r>
      <w:r>
        <w:rPr>
          <w:spacing w:val="1"/>
        </w:rPr>
        <w:t> 天后， </w:t>
      </w:r>
      <w:r>
        <w:rPr/>
        <w:t>仍完全丧失自主生活能力，无法独立完成六项基本日常生活活动中的两项或两</w:t>
      </w:r>
      <w:r>
        <w:rPr>
          <w:spacing w:val="-2"/>
        </w:rPr>
        <w:t>项以上。</w:t>
      </w:r>
      <w:r>
        <w:rPr/>
        <w:t> </w:t>
      </w:r>
    </w:p>
    <w:p>
      <w:pPr>
        <w:pStyle w:val="Heading2"/>
        <w:spacing w:before="7"/>
        <w:ind w:left="2005"/>
      </w:pPr>
      <w:r>
        <w:rPr>
          <w:w w:val="99"/>
        </w:rPr>
        <w:t> </w:t>
      </w:r>
    </w:p>
    <w:p>
      <w:pPr>
        <w:spacing w:before="36"/>
        <w:ind w:left="2005" w:right="0" w:firstLine="0"/>
        <w:jc w:val="left"/>
        <w:rPr>
          <w:b/>
          <w:sz w:val="21"/>
        </w:rPr>
      </w:pPr>
      <w:r>
        <w:rPr>
          <w:b/>
          <w:sz w:val="21"/>
        </w:rPr>
        <w:t>（二十一）人工耳蜗植入术</w:t>
      </w:r>
      <w:r>
        <w:rPr>
          <w:b/>
          <w:w w:val="99"/>
          <w:sz w:val="21"/>
        </w:rPr>
        <w:t> </w:t>
      </w:r>
    </w:p>
    <w:p>
      <w:pPr>
        <w:pStyle w:val="BodyText"/>
        <w:spacing w:line="273" w:lineRule="auto" w:before="36"/>
        <w:ind w:left="2005" w:right="219"/>
      </w:pPr>
      <w:r>
        <w:rPr/>
        <w:t>指由于耳蜗的永久损害而实际实施了人工耳蜗植入手术。诊断须经专科医生确认在医学上是必要的，且在植入手术之前已经符合下列全部条件： </w:t>
      </w:r>
    </w:p>
    <w:p>
      <w:pPr>
        <w:pStyle w:val="BodyText"/>
        <w:spacing w:before="7"/>
        <w:ind w:left="2005"/>
      </w:pPr>
      <w:r>
        <w:rPr/>
        <w:t>（1）双耳持续 12 个月以上重度感音神经性耳聋； </w:t>
      </w:r>
    </w:p>
    <w:p>
      <w:pPr>
        <w:pStyle w:val="BodyText"/>
        <w:spacing w:before="36"/>
        <w:ind w:left="2005"/>
      </w:pPr>
      <w:r>
        <w:rPr/>
        <w:t>（2）使用相应的听力辅助设备效果不佳。 </w:t>
      </w:r>
    </w:p>
    <w:p>
      <w:pPr>
        <w:spacing w:after="0"/>
        <w:sectPr>
          <w:pgSz w:w="11910" w:h="16840"/>
          <w:pgMar w:top="1080" w:bottom="280" w:left="16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332"/>
        <w:gridCol w:w="8254"/>
      </w:tblGrid>
      <w:tr>
        <w:trPr>
          <w:trHeight w:val="13992" w:hRule="atLeast"/>
        </w:trPr>
        <w:tc>
          <w:tcPr>
            <w:tcW w:w="787" w:type="dxa"/>
          </w:tcPr>
          <w:p>
            <w:pPr>
              <w:pStyle w:val="TableParagraph"/>
              <w:rPr>
                <w:rFonts w:ascii="Times New Roman"/>
                <w:sz w:val="20"/>
              </w:rPr>
            </w:pPr>
          </w:p>
        </w:tc>
        <w:tc>
          <w:tcPr>
            <w:tcW w:w="1332" w:type="dxa"/>
          </w:tcPr>
          <w:p>
            <w:pPr>
              <w:pStyle w:val="TableParagraph"/>
              <w:rPr>
                <w:rFonts w:ascii="Times New Roman"/>
                <w:sz w:val="20"/>
              </w:rPr>
            </w:pPr>
          </w:p>
        </w:tc>
        <w:tc>
          <w:tcPr>
            <w:tcW w:w="8254" w:type="dxa"/>
          </w:tcPr>
          <w:p>
            <w:pPr>
              <w:pStyle w:val="TableParagraph"/>
              <w:spacing w:line="211" w:lineRule="exact"/>
              <w:ind w:left="746"/>
              <w:rPr>
                <w:b/>
                <w:sz w:val="21"/>
              </w:rPr>
            </w:pPr>
            <w:r>
              <w:rPr>
                <w:b/>
                <w:w w:val="99"/>
                <w:sz w:val="21"/>
              </w:rPr>
              <w:t> </w:t>
            </w:r>
          </w:p>
          <w:p>
            <w:pPr>
              <w:pStyle w:val="TableParagraph"/>
              <w:spacing w:before="37"/>
              <w:ind w:left="746"/>
              <w:rPr>
                <w:b/>
                <w:sz w:val="21"/>
              </w:rPr>
            </w:pPr>
            <w:r>
              <w:rPr>
                <w:b/>
                <w:sz w:val="21"/>
              </w:rPr>
              <w:t>（二十二）角膜移植</w:t>
            </w:r>
            <w:r>
              <w:rPr>
                <w:b/>
                <w:w w:val="99"/>
                <w:sz w:val="21"/>
              </w:rPr>
              <w:t> </w:t>
            </w:r>
          </w:p>
          <w:p>
            <w:pPr>
              <w:pStyle w:val="TableParagraph"/>
              <w:spacing w:before="36"/>
              <w:ind w:left="746"/>
              <w:rPr>
                <w:sz w:val="21"/>
              </w:rPr>
            </w:pPr>
            <w:r>
              <w:rPr>
                <w:sz w:val="21"/>
              </w:rPr>
              <w:t>指为增进视力或治疗某些角膜疾患，已经实施了异体的角膜移植手术。 </w:t>
            </w:r>
          </w:p>
          <w:p>
            <w:pPr>
              <w:pStyle w:val="TableParagraph"/>
              <w:spacing w:before="36"/>
              <w:ind w:left="746"/>
              <w:rPr>
                <w:sz w:val="21"/>
              </w:rPr>
            </w:pPr>
            <w:r>
              <w:rPr>
                <w:sz w:val="21"/>
              </w:rPr>
              <w:t>此手术必须在本公司认可医院内由专科医生认为是医疗必须的情况下进行。 </w:t>
            </w:r>
          </w:p>
          <w:p>
            <w:pPr>
              <w:pStyle w:val="TableParagraph"/>
              <w:spacing w:before="36"/>
              <w:ind w:left="746"/>
              <w:rPr>
                <w:b/>
                <w:sz w:val="21"/>
              </w:rPr>
            </w:pPr>
            <w:r>
              <w:rPr>
                <w:b/>
                <w:w w:val="99"/>
                <w:sz w:val="21"/>
              </w:rPr>
              <w:t> </w:t>
            </w:r>
          </w:p>
          <w:p>
            <w:pPr>
              <w:pStyle w:val="TableParagraph"/>
              <w:spacing w:before="36"/>
              <w:ind w:left="746"/>
              <w:rPr>
                <w:b/>
                <w:sz w:val="21"/>
              </w:rPr>
            </w:pPr>
            <w:r>
              <w:rPr>
                <w:b/>
                <w:sz w:val="21"/>
              </w:rPr>
              <w:t>（二十三）单目失明</w:t>
            </w:r>
            <w:r>
              <w:rPr>
                <w:b/>
                <w:w w:val="99"/>
                <w:sz w:val="21"/>
              </w:rPr>
              <w:t> </w:t>
            </w:r>
          </w:p>
          <w:p>
            <w:pPr>
              <w:pStyle w:val="TableParagraph"/>
              <w:spacing w:line="273" w:lineRule="auto" w:before="36"/>
              <w:ind w:left="746" w:right="306"/>
              <w:rPr>
                <w:sz w:val="21"/>
              </w:rPr>
            </w:pPr>
            <w:r>
              <w:rPr>
                <w:sz w:val="21"/>
              </w:rPr>
              <w:t>指因疾病或意外伤害导致单眼视力永久不可逆性丧失，但未达到本合同所指重大疾病“双目失明”的给付标准，但患眼须满足下列至少一项条件： </w:t>
            </w:r>
          </w:p>
          <w:p>
            <w:pPr>
              <w:pStyle w:val="TableParagraph"/>
              <w:spacing w:before="7"/>
              <w:ind w:left="746"/>
              <w:rPr>
                <w:sz w:val="21"/>
              </w:rPr>
            </w:pPr>
            <w:r>
              <w:rPr>
                <w:sz w:val="21"/>
              </w:rPr>
              <w:t>（1）眼球缺失或摘除； </w:t>
            </w:r>
          </w:p>
          <w:p>
            <w:pPr>
              <w:pStyle w:val="TableParagraph"/>
              <w:spacing w:line="273" w:lineRule="auto" w:before="37"/>
              <w:ind w:left="746" w:right="302"/>
              <w:rPr>
                <w:sz w:val="21"/>
              </w:rPr>
            </w:pPr>
            <w:r>
              <w:rPr>
                <w:spacing w:val="-12"/>
                <w:sz w:val="21"/>
              </w:rPr>
              <w:t>（2）</w:t>
            </w:r>
            <w:r>
              <w:rPr>
                <w:spacing w:val="-6"/>
                <w:sz w:val="21"/>
              </w:rPr>
              <w:t>矫正视力低于 </w:t>
            </w:r>
            <w:r>
              <w:rPr>
                <w:spacing w:val="-8"/>
                <w:sz w:val="21"/>
              </w:rPr>
              <w:t>0.02（</w:t>
            </w:r>
            <w:r>
              <w:rPr>
                <w:spacing w:val="-7"/>
                <w:sz w:val="21"/>
              </w:rPr>
              <w:t>采用国际标准视力表，如果使用其它视力表应进行换</w:t>
            </w:r>
            <w:r>
              <w:rPr>
                <w:spacing w:val="-7"/>
                <w:w w:val="100"/>
                <w:sz w:val="21"/>
              </w:rPr>
              <w:t>算</w:t>
            </w:r>
            <w:r>
              <w:rPr>
                <w:spacing w:val="-106"/>
                <w:w w:val="100"/>
                <w:sz w:val="21"/>
              </w:rPr>
              <w:t>）</w:t>
            </w:r>
            <w:r>
              <w:rPr>
                <w:spacing w:val="-3"/>
                <w:w w:val="100"/>
                <w:sz w:val="21"/>
              </w:rPr>
              <w:t>；</w:t>
            </w:r>
            <w:r>
              <w:rPr>
                <w:w w:val="100"/>
                <w:sz w:val="21"/>
              </w:rPr>
              <w:t> </w:t>
            </w:r>
          </w:p>
          <w:p>
            <w:pPr>
              <w:pStyle w:val="TableParagraph"/>
              <w:spacing w:before="7"/>
              <w:ind w:left="746"/>
              <w:rPr>
                <w:sz w:val="21"/>
              </w:rPr>
            </w:pPr>
            <w:r>
              <w:rPr>
                <w:sz w:val="21"/>
              </w:rPr>
              <w:t>（3）视野半径小于 5 度。 </w:t>
            </w:r>
          </w:p>
          <w:p>
            <w:pPr>
              <w:pStyle w:val="TableParagraph"/>
              <w:spacing w:line="273" w:lineRule="auto" w:before="37"/>
              <w:ind w:left="746" w:right="302"/>
              <w:rPr>
                <w:sz w:val="21"/>
              </w:rPr>
            </w:pPr>
            <w:r>
              <w:rPr>
                <w:spacing w:val="-5"/>
                <w:sz w:val="21"/>
                <w:shd w:fill="D9D9D9" w:color="auto" w:val="clear"/>
              </w:rPr>
              <w:t>被保险人申请理赔时年龄必须在 </w:t>
            </w:r>
            <w:r>
              <w:rPr>
                <w:sz w:val="21"/>
                <w:shd w:fill="D9D9D9" w:color="auto" w:val="clear"/>
              </w:rPr>
              <w:t>3</w:t>
            </w:r>
            <w:r>
              <w:rPr>
                <w:spacing w:val="-9"/>
                <w:sz w:val="21"/>
                <w:shd w:fill="D9D9D9" w:color="auto" w:val="clear"/>
              </w:rPr>
              <w:t> 周岁以上，并且提供 </w:t>
            </w:r>
            <w:r>
              <w:rPr>
                <w:sz w:val="21"/>
                <w:shd w:fill="D9D9D9" w:color="auto" w:val="clear"/>
              </w:rPr>
              <w:t>3</w:t>
            </w:r>
            <w:r>
              <w:rPr>
                <w:spacing w:val="-7"/>
                <w:sz w:val="21"/>
                <w:shd w:fill="D9D9D9" w:color="auto" w:val="clear"/>
              </w:rPr>
              <w:t> 周岁以后的视力丧失</w:t>
            </w:r>
            <w:r>
              <w:rPr>
                <w:spacing w:val="-5"/>
                <w:sz w:val="21"/>
                <w:shd w:fill="D9D9D9" w:color="auto" w:val="clear"/>
              </w:rPr>
              <w:t>诊断及检查证据。</w:t>
            </w:r>
            <w:r>
              <w:rPr>
                <w:sz w:val="21"/>
              </w:rPr>
              <w:t> </w:t>
            </w:r>
          </w:p>
          <w:p>
            <w:pPr>
              <w:pStyle w:val="TableParagraph"/>
              <w:spacing w:before="7"/>
              <w:ind w:left="746"/>
              <w:rPr>
                <w:b/>
                <w:sz w:val="21"/>
              </w:rPr>
            </w:pPr>
            <w:r>
              <w:rPr>
                <w:b/>
                <w:w w:val="99"/>
                <w:sz w:val="21"/>
              </w:rPr>
              <w:t> </w:t>
            </w:r>
          </w:p>
          <w:p>
            <w:pPr>
              <w:pStyle w:val="TableParagraph"/>
              <w:spacing w:before="36"/>
              <w:ind w:left="746"/>
              <w:rPr>
                <w:b/>
                <w:sz w:val="21"/>
              </w:rPr>
            </w:pPr>
            <w:r>
              <w:rPr>
                <w:b/>
                <w:sz w:val="21"/>
              </w:rPr>
              <w:t>（二十四）中度瘫痪</w:t>
            </w:r>
            <w:r>
              <w:rPr>
                <w:b/>
                <w:w w:val="99"/>
                <w:sz w:val="21"/>
              </w:rPr>
              <w:t> </w:t>
            </w:r>
          </w:p>
          <w:p>
            <w:pPr>
              <w:pStyle w:val="TableParagraph"/>
              <w:spacing w:line="273" w:lineRule="auto" w:before="36"/>
              <w:ind w:left="746" w:right="244"/>
              <w:rPr>
                <w:sz w:val="21"/>
              </w:rPr>
            </w:pPr>
            <w:r>
              <w:rPr>
                <w:sz w:val="21"/>
              </w:rPr>
              <w:t>指因疾病或者意外伤害导致一肢或一肢以上肢体机能永久完全丧失，且未达到重大疾病“瘫痪”的给付标准。肢体机能永久完全丧失，指疾病确诊 180 天后</w:t>
            </w:r>
          </w:p>
          <w:p>
            <w:pPr>
              <w:pStyle w:val="TableParagraph"/>
              <w:spacing w:line="273" w:lineRule="auto" w:before="7"/>
              <w:ind w:left="746" w:right="242"/>
              <w:rPr>
                <w:sz w:val="21"/>
              </w:rPr>
            </w:pPr>
            <w:r>
              <w:rPr>
                <w:sz w:val="21"/>
              </w:rPr>
              <w:t>或意外伤害发生 180 天后，每肢三大关节中的两大关节仍然完全僵硬，或不能随意识活动。 </w:t>
            </w:r>
          </w:p>
          <w:p>
            <w:pPr>
              <w:pStyle w:val="TableParagraph"/>
              <w:spacing w:before="7"/>
              <w:ind w:left="746"/>
              <w:rPr>
                <w:b/>
                <w:sz w:val="21"/>
              </w:rPr>
            </w:pPr>
            <w:r>
              <w:rPr>
                <w:b/>
                <w:w w:val="99"/>
                <w:sz w:val="21"/>
              </w:rPr>
              <w:t> </w:t>
            </w:r>
          </w:p>
          <w:p>
            <w:pPr>
              <w:pStyle w:val="TableParagraph"/>
              <w:spacing w:before="36"/>
              <w:ind w:left="746"/>
              <w:rPr>
                <w:b/>
                <w:sz w:val="21"/>
              </w:rPr>
            </w:pPr>
            <w:r>
              <w:rPr>
                <w:b/>
                <w:sz w:val="21"/>
              </w:rPr>
              <w:t>（二十五）中度阿尔兹海默病</w:t>
            </w:r>
            <w:r>
              <w:rPr>
                <w:b/>
                <w:w w:val="99"/>
                <w:sz w:val="21"/>
              </w:rPr>
              <w:t> </w:t>
            </w:r>
          </w:p>
          <w:p>
            <w:pPr>
              <w:pStyle w:val="TableParagraph"/>
              <w:spacing w:line="273" w:lineRule="auto" w:before="37"/>
              <w:ind w:left="746" w:right="196"/>
              <w:rPr>
                <w:sz w:val="21"/>
              </w:rPr>
            </w:pPr>
            <w:r>
              <w:rPr>
                <w:sz w:val="21"/>
              </w:rPr>
              <w:t>指因大脑进行性、不可逆性改变导致智能严重衰退或丧失，临床表现为明显的</w:t>
            </w:r>
            <w:r>
              <w:rPr>
                <w:spacing w:val="-7"/>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w:t>
            </w:r>
            <w:r>
              <w:rPr>
                <w:sz w:val="21"/>
              </w:rPr>
              <w:t>等影像学检查证实，且自主生活能力完全丧失，无法独立完成六项基本日常生</w:t>
            </w:r>
            <w:r>
              <w:rPr>
                <w:spacing w:val="-3"/>
                <w:sz w:val="21"/>
              </w:rPr>
              <w:t>活活动中的两项。</w:t>
            </w:r>
            <w:r>
              <w:rPr>
                <w:sz w:val="21"/>
              </w:rPr>
              <w:t> </w:t>
            </w:r>
          </w:p>
          <w:p>
            <w:pPr>
              <w:pStyle w:val="TableParagraph"/>
              <w:spacing w:before="7"/>
              <w:ind w:left="746"/>
              <w:rPr>
                <w:b/>
                <w:sz w:val="21"/>
              </w:rPr>
            </w:pPr>
            <w:r>
              <w:rPr>
                <w:b/>
                <w:w w:val="99"/>
                <w:sz w:val="21"/>
              </w:rPr>
              <w:t> </w:t>
            </w:r>
          </w:p>
          <w:p>
            <w:pPr>
              <w:pStyle w:val="TableParagraph"/>
              <w:spacing w:before="36"/>
              <w:ind w:left="746"/>
              <w:rPr>
                <w:b/>
                <w:sz w:val="21"/>
              </w:rPr>
            </w:pPr>
            <w:r>
              <w:rPr>
                <w:b/>
                <w:sz w:val="21"/>
              </w:rPr>
              <w:t>（二十六）一肢缺失</w:t>
            </w:r>
            <w:r>
              <w:rPr>
                <w:b/>
                <w:w w:val="99"/>
                <w:sz w:val="21"/>
              </w:rPr>
              <w:t> </w:t>
            </w:r>
          </w:p>
          <w:p>
            <w:pPr>
              <w:pStyle w:val="TableParagraph"/>
              <w:spacing w:line="273" w:lineRule="auto" w:before="36"/>
              <w:ind w:left="746" w:right="306"/>
              <w:rPr>
                <w:sz w:val="21"/>
              </w:rPr>
            </w:pPr>
            <w:r>
              <w:rPr>
                <w:sz w:val="21"/>
              </w:rPr>
              <w:t>指因疾病或意外导致一个肢体自腕关节或踝关节近端（靠近躯干端）以上完全断离。 </w:t>
            </w:r>
          </w:p>
          <w:p>
            <w:pPr>
              <w:pStyle w:val="TableParagraph"/>
              <w:spacing w:before="7"/>
              <w:ind w:left="746"/>
              <w:rPr>
                <w:b/>
                <w:sz w:val="21"/>
              </w:rPr>
            </w:pPr>
            <w:r>
              <w:rPr>
                <w:b/>
                <w:w w:val="99"/>
                <w:sz w:val="21"/>
              </w:rPr>
              <w:t> </w:t>
            </w:r>
          </w:p>
          <w:p>
            <w:pPr>
              <w:pStyle w:val="TableParagraph"/>
              <w:spacing w:before="37"/>
              <w:ind w:left="746"/>
              <w:rPr>
                <w:b/>
                <w:sz w:val="21"/>
              </w:rPr>
            </w:pPr>
            <w:r>
              <w:rPr>
                <w:b/>
                <w:sz w:val="21"/>
              </w:rPr>
              <w:t>（二十七）中度运动神经元病</w:t>
            </w:r>
            <w:r>
              <w:rPr>
                <w:b/>
                <w:w w:val="99"/>
                <w:sz w:val="21"/>
              </w:rPr>
              <w:t> </w:t>
            </w:r>
          </w:p>
          <w:p>
            <w:pPr>
              <w:pStyle w:val="TableParagraph"/>
              <w:spacing w:line="273" w:lineRule="auto" w:before="37"/>
              <w:ind w:left="746" w:right="302"/>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两项。但未达到本合同所指重大疾病“严重运动神经元病”的给付标准。 </w:t>
            </w:r>
          </w:p>
          <w:p>
            <w:pPr>
              <w:pStyle w:val="TableParagraph"/>
              <w:spacing w:before="7"/>
              <w:ind w:left="746"/>
              <w:rPr>
                <w:b/>
                <w:sz w:val="21"/>
              </w:rPr>
            </w:pPr>
            <w:r>
              <w:rPr>
                <w:b/>
                <w:w w:val="99"/>
                <w:sz w:val="21"/>
              </w:rPr>
              <w:t> </w:t>
            </w:r>
          </w:p>
          <w:p>
            <w:pPr>
              <w:pStyle w:val="TableParagraph"/>
              <w:spacing w:before="37"/>
              <w:ind w:left="746"/>
              <w:rPr>
                <w:b/>
                <w:sz w:val="21"/>
              </w:rPr>
            </w:pPr>
            <w:r>
              <w:rPr>
                <w:b/>
                <w:sz w:val="21"/>
              </w:rPr>
              <w:t>（二十八）中度帕金森氏症</w:t>
            </w:r>
            <w:r>
              <w:rPr>
                <w:b/>
                <w:w w:val="99"/>
                <w:sz w:val="21"/>
              </w:rPr>
              <w:t> </w:t>
            </w:r>
          </w:p>
          <w:p>
            <w:pPr>
              <w:pStyle w:val="TableParagraph"/>
              <w:spacing w:line="273" w:lineRule="auto" w:before="37"/>
              <w:ind w:left="746" w:right="200"/>
              <w:rPr>
                <w:sz w:val="21"/>
              </w:rPr>
            </w:pPr>
            <w:r>
              <w:rPr>
                <w:sz w:val="21"/>
              </w:rPr>
              <w:t>是一种中枢神经系统的退行性疾病，临床表现为震颤麻痹、共济失调等。须同</w:t>
            </w:r>
            <w:r>
              <w:rPr>
                <w:spacing w:val="-10"/>
                <w:sz w:val="21"/>
              </w:rPr>
              <w:t>时符合下列所有条件，但未达到本合同所指重大疾病“严重帕金森病”的标准：</w:t>
            </w:r>
            <w:r>
              <w:rPr>
                <w:sz w:val="21"/>
              </w:rPr>
              <w:t> </w:t>
            </w:r>
          </w:p>
          <w:p>
            <w:pPr>
              <w:pStyle w:val="TableParagraph"/>
              <w:spacing w:before="7"/>
              <w:ind w:left="746"/>
              <w:rPr>
                <w:sz w:val="21"/>
              </w:rPr>
            </w:pPr>
            <w:r>
              <w:rPr>
                <w:sz w:val="21"/>
              </w:rPr>
              <w:t>（1）无法通过药物控制； </w:t>
            </w:r>
          </w:p>
          <w:p>
            <w:pPr>
              <w:pStyle w:val="TableParagraph"/>
              <w:spacing w:before="36"/>
              <w:ind w:left="746"/>
              <w:rPr>
                <w:sz w:val="21"/>
              </w:rPr>
            </w:pPr>
            <w:r>
              <w:rPr>
                <w:sz w:val="21"/>
              </w:rPr>
              <w:t>（2）出现逐步退化客观征状； </w:t>
            </w:r>
          </w:p>
          <w:p>
            <w:pPr>
              <w:pStyle w:val="TableParagraph"/>
              <w:spacing w:line="273" w:lineRule="auto" w:before="36"/>
              <w:ind w:left="746" w:right="1413"/>
              <w:rPr>
                <w:sz w:val="21"/>
              </w:rPr>
            </w:pPr>
            <w:r>
              <w:rPr>
                <w:sz w:val="21"/>
              </w:rPr>
              <w:t>（3）</w:t>
            </w:r>
            <w:r>
              <w:rPr>
                <w:spacing w:val="-16"/>
                <w:sz w:val="21"/>
              </w:rPr>
              <w:t>至少 </w:t>
            </w:r>
            <w:r>
              <w:rPr>
                <w:sz w:val="21"/>
              </w:rPr>
              <w:t>180</w:t>
            </w:r>
            <w:r>
              <w:rPr>
                <w:spacing w:val="-8"/>
                <w:sz w:val="21"/>
              </w:rPr>
              <w:t> 天无法独立完成六项基本日常生活活动中的两项。</w:t>
            </w:r>
            <w:r>
              <w:rPr>
                <w:spacing w:val="-3"/>
                <w:sz w:val="21"/>
                <w:shd w:fill="D9D9D9" w:color="auto" w:val="clear"/>
              </w:rPr>
              <w:t>继发性帕金森综合征不在保障范围内。</w:t>
            </w:r>
            <w:r>
              <w:rPr>
                <w:sz w:val="21"/>
              </w:rPr>
              <w:t> </w:t>
            </w:r>
          </w:p>
        </w:tc>
      </w:tr>
      <w:tr>
        <w:trPr>
          <w:trHeight w:val="261" w:hRule="atLeast"/>
        </w:trPr>
        <w:tc>
          <w:tcPr>
            <w:tcW w:w="787" w:type="dxa"/>
          </w:tcPr>
          <w:p>
            <w:pPr>
              <w:pStyle w:val="TableParagraph"/>
              <w:spacing w:line="242" w:lineRule="exact"/>
              <w:ind w:left="200"/>
              <w:rPr>
                <w:b/>
                <w:sz w:val="21"/>
              </w:rPr>
            </w:pPr>
            <w:r>
              <w:rPr>
                <w:b/>
                <w:w w:val="99"/>
                <w:sz w:val="21"/>
              </w:rPr>
              <w:t> </w:t>
            </w:r>
          </w:p>
        </w:tc>
        <w:tc>
          <w:tcPr>
            <w:tcW w:w="1332" w:type="dxa"/>
          </w:tcPr>
          <w:p>
            <w:pPr>
              <w:pStyle w:val="TableParagraph"/>
              <w:spacing w:line="242" w:lineRule="exact"/>
              <w:ind w:right="261"/>
              <w:jc w:val="center"/>
              <w:rPr>
                <w:b/>
                <w:sz w:val="21"/>
              </w:rPr>
            </w:pPr>
            <w:r>
              <w:rPr>
                <w:b/>
                <w:w w:val="99"/>
                <w:sz w:val="21"/>
              </w:rPr>
              <w:t> </w:t>
            </w:r>
          </w:p>
        </w:tc>
        <w:tc>
          <w:tcPr>
            <w:tcW w:w="8254" w:type="dxa"/>
          </w:tcPr>
          <w:p>
            <w:pPr>
              <w:pStyle w:val="TableParagraph"/>
              <w:spacing w:line="242" w:lineRule="exact"/>
              <w:ind w:left="746"/>
              <w:rPr>
                <w:sz w:val="21"/>
              </w:rPr>
            </w:pPr>
            <w:r>
              <w:rPr>
                <w:w w:val="100"/>
                <w:sz w:val="21"/>
              </w:rPr>
              <w:t> </w:t>
            </w:r>
          </w:p>
        </w:tc>
      </w:tr>
    </w:tbl>
    <w:p>
      <w:pPr>
        <w:spacing w:after="0" w:line="242" w:lineRule="exact"/>
        <w:rPr>
          <w:sz w:val="21"/>
        </w:rPr>
        <w:sectPr>
          <w:pgSz w:w="11910" w:h="16840"/>
          <w:pgMar w:top="1160" w:bottom="280" w:left="720" w:right="600"/>
        </w:sectPr>
      </w:pPr>
    </w:p>
    <w:p>
      <w:pPr>
        <w:pStyle w:val="Heading2"/>
        <w:numPr>
          <w:ilvl w:val="1"/>
          <w:numId w:val="10"/>
        </w:numPr>
        <w:tabs>
          <w:tab w:pos="426" w:val="left" w:leader="none"/>
          <w:tab w:pos="868" w:val="left" w:leader="none"/>
        </w:tabs>
        <w:spacing w:line="273" w:lineRule="auto" w:before="22" w:after="0"/>
        <w:ind w:left="868" w:right="7588" w:hanging="761"/>
        <w:jc w:val="left"/>
      </w:pPr>
      <w:r>
        <w:rPr/>
        <w:pict>
          <v:shape style="position:absolute;margin-left:184.25pt;margin-top:56.639984pt;width:357.2pt;height:718.8pt;mso-position-horizontal-relative:page;mso-position-vertical-relative:page;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5608"/>
                  </w:tblGrid>
                  <w:tr>
                    <w:trPr>
                      <w:trHeight w:val="6866" w:hRule="atLeast"/>
                    </w:trPr>
                    <w:tc>
                      <w:tcPr>
                        <w:tcW w:w="1522"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5"/>
                          <w:rPr>
                            <w:b/>
                            <w:sz w:val="18"/>
                          </w:rPr>
                        </w:pPr>
                      </w:p>
                      <w:p>
                        <w:pPr>
                          <w:pStyle w:val="TableParagraph"/>
                          <w:spacing w:before="1"/>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8"/>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582" w:right="470"/>
                          <w:jc w:val="center"/>
                          <w:rPr>
                            <w:sz w:val="21"/>
                          </w:rPr>
                        </w:pPr>
                        <w:r>
                          <w:rPr>
                            <w:sz w:val="21"/>
                          </w:rPr>
                          <w:t>A 组 </w:t>
                        </w:r>
                      </w:p>
                      <w:p>
                        <w:pPr>
                          <w:pStyle w:val="TableParagraph"/>
                          <w:spacing w:before="37"/>
                          <w:ind w:left="114"/>
                          <w:jc w:val="center"/>
                          <w:rPr>
                            <w:sz w:val="21"/>
                          </w:rPr>
                        </w:pPr>
                        <w:r>
                          <w:rPr>
                            <w:w w:val="100"/>
                            <w:sz w:val="21"/>
                          </w:rPr>
                          <w:t> </w:t>
                        </w:r>
                      </w:p>
                    </w:tc>
                    <w:tc>
                      <w:tcPr>
                        <w:tcW w:w="5608" w:type="dxa"/>
                      </w:tcPr>
                      <w:p>
                        <w:pPr>
                          <w:pStyle w:val="TableParagraph"/>
                          <w:numPr>
                            <w:ilvl w:val="0"/>
                            <w:numId w:val="8"/>
                          </w:numPr>
                          <w:tabs>
                            <w:tab w:pos="468" w:val="left" w:leader="none"/>
                          </w:tabs>
                          <w:spacing w:line="265" w:lineRule="exact" w:before="0" w:after="0"/>
                          <w:ind w:left="467" w:right="0" w:hanging="360"/>
                          <w:jc w:val="left"/>
                          <w:rPr>
                            <w:sz w:val="21"/>
                          </w:rPr>
                        </w:pPr>
                        <w:r>
                          <w:rPr>
                            <w:spacing w:val="-2"/>
                            <w:sz w:val="21"/>
                          </w:rPr>
                          <w:t>恶性肿瘤</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重大器官移植术或造血干细胞移植术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终末期肾病</w:t>
                        </w:r>
                        <w:r>
                          <w:rPr>
                            <w:sz w:val="21"/>
                          </w:rPr>
                          <w:t>（</w:t>
                        </w:r>
                        <w:r>
                          <w:rPr>
                            <w:spacing w:val="-3"/>
                            <w:sz w:val="21"/>
                          </w:rPr>
                          <w:t>或称慢性肾功能衰竭尿毒症期）</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急性或亚急性重症肝炎</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慢性肝功能衰竭失代偿期</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重型再生障碍性贫血</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系统性红斑狼疮－</w:t>
                        </w:r>
                        <w:r>
                          <w:rPr>
                            <w:sz w:val="21"/>
                          </w:rPr>
                          <w:t>（</w:t>
                        </w:r>
                        <w:r>
                          <w:rPr>
                            <w:spacing w:val="-2"/>
                            <w:sz w:val="21"/>
                          </w:rPr>
                          <w:t>并发</w:t>
                        </w:r>
                        <w:r>
                          <w:rPr>
                            <w:sz w:val="21"/>
                          </w:rPr>
                          <w:t>）Ⅲ</w:t>
                        </w:r>
                        <w:r>
                          <w:rPr>
                            <w:spacing w:val="-3"/>
                            <w:sz w:val="21"/>
                          </w:rPr>
                          <w:t>型或以上狼疮性肾炎</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肾髓质囊性病</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慢性呼吸功能衰竭终末期肺病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侵蚀性葡萄胎（或称恶性葡萄胎</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系统性硬皮病</w:t>
                        </w:r>
                        <w:r>
                          <w:rPr>
                            <w:sz w:val="21"/>
                          </w:rPr>
                          <w:t> </w:t>
                        </w:r>
                      </w:p>
                      <w:p>
                        <w:pPr>
                          <w:pStyle w:val="TableParagraph"/>
                          <w:numPr>
                            <w:ilvl w:val="0"/>
                            <w:numId w:val="8"/>
                          </w:numPr>
                          <w:tabs>
                            <w:tab w:pos="468" w:val="left" w:leader="none"/>
                          </w:tabs>
                          <w:spacing w:line="240" w:lineRule="auto" w:before="36" w:after="0"/>
                          <w:ind w:left="467" w:right="0" w:hanging="360"/>
                          <w:jc w:val="left"/>
                          <w:rPr>
                            <w:sz w:val="21"/>
                          </w:rPr>
                        </w:pPr>
                        <w:r>
                          <w:rPr>
                            <w:spacing w:val="-3"/>
                            <w:sz w:val="21"/>
                          </w:rPr>
                          <w:t>原发性硬化性胆管炎</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严重溃疡性结肠炎</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特发性慢性肾上腺皮质功能减退 </w:t>
                        </w:r>
                      </w:p>
                      <w:p>
                        <w:pPr>
                          <w:pStyle w:val="TableParagraph"/>
                          <w:numPr>
                            <w:ilvl w:val="0"/>
                            <w:numId w:val="8"/>
                          </w:numPr>
                          <w:tabs>
                            <w:tab w:pos="468" w:val="left" w:leader="none"/>
                          </w:tabs>
                          <w:spacing w:line="240" w:lineRule="auto" w:before="37" w:after="0"/>
                          <w:ind w:left="467" w:right="0" w:hanging="360"/>
                          <w:jc w:val="left"/>
                          <w:rPr>
                            <w:sz w:val="21"/>
                          </w:rPr>
                        </w:pPr>
                        <w:r>
                          <w:rPr>
                            <w:spacing w:val="-9"/>
                            <w:sz w:val="21"/>
                          </w:rPr>
                          <w:t>经输血导致的 </w:t>
                        </w:r>
                        <w:r>
                          <w:rPr>
                            <w:sz w:val="21"/>
                          </w:rPr>
                          <w:t>HIV</w:t>
                        </w:r>
                        <w:r>
                          <w:rPr>
                            <w:spacing w:val="-19"/>
                            <w:sz w:val="21"/>
                          </w:rPr>
                          <w:t> 感染</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2"/>
                            <w:sz w:val="21"/>
                          </w:rPr>
                          <w:t>终末期疾病</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16"/>
                            <w:sz w:val="21"/>
                          </w:rPr>
                          <w:t>严重 </w:t>
                        </w:r>
                        <w:r>
                          <w:rPr>
                            <w:sz w:val="21"/>
                          </w:rPr>
                          <w:t>1</w:t>
                        </w:r>
                        <w:r>
                          <w:rPr>
                            <w:spacing w:val="-13"/>
                            <w:sz w:val="21"/>
                          </w:rPr>
                          <w:t> 型糖尿病</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原发性骨髓纤维化</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严重骨髓增生异常综合征</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8"/>
                            <w:sz w:val="21"/>
                          </w:rPr>
                          <w:t>因职业关系导致的 </w:t>
                        </w:r>
                        <w:r>
                          <w:rPr>
                            <w:sz w:val="21"/>
                          </w:rPr>
                          <w:t>HIV</w:t>
                        </w:r>
                        <w:r>
                          <w:rPr>
                            <w:spacing w:val="-18"/>
                            <w:sz w:val="21"/>
                          </w:rPr>
                          <w:t> 感染 </w:t>
                        </w:r>
                      </w:p>
                      <w:p>
                        <w:pPr>
                          <w:pStyle w:val="TableParagraph"/>
                          <w:numPr>
                            <w:ilvl w:val="0"/>
                            <w:numId w:val="8"/>
                          </w:numPr>
                          <w:tabs>
                            <w:tab w:pos="468" w:val="left" w:leader="none"/>
                          </w:tabs>
                          <w:spacing w:line="240" w:lineRule="auto" w:before="37" w:after="0"/>
                          <w:ind w:left="467" w:right="0" w:hanging="360"/>
                          <w:jc w:val="left"/>
                          <w:rPr>
                            <w:sz w:val="21"/>
                          </w:rPr>
                        </w:pPr>
                        <w:r>
                          <w:rPr>
                            <w:spacing w:val="-2"/>
                            <w:sz w:val="21"/>
                          </w:rPr>
                          <w:t>严重哮喘</w:t>
                        </w:r>
                        <w:r>
                          <w:rPr>
                            <w:sz w:val="21"/>
                          </w:rPr>
                          <w:t> </w:t>
                        </w:r>
                      </w:p>
                      <w:p>
                        <w:pPr>
                          <w:pStyle w:val="TableParagraph"/>
                          <w:numPr>
                            <w:ilvl w:val="0"/>
                            <w:numId w:val="8"/>
                          </w:numPr>
                          <w:tabs>
                            <w:tab w:pos="468" w:val="left" w:leader="none"/>
                          </w:tabs>
                          <w:spacing w:line="240" w:lineRule="auto" w:before="37" w:after="0"/>
                          <w:ind w:left="467" w:right="0" w:hanging="360"/>
                          <w:jc w:val="left"/>
                          <w:rPr>
                            <w:sz w:val="21"/>
                          </w:rPr>
                        </w:pPr>
                        <w:r>
                          <w:rPr>
                            <w:spacing w:val="-3"/>
                            <w:sz w:val="21"/>
                          </w:rPr>
                          <w:t>严重自身免疫性肝炎</w:t>
                        </w:r>
                        <w:r>
                          <w:rPr>
                            <w:sz w:val="21"/>
                          </w:rPr>
                          <w:t> </w:t>
                        </w:r>
                      </w:p>
                    </w:tc>
                  </w:tr>
                  <w:tr>
                    <w:trPr>
                      <w:trHeight w:val="7479" w:hRule="atLeast"/>
                    </w:trPr>
                    <w:tc>
                      <w:tcPr>
                        <w:tcW w:w="1522"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3"/>
                          <w:rPr>
                            <w:b/>
                            <w:sz w:val="18"/>
                          </w:rPr>
                        </w:pPr>
                      </w:p>
                      <w:p>
                        <w:pPr>
                          <w:pStyle w:val="TableParagraph"/>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7"/>
                          <w:ind w:left="582" w:right="470"/>
                          <w:jc w:val="center"/>
                          <w:rPr>
                            <w:sz w:val="21"/>
                          </w:rPr>
                        </w:pPr>
                        <w:r>
                          <w:rPr>
                            <w:sz w:val="21"/>
                          </w:rPr>
                          <w:t>B 组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p>
                        <w:pPr>
                          <w:pStyle w:val="TableParagraph"/>
                          <w:spacing w:before="37"/>
                          <w:ind w:left="114"/>
                          <w:jc w:val="center"/>
                          <w:rPr>
                            <w:sz w:val="21"/>
                          </w:rPr>
                        </w:pPr>
                        <w:r>
                          <w:rPr>
                            <w:w w:val="100"/>
                            <w:sz w:val="21"/>
                          </w:rPr>
                          <w:t> </w:t>
                        </w:r>
                      </w:p>
                    </w:tc>
                    <w:tc>
                      <w:tcPr>
                        <w:tcW w:w="5608" w:type="dxa"/>
                      </w:tcPr>
                      <w:p>
                        <w:pPr>
                          <w:pStyle w:val="TableParagraph"/>
                          <w:numPr>
                            <w:ilvl w:val="0"/>
                            <w:numId w:val="9"/>
                          </w:numPr>
                          <w:tabs>
                            <w:tab w:pos="468" w:val="left" w:leader="none"/>
                          </w:tabs>
                          <w:spacing w:line="263" w:lineRule="exact" w:before="0" w:after="0"/>
                          <w:ind w:left="467" w:right="0" w:hanging="360"/>
                          <w:jc w:val="left"/>
                          <w:rPr>
                            <w:sz w:val="21"/>
                          </w:rPr>
                        </w:pPr>
                        <w:r>
                          <w:rPr>
                            <w:spacing w:val="-3"/>
                            <w:sz w:val="21"/>
                          </w:rPr>
                          <w:t>脑中风后遗症</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多个肢体缺失</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良性脑肿瘤</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脑炎后遗症或脑膜炎后遗症 </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深度昏迷</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1"/>
                            <w:sz w:val="21"/>
                          </w:rPr>
                          <w:t>瘫痪</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严重阿尔茨海默病</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严重脑损伤</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严重帕金森病</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严重运动神经元病</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3"/>
                            <w:sz w:val="21"/>
                          </w:rPr>
                          <w:t>语言能力丧失</w:t>
                        </w:r>
                        <w:r>
                          <w:rPr>
                            <w:sz w:val="21"/>
                          </w:rPr>
                          <w:t> </w:t>
                        </w:r>
                      </w:p>
                      <w:p>
                        <w:pPr>
                          <w:pStyle w:val="TableParagraph"/>
                          <w:numPr>
                            <w:ilvl w:val="0"/>
                            <w:numId w:val="9"/>
                          </w:numPr>
                          <w:tabs>
                            <w:tab w:pos="468" w:val="left" w:leader="none"/>
                          </w:tabs>
                          <w:spacing w:line="240" w:lineRule="auto" w:before="37" w:after="0"/>
                          <w:ind w:left="467" w:right="0" w:hanging="360"/>
                          <w:jc w:val="left"/>
                          <w:rPr>
                            <w:sz w:val="21"/>
                          </w:rPr>
                        </w:pPr>
                        <w:r>
                          <w:rPr>
                            <w:spacing w:val="-2"/>
                            <w:sz w:val="21"/>
                          </w:rPr>
                          <w:t>多发性硬化</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脊髓灰质炎后遗症</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2"/>
                            <w:sz w:val="21"/>
                          </w:rPr>
                          <w:t>植物人状态</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全身性</w:t>
                        </w:r>
                        <w:r>
                          <w:rPr>
                            <w:sz w:val="21"/>
                          </w:rPr>
                          <w:t>（</w:t>
                        </w:r>
                        <w:r>
                          <w:rPr>
                            <w:spacing w:val="-3"/>
                            <w:sz w:val="21"/>
                          </w:rPr>
                          <w:t>型</w:t>
                        </w:r>
                        <w:r>
                          <w:rPr>
                            <w:sz w:val="21"/>
                          </w:rPr>
                          <w:t>）</w:t>
                        </w:r>
                        <w:r>
                          <w:rPr>
                            <w:spacing w:val="-3"/>
                            <w:sz w:val="21"/>
                          </w:rPr>
                          <w:t>重症肌无力</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非阿尔茨海默病所致严重痴呆 </w:t>
                        </w:r>
                      </w:p>
                      <w:p>
                        <w:pPr>
                          <w:pStyle w:val="TableParagraph"/>
                          <w:numPr>
                            <w:ilvl w:val="0"/>
                            <w:numId w:val="9"/>
                          </w:numPr>
                          <w:tabs>
                            <w:tab w:pos="468" w:val="left" w:leader="none"/>
                          </w:tabs>
                          <w:spacing w:line="240" w:lineRule="auto" w:before="36" w:after="0"/>
                          <w:ind w:left="467" w:right="0" w:hanging="360"/>
                          <w:jc w:val="left"/>
                          <w:rPr>
                            <w:sz w:val="21"/>
                          </w:rPr>
                        </w:pPr>
                        <w:r>
                          <w:rPr>
                            <w:spacing w:val="-2"/>
                            <w:sz w:val="21"/>
                          </w:rPr>
                          <w:t>严重癫痫</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严重细菌性脑脊髓膜炎</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1"/>
                            <w:sz w:val="21"/>
                          </w:rPr>
                          <w:t>疯牛病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艾森门格综合征</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严重肌营养不良症</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进行性核上性麻痹</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严重瑞氏综合征</w:t>
                        </w:r>
                        <w:r>
                          <w:rPr>
                            <w:sz w:val="21"/>
                          </w:rPr>
                          <w:t> </w:t>
                        </w:r>
                      </w:p>
                      <w:p>
                        <w:pPr>
                          <w:pStyle w:val="TableParagraph"/>
                          <w:numPr>
                            <w:ilvl w:val="0"/>
                            <w:numId w:val="9"/>
                          </w:numPr>
                          <w:tabs>
                            <w:tab w:pos="468" w:val="left" w:leader="none"/>
                          </w:tabs>
                          <w:spacing w:line="240" w:lineRule="auto" w:before="36" w:after="0"/>
                          <w:ind w:left="467" w:right="0" w:hanging="360"/>
                          <w:jc w:val="left"/>
                          <w:rPr>
                            <w:sz w:val="21"/>
                          </w:rPr>
                        </w:pPr>
                        <w:r>
                          <w:rPr>
                            <w:spacing w:val="-3"/>
                            <w:sz w:val="21"/>
                          </w:rPr>
                          <w:t>肾上腺脑白质营养不良</w:t>
                        </w:r>
                        <w:r>
                          <w:rPr>
                            <w:sz w:val="21"/>
                          </w:rPr>
                          <w:t> </w:t>
                        </w:r>
                      </w:p>
                    </w:tc>
                  </w:tr>
                </w:tbl>
                <w:p>
                  <w:pPr>
                    <w:pStyle w:val="BodyText"/>
                    <w:spacing w:before="0"/>
                    <w:ind w:left="0"/>
                  </w:pPr>
                </w:p>
              </w:txbxContent>
            </v:textbox>
            <w10:wrap type="none"/>
          </v:shape>
        </w:pict>
      </w:r>
      <w:r>
        <w:rPr/>
        <w:t>重大疾病分组表</w:t>
      </w:r>
      <w:r>
        <w:rPr>
          <w:w w:val="99"/>
        </w:rPr>
        <w:t> </w:t>
      </w:r>
    </w:p>
    <w:p>
      <w:pPr>
        <w:spacing w:after="0" w:line="273" w:lineRule="auto"/>
        <w:jc w:val="left"/>
        <w:sectPr>
          <w:pgSz w:w="11910" w:h="16840"/>
          <w:pgMar w:top="1080" w:bottom="280" w:left="1220" w:right="960"/>
        </w:sect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2"/>
        <w:ind w:left="0"/>
        <w:rPr>
          <w:b/>
          <w:sz w:val="25"/>
        </w:rPr>
      </w:pPr>
    </w:p>
    <w:p>
      <w:pPr>
        <w:pStyle w:val="BodyText"/>
        <w:spacing w:before="0"/>
        <w:ind w:left="0"/>
        <w:rPr>
          <w:b/>
          <w:sz w:val="2"/>
        </w:rPr>
      </w:pPr>
    </w:p>
    <w:p>
      <w:pPr>
        <w:pStyle w:val="BodyText"/>
        <w:spacing w:before="0"/>
        <w:ind w:left="0"/>
        <w:rPr>
          <w:b/>
          <w:sz w:val="2"/>
        </w:rPr>
      </w:pPr>
    </w:p>
    <w:p>
      <w:pPr>
        <w:pStyle w:val="BodyText"/>
        <w:spacing w:before="0"/>
        <w:ind w:left="0"/>
        <w:rPr>
          <w:b/>
          <w:sz w:val="2"/>
        </w:rPr>
      </w:pPr>
    </w:p>
    <w:p>
      <w:pPr>
        <w:pStyle w:val="BodyText"/>
        <w:spacing w:before="0"/>
        <w:ind w:left="0"/>
        <w:rPr>
          <w:b/>
          <w:sz w:val="2"/>
        </w:rPr>
      </w:pPr>
    </w:p>
    <w:p>
      <w:pPr>
        <w:pStyle w:val="BodyText"/>
        <w:spacing w:line="6" w:lineRule="exact" w:before="0"/>
        <w:ind w:left="2465"/>
        <w:rPr>
          <w:sz w:val="2"/>
        </w:rPr>
      </w:pPr>
      <w:r>
        <w:rPr/>
        <w:pict>
          <v:shape style="position:absolute;margin-left:184.25pt;margin-top:-531.955994pt;width:357.2pt;height:532.550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5608"/>
                  </w:tblGrid>
                  <w:tr>
                    <w:trPr>
                      <w:trHeight w:val="313" w:hRule="atLeast"/>
                    </w:trPr>
                    <w:tc>
                      <w:tcPr>
                        <w:tcW w:w="1522" w:type="dxa"/>
                      </w:tcPr>
                      <w:p>
                        <w:pPr>
                          <w:pStyle w:val="TableParagraph"/>
                          <w:rPr>
                            <w:rFonts w:ascii="Times New Roman"/>
                            <w:sz w:val="20"/>
                          </w:rPr>
                        </w:pPr>
                      </w:p>
                    </w:tc>
                    <w:tc>
                      <w:tcPr>
                        <w:tcW w:w="5608" w:type="dxa"/>
                      </w:tcPr>
                      <w:p>
                        <w:pPr>
                          <w:pStyle w:val="TableParagraph"/>
                          <w:spacing w:line="265" w:lineRule="exact"/>
                          <w:ind w:left="107"/>
                          <w:rPr>
                            <w:sz w:val="21"/>
                          </w:rPr>
                        </w:pPr>
                        <w:r>
                          <w:rPr>
                            <w:sz w:val="21"/>
                          </w:rPr>
                          <w:t>25. 破裂脑动脉瘤夹闭手术 </w:t>
                        </w:r>
                      </w:p>
                    </w:tc>
                  </w:tr>
                  <w:tr>
                    <w:trPr>
                      <w:trHeight w:val="313" w:hRule="atLeast"/>
                    </w:trPr>
                    <w:tc>
                      <w:tcPr>
                        <w:tcW w:w="1522" w:type="dxa"/>
                        <w:tcBorders>
                          <w:bottom w:val="nil"/>
                        </w:tcBorders>
                      </w:tcPr>
                      <w:p>
                        <w:pPr>
                          <w:pStyle w:val="TableParagraph"/>
                          <w:rPr>
                            <w:rFonts w:ascii="Times New Roman"/>
                            <w:sz w:val="20"/>
                          </w:rPr>
                        </w:pPr>
                      </w:p>
                    </w:tc>
                    <w:tc>
                      <w:tcPr>
                        <w:tcW w:w="5608" w:type="dxa"/>
                        <w:tcBorders>
                          <w:bottom w:val="nil"/>
                        </w:tcBorders>
                      </w:tcPr>
                      <w:p>
                        <w:pPr>
                          <w:pStyle w:val="TableParagraph"/>
                          <w:spacing w:line="263" w:lineRule="exact"/>
                          <w:ind w:left="107"/>
                          <w:rPr>
                            <w:sz w:val="21"/>
                          </w:rPr>
                        </w:pPr>
                        <w:r>
                          <w:rPr>
                            <w:sz w:val="21"/>
                          </w:rPr>
                          <w:t>1. 急性心肌梗塞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2. 冠状动脉搭桥术（或称冠状动脉旁路移植术）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3. 心脏瓣膜手术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4. 严重原发性肺动脉高压 </w:t>
                        </w:r>
                      </w:p>
                    </w:tc>
                  </w:tr>
                  <w:tr>
                    <w:trPr>
                      <w:trHeight w:val="311"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5. 主动脉手术 </w:t>
                        </w:r>
                      </w:p>
                    </w:tc>
                  </w:tr>
                  <w:tr>
                    <w:trPr>
                      <w:trHeight w:val="312" w:hRule="atLeast"/>
                    </w:trPr>
                    <w:tc>
                      <w:tcPr>
                        <w:tcW w:w="1522" w:type="dxa"/>
                        <w:tcBorders>
                          <w:top w:val="nil"/>
                          <w:bottom w:val="nil"/>
                        </w:tcBorders>
                      </w:tcPr>
                      <w:p>
                        <w:pPr>
                          <w:pStyle w:val="TableParagraph"/>
                          <w:spacing w:line="261" w:lineRule="exact"/>
                          <w:ind w:left="114"/>
                          <w:jc w:val="center"/>
                          <w:rPr>
                            <w:sz w:val="21"/>
                          </w:rPr>
                        </w:pPr>
                        <w:r>
                          <w:rPr>
                            <w:w w:val="100"/>
                            <w:sz w:val="21"/>
                          </w:rPr>
                          <w:t> </w:t>
                        </w:r>
                      </w:p>
                    </w:tc>
                    <w:tc>
                      <w:tcPr>
                        <w:tcW w:w="5608" w:type="dxa"/>
                        <w:tcBorders>
                          <w:top w:val="nil"/>
                          <w:bottom w:val="nil"/>
                        </w:tcBorders>
                      </w:tcPr>
                      <w:p>
                        <w:pPr>
                          <w:pStyle w:val="TableParagraph"/>
                          <w:spacing w:line="261" w:lineRule="exact"/>
                          <w:ind w:left="107"/>
                          <w:rPr>
                            <w:sz w:val="21"/>
                          </w:rPr>
                        </w:pPr>
                        <w:r>
                          <w:rPr>
                            <w:sz w:val="21"/>
                          </w:rPr>
                          <w:t>6. 原发性心肌病 </w:t>
                        </w:r>
                      </w:p>
                    </w:tc>
                  </w:tr>
                  <w:tr>
                    <w:trPr>
                      <w:trHeight w:val="312" w:hRule="atLeast"/>
                    </w:trPr>
                    <w:tc>
                      <w:tcPr>
                        <w:tcW w:w="1522" w:type="dxa"/>
                        <w:tcBorders>
                          <w:top w:val="nil"/>
                          <w:bottom w:val="nil"/>
                        </w:tcBorders>
                      </w:tcPr>
                      <w:p>
                        <w:pPr>
                          <w:pStyle w:val="TableParagraph"/>
                          <w:spacing w:line="261" w:lineRule="exact"/>
                          <w:ind w:left="114"/>
                          <w:jc w:val="center"/>
                          <w:rPr>
                            <w:sz w:val="21"/>
                          </w:rPr>
                        </w:pPr>
                        <w:r>
                          <w:rPr>
                            <w:w w:val="100"/>
                            <w:sz w:val="21"/>
                          </w:rPr>
                          <w:t> </w:t>
                        </w:r>
                      </w:p>
                    </w:tc>
                    <w:tc>
                      <w:tcPr>
                        <w:tcW w:w="5608" w:type="dxa"/>
                        <w:tcBorders>
                          <w:top w:val="nil"/>
                          <w:bottom w:val="nil"/>
                        </w:tcBorders>
                      </w:tcPr>
                      <w:p>
                        <w:pPr>
                          <w:pStyle w:val="TableParagraph"/>
                          <w:spacing w:line="261" w:lineRule="exact"/>
                          <w:ind w:left="107"/>
                          <w:rPr>
                            <w:sz w:val="21"/>
                          </w:rPr>
                        </w:pPr>
                        <w:r>
                          <w:rPr>
                            <w:sz w:val="21"/>
                          </w:rPr>
                          <w:t>7. 严重类风湿性关节炎 </w:t>
                        </w:r>
                      </w:p>
                    </w:tc>
                  </w:tr>
                  <w:tr>
                    <w:trPr>
                      <w:trHeight w:val="312" w:hRule="atLeast"/>
                    </w:trPr>
                    <w:tc>
                      <w:tcPr>
                        <w:tcW w:w="1522" w:type="dxa"/>
                        <w:tcBorders>
                          <w:top w:val="nil"/>
                          <w:bottom w:val="nil"/>
                        </w:tcBorders>
                      </w:tcPr>
                      <w:p>
                        <w:pPr>
                          <w:pStyle w:val="TableParagraph"/>
                          <w:spacing w:line="261" w:lineRule="exact"/>
                          <w:ind w:left="114"/>
                          <w:jc w:val="center"/>
                          <w:rPr>
                            <w:sz w:val="21"/>
                          </w:rPr>
                        </w:pPr>
                        <w:r>
                          <w:rPr>
                            <w:w w:val="100"/>
                            <w:sz w:val="21"/>
                          </w:rPr>
                          <w:t> </w:t>
                        </w:r>
                      </w:p>
                    </w:tc>
                    <w:tc>
                      <w:tcPr>
                        <w:tcW w:w="5608" w:type="dxa"/>
                        <w:tcBorders>
                          <w:top w:val="nil"/>
                          <w:bottom w:val="nil"/>
                        </w:tcBorders>
                      </w:tcPr>
                      <w:p>
                        <w:pPr>
                          <w:pStyle w:val="TableParagraph"/>
                          <w:spacing w:line="261" w:lineRule="exact"/>
                          <w:ind w:left="107"/>
                          <w:rPr>
                            <w:sz w:val="21"/>
                          </w:rPr>
                        </w:pPr>
                        <w:r>
                          <w:rPr>
                            <w:sz w:val="21"/>
                          </w:rPr>
                          <w:t>8. 冠状动脉粥样斑块切除术 </w:t>
                        </w:r>
                      </w:p>
                    </w:tc>
                  </w:tr>
                  <w:tr>
                    <w:trPr>
                      <w:trHeight w:val="312" w:hRule="atLeast"/>
                    </w:trPr>
                    <w:tc>
                      <w:tcPr>
                        <w:tcW w:w="1522" w:type="dxa"/>
                        <w:tcBorders>
                          <w:top w:val="nil"/>
                          <w:bottom w:val="nil"/>
                        </w:tcBorders>
                      </w:tcPr>
                      <w:p>
                        <w:pPr>
                          <w:pStyle w:val="TableParagraph"/>
                          <w:spacing w:line="261" w:lineRule="exact"/>
                          <w:ind w:left="114"/>
                          <w:jc w:val="center"/>
                          <w:rPr>
                            <w:sz w:val="21"/>
                          </w:rPr>
                        </w:pPr>
                        <w:r>
                          <w:rPr>
                            <w:w w:val="100"/>
                            <w:sz w:val="21"/>
                          </w:rPr>
                          <w:t> </w:t>
                        </w:r>
                      </w:p>
                    </w:tc>
                    <w:tc>
                      <w:tcPr>
                        <w:tcW w:w="5608" w:type="dxa"/>
                        <w:tcBorders>
                          <w:top w:val="nil"/>
                          <w:bottom w:val="nil"/>
                        </w:tcBorders>
                      </w:tcPr>
                      <w:p>
                        <w:pPr>
                          <w:pStyle w:val="TableParagraph"/>
                          <w:spacing w:line="261" w:lineRule="exact"/>
                          <w:ind w:left="107"/>
                          <w:rPr>
                            <w:sz w:val="21"/>
                          </w:rPr>
                        </w:pPr>
                        <w:r>
                          <w:rPr>
                            <w:sz w:val="21"/>
                          </w:rPr>
                          <w:t>9. 肺源性心脏病 </w:t>
                        </w:r>
                      </w:p>
                    </w:tc>
                  </w:tr>
                  <w:tr>
                    <w:trPr>
                      <w:trHeight w:val="311" w:hRule="atLeast"/>
                    </w:trPr>
                    <w:tc>
                      <w:tcPr>
                        <w:tcW w:w="1522" w:type="dxa"/>
                        <w:tcBorders>
                          <w:top w:val="nil"/>
                          <w:bottom w:val="nil"/>
                        </w:tcBorders>
                      </w:tcPr>
                      <w:p>
                        <w:pPr>
                          <w:pStyle w:val="TableParagraph"/>
                          <w:spacing w:line="261" w:lineRule="exact"/>
                          <w:ind w:left="114"/>
                          <w:jc w:val="center"/>
                          <w:rPr>
                            <w:sz w:val="21"/>
                          </w:rPr>
                        </w:pPr>
                        <w:r>
                          <w:rPr>
                            <w:w w:val="100"/>
                            <w:sz w:val="21"/>
                          </w:rPr>
                          <w:t> </w:t>
                        </w:r>
                      </w:p>
                    </w:tc>
                    <w:tc>
                      <w:tcPr>
                        <w:tcW w:w="5608" w:type="dxa"/>
                        <w:tcBorders>
                          <w:top w:val="nil"/>
                          <w:bottom w:val="nil"/>
                        </w:tcBorders>
                      </w:tcPr>
                      <w:p>
                        <w:pPr>
                          <w:pStyle w:val="TableParagraph"/>
                          <w:spacing w:line="261" w:lineRule="exact"/>
                          <w:ind w:left="107"/>
                          <w:rPr>
                            <w:sz w:val="21"/>
                          </w:rPr>
                        </w:pPr>
                        <w:r>
                          <w:rPr>
                            <w:sz w:val="21"/>
                          </w:rPr>
                          <w:t>10. 主动脉夹层血肿 </w:t>
                        </w:r>
                      </w:p>
                    </w:tc>
                  </w:tr>
                  <w:tr>
                    <w:trPr>
                      <w:trHeight w:val="312" w:hRule="atLeast"/>
                    </w:trPr>
                    <w:tc>
                      <w:tcPr>
                        <w:tcW w:w="1522" w:type="dxa"/>
                        <w:tcBorders>
                          <w:top w:val="nil"/>
                          <w:bottom w:val="nil"/>
                        </w:tcBorders>
                      </w:tcPr>
                      <w:p>
                        <w:pPr>
                          <w:pStyle w:val="TableParagraph"/>
                          <w:spacing w:line="261" w:lineRule="exact"/>
                          <w:ind w:left="582" w:right="470"/>
                          <w:jc w:val="center"/>
                          <w:rPr>
                            <w:sz w:val="21"/>
                          </w:rPr>
                        </w:pPr>
                        <w:r>
                          <w:rPr>
                            <w:sz w:val="21"/>
                          </w:rPr>
                          <w:t>C 组 </w:t>
                        </w:r>
                      </w:p>
                    </w:tc>
                    <w:tc>
                      <w:tcPr>
                        <w:tcW w:w="5608" w:type="dxa"/>
                        <w:tcBorders>
                          <w:top w:val="nil"/>
                          <w:bottom w:val="nil"/>
                        </w:tcBorders>
                      </w:tcPr>
                      <w:p>
                        <w:pPr>
                          <w:pStyle w:val="TableParagraph"/>
                          <w:spacing w:line="261" w:lineRule="exact"/>
                          <w:ind w:left="107"/>
                          <w:rPr>
                            <w:sz w:val="21"/>
                          </w:rPr>
                        </w:pPr>
                        <w:r>
                          <w:rPr>
                            <w:sz w:val="21"/>
                          </w:rPr>
                          <w:t>11. 幼年型类风湿性关节炎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2" w:lineRule="exact"/>
                          <w:ind w:left="107"/>
                          <w:rPr>
                            <w:sz w:val="21"/>
                          </w:rPr>
                        </w:pPr>
                        <w:r>
                          <w:rPr>
                            <w:sz w:val="21"/>
                          </w:rPr>
                          <w:t>12. 严重川崎病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13. 严重心肌炎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14. 斯蒂尔病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15. 感染性心内膜炎 </w:t>
                        </w:r>
                      </w:p>
                    </w:tc>
                  </w:tr>
                  <w:tr>
                    <w:trPr>
                      <w:trHeight w:val="310" w:hRule="atLeast"/>
                    </w:trPr>
                    <w:tc>
                      <w:tcPr>
                        <w:tcW w:w="1522" w:type="dxa"/>
                        <w:tcBorders>
                          <w:top w:val="nil"/>
                        </w:tcBorders>
                      </w:tcPr>
                      <w:p>
                        <w:pPr>
                          <w:pStyle w:val="TableParagraph"/>
                          <w:rPr>
                            <w:rFonts w:ascii="Times New Roman"/>
                            <w:sz w:val="20"/>
                          </w:rPr>
                        </w:pPr>
                      </w:p>
                    </w:tc>
                    <w:tc>
                      <w:tcPr>
                        <w:tcW w:w="5608" w:type="dxa"/>
                        <w:tcBorders>
                          <w:top w:val="nil"/>
                        </w:tcBorders>
                      </w:tcPr>
                      <w:p>
                        <w:pPr>
                          <w:pStyle w:val="TableParagraph"/>
                          <w:spacing w:line="261" w:lineRule="exact"/>
                          <w:ind w:left="107"/>
                          <w:rPr>
                            <w:sz w:val="21"/>
                          </w:rPr>
                        </w:pPr>
                        <w:r>
                          <w:rPr>
                            <w:sz w:val="21"/>
                          </w:rPr>
                          <w:t>16. Ⅲ度房室传导阻滞 </w:t>
                        </w:r>
                      </w:p>
                    </w:tc>
                  </w:tr>
                  <w:tr>
                    <w:trPr>
                      <w:trHeight w:val="312" w:hRule="atLeast"/>
                    </w:trPr>
                    <w:tc>
                      <w:tcPr>
                        <w:tcW w:w="1522" w:type="dxa"/>
                        <w:tcBorders>
                          <w:bottom w:val="nil"/>
                        </w:tcBorders>
                      </w:tcPr>
                      <w:p>
                        <w:pPr>
                          <w:pStyle w:val="TableParagraph"/>
                          <w:rPr>
                            <w:rFonts w:ascii="Times New Roman"/>
                            <w:sz w:val="20"/>
                          </w:rPr>
                        </w:pPr>
                      </w:p>
                    </w:tc>
                    <w:tc>
                      <w:tcPr>
                        <w:tcW w:w="5608" w:type="dxa"/>
                        <w:tcBorders>
                          <w:bottom w:val="nil"/>
                        </w:tcBorders>
                      </w:tcPr>
                      <w:p>
                        <w:pPr>
                          <w:pStyle w:val="TableParagraph"/>
                          <w:spacing w:line="262" w:lineRule="exact"/>
                          <w:ind w:left="107"/>
                          <w:rPr>
                            <w:sz w:val="21"/>
                          </w:rPr>
                        </w:pPr>
                        <w:r>
                          <w:rPr>
                            <w:sz w:val="21"/>
                          </w:rPr>
                          <w:t>1. 双耳失聪 </w:t>
                        </w:r>
                      </w:p>
                    </w:tc>
                  </w:tr>
                  <w:tr>
                    <w:trPr>
                      <w:trHeight w:val="311"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2. 双目失明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3. 严重 III 度烧伤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4. 丝虫病所致象皮肿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5. 慢性复发性胰腺炎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2" w:lineRule="exact"/>
                          <w:ind w:left="107"/>
                          <w:rPr>
                            <w:sz w:val="21"/>
                          </w:rPr>
                        </w:pPr>
                        <w:r>
                          <w:rPr>
                            <w:sz w:val="21"/>
                          </w:rPr>
                          <w:t>6. 重症急性坏死性筋膜炎 </w:t>
                        </w:r>
                      </w:p>
                    </w:tc>
                  </w:tr>
                  <w:tr>
                    <w:trPr>
                      <w:trHeight w:val="1560" w:hRule="atLeast"/>
                    </w:trPr>
                    <w:tc>
                      <w:tcPr>
                        <w:tcW w:w="1522" w:type="dxa"/>
                        <w:tcBorders>
                          <w:top w:val="nil"/>
                          <w:bottom w:val="nil"/>
                        </w:tcBorders>
                      </w:tcPr>
                      <w:p>
                        <w:pPr>
                          <w:pStyle w:val="TableParagraph"/>
                          <w:spacing w:before="142"/>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114"/>
                          <w:jc w:val="center"/>
                          <w:rPr>
                            <w:sz w:val="21"/>
                          </w:rPr>
                        </w:pPr>
                        <w:r>
                          <w:rPr>
                            <w:w w:val="100"/>
                            <w:sz w:val="21"/>
                          </w:rPr>
                          <w:t> </w:t>
                        </w:r>
                      </w:p>
                      <w:p>
                        <w:pPr>
                          <w:pStyle w:val="TableParagraph"/>
                          <w:spacing w:before="36"/>
                          <w:ind w:left="582" w:right="470"/>
                          <w:jc w:val="center"/>
                          <w:rPr>
                            <w:sz w:val="21"/>
                          </w:rPr>
                        </w:pPr>
                        <w:r>
                          <w:rPr>
                            <w:sz w:val="21"/>
                          </w:rPr>
                          <w:t>D 组 </w:t>
                        </w:r>
                      </w:p>
                    </w:tc>
                    <w:tc>
                      <w:tcPr>
                        <w:tcW w:w="5608" w:type="dxa"/>
                        <w:tcBorders>
                          <w:top w:val="nil"/>
                          <w:bottom w:val="nil"/>
                        </w:tcBorders>
                      </w:tcPr>
                      <w:p>
                        <w:pPr>
                          <w:pStyle w:val="TableParagraph"/>
                          <w:numPr>
                            <w:ilvl w:val="0"/>
                            <w:numId w:val="11"/>
                          </w:numPr>
                          <w:tabs>
                            <w:tab w:pos="468" w:val="left" w:leader="none"/>
                          </w:tabs>
                          <w:spacing w:line="261" w:lineRule="exact" w:before="0" w:after="0"/>
                          <w:ind w:left="467" w:right="0" w:hanging="360"/>
                          <w:jc w:val="left"/>
                          <w:rPr>
                            <w:sz w:val="21"/>
                          </w:rPr>
                        </w:pPr>
                        <w:r>
                          <w:rPr>
                            <w:spacing w:val="-2"/>
                            <w:sz w:val="21"/>
                          </w:rPr>
                          <w:t>严重克隆病</w:t>
                        </w:r>
                        <w:r>
                          <w:rPr>
                            <w:sz w:val="21"/>
                          </w:rPr>
                          <w:t>（Crohn’s</w:t>
                        </w:r>
                        <w:r>
                          <w:rPr>
                            <w:spacing w:val="-25"/>
                            <w:sz w:val="21"/>
                          </w:rPr>
                          <w:t> 病</w:t>
                        </w:r>
                        <w:r>
                          <w:rPr>
                            <w:sz w:val="21"/>
                          </w:rPr>
                          <w:t>） </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急性坏死性胰腺炎开腹手术 </w:t>
                        </w:r>
                      </w:p>
                      <w:p>
                        <w:pPr>
                          <w:pStyle w:val="TableParagraph"/>
                          <w:numPr>
                            <w:ilvl w:val="0"/>
                            <w:numId w:val="11"/>
                          </w:numPr>
                          <w:tabs>
                            <w:tab w:pos="468" w:val="left" w:leader="none"/>
                          </w:tabs>
                          <w:spacing w:line="240" w:lineRule="auto" w:before="37" w:after="0"/>
                          <w:ind w:left="467" w:right="0" w:hanging="360"/>
                          <w:jc w:val="left"/>
                          <w:rPr>
                            <w:sz w:val="21"/>
                          </w:rPr>
                        </w:pPr>
                        <w:r>
                          <w:rPr>
                            <w:spacing w:val="-2"/>
                            <w:sz w:val="21"/>
                          </w:rPr>
                          <w:t>胰腺移植</w:t>
                        </w:r>
                        <w:r>
                          <w:rPr>
                            <w:sz w:val="21"/>
                          </w:rPr>
                          <w:t> </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肺淋巴管肌瘤病</w:t>
                        </w:r>
                        <w:r>
                          <w:rPr>
                            <w:sz w:val="21"/>
                          </w:rPr>
                          <w:t> </w:t>
                        </w:r>
                      </w:p>
                      <w:p>
                        <w:pPr>
                          <w:pStyle w:val="TableParagraph"/>
                          <w:numPr>
                            <w:ilvl w:val="0"/>
                            <w:numId w:val="11"/>
                          </w:numPr>
                          <w:tabs>
                            <w:tab w:pos="468" w:val="left" w:leader="none"/>
                          </w:tabs>
                          <w:spacing w:line="240" w:lineRule="auto" w:before="37" w:after="0"/>
                          <w:ind w:left="467" w:right="0" w:hanging="360"/>
                          <w:jc w:val="left"/>
                          <w:rPr>
                            <w:sz w:val="21"/>
                          </w:rPr>
                        </w:pPr>
                        <w:r>
                          <w:rPr>
                            <w:spacing w:val="-3"/>
                            <w:sz w:val="21"/>
                          </w:rPr>
                          <w:t>严重获得性或继发性肺泡蛋白质沉积症 </w:t>
                        </w:r>
                      </w:p>
                    </w:tc>
                  </w:tr>
                  <w:tr>
                    <w:trPr>
                      <w:trHeight w:val="311"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12. 严重肠道疾病并发症 </w:t>
                        </w:r>
                      </w:p>
                    </w:tc>
                  </w:tr>
                  <w:tr>
                    <w:trPr>
                      <w:trHeight w:val="311"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13. 埃博拉病毒感染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14. 重症手足口病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15. 溶血性链球菌引起的坏疽 </w:t>
                        </w:r>
                      </w:p>
                    </w:tc>
                  </w:tr>
                  <w:tr>
                    <w:trPr>
                      <w:trHeight w:val="312" w:hRule="atLeast"/>
                    </w:trPr>
                    <w:tc>
                      <w:tcPr>
                        <w:tcW w:w="1522" w:type="dxa"/>
                        <w:tcBorders>
                          <w:top w:val="nil"/>
                          <w:bottom w:val="nil"/>
                        </w:tcBorders>
                      </w:tcPr>
                      <w:p>
                        <w:pPr>
                          <w:pStyle w:val="TableParagraph"/>
                          <w:rPr>
                            <w:rFonts w:ascii="Times New Roman"/>
                            <w:sz w:val="20"/>
                          </w:rPr>
                        </w:pPr>
                      </w:p>
                    </w:tc>
                    <w:tc>
                      <w:tcPr>
                        <w:tcW w:w="5608" w:type="dxa"/>
                        <w:tcBorders>
                          <w:top w:val="nil"/>
                          <w:bottom w:val="nil"/>
                        </w:tcBorders>
                      </w:tcPr>
                      <w:p>
                        <w:pPr>
                          <w:pStyle w:val="TableParagraph"/>
                          <w:spacing w:line="261" w:lineRule="exact"/>
                          <w:ind w:left="107"/>
                          <w:rPr>
                            <w:sz w:val="21"/>
                          </w:rPr>
                        </w:pPr>
                        <w:r>
                          <w:rPr>
                            <w:sz w:val="21"/>
                          </w:rPr>
                          <w:t>16. 嗜铬细胞瘤 </w:t>
                        </w:r>
                      </w:p>
                    </w:tc>
                  </w:tr>
                  <w:tr>
                    <w:trPr>
                      <w:trHeight w:val="311" w:hRule="atLeast"/>
                    </w:trPr>
                    <w:tc>
                      <w:tcPr>
                        <w:tcW w:w="1522" w:type="dxa"/>
                        <w:tcBorders>
                          <w:top w:val="nil"/>
                        </w:tcBorders>
                      </w:tcPr>
                      <w:p>
                        <w:pPr>
                          <w:pStyle w:val="TableParagraph"/>
                          <w:rPr>
                            <w:rFonts w:ascii="Times New Roman"/>
                            <w:sz w:val="20"/>
                          </w:rPr>
                        </w:pPr>
                      </w:p>
                    </w:tc>
                    <w:tc>
                      <w:tcPr>
                        <w:tcW w:w="5608" w:type="dxa"/>
                        <w:tcBorders>
                          <w:top w:val="nil"/>
                        </w:tcBorders>
                      </w:tcPr>
                      <w:p>
                        <w:pPr>
                          <w:pStyle w:val="TableParagraph"/>
                          <w:spacing w:line="262" w:lineRule="exact"/>
                          <w:ind w:left="107"/>
                          <w:rPr>
                            <w:sz w:val="21"/>
                          </w:rPr>
                        </w:pPr>
                        <w:r>
                          <w:rPr>
                            <w:sz w:val="21"/>
                          </w:rPr>
                          <w:t>17. 肝豆状核变性 </w:t>
                        </w:r>
                      </w:p>
                    </w:tc>
                  </w:tr>
                </w:tbl>
                <w:p>
                  <w:pPr>
                    <w:pStyle w:val="BodyText"/>
                    <w:spacing w:before="0"/>
                    <w:ind w:left="0"/>
                  </w:pPr>
                </w:p>
              </w:txbxContent>
            </v:textbox>
            <w10:wrap type="none"/>
          </v:shape>
        </w:pict>
      </w:r>
      <w:r>
        <w:rPr>
          <w:w w:val="95"/>
          <w:sz w:val="2"/>
        </w:rPr>
        <w:t> </w:t>
      </w:r>
    </w:p>
    <w:p>
      <w:pPr>
        <w:tabs>
          <w:tab w:pos="1175" w:val="left" w:leader="none"/>
          <w:tab w:pos="2464" w:val="left" w:leader="none"/>
        </w:tabs>
        <w:spacing w:line="268" w:lineRule="exact" w:before="7"/>
        <w:ind w:left="107" w:right="0" w:firstLine="0"/>
        <w:jc w:val="left"/>
        <w:rPr>
          <w:sz w:val="21"/>
        </w:rPr>
      </w:pPr>
      <w:r>
        <w:rPr>
          <w:b/>
          <w:w w:val="99"/>
          <w:sz w:val="21"/>
        </w:rPr>
        <w:t> </w:t>
      </w:r>
      <w:r>
        <w:rPr>
          <w:b/>
          <w:sz w:val="21"/>
        </w:rPr>
        <w:tab/>
      </w:r>
      <w:r>
        <w:rPr>
          <w:b/>
          <w:w w:val="99"/>
          <w:sz w:val="21"/>
        </w:rPr>
        <w:t> </w:t>
      </w:r>
      <w:r>
        <w:rPr>
          <w:b/>
          <w:sz w:val="21"/>
        </w:rPr>
        <w:tab/>
      </w:r>
      <w:r>
        <w:rPr>
          <w:w w:val="100"/>
          <w:sz w:val="21"/>
        </w:rPr>
        <w:t> </w:t>
      </w:r>
    </w:p>
    <w:p>
      <w:pPr>
        <w:pStyle w:val="ListParagraph"/>
        <w:numPr>
          <w:ilvl w:val="1"/>
          <w:numId w:val="10"/>
        </w:numPr>
        <w:tabs>
          <w:tab w:pos="426" w:val="left" w:leader="none"/>
          <w:tab w:pos="868" w:val="left" w:leader="none"/>
          <w:tab w:pos="2464" w:val="left" w:leader="none"/>
        </w:tabs>
        <w:spacing w:line="273" w:lineRule="auto" w:before="37" w:after="0"/>
        <w:ind w:left="2465" w:right="173" w:hanging="2358"/>
        <w:jc w:val="left"/>
        <w:rPr>
          <w:sz w:val="21"/>
        </w:rPr>
      </w:pPr>
      <w:r>
        <w:rPr>
          <w:b/>
          <w:sz w:val="21"/>
        </w:rPr>
        <w:t>初次发</w:t>
      </w:r>
      <w:r>
        <w:rPr>
          <w:b/>
          <w:spacing w:val="-3"/>
          <w:sz w:val="21"/>
        </w:rPr>
        <w:t>生</w:t>
        <w:tab/>
      </w:r>
      <w:r>
        <w:rPr>
          <w:sz w:val="21"/>
        </w:rPr>
        <w:t>指被</w:t>
      </w:r>
      <w:r>
        <w:rPr>
          <w:spacing w:val="-3"/>
          <w:sz w:val="21"/>
        </w:rPr>
        <w:t>保</w:t>
      </w:r>
      <w:r>
        <w:rPr>
          <w:sz w:val="21"/>
        </w:rPr>
        <w:t>险</w:t>
      </w:r>
      <w:r>
        <w:rPr>
          <w:spacing w:val="-3"/>
          <w:sz w:val="21"/>
        </w:rPr>
        <w:t>人</w:t>
      </w:r>
      <w:r>
        <w:rPr>
          <w:sz w:val="21"/>
        </w:rPr>
        <w:t>首</w:t>
      </w:r>
      <w:r>
        <w:rPr>
          <w:spacing w:val="-3"/>
          <w:sz w:val="21"/>
        </w:rPr>
        <w:t>次</w:t>
      </w:r>
      <w:r>
        <w:rPr>
          <w:sz w:val="21"/>
        </w:rPr>
        <w:t>出</w:t>
      </w:r>
      <w:r>
        <w:rPr>
          <w:spacing w:val="-3"/>
          <w:sz w:val="21"/>
        </w:rPr>
        <w:t>现</w:t>
      </w:r>
      <w:r>
        <w:rPr>
          <w:sz w:val="21"/>
        </w:rPr>
        <w:t>重</w:t>
      </w:r>
      <w:r>
        <w:rPr>
          <w:spacing w:val="-3"/>
          <w:sz w:val="21"/>
        </w:rPr>
        <w:t>大</w:t>
      </w:r>
      <w:r>
        <w:rPr>
          <w:sz w:val="21"/>
        </w:rPr>
        <w:t>疾病</w:t>
      </w:r>
      <w:r>
        <w:rPr>
          <w:spacing w:val="-3"/>
          <w:sz w:val="21"/>
        </w:rPr>
        <w:t>或</w:t>
      </w:r>
      <w:r>
        <w:rPr>
          <w:sz w:val="21"/>
        </w:rPr>
        <w:t>轻</w:t>
      </w:r>
      <w:r>
        <w:rPr>
          <w:spacing w:val="-3"/>
          <w:sz w:val="21"/>
        </w:rPr>
        <w:t>症</w:t>
      </w:r>
      <w:r>
        <w:rPr>
          <w:sz w:val="21"/>
        </w:rPr>
        <w:t>疾</w:t>
      </w:r>
      <w:r>
        <w:rPr>
          <w:spacing w:val="-3"/>
          <w:sz w:val="21"/>
        </w:rPr>
        <w:t>病</w:t>
      </w:r>
      <w:r>
        <w:rPr>
          <w:sz w:val="21"/>
        </w:rPr>
        <w:t>的</w:t>
      </w:r>
      <w:r>
        <w:rPr>
          <w:spacing w:val="-3"/>
          <w:sz w:val="21"/>
        </w:rPr>
        <w:t>前</w:t>
      </w:r>
      <w:r>
        <w:rPr>
          <w:sz w:val="21"/>
        </w:rPr>
        <w:t>兆</w:t>
      </w:r>
      <w:r>
        <w:rPr>
          <w:spacing w:val="-3"/>
          <w:sz w:val="21"/>
        </w:rPr>
        <w:t>或</w:t>
      </w:r>
      <w:r>
        <w:rPr>
          <w:sz w:val="21"/>
        </w:rPr>
        <w:t>异常</w:t>
      </w:r>
      <w:r>
        <w:rPr>
          <w:spacing w:val="-3"/>
          <w:sz w:val="21"/>
        </w:rPr>
        <w:t>的</w:t>
      </w:r>
      <w:r>
        <w:rPr>
          <w:sz w:val="21"/>
        </w:rPr>
        <w:t>身</w:t>
      </w:r>
      <w:r>
        <w:rPr>
          <w:spacing w:val="-3"/>
          <w:sz w:val="21"/>
        </w:rPr>
        <w:t>体</w:t>
      </w:r>
      <w:r>
        <w:rPr>
          <w:sz w:val="21"/>
        </w:rPr>
        <w:t>状</w:t>
      </w:r>
      <w:r>
        <w:rPr>
          <w:spacing w:val="-3"/>
          <w:sz w:val="21"/>
        </w:rPr>
        <w:t>况</w:t>
      </w:r>
      <w:r>
        <w:rPr>
          <w:sz w:val="21"/>
        </w:rPr>
        <w:t>，</w:t>
      </w:r>
      <w:r>
        <w:rPr>
          <w:spacing w:val="-3"/>
          <w:sz w:val="21"/>
        </w:rPr>
        <w:t>包</w:t>
      </w:r>
      <w:r>
        <w:rPr>
          <w:sz w:val="21"/>
        </w:rPr>
        <w:t>括</w:t>
      </w:r>
      <w:r>
        <w:rPr>
          <w:spacing w:val="-3"/>
          <w:sz w:val="21"/>
        </w:rPr>
        <w:t>与</w:t>
      </w:r>
      <w:r>
        <w:rPr>
          <w:sz w:val="21"/>
        </w:rPr>
        <w:t>重 大疾</w:t>
      </w:r>
      <w:r>
        <w:rPr>
          <w:spacing w:val="-3"/>
          <w:sz w:val="21"/>
        </w:rPr>
        <w:t>病</w:t>
      </w:r>
      <w:r>
        <w:rPr>
          <w:sz w:val="21"/>
        </w:rPr>
        <w:t>或</w:t>
      </w:r>
      <w:r>
        <w:rPr>
          <w:spacing w:val="-3"/>
          <w:sz w:val="21"/>
        </w:rPr>
        <w:t>轻</w:t>
      </w:r>
      <w:r>
        <w:rPr>
          <w:sz w:val="21"/>
        </w:rPr>
        <w:t>症</w:t>
      </w:r>
      <w:r>
        <w:rPr>
          <w:spacing w:val="-3"/>
          <w:sz w:val="21"/>
        </w:rPr>
        <w:t>疾</w:t>
      </w:r>
      <w:r>
        <w:rPr>
          <w:sz w:val="21"/>
        </w:rPr>
        <w:t>病</w:t>
      </w:r>
      <w:r>
        <w:rPr>
          <w:spacing w:val="-3"/>
          <w:sz w:val="21"/>
        </w:rPr>
        <w:t>相</w:t>
      </w:r>
      <w:r>
        <w:rPr>
          <w:sz w:val="21"/>
        </w:rPr>
        <w:t>关</w:t>
      </w:r>
      <w:r>
        <w:rPr>
          <w:spacing w:val="-3"/>
          <w:sz w:val="21"/>
        </w:rPr>
        <w:t>的</w:t>
      </w:r>
      <w:r>
        <w:rPr>
          <w:sz w:val="21"/>
        </w:rPr>
        <w:t>症状</w:t>
      </w:r>
      <w:r>
        <w:rPr>
          <w:spacing w:val="-3"/>
          <w:sz w:val="21"/>
        </w:rPr>
        <w:t>及</w:t>
      </w:r>
      <w:r>
        <w:rPr>
          <w:sz w:val="21"/>
        </w:rPr>
        <w:t>体</w:t>
      </w:r>
      <w:r>
        <w:rPr>
          <w:spacing w:val="-3"/>
          <w:sz w:val="21"/>
        </w:rPr>
        <w:t>征。</w:t>
      </w:r>
      <w:r>
        <w:rPr>
          <w:sz w:val="21"/>
        </w:rPr>
        <w:t> </w:t>
      </w:r>
    </w:p>
    <w:p>
      <w:pPr>
        <w:pStyle w:val="Heading2"/>
        <w:tabs>
          <w:tab w:pos="1175" w:val="left" w:leader="none"/>
          <w:tab w:pos="2464" w:val="left" w:leader="none"/>
        </w:tabs>
        <w:spacing w:before="8"/>
        <w:ind w:left="107"/>
        <w:rPr>
          <w:b w:val="0"/>
        </w:rPr>
      </w:pPr>
      <w:r>
        <w:rPr>
          <w:w w:val="99"/>
        </w:rPr>
        <w:t> </w:t>
      </w:r>
      <w:r>
        <w:rPr/>
        <w:tab/>
      </w:r>
      <w:r>
        <w:rPr>
          <w:w w:val="99"/>
        </w:rPr>
        <w:t> </w:t>
      </w:r>
      <w:r>
        <w:rPr/>
        <w:tab/>
      </w:r>
      <w:r>
        <w:rPr>
          <w:b w:val="0"/>
          <w:w w:val="100"/>
        </w:rPr>
        <w:t> </w:t>
      </w:r>
    </w:p>
    <w:p>
      <w:pPr>
        <w:pStyle w:val="ListParagraph"/>
        <w:numPr>
          <w:ilvl w:val="1"/>
          <w:numId w:val="10"/>
        </w:numPr>
        <w:tabs>
          <w:tab w:pos="532" w:val="left" w:leader="none"/>
        </w:tabs>
        <w:spacing w:line="273" w:lineRule="auto" w:before="37" w:after="0"/>
        <w:ind w:left="2465" w:right="173" w:hanging="2358"/>
        <w:jc w:val="both"/>
        <w:rPr>
          <w:sz w:val="21"/>
        </w:rPr>
      </w:pPr>
      <w:r>
        <w:rPr>
          <w:b/>
          <w:spacing w:val="2"/>
          <w:sz w:val="21"/>
        </w:rPr>
        <w:t>医院           </w:t>
      </w:r>
      <w:r>
        <w:rPr>
          <w:spacing w:val="-3"/>
          <w:sz w:val="21"/>
        </w:rPr>
        <w:t>指国家卫生部医院等级分类中的二级或二级以上的公立医院，但不包括附属于前述医院或单独作为诊所、康复、护理、疗养、戒酒、戒毒等或相类似的医疗机构。同时该医院必须具有符合有关医院管理规定设置标准的医疗设备，并且全日二十四小时有合格医师及护士驻院提供医疗和护理等服务。</w:t>
      </w:r>
      <w:r>
        <w:rPr>
          <w:sz w:val="21"/>
        </w:rPr>
        <w:t> </w:t>
      </w:r>
    </w:p>
    <w:p>
      <w:pPr>
        <w:pStyle w:val="Heading2"/>
        <w:tabs>
          <w:tab w:pos="1175" w:val="left" w:leader="none"/>
          <w:tab w:pos="2464" w:val="left" w:leader="none"/>
        </w:tabs>
        <w:spacing w:before="7"/>
        <w:ind w:left="107"/>
        <w:rPr>
          <w:b w:val="0"/>
        </w:rPr>
      </w:pPr>
      <w:r>
        <w:rPr>
          <w:w w:val="99"/>
        </w:rPr>
        <w:t> </w:t>
      </w:r>
      <w:r>
        <w:rPr/>
        <w:tab/>
      </w:r>
      <w:r>
        <w:rPr>
          <w:w w:val="99"/>
        </w:rPr>
        <w:t> </w:t>
      </w:r>
      <w:r>
        <w:rPr/>
        <w:tab/>
      </w:r>
      <w:r>
        <w:rPr>
          <w:b w:val="0"/>
          <w:w w:val="100"/>
        </w:rPr>
        <w:t> </w:t>
      </w:r>
    </w:p>
    <w:p>
      <w:pPr>
        <w:pStyle w:val="ListParagraph"/>
        <w:numPr>
          <w:ilvl w:val="1"/>
          <w:numId w:val="10"/>
        </w:numPr>
        <w:tabs>
          <w:tab w:pos="541" w:val="left" w:leader="none"/>
          <w:tab w:pos="868" w:val="left" w:leader="none"/>
          <w:tab w:pos="2464" w:val="left" w:leader="none"/>
        </w:tabs>
        <w:spacing w:line="240" w:lineRule="auto" w:before="37" w:after="0"/>
        <w:ind w:left="540" w:right="0" w:hanging="423"/>
        <w:jc w:val="left"/>
        <w:rPr>
          <w:sz w:val="21"/>
        </w:rPr>
      </w:pPr>
      <w:r>
        <w:rPr>
          <w:b/>
          <w:sz w:val="21"/>
        </w:rPr>
        <w:t>专科医</w:t>
      </w:r>
      <w:r>
        <w:rPr>
          <w:b/>
          <w:spacing w:val="-3"/>
          <w:sz w:val="21"/>
        </w:rPr>
        <w:t>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 </w:t>
      </w:r>
    </w:p>
    <w:p>
      <w:pPr>
        <w:pStyle w:val="BodyText"/>
        <w:ind w:left="2465"/>
      </w:pPr>
      <w:r>
        <w:rPr/>
        <w:t>（1）具有有效的中华人民共和国《医师资格证书》； </w:t>
      </w:r>
    </w:p>
    <w:p>
      <w:pPr>
        <w:pStyle w:val="BodyText"/>
        <w:ind w:left="2462"/>
      </w:pPr>
      <w:r>
        <w:rPr/>
        <w:t>（2）具有有效的中华人民共和国《医师执业证书》，并按期到相关部门登记注</w:t>
      </w:r>
    </w:p>
    <w:p>
      <w:pPr>
        <w:spacing w:after="0"/>
        <w:sectPr>
          <w:pgSz w:w="11910" w:h="16840"/>
          <w:pgMar w:top="1120" w:bottom="280" w:left="1220" w:right="900"/>
        </w:sectPr>
      </w:pPr>
    </w:p>
    <w:p>
      <w:pPr>
        <w:pStyle w:val="BodyText"/>
        <w:spacing w:before="22"/>
        <w:ind w:left="3348"/>
      </w:pPr>
      <w:r>
        <w:rPr/>
        <w:t>册；  </w:t>
      </w:r>
    </w:p>
    <w:p>
      <w:pPr>
        <w:pStyle w:val="BodyText"/>
        <w:spacing w:line="273" w:lineRule="auto"/>
        <w:ind w:left="3350" w:right="112" w:hanging="526"/>
      </w:pPr>
      <w:r>
        <w:rPr>
          <w:spacing w:val="2"/>
        </w:rPr>
        <w:t>（3）</w:t>
      </w:r>
      <w:r>
        <w:rPr/>
        <w:t>具有有效的中华人民共和国主治医师或主治医师以上职称的《医师职称 </w:t>
      </w:r>
      <w:r>
        <w:rPr>
          <w:spacing w:val="-28"/>
        </w:rPr>
        <w:t>证书》；</w:t>
      </w:r>
      <w:r>
        <w:rPr/>
        <w:t> </w:t>
      </w:r>
    </w:p>
    <w:p>
      <w:pPr>
        <w:pStyle w:val="BodyText"/>
        <w:spacing w:before="7"/>
        <w:ind w:left="2825"/>
      </w:pPr>
      <w:r>
        <w:rPr/>
        <w:t>（4）在二级或二级以上医院的相应科室从事临床工作三年以上。 </w:t>
      </w:r>
    </w:p>
    <w:p>
      <w:pPr>
        <w:pStyle w:val="Heading2"/>
        <w:tabs>
          <w:tab w:pos="1228" w:val="left" w:leader="none"/>
          <w:tab w:pos="2824" w:val="left" w:leader="none"/>
        </w:tabs>
        <w:spacing w:before="37"/>
        <w:ind w:left="160"/>
        <w:rPr>
          <w:b w:val="0"/>
        </w:rPr>
      </w:pPr>
      <w:r>
        <w:rPr/>
        <w:pict>
          <v:shape style="position:absolute;margin-left:48.5pt;margin-top:18.313643pt;width:495.85pt;height:639.4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
                    <w:gridCol w:w="746"/>
                    <w:gridCol w:w="1718"/>
                    <w:gridCol w:w="1520"/>
                    <w:gridCol w:w="5673"/>
                  </w:tblGrid>
                  <w:tr>
                    <w:trPr>
                      <w:trHeight w:val="2498" w:hRule="atLeast"/>
                    </w:trPr>
                    <w:tc>
                      <w:tcPr>
                        <w:tcW w:w="2721" w:type="dxa"/>
                        <w:gridSpan w:val="3"/>
                        <w:tcBorders>
                          <w:right w:val="single" w:sz="4" w:space="0" w:color="000000"/>
                        </w:tcBorders>
                      </w:tcPr>
                      <w:p>
                        <w:pPr>
                          <w:pStyle w:val="TableParagraph"/>
                          <w:tabs>
                            <w:tab w:pos="787" w:val="left" w:leader="none"/>
                          </w:tabs>
                          <w:spacing w:line="253" w:lineRule="exact"/>
                          <w:ind w:left="27"/>
                          <w:jc w:val="center"/>
                          <w:rPr>
                            <w:b/>
                            <w:sz w:val="21"/>
                          </w:rPr>
                        </w:pPr>
                        <w:r>
                          <w:rPr>
                            <w:b/>
                            <w:sz w:val="21"/>
                          </w:rPr>
                          <w:t>9.12</w:t>
                          <w:tab/>
                          <w:t>轻症疾病分组</w:t>
                        </w:r>
                      </w:p>
                      <w:p>
                        <w:pPr>
                          <w:pStyle w:val="TableParagraph"/>
                          <w:spacing w:before="37"/>
                          <w:ind w:left="27" w:right="187"/>
                          <w:jc w:val="center"/>
                          <w:rPr>
                            <w:b/>
                            <w:sz w:val="21"/>
                          </w:rPr>
                        </w:pPr>
                        <w:r>
                          <w:rPr>
                            <w:b/>
                            <w:sz w:val="21"/>
                          </w:rPr>
                          <w:t>表</w:t>
                        </w:r>
                        <w:r>
                          <w:rPr>
                            <w:b/>
                            <w:w w:val="99"/>
                            <w:sz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rPr>
                            <w:sz w:val="23"/>
                          </w:rPr>
                        </w:pPr>
                      </w:p>
                      <w:p>
                        <w:pPr>
                          <w:pStyle w:val="TableParagraph"/>
                          <w:ind w:left="100"/>
                          <w:jc w:val="center"/>
                          <w:rPr>
                            <w:sz w:val="21"/>
                          </w:rPr>
                        </w:pPr>
                        <w:r>
                          <w:rPr>
                            <w:w w:val="100"/>
                            <w:sz w:val="21"/>
                          </w:rPr>
                          <w:t> </w:t>
                        </w:r>
                      </w:p>
                      <w:p>
                        <w:pPr>
                          <w:pStyle w:val="TableParagraph"/>
                          <w:spacing w:before="36"/>
                          <w:ind w:left="100"/>
                          <w:jc w:val="center"/>
                          <w:rPr>
                            <w:sz w:val="21"/>
                          </w:rPr>
                        </w:pPr>
                        <w:r>
                          <w:rPr>
                            <w:w w:val="100"/>
                            <w:sz w:val="21"/>
                          </w:rPr>
                          <w:t> </w:t>
                        </w:r>
                      </w:p>
                      <w:p>
                        <w:pPr>
                          <w:pStyle w:val="TableParagraph"/>
                          <w:spacing w:before="36"/>
                          <w:ind w:left="100"/>
                          <w:jc w:val="center"/>
                          <w:rPr>
                            <w:sz w:val="21"/>
                          </w:rPr>
                        </w:pPr>
                        <w:r>
                          <w:rPr>
                            <w:w w:val="100"/>
                            <w:sz w:val="21"/>
                          </w:rPr>
                          <w:t> </w:t>
                        </w:r>
                      </w:p>
                      <w:p>
                        <w:pPr>
                          <w:pStyle w:val="TableParagraph"/>
                          <w:spacing w:before="36"/>
                          <w:ind w:left="100"/>
                          <w:jc w:val="center"/>
                          <w:rPr>
                            <w:sz w:val="21"/>
                          </w:rPr>
                        </w:pPr>
                        <w:r>
                          <w:rPr>
                            <w:w w:val="100"/>
                            <w:sz w:val="21"/>
                          </w:rPr>
                          <w:t> </w:t>
                        </w:r>
                      </w:p>
                      <w:p>
                        <w:pPr>
                          <w:pStyle w:val="TableParagraph"/>
                          <w:spacing w:before="36"/>
                          <w:ind w:left="576" w:right="474"/>
                          <w:jc w:val="center"/>
                          <w:rPr>
                            <w:sz w:val="21"/>
                          </w:rPr>
                        </w:pPr>
                        <w:r>
                          <w:rPr>
                            <w:sz w:val="21"/>
                          </w:rPr>
                          <w:t>A 组 </w:t>
                        </w:r>
                      </w:p>
                      <w:p>
                        <w:pPr>
                          <w:pStyle w:val="TableParagraph"/>
                          <w:spacing w:before="36"/>
                          <w:ind w:left="100"/>
                          <w:jc w:val="center"/>
                          <w:rPr>
                            <w:sz w:val="21"/>
                          </w:rPr>
                        </w:pPr>
                        <w:r>
                          <w:rPr>
                            <w:w w:val="100"/>
                            <w:sz w:val="21"/>
                          </w:rPr>
                          <w:t> </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numPr>
                            <w:ilvl w:val="0"/>
                            <w:numId w:val="12"/>
                          </w:numPr>
                          <w:tabs>
                            <w:tab w:pos="461" w:val="left" w:leader="none"/>
                          </w:tabs>
                          <w:spacing w:line="265" w:lineRule="exact" w:before="0" w:after="0"/>
                          <w:ind w:left="461" w:right="0" w:hanging="360"/>
                          <w:jc w:val="left"/>
                          <w:rPr>
                            <w:sz w:val="21"/>
                          </w:rPr>
                        </w:pPr>
                        <w:r>
                          <w:rPr>
                            <w:spacing w:val="-3"/>
                            <w:sz w:val="21"/>
                          </w:rPr>
                          <w:t>非危及生命的（极早期的</w:t>
                        </w:r>
                        <w:r>
                          <w:rPr>
                            <w:sz w:val="21"/>
                          </w:rPr>
                          <w:t>）</w:t>
                        </w:r>
                        <w:r>
                          <w:rPr>
                            <w:spacing w:val="-2"/>
                            <w:sz w:val="21"/>
                          </w:rPr>
                          <w:t>恶性病变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全身较小面积Ⅲ度烧伤</w:t>
                        </w:r>
                        <w:r>
                          <w:rPr>
                            <w:sz w:val="21"/>
                          </w:rPr>
                          <w:t>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慢性肾功能障碍</w:t>
                        </w:r>
                        <w:r>
                          <w:rPr>
                            <w:sz w:val="21"/>
                          </w:rPr>
                          <w:t>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单侧肺脏切除</w:t>
                        </w:r>
                        <w:r>
                          <w:rPr>
                            <w:sz w:val="21"/>
                          </w:rPr>
                          <w:t>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可逆性再生障碍性贫血</w:t>
                        </w:r>
                        <w:r>
                          <w:rPr>
                            <w:sz w:val="21"/>
                          </w:rPr>
                          <w:t> </w:t>
                        </w:r>
                      </w:p>
                      <w:p>
                        <w:pPr>
                          <w:pStyle w:val="TableParagraph"/>
                          <w:numPr>
                            <w:ilvl w:val="0"/>
                            <w:numId w:val="12"/>
                          </w:numPr>
                          <w:tabs>
                            <w:tab w:pos="461" w:val="left" w:leader="none"/>
                          </w:tabs>
                          <w:spacing w:line="240" w:lineRule="auto" w:before="37" w:after="0"/>
                          <w:ind w:left="461" w:right="0" w:hanging="360"/>
                          <w:jc w:val="left"/>
                          <w:rPr>
                            <w:sz w:val="21"/>
                          </w:rPr>
                        </w:pPr>
                        <w:r>
                          <w:rPr>
                            <w:spacing w:val="-2"/>
                            <w:sz w:val="21"/>
                          </w:rPr>
                          <w:t>肝脏手术</w:t>
                        </w:r>
                        <w:r>
                          <w:rPr>
                            <w:sz w:val="21"/>
                          </w:rPr>
                          <w:t>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因肾上腺皮脂腺瘤切除肾上腺 </w:t>
                        </w:r>
                      </w:p>
                      <w:p>
                        <w:pPr>
                          <w:pStyle w:val="TableParagraph"/>
                          <w:numPr>
                            <w:ilvl w:val="0"/>
                            <w:numId w:val="12"/>
                          </w:numPr>
                          <w:tabs>
                            <w:tab w:pos="461" w:val="left" w:leader="none"/>
                          </w:tabs>
                          <w:spacing w:line="240" w:lineRule="auto" w:before="37" w:after="0"/>
                          <w:ind w:left="461" w:right="0" w:hanging="360"/>
                          <w:jc w:val="left"/>
                          <w:rPr>
                            <w:sz w:val="21"/>
                          </w:rPr>
                        </w:pPr>
                        <w:r>
                          <w:rPr>
                            <w:spacing w:val="-3"/>
                            <w:sz w:val="21"/>
                          </w:rPr>
                          <w:t>双侧卵巢或睾丸切除术</w:t>
                        </w:r>
                        <w:r>
                          <w:rPr>
                            <w:sz w:val="21"/>
                          </w:rPr>
                          <w:t> </w:t>
                        </w:r>
                      </w:p>
                    </w:tc>
                  </w:tr>
                  <w:tr>
                    <w:trPr>
                      <w:trHeight w:val="2807" w:hRule="atLeast"/>
                    </w:trPr>
                    <w:tc>
                      <w:tcPr>
                        <w:tcW w:w="2721" w:type="dxa"/>
                        <w:gridSpan w:val="3"/>
                        <w:tcBorders>
                          <w:right w:val="single" w:sz="4" w:space="0" w:color="000000"/>
                        </w:tcBorders>
                      </w:tcPr>
                      <w:p>
                        <w:pPr>
                          <w:pStyle w:val="TableParagraph"/>
                          <w:rPr>
                            <w:rFonts w:ascii="Times New Roman"/>
                            <w:sz w:val="20"/>
                          </w:rPr>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4"/>
                          </w:rPr>
                        </w:pPr>
                      </w:p>
                      <w:p>
                        <w:pPr>
                          <w:pStyle w:val="TableParagraph"/>
                          <w:ind w:right="465"/>
                          <w:jc w:val="right"/>
                          <w:rPr>
                            <w:sz w:val="21"/>
                          </w:rPr>
                        </w:pPr>
                        <w:r>
                          <w:rPr>
                            <w:sz w:val="21"/>
                          </w:rPr>
                          <w:t>B 组 </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numPr>
                            <w:ilvl w:val="0"/>
                            <w:numId w:val="13"/>
                          </w:numPr>
                          <w:tabs>
                            <w:tab w:pos="461" w:val="left" w:leader="none"/>
                          </w:tabs>
                          <w:spacing w:line="262" w:lineRule="exact" w:before="0" w:after="0"/>
                          <w:ind w:left="461" w:right="0" w:hanging="360"/>
                          <w:jc w:val="left"/>
                          <w:rPr>
                            <w:sz w:val="21"/>
                          </w:rPr>
                        </w:pPr>
                        <w:r>
                          <w:rPr>
                            <w:spacing w:val="-3"/>
                            <w:sz w:val="21"/>
                          </w:rPr>
                          <w:t>不典型的急性心肌梗塞</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轻微脑中风后遗症</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冠状动脉介入手术（非开胸手术）</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心脏瓣膜介入手术（非开胸手术</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主动脉内手术（非开胸手术</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继发性肺动脉高压</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微创冠状动脉搭桥术</w:t>
                        </w:r>
                        <w:r>
                          <w:rPr>
                            <w:sz w:val="21"/>
                          </w:rPr>
                          <w:t>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特定周围动脉疾病的血管介入治疗 </w:t>
                        </w:r>
                      </w:p>
                      <w:p>
                        <w:pPr>
                          <w:pStyle w:val="TableParagraph"/>
                          <w:numPr>
                            <w:ilvl w:val="0"/>
                            <w:numId w:val="13"/>
                          </w:numPr>
                          <w:tabs>
                            <w:tab w:pos="461" w:val="left" w:leader="none"/>
                          </w:tabs>
                          <w:spacing w:line="240" w:lineRule="auto" w:before="37" w:after="0"/>
                          <w:ind w:left="461" w:right="0" w:hanging="360"/>
                          <w:jc w:val="left"/>
                          <w:rPr>
                            <w:sz w:val="21"/>
                          </w:rPr>
                        </w:pPr>
                        <w:r>
                          <w:rPr>
                            <w:spacing w:val="-3"/>
                            <w:sz w:val="21"/>
                          </w:rPr>
                          <w:t>Ⅲ度房室传导阻滞-已放置心脏起搏器</w:t>
                        </w:r>
                        <w:r>
                          <w:rPr>
                            <w:sz w:val="21"/>
                          </w:rPr>
                          <w:t> </w:t>
                        </w:r>
                      </w:p>
                    </w:tc>
                  </w:tr>
                  <w:tr>
                    <w:trPr>
                      <w:trHeight w:val="3432" w:hRule="atLeast"/>
                    </w:trPr>
                    <w:tc>
                      <w:tcPr>
                        <w:tcW w:w="2721" w:type="dxa"/>
                        <w:gridSpan w:val="3"/>
                        <w:tcBorders>
                          <w:right w:val="single" w:sz="4" w:space="0" w:color="000000"/>
                        </w:tcBorders>
                      </w:tcPr>
                      <w:p>
                        <w:pPr>
                          <w:pStyle w:val="TableParagraph"/>
                          <w:rPr>
                            <w:rFonts w:ascii="Times New Roman"/>
                            <w:sz w:val="20"/>
                          </w:rPr>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18"/>
                          </w:rPr>
                        </w:pPr>
                      </w:p>
                      <w:p>
                        <w:pPr>
                          <w:pStyle w:val="TableParagraph"/>
                          <w:ind w:right="465"/>
                          <w:jc w:val="right"/>
                          <w:rPr>
                            <w:sz w:val="21"/>
                          </w:rPr>
                        </w:pPr>
                        <w:r>
                          <w:rPr>
                            <w:sz w:val="21"/>
                          </w:rPr>
                          <w:t>C 组 </w:t>
                        </w:r>
                      </w:p>
                    </w:tc>
                    <w:tc>
                      <w:tcPr>
                        <w:tcW w:w="5673" w:type="dxa"/>
                        <w:tcBorders>
                          <w:top w:val="single" w:sz="4" w:space="0" w:color="000000"/>
                          <w:left w:val="single" w:sz="4" w:space="0" w:color="000000"/>
                          <w:bottom w:val="single" w:sz="4" w:space="0" w:color="000000"/>
                          <w:right w:val="single" w:sz="4" w:space="0" w:color="000000"/>
                        </w:tcBorders>
                      </w:tcPr>
                      <w:p>
                        <w:pPr>
                          <w:pStyle w:val="TableParagraph"/>
                          <w:numPr>
                            <w:ilvl w:val="0"/>
                            <w:numId w:val="14"/>
                          </w:numPr>
                          <w:tabs>
                            <w:tab w:pos="461" w:val="left" w:leader="none"/>
                          </w:tabs>
                          <w:spacing w:line="263" w:lineRule="exact" w:before="0" w:after="0"/>
                          <w:ind w:left="461" w:right="0" w:hanging="360"/>
                          <w:jc w:val="left"/>
                          <w:rPr>
                            <w:sz w:val="21"/>
                          </w:rPr>
                        </w:pPr>
                        <w:r>
                          <w:rPr>
                            <w:spacing w:val="-3"/>
                            <w:sz w:val="21"/>
                          </w:rPr>
                          <w:t>视力严重受损</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脑垂体瘤、脑囊肿，脑血管瘤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重度头部外伤</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人工耳蜗植入术</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2"/>
                            <w:sz w:val="21"/>
                          </w:rPr>
                          <w:t>角膜移植</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2"/>
                            <w:sz w:val="21"/>
                          </w:rPr>
                          <w:t>单目失明</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2"/>
                            <w:sz w:val="21"/>
                          </w:rPr>
                          <w:t>中度瘫痪</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中度阿尔兹海默病</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2"/>
                            <w:sz w:val="21"/>
                          </w:rPr>
                          <w:t>一肢缺失</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中度运动神经元病</w:t>
                        </w:r>
                        <w:r>
                          <w:rPr>
                            <w:sz w:val="21"/>
                          </w:rPr>
                          <w:t> </w:t>
                        </w:r>
                      </w:p>
                      <w:p>
                        <w:pPr>
                          <w:pStyle w:val="TableParagraph"/>
                          <w:numPr>
                            <w:ilvl w:val="0"/>
                            <w:numId w:val="14"/>
                          </w:numPr>
                          <w:tabs>
                            <w:tab w:pos="461" w:val="left" w:leader="none"/>
                          </w:tabs>
                          <w:spacing w:line="240" w:lineRule="auto" w:before="37" w:after="0"/>
                          <w:ind w:left="461" w:right="0" w:hanging="360"/>
                          <w:jc w:val="left"/>
                          <w:rPr>
                            <w:sz w:val="21"/>
                          </w:rPr>
                        </w:pPr>
                        <w:r>
                          <w:rPr>
                            <w:spacing w:val="-3"/>
                            <w:sz w:val="21"/>
                          </w:rPr>
                          <w:t>中度帕金森氏症</w:t>
                        </w:r>
                        <w:r>
                          <w:rPr>
                            <w:sz w:val="21"/>
                          </w:rPr>
                          <w:t> </w:t>
                        </w:r>
                      </w:p>
                    </w:tc>
                  </w:tr>
                  <w:tr>
                    <w:trPr>
                      <w:trHeight w:val="313" w:hRule="atLeast"/>
                    </w:trPr>
                    <w:tc>
                      <w:tcPr>
                        <w:tcW w:w="257" w:type="dxa"/>
                      </w:tcPr>
                      <w:p>
                        <w:pPr>
                          <w:pStyle w:val="TableParagraph"/>
                          <w:spacing w:line="263" w:lineRule="exact"/>
                          <w:ind w:right="49"/>
                          <w:jc w:val="center"/>
                          <w:rPr>
                            <w:b/>
                            <w:sz w:val="21"/>
                          </w:rPr>
                        </w:pPr>
                        <w:r>
                          <w:rPr>
                            <w:b/>
                            <w:w w:val="99"/>
                            <w:sz w:val="21"/>
                          </w:rPr>
                          <w:t> </w:t>
                        </w:r>
                      </w:p>
                    </w:tc>
                    <w:tc>
                      <w:tcPr>
                        <w:tcW w:w="746" w:type="dxa"/>
                      </w:tcPr>
                      <w:p>
                        <w:pPr>
                          <w:pStyle w:val="TableParagraph"/>
                          <w:rPr>
                            <w:rFonts w:ascii="Times New Roman"/>
                            <w:sz w:val="20"/>
                          </w:rPr>
                        </w:pPr>
                      </w:p>
                    </w:tc>
                    <w:tc>
                      <w:tcPr>
                        <w:tcW w:w="1718" w:type="dxa"/>
                      </w:tcPr>
                      <w:p>
                        <w:pPr>
                          <w:pStyle w:val="TableParagraph"/>
                          <w:spacing w:line="263" w:lineRule="exact"/>
                          <w:ind w:left="115"/>
                          <w:rPr>
                            <w:b/>
                            <w:sz w:val="21"/>
                          </w:rPr>
                        </w:pPr>
                        <w:r>
                          <w:rPr>
                            <w:b/>
                            <w:w w:val="99"/>
                            <w:sz w:val="21"/>
                          </w:rPr>
                          <w:t> </w:t>
                        </w:r>
                      </w:p>
                    </w:tc>
                    <w:tc>
                      <w:tcPr>
                        <w:tcW w:w="7193" w:type="dxa"/>
                        <w:gridSpan w:val="2"/>
                        <w:tcBorders>
                          <w:top w:val="single" w:sz="4" w:space="0" w:color="000000"/>
                        </w:tcBorders>
                      </w:tcPr>
                      <w:p>
                        <w:pPr>
                          <w:pStyle w:val="TableParagraph"/>
                          <w:spacing w:line="263" w:lineRule="exact"/>
                          <w:ind w:left="-7"/>
                          <w:rPr>
                            <w:sz w:val="21"/>
                          </w:rPr>
                        </w:pPr>
                        <w:r>
                          <w:rPr>
                            <w:w w:val="100"/>
                            <w:sz w:val="21"/>
                          </w:rPr>
                          <w:t> </w:t>
                        </w:r>
                      </w:p>
                    </w:tc>
                  </w:tr>
                  <w:tr>
                    <w:trPr>
                      <w:trHeight w:val="312" w:hRule="atLeast"/>
                    </w:trPr>
                    <w:tc>
                      <w:tcPr>
                        <w:tcW w:w="257" w:type="dxa"/>
                      </w:tcPr>
                      <w:p>
                        <w:pPr>
                          <w:pStyle w:val="TableParagraph"/>
                          <w:rPr>
                            <w:rFonts w:ascii="Times New Roman"/>
                            <w:sz w:val="20"/>
                          </w:rPr>
                        </w:pPr>
                      </w:p>
                    </w:tc>
                    <w:tc>
                      <w:tcPr>
                        <w:tcW w:w="746" w:type="dxa"/>
                      </w:tcPr>
                      <w:p>
                        <w:pPr>
                          <w:pStyle w:val="TableParagraph"/>
                          <w:spacing w:line="261" w:lineRule="exact"/>
                          <w:ind w:left="100"/>
                          <w:rPr>
                            <w:b/>
                            <w:sz w:val="21"/>
                          </w:rPr>
                        </w:pPr>
                        <w:r>
                          <w:rPr>
                            <w:b/>
                            <w:sz w:val="21"/>
                          </w:rPr>
                          <w:t>9.13 </w:t>
                        </w:r>
                      </w:p>
                    </w:tc>
                    <w:tc>
                      <w:tcPr>
                        <w:tcW w:w="1718" w:type="dxa"/>
                      </w:tcPr>
                      <w:p>
                        <w:pPr>
                          <w:pStyle w:val="TableParagraph"/>
                          <w:spacing w:line="261" w:lineRule="exact"/>
                          <w:ind w:left="115"/>
                          <w:rPr>
                            <w:b/>
                            <w:sz w:val="21"/>
                          </w:rPr>
                        </w:pPr>
                        <w:r>
                          <w:rPr>
                            <w:b/>
                            <w:sz w:val="21"/>
                          </w:rPr>
                          <w:t>毒品</w:t>
                        </w:r>
                        <w:r>
                          <w:rPr>
                            <w:b/>
                            <w:w w:val="99"/>
                            <w:sz w:val="21"/>
                          </w:rPr>
                          <w:t> </w:t>
                        </w:r>
                      </w:p>
                    </w:tc>
                    <w:tc>
                      <w:tcPr>
                        <w:tcW w:w="7193" w:type="dxa"/>
                        <w:gridSpan w:val="2"/>
                      </w:tcPr>
                      <w:p>
                        <w:pPr>
                          <w:pStyle w:val="TableParagraph"/>
                          <w:spacing w:line="261" w:lineRule="exact"/>
                          <w:ind w:left="-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p>
                    </w:tc>
                  </w:tr>
                  <w:tr>
                    <w:trPr>
                      <w:trHeight w:val="311"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rPr>
                            <w:rFonts w:ascii="Times New Roman"/>
                            <w:sz w:val="20"/>
                          </w:rPr>
                        </w:pPr>
                      </w:p>
                    </w:tc>
                    <w:tc>
                      <w:tcPr>
                        <w:tcW w:w="7193" w:type="dxa"/>
                        <w:gridSpan w:val="2"/>
                      </w:tcPr>
                      <w:p>
                        <w:pPr>
                          <w:pStyle w:val="TableParagraph"/>
                          <w:spacing w:line="261" w:lineRule="exact"/>
                          <w:ind w:left="-7"/>
                          <w:rPr>
                            <w:sz w:val="21"/>
                          </w:rPr>
                        </w:pPr>
                        <w:r>
                          <w:rPr>
                            <w:sz w:val="21"/>
                          </w:rPr>
                          <w:t>大麻、可卡因以及国家规定管制的其他能够使人形成瘾癖的麻醉药品和精神药</w:t>
                        </w:r>
                      </w:p>
                    </w:tc>
                  </w:tr>
                  <w:tr>
                    <w:trPr>
                      <w:trHeight w:val="312"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rPr>
                            <w:rFonts w:ascii="Times New Roman"/>
                            <w:sz w:val="20"/>
                          </w:rPr>
                        </w:pPr>
                      </w:p>
                    </w:tc>
                    <w:tc>
                      <w:tcPr>
                        <w:tcW w:w="7193" w:type="dxa"/>
                        <w:gridSpan w:val="2"/>
                      </w:tcPr>
                      <w:p>
                        <w:pPr>
                          <w:pStyle w:val="TableParagraph"/>
                          <w:spacing w:line="261" w:lineRule="exact"/>
                          <w:ind w:left="-7"/>
                          <w:rPr>
                            <w:sz w:val="21"/>
                          </w:rPr>
                        </w:pPr>
                        <w:r>
                          <w:rPr>
                            <w:sz w:val="21"/>
                          </w:rPr>
                          <w:t>品，但不包括由医生开具并遵医嘱使用的用于治疗疾病但含有毒品成分的处方</w:t>
                        </w:r>
                      </w:p>
                    </w:tc>
                  </w:tr>
                  <w:tr>
                    <w:trPr>
                      <w:trHeight w:val="311"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rPr>
                            <w:rFonts w:ascii="Times New Roman"/>
                            <w:sz w:val="20"/>
                          </w:rPr>
                        </w:pPr>
                      </w:p>
                    </w:tc>
                    <w:tc>
                      <w:tcPr>
                        <w:tcW w:w="7193" w:type="dxa"/>
                        <w:gridSpan w:val="2"/>
                      </w:tcPr>
                      <w:p>
                        <w:pPr>
                          <w:pStyle w:val="TableParagraph"/>
                          <w:spacing w:line="261" w:lineRule="exact"/>
                          <w:ind w:left="-7"/>
                          <w:rPr>
                            <w:sz w:val="21"/>
                          </w:rPr>
                        </w:pPr>
                        <w:r>
                          <w:rPr>
                            <w:sz w:val="21"/>
                          </w:rPr>
                          <w:t>药品。 </w:t>
                        </w:r>
                      </w:p>
                    </w:tc>
                  </w:tr>
                  <w:tr>
                    <w:trPr>
                      <w:trHeight w:val="311" w:hRule="atLeast"/>
                    </w:trPr>
                    <w:tc>
                      <w:tcPr>
                        <w:tcW w:w="257" w:type="dxa"/>
                      </w:tcPr>
                      <w:p>
                        <w:pPr>
                          <w:pStyle w:val="TableParagraph"/>
                          <w:spacing w:line="261" w:lineRule="exact"/>
                          <w:ind w:right="49"/>
                          <w:jc w:val="center"/>
                          <w:rPr>
                            <w:b/>
                            <w:sz w:val="21"/>
                          </w:rPr>
                        </w:pPr>
                        <w:r>
                          <w:rPr>
                            <w:b/>
                            <w:w w:val="99"/>
                            <w:sz w:val="21"/>
                          </w:rPr>
                          <w:t> </w:t>
                        </w:r>
                      </w:p>
                    </w:tc>
                    <w:tc>
                      <w:tcPr>
                        <w:tcW w:w="746" w:type="dxa"/>
                      </w:tcPr>
                      <w:p>
                        <w:pPr>
                          <w:pStyle w:val="TableParagraph"/>
                          <w:rPr>
                            <w:rFonts w:ascii="Times New Roman"/>
                            <w:sz w:val="20"/>
                          </w:rPr>
                        </w:pPr>
                      </w:p>
                    </w:tc>
                    <w:tc>
                      <w:tcPr>
                        <w:tcW w:w="1718" w:type="dxa"/>
                      </w:tcPr>
                      <w:p>
                        <w:pPr>
                          <w:pStyle w:val="TableParagraph"/>
                          <w:spacing w:line="261" w:lineRule="exact"/>
                          <w:ind w:left="115"/>
                          <w:rPr>
                            <w:b/>
                            <w:sz w:val="21"/>
                          </w:rPr>
                        </w:pPr>
                        <w:r>
                          <w:rPr>
                            <w:b/>
                            <w:w w:val="99"/>
                            <w:sz w:val="21"/>
                          </w:rPr>
                          <w:t> </w:t>
                        </w:r>
                      </w:p>
                    </w:tc>
                    <w:tc>
                      <w:tcPr>
                        <w:tcW w:w="7193" w:type="dxa"/>
                        <w:gridSpan w:val="2"/>
                      </w:tcPr>
                      <w:p>
                        <w:pPr>
                          <w:pStyle w:val="TableParagraph"/>
                          <w:spacing w:line="261" w:lineRule="exact"/>
                          <w:ind w:left="-7"/>
                          <w:rPr>
                            <w:sz w:val="21"/>
                          </w:rPr>
                        </w:pPr>
                        <w:r>
                          <w:rPr>
                            <w:w w:val="100"/>
                            <w:sz w:val="21"/>
                          </w:rPr>
                          <w:t> </w:t>
                        </w:r>
                      </w:p>
                    </w:tc>
                  </w:tr>
                  <w:tr>
                    <w:trPr>
                      <w:trHeight w:val="312" w:hRule="atLeast"/>
                    </w:trPr>
                    <w:tc>
                      <w:tcPr>
                        <w:tcW w:w="257" w:type="dxa"/>
                      </w:tcPr>
                      <w:p>
                        <w:pPr>
                          <w:pStyle w:val="TableParagraph"/>
                          <w:rPr>
                            <w:rFonts w:ascii="Times New Roman"/>
                            <w:sz w:val="20"/>
                          </w:rPr>
                        </w:pPr>
                      </w:p>
                    </w:tc>
                    <w:tc>
                      <w:tcPr>
                        <w:tcW w:w="746" w:type="dxa"/>
                      </w:tcPr>
                      <w:p>
                        <w:pPr>
                          <w:pStyle w:val="TableParagraph"/>
                          <w:spacing w:line="261" w:lineRule="exact"/>
                          <w:ind w:left="100"/>
                          <w:rPr>
                            <w:b/>
                            <w:sz w:val="21"/>
                          </w:rPr>
                        </w:pPr>
                        <w:r>
                          <w:rPr>
                            <w:b/>
                            <w:sz w:val="21"/>
                          </w:rPr>
                          <w:t>9.14 </w:t>
                        </w:r>
                      </w:p>
                    </w:tc>
                    <w:tc>
                      <w:tcPr>
                        <w:tcW w:w="1718" w:type="dxa"/>
                      </w:tcPr>
                      <w:p>
                        <w:pPr>
                          <w:pStyle w:val="TableParagraph"/>
                          <w:spacing w:line="261" w:lineRule="exact"/>
                          <w:ind w:left="115"/>
                          <w:rPr>
                            <w:b/>
                            <w:sz w:val="21"/>
                          </w:rPr>
                        </w:pPr>
                        <w:r>
                          <w:rPr>
                            <w:b/>
                            <w:sz w:val="21"/>
                          </w:rPr>
                          <w:t>酒后驾驶</w:t>
                        </w:r>
                        <w:r>
                          <w:rPr>
                            <w:b/>
                            <w:w w:val="99"/>
                            <w:sz w:val="21"/>
                          </w:rPr>
                          <w:t> </w:t>
                        </w:r>
                      </w:p>
                    </w:tc>
                    <w:tc>
                      <w:tcPr>
                        <w:tcW w:w="7193" w:type="dxa"/>
                        <w:gridSpan w:val="2"/>
                      </w:tcPr>
                      <w:p>
                        <w:pPr>
                          <w:pStyle w:val="TableParagraph"/>
                          <w:spacing w:line="261" w:lineRule="exact"/>
                          <w:ind w:left="-7"/>
                          <w:rPr>
                            <w:sz w:val="21"/>
                          </w:rPr>
                        </w:pPr>
                        <w:r>
                          <w:rPr>
                            <w:sz w:val="21"/>
                          </w:rPr>
                          <w:t>指经检测或鉴定，发生事故时车辆驾驶人员每百毫升血液中的酒精含量达到或</w:t>
                        </w:r>
                      </w:p>
                    </w:tc>
                  </w:tr>
                  <w:tr>
                    <w:trPr>
                      <w:trHeight w:val="311"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rPr>
                            <w:rFonts w:ascii="Times New Roman"/>
                            <w:sz w:val="20"/>
                          </w:rPr>
                        </w:pPr>
                      </w:p>
                    </w:tc>
                    <w:tc>
                      <w:tcPr>
                        <w:tcW w:w="7193" w:type="dxa"/>
                        <w:gridSpan w:val="2"/>
                      </w:tcPr>
                      <w:p>
                        <w:pPr>
                          <w:pStyle w:val="TableParagraph"/>
                          <w:spacing w:line="261" w:lineRule="exact"/>
                          <w:ind w:left="-7"/>
                          <w:rPr>
                            <w:sz w:val="21"/>
                          </w:rPr>
                        </w:pPr>
                        <w:r>
                          <w:rPr>
                            <w:sz w:val="21"/>
                          </w:rPr>
                          <w:t>超过一定的标准，公安机关交通管理部门依据《中华人民共和国道路交通安全</w:t>
                        </w:r>
                      </w:p>
                    </w:tc>
                  </w:tr>
                  <w:tr>
                    <w:trPr>
                      <w:trHeight w:val="312"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rPr>
                            <w:rFonts w:ascii="Times New Roman"/>
                            <w:sz w:val="20"/>
                          </w:rPr>
                        </w:pPr>
                      </w:p>
                    </w:tc>
                    <w:tc>
                      <w:tcPr>
                        <w:tcW w:w="7193" w:type="dxa"/>
                        <w:gridSpan w:val="2"/>
                      </w:tcPr>
                      <w:p>
                        <w:pPr>
                          <w:pStyle w:val="TableParagraph"/>
                          <w:spacing w:line="261" w:lineRule="exact"/>
                          <w:ind w:left="-7"/>
                          <w:rPr>
                            <w:sz w:val="21"/>
                          </w:rPr>
                        </w:pPr>
                        <w:r>
                          <w:rPr>
                            <w:sz w:val="21"/>
                          </w:rPr>
                          <w:t>法》的规定认定为饮酒后驾驶或醉酒后驾驶。 </w:t>
                        </w:r>
                      </w:p>
                    </w:tc>
                  </w:tr>
                  <w:tr>
                    <w:trPr>
                      <w:trHeight w:val="327" w:hRule="atLeast"/>
                    </w:trPr>
                    <w:tc>
                      <w:tcPr>
                        <w:tcW w:w="257" w:type="dxa"/>
                      </w:tcPr>
                      <w:p>
                        <w:pPr>
                          <w:pStyle w:val="TableParagraph"/>
                          <w:rPr>
                            <w:rFonts w:ascii="Times New Roman"/>
                            <w:sz w:val="20"/>
                          </w:rPr>
                        </w:pPr>
                      </w:p>
                    </w:tc>
                    <w:tc>
                      <w:tcPr>
                        <w:tcW w:w="746" w:type="dxa"/>
                      </w:tcPr>
                      <w:p>
                        <w:pPr>
                          <w:pStyle w:val="TableParagraph"/>
                          <w:spacing w:line="261" w:lineRule="exact"/>
                          <w:ind w:left="100"/>
                          <w:rPr>
                            <w:b/>
                            <w:sz w:val="21"/>
                          </w:rPr>
                        </w:pPr>
                        <w:r>
                          <w:rPr>
                            <w:b/>
                            <w:w w:val="99"/>
                            <w:sz w:val="21"/>
                          </w:rPr>
                          <w:t> </w:t>
                        </w:r>
                      </w:p>
                    </w:tc>
                    <w:tc>
                      <w:tcPr>
                        <w:tcW w:w="1718" w:type="dxa"/>
                      </w:tcPr>
                      <w:p>
                        <w:pPr>
                          <w:pStyle w:val="TableParagraph"/>
                          <w:spacing w:before="10"/>
                          <w:ind w:left="422"/>
                          <w:rPr>
                            <w:b/>
                            <w:sz w:val="21"/>
                          </w:rPr>
                        </w:pPr>
                        <w:r>
                          <w:rPr>
                            <w:b/>
                            <w:w w:val="99"/>
                            <w:sz w:val="21"/>
                          </w:rPr>
                          <w:t> </w:t>
                        </w:r>
                      </w:p>
                    </w:tc>
                    <w:tc>
                      <w:tcPr>
                        <w:tcW w:w="7193" w:type="dxa"/>
                        <w:gridSpan w:val="2"/>
                      </w:tcPr>
                      <w:p>
                        <w:pPr>
                          <w:pStyle w:val="TableParagraph"/>
                          <w:spacing w:line="261" w:lineRule="exact"/>
                          <w:ind w:left="-7"/>
                          <w:rPr>
                            <w:sz w:val="21"/>
                          </w:rPr>
                        </w:pPr>
                        <w:r>
                          <w:rPr>
                            <w:w w:val="100"/>
                            <w:sz w:val="21"/>
                          </w:rPr>
                          <w:t> </w:t>
                        </w:r>
                      </w:p>
                    </w:tc>
                  </w:tr>
                  <w:tr>
                    <w:trPr>
                      <w:trHeight w:val="315" w:hRule="atLeast"/>
                    </w:trPr>
                    <w:tc>
                      <w:tcPr>
                        <w:tcW w:w="257" w:type="dxa"/>
                      </w:tcPr>
                      <w:p>
                        <w:pPr>
                          <w:pStyle w:val="TableParagraph"/>
                          <w:rPr>
                            <w:rFonts w:ascii="Times New Roman"/>
                            <w:sz w:val="20"/>
                          </w:rPr>
                        </w:pPr>
                      </w:p>
                    </w:tc>
                    <w:tc>
                      <w:tcPr>
                        <w:tcW w:w="746" w:type="dxa"/>
                      </w:tcPr>
                      <w:p>
                        <w:pPr>
                          <w:pStyle w:val="TableParagraph"/>
                          <w:spacing w:line="253" w:lineRule="exact"/>
                          <w:ind w:left="100"/>
                          <w:rPr>
                            <w:b/>
                            <w:sz w:val="21"/>
                          </w:rPr>
                        </w:pPr>
                        <w:r>
                          <w:rPr>
                            <w:b/>
                            <w:sz w:val="21"/>
                          </w:rPr>
                          <w:t>9.15 </w:t>
                        </w:r>
                      </w:p>
                    </w:tc>
                    <w:tc>
                      <w:tcPr>
                        <w:tcW w:w="1718" w:type="dxa"/>
                      </w:tcPr>
                      <w:p>
                        <w:pPr>
                          <w:pStyle w:val="TableParagraph"/>
                          <w:spacing w:before="2"/>
                          <w:ind w:left="115"/>
                          <w:rPr>
                            <w:b/>
                            <w:sz w:val="21"/>
                          </w:rPr>
                        </w:pPr>
                        <w:r>
                          <w:rPr>
                            <w:b/>
                            <w:sz w:val="21"/>
                          </w:rPr>
                          <w:t>无合法有效驾</w:t>
                        </w:r>
                      </w:p>
                    </w:tc>
                    <w:tc>
                      <w:tcPr>
                        <w:tcW w:w="7193" w:type="dxa"/>
                        <w:gridSpan w:val="2"/>
                      </w:tcPr>
                      <w:p>
                        <w:pPr>
                          <w:pStyle w:val="TableParagraph"/>
                          <w:spacing w:line="253" w:lineRule="exact"/>
                          <w:ind w:left="-7"/>
                          <w:rPr>
                            <w:sz w:val="21"/>
                          </w:rPr>
                        </w:pPr>
                        <w:r>
                          <w:rPr>
                            <w:sz w:val="21"/>
                          </w:rPr>
                          <w:t>指下列情形之一： </w:t>
                        </w:r>
                      </w:p>
                    </w:tc>
                  </w:tr>
                  <w:tr>
                    <w:trPr>
                      <w:trHeight w:val="561" w:hRule="atLeast"/>
                    </w:trPr>
                    <w:tc>
                      <w:tcPr>
                        <w:tcW w:w="257" w:type="dxa"/>
                      </w:tcPr>
                      <w:p>
                        <w:pPr>
                          <w:pStyle w:val="TableParagraph"/>
                          <w:rPr>
                            <w:rFonts w:ascii="Times New Roman"/>
                            <w:sz w:val="20"/>
                          </w:rPr>
                        </w:pPr>
                      </w:p>
                    </w:tc>
                    <w:tc>
                      <w:tcPr>
                        <w:tcW w:w="746" w:type="dxa"/>
                      </w:tcPr>
                      <w:p>
                        <w:pPr>
                          <w:pStyle w:val="TableParagraph"/>
                          <w:rPr>
                            <w:rFonts w:ascii="Times New Roman"/>
                            <w:sz w:val="20"/>
                          </w:rPr>
                        </w:pPr>
                      </w:p>
                    </w:tc>
                    <w:tc>
                      <w:tcPr>
                        <w:tcW w:w="1718" w:type="dxa"/>
                      </w:tcPr>
                      <w:p>
                        <w:pPr>
                          <w:pStyle w:val="TableParagraph"/>
                          <w:spacing w:before="8"/>
                          <w:ind w:left="115"/>
                          <w:rPr>
                            <w:b/>
                            <w:sz w:val="21"/>
                          </w:rPr>
                        </w:pPr>
                        <w:r>
                          <w:rPr>
                            <w:b/>
                            <w:sz w:val="21"/>
                          </w:rPr>
                          <w:t>驶证驾驶</w:t>
                        </w:r>
                        <w:r>
                          <w:rPr>
                            <w:b/>
                            <w:w w:val="99"/>
                            <w:sz w:val="21"/>
                          </w:rPr>
                          <w:t> </w:t>
                        </w:r>
                      </w:p>
                    </w:tc>
                    <w:tc>
                      <w:tcPr>
                        <w:tcW w:w="7193" w:type="dxa"/>
                        <w:gridSpan w:val="2"/>
                      </w:tcPr>
                      <w:p>
                        <w:pPr>
                          <w:pStyle w:val="TableParagraph"/>
                          <w:spacing w:line="249" w:lineRule="exact"/>
                          <w:ind w:left="-7"/>
                          <w:rPr>
                            <w:sz w:val="21"/>
                          </w:rPr>
                        </w:pPr>
                        <w:r>
                          <w:rPr>
                            <w:sz w:val="21"/>
                          </w:rPr>
                          <w:t>（1）没有取得驾驶资格； </w:t>
                        </w:r>
                      </w:p>
                      <w:p>
                        <w:pPr>
                          <w:pStyle w:val="TableParagraph"/>
                          <w:spacing w:line="255" w:lineRule="exact" w:before="37"/>
                          <w:ind w:left="-7"/>
                          <w:rPr>
                            <w:sz w:val="21"/>
                          </w:rPr>
                        </w:pPr>
                        <w:r>
                          <w:rPr>
                            <w:sz w:val="21"/>
                          </w:rPr>
                          <w:t>（2）驾驶与驾驶证准驾车型不相符合的车辆； </w:t>
                        </w:r>
                      </w:p>
                    </w:tc>
                  </w:tr>
                </w:tbl>
                <w:p>
                  <w:pPr>
                    <w:pStyle w:val="BodyText"/>
                    <w:spacing w:before="0"/>
                    <w:ind w:left="0"/>
                  </w:pPr>
                </w:p>
              </w:txbxContent>
            </v:textbox>
            <w10:wrap type="none"/>
          </v:shape>
        </w:pict>
      </w:r>
      <w:r>
        <w:rPr>
          <w:w w:val="99"/>
        </w:rPr>
        <w:t> </w:t>
      </w:r>
      <w:r>
        <w:rPr/>
        <w:tab/>
      </w:r>
      <w:r>
        <w:rPr>
          <w:w w:val="99"/>
        </w:rPr>
        <w:t> </w:t>
      </w:r>
      <w:r>
        <w:rPr/>
        <w:tab/>
      </w:r>
      <w:r>
        <w:rPr>
          <w:b w:val="0"/>
          <w:w w:val="100"/>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17"/>
        </w:rPr>
      </w:pPr>
    </w:p>
    <w:p>
      <w:pPr>
        <w:pStyle w:val="BodyText"/>
        <w:spacing w:before="0"/>
        <w:ind w:left="0" w:right="170"/>
        <w:jc w:val="right"/>
      </w:pPr>
      <w:r>
        <w:rPr>
          <w:w w:val="100"/>
        </w:rPr>
        <w:t>、</w:t>
      </w:r>
    </w:p>
    <w:p>
      <w:pPr>
        <w:spacing w:after="0"/>
        <w:jc w:val="right"/>
        <w:sectPr>
          <w:pgSz w:w="11910" w:h="16840"/>
          <w:pgMar w:top="1080" w:bottom="280" w:left="86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1597"/>
        <w:gridCol w:w="7510"/>
      </w:tblGrid>
      <w:tr>
        <w:trPr>
          <w:trHeight w:val="886" w:hRule="atLeast"/>
        </w:trPr>
        <w:tc>
          <w:tcPr>
            <w:tcW w:w="1160" w:type="dxa"/>
          </w:tcPr>
          <w:p>
            <w:pPr>
              <w:pStyle w:val="TableParagraph"/>
              <w:rPr>
                <w:rFonts w:ascii="Times New Roman"/>
                <w:sz w:val="20"/>
              </w:rPr>
            </w:pPr>
          </w:p>
        </w:tc>
        <w:tc>
          <w:tcPr>
            <w:tcW w:w="1597" w:type="dxa"/>
          </w:tcPr>
          <w:p>
            <w:pPr>
              <w:pStyle w:val="TableParagraph"/>
              <w:rPr>
                <w:rFonts w:ascii="Times New Roman"/>
                <w:sz w:val="20"/>
              </w:rPr>
            </w:pPr>
          </w:p>
        </w:tc>
        <w:tc>
          <w:tcPr>
            <w:tcW w:w="7510" w:type="dxa"/>
          </w:tcPr>
          <w:p>
            <w:pPr>
              <w:pStyle w:val="TableParagraph"/>
              <w:spacing w:line="211" w:lineRule="exact"/>
              <w:ind w:left="108"/>
              <w:rPr>
                <w:sz w:val="21"/>
              </w:rPr>
            </w:pPr>
            <w:r>
              <w:rPr>
                <w:sz w:val="21"/>
              </w:rPr>
              <w:t>（3）持审验不合格的驾驶证驾驶； </w:t>
            </w:r>
          </w:p>
          <w:p>
            <w:pPr>
              <w:pStyle w:val="TableParagraph"/>
              <w:spacing w:line="273" w:lineRule="auto" w:before="37"/>
              <w:ind w:left="633" w:right="196" w:hanging="526"/>
              <w:rPr>
                <w:sz w:val="21"/>
              </w:rPr>
            </w:pPr>
            <w:r>
              <w:rPr>
                <w:spacing w:val="-5"/>
                <w:sz w:val="21"/>
              </w:rPr>
              <w:t>（4）</w:t>
            </w:r>
            <w:r>
              <w:rPr>
                <w:spacing w:val="-6"/>
                <w:sz w:val="21"/>
              </w:rPr>
              <w:t>持学习驾驶证学习驾车时，无教练员随车指导，或不按指定时间、路线学</w:t>
            </w:r>
            <w:r>
              <w:rPr>
                <w:spacing w:val="-5"/>
                <w:sz w:val="21"/>
              </w:rPr>
              <w:t>习驾车。</w:t>
            </w:r>
            <w:r>
              <w:rPr>
                <w:sz w:val="21"/>
              </w:rPr>
              <w:t> </w:t>
            </w:r>
          </w:p>
        </w:tc>
      </w:tr>
      <w:tr>
        <w:trPr>
          <w:trHeight w:val="311" w:hRule="atLeast"/>
        </w:trPr>
        <w:tc>
          <w:tcPr>
            <w:tcW w:w="1160"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08"/>
              <w:rPr>
                <w:b/>
                <w:sz w:val="21"/>
              </w:rPr>
            </w:pPr>
            <w:r>
              <w:rPr>
                <w:b/>
                <w:w w:val="99"/>
                <w:sz w:val="21"/>
              </w:rPr>
              <w:t> </w:t>
            </w:r>
          </w:p>
        </w:tc>
        <w:tc>
          <w:tcPr>
            <w:tcW w:w="7510" w:type="dxa"/>
          </w:tcPr>
          <w:p>
            <w:pPr>
              <w:pStyle w:val="TableParagraph"/>
              <w:spacing w:line="261" w:lineRule="exact"/>
              <w:ind w:left="108"/>
              <w:rPr>
                <w:sz w:val="21"/>
              </w:rPr>
            </w:pPr>
            <w:r>
              <w:rPr>
                <w:w w:val="100"/>
                <w:sz w:val="21"/>
              </w:rPr>
              <w:t> </w:t>
            </w:r>
          </w:p>
        </w:tc>
      </w:tr>
      <w:tr>
        <w:trPr>
          <w:trHeight w:val="936" w:hRule="atLeast"/>
        </w:trPr>
        <w:tc>
          <w:tcPr>
            <w:tcW w:w="1160" w:type="dxa"/>
          </w:tcPr>
          <w:p>
            <w:pPr>
              <w:pStyle w:val="TableParagraph"/>
              <w:spacing w:line="261" w:lineRule="exact"/>
              <w:ind w:right="122"/>
              <w:jc w:val="right"/>
              <w:rPr>
                <w:b/>
                <w:sz w:val="21"/>
              </w:rPr>
            </w:pPr>
            <w:r>
              <w:rPr>
                <w:b/>
                <w:w w:val="95"/>
                <w:sz w:val="21"/>
              </w:rPr>
              <w:t>9.16 </w:t>
            </w:r>
          </w:p>
        </w:tc>
        <w:tc>
          <w:tcPr>
            <w:tcW w:w="1597" w:type="dxa"/>
          </w:tcPr>
          <w:p>
            <w:pPr>
              <w:pStyle w:val="TableParagraph"/>
              <w:spacing w:line="261" w:lineRule="exact"/>
              <w:ind w:left="108"/>
              <w:rPr>
                <w:b/>
                <w:sz w:val="21"/>
              </w:rPr>
            </w:pPr>
            <w:r>
              <w:rPr>
                <w:b/>
                <w:sz w:val="21"/>
              </w:rPr>
              <w:t>无有效行驶证</w:t>
            </w:r>
            <w:r>
              <w:rPr>
                <w:b/>
                <w:w w:val="99"/>
                <w:sz w:val="21"/>
              </w:rPr>
              <w:t> </w:t>
            </w:r>
          </w:p>
          <w:p>
            <w:pPr>
              <w:pStyle w:val="TableParagraph"/>
              <w:spacing w:before="37"/>
              <w:ind w:left="415"/>
              <w:rPr>
                <w:b/>
                <w:sz w:val="21"/>
              </w:rPr>
            </w:pPr>
            <w:r>
              <w:rPr>
                <w:b/>
                <w:w w:val="99"/>
                <w:sz w:val="21"/>
              </w:rPr>
              <w:t> </w:t>
            </w:r>
          </w:p>
        </w:tc>
        <w:tc>
          <w:tcPr>
            <w:tcW w:w="7510" w:type="dxa"/>
          </w:tcPr>
          <w:p>
            <w:pPr>
              <w:pStyle w:val="TableParagraph"/>
              <w:spacing w:line="261" w:lineRule="exact"/>
              <w:ind w:left="108"/>
              <w:rPr>
                <w:sz w:val="21"/>
              </w:rPr>
            </w:pPr>
            <w:r>
              <w:rPr>
                <w:sz w:val="21"/>
              </w:rPr>
              <w:t>指下列情形之一： </w:t>
            </w:r>
          </w:p>
          <w:p>
            <w:pPr>
              <w:pStyle w:val="TableParagraph"/>
              <w:spacing w:before="37"/>
              <w:ind w:left="108"/>
              <w:rPr>
                <w:b/>
                <w:sz w:val="21"/>
              </w:rPr>
            </w:pPr>
            <w:r>
              <w:rPr>
                <w:sz w:val="21"/>
              </w:rPr>
              <w:t>（1）机动车被依法注销登记的；</w:t>
            </w:r>
            <w:r>
              <w:rPr>
                <w:b/>
                <w:w w:val="99"/>
                <w:sz w:val="21"/>
              </w:rPr>
              <w:t>  </w:t>
            </w:r>
          </w:p>
          <w:p>
            <w:pPr>
              <w:pStyle w:val="TableParagraph"/>
              <w:spacing w:before="37"/>
              <w:ind w:left="108"/>
              <w:rPr>
                <w:sz w:val="21"/>
              </w:rPr>
            </w:pPr>
            <w:r>
              <w:rPr>
                <w:sz w:val="21"/>
              </w:rPr>
              <w:t>（2）未依法按时进行或通过机动车安全技术检验。 </w:t>
            </w:r>
          </w:p>
        </w:tc>
      </w:tr>
      <w:tr>
        <w:trPr>
          <w:trHeight w:val="312" w:hRule="atLeast"/>
        </w:trPr>
        <w:tc>
          <w:tcPr>
            <w:tcW w:w="1160" w:type="dxa"/>
          </w:tcPr>
          <w:p>
            <w:pPr>
              <w:pStyle w:val="TableParagraph"/>
              <w:spacing w:line="261" w:lineRule="exact"/>
              <w:ind w:right="37"/>
              <w:jc w:val="center"/>
              <w:rPr>
                <w:b/>
                <w:sz w:val="21"/>
              </w:rPr>
            </w:pPr>
            <w:r>
              <w:rPr>
                <w:b/>
                <w:w w:val="99"/>
                <w:sz w:val="21"/>
              </w:rPr>
              <w:t> </w:t>
            </w:r>
          </w:p>
        </w:tc>
        <w:tc>
          <w:tcPr>
            <w:tcW w:w="1597" w:type="dxa"/>
          </w:tcPr>
          <w:p>
            <w:pPr>
              <w:pStyle w:val="TableParagraph"/>
              <w:spacing w:line="261" w:lineRule="exact"/>
              <w:ind w:left="415"/>
              <w:rPr>
                <w:b/>
                <w:sz w:val="21"/>
              </w:rPr>
            </w:pPr>
            <w:r>
              <w:rPr>
                <w:b/>
                <w:w w:val="99"/>
                <w:sz w:val="21"/>
              </w:rPr>
              <w:t> </w:t>
            </w:r>
          </w:p>
        </w:tc>
        <w:tc>
          <w:tcPr>
            <w:tcW w:w="7510" w:type="dxa"/>
          </w:tcPr>
          <w:p>
            <w:pPr>
              <w:pStyle w:val="TableParagraph"/>
              <w:spacing w:line="261" w:lineRule="exact"/>
              <w:ind w:left="108"/>
              <w:rPr>
                <w:sz w:val="21"/>
              </w:rPr>
            </w:pPr>
            <w:r>
              <w:rPr>
                <w:w w:val="100"/>
                <w:sz w:val="21"/>
              </w:rPr>
              <w:t> </w:t>
            </w:r>
          </w:p>
        </w:tc>
      </w:tr>
      <w:tr>
        <w:trPr>
          <w:trHeight w:val="623" w:hRule="atLeast"/>
        </w:trPr>
        <w:tc>
          <w:tcPr>
            <w:tcW w:w="1160" w:type="dxa"/>
          </w:tcPr>
          <w:p>
            <w:pPr>
              <w:pStyle w:val="TableParagraph"/>
              <w:spacing w:line="261" w:lineRule="exact"/>
              <w:ind w:right="105"/>
              <w:jc w:val="right"/>
              <w:rPr>
                <w:b/>
                <w:sz w:val="21"/>
              </w:rPr>
            </w:pPr>
            <w:r>
              <w:rPr>
                <w:b/>
                <w:w w:val="95"/>
                <w:sz w:val="21"/>
              </w:rPr>
              <w:t>9.17 </w:t>
            </w:r>
          </w:p>
        </w:tc>
        <w:tc>
          <w:tcPr>
            <w:tcW w:w="1597" w:type="dxa"/>
          </w:tcPr>
          <w:p>
            <w:pPr>
              <w:pStyle w:val="TableParagraph"/>
              <w:spacing w:line="261" w:lineRule="exact"/>
              <w:ind w:left="108"/>
              <w:rPr>
                <w:b/>
                <w:sz w:val="21"/>
              </w:rPr>
            </w:pPr>
            <w:r>
              <w:rPr>
                <w:b/>
                <w:sz w:val="21"/>
              </w:rPr>
              <w:t>机动车</w:t>
            </w:r>
            <w:r>
              <w:rPr>
                <w:b/>
                <w:w w:val="99"/>
                <w:sz w:val="21"/>
              </w:rPr>
              <w:t> </w:t>
            </w:r>
          </w:p>
        </w:tc>
        <w:tc>
          <w:tcPr>
            <w:tcW w:w="7510" w:type="dxa"/>
          </w:tcPr>
          <w:p>
            <w:pPr>
              <w:pStyle w:val="TableParagraph"/>
              <w:spacing w:line="261" w:lineRule="exact"/>
              <w:ind w:left="108"/>
              <w:rPr>
                <w:sz w:val="21"/>
              </w:rPr>
            </w:pPr>
            <w:r>
              <w:rPr>
                <w:sz w:val="21"/>
              </w:rPr>
              <w:t>指以动力装置驱动或者牵引，上道路行驶的供人员乘用或者用于运送物品以及</w:t>
            </w:r>
          </w:p>
          <w:p>
            <w:pPr>
              <w:pStyle w:val="TableParagraph"/>
              <w:spacing w:before="37"/>
              <w:ind w:left="108"/>
              <w:rPr>
                <w:sz w:val="21"/>
              </w:rPr>
            </w:pPr>
            <w:r>
              <w:rPr>
                <w:sz w:val="21"/>
              </w:rPr>
              <w:t>进行工程专项作业的轮式车辆。 </w:t>
            </w:r>
          </w:p>
        </w:tc>
      </w:tr>
      <w:tr>
        <w:trPr>
          <w:trHeight w:val="312" w:hRule="atLeast"/>
        </w:trPr>
        <w:tc>
          <w:tcPr>
            <w:tcW w:w="1160" w:type="dxa"/>
          </w:tcPr>
          <w:p>
            <w:pPr>
              <w:pStyle w:val="TableParagraph"/>
              <w:spacing w:line="261" w:lineRule="exact"/>
              <w:ind w:right="37"/>
              <w:jc w:val="center"/>
              <w:rPr>
                <w:b/>
                <w:sz w:val="21"/>
              </w:rPr>
            </w:pPr>
            <w:r>
              <w:rPr>
                <w:b/>
                <w:w w:val="99"/>
                <w:sz w:val="21"/>
              </w:rPr>
              <w:t> </w:t>
            </w:r>
          </w:p>
        </w:tc>
        <w:tc>
          <w:tcPr>
            <w:tcW w:w="1597" w:type="dxa"/>
          </w:tcPr>
          <w:p>
            <w:pPr>
              <w:pStyle w:val="TableParagraph"/>
              <w:spacing w:line="261" w:lineRule="exact"/>
              <w:ind w:left="415"/>
              <w:rPr>
                <w:b/>
                <w:sz w:val="21"/>
              </w:rPr>
            </w:pPr>
            <w:r>
              <w:rPr>
                <w:b/>
                <w:w w:val="99"/>
                <w:sz w:val="21"/>
              </w:rPr>
              <w:t> </w:t>
            </w:r>
          </w:p>
        </w:tc>
        <w:tc>
          <w:tcPr>
            <w:tcW w:w="7510" w:type="dxa"/>
          </w:tcPr>
          <w:p>
            <w:pPr>
              <w:pStyle w:val="TableParagraph"/>
              <w:spacing w:line="261" w:lineRule="exact"/>
              <w:ind w:left="108"/>
              <w:rPr>
                <w:sz w:val="21"/>
              </w:rPr>
            </w:pPr>
            <w:r>
              <w:rPr>
                <w:w w:val="100"/>
                <w:sz w:val="21"/>
              </w:rPr>
              <w:t> </w:t>
            </w:r>
          </w:p>
        </w:tc>
      </w:tr>
      <w:tr>
        <w:trPr>
          <w:trHeight w:val="1872" w:hRule="atLeast"/>
        </w:trPr>
        <w:tc>
          <w:tcPr>
            <w:tcW w:w="1160" w:type="dxa"/>
          </w:tcPr>
          <w:p>
            <w:pPr>
              <w:pStyle w:val="TableParagraph"/>
              <w:spacing w:line="261" w:lineRule="exact"/>
              <w:ind w:right="122"/>
              <w:jc w:val="right"/>
              <w:rPr>
                <w:b/>
                <w:sz w:val="21"/>
              </w:rPr>
            </w:pPr>
            <w:r>
              <w:rPr>
                <w:b/>
                <w:w w:val="95"/>
                <w:sz w:val="21"/>
              </w:rPr>
              <w:t>9.18 </w:t>
            </w:r>
          </w:p>
        </w:tc>
        <w:tc>
          <w:tcPr>
            <w:tcW w:w="1597" w:type="dxa"/>
          </w:tcPr>
          <w:p>
            <w:pPr>
              <w:pStyle w:val="TableParagraph"/>
              <w:spacing w:line="280" w:lineRule="auto" w:before="10"/>
              <w:ind w:left="108" w:right="116"/>
              <w:rPr>
                <w:b/>
                <w:sz w:val="21"/>
              </w:rPr>
            </w:pPr>
            <w:r>
              <w:rPr>
                <w:b/>
                <w:sz w:val="21"/>
              </w:rPr>
              <w:t>感染艾滋病病毒或患艾滋病</w:t>
            </w:r>
            <w:r>
              <w:rPr>
                <w:b/>
                <w:w w:val="99"/>
                <w:sz w:val="21"/>
              </w:rPr>
              <w:t> </w:t>
            </w:r>
          </w:p>
        </w:tc>
        <w:tc>
          <w:tcPr>
            <w:tcW w:w="7510" w:type="dxa"/>
          </w:tcPr>
          <w:p>
            <w:pPr>
              <w:pStyle w:val="TableParagraph"/>
              <w:spacing w:line="261" w:lineRule="exact"/>
              <w:ind w:left="108"/>
              <w:rPr>
                <w:sz w:val="21"/>
              </w:rPr>
            </w:pPr>
            <w:r>
              <w:rPr>
                <w:sz w:val="21"/>
              </w:rPr>
              <w:t>艾滋病病毒指人类免疫缺陷病毒，英文缩写为 HIV。艾滋病指人类免疫缺陷病毒</w:t>
            </w:r>
          </w:p>
          <w:p>
            <w:pPr>
              <w:pStyle w:val="TableParagraph"/>
              <w:spacing w:before="37"/>
              <w:ind w:left="108"/>
              <w:rPr>
                <w:sz w:val="21"/>
              </w:rPr>
            </w:pPr>
            <w:r>
              <w:rPr>
                <w:sz w:val="21"/>
              </w:rPr>
              <w:t>引起的获得性免疫缺陷综合症，英文缩写为 AIDS。  </w:t>
            </w:r>
          </w:p>
          <w:p>
            <w:pPr>
              <w:pStyle w:val="TableParagraph"/>
              <w:spacing w:before="36"/>
              <w:ind w:left="108"/>
              <w:rPr>
                <w:sz w:val="21"/>
              </w:rPr>
            </w:pPr>
            <w:r>
              <w:rPr>
                <w:w w:val="100"/>
                <w:sz w:val="21"/>
              </w:rPr>
              <w:t> </w:t>
            </w:r>
          </w:p>
          <w:p>
            <w:pPr>
              <w:pStyle w:val="TableParagraph"/>
              <w:spacing w:line="273" w:lineRule="auto" w:before="36"/>
              <w:ind w:left="108" w:right="253"/>
              <w:jc w:val="both"/>
              <w:rPr>
                <w:sz w:val="21"/>
              </w:rPr>
            </w:pPr>
            <w:r>
              <w:rPr>
                <w:sz w:val="21"/>
              </w:rPr>
              <w:t>在人体血液或其它样本中检测到艾滋病病毒或其抗体呈阳性，没有出现临床症状或体征的，为感染艾滋病病毒；如果同时出现了明显临床症状或体征的，为患艾滋病。 </w:t>
            </w:r>
          </w:p>
        </w:tc>
      </w:tr>
      <w:tr>
        <w:trPr>
          <w:trHeight w:val="312" w:hRule="atLeast"/>
        </w:trPr>
        <w:tc>
          <w:tcPr>
            <w:tcW w:w="1160" w:type="dxa"/>
          </w:tcPr>
          <w:p>
            <w:pPr>
              <w:pStyle w:val="TableParagraph"/>
              <w:spacing w:line="261" w:lineRule="exact"/>
              <w:ind w:right="37"/>
              <w:jc w:val="center"/>
              <w:rPr>
                <w:b/>
                <w:sz w:val="21"/>
              </w:rPr>
            </w:pPr>
            <w:r>
              <w:rPr>
                <w:b/>
                <w:w w:val="99"/>
                <w:sz w:val="21"/>
              </w:rPr>
              <w:t> </w:t>
            </w:r>
          </w:p>
        </w:tc>
        <w:tc>
          <w:tcPr>
            <w:tcW w:w="1597" w:type="dxa"/>
          </w:tcPr>
          <w:p>
            <w:pPr>
              <w:pStyle w:val="TableParagraph"/>
              <w:spacing w:line="261" w:lineRule="exact"/>
              <w:ind w:left="415"/>
              <w:rPr>
                <w:b/>
                <w:sz w:val="21"/>
              </w:rPr>
            </w:pPr>
            <w:r>
              <w:rPr>
                <w:b/>
                <w:w w:val="99"/>
                <w:sz w:val="21"/>
              </w:rPr>
              <w:t> </w:t>
            </w:r>
          </w:p>
        </w:tc>
        <w:tc>
          <w:tcPr>
            <w:tcW w:w="7510" w:type="dxa"/>
          </w:tcPr>
          <w:p>
            <w:pPr>
              <w:pStyle w:val="TableParagraph"/>
              <w:spacing w:line="261" w:lineRule="exact"/>
              <w:ind w:left="108"/>
              <w:rPr>
                <w:sz w:val="21"/>
              </w:rPr>
            </w:pPr>
            <w:r>
              <w:rPr>
                <w:w w:val="100"/>
                <w:sz w:val="21"/>
              </w:rPr>
              <w:t> </w:t>
            </w:r>
          </w:p>
        </w:tc>
      </w:tr>
      <w:tr>
        <w:trPr>
          <w:trHeight w:val="624" w:hRule="atLeast"/>
        </w:trPr>
        <w:tc>
          <w:tcPr>
            <w:tcW w:w="1160" w:type="dxa"/>
          </w:tcPr>
          <w:p>
            <w:pPr>
              <w:pStyle w:val="TableParagraph"/>
              <w:spacing w:line="261" w:lineRule="exact"/>
              <w:ind w:right="122"/>
              <w:jc w:val="right"/>
              <w:rPr>
                <w:b/>
                <w:sz w:val="21"/>
              </w:rPr>
            </w:pPr>
            <w:r>
              <w:rPr>
                <w:b/>
                <w:w w:val="95"/>
                <w:sz w:val="21"/>
              </w:rPr>
              <w:t>9.19 </w:t>
            </w:r>
          </w:p>
        </w:tc>
        <w:tc>
          <w:tcPr>
            <w:tcW w:w="1597" w:type="dxa"/>
          </w:tcPr>
          <w:p>
            <w:pPr>
              <w:pStyle w:val="TableParagraph"/>
              <w:spacing w:line="261" w:lineRule="exact"/>
              <w:ind w:left="108"/>
              <w:rPr>
                <w:b/>
                <w:sz w:val="21"/>
              </w:rPr>
            </w:pPr>
            <w:r>
              <w:rPr>
                <w:b/>
                <w:sz w:val="21"/>
              </w:rPr>
              <w:t>遗传性疾病</w:t>
            </w:r>
            <w:r>
              <w:rPr>
                <w:b/>
                <w:w w:val="99"/>
                <w:sz w:val="21"/>
              </w:rPr>
              <w:t> </w:t>
            </w:r>
          </w:p>
        </w:tc>
        <w:tc>
          <w:tcPr>
            <w:tcW w:w="7510" w:type="dxa"/>
          </w:tcPr>
          <w:p>
            <w:pPr>
              <w:pStyle w:val="TableParagraph"/>
              <w:spacing w:line="261" w:lineRule="exact"/>
              <w:ind w:left="108"/>
              <w:rPr>
                <w:sz w:val="21"/>
              </w:rPr>
            </w:pPr>
            <w:r>
              <w:rPr>
                <w:sz w:val="21"/>
              </w:rPr>
              <w:t>指生殖细胞或受精卵的遗传物质（染色体和基因）发生突变或畸变所引起的疾</w:t>
            </w:r>
          </w:p>
          <w:p>
            <w:pPr>
              <w:pStyle w:val="TableParagraph"/>
              <w:spacing w:before="37"/>
              <w:ind w:left="108"/>
              <w:rPr>
                <w:sz w:val="21"/>
              </w:rPr>
            </w:pPr>
            <w:r>
              <w:rPr>
                <w:sz w:val="21"/>
              </w:rPr>
              <w:t>病，通常具有由亲代传至后代的垂直传递的特征。 </w:t>
            </w:r>
          </w:p>
        </w:tc>
      </w:tr>
      <w:tr>
        <w:trPr>
          <w:trHeight w:val="311" w:hRule="atLeast"/>
        </w:trPr>
        <w:tc>
          <w:tcPr>
            <w:tcW w:w="1160" w:type="dxa"/>
          </w:tcPr>
          <w:p>
            <w:pPr>
              <w:pStyle w:val="TableParagraph"/>
              <w:spacing w:line="261" w:lineRule="exact"/>
              <w:ind w:left="200"/>
              <w:rPr>
                <w:b/>
                <w:sz w:val="21"/>
              </w:rPr>
            </w:pPr>
            <w:r>
              <w:rPr>
                <w:b/>
                <w:w w:val="99"/>
                <w:sz w:val="21"/>
              </w:rPr>
              <w:t> </w:t>
            </w:r>
          </w:p>
        </w:tc>
        <w:tc>
          <w:tcPr>
            <w:tcW w:w="1597" w:type="dxa"/>
          </w:tcPr>
          <w:p>
            <w:pPr>
              <w:pStyle w:val="TableParagraph"/>
              <w:spacing w:line="261" w:lineRule="exact"/>
              <w:ind w:left="108"/>
              <w:rPr>
                <w:b/>
                <w:sz w:val="21"/>
              </w:rPr>
            </w:pPr>
            <w:r>
              <w:rPr>
                <w:b/>
                <w:w w:val="99"/>
                <w:sz w:val="21"/>
              </w:rPr>
              <w:t> </w:t>
            </w:r>
          </w:p>
        </w:tc>
        <w:tc>
          <w:tcPr>
            <w:tcW w:w="7510" w:type="dxa"/>
          </w:tcPr>
          <w:p>
            <w:pPr>
              <w:pStyle w:val="TableParagraph"/>
              <w:spacing w:line="261" w:lineRule="exact"/>
              <w:ind w:left="108"/>
              <w:rPr>
                <w:sz w:val="21"/>
              </w:rPr>
            </w:pPr>
            <w:r>
              <w:rPr>
                <w:w w:val="100"/>
                <w:sz w:val="21"/>
              </w:rPr>
              <w:t> </w:t>
            </w:r>
          </w:p>
        </w:tc>
      </w:tr>
      <w:tr>
        <w:trPr>
          <w:trHeight w:val="886" w:hRule="atLeast"/>
        </w:trPr>
        <w:tc>
          <w:tcPr>
            <w:tcW w:w="1160" w:type="dxa"/>
          </w:tcPr>
          <w:p>
            <w:pPr>
              <w:pStyle w:val="TableParagraph"/>
              <w:spacing w:line="261" w:lineRule="exact"/>
              <w:ind w:right="122"/>
              <w:jc w:val="right"/>
              <w:rPr>
                <w:b/>
                <w:sz w:val="21"/>
              </w:rPr>
            </w:pPr>
            <w:r>
              <w:rPr>
                <w:b/>
                <w:w w:val="95"/>
                <w:sz w:val="21"/>
              </w:rPr>
              <w:t>9.20 </w:t>
            </w:r>
          </w:p>
        </w:tc>
        <w:tc>
          <w:tcPr>
            <w:tcW w:w="1597" w:type="dxa"/>
          </w:tcPr>
          <w:p>
            <w:pPr>
              <w:pStyle w:val="TableParagraph"/>
              <w:spacing w:line="261" w:lineRule="exact"/>
              <w:ind w:left="108"/>
              <w:rPr>
                <w:b/>
                <w:sz w:val="21"/>
              </w:rPr>
            </w:pPr>
            <w:r>
              <w:rPr>
                <w:b/>
                <w:sz w:val="21"/>
              </w:rPr>
              <w:t>先天性畸形、变</w:t>
            </w:r>
          </w:p>
          <w:p>
            <w:pPr>
              <w:pStyle w:val="TableParagraph"/>
              <w:spacing w:line="310" w:lineRule="atLeast" w:before="2"/>
              <w:ind w:left="108" w:right="105"/>
              <w:rPr>
                <w:b/>
                <w:sz w:val="21"/>
              </w:rPr>
            </w:pPr>
            <w:r>
              <w:rPr>
                <w:b/>
                <w:sz w:val="21"/>
              </w:rPr>
              <w:t>形或染色体异常</w:t>
            </w:r>
            <w:r>
              <w:rPr>
                <w:b/>
                <w:w w:val="99"/>
                <w:sz w:val="21"/>
              </w:rPr>
              <w:t> </w:t>
            </w:r>
          </w:p>
        </w:tc>
        <w:tc>
          <w:tcPr>
            <w:tcW w:w="7510" w:type="dxa"/>
          </w:tcPr>
          <w:p>
            <w:pPr>
              <w:pStyle w:val="TableParagraph"/>
              <w:spacing w:line="261" w:lineRule="exact"/>
              <w:ind w:left="108"/>
              <w:rPr>
                <w:sz w:val="21"/>
              </w:rPr>
            </w:pPr>
            <w:r>
              <w:rPr>
                <w:sz w:val="21"/>
              </w:rPr>
              <w:t>指被保险人出生时就具有的畸形、变形或染色体异常。先天性畸形、变形和染</w:t>
            </w:r>
          </w:p>
          <w:p>
            <w:pPr>
              <w:pStyle w:val="TableParagraph"/>
              <w:spacing w:line="310" w:lineRule="atLeast" w:before="2"/>
              <w:ind w:left="108" w:right="260"/>
              <w:rPr>
                <w:sz w:val="21"/>
              </w:rPr>
            </w:pPr>
            <w:r>
              <w:rPr>
                <w:spacing w:val="-3"/>
                <w:w w:val="100"/>
                <w:sz w:val="21"/>
              </w:rPr>
              <w:t>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8"/>
                <w:w w:val="100"/>
                <w:sz w:val="21"/>
              </w:rPr>
              <w:t>）》</w:t>
            </w:r>
            <w:r>
              <w:rPr>
                <w:spacing w:val="-1"/>
                <w:sz w:val="21"/>
              </w:rPr>
              <w:t>确定。</w:t>
            </w:r>
            <w:r>
              <w:rPr>
                <w:sz w:val="21"/>
              </w:rPr>
              <w:t> </w:t>
            </w:r>
          </w:p>
        </w:tc>
      </w:tr>
    </w:tbl>
    <w:sectPr>
      <w:pgSz w:w="11910" w:h="16840"/>
      <w:pgMar w:top="116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61" w:hanging="360"/>
        <w:jc w:val="left"/>
      </w:pPr>
      <w:rPr>
        <w:rFonts w:hint="default" w:ascii="宋体" w:hAnsi="宋体" w:eastAsia="宋体" w:cs="宋体"/>
        <w:w w:val="100"/>
        <w:sz w:val="21"/>
        <w:szCs w:val="21"/>
      </w:rPr>
    </w:lvl>
    <w:lvl w:ilvl="1">
      <w:start w:val="0"/>
      <w:numFmt w:val="bullet"/>
      <w:lvlText w:val="•"/>
      <w:lvlJc w:val="left"/>
      <w:pPr>
        <w:ind w:left="980" w:hanging="360"/>
      </w:pPr>
      <w:rPr>
        <w:rFonts w:hint="default"/>
      </w:rPr>
    </w:lvl>
    <w:lvl w:ilvl="2">
      <w:start w:val="0"/>
      <w:numFmt w:val="bullet"/>
      <w:lvlText w:val="•"/>
      <w:lvlJc w:val="left"/>
      <w:pPr>
        <w:ind w:left="1500" w:hanging="360"/>
      </w:pPr>
      <w:rPr>
        <w:rFonts w:hint="default"/>
      </w:rPr>
    </w:lvl>
    <w:lvl w:ilvl="3">
      <w:start w:val="0"/>
      <w:numFmt w:val="bullet"/>
      <w:lvlText w:val="•"/>
      <w:lvlJc w:val="left"/>
      <w:pPr>
        <w:ind w:left="2020" w:hanging="360"/>
      </w:pPr>
      <w:rPr>
        <w:rFonts w:hint="default"/>
      </w:rPr>
    </w:lvl>
    <w:lvl w:ilvl="4">
      <w:start w:val="0"/>
      <w:numFmt w:val="bullet"/>
      <w:lvlText w:val="•"/>
      <w:lvlJc w:val="left"/>
      <w:pPr>
        <w:ind w:left="2541" w:hanging="360"/>
      </w:pPr>
      <w:rPr>
        <w:rFonts w:hint="default"/>
      </w:rPr>
    </w:lvl>
    <w:lvl w:ilvl="5">
      <w:start w:val="0"/>
      <w:numFmt w:val="bullet"/>
      <w:lvlText w:val="•"/>
      <w:lvlJc w:val="left"/>
      <w:pPr>
        <w:ind w:left="3061" w:hanging="360"/>
      </w:pPr>
      <w:rPr>
        <w:rFonts w:hint="default"/>
      </w:rPr>
    </w:lvl>
    <w:lvl w:ilvl="6">
      <w:start w:val="0"/>
      <w:numFmt w:val="bullet"/>
      <w:lvlText w:val="•"/>
      <w:lvlJc w:val="left"/>
      <w:pPr>
        <w:ind w:left="3581" w:hanging="360"/>
      </w:pPr>
      <w:rPr>
        <w:rFonts w:hint="default"/>
      </w:rPr>
    </w:lvl>
    <w:lvl w:ilvl="7">
      <w:start w:val="0"/>
      <w:numFmt w:val="bullet"/>
      <w:lvlText w:val="•"/>
      <w:lvlJc w:val="left"/>
      <w:pPr>
        <w:ind w:left="4102" w:hanging="360"/>
      </w:pPr>
      <w:rPr>
        <w:rFonts w:hint="default"/>
      </w:rPr>
    </w:lvl>
    <w:lvl w:ilvl="8">
      <w:start w:val="0"/>
      <w:numFmt w:val="bullet"/>
      <w:lvlText w:val="•"/>
      <w:lvlJc w:val="left"/>
      <w:pPr>
        <w:ind w:left="4622" w:hanging="360"/>
      </w:pPr>
      <w:rPr>
        <w:rFonts w:hint="default"/>
      </w:rPr>
    </w:lvl>
  </w:abstractNum>
  <w:abstractNum w:abstractNumId="12">
    <w:multiLevelType w:val="hybridMultilevel"/>
    <w:lvl w:ilvl="0">
      <w:start w:val="1"/>
      <w:numFmt w:val="decimal"/>
      <w:lvlText w:val="%1."/>
      <w:lvlJc w:val="left"/>
      <w:pPr>
        <w:ind w:left="461" w:hanging="360"/>
        <w:jc w:val="left"/>
      </w:pPr>
      <w:rPr>
        <w:rFonts w:hint="default" w:ascii="宋体" w:hAnsi="宋体" w:eastAsia="宋体" w:cs="宋体"/>
        <w:w w:val="100"/>
        <w:sz w:val="21"/>
        <w:szCs w:val="21"/>
      </w:rPr>
    </w:lvl>
    <w:lvl w:ilvl="1">
      <w:start w:val="0"/>
      <w:numFmt w:val="bullet"/>
      <w:lvlText w:val="•"/>
      <w:lvlJc w:val="left"/>
      <w:pPr>
        <w:ind w:left="980" w:hanging="360"/>
      </w:pPr>
      <w:rPr>
        <w:rFonts w:hint="default"/>
      </w:rPr>
    </w:lvl>
    <w:lvl w:ilvl="2">
      <w:start w:val="0"/>
      <w:numFmt w:val="bullet"/>
      <w:lvlText w:val="•"/>
      <w:lvlJc w:val="left"/>
      <w:pPr>
        <w:ind w:left="1500" w:hanging="360"/>
      </w:pPr>
      <w:rPr>
        <w:rFonts w:hint="default"/>
      </w:rPr>
    </w:lvl>
    <w:lvl w:ilvl="3">
      <w:start w:val="0"/>
      <w:numFmt w:val="bullet"/>
      <w:lvlText w:val="•"/>
      <w:lvlJc w:val="left"/>
      <w:pPr>
        <w:ind w:left="2020" w:hanging="360"/>
      </w:pPr>
      <w:rPr>
        <w:rFonts w:hint="default"/>
      </w:rPr>
    </w:lvl>
    <w:lvl w:ilvl="4">
      <w:start w:val="0"/>
      <w:numFmt w:val="bullet"/>
      <w:lvlText w:val="•"/>
      <w:lvlJc w:val="left"/>
      <w:pPr>
        <w:ind w:left="2541" w:hanging="360"/>
      </w:pPr>
      <w:rPr>
        <w:rFonts w:hint="default"/>
      </w:rPr>
    </w:lvl>
    <w:lvl w:ilvl="5">
      <w:start w:val="0"/>
      <w:numFmt w:val="bullet"/>
      <w:lvlText w:val="•"/>
      <w:lvlJc w:val="left"/>
      <w:pPr>
        <w:ind w:left="3061" w:hanging="360"/>
      </w:pPr>
      <w:rPr>
        <w:rFonts w:hint="default"/>
      </w:rPr>
    </w:lvl>
    <w:lvl w:ilvl="6">
      <w:start w:val="0"/>
      <w:numFmt w:val="bullet"/>
      <w:lvlText w:val="•"/>
      <w:lvlJc w:val="left"/>
      <w:pPr>
        <w:ind w:left="3581" w:hanging="360"/>
      </w:pPr>
      <w:rPr>
        <w:rFonts w:hint="default"/>
      </w:rPr>
    </w:lvl>
    <w:lvl w:ilvl="7">
      <w:start w:val="0"/>
      <w:numFmt w:val="bullet"/>
      <w:lvlText w:val="•"/>
      <w:lvlJc w:val="left"/>
      <w:pPr>
        <w:ind w:left="4102" w:hanging="360"/>
      </w:pPr>
      <w:rPr>
        <w:rFonts w:hint="default"/>
      </w:rPr>
    </w:lvl>
    <w:lvl w:ilvl="8">
      <w:start w:val="0"/>
      <w:numFmt w:val="bullet"/>
      <w:lvlText w:val="•"/>
      <w:lvlJc w:val="left"/>
      <w:pPr>
        <w:ind w:left="4622" w:hanging="360"/>
      </w:pPr>
      <w:rPr>
        <w:rFonts w:hint="default"/>
      </w:rPr>
    </w:lvl>
  </w:abstractNum>
  <w:abstractNum w:abstractNumId="11">
    <w:multiLevelType w:val="hybridMultilevel"/>
    <w:lvl w:ilvl="0">
      <w:start w:val="1"/>
      <w:numFmt w:val="decimal"/>
      <w:lvlText w:val="%1."/>
      <w:lvlJc w:val="left"/>
      <w:pPr>
        <w:ind w:left="461" w:hanging="360"/>
        <w:jc w:val="left"/>
      </w:pPr>
      <w:rPr>
        <w:rFonts w:hint="default" w:ascii="宋体" w:hAnsi="宋体" w:eastAsia="宋体" w:cs="宋体"/>
        <w:w w:val="100"/>
        <w:sz w:val="21"/>
        <w:szCs w:val="21"/>
      </w:rPr>
    </w:lvl>
    <w:lvl w:ilvl="1">
      <w:start w:val="0"/>
      <w:numFmt w:val="bullet"/>
      <w:lvlText w:val="•"/>
      <w:lvlJc w:val="left"/>
      <w:pPr>
        <w:ind w:left="980" w:hanging="360"/>
      </w:pPr>
      <w:rPr>
        <w:rFonts w:hint="default"/>
      </w:rPr>
    </w:lvl>
    <w:lvl w:ilvl="2">
      <w:start w:val="0"/>
      <w:numFmt w:val="bullet"/>
      <w:lvlText w:val="•"/>
      <w:lvlJc w:val="left"/>
      <w:pPr>
        <w:ind w:left="1500" w:hanging="360"/>
      </w:pPr>
      <w:rPr>
        <w:rFonts w:hint="default"/>
      </w:rPr>
    </w:lvl>
    <w:lvl w:ilvl="3">
      <w:start w:val="0"/>
      <w:numFmt w:val="bullet"/>
      <w:lvlText w:val="•"/>
      <w:lvlJc w:val="left"/>
      <w:pPr>
        <w:ind w:left="2020" w:hanging="360"/>
      </w:pPr>
      <w:rPr>
        <w:rFonts w:hint="default"/>
      </w:rPr>
    </w:lvl>
    <w:lvl w:ilvl="4">
      <w:start w:val="0"/>
      <w:numFmt w:val="bullet"/>
      <w:lvlText w:val="•"/>
      <w:lvlJc w:val="left"/>
      <w:pPr>
        <w:ind w:left="2541" w:hanging="360"/>
      </w:pPr>
      <w:rPr>
        <w:rFonts w:hint="default"/>
      </w:rPr>
    </w:lvl>
    <w:lvl w:ilvl="5">
      <w:start w:val="0"/>
      <w:numFmt w:val="bullet"/>
      <w:lvlText w:val="•"/>
      <w:lvlJc w:val="left"/>
      <w:pPr>
        <w:ind w:left="3061" w:hanging="360"/>
      </w:pPr>
      <w:rPr>
        <w:rFonts w:hint="default"/>
      </w:rPr>
    </w:lvl>
    <w:lvl w:ilvl="6">
      <w:start w:val="0"/>
      <w:numFmt w:val="bullet"/>
      <w:lvlText w:val="•"/>
      <w:lvlJc w:val="left"/>
      <w:pPr>
        <w:ind w:left="3581" w:hanging="360"/>
      </w:pPr>
      <w:rPr>
        <w:rFonts w:hint="default"/>
      </w:rPr>
    </w:lvl>
    <w:lvl w:ilvl="7">
      <w:start w:val="0"/>
      <w:numFmt w:val="bullet"/>
      <w:lvlText w:val="•"/>
      <w:lvlJc w:val="left"/>
      <w:pPr>
        <w:ind w:left="4102" w:hanging="360"/>
      </w:pPr>
      <w:rPr>
        <w:rFonts w:hint="default"/>
      </w:rPr>
    </w:lvl>
    <w:lvl w:ilvl="8">
      <w:start w:val="0"/>
      <w:numFmt w:val="bullet"/>
      <w:lvlText w:val="•"/>
      <w:lvlJc w:val="left"/>
      <w:pPr>
        <w:ind w:left="4622" w:hanging="360"/>
      </w:pPr>
      <w:rPr>
        <w:rFonts w:hint="default"/>
      </w:rPr>
    </w:lvl>
  </w:abstractNum>
  <w:abstractNum w:abstractNumId="10">
    <w:multiLevelType w:val="hybridMultilevel"/>
    <w:lvl w:ilvl="0">
      <w:start w:val="7"/>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973" w:hanging="360"/>
      </w:pPr>
      <w:rPr>
        <w:rFonts w:hint="default"/>
      </w:rPr>
    </w:lvl>
    <w:lvl w:ilvl="2">
      <w:start w:val="0"/>
      <w:numFmt w:val="bullet"/>
      <w:lvlText w:val="•"/>
      <w:lvlJc w:val="left"/>
      <w:pPr>
        <w:ind w:left="1487" w:hanging="360"/>
      </w:pPr>
      <w:rPr>
        <w:rFonts w:hint="default"/>
      </w:rPr>
    </w:lvl>
    <w:lvl w:ilvl="3">
      <w:start w:val="0"/>
      <w:numFmt w:val="bullet"/>
      <w:lvlText w:val="•"/>
      <w:lvlJc w:val="left"/>
      <w:pPr>
        <w:ind w:left="2001" w:hanging="360"/>
      </w:pPr>
      <w:rPr>
        <w:rFonts w:hint="default"/>
      </w:rPr>
    </w:lvl>
    <w:lvl w:ilvl="4">
      <w:start w:val="0"/>
      <w:numFmt w:val="bullet"/>
      <w:lvlText w:val="•"/>
      <w:lvlJc w:val="left"/>
      <w:pPr>
        <w:ind w:left="2515" w:hanging="360"/>
      </w:pPr>
      <w:rPr>
        <w:rFonts w:hint="default"/>
      </w:rPr>
    </w:lvl>
    <w:lvl w:ilvl="5">
      <w:start w:val="0"/>
      <w:numFmt w:val="bullet"/>
      <w:lvlText w:val="•"/>
      <w:lvlJc w:val="left"/>
      <w:pPr>
        <w:ind w:left="3029" w:hanging="360"/>
      </w:pPr>
      <w:rPr>
        <w:rFonts w:hint="default"/>
      </w:rPr>
    </w:lvl>
    <w:lvl w:ilvl="6">
      <w:start w:val="0"/>
      <w:numFmt w:val="bullet"/>
      <w:lvlText w:val="•"/>
      <w:lvlJc w:val="left"/>
      <w:pPr>
        <w:ind w:left="3542" w:hanging="360"/>
      </w:pPr>
      <w:rPr>
        <w:rFonts w:hint="default"/>
      </w:rPr>
    </w:lvl>
    <w:lvl w:ilvl="7">
      <w:start w:val="0"/>
      <w:numFmt w:val="bullet"/>
      <w:lvlText w:val="•"/>
      <w:lvlJc w:val="left"/>
      <w:pPr>
        <w:ind w:left="4056" w:hanging="360"/>
      </w:pPr>
      <w:rPr>
        <w:rFonts w:hint="default"/>
      </w:rPr>
    </w:lvl>
    <w:lvl w:ilvl="8">
      <w:start w:val="0"/>
      <w:numFmt w:val="bullet"/>
      <w:lvlText w:val="•"/>
      <w:lvlJc w:val="left"/>
      <w:pPr>
        <w:ind w:left="4570" w:hanging="360"/>
      </w:pPr>
      <w:rPr>
        <w:rFonts w:hint="default"/>
      </w:rPr>
    </w:lvl>
  </w:abstractNum>
  <w:abstractNum w:abstractNumId="8">
    <w:multiLevelType w:val="hybridMultilevel"/>
    <w:lvl w:ilvl="0">
      <w:start w:val="1"/>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973" w:hanging="360"/>
      </w:pPr>
      <w:rPr>
        <w:rFonts w:hint="default"/>
      </w:rPr>
    </w:lvl>
    <w:lvl w:ilvl="2">
      <w:start w:val="0"/>
      <w:numFmt w:val="bullet"/>
      <w:lvlText w:val="•"/>
      <w:lvlJc w:val="left"/>
      <w:pPr>
        <w:ind w:left="1487" w:hanging="360"/>
      </w:pPr>
      <w:rPr>
        <w:rFonts w:hint="default"/>
      </w:rPr>
    </w:lvl>
    <w:lvl w:ilvl="3">
      <w:start w:val="0"/>
      <w:numFmt w:val="bullet"/>
      <w:lvlText w:val="•"/>
      <w:lvlJc w:val="left"/>
      <w:pPr>
        <w:ind w:left="2001" w:hanging="360"/>
      </w:pPr>
      <w:rPr>
        <w:rFonts w:hint="default"/>
      </w:rPr>
    </w:lvl>
    <w:lvl w:ilvl="4">
      <w:start w:val="0"/>
      <w:numFmt w:val="bullet"/>
      <w:lvlText w:val="•"/>
      <w:lvlJc w:val="left"/>
      <w:pPr>
        <w:ind w:left="2515" w:hanging="360"/>
      </w:pPr>
      <w:rPr>
        <w:rFonts w:hint="default"/>
      </w:rPr>
    </w:lvl>
    <w:lvl w:ilvl="5">
      <w:start w:val="0"/>
      <w:numFmt w:val="bullet"/>
      <w:lvlText w:val="•"/>
      <w:lvlJc w:val="left"/>
      <w:pPr>
        <w:ind w:left="3029" w:hanging="360"/>
      </w:pPr>
      <w:rPr>
        <w:rFonts w:hint="default"/>
      </w:rPr>
    </w:lvl>
    <w:lvl w:ilvl="6">
      <w:start w:val="0"/>
      <w:numFmt w:val="bullet"/>
      <w:lvlText w:val="•"/>
      <w:lvlJc w:val="left"/>
      <w:pPr>
        <w:ind w:left="3542" w:hanging="360"/>
      </w:pPr>
      <w:rPr>
        <w:rFonts w:hint="default"/>
      </w:rPr>
    </w:lvl>
    <w:lvl w:ilvl="7">
      <w:start w:val="0"/>
      <w:numFmt w:val="bullet"/>
      <w:lvlText w:val="•"/>
      <w:lvlJc w:val="left"/>
      <w:pPr>
        <w:ind w:left="4056" w:hanging="360"/>
      </w:pPr>
      <w:rPr>
        <w:rFonts w:hint="default"/>
      </w:rPr>
    </w:lvl>
    <w:lvl w:ilvl="8">
      <w:start w:val="0"/>
      <w:numFmt w:val="bullet"/>
      <w:lvlText w:val="•"/>
      <w:lvlJc w:val="left"/>
      <w:pPr>
        <w:ind w:left="4570" w:hanging="360"/>
      </w:pPr>
      <w:rPr>
        <w:rFonts w:hint="default"/>
      </w:rPr>
    </w:lvl>
  </w:abstractNum>
  <w:abstractNum w:abstractNumId="7">
    <w:multiLevelType w:val="hybridMultilevel"/>
    <w:lvl w:ilvl="0">
      <w:start w:val="1"/>
      <w:numFmt w:val="decimal"/>
      <w:lvlText w:val="%1."/>
      <w:lvlJc w:val="left"/>
      <w:pPr>
        <w:ind w:left="467" w:hanging="360"/>
        <w:jc w:val="left"/>
      </w:pPr>
      <w:rPr>
        <w:rFonts w:hint="default" w:ascii="宋体" w:hAnsi="宋体" w:eastAsia="宋体" w:cs="宋体"/>
        <w:w w:val="100"/>
        <w:sz w:val="21"/>
        <w:szCs w:val="21"/>
      </w:rPr>
    </w:lvl>
    <w:lvl w:ilvl="1">
      <w:start w:val="0"/>
      <w:numFmt w:val="bullet"/>
      <w:lvlText w:val="•"/>
      <w:lvlJc w:val="left"/>
      <w:pPr>
        <w:ind w:left="973" w:hanging="360"/>
      </w:pPr>
      <w:rPr>
        <w:rFonts w:hint="default"/>
      </w:rPr>
    </w:lvl>
    <w:lvl w:ilvl="2">
      <w:start w:val="0"/>
      <w:numFmt w:val="bullet"/>
      <w:lvlText w:val="•"/>
      <w:lvlJc w:val="left"/>
      <w:pPr>
        <w:ind w:left="1487" w:hanging="360"/>
      </w:pPr>
      <w:rPr>
        <w:rFonts w:hint="default"/>
      </w:rPr>
    </w:lvl>
    <w:lvl w:ilvl="3">
      <w:start w:val="0"/>
      <w:numFmt w:val="bullet"/>
      <w:lvlText w:val="•"/>
      <w:lvlJc w:val="left"/>
      <w:pPr>
        <w:ind w:left="2001" w:hanging="360"/>
      </w:pPr>
      <w:rPr>
        <w:rFonts w:hint="default"/>
      </w:rPr>
    </w:lvl>
    <w:lvl w:ilvl="4">
      <w:start w:val="0"/>
      <w:numFmt w:val="bullet"/>
      <w:lvlText w:val="•"/>
      <w:lvlJc w:val="left"/>
      <w:pPr>
        <w:ind w:left="2515" w:hanging="360"/>
      </w:pPr>
      <w:rPr>
        <w:rFonts w:hint="default"/>
      </w:rPr>
    </w:lvl>
    <w:lvl w:ilvl="5">
      <w:start w:val="0"/>
      <w:numFmt w:val="bullet"/>
      <w:lvlText w:val="•"/>
      <w:lvlJc w:val="left"/>
      <w:pPr>
        <w:ind w:left="3029" w:hanging="360"/>
      </w:pPr>
      <w:rPr>
        <w:rFonts w:hint="default"/>
      </w:rPr>
    </w:lvl>
    <w:lvl w:ilvl="6">
      <w:start w:val="0"/>
      <w:numFmt w:val="bullet"/>
      <w:lvlText w:val="•"/>
      <w:lvlJc w:val="left"/>
      <w:pPr>
        <w:ind w:left="3542" w:hanging="360"/>
      </w:pPr>
      <w:rPr>
        <w:rFonts w:hint="default"/>
      </w:rPr>
    </w:lvl>
    <w:lvl w:ilvl="7">
      <w:start w:val="0"/>
      <w:numFmt w:val="bullet"/>
      <w:lvlText w:val="•"/>
      <w:lvlJc w:val="left"/>
      <w:pPr>
        <w:ind w:left="4056" w:hanging="360"/>
      </w:pPr>
      <w:rPr>
        <w:rFonts w:hint="default"/>
      </w:rPr>
    </w:lvl>
    <w:lvl w:ilvl="8">
      <w:start w:val="0"/>
      <w:numFmt w:val="bullet"/>
      <w:lvlText w:val="•"/>
      <w:lvlJc w:val="left"/>
      <w:pPr>
        <w:ind w:left="4570" w:hanging="360"/>
      </w:pPr>
      <w:rPr>
        <w:rFonts w:hint="default"/>
      </w:rPr>
    </w:lvl>
  </w:abstractNum>
  <w:abstractNum w:abstractNumId="9">
    <w:multiLevelType w:val="hybridMultilevel"/>
    <w:lvl w:ilvl="0">
      <w:start w:val="9"/>
      <w:numFmt w:val="decimal"/>
      <w:lvlText w:val="%1"/>
      <w:lvlJc w:val="left"/>
      <w:pPr>
        <w:ind w:left="868" w:hanging="318"/>
        <w:jc w:val="left"/>
      </w:pPr>
      <w:rPr>
        <w:rFonts w:hint="default"/>
      </w:rPr>
    </w:lvl>
    <w:lvl w:ilvl="1">
      <w:start w:val="8"/>
      <w:numFmt w:val="decimal"/>
      <w:lvlText w:val="%1.%2"/>
      <w:lvlJc w:val="left"/>
      <w:pPr>
        <w:ind w:left="868" w:hanging="318"/>
        <w:jc w:val="left"/>
      </w:pPr>
      <w:rPr>
        <w:rFonts w:hint="default" w:ascii="宋体" w:hAnsi="宋体" w:eastAsia="宋体" w:cs="宋体"/>
        <w:b/>
        <w:bCs/>
        <w:w w:val="99"/>
        <w:sz w:val="19"/>
        <w:szCs w:val="19"/>
      </w:rPr>
    </w:lvl>
    <w:lvl w:ilvl="2">
      <w:start w:val="0"/>
      <w:numFmt w:val="bullet"/>
      <w:lvlText w:val="•"/>
      <w:lvlJc w:val="left"/>
      <w:pPr>
        <w:ind w:left="2633" w:hanging="318"/>
      </w:pPr>
      <w:rPr>
        <w:rFonts w:hint="default"/>
      </w:rPr>
    </w:lvl>
    <w:lvl w:ilvl="3">
      <w:start w:val="0"/>
      <w:numFmt w:val="bullet"/>
      <w:lvlText w:val="•"/>
      <w:lvlJc w:val="left"/>
      <w:pPr>
        <w:ind w:left="3519" w:hanging="318"/>
      </w:pPr>
      <w:rPr>
        <w:rFonts w:hint="default"/>
      </w:rPr>
    </w:lvl>
    <w:lvl w:ilvl="4">
      <w:start w:val="0"/>
      <w:numFmt w:val="bullet"/>
      <w:lvlText w:val="•"/>
      <w:lvlJc w:val="left"/>
      <w:pPr>
        <w:ind w:left="4406" w:hanging="318"/>
      </w:pPr>
      <w:rPr>
        <w:rFonts w:hint="default"/>
      </w:rPr>
    </w:lvl>
    <w:lvl w:ilvl="5">
      <w:start w:val="0"/>
      <w:numFmt w:val="bullet"/>
      <w:lvlText w:val="•"/>
      <w:lvlJc w:val="left"/>
      <w:pPr>
        <w:ind w:left="5293" w:hanging="318"/>
      </w:pPr>
      <w:rPr>
        <w:rFonts w:hint="default"/>
      </w:rPr>
    </w:lvl>
    <w:lvl w:ilvl="6">
      <w:start w:val="0"/>
      <w:numFmt w:val="bullet"/>
      <w:lvlText w:val="•"/>
      <w:lvlJc w:val="left"/>
      <w:pPr>
        <w:ind w:left="6179" w:hanging="318"/>
      </w:pPr>
      <w:rPr>
        <w:rFonts w:hint="default"/>
      </w:rPr>
    </w:lvl>
    <w:lvl w:ilvl="7">
      <w:start w:val="0"/>
      <w:numFmt w:val="bullet"/>
      <w:lvlText w:val="•"/>
      <w:lvlJc w:val="left"/>
      <w:pPr>
        <w:ind w:left="7066" w:hanging="318"/>
      </w:pPr>
      <w:rPr>
        <w:rFonts w:hint="default"/>
      </w:rPr>
    </w:lvl>
    <w:lvl w:ilvl="8">
      <w:start w:val="0"/>
      <w:numFmt w:val="bullet"/>
      <w:lvlText w:val="•"/>
      <w:lvlJc w:val="left"/>
      <w:pPr>
        <w:ind w:left="7953" w:hanging="318"/>
      </w:pPr>
      <w:rPr>
        <w:rFonts w:hint="default"/>
      </w:rPr>
    </w:lvl>
  </w:abstractNum>
  <w:abstractNum w:abstractNumId="6">
    <w:multiLevelType w:val="hybridMultilevel"/>
    <w:lvl w:ilvl="0">
      <w:start w:val="9"/>
      <w:numFmt w:val="decimal"/>
      <w:lvlText w:val="%1"/>
      <w:lvlJc w:val="left"/>
      <w:pPr>
        <w:ind w:left="2981" w:hanging="318"/>
        <w:jc w:val="left"/>
      </w:pPr>
      <w:rPr>
        <w:rFonts w:hint="default"/>
      </w:rPr>
    </w:lvl>
    <w:lvl w:ilvl="1">
      <w:start w:val="1"/>
      <w:numFmt w:val="decimal"/>
      <w:lvlText w:val="%1.%2"/>
      <w:lvlJc w:val="left"/>
      <w:pPr>
        <w:ind w:left="2981" w:hanging="318"/>
        <w:jc w:val="left"/>
      </w:pPr>
      <w:rPr>
        <w:rFonts w:hint="default" w:ascii="宋体" w:hAnsi="宋体" w:eastAsia="宋体" w:cs="宋体"/>
        <w:b/>
        <w:bCs/>
        <w:w w:val="99"/>
        <w:sz w:val="19"/>
        <w:szCs w:val="19"/>
      </w:rPr>
    </w:lvl>
    <w:lvl w:ilvl="2">
      <w:start w:val="0"/>
      <w:numFmt w:val="bullet"/>
      <w:lvlText w:val="•"/>
      <w:lvlJc w:val="left"/>
      <w:pPr>
        <w:ind w:left="2787" w:hanging="318"/>
      </w:pPr>
      <w:rPr>
        <w:rFonts w:hint="default"/>
      </w:rPr>
    </w:lvl>
    <w:lvl w:ilvl="3">
      <w:start w:val="0"/>
      <w:numFmt w:val="bullet"/>
      <w:lvlText w:val="•"/>
      <w:lvlJc w:val="left"/>
      <w:pPr>
        <w:ind w:left="2595" w:hanging="318"/>
      </w:pPr>
      <w:rPr>
        <w:rFonts w:hint="default"/>
      </w:rPr>
    </w:lvl>
    <w:lvl w:ilvl="4">
      <w:start w:val="0"/>
      <w:numFmt w:val="bullet"/>
      <w:lvlText w:val="•"/>
      <w:lvlJc w:val="left"/>
      <w:pPr>
        <w:ind w:left="2402" w:hanging="318"/>
      </w:pPr>
      <w:rPr>
        <w:rFonts w:hint="default"/>
      </w:rPr>
    </w:lvl>
    <w:lvl w:ilvl="5">
      <w:start w:val="0"/>
      <w:numFmt w:val="bullet"/>
      <w:lvlText w:val="•"/>
      <w:lvlJc w:val="left"/>
      <w:pPr>
        <w:ind w:left="2210" w:hanging="318"/>
      </w:pPr>
      <w:rPr>
        <w:rFonts w:hint="default"/>
      </w:rPr>
    </w:lvl>
    <w:lvl w:ilvl="6">
      <w:start w:val="0"/>
      <w:numFmt w:val="bullet"/>
      <w:lvlText w:val="•"/>
      <w:lvlJc w:val="left"/>
      <w:pPr>
        <w:ind w:left="2018" w:hanging="318"/>
      </w:pPr>
      <w:rPr>
        <w:rFonts w:hint="default"/>
      </w:rPr>
    </w:lvl>
    <w:lvl w:ilvl="7">
      <w:start w:val="0"/>
      <w:numFmt w:val="bullet"/>
      <w:lvlText w:val="•"/>
      <w:lvlJc w:val="left"/>
      <w:pPr>
        <w:ind w:left="1825" w:hanging="318"/>
      </w:pPr>
      <w:rPr>
        <w:rFonts w:hint="default"/>
      </w:rPr>
    </w:lvl>
    <w:lvl w:ilvl="8">
      <w:start w:val="0"/>
      <w:numFmt w:val="bullet"/>
      <w:lvlText w:val="•"/>
      <w:lvlJc w:val="left"/>
      <w:pPr>
        <w:ind w:left="1633" w:hanging="318"/>
      </w:pPr>
      <w:rPr>
        <w:rFonts w:hint="default"/>
      </w:rPr>
    </w:lvl>
  </w:abstractNum>
  <w:abstractNum w:abstractNumId="5">
    <w:multiLevelType w:val="hybridMultilevel"/>
    <w:lvl w:ilvl="0">
      <w:start w:val="8"/>
      <w:numFmt w:val="decimal"/>
      <w:lvlText w:val="%1"/>
      <w:lvlJc w:val="left"/>
      <w:pPr>
        <w:ind w:left="1180" w:hanging="318"/>
        <w:jc w:val="left"/>
      </w:pPr>
      <w:rPr>
        <w:rFonts w:hint="default"/>
      </w:rPr>
    </w:lvl>
    <w:lvl w:ilvl="1">
      <w:start w:val="1"/>
      <w:numFmt w:val="decimal"/>
      <w:lvlText w:val="%1.%2"/>
      <w:lvlJc w:val="left"/>
      <w:pPr>
        <w:ind w:left="1180" w:hanging="318"/>
        <w:jc w:val="left"/>
      </w:pPr>
      <w:rPr>
        <w:rFonts w:hint="default" w:ascii="宋体" w:hAnsi="宋体" w:eastAsia="宋体" w:cs="宋体"/>
        <w:b/>
        <w:bCs/>
        <w:w w:val="99"/>
        <w:sz w:val="19"/>
        <w:szCs w:val="19"/>
      </w:rPr>
    </w:lvl>
    <w:lvl w:ilvl="2">
      <w:start w:val="0"/>
      <w:numFmt w:val="bullet"/>
      <w:lvlText w:val="•"/>
      <w:lvlJc w:val="left"/>
      <w:pPr>
        <w:ind w:left="1518" w:hanging="318"/>
      </w:pPr>
      <w:rPr>
        <w:rFonts w:hint="default"/>
      </w:rPr>
    </w:lvl>
    <w:lvl w:ilvl="3">
      <w:start w:val="0"/>
      <w:numFmt w:val="bullet"/>
      <w:lvlText w:val="•"/>
      <w:lvlJc w:val="left"/>
      <w:pPr>
        <w:ind w:left="1687" w:hanging="318"/>
      </w:pPr>
      <w:rPr>
        <w:rFonts w:hint="default"/>
      </w:rPr>
    </w:lvl>
    <w:lvl w:ilvl="4">
      <w:start w:val="0"/>
      <w:numFmt w:val="bullet"/>
      <w:lvlText w:val="•"/>
      <w:lvlJc w:val="left"/>
      <w:pPr>
        <w:ind w:left="1856" w:hanging="318"/>
      </w:pPr>
      <w:rPr>
        <w:rFonts w:hint="default"/>
      </w:rPr>
    </w:lvl>
    <w:lvl w:ilvl="5">
      <w:start w:val="0"/>
      <w:numFmt w:val="bullet"/>
      <w:lvlText w:val="•"/>
      <w:lvlJc w:val="left"/>
      <w:pPr>
        <w:ind w:left="2025" w:hanging="318"/>
      </w:pPr>
      <w:rPr>
        <w:rFonts w:hint="default"/>
      </w:rPr>
    </w:lvl>
    <w:lvl w:ilvl="6">
      <w:start w:val="0"/>
      <w:numFmt w:val="bullet"/>
      <w:lvlText w:val="•"/>
      <w:lvlJc w:val="left"/>
      <w:pPr>
        <w:ind w:left="2194" w:hanging="318"/>
      </w:pPr>
      <w:rPr>
        <w:rFonts w:hint="default"/>
      </w:rPr>
    </w:lvl>
    <w:lvl w:ilvl="7">
      <w:start w:val="0"/>
      <w:numFmt w:val="bullet"/>
      <w:lvlText w:val="•"/>
      <w:lvlJc w:val="left"/>
      <w:pPr>
        <w:ind w:left="2363" w:hanging="318"/>
      </w:pPr>
      <w:rPr>
        <w:rFonts w:hint="default"/>
      </w:rPr>
    </w:lvl>
    <w:lvl w:ilvl="8">
      <w:start w:val="0"/>
      <w:numFmt w:val="bullet"/>
      <w:lvlText w:val="•"/>
      <w:lvlJc w:val="left"/>
      <w:pPr>
        <w:ind w:left="2532" w:hanging="318"/>
      </w:pPr>
      <w:rPr>
        <w:rFonts w:hint="default"/>
      </w:rPr>
    </w:lvl>
  </w:abstractNum>
  <w:abstractNum w:abstractNumId="4">
    <w:multiLevelType w:val="hybridMultilevel"/>
    <w:lvl w:ilvl="0">
      <w:start w:val="6"/>
      <w:numFmt w:val="decimal"/>
      <w:lvlText w:val="%1"/>
      <w:lvlJc w:val="left"/>
      <w:pPr>
        <w:ind w:left="2981" w:hanging="318"/>
        <w:jc w:val="left"/>
      </w:pPr>
      <w:rPr>
        <w:rFonts w:hint="default"/>
      </w:rPr>
    </w:lvl>
    <w:lvl w:ilvl="1">
      <w:start w:val="1"/>
      <w:numFmt w:val="decimal"/>
      <w:lvlText w:val="%1.%2"/>
      <w:lvlJc w:val="left"/>
      <w:pPr>
        <w:ind w:left="2981" w:hanging="318"/>
        <w:jc w:val="left"/>
      </w:pPr>
      <w:rPr>
        <w:rFonts w:hint="default" w:ascii="宋体" w:hAnsi="宋体" w:eastAsia="宋体" w:cs="宋体"/>
        <w:b/>
        <w:bCs/>
        <w:spacing w:val="-3"/>
        <w:w w:val="99"/>
        <w:sz w:val="19"/>
        <w:szCs w:val="19"/>
      </w:rPr>
    </w:lvl>
    <w:lvl w:ilvl="2">
      <w:start w:val="0"/>
      <w:numFmt w:val="bullet"/>
      <w:lvlText w:val="•"/>
      <w:lvlJc w:val="left"/>
      <w:pPr>
        <w:ind w:left="4449" w:hanging="318"/>
      </w:pPr>
      <w:rPr>
        <w:rFonts w:hint="default"/>
      </w:rPr>
    </w:lvl>
    <w:lvl w:ilvl="3">
      <w:start w:val="0"/>
      <w:numFmt w:val="bullet"/>
      <w:lvlText w:val="•"/>
      <w:lvlJc w:val="left"/>
      <w:pPr>
        <w:ind w:left="5183" w:hanging="318"/>
      </w:pPr>
      <w:rPr>
        <w:rFonts w:hint="default"/>
      </w:rPr>
    </w:lvl>
    <w:lvl w:ilvl="4">
      <w:start w:val="0"/>
      <w:numFmt w:val="bullet"/>
      <w:lvlText w:val="•"/>
      <w:lvlJc w:val="left"/>
      <w:pPr>
        <w:ind w:left="5918" w:hanging="318"/>
      </w:pPr>
      <w:rPr>
        <w:rFonts w:hint="default"/>
      </w:rPr>
    </w:lvl>
    <w:lvl w:ilvl="5">
      <w:start w:val="0"/>
      <w:numFmt w:val="bullet"/>
      <w:lvlText w:val="•"/>
      <w:lvlJc w:val="left"/>
      <w:pPr>
        <w:ind w:left="6653" w:hanging="318"/>
      </w:pPr>
      <w:rPr>
        <w:rFonts w:hint="default"/>
      </w:rPr>
    </w:lvl>
    <w:lvl w:ilvl="6">
      <w:start w:val="0"/>
      <w:numFmt w:val="bullet"/>
      <w:lvlText w:val="•"/>
      <w:lvlJc w:val="left"/>
      <w:pPr>
        <w:ind w:left="7387" w:hanging="318"/>
      </w:pPr>
      <w:rPr>
        <w:rFonts w:hint="default"/>
      </w:rPr>
    </w:lvl>
    <w:lvl w:ilvl="7">
      <w:start w:val="0"/>
      <w:numFmt w:val="bullet"/>
      <w:lvlText w:val="•"/>
      <w:lvlJc w:val="left"/>
      <w:pPr>
        <w:ind w:left="8122" w:hanging="318"/>
      </w:pPr>
      <w:rPr>
        <w:rFonts w:hint="default"/>
      </w:rPr>
    </w:lvl>
    <w:lvl w:ilvl="8">
      <w:start w:val="0"/>
      <w:numFmt w:val="bullet"/>
      <w:lvlText w:val="•"/>
      <w:lvlJc w:val="left"/>
      <w:pPr>
        <w:ind w:left="8857" w:hanging="318"/>
      </w:pPr>
      <w:rPr>
        <w:rFonts w:hint="default"/>
      </w:rPr>
    </w:lvl>
  </w:abstractNum>
  <w:abstractNum w:abstractNumId="3">
    <w:multiLevelType w:val="hybridMultilevel"/>
    <w:lvl w:ilvl="0">
      <w:start w:val="5"/>
      <w:numFmt w:val="decimal"/>
      <w:lvlText w:val="%1"/>
      <w:lvlJc w:val="left"/>
      <w:pPr>
        <w:ind w:left="2981" w:hanging="318"/>
        <w:jc w:val="left"/>
      </w:pPr>
      <w:rPr>
        <w:rFonts w:hint="default"/>
      </w:rPr>
    </w:lvl>
    <w:lvl w:ilvl="1">
      <w:start w:val="1"/>
      <w:numFmt w:val="decimal"/>
      <w:lvlText w:val="%1.%2"/>
      <w:lvlJc w:val="left"/>
      <w:pPr>
        <w:ind w:left="2981" w:hanging="318"/>
        <w:jc w:val="left"/>
      </w:pPr>
      <w:rPr>
        <w:rFonts w:hint="default" w:ascii="宋体" w:hAnsi="宋体" w:eastAsia="宋体" w:cs="宋体"/>
        <w:b/>
        <w:bCs/>
        <w:spacing w:val="-22"/>
        <w:w w:val="99"/>
        <w:sz w:val="19"/>
        <w:szCs w:val="19"/>
      </w:rPr>
    </w:lvl>
    <w:lvl w:ilvl="2">
      <w:start w:val="0"/>
      <w:numFmt w:val="bullet"/>
      <w:lvlText w:val="•"/>
      <w:lvlJc w:val="left"/>
      <w:pPr>
        <w:ind w:left="4449" w:hanging="318"/>
      </w:pPr>
      <w:rPr>
        <w:rFonts w:hint="default"/>
      </w:rPr>
    </w:lvl>
    <w:lvl w:ilvl="3">
      <w:start w:val="0"/>
      <w:numFmt w:val="bullet"/>
      <w:lvlText w:val="•"/>
      <w:lvlJc w:val="left"/>
      <w:pPr>
        <w:ind w:left="5183" w:hanging="318"/>
      </w:pPr>
      <w:rPr>
        <w:rFonts w:hint="default"/>
      </w:rPr>
    </w:lvl>
    <w:lvl w:ilvl="4">
      <w:start w:val="0"/>
      <w:numFmt w:val="bullet"/>
      <w:lvlText w:val="•"/>
      <w:lvlJc w:val="left"/>
      <w:pPr>
        <w:ind w:left="5918" w:hanging="318"/>
      </w:pPr>
      <w:rPr>
        <w:rFonts w:hint="default"/>
      </w:rPr>
    </w:lvl>
    <w:lvl w:ilvl="5">
      <w:start w:val="0"/>
      <w:numFmt w:val="bullet"/>
      <w:lvlText w:val="•"/>
      <w:lvlJc w:val="left"/>
      <w:pPr>
        <w:ind w:left="6653" w:hanging="318"/>
      </w:pPr>
      <w:rPr>
        <w:rFonts w:hint="default"/>
      </w:rPr>
    </w:lvl>
    <w:lvl w:ilvl="6">
      <w:start w:val="0"/>
      <w:numFmt w:val="bullet"/>
      <w:lvlText w:val="•"/>
      <w:lvlJc w:val="left"/>
      <w:pPr>
        <w:ind w:left="7387" w:hanging="318"/>
      </w:pPr>
      <w:rPr>
        <w:rFonts w:hint="default"/>
      </w:rPr>
    </w:lvl>
    <w:lvl w:ilvl="7">
      <w:start w:val="0"/>
      <w:numFmt w:val="bullet"/>
      <w:lvlText w:val="•"/>
      <w:lvlJc w:val="left"/>
      <w:pPr>
        <w:ind w:left="8122" w:hanging="318"/>
      </w:pPr>
      <w:rPr>
        <w:rFonts w:hint="default"/>
      </w:rPr>
    </w:lvl>
    <w:lvl w:ilvl="8">
      <w:start w:val="0"/>
      <w:numFmt w:val="bullet"/>
      <w:lvlText w:val="•"/>
      <w:lvlJc w:val="left"/>
      <w:pPr>
        <w:ind w:left="8857" w:hanging="318"/>
      </w:pPr>
      <w:rPr>
        <w:rFonts w:hint="default"/>
      </w:rPr>
    </w:lvl>
  </w:abstractNum>
  <w:abstractNum w:abstractNumId="2">
    <w:multiLevelType w:val="hybridMultilevel"/>
    <w:lvl w:ilvl="0">
      <w:start w:val="3"/>
      <w:numFmt w:val="decimal"/>
      <w:lvlText w:val="%1"/>
      <w:lvlJc w:val="left"/>
      <w:pPr>
        <w:ind w:left="845" w:hanging="318"/>
        <w:jc w:val="left"/>
      </w:pPr>
      <w:rPr>
        <w:rFonts w:hint="default"/>
      </w:rPr>
    </w:lvl>
    <w:lvl w:ilvl="1">
      <w:start w:val="1"/>
      <w:numFmt w:val="decimal"/>
      <w:lvlText w:val="%1.%2"/>
      <w:lvlJc w:val="left"/>
      <w:pPr>
        <w:ind w:left="845" w:hanging="318"/>
        <w:jc w:val="left"/>
      </w:pPr>
      <w:rPr>
        <w:rFonts w:hint="default" w:ascii="宋体" w:hAnsi="宋体" w:eastAsia="宋体" w:cs="宋体"/>
        <w:b/>
        <w:bCs/>
        <w:w w:val="99"/>
        <w:sz w:val="19"/>
        <w:szCs w:val="19"/>
      </w:rPr>
    </w:lvl>
    <w:lvl w:ilvl="2">
      <w:start w:val="0"/>
      <w:numFmt w:val="bullet"/>
      <w:lvlText w:val="•"/>
      <w:lvlJc w:val="left"/>
      <w:pPr>
        <w:ind w:left="2737" w:hanging="318"/>
      </w:pPr>
      <w:rPr>
        <w:rFonts w:hint="default"/>
      </w:rPr>
    </w:lvl>
    <w:lvl w:ilvl="3">
      <w:start w:val="0"/>
      <w:numFmt w:val="bullet"/>
      <w:lvlText w:val="•"/>
      <w:lvlJc w:val="left"/>
      <w:pPr>
        <w:ind w:left="3685" w:hanging="318"/>
      </w:pPr>
      <w:rPr>
        <w:rFonts w:hint="default"/>
      </w:rPr>
    </w:lvl>
    <w:lvl w:ilvl="4">
      <w:start w:val="0"/>
      <w:numFmt w:val="bullet"/>
      <w:lvlText w:val="•"/>
      <w:lvlJc w:val="left"/>
      <w:pPr>
        <w:ind w:left="4634" w:hanging="318"/>
      </w:pPr>
      <w:rPr>
        <w:rFonts w:hint="default"/>
      </w:rPr>
    </w:lvl>
    <w:lvl w:ilvl="5">
      <w:start w:val="0"/>
      <w:numFmt w:val="bullet"/>
      <w:lvlText w:val="•"/>
      <w:lvlJc w:val="left"/>
      <w:pPr>
        <w:ind w:left="5583" w:hanging="318"/>
      </w:pPr>
      <w:rPr>
        <w:rFonts w:hint="default"/>
      </w:rPr>
    </w:lvl>
    <w:lvl w:ilvl="6">
      <w:start w:val="0"/>
      <w:numFmt w:val="bullet"/>
      <w:lvlText w:val="•"/>
      <w:lvlJc w:val="left"/>
      <w:pPr>
        <w:ind w:left="6531" w:hanging="318"/>
      </w:pPr>
      <w:rPr>
        <w:rFonts w:hint="default"/>
      </w:rPr>
    </w:lvl>
    <w:lvl w:ilvl="7">
      <w:start w:val="0"/>
      <w:numFmt w:val="bullet"/>
      <w:lvlText w:val="•"/>
      <w:lvlJc w:val="left"/>
      <w:pPr>
        <w:ind w:left="7480" w:hanging="318"/>
      </w:pPr>
      <w:rPr>
        <w:rFonts w:hint="default"/>
      </w:rPr>
    </w:lvl>
    <w:lvl w:ilvl="8">
      <w:start w:val="0"/>
      <w:numFmt w:val="bullet"/>
      <w:lvlText w:val="•"/>
      <w:lvlJc w:val="left"/>
      <w:pPr>
        <w:ind w:left="8429" w:hanging="318"/>
      </w:pPr>
      <w:rPr>
        <w:rFonts w:hint="default"/>
      </w:rPr>
    </w:lvl>
  </w:abstractNum>
  <w:abstractNum w:abstractNumId="1">
    <w:multiLevelType w:val="hybridMultilevel"/>
    <w:lvl w:ilvl="0">
      <w:start w:val="2"/>
      <w:numFmt w:val="decimal"/>
      <w:lvlText w:val="%1"/>
      <w:lvlJc w:val="left"/>
      <w:pPr>
        <w:ind w:left="2954" w:hanging="318"/>
        <w:jc w:val="left"/>
      </w:pPr>
      <w:rPr>
        <w:rFonts w:hint="default"/>
      </w:rPr>
    </w:lvl>
    <w:lvl w:ilvl="1">
      <w:start w:val="4"/>
      <w:numFmt w:val="decimal"/>
      <w:lvlText w:val="%1.%2"/>
      <w:lvlJc w:val="left"/>
      <w:pPr>
        <w:ind w:left="2954" w:hanging="318"/>
        <w:jc w:val="right"/>
      </w:pPr>
      <w:rPr>
        <w:rFonts w:hint="default" w:ascii="宋体" w:hAnsi="宋体" w:eastAsia="宋体" w:cs="宋体"/>
        <w:b/>
        <w:bCs/>
        <w:w w:val="99"/>
        <w:sz w:val="19"/>
        <w:szCs w:val="19"/>
      </w:rPr>
    </w:lvl>
    <w:lvl w:ilvl="2">
      <w:start w:val="0"/>
      <w:numFmt w:val="bullet"/>
      <w:lvlText w:val="•"/>
      <w:lvlJc w:val="left"/>
      <w:pPr>
        <w:ind w:left="4136" w:hanging="318"/>
      </w:pPr>
      <w:rPr>
        <w:rFonts w:hint="default"/>
      </w:rPr>
    </w:lvl>
    <w:lvl w:ilvl="3">
      <w:start w:val="0"/>
      <w:numFmt w:val="bullet"/>
      <w:lvlText w:val="•"/>
      <w:lvlJc w:val="left"/>
      <w:pPr>
        <w:ind w:left="4892" w:hanging="318"/>
      </w:pPr>
      <w:rPr>
        <w:rFonts w:hint="default"/>
      </w:rPr>
    </w:lvl>
    <w:lvl w:ilvl="4">
      <w:start w:val="0"/>
      <w:numFmt w:val="bullet"/>
      <w:lvlText w:val="•"/>
      <w:lvlJc w:val="left"/>
      <w:pPr>
        <w:ind w:left="5648" w:hanging="318"/>
      </w:pPr>
      <w:rPr>
        <w:rFonts w:hint="default"/>
      </w:rPr>
    </w:lvl>
    <w:lvl w:ilvl="5">
      <w:start w:val="0"/>
      <w:numFmt w:val="bullet"/>
      <w:lvlText w:val="•"/>
      <w:lvlJc w:val="left"/>
      <w:pPr>
        <w:ind w:left="6405" w:hanging="318"/>
      </w:pPr>
      <w:rPr>
        <w:rFonts w:hint="default"/>
      </w:rPr>
    </w:lvl>
    <w:lvl w:ilvl="6">
      <w:start w:val="0"/>
      <w:numFmt w:val="bullet"/>
      <w:lvlText w:val="•"/>
      <w:lvlJc w:val="left"/>
      <w:pPr>
        <w:ind w:left="7161" w:hanging="318"/>
      </w:pPr>
      <w:rPr>
        <w:rFonts w:hint="default"/>
      </w:rPr>
    </w:lvl>
    <w:lvl w:ilvl="7">
      <w:start w:val="0"/>
      <w:numFmt w:val="bullet"/>
      <w:lvlText w:val="•"/>
      <w:lvlJc w:val="left"/>
      <w:pPr>
        <w:ind w:left="7917" w:hanging="318"/>
      </w:pPr>
      <w:rPr>
        <w:rFonts w:hint="default"/>
      </w:rPr>
    </w:lvl>
    <w:lvl w:ilvl="8">
      <w:start w:val="0"/>
      <w:numFmt w:val="bullet"/>
      <w:lvlText w:val="•"/>
      <w:lvlJc w:val="left"/>
      <w:pPr>
        <w:ind w:left="8673" w:hanging="318"/>
      </w:pPr>
      <w:rPr>
        <w:rFonts w:hint="default"/>
      </w:rPr>
    </w:lvl>
  </w:abstractNum>
  <w:abstractNum w:abstractNumId="0">
    <w:multiLevelType w:val="hybridMultilevel"/>
    <w:lvl w:ilvl="0">
      <w:start w:val="0"/>
      <w:numFmt w:val="bullet"/>
      <w:lvlText w:val="❖"/>
      <w:lvlJc w:val="left"/>
      <w:pPr>
        <w:ind w:left="1638" w:hanging="420"/>
      </w:pPr>
      <w:rPr>
        <w:rFonts w:hint="default" w:ascii="MS UI Gothic" w:hAnsi="MS UI Gothic" w:eastAsia="MS UI Gothic" w:cs="MS UI Gothic"/>
        <w:w w:val="89"/>
        <w:sz w:val="21"/>
        <w:szCs w:val="21"/>
      </w:rPr>
    </w:lvl>
    <w:lvl w:ilvl="1">
      <w:start w:val="0"/>
      <w:numFmt w:val="bullet"/>
      <w:lvlText w:val="•"/>
      <w:lvlJc w:val="left"/>
      <w:pPr>
        <w:ind w:left="250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98"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557" w:hanging="420"/>
      </w:pPr>
      <w:rPr>
        <w:rFonts w:hint="default"/>
      </w:rPr>
    </w:lvl>
  </w:abstractNum>
  <w:num w:numId="14">
    <w:abstractNumId w:val="13"/>
  </w:num>
  <w:num w:numId="13">
    <w:abstractNumId w:val="12"/>
  </w:num>
  <w:num w:numId="12">
    <w:abstractNumId w:val="11"/>
  </w:num>
  <w:num w:numId="11">
    <w:abstractNumId w:val="10"/>
  </w:num>
  <w:num w:numId="9">
    <w:abstractNumId w:val="8"/>
  </w:num>
  <w:num w:numId="8">
    <w:abstractNumId w:val="7"/>
  </w:num>
  <w:num w:numId="10">
    <w:abstractNumId w:val="9"/>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line="641" w:lineRule="exact"/>
      <w:ind w:left="422"/>
      <w:outlineLvl w:val="1"/>
    </w:pPr>
    <w:rPr>
      <w:rFonts w:ascii="宋体" w:hAnsi="宋体" w:eastAsia="宋体" w:cs="宋体"/>
      <w:b/>
      <w:bCs/>
      <w:sz w:val="24"/>
      <w:szCs w:val="24"/>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2981" w:hanging="2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2018-10-19T23:08:06Z</dcterms:created>
  <dcterms:modified xsi:type="dcterms:W3CDTF">2018-10-19T23:08:06Z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Microsoft® Word 2016</vt:lpwstr>
  </property>
  <property fmtid="{D5CDD505-2E9C-101B-9397-08002B2CF9AE}" pid="4" name="LastSaved">
    <vt:filetime>2018-10-19T00:00:00Z</vt:filetime>
  </property>
</Properties>
</file>