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right="105"/>
        <w:jc w:val="right"/>
        <w:rPr>
          <w:rFonts w:ascii="宋体" w:eastAsia="宋体" w:hint="eastAsia"/>
        </w:rPr>
      </w:pPr>
      <w:r>
        <w:rPr/>
        <w:drawing>
          <wp:anchor distT="0" distB="0" distL="0" distR="0" allowOverlap="1" layoutInCell="1" locked="0" behindDoc="0" simplePos="0" relativeHeight="0">
            <wp:simplePos x="0" y="0"/>
            <wp:positionH relativeFrom="page">
              <wp:posOffset>5862637</wp:posOffset>
            </wp:positionH>
            <wp:positionV relativeFrom="paragraph">
              <wp:posOffset>243755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宋体" w:eastAsia="宋体" w:hint="eastAsia"/>
        </w:rPr>
        <w:t>中韩人寿〔2012〕疾病保险 013 号</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2"/>
        <w:rPr>
          <w:sz w:val="13"/>
        </w:rPr>
      </w:pPr>
    </w:p>
    <w:p>
      <w:pPr>
        <w:spacing w:after="0" w:line="240" w:lineRule="auto"/>
        <w:rPr>
          <w:sz w:val="13"/>
        </w:rPr>
        <w:sectPr>
          <w:type w:val="continuous"/>
          <w:pgSz w:w="11910" w:h="16840"/>
          <w:pgMar w:top="200" w:bottom="280" w:left="1020" w:right="540"/>
        </w:sectPr>
      </w:pPr>
    </w:p>
    <w:p>
      <w:pPr>
        <w:pStyle w:val="Heading1"/>
        <w:spacing w:line="357" w:lineRule="auto" w:before="1"/>
        <w:ind w:firstLine="319"/>
      </w:pPr>
      <w:bookmarkStart w:name="中韩人寿保险有限公司" w:id="1"/>
      <w:bookmarkEnd w:id="1"/>
      <w:r>
        <w:rPr>
          <w:b w:val="0"/>
        </w:rPr>
      </w:r>
      <w:r>
        <w:rPr/>
        <w:t>中韩人寿保险有限公司</w:t>
      </w:r>
      <w:bookmarkStart w:name="中韩团体重大疾病保险条款" w:id="2"/>
      <w:bookmarkEnd w:id="2"/>
      <w:r>
        <w:rPr/>
      </w:r>
      <w:r>
        <w:rPr/>
        <w:t> </w:t>
      </w:r>
      <w:r>
        <w:rPr>
          <w:w w:val="95"/>
        </w:rPr>
        <w:t>中韩团体重大疾病保险条款</w:t>
      </w:r>
    </w:p>
    <w:p>
      <w:pPr>
        <w:spacing w:line="271" w:lineRule="exact" w:before="0"/>
        <w:ind w:left="4269" w:right="0" w:firstLine="0"/>
        <w:jc w:val="left"/>
        <w:rPr>
          <w:rFonts w:ascii="黑体" w:eastAsia="黑体" w:hint="eastAsia"/>
          <w:b/>
          <w:sz w:val="24"/>
        </w:rPr>
      </w:pPr>
      <w:r>
        <w:rPr>
          <w:rFonts w:ascii="黑体" w:eastAsia="黑体" w:hint="eastAsia"/>
          <w:b/>
          <w:sz w:val="24"/>
        </w:rPr>
        <w:t>阅 读 指 引</w:t>
      </w:r>
    </w:p>
    <w:p>
      <w:pPr>
        <w:pStyle w:val="BodyText"/>
        <w:rPr>
          <w:b/>
          <w:sz w:val="24"/>
        </w:rPr>
      </w:pPr>
      <w:r>
        <w:rPr/>
        <w:br w:type="column"/>
      </w:r>
      <w:r>
        <w:rPr>
          <w:b/>
          <w:sz w:val="24"/>
        </w:rPr>
      </w:r>
    </w:p>
    <w:p>
      <w:pPr>
        <w:pStyle w:val="BodyText"/>
        <w:ind w:left="872"/>
        <w:rPr>
          <w:rFonts w:ascii="宋体" w:eastAsia="宋体" w:hint="eastAsia"/>
        </w:rPr>
      </w:pPr>
      <w:r>
        <w:rPr>
          <w:rFonts w:ascii="宋体" w:eastAsia="宋体" w:hint="eastAsia"/>
        </w:rPr>
        <w:t>请扫描以查询验证条款</w:t>
      </w:r>
    </w:p>
    <w:p>
      <w:pPr>
        <w:spacing w:after="0"/>
        <w:rPr>
          <w:rFonts w:ascii="宋体" w:eastAsia="宋体" w:hint="eastAsia"/>
        </w:rPr>
        <w:sectPr>
          <w:type w:val="continuous"/>
          <w:pgSz w:w="11910" w:h="16840"/>
          <w:pgMar w:top="200" w:bottom="280" w:left="1020" w:right="540"/>
          <w:cols w:num="2" w:equalWidth="0">
            <w:col w:w="6860" w:space="40"/>
            <w:col w:w="3450"/>
          </w:cols>
        </w:sectPr>
      </w:pPr>
    </w:p>
    <w:p>
      <w:pPr>
        <w:pStyle w:val="BodyText"/>
        <w:spacing w:before="28"/>
        <w:ind w:left="1989"/>
      </w:pPr>
      <w:r>
        <w:rPr/>
        <w:pict>
          <v:shapetype id="_x0000_t202" o:spt="202" coordsize="21600,21600" path="m,l,21600r21600,l21600,xe">
            <v:stroke joinstyle="miter"/>
            <v:path gradientshapeok="t" o:connecttype="rect"/>
          </v:shapetype>
          <v:shape style="position:absolute;margin-left:56.639999pt;margin-top:18.465126pt;width:24.55pt;height:27.5pt;mso-position-horizontal-relative:page;mso-position-vertical-relative:paragraph;z-index:-34192"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149"/>
          <w:w w:val="100"/>
        </w:rPr>
        <w:t>本</w:t>
      </w:r>
      <w:r>
        <w:rPr>
          <w:rFonts w:ascii="宋体" w:eastAsia="宋体" w:hint="eastAsia"/>
          <w:spacing w:val="-63"/>
          <w:w w:val="100"/>
          <w:position w:val="-7"/>
        </w:rPr>
        <w:t>．</w:t>
      </w:r>
      <w:r>
        <w:rPr>
          <w:spacing w:val="-149"/>
          <w:w w:val="100"/>
        </w:rPr>
        <w:t>阅</w:t>
      </w:r>
      <w:r>
        <w:rPr>
          <w:rFonts w:ascii="宋体" w:eastAsia="宋体" w:hint="eastAsia"/>
          <w:spacing w:val="-63"/>
          <w:w w:val="100"/>
          <w:position w:val="-7"/>
        </w:rPr>
        <w:t>．</w:t>
      </w:r>
      <w:r>
        <w:rPr>
          <w:spacing w:val="-152"/>
          <w:w w:val="100"/>
        </w:rPr>
        <w:t>读</w:t>
      </w:r>
      <w:r>
        <w:rPr>
          <w:rFonts w:ascii="宋体" w:eastAsia="宋体" w:hint="eastAsia"/>
          <w:spacing w:val="-63"/>
          <w:w w:val="100"/>
          <w:position w:val="-7"/>
        </w:rPr>
        <w:t>．</w:t>
      </w:r>
      <w:r>
        <w:rPr>
          <w:spacing w:val="-149"/>
          <w:w w:val="100"/>
        </w:rPr>
        <w:t>指</w:t>
      </w:r>
      <w:r>
        <w:rPr>
          <w:rFonts w:ascii="宋体" w:eastAsia="宋体" w:hint="eastAsia"/>
          <w:spacing w:val="-63"/>
          <w:w w:val="100"/>
          <w:position w:val="-7"/>
        </w:rPr>
        <w:t>．</w:t>
      </w:r>
      <w:r>
        <w:rPr>
          <w:spacing w:val="-152"/>
          <w:w w:val="100"/>
        </w:rPr>
        <w:t>引</w:t>
      </w:r>
      <w:r>
        <w:rPr>
          <w:rFonts w:ascii="宋体" w:eastAsia="宋体" w:hint="eastAsia"/>
          <w:spacing w:val="-63"/>
          <w:w w:val="100"/>
          <w:position w:val="-7"/>
        </w:rPr>
        <w:t>．</w:t>
      </w:r>
      <w:r>
        <w:rPr>
          <w:spacing w:val="-149"/>
          <w:w w:val="100"/>
        </w:rPr>
        <w:t>有</w:t>
      </w:r>
      <w:r>
        <w:rPr>
          <w:rFonts w:ascii="宋体" w:eastAsia="宋体" w:hint="eastAsia"/>
          <w:spacing w:val="-63"/>
          <w:w w:val="100"/>
          <w:position w:val="-7"/>
        </w:rPr>
        <w:t>．</w:t>
      </w:r>
      <w:r>
        <w:rPr>
          <w:spacing w:val="-152"/>
          <w:w w:val="100"/>
        </w:rPr>
        <w:t>助</w:t>
      </w:r>
      <w:r>
        <w:rPr>
          <w:rFonts w:ascii="宋体" w:eastAsia="宋体" w:hint="eastAsia"/>
          <w:spacing w:val="-63"/>
          <w:w w:val="100"/>
          <w:position w:val="-7"/>
        </w:rPr>
        <w:t>．</w:t>
      </w:r>
      <w:r>
        <w:rPr>
          <w:spacing w:val="-149"/>
          <w:w w:val="100"/>
        </w:rPr>
        <w:t>于</w:t>
      </w:r>
      <w:r>
        <w:rPr>
          <w:rFonts w:ascii="宋体" w:eastAsia="宋体" w:hint="eastAsia"/>
          <w:spacing w:val="-63"/>
          <w:w w:val="100"/>
          <w:position w:val="-7"/>
        </w:rPr>
        <w:t>．</w:t>
      </w:r>
      <w:r>
        <w:rPr>
          <w:spacing w:val="-152"/>
          <w:w w:val="100"/>
        </w:rPr>
        <w:t>理</w:t>
      </w:r>
      <w:r>
        <w:rPr>
          <w:rFonts w:ascii="宋体" w:eastAsia="宋体" w:hint="eastAsia"/>
          <w:spacing w:val="-63"/>
          <w:w w:val="100"/>
          <w:position w:val="-7"/>
        </w:rPr>
        <w:t>．</w:t>
      </w:r>
      <w:r>
        <w:rPr>
          <w:spacing w:val="-149"/>
          <w:w w:val="100"/>
        </w:rPr>
        <w:t>解</w:t>
      </w:r>
      <w:r>
        <w:rPr>
          <w:rFonts w:ascii="宋体" w:eastAsia="宋体" w:hint="eastAsia"/>
          <w:spacing w:val="-63"/>
          <w:w w:val="100"/>
          <w:position w:val="-7"/>
        </w:rPr>
        <w:t>．</w:t>
      </w:r>
      <w:r>
        <w:rPr>
          <w:spacing w:val="-152"/>
          <w:w w:val="100"/>
        </w:rPr>
        <w:t>条</w:t>
      </w:r>
      <w:r>
        <w:rPr>
          <w:rFonts w:ascii="宋体" w:eastAsia="宋体" w:hint="eastAsia"/>
          <w:spacing w:val="-63"/>
          <w:w w:val="100"/>
          <w:position w:val="-7"/>
        </w:rPr>
        <w:t>．</w:t>
      </w:r>
      <w:r>
        <w:rPr>
          <w:spacing w:val="-149"/>
          <w:w w:val="100"/>
        </w:rPr>
        <w:t>款</w:t>
      </w:r>
      <w:r>
        <w:rPr>
          <w:rFonts w:ascii="宋体" w:eastAsia="宋体" w:hint="eastAsia"/>
          <w:spacing w:val="-63"/>
          <w:w w:val="100"/>
          <w:position w:val="-7"/>
        </w:rPr>
        <w:t>．</w:t>
      </w:r>
      <w:r>
        <w:rPr>
          <w:spacing w:val="-149"/>
          <w:w w:val="100"/>
        </w:rPr>
        <w:t>，</w:t>
      </w:r>
      <w:r>
        <w:rPr>
          <w:rFonts w:ascii="宋体" w:eastAsia="宋体" w:hint="eastAsia"/>
          <w:spacing w:val="-63"/>
          <w:w w:val="100"/>
          <w:position w:val="-7"/>
        </w:rPr>
        <w:t>．</w:t>
      </w:r>
      <w:r>
        <w:rPr>
          <w:spacing w:val="-152"/>
          <w:w w:val="100"/>
        </w:rPr>
        <w:t>对</w:t>
      </w:r>
      <w:r>
        <w:rPr>
          <w:rFonts w:ascii="宋体" w:eastAsia="宋体" w:hint="eastAsia"/>
          <w:spacing w:val="-63"/>
          <w:w w:val="100"/>
          <w:position w:val="-7"/>
        </w:rPr>
        <w:t>．</w:t>
      </w:r>
      <w:r>
        <w:rPr>
          <w:spacing w:val="-149"/>
          <w:w w:val="100"/>
        </w:rPr>
        <w:t>本</w:t>
      </w:r>
      <w:r>
        <w:rPr>
          <w:rFonts w:ascii="宋体" w:eastAsia="宋体" w:hint="eastAsia"/>
          <w:spacing w:val="-63"/>
          <w:w w:val="100"/>
          <w:position w:val="-7"/>
        </w:rPr>
        <w:t>．</w:t>
      </w:r>
      <w:r>
        <w:rPr>
          <w:spacing w:val="-152"/>
          <w:w w:val="100"/>
        </w:rPr>
        <w:t>合</w:t>
      </w:r>
      <w:r>
        <w:rPr>
          <w:rFonts w:ascii="宋体" w:eastAsia="宋体" w:hint="eastAsia"/>
          <w:spacing w:val="-63"/>
          <w:w w:val="100"/>
          <w:position w:val="-7"/>
        </w:rPr>
        <w:t>．</w:t>
      </w:r>
      <w:r>
        <w:rPr>
          <w:spacing w:val="-149"/>
          <w:w w:val="100"/>
        </w:rPr>
        <w:t>同</w:t>
      </w:r>
      <w:r>
        <w:rPr>
          <w:rFonts w:ascii="宋体" w:eastAsia="宋体" w:hint="eastAsia"/>
          <w:spacing w:val="-63"/>
          <w:w w:val="100"/>
          <w:position w:val="-7"/>
        </w:rPr>
        <w:t>．</w:t>
      </w:r>
      <w:r>
        <w:rPr>
          <w:spacing w:val="-152"/>
          <w:w w:val="100"/>
        </w:rPr>
        <w:t>内</w:t>
      </w:r>
      <w:r>
        <w:rPr>
          <w:rFonts w:ascii="宋体" w:eastAsia="宋体" w:hint="eastAsia"/>
          <w:spacing w:val="-63"/>
          <w:w w:val="100"/>
          <w:position w:val="-7"/>
        </w:rPr>
        <w:t>．</w:t>
      </w:r>
      <w:r>
        <w:rPr>
          <w:spacing w:val="-149"/>
          <w:w w:val="100"/>
        </w:rPr>
        <w:t>容</w:t>
      </w:r>
      <w:r>
        <w:rPr>
          <w:rFonts w:ascii="宋体" w:eastAsia="宋体" w:hint="eastAsia"/>
          <w:spacing w:val="-63"/>
          <w:w w:val="100"/>
          <w:position w:val="-7"/>
        </w:rPr>
        <w:t>．</w:t>
      </w:r>
      <w:r>
        <w:rPr>
          <w:spacing w:val="-152"/>
          <w:w w:val="100"/>
        </w:rPr>
        <w:t>的</w:t>
      </w:r>
      <w:r>
        <w:rPr>
          <w:rFonts w:ascii="宋体" w:eastAsia="宋体" w:hint="eastAsia"/>
          <w:spacing w:val="-63"/>
          <w:w w:val="100"/>
          <w:position w:val="-7"/>
        </w:rPr>
        <w:t>．</w:t>
      </w:r>
      <w:r>
        <w:rPr>
          <w:spacing w:val="-149"/>
          <w:w w:val="100"/>
        </w:rPr>
        <w:t>解</w:t>
      </w:r>
      <w:r>
        <w:rPr>
          <w:rFonts w:ascii="宋体" w:eastAsia="宋体" w:hint="eastAsia"/>
          <w:spacing w:val="-63"/>
          <w:w w:val="100"/>
          <w:position w:val="-7"/>
        </w:rPr>
        <w:t>．</w:t>
      </w:r>
      <w:r>
        <w:rPr>
          <w:spacing w:val="-152"/>
          <w:w w:val="100"/>
        </w:rPr>
        <w:t>释</w:t>
      </w:r>
      <w:r>
        <w:rPr>
          <w:rFonts w:ascii="宋体" w:eastAsia="宋体" w:hint="eastAsia"/>
          <w:spacing w:val="-63"/>
          <w:w w:val="100"/>
          <w:position w:val="-7"/>
        </w:rPr>
        <w:t>．</w:t>
      </w:r>
      <w:r>
        <w:rPr>
          <w:spacing w:val="-149"/>
          <w:w w:val="100"/>
        </w:rPr>
        <w:t>以</w:t>
      </w:r>
      <w:r>
        <w:rPr>
          <w:rFonts w:ascii="宋体" w:eastAsia="宋体" w:hint="eastAsia"/>
          <w:spacing w:val="-63"/>
          <w:w w:val="100"/>
          <w:position w:val="-7"/>
        </w:rPr>
        <w:t>．</w:t>
      </w:r>
      <w:r>
        <w:rPr>
          <w:spacing w:val="-149"/>
          <w:w w:val="100"/>
        </w:rPr>
        <w:t>条</w:t>
      </w:r>
      <w:r>
        <w:rPr>
          <w:rFonts w:ascii="宋体" w:eastAsia="宋体" w:hint="eastAsia"/>
          <w:spacing w:val="-63"/>
          <w:w w:val="100"/>
          <w:position w:val="-7"/>
        </w:rPr>
        <w:t>．</w:t>
      </w:r>
      <w:r>
        <w:rPr>
          <w:spacing w:val="-152"/>
          <w:w w:val="100"/>
        </w:rPr>
        <w:t>款</w:t>
      </w:r>
      <w:r>
        <w:rPr>
          <w:rFonts w:ascii="宋体" w:eastAsia="宋体" w:hint="eastAsia"/>
          <w:spacing w:val="-63"/>
          <w:w w:val="100"/>
          <w:position w:val="-7"/>
        </w:rPr>
        <w:t>．</w:t>
      </w:r>
      <w:r>
        <w:rPr>
          <w:spacing w:val="-149"/>
          <w:w w:val="100"/>
        </w:rPr>
        <w:t>为</w:t>
      </w:r>
      <w:r>
        <w:rPr>
          <w:rFonts w:ascii="宋体" w:eastAsia="宋体" w:hint="eastAsia"/>
          <w:spacing w:val="-63"/>
          <w:w w:val="100"/>
          <w:position w:val="-7"/>
        </w:rPr>
        <w:t>．</w:t>
      </w:r>
      <w:r>
        <w:rPr>
          <w:spacing w:val="-152"/>
          <w:w w:val="100"/>
        </w:rPr>
        <w:t>准</w:t>
      </w:r>
      <w:r>
        <w:rPr>
          <w:rFonts w:ascii="宋体" w:eastAsia="宋体" w:hint="eastAsia"/>
          <w:spacing w:val="-63"/>
          <w:w w:val="100"/>
          <w:position w:val="-7"/>
        </w:rPr>
        <w:t>．</w:t>
      </w:r>
      <w:r>
        <w:rPr>
          <w:w w:val="100"/>
        </w:rPr>
        <w:t>。</w:t>
      </w:r>
    </w:p>
    <w:p>
      <w:pPr>
        <w:spacing w:before="59"/>
        <w:ind w:left="842" w:right="0" w:firstLine="0"/>
        <w:jc w:val="left"/>
        <w:rPr>
          <w:b/>
          <w:sz w:val="21"/>
        </w:rPr>
      </w:pPr>
      <w:r>
        <w:rPr>
          <w:b/>
          <w:sz w:val="21"/>
        </w:rPr>
        <w:t>投保人拥有的重要权益</w:t>
      </w:r>
    </w:p>
    <w:p>
      <w:pPr>
        <w:pStyle w:val="ListParagraph"/>
        <w:numPr>
          <w:ilvl w:val="0"/>
          <w:numId w:val="1"/>
        </w:numPr>
        <w:tabs>
          <w:tab w:pos="849" w:val="left" w:leader="none"/>
          <w:tab w:pos="850" w:val="left" w:leader="none"/>
          <w:tab w:pos="9753" w:val="right" w:leader="dot"/>
        </w:tabs>
        <w:spacing w:line="240" w:lineRule="auto" w:before="27" w:after="0"/>
        <w:ind w:left="849" w:right="0" w:hanging="453"/>
        <w:jc w:val="left"/>
        <w:rPr>
          <w:sz w:val="21"/>
        </w:rPr>
      </w:pPr>
      <w:r>
        <w:rPr>
          <w:spacing w:val="2"/>
          <w:sz w:val="21"/>
        </w:rPr>
        <w:t>本</w:t>
      </w:r>
      <w:r>
        <w:rPr>
          <w:sz w:val="21"/>
        </w:rPr>
        <w:t>合同</w:t>
      </w:r>
      <w:r>
        <w:rPr>
          <w:spacing w:val="2"/>
          <w:sz w:val="21"/>
        </w:rPr>
        <w:t>提</w:t>
      </w:r>
      <w:r>
        <w:rPr>
          <w:sz w:val="21"/>
        </w:rPr>
        <w:t>供的</w:t>
      </w:r>
      <w:r>
        <w:rPr>
          <w:spacing w:val="2"/>
          <w:sz w:val="21"/>
        </w:rPr>
        <w:t>保</w:t>
      </w:r>
      <w:r>
        <w:rPr>
          <w:sz w:val="21"/>
        </w:rPr>
        <w:t>障</w:t>
      </w:r>
      <w:r>
        <w:rPr>
          <w:spacing w:val="2"/>
          <w:sz w:val="21"/>
        </w:rPr>
        <w:t>在</w:t>
      </w:r>
      <w:r>
        <w:rPr>
          <w:sz w:val="21"/>
        </w:rPr>
        <w:t>保险</w:t>
      </w:r>
      <w:r>
        <w:rPr>
          <w:spacing w:val="2"/>
          <w:sz w:val="21"/>
        </w:rPr>
        <w:t>责</w:t>
      </w:r>
      <w:r>
        <w:rPr>
          <w:sz w:val="21"/>
        </w:rPr>
        <w:t>任条</w:t>
      </w:r>
      <w:r>
        <w:rPr>
          <w:spacing w:val="2"/>
          <w:sz w:val="21"/>
        </w:rPr>
        <w:t>款</w:t>
      </w:r>
      <w:r>
        <w:rPr>
          <w:sz w:val="21"/>
        </w:rPr>
        <w:t>中列明</w:t>
        <w:tab/>
        <w:t>2.4</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pict>
          <v:shape style="position:absolute;margin-left:56.639999pt;margin-top:14.928015pt;width:24.55pt;height:27.5pt;mso-position-horizontal-relative:page;mso-position-vertical-relative:paragraph;z-index:-34168"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投</w:t>
      </w:r>
      <w:r>
        <w:rPr>
          <w:sz w:val="21"/>
        </w:rPr>
        <w:t>保人</w:t>
      </w:r>
      <w:r>
        <w:rPr>
          <w:spacing w:val="2"/>
          <w:sz w:val="21"/>
        </w:rPr>
        <w:t>有</w:t>
      </w:r>
      <w:r>
        <w:rPr>
          <w:sz w:val="21"/>
        </w:rPr>
        <w:t>退保</w:t>
      </w:r>
      <w:r>
        <w:rPr>
          <w:spacing w:val="2"/>
          <w:sz w:val="21"/>
        </w:rPr>
        <w:t>的</w:t>
      </w:r>
      <w:r>
        <w:rPr>
          <w:sz w:val="21"/>
        </w:rPr>
        <w:t>权利</w:t>
        <w:tab/>
        <w:t>5.1</w:t>
      </w:r>
    </w:p>
    <w:p>
      <w:pPr>
        <w:spacing w:before="60"/>
        <w:ind w:left="842" w:right="0" w:firstLine="0"/>
        <w:jc w:val="left"/>
        <w:rPr>
          <w:b/>
          <w:sz w:val="21"/>
        </w:rPr>
      </w:pPr>
      <w:r>
        <w:rPr>
          <w:b/>
          <w:sz w:val="21"/>
        </w:rPr>
        <w:t>投保人应当特别注意的事项</w:t>
      </w:r>
    </w:p>
    <w:p>
      <w:pPr>
        <w:pStyle w:val="ListParagraph"/>
        <w:numPr>
          <w:ilvl w:val="0"/>
          <w:numId w:val="1"/>
        </w:numPr>
        <w:tabs>
          <w:tab w:pos="849" w:val="left" w:leader="none"/>
          <w:tab w:pos="850" w:val="left" w:leader="none"/>
          <w:tab w:pos="9753" w:val="right" w:leader="dot"/>
        </w:tabs>
        <w:spacing w:line="240" w:lineRule="auto" w:before="27" w:after="0"/>
        <w:ind w:left="849" w:right="0" w:hanging="453"/>
        <w:jc w:val="left"/>
        <w:rPr>
          <w:sz w:val="21"/>
        </w:rPr>
      </w:pPr>
      <w:r>
        <w:rPr>
          <w:sz w:val="21"/>
        </w:rPr>
        <w:t>本合</w:t>
      </w:r>
      <w:r>
        <w:rPr>
          <w:spacing w:val="-3"/>
          <w:sz w:val="21"/>
        </w:rPr>
        <w:t>同</w:t>
      </w:r>
      <w:r>
        <w:rPr>
          <w:sz w:val="21"/>
        </w:rPr>
        <w:t>有</w:t>
      </w:r>
      <w:r>
        <w:rPr>
          <w:spacing w:val="-3"/>
          <w:sz w:val="21"/>
        </w:rPr>
        <w:t>责</w:t>
      </w:r>
      <w:r>
        <w:rPr>
          <w:sz w:val="21"/>
        </w:rPr>
        <w:t>任</w:t>
      </w:r>
      <w:r>
        <w:rPr>
          <w:spacing w:val="-3"/>
          <w:sz w:val="21"/>
        </w:rPr>
        <w:t>免</w:t>
      </w:r>
      <w:r>
        <w:rPr>
          <w:sz w:val="21"/>
        </w:rPr>
        <w:t>除</w:t>
      </w:r>
      <w:r>
        <w:rPr>
          <w:spacing w:val="-3"/>
          <w:sz w:val="21"/>
        </w:rPr>
        <w:t>条</w:t>
      </w:r>
      <w:r>
        <w:rPr>
          <w:sz w:val="21"/>
        </w:rPr>
        <w:t>款</w:t>
      </w:r>
      <w:r>
        <w:rPr>
          <w:spacing w:val="-27"/>
          <w:sz w:val="21"/>
        </w:rPr>
        <w:t>，</w:t>
      </w:r>
      <w:r>
        <w:rPr>
          <w:sz w:val="21"/>
        </w:rPr>
        <w:t>请</w:t>
      </w:r>
      <w:r>
        <w:rPr>
          <w:spacing w:val="-3"/>
          <w:sz w:val="21"/>
        </w:rPr>
        <w:t>注意</w:t>
        <w:tab/>
      </w:r>
      <w:r>
        <w:rPr>
          <w:sz w:val="21"/>
        </w:rPr>
        <w:t>2.5</w:t>
      </w:r>
    </w:p>
    <w:p>
      <w:pPr>
        <w:pStyle w:val="ListParagraph"/>
        <w:numPr>
          <w:ilvl w:val="0"/>
          <w:numId w:val="1"/>
        </w:numPr>
        <w:tabs>
          <w:tab w:pos="849" w:val="left" w:leader="none"/>
          <w:tab w:pos="850" w:val="left" w:leader="none"/>
          <w:tab w:pos="9751" w:val="right" w:leader="dot"/>
        </w:tabs>
        <w:spacing w:line="240" w:lineRule="auto" w:before="22" w:after="0"/>
        <w:ind w:left="849" w:right="0" w:hanging="453"/>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本公司</w:t>
        <w:tab/>
        <w:t>3.2</w:t>
      </w:r>
    </w:p>
    <w:p>
      <w:pPr>
        <w:pStyle w:val="ListParagraph"/>
        <w:numPr>
          <w:ilvl w:val="0"/>
          <w:numId w:val="1"/>
        </w:numPr>
        <w:tabs>
          <w:tab w:pos="849" w:val="left" w:leader="none"/>
          <w:tab w:pos="850" w:val="left" w:leader="none"/>
          <w:tab w:pos="9751" w:val="right" w:leader="dot"/>
        </w:tabs>
        <w:spacing w:line="240" w:lineRule="auto" w:before="22" w:after="0"/>
        <w:ind w:left="849" w:right="0" w:hanging="454"/>
        <w:jc w:val="left"/>
        <w:rPr>
          <w:sz w:val="21"/>
        </w:rPr>
      </w:pPr>
      <w:r>
        <w:rPr>
          <w:sz w:val="21"/>
        </w:rPr>
        <w:t>退保</w:t>
      </w:r>
      <w:r>
        <w:rPr>
          <w:spacing w:val="-3"/>
          <w:sz w:val="21"/>
        </w:rPr>
        <w:t>会</w:t>
      </w:r>
      <w:r>
        <w:rPr>
          <w:sz w:val="21"/>
        </w:rPr>
        <w:t>给</w:t>
      </w:r>
      <w:r>
        <w:rPr>
          <w:spacing w:val="-3"/>
          <w:sz w:val="21"/>
        </w:rPr>
        <w:t>投保</w:t>
      </w:r>
      <w:r>
        <w:rPr>
          <w:sz w:val="21"/>
        </w:rPr>
        <w:t>人造</w:t>
      </w:r>
      <w:r>
        <w:rPr>
          <w:spacing w:val="-3"/>
          <w:sz w:val="21"/>
        </w:rPr>
        <w:t>成</w:t>
      </w:r>
      <w:r>
        <w:rPr>
          <w:sz w:val="21"/>
        </w:rPr>
        <w:t>一</w:t>
      </w:r>
      <w:r>
        <w:rPr>
          <w:spacing w:val="-3"/>
          <w:sz w:val="21"/>
        </w:rPr>
        <w:t>定</w:t>
      </w:r>
      <w:r>
        <w:rPr>
          <w:sz w:val="21"/>
        </w:rPr>
        <w:t>的损</w:t>
      </w:r>
      <w:r>
        <w:rPr>
          <w:spacing w:val="-3"/>
          <w:sz w:val="21"/>
        </w:rPr>
        <w:t>失</w:t>
      </w:r>
      <w:r>
        <w:rPr>
          <w:spacing w:val="-25"/>
          <w:sz w:val="21"/>
        </w:rPr>
        <w:t>，</w:t>
      </w:r>
      <w:r>
        <w:rPr>
          <w:spacing w:val="-3"/>
          <w:sz w:val="21"/>
        </w:rPr>
        <w:t>请慎</w:t>
      </w:r>
      <w:r>
        <w:rPr>
          <w:sz w:val="21"/>
        </w:rPr>
        <w:t>重</w:t>
      </w:r>
      <w:r>
        <w:rPr>
          <w:spacing w:val="-3"/>
          <w:sz w:val="21"/>
        </w:rPr>
        <w:t>决策</w:t>
        <w:tab/>
        <w:t>5.1</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sz w:val="21"/>
        </w:rPr>
        <w:t>投保人有如实告知的义务</w:t>
        <w:tab/>
        <w:t>6.1</w:t>
      </w:r>
    </w:p>
    <w:p>
      <w:pPr>
        <w:pStyle w:val="ListParagraph"/>
        <w:numPr>
          <w:ilvl w:val="0"/>
          <w:numId w:val="1"/>
        </w:numPr>
        <w:tabs>
          <w:tab w:pos="849" w:val="left" w:leader="none"/>
          <w:tab w:pos="850" w:val="left" w:leader="none"/>
          <w:tab w:pos="9702" w:val="right" w:leader="dot"/>
        </w:tabs>
        <w:spacing w:line="269" w:lineRule="exact" w:before="22" w:after="0"/>
        <w:ind w:left="849" w:right="0" w:hanging="454"/>
        <w:jc w:val="left"/>
        <w:rPr>
          <w:sz w:val="21"/>
        </w:rPr>
      </w:pPr>
      <w:r>
        <w:rPr>
          <w:sz w:val="21"/>
        </w:rPr>
        <w:t>本公司对一些重</w:t>
      </w:r>
      <w:r>
        <w:rPr>
          <w:spacing w:val="-3"/>
          <w:sz w:val="21"/>
        </w:rPr>
        <w:t>要</w:t>
      </w:r>
      <w:r>
        <w:rPr>
          <w:sz w:val="21"/>
        </w:rPr>
        <w:t>术语</w:t>
      </w:r>
      <w:r>
        <w:rPr>
          <w:spacing w:val="-3"/>
          <w:sz w:val="21"/>
        </w:rPr>
        <w:t>进</w:t>
      </w:r>
      <w:r>
        <w:rPr>
          <w:sz w:val="21"/>
        </w:rPr>
        <w:t>行了解释，并作</w:t>
      </w:r>
      <w:r>
        <w:rPr>
          <w:spacing w:val="-3"/>
          <w:sz w:val="21"/>
        </w:rPr>
        <w:t>了</w:t>
      </w:r>
      <w:r>
        <w:rPr>
          <w:sz w:val="21"/>
        </w:rPr>
        <w:t>显著</w:t>
      </w:r>
      <w:r>
        <w:rPr>
          <w:spacing w:val="-3"/>
          <w:sz w:val="21"/>
        </w:rPr>
        <w:t>标</w:t>
      </w:r>
      <w:r>
        <w:rPr>
          <w:sz w:val="21"/>
        </w:rPr>
        <w:t>识，请注意</w:t>
        <w:tab/>
        <w:t>9</w:t>
      </w:r>
    </w:p>
    <w:p>
      <w:pPr>
        <w:tabs>
          <w:tab w:pos="842" w:val="left" w:leader="none"/>
        </w:tabs>
        <w:spacing w:line="437"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pacing w:val="-3"/>
          <w:sz w:val="21"/>
        </w:rPr>
        <w:t>保险条款是保险合同的重要内容，为充分保障投保人的权益，请仔细阅读本保险条款。</w:t>
      </w:r>
    </w:p>
    <w:p>
      <w:pPr>
        <w:tabs>
          <w:tab w:pos="842" w:val="left" w:leader="none"/>
        </w:tabs>
        <w:spacing w:line="373" w:lineRule="exact" w:before="0"/>
        <w:ind w:left="112" w:right="0" w:firstLine="0"/>
        <w:jc w:val="left"/>
        <w:rPr>
          <w:b/>
          <w:sz w:val="21"/>
        </w:rPr>
      </w:pPr>
      <w:r>
        <w:rPr/>
        <w:pict>
          <v:rect style="position:absolute;margin-left:77.639999pt;margin-top:17.043854pt;width:134.76pt;height:13.68pt;mso-position-horizontal-relative:page;mso-position-vertical-relative:paragraph;z-index:-34240" filled="true" fillcolor="#dadada" stroked="false">
            <v:fill type="solid"/>
            <w10:wrap type="none"/>
          </v:rect>
        </w:pict>
      </w:r>
      <w:r>
        <w:rPr/>
        <w:pict>
          <v:shape style="position:absolute;margin-left:240.720001pt;margin-top:17.043854pt;width:134.8pt;height:13.7pt;mso-position-horizontal-relative:page;mso-position-vertical-relative:paragraph;z-index:1072" type="#_x0000_t202" filled="true" fillcolor="#dadada" stroked="false">
            <v:textbox inset="0,0,0,0">
              <w:txbxContent>
                <w:p>
                  <w:pPr>
                    <w:pStyle w:val="BodyText"/>
                    <w:spacing w:line="243" w:lineRule="exact"/>
                  </w:pPr>
                  <w:r>
                    <w:rPr/>
                    <w:t>5．合同解除</w:t>
                  </w:r>
                </w:p>
              </w:txbxContent>
            </v:textbox>
            <v:fill type="solid"/>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373" w:lineRule="exact"/>
        <w:jc w:val="left"/>
        <w:rPr>
          <w:sz w:val="21"/>
        </w:rPr>
        <w:sectPr>
          <w:type w:val="continuous"/>
          <w:pgSz w:w="11910" w:h="16840"/>
          <w:pgMar w:top="200" w:bottom="280" w:left="1020" w:right="540"/>
        </w:sectPr>
      </w:pPr>
    </w:p>
    <w:p>
      <w:pPr>
        <w:pStyle w:val="BodyText"/>
        <w:spacing w:line="211" w:lineRule="exact"/>
        <w:ind w:left="532"/>
      </w:pPr>
      <w:r>
        <w:rPr/>
        <w:t>1．双方订立的合同</w:t>
      </w:r>
    </w:p>
    <w:p>
      <w:pPr>
        <w:pStyle w:val="ListParagraph"/>
        <w:numPr>
          <w:ilvl w:val="1"/>
          <w:numId w:val="2"/>
        </w:numPr>
        <w:tabs>
          <w:tab w:pos="956" w:val="left" w:leader="none"/>
        </w:tabs>
        <w:spacing w:line="240" w:lineRule="auto" w:before="44" w:after="0"/>
        <w:ind w:left="955" w:right="0" w:hanging="423"/>
        <w:jc w:val="left"/>
        <w:rPr>
          <w:sz w:val="21"/>
        </w:rPr>
      </w:pPr>
      <w:r>
        <w:rPr>
          <w:spacing w:val="-2"/>
          <w:sz w:val="21"/>
        </w:rPr>
        <w:t>合同构成</w:t>
      </w:r>
    </w:p>
    <w:p>
      <w:pPr>
        <w:pStyle w:val="ListParagraph"/>
        <w:numPr>
          <w:ilvl w:val="1"/>
          <w:numId w:val="2"/>
        </w:numPr>
        <w:tabs>
          <w:tab w:pos="956" w:val="left" w:leader="none"/>
        </w:tabs>
        <w:spacing w:line="240" w:lineRule="auto" w:before="46" w:after="0"/>
        <w:ind w:left="955" w:right="0" w:hanging="423"/>
        <w:jc w:val="left"/>
        <w:rPr>
          <w:sz w:val="21"/>
        </w:rPr>
      </w:pPr>
      <w:r>
        <w:rPr>
          <w:spacing w:val="-3"/>
          <w:sz w:val="21"/>
        </w:rPr>
        <w:t>合同成立与</w:t>
      </w:r>
      <w:r>
        <w:rPr>
          <w:spacing w:val="-1"/>
          <w:sz w:val="21"/>
        </w:rPr>
        <w:t>Th</w:t>
      </w:r>
      <w:r>
        <w:rPr>
          <w:spacing w:val="-3"/>
          <w:sz w:val="21"/>
        </w:rPr>
        <w:t>效</w:t>
      </w:r>
    </w:p>
    <w:p>
      <w:pPr>
        <w:pStyle w:val="ListParagraph"/>
        <w:numPr>
          <w:ilvl w:val="1"/>
          <w:numId w:val="2"/>
        </w:numPr>
        <w:tabs>
          <w:tab w:pos="956" w:val="left" w:leader="none"/>
        </w:tabs>
        <w:spacing w:line="240" w:lineRule="auto" w:before="44" w:after="0"/>
        <w:ind w:left="955" w:right="0" w:hanging="423"/>
        <w:jc w:val="left"/>
        <w:rPr>
          <w:sz w:val="21"/>
        </w:rPr>
      </w:pPr>
      <w:r>
        <w:rPr>
          <w:spacing w:val="-2"/>
          <w:sz w:val="21"/>
        </w:rPr>
        <w:t>合同终止</w:t>
      </w:r>
    </w:p>
    <w:p>
      <w:pPr>
        <w:pStyle w:val="ListParagraph"/>
        <w:numPr>
          <w:ilvl w:val="1"/>
          <w:numId w:val="2"/>
        </w:numPr>
        <w:tabs>
          <w:tab w:pos="956" w:val="left" w:leader="none"/>
        </w:tabs>
        <w:spacing w:line="240" w:lineRule="auto" w:before="44" w:after="0"/>
        <w:ind w:left="955" w:right="0" w:hanging="423"/>
        <w:jc w:val="left"/>
        <w:rPr>
          <w:sz w:val="21"/>
        </w:rPr>
      </w:pPr>
      <w:r>
        <w:rPr>
          <w:spacing w:val="-3"/>
          <w:sz w:val="21"/>
        </w:rPr>
        <w:t>投保范围</w:t>
      </w:r>
    </w:p>
    <w:p>
      <w:pPr>
        <w:pStyle w:val="BodyText"/>
        <w:tabs>
          <w:tab w:pos="3227" w:val="left" w:leader="none"/>
        </w:tabs>
        <w:spacing w:before="46"/>
        <w:ind w:left="532"/>
      </w:pPr>
      <w:r>
        <w:rPr>
          <w:spacing w:val="-1"/>
          <w:shd w:fill="DADADA" w:color="auto" w:val="clear"/>
        </w:rPr>
        <w:t>2．</w:t>
      </w:r>
      <w:r>
        <w:rPr>
          <w:spacing w:val="-3"/>
          <w:shd w:fill="DADADA" w:color="auto" w:val="clear"/>
        </w:rPr>
        <w:t>本公</w:t>
      </w:r>
      <w:r>
        <w:rPr>
          <w:shd w:fill="DADADA" w:color="auto" w:val="clear"/>
        </w:rPr>
        <w:t>司</w:t>
      </w:r>
      <w:r>
        <w:rPr>
          <w:spacing w:val="-3"/>
          <w:shd w:fill="DADADA" w:color="auto" w:val="clear"/>
        </w:rPr>
        <w:t>提</w:t>
      </w:r>
      <w:r>
        <w:rPr>
          <w:shd w:fill="DADADA" w:color="auto" w:val="clear"/>
        </w:rPr>
        <w:t>供</w:t>
      </w:r>
      <w:r>
        <w:rPr>
          <w:spacing w:val="-3"/>
          <w:shd w:fill="DADADA" w:color="auto" w:val="clear"/>
        </w:rPr>
        <w:t>的</w:t>
      </w:r>
      <w:r>
        <w:rPr>
          <w:shd w:fill="DADADA" w:color="auto" w:val="clear"/>
        </w:rPr>
        <w:t>保障</w:t>
        <w:tab/>
      </w:r>
    </w:p>
    <w:p>
      <w:pPr>
        <w:pStyle w:val="BodyText"/>
        <w:spacing w:before="6"/>
        <w:rPr>
          <w:sz w:val="19"/>
        </w:rPr>
      </w:pPr>
      <w:r>
        <w:rPr/>
        <w:br w:type="column"/>
      </w:r>
      <w:r>
        <w:rPr>
          <w:sz w:val="19"/>
        </w:rPr>
      </w:r>
    </w:p>
    <w:p>
      <w:pPr>
        <w:pStyle w:val="BodyText"/>
        <w:spacing w:line="280" w:lineRule="auto"/>
        <w:ind w:left="946" w:hanging="421"/>
      </w:pPr>
      <w:r>
        <w:rPr/>
        <w:t>5.1 投保人解除合同的手续及风险</w:t>
      </w:r>
    </w:p>
    <w:p>
      <w:pPr>
        <w:pStyle w:val="BodyText"/>
        <w:spacing w:before="8"/>
        <w:ind w:left="526"/>
      </w:pPr>
      <w:r>
        <w:rPr>
          <w:shd w:fill="DADADA" w:color="auto" w:val="clear"/>
        </w:rPr>
        <w:t>6．说明、告知与解除权限制</w:t>
      </w:r>
    </w:p>
    <w:p>
      <w:pPr>
        <w:pStyle w:val="ListParagraph"/>
        <w:numPr>
          <w:ilvl w:val="1"/>
          <w:numId w:val="3"/>
        </w:numPr>
        <w:tabs>
          <w:tab w:pos="949" w:val="left" w:leader="none"/>
        </w:tabs>
        <w:spacing w:line="240" w:lineRule="auto" w:before="44" w:after="0"/>
        <w:ind w:left="948" w:right="0" w:hanging="422"/>
        <w:jc w:val="left"/>
        <w:rPr>
          <w:sz w:val="21"/>
        </w:rPr>
      </w:pPr>
      <w:r>
        <w:rPr>
          <w:spacing w:val="-3"/>
          <w:sz w:val="21"/>
        </w:rPr>
        <w:t>明确说明与如实告知</w:t>
      </w:r>
    </w:p>
    <w:p>
      <w:pPr>
        <w:pStyle w:val="ListParagraph"/>
        <w:numPr>
          <w:ilvl w:val="1"/>
          <w:numId w:val="3"/>
        </w:numPr>
        <w:tabs>
          <w:tab w:pos="896" w:val="left" w:leader="none"/>
        </w:tabs>
        <w:spacing w:line="240" w:lineRule="auto" w:before="46" w:after="0"/>
        <w:ind w:left="896" w:right="0" w:hanging="370"/>
        <w:jc w:val="left"/>
        <w:rPr>
          <w:sz w:val="21"/>
        </w:rPr>
      </w:pPr>
      <w:r>
        <w:rPr>
          <w:spacing w:val="-3"/>
          <w:sz w:val="21"/>
        </w:rPr>
        <w:t>本公司合同解除权的限制</w:t>
      </w:r>
    </w:p>
    <w:p>
      <w:pPr>
        <w:pStyle w:val="ListParagraph"/>
        <w:numPr>
          <w:ilvl w:val="1"/>
          <w:numId w:val="4"/>
        </w:numPr>
        <w:tabs>
          <w:tab w:pos="947" w:val="left" w:leader="none"/>
        </w:tabs>
        <w:spacing w:line="211" w:lineRule="exact" w:before="0" w:after="0"/>
        <w:ind w:left="944" w:right="0" w:hanging="420"/>
        <w:jc w:val="left"/>
        <w:rPr>
          <w:sz w:val="21"/>
        </w:rPr>
      </w:pPr>
      <w:r>
        <w:rPr>
          <w:spacing w:val="-3"/>
          <w:w w:val="100"/>
          <w:sz w:val="21"/>
        </w:rPr>
        <w:br w:type="column"/>
      </w:r>
      <w:r>
        <w:rPr>
          <w:spacing w:val="-3"/>
          <w:sz w:val="21"/>
        </w:rPr>
        <w:t>毒品</w:t>
      </w:r>
    </w:p>
    <w:p>
      <w:pPr>
        <w:pStyle w:val="ListParagraph"/>
        <w:numPr>
          <w:ilvl w:val="1"/>
          <w:numId w:val="4"/>
        </w:numPr>
        <w:tabs>
          <w:tab w:pos="947" w:val="left" w:leader="none"/>
        </w:tabs>
        <w:spacing w:line="240" w:lineRule="auto" w:before="44" w:after="0"/>
        <w:ind w:left="944" w:right="0" w:hanging="420"/>
        <w:jc w:val="left"/>
        <w:rPr>
          <w:sz w:val="21"/>
        </w:rPr>
      </w:pPr>
      <w:r>
        <w:rPr>
          <w:spacing w:val="-2"/>
          <w:sz w:val="21"/>
        </w:rPr>
        <w:t>酒后驾驶</w:t>
      </w:r>
    </w:p>
    <w:p>
      <w:pPr>
        <w:pStyle w:val="ListParagraph"/>
        <w:numPr>
          <w:ilvl w:val="1"/>
          <w:numId w:val="4"/>
        </w:numPr>
        <w:tabs>
          <w:tab w:pos="947" w:val="left" w:leader="none"/>
        </w:tabs>
        <w:spacing w:line="240" w:lineRule="auto" w:before="46" w:after="0"/>
        <w:ind w:left="944" w:right="0" w:hanging="420"/>
        <w:jc w:val="left"/>
        <w:rPr>
          <w:sz w:val="21"/>
        </w:rPr>
      </w:pPr>
      <w:r>
        <w:rPr>
          <w:spacing w:val="-3"/>
          <w:sz w:val="21"/>
        </w:rPr>
        <w:t>无合法有效驾驶证驾驶</w:t>
      </w:r>
    </w:p>
    <w:p>
      <w:pPr>
        <w:pStyle w:val="ListParagraph"/>
        <w:numPr>
          <w:ilvl w:val="1"/>
          <w:numId w:val="4"/>
        </w:numPr>
        <w:tabs>
          <w:tab w:pos="947" w:val="left" w:leader="none"/>
        </w:tabs>
        <w:spacing w:line="240" w:lineRule="auto" w:before="43" w:after="0"/>
        <w:ind w:left="944" w:right="0" w:hanging="420"/>
        <w:jc w:val="left"/>
        <w:rPr>
          <w:sz w:val="21"/>
        </w:rPr>
      </w:pPr>
      <w:r>
        <w:rPr>
          <w:spacing w:val="-3"/>
          <w:sz w:val="21"/>
        </w:rPr>
        <w:t>无有效行驶证</w:t>
      </w:r>
    </w:p>
    <w:p>
      <w:pPr>
        <w:pStyle w:val="ListParagraph"/>
        <w:numPr>
          <w:ilvl w:val="1"/>
          <w:numId w:val="4"/>
        </w:numPr>
        <w:tabs>
          <w:tab w:pos="964" w:val="left" w:leader="none"/>
        </w:tabs>
        <w:spacing w:line="280" w:lineRule="auto" w:before="43" w:after="0"/>
        <w:ind w:left="944" w:right="574" w:hanging="420"/>
        <w:jc w:val="left"/>
        <w:rPr>
          <w:sz w:val="21"/>
        </w:rPr>
      </w:pPr>
      <w:r>
        <w:rPr>
          <w:spacing w:val="12"/>
          <w:sz w:val="21"/>
        </w:rPr>
        <w:t>感染艾滋病病毒或患艾</w:t>
      </w:r>
      <w:r>
        <w:rPr>
          <w:sz w:val="21"/>
        </w:rPr>
        <w:t>滋病</w:t>
      </w:r>
    </w:p>
    <w:p>
      <w:pPr>
        <w:spacing w:after="0" w:line="280" w:lineRule="auto"/>
        <w:jc w:val="left"/>
        <w:rPr>
          <w:sz w:val="21"/>
        </w:rPr>
        <w:sectPr>
          <w:type w:val="continuous"/>
          <w:pgSz w:w="11910" w:h="16840"/>
          <w:pgMar w:top="200" w:bottom="280" w:left="1020" w:right="540"/>
          <w:cols w:num="3" w:equalWidth="0">
            <w:col w:w="3228" w:space="40"/>
            <w:col w:w="3224" w:space="39"/>
            <w:col w:w="3819"/>
          </w:cols>
        </w:sectPr>
      </w:pPr>
    </w:p>
    <w:p>
      <w:pPr>
        <w:pStyle w:val="BodyText"/>
        <w:spacing w:before="6"/>
        <w:rPr>
          <w:sz w:val="5"/>
        </w:rPr>
      </w:pPr>
    </w:p>
    <w:tbl>
      <w:tblPr>
        <w:tblW w:w="0" w:type="auto"/>
        <w:jc w:val="left"/>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893"/>
        <w:gridCol w:w="3979"/>
        <w:gridCol w:w="704"/>
        <w:gridCol w:w="2324"/>
      </w:tblGrid>
      <w:tr>
        <w:trPr>
          <w:trHeight w:val="265" w:hRule="atLeast"/>
        </w:trPr>
        <w:tc>
          <w:tcPr>
            <w:tcW w:w="420" w:type="dxa"/>
          </w:tcPr>
          <w:p>
            <w:pPr>
              <w:pStyle w:val="TableParagraph"/>
              <w:spacing w:line="211" w:lineRule="exact"/>
              <w:ind w:left="50"/>
              <w:rPr>
                <w:rFonts w:ascii="黑体"/>
                <w:sz w:val="21"/>
              </w:rPr>
            </w:pPr>
            <w:r>
              <w:rPr>
                <w:rFonts w:ascii="黑体"/>
                <w:sz w:val="21"/>
              </w:rPr>
              <w:t>2.1</w:t>
            </w:r>
          </w:p>
        </w:tc>
        <w:tc>
          <w:tcPr>
            <w:tcW w:w="1893" w:type="dxa"/>
          </w:tcPr>
          <w:p>
            <w:pPr>
              <w:pStyle w:val="TableParagraph"/>
              <w:spacing w:line="211" w:lineRule="exact"/>
              <w:ind w:left="52"/>
              <w:rPr>
                <w:rFonts w:ascii="黑体" w:eastAsia="黑体" w:hint="eastAsia"/>
                <w:sz w:val="21"/>
              </w:rPr>
            </w:pPr>
            <w:r>
              <w:rPr>
                <w:rFonts w:ascii="黑体" w:eastAsia="黑体" w:hint="eastAsia"/>
                <w:sz w:val="21"/>
              </w:rPr>
              <w:t>保险金额</w:t>
            </w:r>
          </w:p>
        </w:tc>
        <w:tc>
          <w:tcPr>
            <w:tcW w:w="3979" w:type="dxa"/>
          </w:tcPr>
          <w:p>
            <w:pPr>
              <w:pStyle w:val="TableParagraph"/>
              <w:tabs>
                <w:tab w:pos="3693" w:val="left" w:leader="none"/>
              </w:tabs>
              <w:spacing w:line="211" w:lineRule="exact"/>
              <w:ind w:left="998"/>
              <w:rPr>
                <w:rFonts w:ascii="黑体" w:eastAsia="黑体" w:hint="eastAsia"/>
                <w:sz w:val="21"/>
              </w:rPr>
            </w:pPr>
            <w:r>
              <w:rPr>
                <w:rFonts w:ascii="黑体" w:eastAsia="黑体" w:hint="eastAsia"/>
                <w:sz w:val="21"/>
                <w:shd w:fill="DADADA" w:color="auto" w:val="clear"/>
              </w:rPr>
              <w:t>7．</w:t>
            </w:r>
            <w:r>
              <w:rPr>
                <w:rFonts w:ascii="黑体" w:eastAsia="黑体" w:hint="eastAsia"/>
                <w:spacing w:val="-3"/>
                <w:sz w:val="21"/>
                <w:shd w:fill="DADADA" w:color="auto" w:val="clear"/>
              </w:rPr>
              <w:t>其</w:t>
            </w:r>
            <w:r>
              <w:rPr>
                <w:rFonts w:ascii="黑体" w:eastAsia="黑体" w:hint="eastAsia"/>
                <w:sz w:val="21"/>
                <w:shd w:fill="DADADA" w:color="auto" w:val="clear"/>
              </w:rPr>
              <w:t>他</w:t>
            </w:r>
            <w:r>
              <w:rPr>
                <w:rFonts w:ascii="黑体" w:eastAsia="黑体" w:hint="eastAsia"/>
                <w:spacing w:val="-3"/>
                <w:sz w:val="21"/>
                <w:shd w:fill="DADADA" w:color="auto" w:val="clear"/>
              </w:rPr>
              <w:t>需</w:t>
            </w:r>
            <w:r>
              <w:rPr>
                <w:rFonts w:ascii="黑体" w:eastAsia="黑体" w:hint="eastAsia"/>
                <w:sz w:val="21"/>
                <w:shd w:fill="DADADA" w:color="auto" w:val="clear"/>
              </w:rPr>
              <w:t>要</w:t>
            </w:r>
            <w:r>
              <w:rPr>
                <w:rFonts w:ascii="黑体" w:eastAsia="黑体" w:hint="eastAsia"/>
                <w:spacing w:val="-3"/>
                <w:sz w:val="21"/>
                <w:shd w:fill="DADADA" w:color="auto" w:val="clear"/>
              </w:rPr>
              <w:t>关</w:t>
            </w:r>
            <w:r>
              <w:rPr>
                <w:rFonts w:ascii="黑体" w:eastAsia="黑体" w:hint="eastAsia"/>
                <w:sz w:val="21"/>
                <w:shd w:fill="DADADA" w:color="auto" w:val="clear"/>
              </w:rPr>
              <w:t>注</w:t>
            </w:r>
            <w:r>
              <w:rPr>
                <w:rFonts w:ascii="黑体" w:eastAsia="黑体" w:hint="eastAsia"/>
                <w:spacing w:val="-3"/>
                <w:sz w:val="21"/>
                <w:shd w:fill="DADADA" w:color="auto" w:val="clear"/>
              </w:rPr>
              <w:t>的</w:t>
            </w:r>
            <w:r>
              <w:rPr>
                <w:rFonts w:ascii="黑体" w:eastAsia="黑体" w:hint="eastAsia"/>
                <w:sz w:val="21"/>
                <w:shd w:fill="DADADA" w:color="auto" w:val="clear"/>
              </w:rPr>
              <w:t>事项</w:t>
              <w:tab/>
            </w:r>
          </w:p>
        </w:tc>
        <w:tc>
          <w:tcPr>
            <w:tcW w:w="704" w:type="dxa"/>
          </w:tcPr>
          <w:p>
            <w:pPr>
              <w:pStyle w:val="TableParagraph"/>
              <w:spacing w:line="211" w:lineRule="exact"/>
              <w:ind w:left="281"/>
              <w:rPr>
                <w:rFonts w:ascii="黑体"/>
                <w:sz w:val="21"/>
              </w:rPr>
            </w:pPr>
            <w:r>
              <w:rPr>
                <w:rFonts w:ascii="黑体"/>
                <w:sz w:val="21"/>
              </w:rPr>
              <w:t>9.8</w:t>
            </w:r>
          </w:p>
        </w:tc>
        <w:tc>
          <w:tcPr>
            <w:tcW w:w="2324" w:type="dxa"/>
          </w:tcPr>
          <w:p>
            <w:pPr>
              <w:pStyle w:val="TableParagraph"/>
              <w:spacing w:line="211" w:lineRule="exact"/>
              <w:ind w:left="-1"/>
              <w:rPr>
                <w:rFonts w:ascii="黑体" w:eastAsia="黑体" w:hint="eastAsia"/>
                <w:sz w:val="21"/>
              </w:rPr>
            </w:pPr>
            <w:r>
              <w:rPr>
                <w:rFonts w:ascii="黑体" w:eastAsia="黑体" w:hint="eastAsia"/>
                <w:sz w:val="21"/>
              </w:rPr>
              <w:t>遗传性疾病</w:t>
            </w:r>
          </w:p>
        </w:tc>
      </w:tr>
      <w:tr>
        <w:trPr>
          <w:trHeight w:val="320" w:hRule="atLeast"/>
        </w:trPr>
        <w:tc>
          <w:tcPr>
            <w:tcW w:w="420" w:type="dxa"/>
          </w:tcPr>
          <w:p>
            <w:pPr>
              <w:pStyle w:val="TableParagraph"/>
              <w:spacing w:line="265" w:lineRule="exact"/>
              <w:ind w:left="50"/>
              <w:rPr>
                <w:rFonts w:ascii="黑体"/>
                <w:sz w:val="21"/>
              </w:rPr>
            </w:pPr>
            <w:r>
              <w:rPr>
                <w:rFonts w:ascii="黑体"/>
                <w:sz w:val="21"/>
              </w:rPr>
              <w:t>2.2</w:t>
            </w:r>
          </w:p>
        </w:tc>
        <w:tc>
          <w:tcPr>
            <w:tcW w:w="1893" w:type="dxa"/>
          </w:tcPr>
          <w:p>
            <w:pPr>
              <w:pStyle w:val="TableParagraph"/>
              <w:spacing w:line="265" w:lineRule="exact"/>
              <w:ind w:left="52"/>
              <w:rPr>
                <w:rFonts w:ascii="黑体" w:eastAsia="黑体" w:hint="eastAsia"/>
                <w:sz w:val="21"/>
              </w:rPr>
            </w:pPr>
            <w:r>
              <w:rPr>
                <w:rFonts w:ascii="黑体" w:eastAsia="黑体" w:hint="eastAsia"/>
                <w:sz w:val="21"/>
              </w:rPr>
              <w:t>保险期间</w:t>
            </w:r>
          </w:p>
        </w:tc>
        <w:tc>
          <w:tcPr>
            <w:tcW w:w="3979" w:type="dxa"/>
          </w:tcPr>
          <w:p>
            <w:pPr>
              <w:pStyle w:val="TableParagraph"/>
              <w:spacing w:line="265" w:lineRule="exact"/>
              <w:ind w:left="998"/>
              <w:rPr>
                <w:rFonts w:ascii="黑体" w:eastAsia="黑体" w:hint="eastAsia"/>
                <w:sz w:val="21"/>
              </w:rPr>
            </w:pPr>
            <w:r>
              <w:rPr>
                <w:rFonts w:ascii="黑体" w:eastAsia="黑体" w:hint="eastAsia"/>
                <w:sz w:val="21"/>
              </w:rPr>
              <w:t>7.1 年龄性别错误</w:t>
            </w:r>
          </w:p>
        </w:tc>
        <w:tc>
          <w:tcPr>
            <w:tcW w:w="704" w:type="dxa"/>
          </w:tcPr>
          <w:p>
            <w:pPr>
              <w:pStyle w:val="TableParagraph"/>
              <w:spacing w:line="265" w:lineRule="exact"/>
              <w:ind w:left="281"/>
              <w:rPr>
                <w:rFonts w:ascii="黑体"/>
                <w:sz w:val="21"/>
              </w:rPr>
            </w:pPr>
            <w:r>
              <w:rPr>
                <w:rFonts w:ascii="黑体"/>
                <w:sz w:val="21"/>
              </w:rPr>
              <w:t>9.9</w:t>
            </w:r>
          </w:p>
        </w:tc>
        <w:tc>
          <w:tcPr>
            <w:tcW w:w="2324" w:type="dxa"/>
          </w:tcPr>
          <w:p>
            <w:pPr>
              <w:pStyle w:val="TableParagraph"/>
              <w:spacing w:line="265" w:lineRule="exact"/>
              <w:ind w:left="-1"/>
              <w:rPr>
                <w:rFonts w:ascii="黑体" w:eastAsia="黑体" w:hint="eastAsia"/>
                <w:sz w:val="21"/>
              </w:rPr>
            </w:pPr>
            <w:r>
              <w:rPr>
                <w:rFonts w:ascii="黑体" w:eastAsia="黑体" w:hint="eastAsia"/>
                <w:sz w:val="21"/>
              </w:rPr>
              <w:t>先天性畸形、变形或染色</w:t>
            </w:r>
          </w:p>
        </w:tc>
      </w:tr>
      <w:tr>
        <w:trPr>
          <w:trHeight w:val="320" w:hRule="atLeast"/>
        </w:trPr>
        <w:tc>
          <w:tcPr>
            <w:tcW w:w="420" w:type="dxa"/>
          </w:tcPr>
          <w:p>
            <w:pPr>
              <w:pStyle w:val="TableParagraph"/>
              <w:spacing w:line="266" w:lineRule="exact"/>
              <w:ind w:left="50"/>
              <w:rPr>
                <w:rFonts w:ascii="黑体"/>
                <w:sz w:val="21"/>
              </w:rPr>
            </w:pPr>
            <w:r>
              <w:rPr>
                <w:rFonts w:ascii="黑体"/>
                <w:sz w:val="21"/>
              </w:rPr>
              <w:t>2.3</w:t>
            </w:r>
          </w:p>
        </w:tc>
        <w:tc>
          <w:tcPr>
            <w:tcW w:w="1893" w:type="dxa"/>
          </w:tcPr>
          <w:p>
            <w:pPr>
              <w:pStyle w:val="TableParagraph"/>
              <w:spacing w:line="266" w:lineRule="exact"/>
              <w:ind w:left="52"/>
              <w:rPr>
                <w:rFonts w:ascii="黑体" w:eastAsia="黑体" w:hint="eastAsia"/>
                <w:sz w:val="21"/>
              </w:rPr>
            </w:pPr>
            <w:r>
              <w:rPr>
                <w:rFonts w:ascii="黑体" w:eastAsia="黑体" w:hint="eastAsia"/>
                <w:sz w:val="21"/>
              </w:rPr>
              <w:t>等待期</w:t>
            </w:r>
          </w:p>
        </w:tc>
        <w:tc>
          <w:tcPr>
            <w:tcW w:w="3979" w:type="dxa"/>
          </w:tcPr>
          <w:p>
            <w:pPr>
              <w:pStyle w:val="TableParagraph"/>
              <w:spacing w:line="266" w:lineRule="exact"/>
              <w:ind w:left="998"/>
              <w:rPr>
                <w:rFonts w:ascii="黑体" w:eastAsia="黑体" w:hint="eastAsia"/>
                <w:sz w:val="21"/>
              </w:rPr>
            </w:pPr>
            <w:r>
              <w:rPr>
                <w:rFonts w:ascii="黑体" w:eastAsia="黑体" w:hint="eastAsia"/>
                <w:sz w:val="21"/>
              </w:rPr>
              <w:t>7.2 被保险人的变动</w:t>
            </w:r>
          </w:p>
        </w:tc>
        <w:tc>
          <w:tcPr>
            <w:tcW w:w="704" w:type="dxa"/>
          </w:tcPr>
          <w:p>
            <w:pPr>
              <w:pStyle w:val="TableParagraph"/>
              <w:ind w:left="0"/>
              <w:rPr>
                <w:rFonts w:ascii="Times New Roman"/>
                <w:sz w:val="20"/>
              </w:rPr>
            </w:pPr>
          </w:p>
        </w:tc>
        <w:tc>
          <w:tcPr>
            <w:tcW w:w="2324" w:type="dxa"/>
          </w:tcPr>
          <w:p>
            <w:pPr>
              <w:pStyle w:val="TableParagraph"/>
              <w:spacing w:line="266" w:lineRule="exact"/>
              <w:ind w:left="-3"/>
              <w:rPr>
                <w:rFonts w:ascii="黑体" w:eastAsia="黑体" w:hint="eastAsia"/>
                <w:sz w:val="21"/>
              </w:rPr>
            </w:pPr>
            <w:r>
              <w:rPr>
                <w:rFonts w:ascii="黑体" w:eastAsia="黑体" w:hint="eastAsia"/>
                <w:sz w:val="21"/>
              </w:rPr>
              <w:t>体异常</w:t>
            </w:r>
          </w:p>
        </w:tc>
      </w:tr>
      <w:tr>
        <w:trPr>
          <w:trHeight w:val="319" w:hRule="atLeast"/>
        </w:trPr>
        <w:tc>
          <w:tcPr>
            <w:tcW w:w="420" w:type="dxa"/>
          </w:tcPr>
          <w:p>
            <w:pPr>
              <w:pStyle w:val="TableParagraph"/>
              <w:spacing w:line="265" w:lineRule="exact"/>
              <w:ind w:left="50"/>
              <w:rPr>
                <w:rFonts w:ascii="黑体"/>
                <w:sz w:val="21"/>
              </w:rPr>
            </w:pPr>
            <w:r>
              <w:rPr>
                <w:rFonts w:ascii="黑体"/>
                <w:sz w:val="21"/>
              </w:rPr>
              <w:t>2.4</w:t>
            </w:r>
          </w:p>
        </w:tc>
        <w:tc>
          <w:tcPr>
            <w:tcW w:w="1893" w:type="dxa"/>
          </w:tcPr>
          <w:p>
            <w:pPr>
              <w:pStyle w:val="TableParagraph"/>
              <w:spacing w:line="265" w:lineRule="exact"/>
              <w:ind w:left="52"/>
              <w:rPr>
                <w:rFonts w:ascii="黑体" w:eastAsia="黑体" w:hint="eastAsia"/>
                <w:sz w:val="21"/>
              </w:rPr>
            </w:pPr>
            <w:r>
              <w:rPr>
                <w:rFonts w:ascii="黑体" w:eastAsia="黑体" w:hint="eastAsia"/>
                <w:sz w:val="21"/>
              </w:rPr>
              <w:t>保险责任</w:t>
            </w:r>
          </w:p>
        </w:tc>
        <w:tc>
          <w:tcPr>
            <w:tcW w:w="3979" w:type="dxa"/>
          </w:tcPr>
          <w:p>
            <w:pPr>
              <w:pStyle w:val="TableParagraph"/>
              <w:spacing w:line="265" w:lineRule="exact"/>
              <w:ind w:left="998"/>
              <w:rPr>
                <w:rFonts w:ascii="黑体" w:eastAsia="黑体" w:hint="eastAsia"/>
                <w:sz w:val="21"/>
              </w:rPr>
            </w:pPr>
            <w:r>
              <w:rPr>
                <w:rFonts w:ascii="黑体" w:eastAsia="黑体" w:hint="eastAsia"/>
                <w:sz w:val="21"/>
              </w:rPr>
              <w:t>7.3 职业或工种的确定与变更</w:t>
            </w:r>
          </w:p>
        </w:tc>
        <w:tc>
          <w:tcPr>
            <w:tcW w:w="704" w:type="dxa"/>
          </w:tcPr>
          <w:p>
            <w:pPr>
              <w:pStyle w:val="TableParagraph"/>
              <w:spacing w:line="265" w:lineRule="exact"/>
              <w:ind w:left="281"/>
              <w:rPr>
                <w:rFonts w:ascii="黑体"/>
                <w:sz w:val="21"/>
              </w:rPr>
            </w:pPr>
            <w:r>
              <w:rPr>
                <w:rFonts w:ascii="黑体"/>
                <w:sz w:val="21"/>
              </w:rPr>
              <w:t>9.10</w:t>
            </w:r>
          </w:p>
        </w:tc>
        <w:tc>
          <w:tcPr>
            <w:tcW w:w="2324" w:type="dxa"/>
          </w:tcPr>
          <w:p>
            <w:pPr>
              <w:pStyle w:val="TableParagraph"/>
              <w:spacing w:line="265" w:lineRule="exact"/>
              <w:ind w:left="103"/>
              <w:rPr>
                <w:rFonts w:ascii="黑体" w:eastAsia="黑体" w:hint="eastAsia"/>
                <w:sz w:val="21"/>
              </w:rPr>
            </w:pPr>
            <w:r>
              <w:rPr>
                <w:rFonts w:ascii="黑体" w:eastAsia="黑体" w:hint="eastAsia"/>
                <w:sz w:val="21"/>
              </w:rPr>
              <w:t>现金价值</w:t>
            </w:r>
          </w:p>
        </w:tc>
      </w:tr>
      <w:tr>
        <w:trPr>
          <w:trHeight w:val="265" w:hRule="atLeast"/>
        </w:trPr>
        <w:tc>
          <w:tcPr>
            <w:tcW w:w="420" w:type="dxa"/>
          </w:tcPr>
          <w:p>
            <w:pPr>
              <w:pStyle w:val="TableParagraph"/>
              <w:spacing w:line="245" w:lineRule="exact"/>
              <w:ind w:left="50"/>
              <w:rPr>
                <w:rFonts w:ascii="黑体"/>
                <w:sz w:val="21"/>
              </w:rPr>
            </w:pPr>
            <w:r>
              <w:rPr>
                <w:rFonts w:ascii="黑体"/>
                <w:sz w:val="21"/>
              </w:rPr>
              <w:t>2.5</w:t>
            </w:r>
          </w:p>
        </w:tc>
        <w:tc>
          <w:tcPr>
            <w:tcW w:w="1893" w:type="dxa"/>
          </w:tcPr>
          <w:p>
            <w:pPr>
              <w:pStyle w:val="TableParagraph"/>
              <w:spacing w:line="245" w:lineRule="exact"/>
              <w:ind w:left="52"/>
              <w:rPr>
                <w:rFonts w:ascii="黑体" w:eastAsia="黑体" w:hint="eastAsia"/>
                <w:sz w:val="21"/>
              </w:rPr>
            </w:pPr>
            <w:r>
              <w:rPr>
                <w:rFonts w:ascii="黑体" w:eastAsia="黑体" w:hint="eastAsia"/>
                <w:sz w:val="21"/>
              </w:rPr>
              <w:t>责任免除</w:t>
            </w:r>
          </w:p>
        </w:tc>
        <w:tc>
          <w:tcPr>
            <w:tcW w:w="3979" w:type="dxa"/>
          </w:tcPr>
          <w:p>
            <w:pPr>
              <w:pStyle w:val="TableParagraph"/>
              <w:spacing w:line="245" w:lineRule="exact"/>
              <w:ind w:left="998"/>
              <w:rPr>
                <w:rFonts w:ascii="黑体" w:eastAsia="黑体" w:hint="eastAsia"/>
                <w:sz w:val="21"/>
              </w:rPr>
            </w:pPr>
            <w:r>
              <w:rPr>
                <w:rFonts w:ascii="黑体" w:eastAsia="黑体" w:hint="eastAsia"/>
                <w:sz w:val="21"/>
              </w:rPr>
              <w:t>7.4 合同内容变更</w:t>
            </w:r>
          </w:p>
        </w:tc>
        <w:tc>
          <w:tcPr>
            <w:tcW w:w="704" w:type="dxa"/>
          </w:tcPr>
          <w:p>
            <w:pPr>
              <w:pStyle w:val="TableParagraph"/>
              <w:spacing w:line="245" w:lineRule="exact"/>
              <w:ind w:left="281"/>
              <w:rPr>
                <w:rFonts w:ascii="黑体"/>
                <w:sz w:val="21"/>
              </w:rPr>
            </w:pPr>
            <w:r>
              <w:rPr>
                <w:rFonts w:ascii="黑体"/>
                <w:sz w:val="21"/>
              </w:rPr>
              <w:t>9.11</w:t>
            </w:r>
          </w:p>
        </w:tc>
        <w:tc>
          <w:tcPr>
            <w:tcW w:w="2324" w:type="dxa"/>
          </w:tcPr>
          <w:p>
            <w:pPr>
              <w:pStyle w:val="TableParagraph"/>
              <w:spacing w:line="245" w:lineRule="exact"/>
              <w:ind w:left="103"/>
              <w:rPr>
                <w:rFonts w:ascii="黑体" w:eastAsia="黑体" w:hint="eastAsia"/>
                <w:sz w:val="21"/>
              </w:rPr>
            </w:pPr>
            <w:r>
              <w:rPr>
                <w:rFonts w:ascii="黑体" w:eastAsia="黑体" w:hint="eastAsia"/>
                <w:sz w:val="21"/>
              </w:rPr>
              <w:t>有效身份证件</w:t>
            </w:r>
          </w:p>
        </w:tc>
      </w:tr>
    </w:tbl>
    <w:p>
      <w:pPr>
        <w:pStyle w:val="BodyText"/>
        <w:spacing w:before="4"/>
        <w:rPr>
          <w:sz w:val="5"/>
        </w:rPr>
      </w:pPr>
    </w:p>
    <w:p>
      <w:pPr>
        <w:spacing w:after="0"/>
        <w:rPr>
          <w:sz w:val="5"/>
        </w:rPr>
        <w:sectPr>
          <w:type w:val="continuous"/>
          <w:pgSz w:w="11910" w:h="16840"/>
          <w:pgMar w:top="200" w:bottom="280" w:left="1020" w:right="540"/>
        </w:sectPr>
      </w:pPr>
    </w:p>
    <w:p>
      <w:pPr>
        <w:pStyle w:val="BodyText"/>
        <w:tabs>
          <w:tab w:pos="3227" w:val="left" w:leader="none"/>
        </w:tabs>
        <w:spacing w:line="253" w:lineRule="exact"/>
        <w:ind w:left="532"/>
      </w:pPr>
      <w:r>
        <w:rPr>
          <w:spacing w:val="-1"/>
          <w:shd w:fill="DADADA" w:color="auto" w:val="clear"/>
        </w:rPr>
        <w:t>3．保</w:t>
      </w:r>
      <w:r>
        <w:rPr>
          <w:spacing w:val="-3"/>
          <w:shd w:fill="DADADA" w:color="auto" w:val="clear"/>
        </w:rPr>
        <w:t>险</w:t>
      </w:r>
      <w:r>
        <w:rPr>
          <w:shd w:fill="DADADA" w:color="auto" w:val="clear"/>
        </w:rPr>
        <w:t>金</w:t>
      </w:r>
      <w:r>
        <w:rPr>
          <w:spacing w:val="-3"/>
          <w:shd w:fill="DADADA" w:color="auto" w:val="clear"/>
        </w:rPr>
        <w:t>的</w:t>
      </w:r>
      <w:r>
        <w:rPr>
          <w:shd w:fill="DADADA" w:color="auto" w:val="clear"/>
        </w:rPr>
        <w:t>申请</w:t>
        <w:tab/>
      </w:r>
    </w:p>
    <w:p>
      <w:pPr>
        <w:pStyle w:val="BodyText"/>
        <w:spacing w:before="44"/>
        <w:ind w:left="532"/>
      </w:pPr>
      <w:r>
        <w:rPr/>
        <w:t>3.1 受益人</w:t>
      </w:r>
    </w:p>
    <w:p>
      <w:pPr>
        <w:pStyle w:val="ListParagraph"/>
        <w:numPr>
          <w:ilvl w:val="1"/>
          <w:numId w:val="5"/>
        </w:numPr>
        <w:tabs>
          <w:tab w:pos="950" w:val="left" w:leader="none"/>
        </w:tabs>
        <w:spacing w:line="252" w:lineRule="exact" w:before="0" w:after="0"/>
        <w:ind w:left="949" w:right="0" w:hanging="423"/>
        <w:jc w:val="left"/>
        <w:rPr>
          <w:sz w:val="21"/>
        </w:rPr>
      </w:pPr>
      <w:r>
        <w:rPr>
          <w:spacing w:val="-3"/>
          <w:w w:val="100"/>
          <w:sz w:val="21"/>
        </w:rPr>
        <w:br w:type="column"/>
      </w:r>
      <w:r>
        <w:rPr>
          <w:spacing w:val="-3"/>
          <w:sz w:val="21"/>
        </w:rPr>
        <w:t>联系方式变更</w:t>
      </w:r>
    </w:p>
    <w:p>
      <w:pPr>
        <w:pStyle w:val="ListParagraph"/>
        <w:numPr>
          <w:ilvl w:val="1"/>
          <w:numId w:val="5"/>
        </w:numPr>
        <w:tabs>
          <w:tab w:pos="950" w:val="left" w:leader="none"/>
        </w:tabs>
        <w:spacing w:line="240" w:lineRule="auto" w:before="44" w:after="0"/>
        <w:ind w:left="949" w:right="0" w:hanging="423"/>
        <w:jc w:val="left"/>
        <w:rPr>
          <w:sz w:val="21"/>
        </w:rPr>
      </w:pPr>
      <w:r>
        <w:rPr>
          <w:spacing w:val="-2"/>
          <w:sz w:val="21"/>
        </w:rPr>
        <w:t>争议处理</w:t>
      </w:r>
    </w:p>
    <w:p>
      <w:pPr>
        <w:pStyle w:val="ListParagraph"/>
        <w:numPr>
          <w:ilvl w:val="1"/>
          <w:numId w:val="6"/>
        </w:numPr>
        <w:tabs>
          <w:tab w:pos="1059" w:val="left" w:leader="none"/>
        </w:tabs>
        <w:spacing w:line="252" w:lineRule="exact" w:before="0" w:after="0"/>
        <w:ind w:left="1058" w:right="0" w:hanging="526"/>
        <w:jc w:val="left"/>
        <w:rPr>
          <w:sz w:val="21"/>
        </w:rPr>
      </w:pPr>
      <w:r>
        <w:rPr>
          <w:w w:val="100"/>
          <w:sz w:val="21"/>
        </w:rPr>
        <w:br w:type="column"/>
      </w:r>
      <w:r>
        <w:rPr>
          <w:spacing w:val="-2"/>
          <w:sz w:val="21"/>
        </w:rPr>
        <w:t>情形复杂</w:t>
      </w:r>
    </w:p>
    <w:p>
      <w:pPr>
        <w:pStyle w:val="ListParagraph"/>
        <w:numPr>
          <w:ilvl w:val="1"/>
          <w:numId w:val="6"/>
        </w:numPr>
        <w:tabs>
          <w:tab w:pos="1059" w:val="left" w:leader="none"/>
        </w:tabs>
        <w:spacing w:line="240" w:lineRule="auto" w:before="44" w:after="0"/>
        <w:ind w:left="1058" w:right="0" w:hanging="526"/>
        <w:jc w:val="left"/>
        <w:rPr>
          <w:sz w:val="21"/>
        </w:rPr>
      </w:pPr>
      <w:r>
        <w:rPr>
          <w:spacing w:val="-2"/>
          <w:sz w:val="21"/>
        </w:rPr>
        <w:t>专科医</w:t>
      </w:r>
      <w:r>
        <w:rPr>
          <w:sz w:val="21"/>
        </w:rPr>
        <w:t>Th</w:t>
      </w:r>
    </w:p>
    <w:p>
      <w:pPr>
        <w:spacing w:after="0" w:line="240" w:lineRule="auto"/>
        <w:jc w:val="left"/>
        <w:rPr>
          <w:sz w:val="21"/>
        </w:rPr>
        <w:sectPr>
          <w:type w:val="continuous"/>
          <w:pgSz w:w="11910" w:h="16840"/>
          <w:pgMar w:top="200" w:bottom="280" w:left="1020" w:right="540"/>
          <w:cols w:num="3" w:equalWidth="0">
            <w:col w:w="3228" w:space="40"/>
            <w:col w:w="2210" w:space="1046"/>
            <w:col w:w="3826"/>
          </w:cols>
        </w:sectPr>
      </w:pPr>
    </w:p>
    <w:p>
      <w:pPr>
        <w:pStyle w:val="BodyText"/>
        <w:spacing w:before="2"/>
        <w:rPr>
          <w:sz w:val="8"/>
        </w:rPr>
      </w:pPr>
    </w:p>
    <w:tbl>
      <w:tblPr>
        <w:tblW w:w="0" w:type="auto"/>
        <w:jc w:val="left"/>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103"/>
        <w:gridCol w:w="3769"/>
        <w:gridCol w:w="758"/>
        <w:gridCol w:w="2274"/>
      </w:tblGrid>
      <w:tr>
        <w:trPr>
          <w:trHeight w:val="266" w:hRule="atLeast"/>
        </w:trPr>
        <w:tc>
          <w:tcPr>
            <w:tcW w:w="420" w:type="dxa"/>
          </w:tcPr>
          <w:p>
            <w:pPr>
              <w:pStyle w:val="TableParagraph"/>
              <w:spacing w:line="212" w:lineRule="exact"/>
              <w:ind w:left="50"/>
              <w:rPr>
                <w:rFonts w:ascii="黑体"/>
                <w:sz w:val="21"/>
              </w:rPr>
            </w:pPr>
            <w:r>
              <w:rPr>
                <w:rFonts w:ascii="黑体"/>
                <w:sz w:val="21"/>
              </w:rPr>
              <w:t>3.2</w:t>
            </w:r>
          </w:p>
        </w:tc>
        <w:tc>
          <w:tcPr>
            <w:tcW w:w="2103" w:type="dxa"/>
          </w:tcPr>
          <w:p>
            <w:pPr>
              <w:pStyle w:val="TableParagraph"/>
              <w:spacing w:line="212" w:lineRule="exact"/>
              <w:ind w:left="52"/>
              <w:rPr>
                <w:rFonts w:ascii="黑体" w:eastAsia="黑体" w:hint="eastAsia"/>
                <w:sz w:val="21"/>
              </w:rPr>
            </w:pPr>
            <w:r>
              <w:rPr>
                <w:rFonts w:ascii="黑体" w:eastAsia="黑体" w:hint="eastAsia"/>
                <w:sz w:val="21"/>
              </w:rPr>
              <w:t>保险事故通知</w:t>
            </w:r>
          </w:p>
        </w:tc>
        <w:tc>
          <w:tcPr>
            <w:tcW w:w="3769" w:type="dxa"/>
          </w:tcPr>
          <w:p>
            <w:pPr>
              <w:pStyle w:val="TableParagraph"/>
              <w:tabs>
                <w:tab w:pos="3483" w:val="left" w:leader="none"/>
              </w:tabs>
              <w:spacing w:line="212" w:lineRule="exact"/>
              <w:ind w:left="788"/>
              <w:rPr>
                <w:rFonts w:ascii="黑体" w:eastAsia="黑体" w:hint="eastAsia"/>
                <w:sz w:val="21"/>
              </w:rPr>
            </w:pPr>
            <w:r>
              <w:rPr>
                <w:rFonts w:ascii="黑体" w:eastAsia="黑体" w:hint="eastAsia"/>
                <w:sz w:val="21"/>
                <w:shd w:fill="DADADA" w:color="auto" w:val="clear"/>
              </w:rPr>
              <w:t>8．</w:t>
            </w:r>
            <w:r>
              <w:rPr>
                <w:rFonts w:ascii="黑体" w:eastAsia="黑体" w:hint="eastAsia"/>
                <w:spacing w:val="-3"/>
                <w:sz w:val="21"/>
                <w:shd w:fill="DADADA" w:color="auto" w:val="clear"/>
              </w:rPr>
              <w:t>重</w:t>
            </w:r>
            <w:r>
              <w:rPr>
                <w:rFonts w:ascii="黑体" w:eastAsia="黑体" w:hint="eastAsia"/>
                <w:sz w:val="21"/>
                <w:shd w:fill="DADADA" w:color="auto" w:val="clear"/>
              </w:rPr>
              <w:t>大</w:t>
            </w:r>
            <w:r>
              <w:rPr>
                <w:rFonts w:ascii="黑体" w:eastAsia="黑体" w:hint="eastAsia"/>
                <w:spacing w:val="-3"/>
                <w:sz w:val="21"/>
                <w:shd w:fill="DADADA" w:color="auto" w:val="clear"/>
              </w:rPr>
              <w:t>疾</w:t>
            </w:r>
            <w:r>
              <w:rPr>
                <w:rFonts w:ascii="黑体" w:eastAsia="黑体" w:hint="eastAsia"/>
                <w:sz w:val="21"/>
                <w:shd w:fill="DADADA" w:color="auto" w:val="clear"/>
              </w:rPr>
              <w:t>病</w:t>
            </w:r>
            <w:r>
              <w:rPr>
                <w:rFonts w:ascii="黑体" w:eastAsia="黑体" w:hint="eastAsia"/>
                <w:spacing w:val="-3"/>
                <w:sz w:val="21"/>
                <w:shd w:fill="DADADA" w:color="auto" w:val="clear"/>
              </w:rPr>
              <w:t>的</w:t>
            </w:r>
            <w:r>
              <w:rPr>
                <w:rFonts w:ascii="黑体" w:eastAsia="黑体" w:hint="eastAsia"/>
                <w:sz w:val="21"/>
                <w:shd w:fill="DADADA" w:color="auto" w:val="clear"/>
              </w:rPr>
              <w:t>定义</w:t>
              <w:tab/>
            </w:r>
          </w:p>
        </w:tc>
        <w:tc>
          <w:tcPr>
            <w:tcW w:w="758" w:type="dxa"/>
          </w:tcPr>
          <w:p>
            <w:pPr>
              <w:pStyle w:val="TableParagraph"/>
              <w:spacing w:line="211" w:lineRule="exact"/>
              <w:ind w:left="0" w:right="52"/>
              <w:jc w:val="right"/>
              <w:rPr>
                <w:rFonts w:ascii="黑体"/>
                <w:sz w:val="21"/>
              </w:rPr>
            </w:pPr>
            <w:r>
              <w:rPr>
                <w:rFonts w:ascii="黑体"/>
                <w:sz w:val="21"/>
              </w:rPr>
              <w:t>9.14</w:t>
            </w:r>
          </w:p>
        </w:tc>
        <w:tc>
          <w:tcPr>
            <w:tcW w:w="2274" w:type="dxa"/>
          </w:tcPr>
          <w:p>
            <w:pPr>
              <w:pStyle w:val="TableParagraph"/>
              <w:spacing w:line="211" w:lineRule="exact"/>
              <w:ind w:left="49"/>
              <w:rPr>
                <w:rFonts w:ascii="黑体" w:eastAsia="黑体" w:hint="eastAsia"/>
                <w:sz w:val="21"/>
              </w:rPr>
            </w:pPr>
            <w:r>
              <w:rPr>
                <w:rFonts w:ascii="黑体" w:eastAsia="黑体" w:hint="eastAsia"/>
                <w:sz w:val="21"/>
              </w:rPr>
              <w:t>肢体机能完全丧失</w:t>
            </w:r>
          </w:p>
        </w:tc>
      </w:tr>
      <w:tr>
        <w:trPr>
          <w:trHeight w:val="320" w:hRule="atLeast"/>
        </w:trPr>
        <w:tc>
          <w:tcPr>
            <w:tcW w:w="420" w:type="dxa"/>
          </w:tcPr>
          <w:p>
            <w:pPr>
              <w:pStyle w:val="TableParagraph"/>
              <w:spacing w:line="266" w:lineRule="exact"/>
              <w:ind w:left="50"/>
              <w:rPr>
                <w:rFonts w:ascii="黑体"/>
                <w:sz w:val="21"/>
              </w:rPr>
            </w:pPr>
            <w:r>
              <w:rPr>
                <w:rFonts w:ascii="黑体"/>
                <w:sz w:val="21"/>
              </w:rPr>
              <w:t>3.3</w:t>
            </w:r>
          </w:p>
        </w:tc>
        <w:tc>
          <w:tcPr>
            <w:tcW w:w="2103" w:type="dxa"/>
          </w:tcPr>
          <w:p>
            <w:pPr>
              <w:pStyle w:val="TableParagraph"/>
              <w:spacing w:line="266" w:lineRule="exact"/>
              <w:ind w:left="52"/>
              <w:rPr>
                <w:rFonts w:ascii="黑体" w:eastAsia="黑体" w:hint="eastAsia"/>
                <w:sz w:val="21"/>
              </w:rPr>
            </w:pPr>
            <w:r>
              <w:rPr>
                <w:rFonts w:ascii="黑体" w:eastAsia="黑体" w:hint="eastAsia"/>
                <w:sz w:val="21"/>
              </w:rPr>
              <w:t>保险金申请</w:t>
            </w:r>
          </w:p>
        </w:tc>
        <w:tc>
          <w:tcPr>
            <w:tcW w:w="3769" w:type="dxa"/>
          </w:tcPr>
          <w:p>
            <w:pPr>
              <w:pStyle w:val="TableParagraph"/>
              <w:spacing w:line="266" w:lineRule="exact"/>
              <w:ind w:left="788"/>
              <w:rPr>
                <w:rFonts w:ascii="黑体" w:eastAsia="黑体" w:hint="eastAsia"/>
                <w:sz w:val="21"/>
              </w:rPr>
            </w:pPr>
            <w:r>
              <w:rPr>
                <w:rFonts w:ascii="黑体" w:eastAsia="黑体" w:hint="eastAsia"/>
                <w:sz w:val="21"/>
              </w:rPr>
              <w:t>8.1 重大疾病的定义</w:t>
            </w:r>
          </w:p>
        </w:tc>
        <w:tc>
          <w:tcPr>
            <w:tcW w:w="758" w:type="dxa"/>
          </w:tcPr>
          <w:p>
            <w:pPr>
              <w:pStyle w:val="TableParagraph"/>
              <w:spacing w:line="266" w:lineRule="exact"/>
              <w:ind w:left="0" w:right="51"/>
              <w:jc w:val="right"/>
              <w:rPr>
                <w:rFonts w:ascii="黑体"/>
                <w:sz w:val="21"/>
              </w:rPr>
            </w:pPr>
            <w:r>
              <w:rPr>
                <w:rFonts w:ascii="黑体"/>
                <w:sz w:val="21"/>
              </w:rPr>
              <w:t>9.15</w:t>
            </w:r>
          </w:p>
        </w:tc>
        <w:tc>
          <w:tcPr>
            <w:tcW w:w="2274" w:type="dxa"/>
          </w:tcPr>
          <w:p>
            <w:pPr>
              <w:pStyle w:val="TableParagraph"/>
              <w:spacing w:line="266" w:lineRule="exact"/>
              <w:ind w:left="56"/>
              <w:rPr>
                <w:rFonts w:ascii="黑体" w:eastAsia="黑体" w:hint="eastAsia"/>
                <w:sz w:val="21"/>
              </w:rPr>
            </w:pPr>
            <w:r>
              <w:rPr>
                <w:rFonts w:ascii="黑体" w:eastAsia="黑体" w:hint="eastAsia"/>
                <w:sz w:val="21"/>
              </w:rPr>
              <w:t>语言能力或咀嚼吞咽能</w:t>
            </w:r>
          </w:p>
        </w:tc>
      </w:tr>
      <w:tr>
        <w:trPr>
          <w:trHeight w:val="319" w:hRule="atLeast"/>
        </w:trPr>
        <w:tc>
          <w:tcPr>
            <w:tcW w:w="420" w:type="dxa"/>
          </w:tcPr>
          <w:p>
            <w:pPr>
              <w:pStyle w:val="TableParagraph"/>
              <w:spacing w:line="265" w:lineRule="exact"/>
              <w:ind w:left="50"/>
              <w:rPr>
                <w:rFonts w:ascii="黑体"/>
                <w:sz w:val="21"/>
              </w:rPr>
            </w:pPr>
            <w:r>
              <w:rPr>
                <w:rFonts w:ascii="黑体"/>
                <w:sz w:val="21"/>
              </w:rPr>
              <w:t>3.4</w:t>
            </w:r>
          </w:p>
        </w:tc>
        <w:tc>
          <w:tcPr>
            <w:tcW w:w="2103" w:type="dxa"/>
          </w:tcPr>
          <w:p>
            <w:pPr>
              <w:pStyle w:val="TableParagraph"/>
              <w:spacing w:line="265" w:lineRule="exact"/>
              <w:ind w:left="52"/>
              <w:rPr>
                <w:rFonts w:ascii="黑体" w:eastAsia="黑体" w:hint="eastAsia"/>
                <w:sz w:val="21"/>
              </w:rPr>
            </w:pPr>
            <w:r>
              <w:rPr>
                <w:rFonts w:ascii="黑体" w:eastAsia="黑体" w:hint="eastAsia"/>
                <w:sz w:val="21"/>
              </w:rPr>
              <w:t>保险金给付</w:t>
            </w:r>
          </w:p>
        </w:tc>
        <w:tc>
          <w:tcPr>
            <w:tcW w:w="3769" w:type="dxa"/>
          </w:tcPr>
          <w:p>
            <w:pPr>
              <w:pStyle w:val="TableParagraph"/>
              <w:spacing w:line="265" w:lineRule="exact"/>
              <w:ind w:left="788"/>
              <w:rPr>
                <w:rFonts w:ascii="黑体" w:eastAsia="黑体" w:hint="eastAsia"/>
                <w:sz w:val="21"/>
              </w:rPr>
            </w:pPr>
            <w:r>
              <w:rPr>
                <w:rFonts w:ascii="黑体" w:eastAsia="黑体" w:hint="eastAsia"/>
                <w:sz w:val="21"/>
              </w:rPr>
              <w:t>8.2 定义来源及确诊医院范围</w:t>
            </w:r>
          </w:p>
        </w:tc>
        <w:tc>
          <w:tcPr>
            <w:tcW w:w="758" w:type="dxa"/>
          </w:tcPr>
          <w:p>
            <w:pPr>
              <w:pStyle w:val="TableParagraph"/>
              <w:ind w:left="0"/>
              <w:rPr>
                <w:rFonts w:ascii="Times New Roman"/>
                <w:sz w:val="20"/>
              </w:rPr>
            </w:pPr>
          </w:p>
        </w:tc>
        <w:tc>
          <w:tcPr>
            <w:tcW w:w="2274" w:type="dxa"/>
          </w:tcPr>
          <w:p>
            <w:pPr>
              <w:pStyle w:val="TableParagraph"/>
              <w:spacing w:line="265" w:lineRule="exact"/>
              <w:ind w:left="49"/>
              <w:rPr>
                <w:rFonts w:ascii="黑体" w:eastAsia="黑体" w:hint="eastAsia"/>
                <w:sz w:val="21"/>
              </w:rPr>
            </w:pPr>
            <w:r>
              <w:rPr>
                <w:rFonts w:ascii="黑体" w:eastAsia="黑体" w:hint="eastAsia"/>
                <w:sz w:val="21"/>
              </w:rPr>
              <w:t>力完全丧失</w:t>
            </w:r>
          </w:p>
        </w:tc>
      </w:tr>
      <w:tr>
        <w:trPr>
          <w:trHeight w:val="265" w:hRule="atLeast"/>
        </w:trPr>
        <w:tc>
          <w:tcPr>
            <w:tcW w:w="420" w:type="dxa"/>
          </w:tcPr>
          <w:p>
            <w:pPr>
              <w:pStyle w:val="TableParagraph"/>
              <w:spacing w:line="246" w:lineRule="exact"/>
              <w:ind w:left="50"/>
              <w:rPr>
                <w:rFonts w:ascii="黑体"/>
                <w:sz w:val="21"/>
              </w:rPr>
            </w:pPr>
            <w:r>
              <w:rPr>
                <w:rFonts w:ascii="黑体"/>
                <w:sz w:val="21"/>
              </w:rPr>
              <w:t>3.5</w:t>
            </w:r>
          </w:p>
        </w:tc>
        <w:tc>
          <w:tcPr>
            <w:tcW w:w="2103" w:type="dxa"/>
          </w:tcPr>
          <w:p>
            <w:pPr>
              <w:pStyle w:val="TableParagraph"/>
              <w:spacing w:line="246" w:lineRule="exact"/>
              <w:ind w:left="52"/>
              <w:rPr>
                <w:rFonts w:ascii="黑体" w:eastAsia="黑体" w:hint="eastAsia"/>
                <w:sz w:val="21"/>
              </w:rPr>
            </w:pPr>
            <w:r>
              <w:rPr>
                <w:rFonts w:ascii="黑体" w:eastAsia="黑体" w:hint="eastAsia"/>
                <w:sz w:val="21"/>
              </w:rPr>
              <w:t>诉讼时效</w:t>
            </w:r>
          </w:p>
        </w:tc>
        <w:tc>
          <w:tcPr>
            <w:tcW w:w="3769" w:type="dxa"/>
          </w:tcPr>
          <w:p>
            <w:pPr>
              <w:pStyle w:val="TableParagraph"/>
              <w:tabs>
                <w:tab w:pos="3483" w:val="left" w:leader="none"/>
              </w:tabs>
              <w:spacing w:line="246" w:lineRule="exact"/>
              <w:ind w:left="788"/>
              <w:rPr>
                <w:rFonts w:ascii="黑体" w:eastAsia="黑体" w:hint="eastAsia"/>
                <w:sz w:val="21"/>
              </w:rPr>
            </w:pPr>
            <w:r>
              <w:rPr>
                <w:rFonts w:ascii="黑体" w:eastAsia="黑体" w:hint="eastAsia"/>
                <w:spacing w:val="-1"/>
                <w:sz w:val="21"/>
                <w:shd w:fill="DADADA" w:color="auto" w:val="clear"/>
              </w:rPr>
              <w:t>9．释</w:t>
            </w:r>
            <w:r>
              <w:rPr>
                <w:rFonts w:ascii="黑体" w:eastAsia="黑体" w:hint="eastAsia"/>
                <w:sz w:val="21"/>
                <w:shd w:fill="DADADA" w:color="auto" w:val="clear"/>
              </w:rPr>
              <w:t>义</w:t>
              <w:tab/>
            </w:r>
          </w:p>
        </w:tc>
        <w:tc>
          <w:tcPr>
            <w:tcW w:w="758" w:type="dxa"/>
          </w:tcPr>
          <w:p>
            <w:pPr>
              <w:pStyle w:val="TableParagraph"/>
              <w:spacing w:line="246" w:lineRule="exact"/>
              <w:ind w:left="0" w:right="51"/>
              <w:jc w:val="right"/>
              <w:rPr>
                <w:rFonts w:ascii="黑体"/>
                <w:sz w:val="21"/>
              </w:rPr>
            </w:pPr>
            <w:r>
              <w:rPr>
                <w:rFonts w:ascii="黑体"/>
                <w:sz w:val="21"/>
              </w:rPr>
              <w:t>9.16</w:t>
            </w:r>
          </w:p>
        </w:tc>
        <w:tc>
          <w:tcPr>
            <w:tcW w:w="2274" w:type="dxa"/>
          </w:tcPr>
          <w:p>
            <w:pPr>
              <w:pStyle w:val="TableParagraph"/>
              <w:spacing w:line="246" w:lineRule="exact"/>
              <w:ind w:left="49"/>
              <w:rPr>
                <w:rFonts w:ascii="黑体" w:eastAsia="黑体" w:hint="eastAsia"/>
                <w:sz w:val="21"/>
              </w:rPr>
            </w:pPr>
            <w:r>
              <w:rPr>
                <w:rFonts w:ascii="黑体" w:eastAsia="黑体" w:hint="eastAsia"/>
                <w:sz w:val="21"/>
              </w:rPr>
              <w:t>六项基本日常Th活活动</w:t>
            </w:r>
          </w:p>
        </w:tc>
      </w:tr>
    </w:tbl>
    <w:p>
      <w:pPr>
        <w:pStyle w:val="BodyText"/>
        <w:spacing w:before="4"/>
        <w:rPr>
          <w:sz w:val="5"/>
        </w:rPr>
      </w:pPr>
    </w:p>
    <w:p>
      <w:pPr>
        <w:spacing w:after="0"/>
        <w:rPr>
          <w:sz w:val="5"/>
        </w:rPr>
        <w:sectPr>
          <w:type w:val="continuous"/>
          <w:pgSz w:w="11910" w:h="16840"/>
          <w:pgMar w:top="200" w:bottom="280" w:left="1020" w:right="540"/>
        </w:sectPr>
      </w:pPr>
    </w:p>
    <w:p>
      <w:pPr>
        <w:pStyle w:val="BodyText"/>
        <w:tabs>
          <w:tab w:pos="3227" w:val="left" w:leader="none"/>
        </w:tabs>
        <w:spacing w:line="252" w:lineRule="exact"/>
        <w:ind w:left="532"/>
      </w:pPr>
      <w:r>
        <w:rPr>
          <w:shd w:fill="DADADA" w:color="auto" w:val="clear"/>
        </w:rPr>
        <w:t>4.</w:t>
      </w:r>
      <w:r>
        <w:rPr>
          <w:spacing w:val="7"/>
          <w:shd w:fill="DADADA" w:color="auto" w:val="clear"/>
        </w:rPr>
        <w:t> </w:t>
      </w:r>
      <w:r>
        <w:rPr>
          <w:spacing w:val="-3"/>
          <w:shd w:fill="DADADA" w:color="auto" w:val="clear"/>
        </w:rPr>
        <w:t>保险</w:t>
      </w:r>
      <w:r>
        <w:rPr>
          <w:shd w:fill="DADADA" w:color="auto" w:val="clear"/>
        </w:rPr>
        <w:t>费</w:t>
      </w:r>
      <w:r>
        <w:rPr>
          <w:spacing w:val="-3"/>
          <w:shd w:fill="DADADA" w:color="auto" w:val="clear"/>
        </w:rPr>
        <w:t>的</w:t>
      </w:r>
      <w:r>
        <w:rPr>
          <w:shd w:fill="DADADA" w:color="auto" w:val="clear"/>
        </w:rPr>
        <w:t>支付</w:t>
        <w:tab/>
      </w:r>
    </w:p>
    <w:p>
      <w:pPr>
        <w:pStyle w:val="BodyText"/>
        <w:spacing w:before="44"/>
        <w:ind w:left="532"/>
      </w:pPr>
      <w:r>
        <w:rPr/>
        <w:t>4.1 保险费的支付</w:t>
      </w:r>
    </w:p>
    <w:p>
      <w:pPr>
        <w:pStyle w:val="ListParagraph"/>
        <w:numPr>
          <w:ilvl w:val="1"/>
          <w:numId w:val="7"/>
        </w:numPr>
        <w:tabs>
          <w:tab w:pos="949" w:val="left" w:leader="none"/>
        </w:tabs>
        <w:spacing w:line="252" w:lineRule="exact" w:before="0" w:after="0"/>
        <w:ind w:left="948" w:right="0" w:hanging="422"/>
        <w:jc w:val="left"/>
        <w:rPr>
          <w:sz w:val="21"/>
        </w:rPr>
      </w:pPr>
      <w:r>
        <w:rPr>
          <w:spacing w:val="-3"/>
          <w:w w:val="100"/>
          <w:sz w:val="21"/>
        </w:rPr>
        <w:br w:type="column"/>
      </w:r>
      <w:r>
        <w:rPr>
          <w:spacing w:val="-2"/>
          <w:sz w:val="21"/>
        </w:rPr>
        <w:t>意外伤害</w:t>
      </w:r>
    </w:p>
    <w:p>
      <w:pPr>
        <w:pStyle w:val="ListParagraph"/>
        <w:numPr>
          <w:ilvl w:val="1"/>
          <w:numId w:val="7"/>
        </w:numPr>
        <w:tabs>
          <w:tab w:pos="949" w:val="left" w:leader="none"/>
        </w:tabs>
        <w:spacing w:line="240" w:lineRule="auto" w:before="44" w:after="0"/>
        <w:ind w:left="948" w:right="0" w:hanging="422"/>
        <w:jc w:val="left"/>
        <w:rPr>
          <w:sz w:val="21"/>
        </w:rPr>
      </w:pPr>
      <w:r>
        <w:rPr>
          <w:spacing w:val="-3"/>
          <w:sz w:val="21"/>
        </w:rPr>
        <w:t>医院</w:t>
      </w:r>
    </w:p>
    <w:p>
      <w:pPr>
        <w:pStyle w:val="BodyText"/>
        <w:spacing w:line="252" w:lineRule="exact"/>
        <w:ind w:left="532"/>
      </w:pPr>
      <w:r>
        <w:rPr/>
        <w:br w:type="column"/>
      </w:r>
      <w:r>
        <w:rPr/>
        <w:t>9.17 永久不可逆</w:t>
      </w:r>
    </w:p>
    <w:p>
      <w:pPr>
        <w:spacing w:after="0" w:line="252" w:lineRule="exact"/>
        <w:sectPr>
          <w:type w:val="continuous"/>
          <w:pgSz w:w="11910" w:h="16840"/>
          <w:pgMar w:top="200" w:bottom="280" w:left="1020" w:right="540"/>
          <w:cols w:num="3" w:equalWidth="0">
            <w:col w:w="3228" w:space="40"/>
            <w:col w:w="1789" w:space="1466"/>
            <w:col w:w="3827"/>
          </w:cols>
        </w:sectPr>
      </w:pPr>
    </w:p>
    <w:p>
      <w:pPr>
        <w:pStyle w:val="Heading1"/>
        <w:spacing w:line="390" w:lineRule="exact"/>
        <w:ind w:left="3386" w:right="3391"/>
        <w:jc w:val="center"/>
      </w:pPr>
      <w:bookmarkStart w:name="中韩人寿保险有限公司" w:id="3"/>
      <w:bookmarkEnd w:id="3"/>
      <w:r>
        <w:rPr>
          <w:b w:val="0"/>
        </w:rPr>
      </w:r>
      <w:r>
        <w:rPr>
          <w:w w:val="95"/>
        </w:rPr>
        <w:t>中韩人寿保险有限公司</w:t>
      </w:r>
    </w:p>
    <w:p>
      <w:pPr>
        <w:spacing w:before="205"/>
        <w:ind w:left="3004" w:right="0" w:firstLine="0"/>
        <w:jc w:val="left"/>
        <w:rPr>
          <w:rFonts w:ascii="黑体" w:eastAsia="黑体" w:hint="eastAsia"/>
          <w:b/>
          <w:sz w:val="32"/>
        </w:rPr>
      </w:pPr>
      <w:bookmarkStart w:name="中韩团体重大疾病保险条款" w:id="4"/>
      <w:bookmarkEnd w:id="4"/>
      <w:r>
        <w:rPr/>
      </w:r>
      <w:r>
        <w:rPr>
          <w:rFonts w:ascii="黑体" w:eastAsia="黑体" w:hint="eastAsia"/>
          <w:b/>
          <w:w w:val="95"/>
          <w:sz w:val="32"/>
        </w:rPr>
        <w:t>中韩团体重大疾病保险条款</w:t>
      </w:r>
    </w:p>
    <w:p>
      <w:pPr>
        <w:pStyle w:val="BodyText"/>
        <w:spacing w:before="141"/>
        <w:ind w:left="2541"/>
        <w:rPr>
          <w:rFonts w:ascii="宋体" w:eastAsia="宋体" w:hint="eastAsia"/>
        </w:rPr>
      </w:pPr>
      <w:bookmarkStart w:name="（2012年12月呈报中国保险监督管理委员会备案）" w:id="5"/>
      <w:bookmarkEnd w:id="5"/>
      <w:r>
        <w:rPr/>
      </w:r>
      <w:r>
        <w:rPr>
          <w:rFonts w:ascii="宋体" w:eastAsia="宋体" w:hint="eastAsia"/>
        </w:rPr>
        <w:t>（2012 年 12 月呈报中国保险监督管理委员会备案）</w:t>
      </w:r>
    </w:p>
    <w:p>
      <w:pPr>
        <w:spacing w:line="240" w:lineRule="auto" w:before="8"/>
        <w:rPr>
          <w:sz w:val="26"/>
        </w:rPr>
      </w:pPr>
    </w:p>
    <w:p>
      <w:pPr>
        <w:pStyle w:val="BodyText"/>
        <w:spacing w:line="273" w:lineRule="auto"/>
        <w:ind w:left="112" w:right="109" w:firstLine="420"/>
        <w:rPr>
          <w:rFonts w:ascii="宋体" w:hAnsi="宋体" w:eastAsia="宋体" w:hint="eastAsia"/>
        </w:rPr>
      </w:pPr>
      <w:r>
        <w:rPr>
          <w:rFonts w:ascii="宋体" w:hAnsi="宋体" w:eastAsia="宋体" w:hint="eastAsia"/>
          <w:spacing w:val="-18"/>
          <w:w w:val="100"/>
        </w:rPr>
        <w:t>在本保险条款中，“本公司”指中韩人寿保险有限公司，“本合同”指投保人与本公司之间订立的“中</w:t>
      </w:r>
      <w:r>
        <w:rPr>
          <w:rFonts w:ascii="宋体" w:hAnsi="宋体" w:eastAsia="宋体" w:hint="eastAsia"/>
          <w:spacing w:val="-30"/>
        </w:rPr>
        <w:t>韩团体重大疾病保险合同 ”。</w:t>
      </w:r>
    </w:p>
    <w:p>
      <w:pPr>
        <w:spacing w:line="240" w:lineRule="auto" w:before="5" w:after="1"/>
        <w:rPr>
          <w:sz w:val="13"/>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657"/>
        <w:gridCol w:w="7193"/>
      </w:tblGrid>
      <w:tr>
        <w:trPr>
          <w:trHeight w:val="311" w:hRule="atLeast"/>
        </w:trPr>
        <w:tc>
          <w:tcPr>
            <w:tcW w:w="692" w:type="dxa"/>
            <w:shd w:val="clear" w:color="auto" w:fill="DADADA"/>
          </w:tcPr>
          <w:p>
            <w:pPr>
              <w:pStyle w:val="TableParagraph"/>
              <w:spacing w:line="262" w:lineRule="exact"/>
              <w:ind w:left="108"/>
              <w:rPr>
                <w:b/>
                <w:sz w:val="21"/>
              </w:rPr>
            </w:pPr>
            <w:r>
              <w:rPr>
                <w:b/>
                <w:sz w:val="21"/>
              </w:rPr>
              <w:t>1．</w:t>
            </w:r>
          </w:p>
        </w:tc>
        <w:tc>
          <w:tcPr>
            <w:tcW w:w="8850" w:type="dxa"/>
            <w:gridSpan w:val="2"/>
            <w:shd w:val="clear" w:color="auto" w:fill="DADADA"/>
          </w:tcPr>
          <w:p>
            <w:pPr>
              <w:pStyle w:val="TableParagraph"/>
              <w:spacing w:line="262" w:lineRule="exact"/>
              <w:ind w:left="268"/>
              <w:rPr>
                <w:b/>
                <w:sz w:val="21"/>
              </w:rPr>
            </w:pPr>
            <w:r>
              <w:rPr>
                <w:b/>
                <w:sz w:val="21"/>
              </w:rPr>
              <w:t>双方订立的合同</w:t>
            </w:r>
          </w:p>
        </w:tc>
      </w:tr>
      <w:tr>
        <w:trPr>
          <w:trHeight w:val="1149" w:hRule="atLeast"/>
        </w:trPr>
        <w:tc>
          <w:tcPr>
            <w:tcW w:w="692" w:type="dxa"/>
          </w:tcPr>
          <w:p>
            <w:pPr>
              <w:pStyle w:val="TableParagraph"/>
              <w:spacing w:before="129"/>
              <w:ind w:left="108"/>
              <w:rPr>
                <w:b/>
                <w:sz w:val="21"/>
              </w:rPr>
            </w:pPr>
            <w:r>
              <w:rPr>
                <w:b/>
                <w:sz w:val="21"/>
              </w:rPr>
              <w:t>1.1</w:t>
            </w:r>
          </w:p>
        </w:tc>
        <w:tc>
          <w:tcPr>
            <w:tcW w:w="1657" w:type="dxa"/>
          </w:tcPr>
          <w:p>
            <w:pPr>
              <w:pStyle w:val="TableParagraph"/>
              <w:spacing w:before="129"/>
              <w:ind w:left="268"/>
              <w:rPr>
                <w:b/>
                <w:sz w:val="21"/>
              </w:rPr>
            </w:pPr>
            <w:r>
              <w:rPr>
                <w:b/>
                <w:sz w:val="21"/>
              </w:rPr>
              <w:t>合同构成</w:t>
            </w:r>
          </w:p>
        </w:tc>
        <w:tc>
          <w:tcPr>
            <w:tcW w:w="7193" w:type="dxa"/>
          </w:tcPr>
          <w:p>
            <w:pPr>
              <w:pStyle w:val="TableParagraph"/>
              <w:spacing w:line="273" w:lineRule="auto" w:before="129"/>
              <w:ind w:left="123" w:right="103"/>
              <w:jc w:val="both"/>
              <w:rPr>
                <w:sz w:val="21"/>
              </w:rPr>
            </w:pPr>
            <w:r>
              <w:rPr>
                <w:sz w:val="21"/>
              </w:rPr>
              <w:t>本合同是投保人与本公司约定保险权利义务关系的协议，包括本保险条款、保险单或其他保险凭证、投保单及其他投保文件、合法有效的声明、批注、批单及其他投保人与本公司共同认可的书面协议。</w:t>
            </w:r>
          </w:p>
        </w:tc>
      </w:tr>
      <w:tr>
        <w:trPr>
          <w:trHeight w:val="1156" w:hRule="atLeast"/>
        </w:trPr>
        <w:tc>
          <w:tcPr>
            <w:tcW w:w="692" w:type="dxa"/>
          </w:tcPr>
          <w:p>
            <w:pPr>
              <w:pStyle w:val="TableParagraph"/>
              <w:spacing w:before="57"/>
              <w:ind w:left="108"/>
              <w:rPr>
                <w:b/>
                <w:sz w:val="21"/>
              </w:rPr>
            </w:pPr>
            <w:r>
              <w:rPr>
                <w:b/>
                <w:sz w:val="21"/>
              </w:rPr>
              <w:t>1.2</w:t>
            </w:r>
          </w:p>
        </w:tc>
        <w:tc>
          <w:tcPr>
            <w:tcW w:w="1657" w:type="dxa"/>
          </w:tcPr>
          <w:p>
            <w:pPr>
              <w:pStyle w:val="TableParagraph"/>
              <w:spacing w:line="273" w:lineRule="auto" w:before="57"/>
              <w:ind w:left="268" w:right="119"/>
              <w:rPr>
                <w:b/>
                <w:sz w:val="21"/>
              </w:rPr>
            </w:pPr>
            <w:r>
              <w:rPr>
                <w:b/>
                <w:sz w:val="21"/>
              </w:rPr>
              <w:t>合同成立与生效</w:t>
            </w:r>
          </w:p>
        </w:tc>
        <w:tc>
          <w:tcPr>
            <w:tcW w:w="7193" w:type="dxa"/>
          </w:tcPr>
          <w:p>
            <w:pPr>
              <w:pStyle w:val="TableParagraph"/>
              <w:spacing w:before="57"/>
              <w:ind w:left="123"/>
              <w:rPr>
                <w:sz w:val="21"/>
              </w:rPr>
            </w:pPr>
            <w:r>
              <w:rPr>
                <w:sz w:val="21"/>
              </w:rPr>
              <w:t>投保人提出保险申请、本公司同意承保，本合同成立。</w:t>
            </w:r>
          </w:p>
          <w:p>
            <w:pPr>
              <w:pStyle w:val="TableParagraph"/>
              <w:spacing w:line="273" w:lineRule="auto" w:before="116"/>
              <w:ind w:left="123" w:right="103"/>
              <w:rPr>
                <w:sz w:val="21"/>
              </w:rPr>
            </w:pPr>
            <w:r>
              <w:rPr>
                <w:sz w:val="21"/>
              </w:rPr>
              <w:t>本合同自本公司同意承保、收到保险费并签发保险单后开始生效，合同生效日期在保险单上载明。</w:t>
            </w:r>
          </w:p>
        </w:tc>
      </w:tr>
      <w:tr>
        <w:trPr>
          <w:trHeight w:val="1077" w:hRule="atLeast"/>
        </w:trPr>
        <w:tc>
          <w:tcPr>
            <w:tcW w:w="692" w:type="dxa"/>
          </w:tcPr>
          <w:p>
            <w:pPr>
              <w:pStyle w:val="TableParagraph"/>
              <w:spacing w:before="57"/>
              <w:ind w:left="108"/>
              <w:rPr>
                <w:b/>
                <w:sz w:val="21"/>
              </w:rPr>
            </w:pPr>
            <w:r>
              <w:rPr>
                <w:b/>
                <w:sz w:val="21"/>
              </w:rPr>
              <w:t>1.3</w:t>
            </w:r>
          </w:p>
        </w:tc>
        <w:tc>
          <w:tcPr>
            <w:tcW w:w="1657" w:type="dxa"/>
          </w:tcPr>
          <w:p>
            <w:pPr>
              <w:pStyle w:val="TableParagraph"/>
              <w:spacing w:before="57"/>
              <w:ind w:left="268"/>
              <w:rPr>
                <w:b/>
                <w:sz w:val="21"/>
              </w:rPr>
            </w:pPr>
            <w:r>
              <w:rPr>
                <w:b/>
                <w:sz w:val="21"/>
              </w:rPr>
              <w:t>合同终止</w:t>
            </w:r>
          </w:p>
        </w:tc>
        <w:tc>
          <w:tcPr>
            <w:tcW w:w="7193" w:type="dxa"/>
          </w:tcPr>
          <w:p>
            <w:pPr>
              <w:pStyle w:val="TableParagraph"/>
              <w:spacing w:before="57"/>
              <w:ind w:left="123"/>
              <w:rPr>
                <w:sz w:val="21"/>
              </w:rPr>
            </w:pPr>
            <w:r>
              <w:rPr>
                <w:sz w:val="21"/>
              </w:rPr>
              <w:t>发生下列情况之一时，本合同效力即时终止：</w:t>
            </w:r>
          </w:p>
          <w:p>
            <w:pPr>
              <w:pStyle w:val="TableParagraph"/>
              <w:spacing w:before="36"/>
              <w:ind w:left="123"/>
              <w:rPr>
                <w:sz w:val="21"/>
              </w:rPr>
            </w:pPr>
            <w:r>
              <w:rPr>
                <w:sz w:val="21"/>
              </w:rPr>
              <w:t>(1)投保人于合同有效期内向本公司申请解除本合同；</w:t>
            </w:r>
          </w:p>
          <w:p>
            <w:pPr>
              <w:pStyle w:val="TableParagraph"/>
              <w:spacing w:before="36"/>
              <w:ind w:left="123"/>
              <w:rPr>
                <w:sz w:val="21"/>
              </w:rPr>
            </w:pPr>
            <w:r>
              <w:rPr>
                <w:sz w:val="21"/>
              </w:rPr>
              <w:t>(2)本合同约定的其他效力终止的情况。</w:t>
            </w:r>
          </w:p>
        </w:tc>
      </w:tr>
      <w:tr>
        <w:trPr>
          <w:trHeight w:val="835" w:hRule="atLeast"/>
        </w:trPr>
        <w:tc>
          <w:tcPr>
            <w:tcW w:w="692" w:type="dxa"/>
          </w:tcPr>
          <w:p>
            <w:pPr>
              <w:pStyle w:val="TableParagraph"/>
              <w:spacing w:before="57"/>
              <w:ind w:left="108"/>
              <w:rPr>
                <w:b/>
                <w:sz w:val="21"/>
              </w:rPr>
            </w:pPr>
            <w:r>
              <w:rPr>
                <w:b/>
                <w:sz w:val="21"/>
              </w:rPr>
              <w:t>1.4</w:t>
            </w:r>
          </w:p>
        </w:tc>
        <w:tc>
          <w:tcPr>
            <w:tcW w:w="1657" w:type="dxa"/>
          </w:tcPr>
          <w:p>
            <w:pPr>
              <w:pStyle w:val="TableParagraph"/>
              <w:spacing w:before="57"/>
              <w:ind w:left="268"/>
              <w:rPr>
                <w:b/>
                <w:sz w:val="21"/>
              </w:rPr>
            </w:pPr>
            <w:r>
              <w:rPr>
                <w:b/>
                <w:sz w:val="21"/>
              </w:rPr>
              <w:t>投保范围</w:t>
            </w:r>
          </w:p>
        </w:tc>
        <w:tc>
          <w:tcPr>
            <w:tcW w:w="7193" w:type="dxa"/>
          </w:tcPr>
          <w:p>
            <w:pPr>
              <w:pStyle w:val="TableParagraph"/>
              <w:spacing w:line="273" w:lineRule="auto" w:before="57"/>
              <w:ind w:left="123" w:right="103"/>
              <w:rPr>
                <w:sz w:val="21"/>
              </w:rPr>
            </w:pPr>
            <w:r>
              <w:rPr>
                <w:sz w:val="21"/>
              </w:rPr>
              <w:t>投保人可为其团体成员及成员配偶、子女向本公司投保本保险。投保时，参加本保险的团体成员及成员配偶、子女须符合本公司当时规定的投保条件。</w:t>
            </w:r>
          </w:p>
        </w:tc>
      </w:tr>
      <w:tr>
        <w:trPr>
          <w:trHeight w:val="312" w:hRule="atLeast"/>
        </w:trPr>
        <w:tc>
          <w:tcPr>
            <w:tcW w:w="692" w:type="dxa"/>
            <w:shd w:val="clear" w:color="auto" w:fill="DADADA"/>
          </w:tcPr>
          <w:p>
            <w:pPr>
              <w:pStyle w:val="TableParagraph"/>
              <w:spacing w:line="262" w:lineRule="exact"/>
              <w:ind w:left="108"/>
              <w:rPr>
                <w:b/>
                <w:sz w:val="21"/>
              </w:rPr>
            </w:pPr>
            <w:r>
              <w:rPr>
                <w:b/>
                <w:sz w:val="21"/>
              </w:rPr>
              <w:t>2．</w:t>
            </w:r>
          </w:p>
        </w:tc>
        <w:tc>
          <w:tcPr>
            <w:tcW w:w="8850" w:type="dxa"/>
            <w:gridSpan w:val="2"/>
            <w:shd w:val="clear" w:color="auto" w:fill="DADADA"/>
          </w:tcPr>
          <w:p>
            <w:pPr>
              <w:pStyle w:val="TableParagraph"/>
              <w:spacing w:line="262" w:lineRule="exact"/>
              <w:ind w:left="268"/>
              <w:rPr>
                <w:b/>
                <w:sz w:val="21"/>
              </w:rPr>
            </w:pPr>
            <w:r>
              <w:rPr>
                <w:b/>
                <w:sz w:val="21"/>
              </w:rPr>
              <w:t>本公司提供的保障</w:t>
            </w:r>
          </w:p>
        </w:tc>
      </w:tr>
      <w:tr>
        <w:trPr>
          <w:trHeight w:val="837" w:hRule="atLeast"/>
        </w:trPr>
        <w:tc>
          <w:tcPr>
            <w:tcW w:w="692" w:type="dxa"/>
          </w:tcPr>
          <w:p>
            <w:pPr>
              <w:pStyle w:val="TableParagraph"/>
              <w:spacing w:before="129"/>
              <w:ind w:left="108"/>
              <w:rPr>
                <w:b/>
                <w:sz w:val="21"/>
              </w:rPr>
            </w:pPr>
            <w:r>
              <w:rPr>
                <w:b/>
                <w:sz w:val="21"/>
              </w:rPr>
              <w:t>2.1</w:t>
            </w:r>
          </w:p>
        </w:tc>
        <w:tc>
          <w:tcPr>
            <w:tcW w:w="1657" w:type="dxa"/>
          </w:tcPr>
          <w:p>
            <w:pPr>
              <w:pStyle w:val="TableParagraph"/>
              <w:spacing w:before="129"/>
              <w:ind w:left="268"/>
              <w:rPr>
                <w:b/>
                <w:sz w:val="21"/>
              </w:rPr>
            </w:pPr>
            <w:r>
              <w:rPr>
                <w:b/>
                <w:sz w:val="21"/>
              </w:rPr>
              <w:t>保险金额</w:t>
            </w:r>
          </w:p>
        </w:tc>
        <w:tc>
          <w:tcPr>
            <w:tcW w:w="7193" w:type="dxa"/>
          </w:tcPr>
          <w:p>
            <w:pPr>
              <w:pStyle w:val="TableParagraph"/>
              <w:spacing w:line="273" w:lineRule="auto" w:before="129"/>
              <w:ind w:left="123" w:right="103"/>
              <w:rPr>
                <w:sz w:val="21"/>
              </w:rPr>
            </w:pPr>
            <w:r>
              <w:rPr>
                <w:sz w:val="21"/>
              </w:rPr>
              <w:t>本合同项下每一被保险人的保险金额由投保人在投保时与本公司约定并在保险单上载明。</w:t>
            </w:r>
          </w:p>
        </w:tc>
      </w:tr>
      <w:tr>
        <w:trPr>
          <w:trHeight w:val="454" w:hRule="atLeast"/>
        </w:trPr>
        <w:tc>
          <w:tcPr>
            <w:tcW w:w="692" w:type="dxa"/>
          </w:tcPr>
          <w:p>
            <w:pPr>
              <w:pStyle w:val="TableParagraph"/>
              <w:spacing w:before="57"/>
              <w:ind w:left="108"/>
              <w:rPr>
                <w:b/>
                <w:sz w:val="21"/>
              </w:rPr>
            </w:pPr>
            <w:r>
              <w:rPr>
                <w:b/>
                <w:sz w:val="21"/>
              </w:rPr>
              <w:t>2.2</w:t>
            </w:r>
          </w:p>
        </w:tc>
        <w:tc>
          <w:tcPr>
            <w:tcW w:w="1657" w:type="dxa"/>
          </w:tcPr>
          <w:p>
            <w:pPr>
              <w:pStyle w:val="TableParagraph"/>
              <w:spacing w:before="57"/>
              <w:ind w:left="268"/>
              <w:rPr>
                <w:b/>
                <w:sz w:val="21"/>
              </w:rPr>
            </w:pPr>
            <w:r>
              <w:rPr>
                <w:b/>
                <w:sz w:val="21"/>
              </w:rPr>
              <w:t>保险期间</w:t>
            </w:r>
          </w:p>
        </w:tc>
        <w:tc>
          <w:tcPr>
            <w:tcW w:w="7193" w:type="dxa"/>
          </w:tcPr>
          <w:p>
            <w:pPr>
              <w:pStyle w:val="TableParagraph"/>
              <w:spacing w:before="57"/>
              <w:ind w:left="123"/>
              <w:rPr>
                <w:sz w:val="21"/>
              </w:rPr>
            </w:pPr>
            <w:r>
              <w:rPr>
                <w:sz w:val="21"/>
              </w:rPr>
              <w:t>本合同的保险期间为 1 年，并载明于保险单上。</w:t>
            </w:r>
          </w:p>
        </w:tc>
      </w:tr>
      <w:tr>
        <w:trPr>
          <w:trHeight w:val="3027" w:hRule="atLeast"/>
        </w:trPr>
        <w:tc>
          <w:tcPr>
            <w:tcW w:w="692" w:type="dxa"/>
          </w:tcPr>
          <w:p>
            <w:pPr>
              <w:pStyle w:val="TableParagraph"/>
              <w:spacing w:before="58"/>
              <w:ind w:left="108"/>
              <w:rPr>
                <w:b/>
                <w:sz w:val="21"/>
              </w:rPr>
            </w:pPr>
            <w:r>
              <w:rPr>
                <w:b/>
                <w:sz w:val="21"/>
              </w:rPr>
              <w:t>2.3</w:t>
            </w:r>
          </w:p>
        </w:tc>
        <w:tc>
          <w:tcPr>
            <w:tcW w:w="1657" w:type="dxa"/>
          </w:tcPr>
          <w:p>
            <w:pPr>
              <w:pStyle w:val="TableParagraph"/>
              <w:spacing w:before="58"/>
              <w:ind w:left="268"/>
              <w:rPr>
                <w:b/>
                <w:sz w:val="21"/>
              </w:rPr>
            </w:pPr>
            <w:r>
              <w:rPr>
                <w:b/>
                <w:sz w:val="21"/>
              </w:rPr>
              <w:t>等待期</w:t>
            </w:r>
          </w:p>
        </w:tc>
        <w:tc>
          <w:tcPr>
            <w:tcW w:w="7193" w:type="dxa"/>
          </w:tcPr>
          <w:p>
            <w:pPr>
              <w:pStyle w:val="TableParagraph"/>
              <w:spacing w:before="58"/>
              <w:ind w:left="123"/>
              <w:rPr>
                <w:rFonts w:ascii="黑体" w:eastAsia="黑体" w:hint="eastAsia"/>
                <w:sz w:val="21"/>
              </w:rPr>
            </w:pPr>
            <w:r>
              <w:rPr>
                <w:rFonts w:ascii="黑体" w:eastAsia="黑体" w:hint="eastAsia"/>
                <w:spacing w:val="-2"/>
                <w:sz w:val="21"/>
              </w:rPr>
              <w:t>从本合同</w:t>
            </w:r>
            <w:r>
              <w:rPr>
                <w:rFonts w:ascii="黑体" w:eastAsia="黑体" w:hint="eastAsia"/>
                <w:sz w:val="21"/>
              </w:rPr>
              <w:t>Th</w:t>
            </w:r>
            <w:r>
              <w:rPr>
                <w:rFonts w:ascii="黑体" w:eastAsia="黑体" w:hint="eastAsia"/>
                <w:spacing w:val="-12"/>
                <w:sz w:val="21"/>
              </w:rPr>
              <w:t>效之日起 </w:t>
            </w:r>
            <w:r>
              <w:rPr>
                <w:rFonts w:ascii="黑体" w:eastAsia="黑体" w:hint="eastAsia"/>
                <w:sz w:val="21"/>
              </w:rPr>
              <w:t>30</w:t>
            </w:r>
            <w:r>
              <w:rPr>
                <w:rFonts w:ascii="黑体" w:eastAsia="黑体" w:hint="eastAsia"/>
                <w:spacing w:val="-29"/>
                <w:sz w:val="21"/>
              </w:rPr>
              <w:t> 日内</w:t>
            </w:r>
            <w:r>
              <w:rPr>
                <w:rFonts w:ascii="黑体" w:eastAsia="黑体" w:hint="eastAsia"/>
                <w:spacing w:val="-3"/>
                <w:sz w:val="21"/>
              </w:rPr>
              <w:t>（</w:t>
            </w:r>
            <w:r>
              <w:rPr>
                <w:rFonts w:ascii="黑体" w:eastAsia="黑体" w:hint="eastAsia"/>
                <w:spacing w:val="-16"/>
                <w:sz w:val="21"/>
              </w:rPr>
              <w:t>含第 </w:t>
            </w:r>
            <w:r>
              <w:rPr>
                <w:rFonts w:ascii="黑体" w:eastAsia="黑体" w:hint="eastAsia"/>
                <w:sz w:val="21"/>
              </w:rPr>
              <w:t>30</w:t>
            </w:r>
            <w:r>
              <w:rPr>
                <w:rFonts w:ascii="黑体" w:eastAsia="黑体" w:hint="eastAsia"/>
                <w:spacing w:val="-25"/>
                <w:sz w:val="21"/>
              </w:rPr>
              <w:t> 日</w:t>
            </w:r>
            <w:r>
              <w:rPr>
                <w:rFonts w:ascii="黑体" w:eastAsia="黑体" w:hint="eastAsia"/>
                <w:spacing w:val="-71"/>
                <w:sz w:val="21"/>
              </w:rPr>
              <w:t>）</w:t>
            </w:r>
            <w:r>
              <w:rPr>
                <w:rFonts w:ascii="黑体" w:eastAsia="黑体" w:hint="eastAsia"/>
                <w:spacing w:val="-12"/>
                <w:sz w:val="21"/>
              </w:rPr>
              <w:t>，被保险人因疾病发</w:t>
            </w:r>
            <w:r>
              <w:rPr>
                <w:rFonts w:ascii="黑体" w:eastAsia="黑体" w:hint="eastAsia"/>
                <w:sz w:val="21"/>
              </w:rPr>
              <w:t>Th</w:t>
            </w:r>
            <w:r>
              <w:rPr>
                <w:rFonts w:ascii="黑体" w:eastAsia="黑体" w:hint="eastAsia"/>
                <w:spacing w:val="-3"/>
                <w:sz w:val="21"/>
              </w:rPr>
              <w:t>下列情形之</w:t>
            </w:r>
          </w:p>
          <w:p>
            <w:pPr>
              <w:pStyle w:val="TableParagraph"/>
              <w:spacing w:line="273" w:lineRule="auto" w:before="36"/>
              <w:ind w:left="123" w:right="102"/>
              <w:jc w:val="both"/>
              <w:rPr>
                <w:sz w:val="21"/>
              </w:rPr>
            </w:pPr>
            <w:r>
              <w:rPr>
                <w:rFonts w:ascii="黑体" w:eastAsia="黑体" w:hint="eastAsia"/>
                <w:spacing w:val="-10"/>
                <w:w w:val="100"/>
                <w:sz w:val="21"/>
              </w:rPr>
              <w:t>一的：</w:t>
            </w:r>
            <w:r>
              <w:rPr>
                <w:rFonts w:ascii="黑体" w:eastAsia="黑体" w:hint="eastAsia"/>
                <w:w w:val="100"/>
                <w:sz w:val="21"/>
              </w:rPr>
              <w:t>(1</w:t>
            </w:r>
            <w:r>
              <w:rPr>
                <w:rFonts w:ascii="黑体" w:eastAsia="黑体" w:hint="eastAsia"/>
                <w:spacing w:val="-3"/>
                <w:w w:val="100"/>
                <w:sz w:val="21"/>
              </w:rPr>
              <w:t>)符合本合同第</w:t>
            </w:r>
            <w:r>
              <w:rPr>
                <w:rFonts w:ascii="黑体" w:eastAsia="黑体" w:hint="eastAsia"/>
                <w:spacing w:val="-3"/>
                <w:sz w:val="21"/>
              </w:rPr>
              <w:t> </w:t>
            </w:r>
            <w:r>
              <w:rPr>
                <w:rFonts w:ascii="黑体" w:eastAsia="黑体" w:hint="eastAsia"/>
                <w:w w:val="100"/>
                <w:sz w:val="21"/>
              </w:rPr>
              <w:t>8</w:t>
            </w:r>
            <w:r>
              <w:rPr>
                <w:rFonts w:ascii="黑体" w:eastAsia="黑体" w:hint="eastAsia"/>
                <w:spacing w:val="-55"/>
                <w:sz w:val="21"/>
              </w:rPr>
              <w:t> </w:t>
            </w:r>
            <w:r>
              <w:rPr>
                <w:rFonts w:ascii="黑体" w:eastAsia="黑体" w:hint="eastAsia"/>
                <w:spacing w:val="-6"/>
                <w:w w:val="100"/>
                <w:sz w:val="21"/>
              </w:rPr>
              <w:t>条定义的重大疾病</w:t>
            </w:r>
            <w:r>
              <w:rPr>
                <w:rFonts w:ascii="黑体" w:eastAsia="黑体" w:hint="eastAsia"/>
                <w:w w:val="100"/>
                <w:sz w:val="21"/>
              </w:rPr>
              <w:t>（</w:t>
            </w:r>
            <w:r>
              <w:rPr>
                <w:rFonts w:ascii="黑体" w:eastAsia="黑体" w:hint="eastAsia"/>
                <w:spacing w:val="-3"/>
                <w:w w:val="100"/>
                <w:sz w:val="21"/>
              </w:rPr>
              <w:t>无论一种或多种</w:t>
            </w:r>
            <w:r>
              <w:rPr>
                <w:rFonts w:ascii="黑体" w:eastAsia="黑体" w:hint="eastAsia"/>
                <w:spacing w:val="-106"/>
                <w:w w:val="100"/>
                <w:sz w:val="21"/>
              </w:rPr>
              <w:t>）</w:t>
            </w:r>
            <w:r>
              <w:rPr>
                <w:rFonts w:ascii="黑体" w:eastAsia="黑体" w:hint="eastAsia"/>
                <w:spacing w:val="-28"/>
                <w:w w:val="100"/>
                <w:sz w:val="21"/>
              </w:rPr>
              <w:t>，</w:t>
            </w:r>
            <w:r>
              <w:rPr>
                <w:rFonts w:ascii="黑体" w:eastAsia="黑体" w:hint="eastAsia"/>
                <w:w w:val="100"/>
                <w:sz w:val="21"/>
              </w:rPr>
              <w:t>(2</w:t>
            </w:r>
            <w:r>
              <w:rPr>
                <w:rFonts w:ascii="黑体" w:eastAsia="黑体" w:hint="eastAsia"/>
                <w:spacing w:val="-2"/>
                <w:w w:val="100"/>
                <w:sz w:val="21"/>
              </w:rPr>
              <w:t>)因导致</w:t>
            </w:r>
            <w:r>
              <w:rPr>
                <w:rFonts w:ascii="黑体" w:eastAsia="黑体" w:hint="eastAsia"/>
                <w:spacing w:val="-2"/>
                <w:sz w:val="21"/>
              </w:rPr>
              <w:t>本合同约定的重大疾病</w:t>
            </w:r>
            <w:r>
              <w:rPr>
                <w:rFonts w:ascii="黑体" w:eastAsia="黑体" w:hint="eastAsia"/>
                <w:spacing w:val="-3"/>
                <w:sz w:val="21"/>
              </w:rPr>
              <w:t>（</w:t>
            </w:r>
            <w:r>
              <w:rPr>
                <w:rFonts w:ascii="黑体" w:eastAsia="黑体" w:hint="eastAsia"/>
                <w:sz w:val="21"/>
              </w:rPr>
              <w:t>无论一种或多种）</w:t>
            </w:r>
            <w:r>
              <w:rPr>
                <w:rFonts w:ascii="黑体" w:eastAsia="黑体" w:hint="eastAsia"/>
                <w:spacing w:val="-1"/>
                <w:sz w:val="21"/>
              </w:rPr>
              <w:t>的相关疾病就诊，本公司不承担</w:t>
            </w:r>
            <w:r>
              <w:rPr>
                <w:rFonts w:ascii="黑体" w:eastAsia="黑体" w:hint="eastAsia"/>
                <w:spacing w:val="-3"/>
                <w:sz w:val="21"/>
              </w:rPr>
              <w:t>本合同约定的保险责任，本公司对该被保险人的保险责任终止，并无息退还</w:t>
            </w:r>
            <w:r>
              <w:rPr>
                <w:rFonts w:ascii="黑体" w:eastAsia="黑体" w:hint="eastAsia"/>
                <w:spacing w:val="-9"/>
                <w:sz w:val="21"/>
              </w:rPr>
              <w:t>该被保险人对应的保险费。这 </w:t>
            </w:r>
            <w:r>
              <w:rPr>
                <w:rFonts w:ascii="黑体" w:eastAsia="黑体" w:hint="eastAsia"/>
                <w:sz w:val="21"/>
              </w:rPr>
              <w:t>30</w:t>
            </w:r>
            <w:r>
              <w:rPr>
                <w:rFonts w:ascii="黑体" w:eastAsia="黑体" w:hint="eastAsia"/>
                <w:spacing w:val="-11"/>
                <w:sz w:val="21"/>
              </w:rPr>
              <w:t> 日的时间称为等待期；</w:t>
            </w:r>
            <w:r>
              <w:rPr>
                <w:spacing w:val="-3"/>
                <w:sz w:val="21"/>
              </w:rPr>
              <w:t>但被保险人因</w:t>
            </w:r>
            <w:r>
              <w:rPr>
                <w:b/>
                <w:sz w:val="21"/>
              </w:rPr>
              <w:t>意外伤害</w:t>
            </w:r>
            <w:r>
              <w:rPr>
                <w:sz w:val="21"/>
              </w:rPr>
              <w:t>（</w:t>
            </w:r>
            <w:r>
              <w:rPr>
                <w:spacing w:val="-3"/>
                <w:sz w:val="21"/>
              </w:rPr>
              <w:t>详见释义）发生上述两项情形之一的，则无等待期。</w:t>
            </w:r>
          </w:p>
          <w:p>
            <w:pPr>
              <w:pStyle w:val="TableParagraph"/>
              <w:spacing w:line="273" w:lineRule="auto" w:before="84"/>
              <w:ind w:left="123" w:right="103"/>
              <w:jc w:val="both"/>
              <w:rPr>
                <w:rFonts w:ascii="黑体" w:eastAsia="黑体" w:hint="eastAsia"/>
                <w:sz w:val="21"/>
              </w:rPr>
            </w:pPr>
            <w:r>
              <w:rPr>
                <w:sz w:val="21"/>
              </w:rPr>
              <w:t>若投保人为被保险人连续投保本保险，且经本公司审核同意续保的，则该被保险人续保时无等待期；</w:t>
            </w:r>
            <w:r>
              <w:rPr>
                <w:rFonts w:ascii="黑体" w:eastAsia="黑体" w:hint="eastAsia"/>
                <w:sz w:val="21"/>
              </w:rPr>
              <w:t>但若续保时保险金额增加的，增加部分对应的等待期自续保之日起重新计算。</w:t>
            </w:r>
          </w:p>
        </w:tc>
      </w:tr>
      <w:tr>
        <w:trPr>
          <w:trHeight w:val="765" w:hRule="atLeast"/>
        </w:trPr>
        <w:tc>
          <w:tcPr>
            <w:tcW w:w="692" w:type="dxa"/>
          </w:tcPr>
          <w:p>
            <w:pPr>
              <w:pStyle w:val="TableParagraph"/>
              <w:spacing w:before="57"/>
              <w:ind w:left="108"/>
              <w:rPr>
                <w:b/>
                <w:sz w:val="21"/>
              </w:rPr>
            </w:pPr>
            <w:r>
              <w:rPr>
                <w:b/>
                <w:sz w:val="21"/>
              </w:rPr>
              <w:t>2.4</w:t>
            </w:r>
          </w:p>
        </w:tc>
        <w:tc>
          <w:tcPr>
            <w:tcW w:w="1657" w:type="dxa"/>
          </w:tcPr>
          <w:p>
            <w:pPr>
              <w:pStyle w:val="TableParagraph"/>
              <w:spacing w:before="57"/>
              <w:ind w:left="268"/>
              <w:rPr>
                <w:b/>
                <w:sz w:val="21"/>
              </w:rPr>
            </w:pPr>
            <w:r>
              <w:rPr>
                <w:b/>
                <w:sz w:val="21"/>
              </w:rPr>
              <w:t>保险责任</w:t>
            </w:r>
          </w:p>
        </w:tc>
        <w:tc>
          <w:tcPr>
            <w:tcW w:w="7193" w:type="dxa"/>
          </w:tcPr>
          <w:p>
            <w:pPr>
              <w:pStyle w:val="TableParagraph"/>
              <w:spacing w:line="273" w:lineRule="auto" w:before="57"/>
              <w:ind w:left="123" w:right="103"/>
              <w:rPr>
                <w:sz w:val="21"/>
              </w:rPr>
            </w:pPr>
            <w:r>
              <w:rPr>
                <w:sz w:val="21"/>
              </w:rPr>
              <w:t>在本合同保险期间内，且本合同有效的前提下，本公司按以下约定承担保险责任：</w:t>
            </w:r>
          </w:p>
        </w:tc>
      </w:tr>
      <w:tr>
        <w:trPr>
          <w:trHeight w:val="956" w:hRule="atLeast"/>
        </w:trPr>
        <w:tc>
          <w:tcPr>
            <w:tcW w:w="692" w:type="dxa"/>
          </w:tcPr>
          <w:p>
            <w:pPr>
              <w:pStyle w:val="TableParagraph"/>
              <w:ind w:left="0"/>
              <w:rPr>
                <w:rFonts w:ascii="Times New Roman"/>
                <w:sz w:val="20"/>
              </w:rPr>
            </w:pPr>
          </w:p>
        </w:tc>
        <w:tc>
          <w:tcPr>
            <w:tcW w:w="1657" w:type="dxa"/>
          </w:tcPr>
          <w:p>
            <w:pPr>
              <w:pStyle w:val="TableParagraph"/>
              <w:spacing w:line="273" w:lineRule="auto" w:before="57"/>
              <w:ind w:left="268" w:right="124"/>
              <w:rPr>
                <w:sz w:val="21"/>
              </w:rPr>
            </w:pPr>
            <w:r>
              <w:rPr>
                <w:sz w:val="21"/>
              </w:rPr>
              <w:t>重大疾病保险金</w:t>
            </w:r>
          </w:p>
        </w:tc>
        <w:tc>
          <w:tcPr>
            <w:tcW w:w="7193" w:type="dxa"/>
          </w:tcPr>
          <w:p>
            <w:pPr>
              <w:pStyle w:val="TableParagraph"/>
              <w:spacing w:line="310" w:lineRule="atLeast" w:before="22"/>
              <w:ind w:left="123" w:right="102"/>
              <w:jc w:val="both"/>
              <w:rPr>
                <w:sz w:val="21"/>
              </w:rPr>
            </w:pPr>
            <w:r>
              <w:rPr>
                <w:spacing w:val="-1"/>
                <w:sz w:val="21"/>
              </w:rPr>
              <w:t>若被保险人于等待期后经</w:t>
            </w:r>
            <w:r>
              <w:rPr>
                <w:b/>
                <w:sz w:val="21"/>
              </w:rPr>
              <w:t>医院</w:t>
            </w:r>
            <w:r>
              <w:rPr>
                <w:sz w:val="21"/>
              </w:rPr>
              <w:t>（详见释义）</w:t>
            </w:r>
            <w:r>
              <w:rPr>
                <w:spacing w:val="-3"/>
                <w:sz w:val="21"/>
              </w:rPr>
              <w:t>确诊初次发生符合本合同约定的</w:t>
            </w:r>
            <w:r>
              <w:rPr>
                <w:spacing w:val="-12"/>
                <w:sz w:val="21"/>
              </w:rPr>
              <w:t>重大疾病</w:t>
            </w:r>
            <w:r>
              <w:rPr>
                <w:sz w:val="21"/>
              </w:rPr>
              <w:t>（</w:t>
            </w:r>
            <w:r>
              <w:rPr>
                <w:spacing w:val="-3"/>
                <w:sz w:val="21"/>
              </w:rPr>
              <w:t>无论一种或多种</w:t>
            </w:r>
            <w:r>
              <w:rPr>
                <w:spacing w:val="-73"/>
                <w:sz w:val="21"/>
              </w:rPr>
              <w:t>）</w:t>
            </w:r>
            <w:r>
              <w:rPr>
                <w:spacing w:val="-10"/>
                <w:sz w:val="21"/>
              </w:rPr>
              <w:t>，本公司按本合同载明的该被保险人对应的保险</w:t>
            </w:r>
            <w:r>
              <w:rPr>
                <w:spacing w:val="-5"/>
                <w:sz w:val="21"/>
              </w:rPr>
              <w:t>金额给付重大疾病保险金，本公司对该被保险人的保险责任终止。</w:t>
            </w:r>
          </w:p>
        </w:tc>
      </w:tr>
    </w:tbl>
    <w:p>
      <w:pPr>
        <w:spacing w:after="0" w:line="310" w:lineRule="atLeast"/>
        <w:jc w:val="both"/>
        <w:rPr>
          <w:sz w:val="21"/>
        </w:rPr>
        <w:sectPr>
          <w:pgSz w:w="11910" w:h="16840"/>
          <w:pgMar w:top="1480" w:bottom="280" w:left="102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675"/>
        <w:gridCol w:w="7175"/>
      </w:tblGrid>
      <w:tr>
        <w:trPr>
          <w:trHeight w:val="5550" w:hRule="atLeast"/>
        </w:trPr>
        <w:tc>
          <w:tcPr>
            <w:tcW w:w="692" w:type="dxa"/>
          </w:tcPr>
          <w:p>
            <w:pPr>
              <w:pStyle w:val="TableParagraph"/>
              <w:spacing w:line="202" w:lineRule="exact"/>
              <w:ind w:left="108"/>
              <w:rPr>
                <w:b/>
                <w:sz w:val="21"/>
              </w:rPr>
            </w:pPr>
            <w:r>
              <w:rPr>
                <w:b/>
                <w:sz w:val="21"/>
              </w:rPr>
              <w:t>2.5</w:t>
            </w:r>
          </w:p>
        </w:tc>
        <w:tc>
          <w:tcPr>
            <w:tcW w:w="1675" w:type="dxa"/>
          </w:tcPr>
          <w:p>
            <w:pPr>
              <w:pStyle w:val="TableParagraph"/>
              <w:spacing w:line="202" w:lineRule="exact"/>
              <w:ind w:left="268"/>
              <w:rPr>
                <w:b/>
                <w:sz w:val="21"/>
              </w:rPr>
            </w:pPr>
            <w:r>
              <w:rPr>
                <w:b/>
                <w:sz w:val="21"/>
              </w:rPr>
              <w:t>责任免除</w:t>
            </w:r>
          </w:p>
        </w:tc>
        <w:tc>
          <w:tcPr>
            <w:tcW w:w="7175" w:type="dxa"/>
          </w:tcPr>
          <w:p>
            <w:pPr>
              <w:pStyle w:val="TableParagraph"/>
              <w:spacing w:line="202" w:lineRule="exact"/>
              <w:ind w:left="105"/>
              <w:rPr>
                <w:rFonts w:ascii="黑体" w:eastAsia="黑体" w:hint="eastAsia"/>
                <w:sz w:val="21"/>
              </w:rPr>
            </w:pPr>
            <w:r>
              <w:rPr>
                <w:rFonts w:ascii="黑体" w:eastAsia="黑体" w:hint="eastAsia"/>
                <w:sz w:val="21"/>
              </w:rPr>
              <w:t>因下列情形之一导致被保险人发Th疾病、达到疾病状态或进行手术的，本公</w:t>
            </w:r>
          </w:p>
          <w:p>
            <w:pPr>
              <w:pStyle w:val="TableParagraph"/>
              <w:spacing w:before="37"/>
              <w:ind w:left="105"/>
              <w:rPr>
                <w:rFonts w:ascii="黑体" w:eastAsia="黑体" w:hint="eastAsia"/>
                <w:sz w:val="21"/>
              </w:rPr>
            </w:pPr>
            <w:r>
              <w:rPr>
                <w:rFonts w:ascii="黑体" w:eastAsia="黑体" w:hint="eastAsia"/>
                <w:sz w:val="21"/>
              </w:rPr>
              <w:t>司不承担给付保险金的责任：</w:t>
            </w:r>
          </w:p>
          <w:p>
            <w:pPr>
              <w:pStyle w:val="TableParagraph"/>
              <w:spacing w:before="37"/>
              <w:ind w:left="104"/>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05"/>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104"/>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104" w:right="105"/>
              <w:rPr>
                <w:rFonts w:ascii="黑体" w:eastAsia="黑体" w:hint="eastAsia"/>
                <w:sz w:val="21"/>
              </w:rPr>
            </w:pPr>
            <w:r>
              <w:rPr>
                <w:rFonts w:ascii="黑体" w:eastAsia="黑体" w:hint="eastAsia"/>
                <w:sz w:val="21"/>
              </w:rPr>
              <w:t>(4)</w:t>
            </w:r>
            <w:r>
              <w:rPr>
                <w:rFonts w:ascii="黑体" w:eastAsia="黑体" w:hint="eastAsia"/>
                <w:spacing w:val="-1"/>
                <w:sz w:val="21"/>
              </w:rPr>
              <w:t>被保险人</w:t>
            </w:r>
            <w:r>
              <w:rPr>
                <w:rFonts w:ascii="黑体" w:eastAsia="黑体" w:hint="eastAsia"/>
                <w:b/>
                <w:sz w:val="21"/>
              </w:rPr>
              <w:t>酒后驾驶</w:t>
            </w:r>
            <w:r>
              <w:rPr>
                <w:rFonts w:ascii="黑体" w:eastAsia="黑体" w:hint="eastAsia"/>
                <w:spacing w:val="-3"/>
                <w:sz w:val="21"/>
              </w:rPr>
              <w:t>（详见释义</w:t>
            </w:r>
            <w:r>
              <w:rPr>
                <w:rFonts w:ascii="黑体" w:eastAsia="黑体" w:hint="eastAsia"/>
                <w:spacing w:val="-104"/>
                <w:sz w:val="21"/>
              </w:rPr>
              <w:t>）</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z w:val="21"/>
              </w:rPr>
              <w:t>（</w:t>
            </w:r>
            <w:r>
              <w:rPr>
                <w:rFonts w:ascii="黑体" w:eastAsia="黑体" w:hint="eastAsia"/>
                <w:spacing w:val="-2"/>
                <w:sz w:val="21"/>
              </w:rPr>
              <w:t>详见释义</w:t>
            </w:r>
            <w:r>
              <w:rPr>
                <w:rFonts w:ascii="黑体" w:eastAsia="黑体" w:hint="eastAsia"/>
                <w:spacing w:val="-3"/>
                <w:sz w:val="21"/>
              </w:rPr>
              <w:t>）</w:t>
            </w:r>
            <w:r>
              <w:rPr>
                <w:rFonts w:ascii="黑体" w:eastAsia="黑体" w:hint="eastAsia"/>
                <w:sz w:val="21"/>
              </w:rPr>
              <w:t>或</w:t>
            </w:r>
            <w:r>
              <w:rPr>
                <w:rFonts w:ascii="黑体" w:eastAsia="黑体" w:hint="eastAsia"/>
                <w:spacing w:val="-2"/>
                <w:sz w:val="21"/>
              </w:rPr>
              <w:t>驾驶</w:t>
            </w:r>
            <w:r>
              <w:rPr>
                <w:rFonts w:ascii="黑体" w:eastAsia="黑体" w:hint="eastAsia"/>
                <w:b/>
                <w:sz w:val="21"/>
              </w:rPr>
              <w:t>无有效行驶证</w:t>
            </w:r>
            <w:r>
              <w:rPr>
                <w:rFonts w:ascii="黑体" w:eastAsia="黑体" w:hint="eastAsia"/>
                <w:spacing w:val="-3"/>
                <w:sz w:val="21"/>
              </w:rPr>
              <w:t>（详见释义</w:t>
            </w:r>
            <w:r>
              <w:rPr>
                <w:rFonts w:ascii="黑体" w:eastAsia="黑体" w:hint="eastAsia"/>
                <w:sz w:val="21"/>
              </w:rPr>
              <w:t>）</w:t>
            </w:r>
            <w:r>
              <w:rPr>
                <w:rFonts w:ascii="黑体" w:eastAsia="黑体" w:hint="eastAsia"/>
                <w:spacing w:val="-3"/>
                <w:sz w:val="21"/>
              </w:rPr>
              <w:t>的机动车；</w:t>
            </w:r>
          </w:p>
          <w:p>
            <w:pPr>
              <w:pStyle w:val="TableParagraph"/>
              <w:spacing w:line="273" w:lineRule="auto" w:before="8"/>
              <w:ind w:left="105" w:right="102" w:hanging="1"/>
              <w:rPr>
                <w:rFonts w:ascii="黑体" w:hAnsi="黑体" w:eastAsia="黑体" w:hint="eastAsia"/>
                <w:sz w:val="21"/>
              </w:rPr>
            </w:pPr>
            <w:r>
              <w:rPr>
                <w:rFonts w:ascii="黑体" w:hAnsi="黑体" w:eastAsia="黑体" w:hint="eastAsia"/>
                <w:w w:val="100"/>
                <w:sz w:val="21"/>
              </w:rPr>
              <w:t>(5)</w:t>
            </w:r>
            <w:r>
              <w:rPr>
                <w:rFonts w:ascii="黑体" w:hAnsi="黑体" w:eastAsia="黑体" w:hint="eastAsia"/>
                <w:spacing w:val="-1"/>
                <w:w w:val="100"/>
                <w:sz w:val="21"/>
              </w:rPr>
              <w:t>被保险人</w:t>
            </w:r>
            <w:r>
              <w:rPr>
                <w:rFonts w:ascii="黑体" w:hAnsi="黑体" w:eastAsia="黑体" w:hint="eastAsia"/>
                <w:b/>
                <w:w w:val="100"/>
                <w:sz w:val="21"/>
              </w:rPr>
              <w:t>感染艾滋病病毒或患艾滋病</w:t>
            </w:r>
            <w:r>
              <w:rPr>
                <w:rFonts w:ascii="黑体" w:hAnsi="黑体" w:eastAsia="黑体" w:hint="eastAsia"/>
                <w:spacing w:val="-3"/>
                <w:w w:val="100"/>
                <w:sz w:val="21"/>
              </w:rPr>
              <w:t>（</w:t>
            </w:r>
            <w:r>
              <w:rPr>
                <w:rFonts w:ascii="黑体" w:hAnsi="黑体" w:eastAsia="黑体" w:hint="eastAsia"/>
                <w:spacing w:val="-1"/>
                <w:w w:val="100"/>
                <w:sz w:val="21"/>
              </w:rPr>
              <w:t>详见释义</w:t>
            </w:r>
            <w:r>
              <w:rPr>
                <w:rFonts w:ascii="黑体" w:hAnsi="黑体" w:eastAsia="黑体" w:hint="eastAsia"/>
                <w:spacing w:val="-106"/>
                <w:w w:val="100"/>
                <w:sz w:val="21"/>
              </w:rPr>
              <w:t>）</w:t>
            </w:r>
            <w:r>
              <w:rPr>
                <w:rFonts w:ascii="黑体" w:hAnsi="黑体" w:eastAsia="黑体" w:hint="eastAsia"/>
                <w:spacing w:val="-1"/>
                <w:w w:val="100"/>
                <w:sz w:val="21"/>
              </w:rPr>
              <w:t>，但若属于本合同所保</w:t>
            </w:r>
            <w:r>
              <w:rPr>
                <w:rFonts w:ascii="黑体" w:hAnsi="黑体" w:eastAsia="黑体" w:hint="eastAsia"/>
                <w:spacing w:val="-9"/>
                <w:w w:val="100"/>
                <w:sz w:val="21"/>
              </w:rPr>
              <w:t>障的“经输血导致的人类免疫缺陷病毒感染”，则不在此限；</w:t>
            </w:r>
          </w:p>
          <w:p>
            <w:pPr>
              <w:pStyle w:val="TableParagraph"/>
              <w:spacing w:before="8"/>
              <w:ind w:left="105"/>
              <w:rPr>
                <w:rFonts w:ascii="黑体" w:eastAsia="黑体" w:hint="eastAsia"/>
                <w:sz w:val="21"/>
              </w:rPr>
            </w:pPr>
            <w:r>
              <w:rPr>
                <w:rFonts w:ascii="黑体" w:eastAsia="黑体" w:hint="eastAsia"/>
                <w:sz w:val="21"/>
              </w:rPr>
              <w:t>(6)战争、军事冲突、暴乱或武装叛乱；</w:t>
            </w:r>
          </w:p>
          <w:p>
            <w:pPr>
              <w:pStyle w:val="TableParagraph"/>
              <w:spacing w:before="37"/>
              <w:ind w:left="105"/>
              <w:rPr>
                <w:rFonts w:ascii="黑体" w:eastAsia="黑体" w:hint="eastAsia"/>
                <w:sz w:val="21"/>
              </w:rPr>
            </w:pPr>
            <w:r>
              <w:rPr>
                <w:rFonts w:ascii="黑体" w:eastAsia="黑体" w:hint="eastAsia"/>
                <w:sz w:val="21"/>
              </w:rPr>
              <w:t>(7)核爆炸、核辐射或核污染；</w:t>
            </w:r>
          </w:p>
          <w:p>
            <w:pPr>
              <w:pStyle w:val="TableParagraph"/>
              <w:spacing w:before="37"/>
              <w:ind w:left="105"/>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（详见释义</w:t>
            </w:r>
            <w:r>
              <w:rPr>
                <w:rFonts w:ascii="黑体" w:eastAsia="黑体" w:hint="eastAsia"/>
                <w:spacing w:val="-108"/>
                <w:w w:val="100"/>
                <w:sz w:val="21"/>
              </w:rPr>
              <w:t>）</w:t>
            </w:r>
            <w:r>
              <w:rPr>
                <w:rFonts w:ascii="黑体" w:eastAsia="黑体" w:hint="eastAsia"/>
                <w:w w:val="100"/>
                <w:sz w:val="21"/>
              </w:rPr>
              <w:t>。</w:t>
            </w:r>
          </w:p>
          <w:p>
            <w:pPr>
              <w:pStyle w:val="TableParagraph"/>
              <w:spacing w:line="273" w:lineRule="auto" w:before="114"/>
              <w:ind w:left="104" w:right="102"/>
              <w:jc w:val="both"/>
              <w:rPr>
                <w:rFonts w:ascii="黑体" w:eastAsia="黑体" w:hint="eastAsia"/>
                <w:sz w:val="21"/>
              </w:rPr>
            </w:pPr>
            <w:r>
              <w:rPr>
                <w:rFonts w:ascii="黑体" w:eastAsia="黑体" w:hint="eastAsia"/>
                <w:sz w:val="21"/>
              </w:rPr>
              <w:t>发Th</w:t>
            </w:r>
            <w:r>
              <w:rPr>
                <w:rFonts w:ascii="黑体" w:eastAsia="黑体" w:hint="eastAsia"/>
                <w:spacing w:val="-3"/>
                <w:sz w:val="21"/>
              </w:rPr>
              <w:t>上述第</w:t>
            </w:r>
            <w:r>
              <w:rPr>
                <w:rFonts w:ascii="黑体" w:eastAsia="黑体" w:hint="eastAsia"/>
                <w:sz w:val="21"/>
              </w:rPr>
              <w:t>(1</w:t>
            </w:r>
            <w:r>
              <w:rPr>
                <w:rFonts w:ascii="黑体" w:eastAsia="黑体" w:hint="eastAsia"/>
                <w:spacing w:val="-3"/>
                <w:sz w:val="21"/>
              </w:rPr>
              <w:t>)项情形导致被保险人初次发</w:t>
            </w:r>
            <w:r>
              <w:rPr>
                <w:rFonts w:ascii="黑体" w:eastAsia="黑体" w:hint="eastAsia"/>
                <w:sz w:val="21"/>
              </w:rPr>
              <w:t>Th</w:t>
            </w:r>
            <w:r>
              <w:rPr>
                <w:rFonts w:ascii="黑体" w:eastAsia="黑体" w:hint="eastAsia"/>
                <w:spacing w:val="-10"/>
                <w:sz w:val="21"/>
              </w:rPr>
              <w:t>本合同约定的重大疾病的，本公</w:t>
            </w:r>
            <w:r>
              <w:rPr>
                <w:rFonts w:ascii="黑体" w:eastAsia="黑体" w:hint="eastAsia"/>
                <w:spacing w:val="-11"/>
                <w:sz w:val="21"/>
              </w:rPr>
              <w:t>司对该被保险人的保险责任终止，并向该被保险人退还其对应的</w:t>
            </w:r>
            <w:r>
              <w:rPr>
                <w:rFonts w:ascii="黑体" w:eastAsia="黑体" w:hint="eastAsia"/>
                <w:b/>
                <w:spacing w:val="-23"/>
                <w:sz w:val="21"/>
              </w:rPr>
              <w:t>现金价值</w:t>
            </w:r>
            <w:r>
              <w:rPr>
                <w:rFonts w:ascii="黑体" w:eastAsia="黑体" w:hint="eastAsia"/>
                <w:spacing w:val="-3"/>
                <w:sz w:val="21"/>
              </w:rPr>
              <w:t>（详</w:t>
            </w:r>
            <w:r>
              <w:rPr>
                <w:rFonts w:ascii="黑体" w:eastAsia="黑体" w:hint="eastAsia"/>
                <w:spacing w:val="-1"/>
                <w:sz w:val="21"/>
              </w:rPr>
              <w:t>见释义</w:t>
            </w:r>
            <w:r>
              <w:rPr>
                <w:rFonts w:ascii="黑体" w:eastAsia="黑体" w:hint="eastAsia"/>
                <w:spacing w:val="-106"/>
                <w:sz w:val="21"/>
              </w:rPr>
              <w:t>）</w:t>
            </w:r>
            <w:r>
              <w:rPr>
                <w:rFonts w:ascii="黑体" w:eastAsia="黑体" w:hint="eastAsia"/>
                <w:sz w:val="21"/>
              </w:rPr>
              <w:t>。</w:t>
            </w:r>
          </w:p>
          <w:p>
            <w:pPr>
              <w:pStyle w:val="TableParagraph"/>
              <w:spacing w:line="273" w:lineRule="auto" w:before="87"/>
              <w:ind w:left="105" w:right="1"/>
              <w:rPr>
                <w:rFonts w:ascii="黑体" w:eastAsia="黑体" w:hint="eastAsia"/>
                <w:sz w:val="21"/>
              </w:rPr>
            </w:pPr>
            <w:r>
              <w:rPr>
                <w:rFonts w:ascii="黑体" w:eastAsia="黑体" w:hint="eastAsia"/>
                <w:sz w:val="21"/>
              </w:rPr>
              <w:t>发Th</w:t>
            </w:r>
            <w:r>
              <w:rPr>
                <w:rFonts w:ascii="黑体" w:eastAsia="黑体" w:hint="eastAsia"/>
                <w:spacing w:val="-1"/>
                <w:sz w:val="21"/>
              </w:rPr>
              <w:t>上述其他情形导致被保险人初次发</w:t>
            </w:r>
            <w:r>
              <w:rPr>
                <w:rFonts w:ascii="黑体" w:eastAsia="黑体" w:hint="eastAsia"/>
                <w:sz w:val="21"/>
              </w:rPr>
              <w:t>Th</w:t>
            </w:r>
            <w:r>
              <w:rPr>
                <w:rFonts w:ascii="黑体" w:eastAsia="黑体" w:hint="eastAsia"/>
                <w:spacing w:val="-1"/>
                <w:sz w:val="21"/>
              </w:rPr>
              <w:t>本合同约定的重大疾病的，本公司</w:t>
            </w:r>
            <w:r>
              <w:rPr>
                <w:rFonts w:ascii="黑体" w:eastAsia="黑体" w:hint="eastAsia"/>
                <w:spacing w:val="-9"/>
                <w:sz w:val="21"/>
              </w:rPr>
              <w:t>对该被保险人的保险责任终止，并向投保人退还该被保险人对应的现金价值。</w:t>
            </w:r>
          </w:p>
        </w:tc>
      </w:tr>
      <w:tr>
        <w:trPr>
          <w:trHeight w:val="312" w:hRule="atLeast"/>
        </w:trPr>
        <w:tc>
          <w:tcPr>
            <w:tcW w:w="692" w:type="dxa"/>
            <w:shd w:val="clear" w:color="auto" w:fill="DADADA"/>
          </w:tcPr>
          <w:p>
            <w:pPr>
              <w:pStyle w:val="TableParagraph"/>
              <w:spacing w:line="254" w:lineRule="exact"/>
              <w:ind w:left="108"/>
              <w:rPr>
                <w:b/>
                <w:sz w:val="21"/>
              </w:rPr>
            </w:pPr>
            <w:r>
              <w:rPr>
                <w:b/>
                <w:sz w:val="21"/>
              </w:rPr>
              <w:t>3．</w:t>
            </w:r>
          </w:p>
        </w:tc>
        <w:tc>
          <w:tcPr>
            <w:tcW w:w="1675" w:type="dxa"/>
            <w:shd w:val="clear" w:color="auto" w:fill="DADADA"/>
          </w:tcPr>
          <w:p>
            <w:pPr>
              <w:pStyle w:val="TableParagraph"/>
              <w:spacing w:line="254" w:lineRule="exact"/>
              <w:ind w:left="268"/>
              <w:rPr>
                <w:b/>
                <w:sz w:val="21"/>
              </w:rPr>
            </w:pPr>
            <w:r>
              <w:rPr>
                <w:b/>
                <w:sz w:val="21"/>
              </w:rPr>
              <w:t>保险金的申请</w:t>
            </w:r>
          </w:p>
        </w:tc>
        <w:tc>
          <w:tcPr>
            <w:tcW w:w="7175" w:type="dxa"/>
            <w:shd w:val="clear" w:color="auto" w:fill="DADADA"/>
          </w:tcPr>
          <w:p>
            <w:pPr>
              <w:pStyle w:val="TableParagraph"/>
              <w:ind w:left="0"/>
              <w:rPr>
                <w:rFonts w:ascii="Times New Roman"/>
                <w:sz w:val="20"/>
              </w:rPr>
            </w:pPr>
          </w:p>
        </w:tc>
      </w:tr>
      <w:tr>
        <w:trPr>
          <w:trHeight w:val="525" w:hRule="atLeast"/>
        </w:trPr>
        <w:tc>
          <w:tcPr>
            <w:tcW w:w="692" w:type="dxa"/>
          </w:tcPr>
          <w:p>
            <w:pPr>
              <w:pStyle w:val="TableParagraph"/>
              <w:spacing w:before="120"/>
              <w:ind w:left="108"/>
              <w:rPr>
                <w:b/>
                <w:sz w:val="21"/>
              </w:rPr>
            </w:pPr>
            <w:r>
              <w:rPr>
                <w:b/>
                <w:sz w:val="21"/>
              </w:rPr>
              <w:t>3.1</w:t>
            </w:r>
          </w:p>
        </w:tc>
        <w:tc>
          <w:tcPr>
            <w:tcW w:w="1675" w:type="dxa"/>
          </w:tcPr>
          <w:p>
            <w:pPr>
              <w:pStyle w:val="TableParagraph"/>
              <w:spacing w:before="120"/>
              <w:ind w:left="268"/>
              <w:rPr>
                <w:b/>
                <w:sz w:val="21"/>
              </w:rPr>
            </w:pPr>
            <w:r>
              <w:rPr>
                <w:b/>
                <w:sz w:val="21"/>
              </w:rPr>
              <w:t>受益人</w:t>
            </w:r>
          </w:p>
        </w:tc>
        <w:tc>
          <w:tcPr>
            <w:tcW w:w="7175" w:type="dxa"/>
          </w:tcPr>
          <w:p>
            <w:pPr>
              <w:pStyle w:val="TableParagraph"/>
              <w:spacing w:before="120"/>
              <w:ind w:left="105"/>
              <w:rPr>
                <w:sz w:val="21"/>
              </w:rPr>
            </w:pPr>
            <w:r>
              <w:rPr>
                <w:sz w:val="21"/>
              </w:rPr>
              <w:t>重大疾病保险金的受益人为被保险人本人。</w:t>
            </w:r>
          </w:p>
        </w:tc>
      </w:tr>
      <w:tr>
        <w:trPr>
          <w:trHeight w:val="2092" w:hRule="atLeast"/>
        </w:trPr>
        <w:tc>
          <w:tcPr>
            <w:tcW w:w="692" w:type="dxa"/>
          </w:tcPr>
          <w:p>
            <w:pPr>
              <w:pStyle w:val="TableParagraph"/>
              <w:spacing w:before="48"/>
              <w:ind w:left="108"/>
              <w:rPr>
                <w:b/>
                <w:sz w:val="21"/>
              </w:rPr>
            </w:pPr>
            <w:r>
              <w:rPr>
                <w:b/>
                <w:sz w:val="21"/>
              </w:rPr>
              <w:t>3.2</w:t>
            </w:r>
          </w:p>
        </w:tc>
        <w:tc>
          <w:tcPr>
            <w:tcW w:w="1675" w:type="dxa"/>
          </w:tcPr>
          <w:p>
            <w:pPr>
              <w:pStyle w:val="TableParagraph"/>
              <w:spacing w:before="48"/>
              <w:ind w:left="268"/>
              <w:rPr>
                <w:b/>
                <w:sz w:val="21"/>
              </w:rPr>
            </w:pPr>
            <w:r>
              <w:rPr>
                <w:b/>
                <w:sz w:val="21"/>
              </w:rPr>
              <w:t>保险事故通知</w:t>
            </w:r>
          </w:p>
        </w:tc>
        <w:tc>
          <w:tcPr>
            <w:tcW w:w="7175" w:type="dxa"/>
          </w:tcPr>
          <w:p>
            <w:pPr>
              <w:pStyle w:val="TableParagraph"/>
              <w:spacing w:before="48"/>
              <w:ind w:left="105"/>
              <w:rPr>
                <w:sz w:val="21"/>
              </w:rPr>
            </w:pPr>
            <w:r>
              <w:rPr>
                <w:sz w:val="21"/>
              </w:rPr>
              <w:t>投保人、被保险人或受益人知道保险事故后应当在 10 日内通知本公司。</w:t>
            </w:r>
          </w:p>
          <w:p>
            <w:pPr>
              <w:pStyle w:val="TableParagraph"/>
              <w:spacing w:line="273" w:lineRule="auto" w:before="115"/>
              <w:ind w:left="104" w:right="103"/>
              <w:jc w:val="both"/>
              <w:rPr>
                <w:sz w:val="21"/>
              </w:rPr>
            </w:pPr>
            <w:r>
              <w:rPr>
                <w:rFonts w:ascii="黑体" w:eastAsia="黑体" w:hint="eastAsia"/>
                <w:sz w:val="21"/>
              </w:rPr>
              <w:t>如果投保人、被保险人或受益人故意或者因重大过失未及时通知，致使保险事故的性质、原因、损失程度等难以确定的，本公司对无法确定的部分，不承担给付保险金的责任，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但本公司通过其他途径已经及时知道或者应当及时知道保险事故发生或者虽未及时通知但不影响本公司确定保险事故的性质、原因、损失程度的除外。</w:t>
            </w:r>
          </w:p>
        </w:tc>
      </w:tr>
      <w:tr>
        <w:trPr>
          <w:trHeight w:val="453" w:hRule="atLeast"/>
        </w:trPr>
        <w:tc>
          <w:tcPr>
            <w:tcW w:w="692" w:type="dxa"/>
          </w:tcPr>
          <w:p>
            <w:pPr>
              <w:pStyle w:val="TableParagraph"/>
              <w:spacing w:before="49"/>
              <w:ind w:left="108"/>
              <w:rPr>
                <w:b/>
                <w:sz w:val="21"/>
              </w:rPr>
            </w:pPr>
            <w:r>
              <w:rPr>
                <w:b/>
                <w:sz w:val="21"/>
              </w:rPr>
              <w:t>3.3</w:t>
            </w:r>
          </w:p>
        </w:tc>
        <w:tc>
          <w:tcPr>
            <w:tcW w:w="1675" w:type="dxa"/>
          </w:tcPr>
          <w:p>
            <w:pPr>
              <w:pStyle w:val="TableParagraph"/>
              <w:spacing w:before="49"/>
              <w:ind w:left="268"/>
              <w:rPr>
                <w:b/>
                <w:sz w:val="21"/>
              </w:rPr>
            </w:pPr>
            <w:r>
              <w:rPr>
                <w:b/>
                <w:sz w:val="21"/>
              </w:rPr>
              <w:t>保险金申请</w:t>
            </w:r>
          </w:p>
        </w:tc>
        <w:tc>
          <w:tcPr>
            <w:tcW w:w="7175" w:type="dxa"/>
          </w:tcPr>
          <w:p>
            <w:pPr>
              <w:pStyle w:val="TableParagraph"/>
              <w:spacing w:before="49"/>
              <w:ind w:left="105"/>
              <w:rPr>
                <w:sz w:val="21"/>
              </w:rPr>
            </w:pPr>
            <w:r>
              <w:rPr>
                <w:sz w:val="21"/>
              </w:rPr>
              <w:t>在申请保险金时，请按照下列方式办理：</w:t>
            </w:r>
          </w:p>
        </w:tc>
      </w:tr>
      <w:tr>
        <w:trPr>
          <w:trHeight w:val="2637" w:hRule="atLeast"/>
        </w:trPr>
        <w:tc>
          <w:tcPr>
            <w:tcW w:w="692" w:type="dxa"/>
          </w:tcPr>
          <w:p>
            <w:pPr>
              <w:pStyle w:val="TableParagraph"/>
              <w:ind w:left="0"/>
              <w:rPr>
                <w:rFonts w:ascii="Times New Roman"/>
                <w:sz w:val="20"/>
              </w:rPr>
            </w:pPr>
          </w:p>
        </w:tc>
        <w:tc>
          <w:tcPr>
            <w:tcW w:w="1675" w:type="dxa"/>
          </w:tcPr>
          <w:p>
            <w:pPr>
              <w:pStyle w:val="TableParagraph"/>
              <w:spacing w:line="273" w:lineRule="auto" w:before="48"/>
              <w:ind w:left="267" w:right="101"/>
              <w:rPr>
                <w:sz w:val="21"/>
              </w:rPr>
            </w:pPr>
            <w:r>
              <w:rPr>
                <w:sz w:val="21"/>
              </w:rPr>
              <w:t>重大疾病保险金申请</w:t>
            </w:r>
          </w:p>
        </w:tc>
        <w:tc>
          <w:tcPr>
            <w:tcW w:w="7175" w:type="dxa"/>
          </w:tcPr>
          <w:p>
            <w:pPr>
              <w:pStyle w:val="TableParagraph"/>
              <w:spacing w:before="48"/>
              <w:ind w:left="105"/>
              <w:rPr>
                <w:sz w:val="21"/>
              </w:rPr>
            </w:pPr>
            <w:r>
              <w:rPr>
                <w:sz w:val="21"/>
              </w:rPr>
              <w:t>受益人须填写保险金给付申请书，并提供下列证明和资料：</w:t>
            </w:r>
          </w:p>
          <w:p>
            <w:pPr>
              <w:pStyle w:val="TableParagraph"/>
              <w:spacing w:before="36"/>
              <w:ind w:left="105"/>
              <w:rPr>
                <w:sz w:val="21"/>
              </w:rPr>
            </w:pPr>
            <w:r>
              <w:rPr>
                <w:sz w:val="21"/>
              </w:rPr>
              <w:t>(1)保险合同或其他保险凭证；</w:t>
            </w:r>
          </w:p>
          <w:p>
            <w:pPr>
              <w:pStyle w:val="TableParagraph"/>
              <w:spacing w:before="36"/>
              <w:ind w:left="105"/>
              <w:rPr>
                <w:sz w:val="21"/>
              </w:rPr>
            </w:pPr>
            <w:r>
              <w:rPr>
                <w:w w:val="100"/>
                <w:sz w:val="21"/>
              </w:rPr>
              <w:t>(2)</w:t>
            </w:r>
            <w:r>
              <w:rPr>
                <w:spacing w:val="-3"/>
                <w:w w:val="100"/>
                <w:sz w:val="21"/>
              </w:rPr>
              <w:t>受益人的</w:t>
            </w:r>
            <w:r>
              <w:rPr>
                <w:b/>
                <w:spacing w:val="-1"/>
                <w:w w:val="100"/>
                <w:sz w:val="21"/>
              </w:rPr>
              <w:t>有效身份证件</w:t>
            </w:r>
            <w:r>
              <w:rPr>
                <w:w w:val="100"/>
                <w:sz w:val="21"/>
              </w:rPr>
              <w:t>（</w:t>
            </w:r>
            <w:r>
              <w:rPr>
                <w:spacing w:val="-3"/>
                <w:w w:val="100"/>
                <w:sz w:val="21"/>
              </w:rPr>
              <w:t>详见释义</w:t>
            </w:r>
            <w:r>
              <w:rPr>
                <w:spacing w:val="-106"/>
                <w:w w:val="100"/>
                <w:sz w:val="21"/>
              </w:rPr>
              <w:t>）</w:t>
            </w:r>
            <w:r>
              <w:rPr>
                <w:w w:val="100"/>
                <w:sz w:val="21"/>
              </w:rPr>
              <w:t>；</w:t>
            </w:r>
          </w:p>
          <w:p>
            <w:pPr>
              <w:pStyle w:val="TableParagraph"/>
              <w:spacing w:line="273" w:lineRule="auto" w:before="36"/>
              <w:ind w:left="105" w:right="-15"/>
              <w:rPr>
                <w:sz w:val="21"/>
              </w:rPr>
            </w:pPr>
            <w:r>
              <w:rPr>
                <w:sz w:val="21"/>
              </w:rPr>
              <w:t>(3)</w:t>
            </w:r>
            <w:r>
              <w:rPr>
                <w:spacing w:val="-6"/>
                <w:sz w:val="21"/>
              </w:rPr>
              <w:t>卫生行政部门认定的二级以上</w:t>
            </w:r>
            <w:r>
              <w:rPr>
                <w:spacing w:val="-3"/>
                <w:sz w:val="21"/>
              </w:rPr>
              <w:t>（含二级</w:t>
            </w:r>
            <w:r>
              <w:rPr>
                <w:spacing w:val="-36"/>
                <w:sz w:val="21"/>
              </w:rPr>
              <w:t>）</w:t>
            </w:r>
            <w:r>
              <w:rPr>
                <w:spacing w:val="-3"/>
                <w:sz w:val="21"/>
              </w:rPr>
              <w:t>医院出具的附有病理显微镜检查报告、血液检查及其他科学方法检验报告的病史资料及疾病诊断报告书；但</w:t>
            </w:r>
            <w:r>
              <w:rPr>
                <w:spacing w:val="-6"/>
                <w:sz w:val="21"/>
              </w:rPr>
              <w:t>严重原发性心肌病的理赔须由三级以上</w:t>
            </w:r>
            <w:r>
              <w:rPr>
                <w:sz w:val="21"/>
              </w:rPr>
              <w:t>（</w:t>
            </w:r>
            <w:r>
              <w:rPr>
                <w:spacing w:val="-3"/>
                <w:sz w:val="21"/>
              </w:rPr>
              <w:t>含三级</w:t>
            </w:r>
            <w:r>
              <w:rPr>
                <w:spacing w:val="-39"/>
                <w:sz w:val="21"/>
              </w:rPr>
              <w:t>）</w:t>
            </w:r>
            <w:r>
              <w:rPr>
                <w:spacing w:val="-3"/>
                <w:sz w:val="21"/>
              </w:rPr>
              <w:t>医院出具前述报告和资料； </w:t>
            </w:r>
            <w:r>
              <w:rPr>
                <w:spacing w:val="-4"/>
                <w:sz w:val="21"/>
              </w:rPr>
              <w:t>如有必要，本公司有权对被保险人进行复检，复检费用由本公司承担；</w:t>
            </w:r>
          </w:p>
          <w:p>
            <w:pPr>
              <w:pStyle w:val="TableParagraph"/>
              <w:spacing w:before="7"/>
              <w:ind w:left="104"/>
              <w:rPr>
                <w:sz w:val="21"/>
              </w:rPr>
            </w:pPr>
            <w:r>
              <w:rPr>
                <w:sz w:val="21"/>
              </w:rPr>
              <w:t>(4)所能提供的与确认保险事故的性质、原因等有关的其他证明和资料。</w:t>
            </w:r>
          </w:p>
        </w:tc>
      </w:tr>
      <w:tr>
        <w:trPr>
          <w:trHeight w:val="765" w:hRule="atLeast"/>
        </w:trPr>
        <w:tc>
          <w:tcPr>
            <w:tcW w:w="692" w:type="dxa"/>
          </w:tcPr>
          <w:p>
            <w:pPr>
              <w:pStyle w:val="TableParagraph"/>
              <w:ind w:left="0"/>
              <w:rPr>
                <w:rFonts w:ascii="Times New Roman"/>
                <w:sz w:val="20"/>
              </w:rPr>
            </w:pPr>
          </w:p>
        </w:tc>
        <w:tc>
          <w:tcPr>
            <w:tcW w:w="1675" w:type="dxa"/>
          </w:tcPr>
          <w:p>
            <w:pPr>
              <w:pStyle w:val="TableParagraph"/>
              <w:ind w:left="0"/>
              <w:rPr>
                <w:rFonts w:ascii="Times New Roman"/>
                <w:sz w:val="20"/>
              </w:rPr>
            </w:pPr>
          </w:p>
        </w:tc>
        <w:tc>
          <w:tcPr>
            <w:tcW w:w="7175" w:type="dxa"/>
          </w:tcPr>
          <w:p>
            <w:pPr>
              <w:pStyle w:val="TableParagraph"/>
              <w:spacing w:line="273" w:lineRule="auto" w:before="48"/>
              <w:ind w:left="104" w:right="103"/>
              <w:rPr>
                <w:sz w:val="21"/>
              </w:rPr>
            </w:pPr>
            <w:r>
              <w:rPr>
                <w:sz w:val="21"/>
              </w:rPr>
              <w:t>以上各项证明和资料不完整的，本公司将及时一次性通知受益人补充提供有关证明和资料。</w:t>
            </w:r>
          </w:p>
        </w:tc>
      </w:tr>
      <w:tr>
        <w:trPr>
          <w:trHeight w:val="1268" w:hRule="atLeast"/>
        </w:trPr>
        <w:tc>
          <w:tcPr>
            <w:tcW w:w="692" w:type="dxa"/>
          </w:tcPr>
          <w:p>
            <w:pPr>
              <w:pStyle w:val="TableParagraph"/>
              <w:spacing w:before="48"/>
              <w:ind w:left="108"/>
              <w:rPr>
                <w:b/>
                <w:sz w:val="21"/>
              </w:rPr>
            </w:pPr>
            <w:r>
              <w:rPr>
                <w:b/>
                <w:sz w:val="21"/>
              </w:rPr>
              <w:t>3.4</w:t>
            </w:r>
          </w:p>
        </w:tc>
        <w:tc>
          <w:tcPr>
            <w:tcW w:w="1675" w:type="dxa"/>
          </w:tcPr>
          <w:p>
            <w:pPr>
              <w:pStyle w:val="TableParagraph"/>
              <w:spacing w:before="48"/>
              <w:ind w:left="268"/>
              <w:rPr>
                <w:b/>
                <w:sz w:val="21"/>
              </w:rPr>
            </w:pPr>
            <w:r>
              <w:rPr>
                <w:b/>
                <w:sz w:val="21"/>
              </w:rPr>
              <w:t>保险金给付</w:t>
            </w:r>
          </w:p>
        </w:tc>
        <w:tc>
          <w:tcPr>
            <w:tcW w:w="7175" w:type="dxa"/>
          </w:tcPr>
          <w:p>
            <w:pPr>
              <w:pStyle w:val="TableParagraph"/>
              <w:spacing w:before="48"/>
              <w:ind w:left="105"/>
              <w:rPr>
                <w:sz w:val="21"/>
              </w:rPr>
            </w:pPr>
            <w:r>
              <w:rPr>
                <w:sz w:val="21"/>
              </w:rPr>
              <w:t>本公司在收到保险金给付申请书及上述有关证明和资料后，将在 5 日内作出</w:t>
            </w:r>
          </w:p>
          <w:p>
            <w:pPr>
              <w:pStyle w:val="TableParagraph"/>
              <w:spacing w:before="36"/>
              <w:ind w:left="105"/>
              <w:rPr>
                <w:sz w:val="21"/>
              </w:rPr>
            </w:pPr>
            <w:r>
              <w:rPr>
                <w:spacing w:val="-7"/>
                <w:sz w:val="21"/>
              </w:rPr>
              <w:t>核定；</w:t>
            </w:r>
            <w:r>
              <w:rPr>
                <w:b/>
                <w:spacing w:val="-4"/>
                <w:sz w:val="21"/>
              </w:rPr>
              <w:t>情形复杂</w:t>
            </w:r>
            <w:r>
              <w:rPr>
                <w:spacing w:val="-3"/>
                <w:sz w:val="21"/>
              </w:rPr>
              <w:t>（详见释义</w:t>
            </w:r>
            <w:r>
              <w:rPr>
                <w:spacing w:val="-15"/>
                <w:sz w:val="21"/>
              </w:rPr>
              <w:t>）</w:t>
            </w:r>
            <w:r>
              <w:rPr>
                <w:spacing w:val="-14"/>
                <w:sz w:val="21"/>
              </w:rPr>
              <w:t>的，在 </w:t>
            </w:r>
            <w:r>
              <w:rPr>
                <w:sz w:val="21"/>
              </w:rPr>
              <w:t>30</w:t>
            </w:r>
            <w:r>
              <w:rPr>
                <w:spacing w:val="-9"/>
                <w:sz w:val="21"/>
              </w:rPr>
              <w:t> 日内作出核定。对属于给付保险金责</w:t>
            </w:r>
          </w:p>
          <w:p>
            <w:pPr>
              <w:pStyle w:val="TableParagraph"/>
              <w:spacing w:line="310" w:lineRule="atLeast" w:before="1"/>
              <w:ind w:left="104" w:right="105"/>
              <w:rPr>
                <w:sz w:val="21"/>
              </w:rPr>
            </w:pPr>
            <w:r>
              <w:rPr>
                <w:spacing w:val="-10"/>
                <w:sz w:val="21"/>
              </w:rPr>
              <w:t>任的，本公司在与受益人达成给付保险金的协议后 </w:t>
            </w:r>
            <w:r>
              <w:rPr>
                <w:sz w:val="21"/>
              </w:rPr>
              <w:t>10</w:t>
            </w:r>
            <w:r>
              <w:rPr>
                <w:spacing w:val="-10"/>
                <w:sz w:val="21"/>
              </w:rPr>
              <w:t> 日内，履行给付保险金义务。</w:t>
            </w:r>
          </w:p>
        </w:tc>
      </w:tr>
    </w:tbl>
    <w:p>
      <w:pPr>
        <w:spacing w:after="0" w:line="310" w:lineRule="atLeast"/>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657"/>
        <w:gridCol w:w="7193"/>
      </w:tblGrid>
      <w:tr>
        <w:trPr>
          <w:trHeight w:val="2672" w:hRule="atLeast"/>
        </w:trPr>
        <w:tc>
          <w:tcPr>
            <w:tcW w:w="692" w:type="dxa"/>
          </w:tcPr>
          <w:p>
            <w:pPr>
              <w:pStyle w:val="TableParagraph"/>
              <w:ind w:left="0"/>
              <w:rPr>
                <w:rFonts w:ascii="Times New Roman"/>
                <w:sz w:val="20"/>
              </w:rPr>
            </w:pPr>
          </w:p>
        </w:tc>
        <w:tc>
          <w:tcPr>
            <w:tcW w:w="1657" w:type="dxa"/>
          </w:tcPr>
          <w:p>
            <w:pPr>
              <w:pStyle w:val="TableParagraph"/>
              <w:ind w:left="0"/>
              <w:rPr>
                <w:rFonts w:ascii="Times New Roman"/>
                <w:sz w:val="20"/>
              </w:rPr>
            </w:pPr>
          </w:p>
        </w:tc>
        <w:tc>
          <w:tcPr>
            <w:tcW w:w="7193" w:type="dxa"/>
          </w:tcPr>
          <w:p>
            <w:pPr>
              <w:pStyle w:val="TableParagraph"/>
              <w:spacing w:line="202" w:lineRule="exact"/>
              <w:ind w:left="123"/>
              <w:rPr>
                <w:sz w:val="21"/>
              </w:rPr>
            </w:pPr>
            <w:r>
              <w:rPr>
                <w:sz w:val="21"/>
              </w:rPr>
              <w:t>本公司未及时履行前款规定的给付保险金义务的，除支付保险金外，应当赔</w:t>
            </w:r>
          </w:p>
          <w:p>
            <w:pPr>
              <w:pStyle w:val="TableParagraph"/>
              <w:spacing w:line="273" w:lineRule="auto" w:before="37"/>
              <w:ind w:left="123" w:right="103"/>
              <w:jc w:val="both"/>
              <w:rPr>
                <w:sz w:val="21"/>
              </w:rPr>
            </w:pPr>
            <w:r>
              <w:rPr>
                <w:sz w:val="21"/>
              </w:rPr>
              <w:t>偿受益人因此受到的损失。前述“损失”是指根据中国人民银行公布的同期人民币活期存款基准利率计算的利息损失。</w:t>
            </w:r>
          </w:p>
          <w:p>
            <w:pPr>
              <w:pStyle w:val="TableParagraph"/>
              <w:spacing w:line="273" w:lineRule="auto" w:before="84"/>
              <w:ind w:left="123" w:right="102"/>
              <w:jc w:val="both"/>
              <w:rPr>
                <w:sz w:val="21"/>
              </w:rPr>
            </w:pPr>
            <w:r>
              <w:rPr>
                <w:spacing w:val="-4"/>
                <w:sz w:val="21"/>
              </w:rPr>
              <w:t>对不属于保险责任的，本公司自作出核定之日起 </w:t>
            </w:r>
            <w:r>
              <w:rPr>
                <w:sz w:val="21"/>
              </w:rPr>
              <w:t>3</w:t>
            </w:r>
            <w:r>
              <w:rPr>
                <w:spacing w:val="-6"/>
                <w:sz w:val="21"/>
              </w:rPr>
              <w:t> 日内向受益人发出拒绝给</w:t>
            </w:r>
            <w:r>
              <w:rPr>
                <w:spacing w:val="-4"/>
                <w:sz w:val="21"/>
              </w:rPr>
              <w:t>付保险金通知书并说明理由。</w:t>
            </w:r>
          </w:p>
          <w:p>
            <w:pPr>
              <w:pStyle w:val="TableParagraph"/>
              <w:spacing w:line="273" w:lineRule="auto" w:before="86"/>
              <w:ind w:left="123" w:right="102" w:hanging="1"/>
              <w:jc w:val="both"/>
              <w:rPr>
                <w:sz w:val="21"/>
              </w:rPr>
            </w:pPr>
            <w:r>
              <w:rPr>
                <w:spacing w:val="-5"/>
                <w:sz w:val="21"/>
              </w:rPr>
              <w:t>本公司在收到保险金给付申请书及有关证明和资料之日起 </w:t>
            </w:r>
            <w:r>
              <w:rPr>
                <w:sz w:val="21"/>
              </w:rPr>
              <w:t>60</w:t>
            </w:r>
            <w:r>
              <w:rPr>
                <w:spacing w:val="-17"/>
                <w:sz w:val="21"/>
              </w:rPr>
              <w:t> 日内，对给付保</w:t>
            </w:r>
            <w:r>
              <w:rPr>
                <w:spacing w:val="-13"/>
                <w:sz w:val="21"/>
              </w:rPr>
              <w:t>险金的数额不能确定的，根据已有证明和资料可以确定的数额先予支付；本</w:t>
            </w:r>
            <w:r>
              <w:rPr>
                <w:spacing w:val="-6"/>
                <w:sz w:val="21"/>
              </w:rPr>
              <w:t>公司最终确定给付保险金的数额后，将支付相应的差额。</w:t>
            </w:r>
          </w:p>
        </w:tc>
      </w:tr>
      <w:tr>
        <w:trPr>
          <w:trHeight w:val="835" w:hRule="atLeast"/>
        </w:trPr>
        <w:tc>
          <w:tcPr>
            <w:tcW w:w="692" w:type="dxa"/>
          </w:tcPr>
          <w:p>
            <w:pPr>
              <w:pStyle w:val="TableParagraph"/>
              <w:spacing w:before="49"/>
              <w:ind w:left="108"/>
              <w:rPr>
                <w:b/>
                <w:sz w:val="21"/>
              </w:rPr>
            </w:pPr>
            <w:r>
              <w:rPr>
                <w:b/>
                <w:sz w:val="21"/>
              </w:rPr>
              <w:t>3.5</w:t>
            </w:r>
          </w:p>
        </w:tc>
        <w:tc>
          <w:tcPr>
            <w:tcW w:w="1657" w:type="dxa"/>
          </w:tcPr>
          <w:p>
            <w:pPr>
              <w:pStyle w:val="TableParagraph"/>
              <w:spacing w:before="49"/>
              <w:ind w:left="268"/>
              <w:rPr>
                <w:b/>
                <w:sz w:val="21"/>
              </w:rPr>
            </w:pPr>
            <w:r>
              <w:rPr>
                <w:b/>
                <w:sz w:val="21"/>
              </w:rPr>
              <w:t>诉讼时效</w:t>
            </w:r>
          </w:p>
        </w:tc>
        <w:tc>
          <w:tcPr>
            <w:tcW w:w="7193" w:type="dxa"/>
          </w:tcPr>
          <w:p>
            <w:pPr>
              <w:pStyle w:val="TableParagraph"/>
              <w:spacing w:line="273" w:lineRule="auto" w:before="49"/>
              <w:ind w:left="123" w:right="28"/>
              <w:rPr>
                <w:sz w:val="21"/>
              </w:rPr>
            </w:pPr>
            <w:r>
              <w:rPr>
                <w:sz w:val="21"/>
              </w:rPr>
              <w:t>受益人向本公司请求给付保险金的诉讼时效期间为 2 年，自其知道或者应当知道保险事故发生之日起计算。</w:t>
            </w:r>
          </w:p>
        </w:tc>
      </w:tr>
      <w:tr>
        <w:trPr>
          <w:trHeight w:val="311" w:hRule="atLeast"/>
        </w:trPr>
        <w:tc>
          <w:tcPr>
            <w:tcW w:w="692" w:type="dxa"/>
            <w:shd w:val="clear" w:color="auto" w:fill="DADADA"/>
          </w:tcPr>
          <w:p>
            <w:pPr>
              <w:pStyle w:val="TableParagraph"/>
              <w:spacing w:line="254" w:lineRule="exact"/>
              <w:ind w:left="108"/>
              <w:rPr>
                <w:b/>
                <w:sz w:val="21"/>
              </w:rPr>
            </w:pPr>
            <w:r>
              <w:rPr>
                <w:b/>
                <w:sz w:val="21"/>
              </w:rPr>
              <w:t>4．</w:t>
            </w:r>
          </w:p>
        </w:tc>
        <w:tc>
          <w:tcPr>
            <w:tcW w:w="1657" w:type="dxa"/>
            <w:shd w:val="clear" w:color="auto" w:fill="DADADA"/>
          </w:tcPr>
          <w:p>
            <w:pPr>
              <w:pStyle w:val="TableParagraph"/>
              <w:spacing w:line="254" w:lineRule="exact"/>
              <w:ind w:left="268"/>
              <w:rPr>
                <w:b/>
                <w:sz w:val="21"/>
              </w:rPr>
            </w:pPr>
            <w:r>
              <w:rPr>
                <w:b/>
                <w:sz w:val="21"/>
              </w:rPr>
              <w:t>保险费的支付</w:t>
            </w:r>
          </w:p>
        </w:tc>
        <w:tc>
          <w:tcPr>
            <w:tcW w:w="7193" w:type="dxa"/>
            <w:shd w:val="clear" w:color="auto" w:fill="DADADA"/>
          </w:tcPr>
          <w:p>
            <w:pPr>
              <w:pStyle w:val="TableParagraph"/>
              <w:ind w:left="0"/>
              <w:rPr>
                <w:rFonts w:ascii="Times New Roman"/>
                <w:sz w:val="20"/>
              </w:rPr>
            </w:pPr>
          </w:p>
        </w:tc>
      </w:tr>
      <w:tr>
        <w:trPr>
          <w:trHeight w:val="907" w:hRule="atLeast"/>
        </w:trPr>
        <w:tc>
          <w:tcPr>
            <w:tcW w:w="692" w:type="dxa"/>
          </w:tcPr>
          <w:p>
            <w:pPr>
              <w:pStyle w:val="TableParagraph"/>
              <w:spacing w:before="120"/>
              <w:ind w:left="108"/>
              <w:rPr>
                <w:b/>
                <w:sz w:val="21"/>
              </w:rPr>
            </w:pPr>
            <w:r>
              <w:rPr>
                <w:b/>
                <w:sz w:val="21"/>
              </w:rPr>
              <w:t>4.1</w:t>
            </w:r>
          </w:p>
        </w:tc>
        <w:tc>
          <w:tcPr>
            <w:tcW w:w="1657" w:type="dxa"/>
          </w:tcPr>
          <w:p>
            <w:pPr>
              <w:pStyle w:val="TableParagraph"/>
              <w:spacing w:before="120"/>
              <w:ind w:left="268"/>
              <w:rPr>
                <w:b/>
                <w:sz w:val="21"/>
              </w:rPr>
            </w:pPr>
            <w:r>
              <w:rPr>
                <w:b/>
                <w:sz w:val="21"/>
              </w:rPr>
              <w:t>保险费的支付</w:t>
            </w:r>
          </w:p>
        </w:tc>
        <w:tc>
          <w:tcPr>
            <w:tcW w:w="7193" w:type="dxa"/>
          </w:tcPr>
          <w:p>
            <w:pPr>
              <w:pStyle w:val="TableParagraph"/>
              <w:spacing w:line="273" w:lineRule="auto" w:before="120"/>
              <w:ind w:left="123" w:right="103" w:hanging="1"/>
              <w:rPr>
                <w:sz w:val="21"/>
              </w:rPr>
            </w:pPr>
            <w:r>
              <w:rPr>
                <w:sz w:val="21"/>
              </w:rPr>
              <w:t>本合同保险费的交费方式由投保人在投保时与本公司约定，并在保险单上载明。</w:t>
            </w:r>
          </w:p>
        </w:tc>
      </w:tr>
      <w:tr>
        <w:trPr>
          <w:trHeight w:val="311" w:hRule="atLeast"/>
        </w:trPr>
        <w:tc>
          <w:tcPr>
            <w:tcW w:w="692" w:type="dxa"/>
            <w:shd w:val="clear" w:color="auto" w:fill="DADADA"/>
          </w:tcPr>
          <w:p>
            <w:pPr>
              <w:pStyle w:val="TableParagraph"/>
              <w:spacing w:line="254" w:lineRule="exact"/>
              <w:ind w:left="108"/>
              <w:rPr>
                <w:b/>
                <w:sz w:val="21"/>
              </w:rPr>
            </w:pPr>
            <w:r>
              <w:rPr>
                <w:b/>
                <w:sz w:val="21"/>
              </w:rPr>
              <w:t>5．</w:t>
            </w:r>
          </w:p>
        </w:tc>
        <w:tc>
          <w:tcPr>
            <w:tcW w:w="1657" w:type="dxa"/>
            <w:shd w:val="clear" w:color="auto" w:fill="DADADA"/>
          </w:tcPr>
          <w:p>
            <w:pPr>
              <w:pStyle w:val="TableParagraph"/>
              <w:spacing w:line="254" w:lineRule="exact"/>
              <w:ind w:left="268"/>
              <w:rPr>
                <w:b/>
                <w:sz w:val="21"/>
              </w:rPr>
            </w:pPr>
            <w:r>
              <w:rPr>
                <w:b/>
                <w:sz w:val="21"/>
              </w:rPr>
              <w:t>合同解除</w:t>
            </w:r>
          </w:p>
        </w:tc>
        <w:tc>
          <w:tcPr>
            <w:tcW w:w="7193" w:type="dxa"/>
            <w:shd w:val="clear" w:color="auto" w:fill="DADADA"/>
          </w:tcPr>
          <w:p>
            <w:pPr>
              <w:pStyle w:val="TableParagraph"/>
              <w:ind w:left="0"/>
              <w:rPr>
                <w:rFonts w:ascii="Times New Roman"/>
                <w:sz w:val="20"/>
              </w:rPr>
            </w:pPr>
          </w:p>
        </w:tc>
      </w:tr>
      <w:tr>
        <w:trPr>
          <w:trHeight w:val="2654" w:hRule="atLeast"/>
        </w:trPr>
        <w:tc>
          <w:tcPr>
            <w:tcW w:w="692" w:type="dxa"/>
          </w:tcPr>
          <w:p>
            <w:pPr>
              <w:pStyle w:val="TableParagraph"/>
              <w:spacing w:before="123"/>
              <w:ind w:left="108"/>
              <w:rPr>
                <w:b/>
                <w:sz w:val="21"/>
              </w:rPr>
            </w:pPr>
            <w:r>
              <w:rPr>
                <w:b/>
                <w:sz w:val="21"/>
              </w:rPr>
              <w:t>5.1</w:t>
            </w:r>
          </w:p>
        </w:tc>
        <w:tc>
          <w:tcPr>
            <w:tcW w:w="1657" w:type="dxa"/>
          </w:tcPr>
          <w:p>
            <w:pPr>
              <w:pStyle w:val="TableParagraph"/>
              <w:spacing w:line="273" w:lineRule="auto" w:before="123"/>
              <w:ind w:left="268" w:right="119"/>
              <w:jc w:val="both"/>
              <w:rPr>
                <w:b/>
                <w:sz w:val="21"/>
              </w:rPr>
            </w:pPr>
            <w:r>
              <w:rPr>
                <w:b/>
                <w:sz w:val="21"/>
              </w:rPr>
              <w:t>投保人解除合同的手续及风险</w:t>
            </w:r>
          </w:p>
        </w:tc>
        <w:tc>
          <w:tcPr>
            <w:tcW w:w="7193" w:type="dxa"/>
          </w:tcPr>
          <w:p>
            <w:pPr>
              <w:pStyle w:val="TableParagraph"/>
              <w:spacing w:line="273" w:lineRule="auto" w:before="123"/>
              <w:ind w:left="123" w:right="103"/>
              <w:rPr>
                <w:sz w:val="21"/>
              </w:rPr>
            </w:pPr>
            <w:r>
              <w:rPr>
                <w:sz w:val="21"/>
              </w:rPr>
              <w:t>如投保人申请解除本合同，请填写解除合同的书面申请并向本公司提供下列资料：</w:t>
            </w:r>
          </w:p>
          <w:p>
            <w:pPr>
              <w:pStyle w:val="TableParagraph"/>
              <w:spacing w:before="8"/>
              <w:ind w:left="123"/>
              <w:rPr>
                <w:sz w:val="21"/>
              </w:rPr>
            </w:pPr>
            <w:r>
              <w:rPr>
                <w:sz w:val="21"/>
              </w:rPr>
              <w:t>(1)保险合同；</w:t>
            </w:r>
          </w:p>
          <w:p>
            <w:pPr>
              <w:pStyle w:val="TableParagraph"/>
              <w:spacing w:before="37"/>
              <w:ind w:left="123"/>
              <w:rPr>
                <w:sz w:val="21"/>
              </w:rPr>
            </w:pPr>
            <w:r>
              <w:rPr>
                <w:sz w:val="21"/>
              </w:rPr>
              <w:t>(2)投保人单位证明。</w:t>
            </w:r>
          </w:p>
          <w:p>
            <w:pPr>
              <w:pStyle w:val="TableParagraph"/>
              <w:spacing w:line="273" w:lineRule="auto" w:before="128"/>
              <w:ind w:left="123" w:right="103"/>
              <w:rPr>
                <w:sz w:val="21"/>
              </w:rPr>
            </w:pPr>
            <w:r>
              <w:rPr>
                <w:sz w:val="21"/>
              </w:rPr>
              <w:t>自本公司收到解除合同的书面申请时起，本合同终止。本公司自收到解除合同的书面申请之日起 30 日内向投保人退还本合同保险单的现金价值。</w:t>
            </w:r>
          </w:p>
          <w:p>
            <w:pPr>
              <w:pStyle w:val="TableParagraph"/>
              <w:spacing w:before="101"/>
              <w:ind w:left="122"/>
              <w:rPr>
                <w:sz w:val="21"/>
              </w:rPr>
            </w:pPr>
            <w:r>
              <w:rPr>
                <w:sz w:val="21"/>
              </w:rPr>
              <w:t>投保人解除合同会遭受一定损失。</w:t>
            </w:r>
          </w:p>
        </w:tc>
      </w:tr>
      <w:tr>
        <w:trPr>
          <w:trHeight w:val="312" w:hRule="atLeast"/>
        </w:trPr>
        <w:tc>
          <w:tcPr>
            <w:tcW w:w="692" w:type="dxa"/>
            <w:shd w:val="clear" w:color="auto" w:fill="DADADA"/>
          </w:tcPr>
          <w:p>
            <w:pPr>
              <w:pStyle w:val="TableParagraph"/>
              <w:spacing w:line="254" w:lineRule="exact"/>
              <w:ind w:left="108"/>
              <w:rPr>
                <w:b/>
                <w:sz w:val="21"/>
              </w:rPr>
            </w:pPr>
            <w:r>
              <w:rPr>
                <w:b/>
                <w:sz w:val="21"/>
              </w:rPr>
              <w:t>6．</w:t>
            </w:r>
          </w:p>
        </w:tc>
        <w:tc>
          <w:tcPr>
            <w:tcW w:w="8850" w:type="dxa"/>
            <w:gridSpan w:val="2"/>
            <w:shd w:val="clear" w:color="auto" w:fill="DADADA"/>
          </w:tcPr>
          <w:p>
            <w:pPr>
              <w:pStyle w:val="TableParagraph"/>
              <w:spacing w:line="254" w:lineRule="exact"/>
              <w:ind w:left="268"/>
              <w:rPr>
                <w:b/>
                <w:sz w:val="21"/>
              </w:rPr>
            </w:pPr>
            <w:r>
              <w:rPr>
                <w:b/>
                <w:sz w:val="21"/>
              </w:rPr>
              <w:t>说明、告知与解除权限制</w:t>
            </w:r>
          </w:p>
        </w:tc>
      </w:tr>
      <w:tr>
        <w:trPr>
          <w:trHeight w:val="5568" w:hRule="atLeast"/>
        </w:trPr>
        <w:tc>
          <w:tcPr>
            <w:tcW w:w="692" w:type="dxa"/>
          </w:tcPr>
          <w:p>
            <w:pPr>
              <w:pStyle w:val="TableParagraph"/>
              <w:spacing w:before="120"/>
              <w:ind w:left="108"/>
              <w:rPr>
                <w:b/>
                <w:sz w:val="21"/>
              </w:rPr>
            </w:pPr>
            <w:r>
              <w:rPr>
                <w:b/>
                <w:sz w:val="21"/>
              </w:rPr>
              <w:t>6.1</w:t>
            </w:r>
          </w:p>
        </w:tc>
        <w:tc>
          <w:tcPr>
            <w:tcW w:w="1657" w:type="dxa"/>
          </w:tcPr>
          <w:p>
            <w:pPr>
              <w:pStyle w:val="TableParagraph"/>
              <w:spacing w:line="273" w:lineRule="auto" w:before="120"/>
              <w:ind w:left="268" w:right="119"/>
              <w:rPr>
                <w:b/>
                <w:sz w:val="21"/>
              </w:rPr>
            </w:pPr>
            <w:r>
              <w:rPr>
                <w:b/>
                <w:sz w:val="21"/>
              </w:rPr>
              <w:t>明确说明与如实告知</w:t>
            </w:r>
          </w:p>
        </w:tc>
        <w:tc>
          <w:tcPr>
            <w:tcW w:w="7193" w:type="dxa"/>
          </w:tcPr>
          <w:p>
            <w:pPr>
              <w:pStyle w:val="TableParagraph"/>
              <w:spacing w:before="120"/>
              <w:ind w:left="123"/>
              <w:rPr>
                <w:sz w:val="21"/>
              </w:rPr>
            </w:pPr>
            <w:r>
              <w:rPr>
                <w:sz w:val="21"/>
              </w:rPr>
              <w:t>订立本合同时，本公司应向投保人说明本合同的内容。</w:t>
            </w:r>
          </w:p>
          <w:p>
            <w:pPr>
              <w:pStyle w:val="TableParagraph"/>
              <w:spacing w:line="273" w:lineRule="auto" w:before="130"/>
              <w:ind w:left="123" w:right="-15"/>
              <w:rPr>
                <w:sz w:val="21"/>
              </w:rPr>
            </w:pPr>
            <w:r>
              <w:rPr>
                <w:spacing w:val="-2"/>
                <w:sz w:val="21"/>
              </w:rPr>
              <w:t>对保险条款中免除本公司责任的条款，本公司在订立合同时应当在投保单、</w:t>
            </w:r>
            <w:r>
              <w:rPr>
                <w:spacing w:val="-3"/>
                <w:sz w:val="21"/>
              </w:rPr>
              <w:t>保险单或者其他保险凭证上作出足以引起投保人注意的提示，并对该条款的</w:t>
            </w:r>
            <w:r>
              <w:rPr>
                <w:spacing w:val="-7"/>
                <w:sz w:val="21"/>
              </w:rPr>
              <w:t>内容以书面或者口头形式向投保人作出明确说明，未作提示或者明确说明的， </w:t>
            </w:r>
            <w:r>
              <w:rPr>
                <w:spacing w:val="-5"/>
                <w:sz w:val="21"/>
              </w:rPr>
              <w:t>该条款不产生效力。</w:t>
            </w:r>
          </w:p>
          <w:p>
            <w:pPr>
              <w:pStyle w:val="TableParagraph"/>
              <w:spacing w:before="86"/>
              <w:ind w:left="123"/>
              <w:rPr>
                <w:rFonts w:ascii="黑体" w:eastAsia="黑体" w:hint="eastAsia"/>
                <w:sz w:val="21"/>
              </w:rPr>
            </w:pPr>
            <w:r>
              <w:rPr>
                <w:rFonts w:ascii="黑体" w:eastAsia="黑体" w:hint="eastAsia"/>
                <w:sz w:val="21"/>
              </w:rPr>
              <w:t>本公司就投保人和被保险人的有关情况提出询问，投保人应当如实告知。</w:t>
            </w:r>
          </w:p>
          <w:p>
            <w:pPr>
              <w:pStyle w:val="TableParagraph"/>
              <w:spacing w:line="273" w:lineRule="auto" w:before="113"/>
              <w:ind w:left="122" w:right="130"/>
              <w:jc w:val="both"/>
              <w:rPr>
                <w:rFonts w:ascii="黑体" w:eastAsia="黑体" w:hint="eastAsia"/>
                <w:sz w:val="21"/>
              </w:rPr>
            </w:pPr>
            <w:r>
              <w:rPr>
                <w:rFonts w:ascii="黑体" w:eastAsia="黑体" w:hint="eastAsia"/>
                <w:sz w:val="21"/>
              </w:rPr>
              <w:t>如果投保人故意或者因重大过失未履行前款规定的如实告知义务，足以影响本公司决定是否同意承保或者提高保险费率的，本公司有权解除本合同或终止该被保险人的保险责任。</w:t>
            </w:r>
          </w:p>
          <w:p>
            <w:pPr>
              <w:pStyle w:val="TableParagraph"/>
              <w:spacing w:line="273" w:lineRule="auto" w:before="86"/>
              <w:ind w:left="122" w:right="103"/>
              <w:jc w:val="both"/>
              <w:rPr>
                <w:rFonts w:ascii="黑体" w:eastAsia="黑体" w:hint="eastAsia"/>
                <w:sz w:val="21"/>
              </w:rPr>
            </w:pPr>
            <w:r>
              <w:rPr>
                <w:rFonts w:ascii="黑体" w:eastAsia="黑体" w:hint="eastAsia"/>
                <w:sz w:val="21"/>
              </w:rPr>
              <w:t>如果投保人故意不履行如实告知义务，对于本合同解除或终止该被保险人的保险责任前发Th的保险事故，本公司不承担保险责任，并不退还保险费。</w:t>
            </w:r>
          </w:p>
          <w:p>
            <w:pPr>
              <w:pStyle w:val="TableParagraph"/>
              <w:spacing w:line="273" w:lineRule="auto" w:before="84"/>
              <w:ind w:left="122" w:right="103"/>
              <w:jc w:val="both"/>
              <w:rPr>
                <w:rFonts w:ascii="黑体" w:eastAsia="黑体" w:hint="eastAsia"/>
                <w:sz w:val="21"/>
              </w:rPr>
            </w:pPr>
            <w:r>
              <w:rPr>
                <w:rFonts w:ascii="黑体" w:eastAsia="黑体" w:hint="eastAsia"/>
                <w:sz w:val="21"/>
              </w:rPr>
              <w:t>如果投保人因重大过失未履行如实告知义务，对保险事故的发Th有严重影响的，对于本合同解除或终止该被保险人的保险责任前发Th的保险事故，本公司不承担保险责任，但应当退还该被保险人对应的保险费。</w:t>
            </w:r>
          </w:p>
          <w:p>
            <w:pPr>
              <w:pStyle w:val="TableParagraph"/>
              <w:spacing w:line="310" w:lineRule="atLeast" w:before="51"/>
              <w:ind w:left="122" w:right="103"/>
              <w:jc w:val="both"/>
              <w:rPr>
                <w:sz w:val="21"/>
              </w:rPr>
            </w:pPr>
            <w:r>
              <w:rPr>
                <w:sz w:val="21"/>
              </w:rPr>
              <w:t>本公司在合同订立时已经知道投保人未如实告知的情况的，本公司不得解除合同；发生保险事故的，本公司承担保险责任。</w:t>
            </w:r>
          </w:p>
        </w:tc>
      </w:tr>
    </w:tbl>
    <w:p>
      <w:pPr>
        <w:spacing w:after="0" w:line="310" w:lineRule="atLeast"/>
        <w:jc w:val="both"/>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657"/>
        <w:gridCol w:w="7193"/>
      </w:tblGrid>
      <w:tr>
        <w:trPr>
          <w:trHeight w:val="714" w:hRule="atLeast"/>
        </w:trPr>
        <w:tc>
          <w:tcPr>
            <w:tcW w:w="692" w:type="dxa"/>
          </w:tcPr>
          <w:p>
            <w:pPr>
              <w:pStyle w:val="TableParagraph"/>
              <w:spacing w:line="202" w:lineRule="exact"/>
              <w:ind w:left="108"/>
              <w:rPr>
                <w:b/>
                <w:sz w:val="21"/>
              </w:rPr>
            </w:pPr>
            <w:r>
              <w:rPr>
                <w:b/>
                <w:sz w:val="21"/>
              </w:rPr>
              <w:t>6.2</w:t>
            </w:r>
          </w:p>
        </w:tc>
        <w:tc>
          <w:tcPr>
            <w:tcW w:w="1657" w:type="dxa"/>
          </w:tcPr>
          <w:p>
            <w:pPr>
              <w:pStyle w:val="TableParagraph"/>
              <w:spacing w:line="202" w:lineRule="exact"/>
              <w:ind w:left="268"/>
              <w:rPr>
                <w:b/>
                <w:sz w:val="21"/>
              </w:rPr>
            </w:pPr>
            <w:r>
              <w:rPr>
                <w:b/>
                <w:sz w:val="21"/>
              </w:rPr>
              <w:t>本公司合同解</w:t>
            </w:r>
          </w:p>
          <w:p>
            <w:pPr>
              <w:pStyle w:val="TableParagraph"/>
              <w:spacing w:before="37"/>
              <w:ind w:left="268"/>
              <w:rPr>
                <w:b/>
                <w:sz w:val="21"/>
              </w:rPr>
            </w:pPr>
            <w:r>
              <w:rPr>
                <w:b/>
                <w:sz w:val="21"/>
              </w:rPr>
              <w:t>除权的限制</w:t>
            </w:r>
          </w:p>
        </w:tc>
        <w:tc>
          <w:tcPr>
            <w:tcW w:w="7193" w:type="dxa"/>
          </w:tcPr>
          <w:p>
            <w:pPr>
              <w:pStyle w:val="TableParagraph"/>
              <w:spacing w:line="202" w:lineRule="exact"/>
              <w:ind w:left="123"/>
              <w:rPr>
                <w:sz w:val="21"/>
              </w:rPr>
            </w:pPr>
            <w:r>
              <w:rPr>
                <w:sz w:val="21"/>
              </w:rPr>
              <w:t>本保险条款“6.1 明确说明与如实告知”规定的本合同解除或终止被保险人</w:t>
            </w:r>
          </w:p>
          <w:p>
            <w:pPr>
              <w:pStyle w:val="TableParagraph"/>
              <w:spacing w:before="37"/>
              <w:ind w:left="123"/>
              <w:rPr>
                <w:sz w:val="21"/>
              </w:rPr>
            </w:pPr>
            <w:r>
              <w:rPr>
                <w:spacing w:val="-17"/>
                <w:sz w:val="21"/>
              </w:rPr>
              <w:t>保险责任的权利，自本公司知道有解除事由之日起，超过 </w:t>
            </w:r>
            <w:r>
              <w:rPr>
                <w:sz w:val="21"/>
              </w:rPr>
              <w:t>30</w:t>
            </w:r>
            <w:r>
              <w:rPr>
                <w:spacing w:val="-7"/>
                <w:sz w:val="21"/>
              </w:rPr>
              <w:t> 日不行使而消灭。</w:t>
            </w:r>
          </w:p>
        </w:tc>
      </w:tr>
      <w:tr>
        <w:trPr>
          <w:trHeight w:val="311" w:hRule="atLeast"/>
        </w:trPr>
        <w:tc>
          <w:tcPr>
            <w:tcW w:w="692" w:type="dxa"/>
            <w:shd w:val="clear" w:color="auto" w:fill="DADADA"/>
          </w:tcPr>
          <w:p>
            <w:pPr>
              <w:pStyle w:val="TableParagraph"/>
              <w:spacing w:line="254" w:lineRule="exact"/>
              <w:ind w:left="108"/>
              <w:rPr>
                <w:b/>
                <w:sz w:val="21"/>
              </w:rPr>
            </w:pPr>
            <w:r>
              <w:rPr>
                <w:b/>
                <w:sz w:val="21"/>
              </w:rPr>
              <w:t>7．</w:t>
            </w:r>
          </w:p>
        </w:tc>
        <w:tc>
          <w:tcPr>
            <w:tcW w:w="8850" w:type="dxa"/>
            <w:gridSpan w:val="2"/>
            <w:shd w:val="clear" w:color="auto" w:fill="DADADA"/>
          </w:tcPr>
          <w:p>
            <w:pPr>
              <w:pStyle w:val="TableParagraph"/>
              <w:spacing w:line="254" w:lineRule="exact"/>
              <w:ind w:left="268"/>
              <w:rPr>
                <w:b/>
                <w:sz w:val="21"/>
              </w:rPr>
            </w:pPr>
            <w:r>
              <w:rPr>
                <w:b/>
                <w:sz w:val="21"/>
              </w:rPr>
              <w:t>其他需要关注的事项</w:t>
            </w:r>
          </w:p>
        </w:tc>
      </w:tr>
      <w:tr>
        <w:trPr>
          <w:trHeight w:val="4268" w:hRule="atLeast"/>
        </w:trPr>
        <w:tc>
          <w:tcPr>
            <w:tcW w:w="692" w:type="dxa"/>
          </w:tcPr>
          <w:p>
            <w:pPr>
              <w:pStyle w:val="TableParagraph"/>
              <w:spacing w:before="120"/>
              <w:ind w:left="108"/>
              <w:rPr>
                <w:b/>
                <w:sz w:val="21"/>
              </w:rPr>
            </w:pPr>
            <w:r>
              <w:rPr>
                <w:b/>
                <w:sz w:val="21"/>
              </w:rPr>
              <w:t>7.1</w:t>
            </w:r>
          </w:p>
        </w:tc>
        <w:tc>
          <w:tcPr>
            <w:tcW w:w="1657" w:type="dxa"/>
          </w:tcPr>
          <w:p>
            <w:pPr>
              <w:pStyle w:val="TableParagraph"/>
              <w:spacing w:before="120"/>
              <w:ind w:left="0" w:right="119"/>
              <w:jc w:val="right"/>
              <w:rPr>
                <w:b/>
                <w:sz w:val="21"/>
              </w:rPr>
            </w:pPr>
            <w:r>
              <w:rPr>
                <w:b/>
                <w:sz w:val="21"/>
              </w:rPr>
              <w:t>年龄性别错误</w:t>
            </w:r>
          </w:p>
        </w:tc>
        <w:tc>
          <w:tcPr>
            <w:tcW w:w="7193" w:type="dxa"/>
          </w:tcPr>
          <w:p>
            <w:pPr>
              <w:pStyle w:val="TableParagraph"/>
              <w:spacing w:line="273" w:lineRule="auto" w:before="120"/>
              <w:ind w:left="123" w:right="102" w:firstLine="2"/>
              <w:jc w:val="both"/>
              <w:rPr>
                <w:sz w:val="21"/>
              </w:rPr>
            </w:pPr>
            <w:r>
              <w:rPr>
                <w:sz w:val="21"/>
              </w:rPr>
              <w:t>投保人在申请投保时，应将与有效身份证件相符的被保险人的出生日期和性别在投保单上填明，如果发生错误按照下列方式办理：</w:t>
            </w:r>
          </w:p>
          <w:p>
            <w:pPr>
              <w:pStyle w:val="TableParagraph"/>
              <w:spacing w:line="273" w:lineRule="auto" w:before="7"/>
              <w:ind w:left="123" w:right="102"/>
              <w:jc w:val="both"/>
              <w:rPr>
                <w:sz w:val="21"/>
              </w:rPr>
            </w:pPr>
            <w:r>
              <w:rPr>
                <w:sz w:val="21"/>
              </w:rPr>
              <w:t>(1)</w:t>
            </w:r>
            <w:r>
              <w:rPr>
                <w:rFonts w:ascii="黑体" w:hAnsi="黑体" w:eastAsia="黑体" w:hint="eastAsia"/>
                <w:spacing w:val="-7"/>
                <w:sz w:val="21"/>
              </w:rPr>
              <w:t>投保人申报的被保险人年龄或性别不真实，并且其真实年龄或性别不符合本合同约定投保年龄或性别限制的，本公司有权解除合同或终止该被保险人的保险责任，并退还该被保险人对应的现金价值。</w:t>
            </w:r>
            <w:r>
              <w:rPr>
                <w:sz w:val="21"/>
              </w:rPr>
              <w:t>本公司行使合同解除权适</w:t>
            </w:r>
            <w:r>
              <w:rPr>
                <w:spacing w:val="-2"/>
                <w:sz w:val="21"/>
              </w:rPr>
              <w:t>用本保险条款“</w:t>
            </w:r>
            <w:r>
              <w:rPr>
                <w:sz w:val="21"/>
              </w:rPr>
              <w:t>6.2</w:t>
            </w:r>
            <w:r>
              <w:rPr>
                <w:spacing w:val="-7"/>
                <w:sz w:val="21"/>
              </w:rPr>
              <w:t> 本公司合同解除权的限制”的规定。</w:t>
            </w:r>
          </w:p>
          <w:p>
            <w:pPr>
              <w:pStyle w:val="TableParagraph"/>
              <w:spacing w:line="273" w:lineRule="auto" w:before="7"/>
              <w:ind w:left="123" w:right="102"/>
              <w:jc w:val="both"/>
              <w:rPr>
                <w:sz w:val="21"/>
              </w:rPr>
            </w:pPr>
            <w:r>
              <w:rPr>
                <w:sz w:val="21"/>
              </w:rPr>
              <w:t>(2)</w:t>
            </w:r>
            <w:r>
              <w:rPr>
                <w:spacing w:val="-7"/>
                <w:sz w:val="21"/>
              </w:rPr>
              <w:t>投保人申报的被保险人年龄或性别不真实，致使投保人实付保险费少于应付保险费的，本公司有权更正并要求投保人补交保险费。若已经发生保险事</w:t>
            </w:r>
            <w:r>
              <w:rPr>
                <w:spacing w:val="-5"/>
                <w:sz w:val="21"/>
              </w:rPr>
              <w:t>故，在给付保险金时按实付保险费和应付保险费的比例给付。</w:t>
            </w:r>
          </w:p>
          <w:p>
            <w:pPr>
              <w:pStyle w:val="TableParagraph"/>
              <w:spacing w:line="273" w:lineRule="auto" w:before="7"/>
              <w:ind w:left="123" w:right="105"/>
              <w:jc w:val="both"/>
              <w:rPr>
                <w:sz w:val="21"/>
              </w:rPr>
            </w:pPr>
            <w:r>
              <w:rPr>
                <w:sz w:val="21"/>
              </w:rPr>
              <w:t>(3)</w:t>
            </w:r>
            <w:r>
              <w:rPr>
                <w:spacing w:val="-7"/>
                <w:sz w:val="21"/>
              </w:rPr>
              <w:t>投保人申报的被保险人年龄或性别不真实，致使投保人实付保险费多于应</w:t>
            </w:r>
            <w:r>
              <w:rPr>
                <w:spacing w:val="-3"/>
                <w:sz w:val="21"/>
              </w:rPr>
              <w:t>付保险费的，本公司会将多收的保险费退还给投保人。</w:t>
            </w:r>
          </w:p>
          <w:p>
            <w:pPr>
              <w:pStyle w:val="TableParagraph"/>
              <w:spacing w:line="273" w:lineRule="auto" w:before="7"/>
              <w:ind w:left="123" w:right="104"/>
              <w:jc w:val="both"/>
              <w:rPr>
                <w:sz w:val="21"/>
              </w:rPr>
            </w:pPr>
            <w:r>
              <w:rPr>
                <w:sz w:val="21"/>
              </w:rPr>
              <w:t>(4)</w:t>
            </w:r>
            <w:r>
              <w:rPr>
                <w:spacing w:val="-7"/>
                <w:sz w:val="21"/>
              </w:rPr>
              <w:t>投保人申报的被保险人年龄或性别不真实，致使本合同保险单的现金价值</w:t>
            </w:r>
            <w:r>
              <w:rPr>
                <w:spacing w:val="-5"/>
                <w:sz w:val="21"/>
              </w:rPr>
              <w:t>与实际不符的，本公司有权根据被保险人的实际年龄和性别调整。</w:t>
            </w:r>
          </w:p>
        </w:tc>
      </w:tr>
      <w:tr>
        <w:trPr>
          <w:trHeight w:val="2561" w:hRule="atLeast"/>
        </w:trPr>
        <w:tc>
          <w:tcPr>
            <w:tcW w:w="692" w:type="dxa"/>
          </w:tcPr>
          <w:p>
            <w:pPr>
              <w:pStyle w:val="TableParagraph"/>
              <w:spacing w:before="49"/>
              <w:ind w:left="108"/>
              <w:rPr>
                <w:b/>
                <w:sz w:val="21"/>
              </w:rPr>
            </w:pPr>
            <w:r>
              <w:rPr>
                <w:b/>
                <w:sz w:val="21"/>
              </w:rPr>
              <w:t>7.2</w:t>
            </w:r>
          </w:p>
        </w:tc>
        <w:tc>
          <w:tcPr>
            <w:tcW w:w="1657" w:type="dxa"/>
          </w:tcPr>
          <w:p>
            <w:pPr>
              <w:pStyle w:val="TableParagraph"/>
              <w:spacing w:line="273" w:lineRule="auto" w:before="49"/>
              <w:ind w:left="268" w:right="119"/>
              <w:rPr>
                <w:b/>
                <w:sz w:val="21"/>
              </w:rPr>
            </w:pPr>
            <w:r>
              <w:rPr>
                <w:b/>
                <w:sz w:val="21"/>
              </w:rPr>
              <w:t>被保险人的变动</w:t>
            </w:r>
          </w:p>
        </w:tc>
        <w:tc>
          <w:tcPr>
            <w:tcW w:w="7193" w:type="dxa"/>
          </w:tcPr>
          <w:p>
            <w:pPr>
              <w:pStyle w:val="TableParagraph"/>
              <w:spacing w:before="49"/>
              <w:ind w:left="123"/>
              <w:rPr>
                <w:sz w:val="21"/>
              </w:rPr>
            </w:pPr>
            <w:r>
              <w:rPr>
                <w:sz w:val="21"/>
              </w:rPr>
              <w:t>若投保人需要增加或减少被保险人，应书面通知本公司。</w:t>
            </w:r>
          </w:p>
          <w:p>
            <w:pPr>
              <w:pStyle w:val="TableParagraph"/>
              <w:spacing w:line="273" w:lineRule="auto" w:before="116"/>
              <w:ind w:left="123" w:right="130"/>
              <w:jc w:val="both"/>
              <w:rPr>
                <w:sz w:val="21"/>
              </w:rPr>
            </w:pPr>
            <w:r>
              <w:rPr>
                <w:sz w:val="21"/>
              </w:rPr>
              <w:t>对于要求增加被保险人的，本公司审核同意并收到相应的保险费的次日零时起，开始对新增的被保险人承担保险责任。</w:t>
            </w:r>
          </w:p>
          <w:p>
            <w:pPr>
              <w:pStyle w:val="TableParagraph"/>
              <w:spacing w:line="273" w:lineRule="auto" w:before="84"/>
              <w:ind w:left="123" w:right="131"/>
              <w:jc w:val="both"/>
              <w:rPr>
                <w:sz w:val="21"/>
              </w:rPr>
            </w:pPr>
            <w:r>
              <w:rPr>
                <w:sz w:val="21"/>
              </w:rPr>
              <w:t>对于要求减少被保险人的，除另有约定外，本公司对退出本保险的被保险人所负的保险责任自通知到达时终止，本公司按约定退还该被保险人对应的现金价值。</w:t>
            </w:r>
          </w:p>
          <w:p>
            <w:pPr>
              <w:pStyle w:val="TableParagraph"/>
              <w:spacing w:before="86"/>
              <w:ind w:left="123"/>
              <w:jc w:val="both"/>
              <w:rPr>
                <w:sz w:val="21"/>
              </w:rPr>
            </w:pPr>
            <w:r>
              <w:rPr>
                <w:sz w:val="21"/>
              </w:rPr>
              <w:t>投保人的团体成员退出本保险的，其参保的配偶和子女也同时退出本保险。</w:t>
            </w:r>
          </w:p>
        </w:tc>
      </w:tr>
      <w:tr>
        <w:trPr>
          <w:trHeight w:val="5601" w:hRule="atLeast"/>
        </w:trPr>
        <w:tc>
          <w:tcPr>
            <w:tcW w:w="692" w:type="dxa"/>
          </w:tcPr>
          <w:p>
            <w:pPr>
              <w:pStyle w:val="TableParagraph"/>
              <w:spacing w:before="49"/>
              <w:ind w:left="108"/>
              <w:rPr>
                <w:b/>
                <w:sz w:val="21"/>
              </w:rPr>
            </w:pPr>
            <w:r>
              <w:rPr>
                <w:b/>
                <w:sz w:val="21"/>
              </w:rPr>
              <w:t>7.3</w:t>
            </w:r>
          </w:p>
        </w:tc>
        <w:tc>
          <w:tcPr>
            <w:tcW w:w="1657" w:type="dxa"/>
          </w:tcPr>
          <w:p>
            <w:pPr>
              <w:pStyle w:val="TableParagraph"/>
              <w:spacing w:line="273" w:lineRule="auto" w:before="49"/>
              <w:ind w:left="268" w:right="119"/>
              <w:rPr>
                <w:b/>
                <w:sz w:val="21"/>
              </w:rPr>
            </w:pPr>
            <w:r>
              <w:rPr>
                <w:b/>
                <w:sz w:val="21"/>
              </w:rPr>
              <w:t>职业或工种的确定与变更</w:t>
            </w:r>
          </w:p>
        </w:tc>
        <w:tc>
          <w:tcPr>
            <w:tcW w:w="7193" w:type="dxa"/>
          </w:tcPr>
          <w:p>
            <w:pPr>
              <w:pStyle w:val="TableParagraph"/>
              <w:spacing w:line="273" w:lineRule="auto" w:before="49"/>
              <w:ind w:left="161" w:right="99"/>
              <w:jc w:val="both"/>
              <w:rPr>
                <w:sz w:val="21"/>
              </w:rPr>
            </w:pPr>
            <w:r>
              <w:rPr>
                <w:sz w:val="21"/>
              </w:rPr>
              <w:t>本公司将按照事先公布的职业分类表确定被保险人的职业分类，投保人可以通过本公司网站、服务热线或服务场所工作人员查询到此表。</w:t>
            </w:r>
          </w:p>
          <w:p>
            <w:pPr>
              <w:pStyle w:val="TableParagraph"/>
              <w:spacing w:line="273" w:lineRule="auto" w:before="84"/>
              <w:ind w:left="161" w:right="99"/>
              <w:jc w:val="both"/>
              <w:rPr>
                <w:sz w:val="21"/>
              </w:rPr>
            </w:pPr>
            <w:r>
              <w:rPr>
                <w:sz w:val="21"/>
              </w:rPr>
              <w:t>被保险人变更职业或工种时，投保人或被保险人应于 10 日内以书面形式通知本公司。被保险人变更后的职业或工种，依照本公司的职业分类，其危险程度降低的，本公司于接到通知后，向投保人退还自职业或工种变更之日起应减收的相应保险费；其危险程度增加的，本公司于接到通知后，向投保人收取自职业或工种变更之日起应加收的相应保险费；但被保险人变更后的职业或工种依照本公司的职业分类在拒保范围内的，本公司对该被保险人所负保险责任自其职业或工种变更之日起终止，本公司按约定退还该被保险人对应的现金价值。</w:t>
            </w:r>
          </w:p>
          <w:p>
            <w:pPr>
              <w:pStyle w:val="TableParagraph"/>
              <w:spacing w:line="273" w:lineRule="auto" w:before="86"/>
              <w:ind w:left="161" w:right="99"/>
              <w:jc w:val="both"/>
              <w:rPr>
                <w:rFonts w:ascii="黑体" w:eastAsia="黑体" w:hint="eastAsia"/>
                <w:sz w:val="21"/>
              </w:rPr>
            </w:pPr>
            <w:r>
              <w:rPr>
                <w:sz w:val="21"/>
              </w:rPr>
              <w:t>被保险人变更后的职业或工种，依照本公司的职业分类，其危险程度降低而未依前款约定通知而发生保险事故的，本公司按保险单所载明的保险金额承担保险责任，并退还自职业或工种变更之日起应减收的相应保险费；其危险程度增加而未依前款约定通知而发生保险事故的，本公司按实收保险费与应收保险费的比例计算并给付保险金；</w:t>
            </w:r>
            <w:r>
              <w:rPr>
                <w:rFonts w:ascii="黑体" w:eastAsia="黑体" w:hint="eastAsia"/>
                <w:sz w:val="21"/>
              </w:rPr>
              <w:t>但被保险人变更后的职业或工种在本公司拒保范围内而未依前款约定通知而发Th保险事故的，本公司不承担给付保险金的责任，但按约定退还该被保险人对应的现金价值。</w:t>
            </w:r>
          </w:p>
        </w:tc>
      </w:tr>
      <w:tr>
        <w:trPr>
          <w:trHeight w:val="332" w:hRule="atLeast"/>
        </w:trPr>
        <w:tc>
          <w:tcPr>
            <w:tcW w:w="692" w:type="dxa"/>
          </w:tcPr>
          <w:p>
            <w:pPr>
              <w:pStyle w:val="TableParagraph"/>
              <w:spacing w:line="264" w:lineRule="exact" w:before="49"/>
              <w:ind w:left="108"/>
              <w:rPr>
                <w:b/>
                <w:sz w:val="21"/>
              </w:rPr>
            </w:pPr>
            <w:r>
              <w:rPr>
                <w:b/>
                <w:sz w:val="21"/>
              </w:rPr>
              <w:t>7.4</w:t>
            </w:r>
          </w:p>
        </w:tc>
        <w:tc>
          <w:tcPr>
            <w:tcW w:w="1657" w:type="dxa"/>
          </w:tcPr>
          <w:p>
            <w:pPr>
              <w:pStyle w:val="TableParagraph"/>
              <w:spacing w:line="264" w:lineRule="exact" w:before="49"/>
              <w:ind w:left="0" w:right="119"/>
              <w:jc w:val="right"/>
              <w:rPr>
                <w:b/>
                <w:sz w:val="21"/>
              </w:rPr>
            </w:pPr>
            <w:r>
              <w:rPr>
                <w:b/>
                <w:sz w:val="21"/>
              </w:rPr>
              <w:t>合同内容变更</w:t>
            </w:r>
          </w:p>
        </w:tc>
        <w:tc>
          <w:tcPr>
            <w:tcW w:w="7193" w:type="dxa"/>
          </w:tcPr>
          <w:p>
            <w:pPr>
              <w:pStyle w:val="TableParagraph"/>
              <w:spacing w:line="264" w:lineRule="exact" w:before="49"/>
              <w:ind w:left="123"/>
              <w:rPr>
                <w:sz w:val="21"/>
              </w:rPr>
            </w:pPr>
            <w:r>
              <w:rPr>
                <w:sz w:val="21"/>
              </w:rPr>
              <w:t>在本合同有效期内，经投保人与本公司协商一致，可以变更本合同的有关内</w:t>
            </w:r>
          </w:p>
        </w:tc>
      </w:tr>
    </w:tbl>
    <w:p>
      <w:pPr>
        <w:spacing w:after="0" w:line="264" w:lineRule="exact"/>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576"/>
        <w:gridCol w:w="7193"/>
      </w:tblGrid>
      <w:tr>
        <w:trPr>
          <w:trHeight w:val="644" w:hRule="atLeast"/>
        </w:trPr>
        <w:tc>
          <w:tcPr>
            <w:tcW w:w="774" w:type="dxa"/>
          </w:tcPr>
          <w:p>
            <w:pPr>
              <w:pStyle w:val="TableParagraph"/>
              <w:ind w:left="0"/>
              <w:rPr>
                <w:rFonts w:ascii="Times New Roman"/>
                <w:sz w:val="20"/>
              </w:rPr>
            </w:pPr>
          </w:p>
        </w:tc>
        <w:tc>
          <w:tcPr>
            <w:tcW w:w="1576" w:type="dxa"/>
          </w:tcPr>
          <w:p>
            <w:pPr>
              <w:pStyle w:val="TableParagraph"/>
              <w:ind w:left="0"/>
              <w:rPr>
                <w:rFonts w:ascii="Times New Roman"/>
                <w:sz w:val="20"/>
              </w:rPr>
            </w:pPr>
          </w:p>
        </w:tc>
        <w:tc>
          <w:tcPr>
            <w:tcW w:w="7193" w:type="dxa"/>
          </w:tcPr>
          <w:p>
            <w:pPr>
              <w:pStyle w:val="TableParagraph"/>
              <w:spacing w:line="202" w:lineRule="exact"/>
              <w:rPr>
                <w:sz w:val="21"/>
              </w:rPr>
            </w:pPr>
            <w:r>
              <w:rPr>
                <w:sz w:val="21"/>
              </w:rPr>
              <w:t>容。变更本合同的，应当由本公司在保险单上批注或者附贴批单，或者由投</w:t>
            </w:r>
          </w:p>
          <w:p>
            <w:pPr>
              <w:pStyle w:val="TableParagraph"/>
              <w:spacing w:before="37"/>
              <w:rPr>
                <w:sz w:val="21"/>
              </w:rPr>
            </w:pPr>
            <w:r>
              <w:rPr>
                <w:sz w:val="21"/>
              </w:rPr>
              <w:t>保人与本公司订立书面的变更协议。</w:t>
            </w:r>
          </w:p>
        </w:tc>
      </w:tr>
      <w:tr>
        <w:trPr>
          <w:trHeight w:val="1389" w:hRule="atLeast"/>
        </w:trPr>
        <w:tc>
          <w:tcPr>
            <w:tcW w:w="774" w:type="dxa"/>
          </w:tcPr>
          <w:p>
            <w:pPr>
              <w:pStyle w:val="TableParagraph"/>
              <w:spacing w:before="48"/>
              <w:ind w:left="108"/>
              <w:rPr>
                <w:b/>
                <w:sz w:val="21"/>
              </w:rPr>
            </w:pPr>
            <w:r>
              <w:rPr>
                <w:b/>
                <w:sz w:val="21"/>
              </w:rPr>
              <w:t>7.5</w:t>
            </w:r>
          </w:p>
        </w:tc>
        <w:tc>
          <w:tcPr>
            <w:tcW w:w="1576" w:type="dxa"/>
          </w:tcPr>
          <w:p>
            <w:pPr>
              <w:pStyle w:val="TableParagraph"/>
              <w:spacing w:before="48"/>
              <w:ind w:left="186"/>
              <w:rPr>
                <w:b/>
                <w:sz w:val="21"/>
              </w:rPr>
            </w:pPr>
            <w:r>
              <w:rPr>
                <w:b/>
                <w:sz w:val="21"/>
              </w:rPr>
              <w:t>联系方式变更</w:t>
            </w:r>
          </w:p>
        </w:tc>
        <w:tc>
          <w:tcPr>
            <w:tcW w:w="7193" w:type="dxa"/>
          </w:tcPr>
          <w:p>
            <w:pPr>
              <w:pStyle w:val="TableParagraph"/>
              <w:spacing w:line="273" w:lineRule="auto" w:before="48"/>
              <w:ind w:right="104"/>
              <w:jc w:val="both"/>
              <w:rPr>
                <w:sz w:val="21"/>
              </w:rPr>
            </w:pPr>
            <w:r>
              <w:rPr>
                <w:sz w:val="21"/>
              </w:rPr>
              <w:t>为了保障投保人的合法权益，投保人的住所、通讯地址或电话等联系方式变更时，请及时以书面形式或双方认可的其他形式通知本公司。若投保人未以书面形式或双方认可的其他形式通知本公司，本公司按本合同载明的最后住所、通讯地址或电话等联系方式发送的有关通知，均视为已送达给投保人。</w:t>
            </w:r>
          </w:p>
        </w:tc>
      </w:tr>
      <w:tr>
        <w:trPr>
          <w:trHeight w:val="835" w:hRule="atLeast"/>
        </w:trPr>
        <w:tc>
          <w:tcPr>
            <w:tcW w:w="774" w:type="dxa"/>
          </w:tcPr>
          <w:p>
            <w:pPr>
              <w:pStyle w:val="TableParagraph"/>
              <w:spacing w:before="49"/>
              <w:ind w:left="108"/>
              <w:rPr>
                <w:b/>
                <w:sz w:val="21"/>
              </w:rPr>
            </w:pPr>
            <w:r>
              <w:rPr>
                <w:b/>
                <w:sz w:val="21"/>
              </w:rPr>
              <w:t>7.6</w:t>
            </w:r>
          </w:p>
        </w:tc>
        <w:tc>
          <w:tcPr>
            <w:tcW w:w="1576" w:type="dxa"/>
          </w:tcPr>
          <w:p>
            <w:pPr>
              <w:pStyle w:val="TableParagraph"/>
              <w:spacing w:before="49"/>
              <w:ind w:left="186"/>
              <w:rPr>
                <w:b/>
                <w:sz w:val="21"/>
              </w:rPr>
            </w:pPr>
            <w:r>
              <w:rPr>
                <w:b/>
                <w:sz w:val="21"/>
              </w:rPr>
              <w:t>争议处理</w:t>
            </w:r>
          </w:p>
        </w:tc>
        <w:tc>
          <w:tcPr>
            <w:tcW w:w="7193" w:type="dxa"/>
          </w:tcPr>
          <w:p>
            <w:pPr>
              <w:pStyle w:val="TableParagraph"/>
              <w:spacing w:line="273" w:lineRule="auto" w:before="49"/>
              <w:ind w:right="104"/>
              <w:rPr>
                <w:sz w:val="21"/>
              </w:rPr>
            </w:pPr>
            <w:r>
              <w:rPr>
                <w:sz w:val="21"/>
              </w:rPr>
              <w:t>本合同履行过程中，双方发生争议的，由双方协商解决，协商不成的，按本合同约定向人民法院起诉或提交仲裁委员会仲裁。</w:t>
            </w:r>
          </w:p>
        </w:tc>
      </w:tr>
      <w:tr>
        <w:trPr>
          <w:trHeight w:val="311" w:hRule="atLeast"/>
        </w:trPr>
        <w:tc>
          <w:tcPr>
            <w:tcW w:w="774" w:type="dxa"/>
            <w:shd w:val="clear" w:color="auto" w:fill="DADADA"/>
          </w:tcPr>
          <w:p>
            <w:pPr>
              <w:pStyle w:val="TableParagraph"/>
              <w:spacing w:line="254" w:lineRule="exact"/>
              <w:ind w:left="108"/>
              <w:rPr>
                <w:b/>
                <w:sz w:val="21"/>
              </w:rPr>
            </w:pPr>
            <w:r>
              <w:rPr>
                <w:b/>
                <w:sz w:val="21"/>
              </w:rPr>
              <w:t>8．</w:t>
            </w:r>
          </w:p>
        </w:tc>
        <w:tc>
          <w:tcPr>
            <w:tcW w:w="1576" w:type="dxa"/>
            <w:shd w:val="clear" w:color="auto" w:fill="DADADA"/>
          </w:tcPr>
          <w:p>
            <w:pPr>
              <w:pStyle w:val="TableParagraph"/>
              <w:spacing w:line="254" w:lineRule="exact"/>
              <w:ind w:left="138" w:right="-44"/>
              <w:rPr>
                <w:b/>
                <w:sz w:val="21"/>
              </w:rPr>
            </w:pPr>
            <w:r>
              <w:rPr>
                <w:b/>
                <w:sz w:val="21"/>
              </w:rPr>
              <w:t>重大疾病的定义</w:t>
            </w:r>
          </w:p>
        </w:tc>
        <w:tc>
          <w:tcPr>
            <w:tcW w:w="7193" w:type="dxa"/>
            <w:shd w:val="clear" w:color="auto" w:fill="DADADA"/>
          </w:tcPr>
          <w:p>
            <w:pPr>
              <w:pStyle w:val="TableParagraph"/>
              <w:ind w:left="0"/>
              <w:rPr>
                <w:rFonts w:ascii="Times New Roman"/>
                <w:sz w:val="20"/>
              </w:rPr>
            </w:pPr>
          </w:p>
        </w:tc>
      </w:tr>
      <w:tr>
        <w:trPr>
          <w:trHeight w:val="1150" w:hRule="atLeast"/>
        </w:trPr>
        <w:tc>
          <w:tcPr>
            <w:tcW w:w="774" w:type="dxa"/>
          </w:tcPr>
          <w:p>
            <w:pPr>
              <w:pStyle w:val="TableParagraph"/>
              <w:spacing w:before="120"/>
              <w:ind w:left="108"/>
              <w:rPr>
                <w:b/>
                <w:sz w:val="21"/>
              </w:rPr>
            </w:pPr>
            <w:r>
              <w:rPr>
                <w:b/>
                <w:sz w:val="21"/>
              </w:rPr>
              <w:t>8.1</w:t>
            </w:r>
          </w:p>
        </w:tc>
        <w:tc>
          <w:tcPr>
            <w:tcW w:w="1576" w:type="dxa"/>
          </w:tcPr>
          <w:p>
            <w:pPr>
              <w:pStyle w:val="TableParagraph"/>
              <w:spacing w:line="273" w:lineRule="auto" w:before="120"/>
              <w:ind w:left="186" w:right="120"/>
              <w:rPr>
                <w:b/>
                <w:sz w:val="21"/>
              </w:rPr>
            </w:pPr>
            <w:r>
              <w:rPr>
                <w:b/>
                <w:sz w:val="21"/>
              </w:rPr>
              <w:t>重大疾病的定义</w:t>
            </w:r>
          </w:p>
        </w:tc>
        <w:tc>
          <w:tcPr>
            <w:tcW w:w="7193" w:type="dxa"/>
          </w:tcPr>
          <w:p>
            <w:pPr>
              <w:pStyle w:val="TableParagraph"/>
              <w:spacing w:line="273" w:lineRule="auto" w:before="120"/>
              <w:ind w:right="104" w:firstLine="2"/>
              <w:jc w:val="both"/>
              <w:rPr>
                <w:sz w:val="21"/>
              </w:rPr>
            </w:pPr>
            <w:r>
              <w:rPr>
                <w:spacing w:val="-11"/>
                <w:sz w:val="21"/>
              </w:rPr>
              <w:t>本合同所保障的重大疾病，是指被保险人在本合同有效期间内经</w:t>
            </w:r>
            <w:r>
              <w:rPr>
                <w:b/>
                <w:spacing w:val="-23"/>
                <w:sz w:val="21"/>
              </w:rPr>
              <w:t>专科医生</w:t>
            </w:r>
            <w:r>
              <w:rPr>
                <w:spacing w:val="-3"/>
                <w:sz w:val="21"/>
              </w:rPr>
              <w:t>（详</w:t>
            </w:r>
            <w:r>
              <w:rPr>
                <w:sz w:val="21"/>
              </w:rPr>
              <w:t>见释义）</w:t>
            </w:r>
            <w:r>
              <w:rPr>
                <w:spacing w:val="-2"/>
                <w:sz w:val="21"/>
              </w:rPr>
              <w:t>明确诊断初次患下列疾病或初次达到下列疾病状态或在医院初次接</w:t>
            </w:r>
            <w:r>
              <w:rPr>
                <w:spacing w:val="-3"/>
                <w:sz w:val="21"/>
              </w:rPr>
              <w:t>受下列手术：</w:t>
            </w:r>
          </w:p>
        </w:tc>
      </w:tr>
      <w:tr>
        <w:trPr>
          <w:trHeight w:val="3651" w:hRule="atLeast"/>
        </w:trPr>
        <w:tc>
          <w:tcPr>
            <w:tcW w:w="774" w:type="dxa"/>
          </w:tcPr>
          <w:p>
            <w:pPr>
              <w:pStyle w:val="TableParagraph"/>
              <w:spacing w:before="50"/>
              <w:ind w:left="108"/>
              <w:rPr>
                <w:b/>
                <w:sz w:val="21"/>
              </w:rPr>
            </w:pPr>
            <w:r>
              <w:rPr>
                <w:b/>
                <w:sz w:val="21"/>
              </w:rPr>
              <w:t>8.1.1</w:t>
            </w:r>
          </w:p>
        </w:tc>
        <w:tc>
          <w:tcPr>
            <w:tcW w:w="1576" w:type="dxa"/>
          </w:tcPr>
          <w:p>
            <w:pPr>
              <w:pStyle w:val="TableParagraph"/>
              <w:spacing w:before="50"/>
              <w:ind w:left="186"/>
              <w:rPr>
                <w:b/>
                <w:sz w:val="21"/>
              </w:rPr>
            </w:pPr>
            <w:r>
              <w:rPr>
                <w:b/>
                <w:sz w:val="21"/>
              </w:rPr>
              <w:t>恶性肿瘤</w:t>
            </w:r>
          </w:p>
        </w:tc>
        <w:tc>
          <w:tcPr>
            <w:tcW w:w="7193" w:type="dxa"/>
          </w:tcPr>
          <w:p>
            <w:pPr>
              <w:pStyle w:val="TableParagraph"/>
              <w:spacing w:line="273" w:lineRule="auto" w:before="50"/>
              <w:ind w:right="104"/>
              <w:jc w:val="both"/>
              <w:rPr>
                <w:sz w:val="21"/>
              </w:rPr>
            </w:pPr>
            <w:r>
              <w:rPr>
                <w:spacing w:val="-2"/>
                <w:sz w:val="21"/>
              </w:rPr>
              <w:t>指恶性细胞不受控制的进行性增长和扩散，浸润和破坏周围正常组织，可以</w:t>
            </w:r>
            <w:r>
              <w:rPr>
                <w:spacing w:val="-3"/>
                <w:sz w:val="21"/>
              </w:rPr>
              <w:t>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84"/>
              <w:ind w:left="122"/>
              <w:jc w:val="both"/>
              <w:rPr>
                <w:rFonts w:ascii="黑体" w:eastAsia="黑体" w:hint="eastAsia"/>
                <w:sz w:val="21"/>
              </w:rPr>
            </w:pPr>
            <w:r>
              <w:rPr>
                <w:rFonts w:ascii="黑体" w:eastAsia="黑体" w:hint="eastAsia"/>
                <w:sz w:val="21"/>
              </w:rPr>
              <w:t>下列疾病不在保障范围内：</w:t>
            </w:r>
          </w:p>
          <w:p>
            <w:pPr>
              <w:pStyle w:val="TableParagraph"/>
              <w:spacing w:before="36"/>
              <w:ind w:left="122"/>
              <w:jc w:val="both"/>
              <w:rPr>
                <w:rFonts w:ascii="黑体" w:eastAsia="黑体" w:hint="eastAsia"/>
                <w:sz w:val="21"/>
              </w:rPr>
            </w:pPr>
            <w:r>
              <w:rPr>
                <w:rFonts w:ascii="黑体" w:eastAsia="黑体" w:hint="eastAsia"/>
                <w:sz w:val="21"/>
              </w:rPr>
              <w:t>(1)原位癌；</w:t>
            </w:r>
          </w:p>
          <w:p>
            <w:pPr>
              <w:pStyle w:val="TableParagraph"/>
              <w:spacing w:before="36"/>
              <w:ind w:left="122"/>
              <w:jc w:val="both"/>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6"/>
              <w:ind w:left="122"/>
              <w:jc w:val="both"/>
              <w:rPr>
                <w:rFonts w:ascii="黑体" w:eastAsia="黑体" w:hint="eastAsia"/>
                <w:sz w:val="21"/>
              </w:rPr>
            </w:pPr>
            <w:r>
              <w:rPr>
                <w:rFonts w:ascii="黑体" w:eastAsia="黑体" w:hint="eastAsia"/>
                <w:sz w:val="21"/>
              </w:rPr>
              <w:t>(3)相当于 Ann Arbor 分期方案 I 期程度的何杰金氏病；</w:t>
            </w:r>
          </w:p>
          <w:p>
            <w:pPr>
              <w:pStyle w:val="TableParagraph"/>
              <w:spacing w:before="36"/>
              <w:jc w:val="both"/>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6"/>
              <w:jc w:val="both"/>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7"/>
              <w:jc w:val="both"/>
              <w:rPr>
                <w:rFonts w:ascii="黑体" w:eastAsia="黑体" w:hint="eastAsia"/>
                <w:sz w:val="21"/>
              </w:rPr>
            </w:pPr>
            <w:r>
              <w:rPr>
                <w:rFonts w:ascii="黑体" w:eastAsia="黑体" w:hint="eastAsia"/>
                <w:sz w:val="21"/>
              </w:rPr>
              <w:t>(6)感染艾滋病病毒或患艾滋病期间所患恶性肿瘤。</w:t>
            </w:r>
          </w:p>
        </w:tc>
      </w:tr>
      <w:tr>
        <w:trPr>
          <w:trHeight w:val="2325" w:hRule="atLeast"/>
        </w:trPr>
        <w:tc>
          <w:tcPr>
            <w:tcW w:w="774" w:type="dxa"/>
          </w:tcPr>
          <w:p>
            <w:pPr>
              <w:pStyle w:val="TableParagraph"/>
              <w:spacing w:before="48"/>
              <w:ind w:left="108"/>
              <w:rPr>
                <w:b/>
                <w:sz w:val="21"/>
              </w:rPr>
            </w:pPr>
            <w:r>
              <w:rPr>
                <w:b/>
                <w:sz w:val="21"/>
              </w:rPr>
              <w:t>8.1.2</w:t>
            </w:r>
          </w:p>
        </w:tc>
        <w:tc>
          <w:tcPr>
            <w:tcW w:w="1576" w:type="dxa"/>
          </w:tcPr>
          <w:p>
            <w:pPr>
              <w:pStyle w:val="TableParagraph"/>
              <w:spacing w:before="48"/>
              <w:ind w:left="186"/>
              <w:rPr>
                <w:b/>
                <w:sz w:val="21"/>
              </w:rPr>
            </w:pPr>
            <w:r>
              <w:rPr>
                <w:b/>
                <w:sz w:val="21"/>
              </w:rPr>
              <w:t>急性心肌梗塞</w:t>
            </w:r>
          </w:p>
        </w:tc>
        <w:tc>
          <w:tcPr>
            <w:tcW w:w="7193" w:type="dxa"/>
          </w:tcPr>
          <w:p>
            <w:pPr>
              <w:pStyle w:val="TableParagraph"/>
              <w:spacing w:line="273" w:lineRule="auto" w:before="48"/>
              <w:ind w:right="104"/>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right="105"/>
              <w:rPr>
                <w:sz w:val="21"/>
              </w:rPr>
            </w:pPr>
            <w:r>
              <w:rPr>
                <w:sz w:val="21"/>
              </w:rPr>
              <w:t>(3)</w:t>
            </w:r>
            <w:r>
              <w:rPr>
                <w:spacing w:val="-8"/>
                <w:sz w:val="21"/>
              </w:rPr>
              <w:t>心肌酶或肌钙蛋白有诊断意义的升高，或呈符合急性心肌梗塞的动态性变化；</w:t>
            </w:r>
          </w:p>
          <w:p>
            <w:pPr>
              <w:pStyle w:val="TableParagraph"/>
              <w:spacing w:before="7"/>
              <w:rPr>
                <w:sz w:val="21"/>
              </w:rPr>
            </w:pPr>
            <w:r>
              <w:rPr>
                <w:sz w:val="21"/>
              </w:rPr>
              <w:t>(4)</w:t>
            </w:r>
            <w:r>
              <w:rPr>
                <w:spacing w:val="-15"/>
                <w:sz w:val="21"/>
              </w:rPr>
              <w:t>发病 </w:t>
            </w:r>
            <w:r>
              <w:rPr>
                <w:sz w:val="21"/>
              </w:rPr>
              <w:t>90</w:t>
            </w:r>
            <w:r>
              <w:rPr>
                <w:spacing w:val="-12"/>
                <w:sz w:val="21"/>
              </w:rPr>
              <w:t> 天后，经检查证实左心室功能降低，如左心室射血分数低于 </w:t>
            </w:r>
            <w:r>
              <w:rPr>
                <w:sz w:val="21"/>
              </w:rPr>
              <w:t>50%。</w:t>
            </w:r>
          </w:p>
        </w:tc>
      </w:tr>
      <w:tr>
        <w:trPr>
          <w:trHeight w:val="2326" w:hRule="atLeast"/>
        </w:trPr>
        <w:tc>
          <w:tcPr>
            <w:tcW w:w="774" w:type="dxa"/>
          </w:tcPr>
          <w:p>
            <w:pPr>
              <w:pStyle w:val="TableParagraph"/>
              <w:spacing w:before="49"/>
              <w:ind w:left="108"/>
              <w:rPr>
                <w:b/>
                <w:sz w:val="21"/>
              </w:rPr>
            </w:pPr>
            <w:r>
              <w:rPr>
                <w:b/>
                <w:sz w:val="21"/>
              </w:rPr>
              <w:t>8.1.3</w:t>
            </w:r>
          </w:p>
        </w:tc>
        <w:tc>
          <w:tcPr>
            <w:tcW w:w="1576" w:type="dxa"/>
          </w:tcPr>
          <w:p>
            <w:pPr>
              <w:pStyle w:val="TableParagraph"/>
              <w:spacing w:before="49"/>
              <w:ind w:left="186"/>
              <w:rPr>
                <w:b/>
                <w:sz w:val="21"/>
              </w:rPr>
            </w:pPr>
            <w:r>
              <w:rPr>
                <w:b/>
                <w:sz w:val="21"/>
              </w:rPr>
              <w:t>脑中风后遗症</w:t>
            </w:r>
          </w:p>
        </w:tc>
        <w:tc>
          <w:tcPr>
            <w:tcW w:w="7193" w:type="dxa"/>
          </w:tcPr>
          <w:p>
            <w:pPr>
              <w:pStyle w:val="TableParagraph"/>
              <w:spacing w:line="273" w:lineRule="auto" w:before="49"/>
              <w:ind w:right="103"/>
              <w:jc w:val="both"/>
              <w:rPr>
                <w:sz w:val="21"/>
              </w:rPr>
            </w:pPr>
            <w:r>
              <w:rPr>
                <w:spacing w:val="-2"/>
                <w:sz w:val="21"/>
              </w:rPr>
              <w:t>指因脑血管的突发病变引起脑血管出血、栓塞或梗塞，并导致神经系统永久</w:t>
            </w:r>
            <w:r>
              <w:rPr>
                <w:spacing w:val="-4"/>
                <w:sz w:val="21"/>
              </w:rPr>
              <w:t>性的功能障碍。神经系统永久性的功能障碍，指疾病确诊 </w:t>
            </w:r>
            <w:r>
              <w:rPr>
                <w:sz w:val="21"/>
              </w:rPr>
              <w:t>180</w:t>
            </w:r>
            <w:r>
              <w:rPr>
                <w:spacing w:val="-6"/>
                <w:sz w:val="21"/>
              </w:rPr>
              <w:t> 天后，仍遗留</w:t>
            </w:r>
            <w:r>
              <w:rPr>
                <w:spacing w:val="-4"/>
                <w:sz w:val="21"/>
              </w:rPr>
              <w:t>下列一种或一种以上障碍：</w:t>
            </w:r>
          </w:p>
          <w:p>
            <w:pPr>
              <w:pStyle w:val="TableParagraph"/>
              <w:spacing w:before="8"/>
              <w:ind w:left="122"/>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before="37"/>
              <w:ind w:left="122"/>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line="273" w:lineRule="auto" w:before="36"/>
              <w:rPr>
                <w:sz w:val="21"/>
              </w:rPr>
            </w:pPr>
            <w:r>
              <w:rPr>
                <w:sz w:val="21"/>
              </w:rPr>
              <w:t>(3)</w:t>
            </w:r>
            <w:r>
              <w:rPr>
                <w:spacing w:val="-12"/>
                <w:sz w:val="21"/>
              </w:rPr>
              <w:t>自主生活能力完全丧失，无法独立完成</w:t>
            </w:r>
            <w:r>
              <w:rPr>
                <w:b/>
                <w:spacing w:val="-11"/>
                <w:sz w:val="21"/>
              </w:rPr>
              <w:t>六项基本日常生活活动</w:t>
            </w:r>
            <w:r>
              <w:rPr>
                <w:spacing w:val="-3"/>
                <w:sz w:val="21"/>
              </w:rPr>
              <w:t>（</w:t>
            </w:r>
            <w:r>
              <w:rPr>
                <w:spacing w:val="-2"/>
                <w:sz w:val="21"/>
              </w:rPr>
              <w:t>详见释义</w:t>
            </w:r>
            <w:r>
              <w:rPr>
                <w:sz w:val="21"/>
              </w:rPr>
              <w:t>） </w:t>
            </w:r>
            <w:r>
              <w:rPr>
                <w:spacing w:val="-3"/>
                <w:sz w:val="21"/>
              </w:rPr>
              <w:t>中的三项或三项以上。</w:t>
            </w:r>
          </w:p>
        </w:tc>
      </w:tr>
      <w:tr>
        <w:trPr>
          <w:trHeight w:val="1034" w:hRule="atLeast"/>
        </w:trPr>
        <w:tc>
          <w:tcPr>
            <w:tcW w:w="774" w:type="dxa"/>
          </w:tcPr>
          <w:p>
            <w:pPr>
              <w:pStyle w:val="TableParagraph"/>
              <w:spacing w:before="50"/>
              <w:ind w:left="108"/>
              <w:rPr>
                <w:b/>
                <w:sz w:val="21"/>
              </w:rPr>
            </w:pPr>
            <w:r>
              <w:rPr>
                <w:b/>
                <w:sz w:val="21"/>
              </w:rPr>
              <w:t>8.1.4</w:t>
            </w:r>
          </w:p>
        </w:tc>
        <w:tc>
          <w:tcPr>
            <w:tcW w:w="1576" w:type="dxa"/>
          </w:tcPr>
          <w:p>
            <w:pPr>
              <w:pStyle w:val="TableParagraph"/>
              <w:spacing w:line="273" w:lineRule="auto" w:before="50"/>
              <w:ind w:left="186" w:right="120"/>
              <w:jc w:val="both"/>
              <w:rPr>
                <w:b/>
                <w:sz w:val="21"/>
              </w:rPr>
            </w:pPr>
            <w:r>
              <w:rPr>
                <w:b/>
                <w:sz w:val="21"/>
              </w:rPr>
              <w:t>重大器官移植术或造血干细胞移植术</w:t>
            </w:r>
          </w:p>
        </w:tc>
        <w:tc>
          <w:tcPr>
            <w:tcW w:w="7193" w:type="dxa"/>
          </w:tcPr>
          <w:p>
            <w:pPr>
              <w:pStyle w:val="TableParagraph"/>
              <w:spacing w:line="273" w:lineRule="auto" w:before="50"/>
              <w:ind w:right="104"/>
              <w:rPr>
                <w:sz w:val="21"/>
              </w:rPr>
            </w:pPr>
            <w:r>
              <w:rPr>
                <w:sz w:val="21"/>
              </w:rPr>
              <w:t>重大器官移植术，指因相应器官功能衰竭，已经实施了肾脏、肝脏、心脏或肺脏的异体移植手术。</w:t>
            </w:r>
          </w:p>
          <w:p>
            <w:pPr>
              <w:pStyle w:val="TableParagraph"/>
              <w:spacing w:line="264" w:lineRule="exact" w:before="84"/>
              <w:rPr>
                <w:sz w:val="21"/>
              </w:rPr>
            </w:pPr>
            <w:r>
              <w:rPr>
                <w:sz w:val="21"/>
              </w:rPr>
              <w:t>造血干细胞移植术，指因造血功能损害或造血系统恶性肿瘤，已经实施了造</w:t>
            </w:r>
          </w:p>
        </w:tc>
      </w:tr>
    </w:tbl>
    <w:p>
      <w:pPr>
        <w:spacing w:after="0" w:line="264" w:lineRule="exac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498"/>
        <w:gridCol w:w="7288"/>
      </w:tblGrid>
      <w:tr>
        <w:trPr>
          <w:trHeight w:val="644" w:hRule="atLeast"/>
        </w:trPr>
        <w:tc>
          <w:tcPr>
            <w:tcW w:w="944" w:type="dxa"/>
          </w:tcPr>
          <w:p>
            <w:pPr>
              <w:pStyle w:val="TableParagraph"/>
              <w:ind w:left="0"/>
              <w:rPr>
                <w:rFonts w:ascii="Times New Roman"/>
                <w:sz w:val="20"/>
              </w:rPr>
            </w:pPr>
          </w:p>
        </w:tc>
        <w:tc>
          <w:tcPr>
            <w:tcW w:w="1498" w:type="dxa"/>
          </w:tcPr>
          <w:p>
            <w:pPr>
              <w:pStyle w:val="TableParagraph"/>
              <w:ind w:left="0"/>
              <w:rPr>
                <w:rFonts w:ascii="Times New Roman"/>
                <w:sz w:val="20"/>
              </w:rPr>
            </w:pPr>
          </w:p>
        </w:tc>
        <w:tc>
          <w:tcPr>
            <w:tcW w:w="7288" w:type="dxa"/>
          </w:tcPr>
          <w:p>
            <w:pPr>
              <w:pStyle w:val="TableParagraph"/>
              <w:spacing w:line="202" w:lineRule="exact"/>
              <w:rPr>
                <w:sz w:val="21"/>
              </w:rPr>
            </w:pPr>
            <w:r>
              <w:rPr>
                <w:sz w:val="21"/>
              </w:rPr>
              <w:t>血干细胞（包括骨髓造血干细胞、外周血造血干细胞和脐血造血干细胞）的</w:t>
            </w:r>
          </w:p>
          <w:p>
            <w:pPr>
              <w:pStyle w:val="TableParagraph"/>
              <w:spacing w:before="37"/>
              <w:rPr>
                <w:sz w:val="21"/>
              </w:rPr>
            </w:pPr>
            <w:r>
              <w:rPr>
                <w:sz w:val="21"/>
              </w:rPr>
              <w:t>异体移植手术。</w:t>
            </w:r>
          </w:p>
        </w:tc>
      </w:tr>
      <w:tr>
        <w:trPr>
          <w:trHeight w:val="1467" w:hRule="atLeast"/>
        </w:trPr>
        <w:tc>
          <w:tcPr>
            <w:tcW w:w="944" w:type="dxa"/>
          </w:tcPr>
          <w:p>
            <w:pPr>
              <w:pStyle w:val="TableParagraph"/>
              <w:spacing w:before="48"/>
              <w:ind w:left="200"/>
              <w:rPr>
                <w:b/>
                <w:sz w:val="21"/>
              </w:rPr>
            </w:pPr>
            <w:r>
              <w:rPr>
                <w:b/>
                <w:sz w:val="21"/>
              </w:rPr>
              <w:t>8.1.5</w:t>
            </w:r>
          </w:p>
        </w:tc>
        <w:tc>
          <w:tcPr>
            <w:tcW w:w="1498" w:type="dxa"/>
          </w:tcPr>
          <w:p>
            <w:pPr>
              <w:pStyle w:val="TableParagraph"/>
              <w:spacing w:line="273" w:lineRule="auto" w:before="48"/>
              <w:ind w:left="108" w:right="120"/>
              <w:jc w:val="both"/>
              <w:rPr>
                <w:b/>
                <w:sz w:val="21"/>
              </w:rPr>
            </w:pPr>
            <w:r>
              <w:rPr>
                <w:b/>
                <w:sz w:val="21"/>
              </w:rPr>
              <w:t>冠状动脉搭桥术（或称冠状动脉旁路移植术）</w:t>
            </w:r>
          </w:p>
        </w:tc>
        <w:tc>
          <w:tcPr>
            <w:tcW w:w="7288" w:type="dxa"/>
          </w:tcPr>
          <w:p>
            <w:pPr>
              <w:pStyle w:val="TableParagraph"/>
              <w:spacing w:line="273" w:lineRule="auto" w:before="48"/>
              <w:ind w:right="199"/>
              <w:rPr>
                <w:sz w:val="21"/>
              </w:rPr>
            </w:pPr>
            <w:r>
              <w:rPr>
                <w:sz w:val="21"/>
              </w:rPr>
              <w:t>指为治疗严重的冠心病，实际实施了开胸进行的冠状动脉血管旁路移植的手术。</w:t>
            </w:r>
          </w:p>
          <w:p>
            <w:pPr>
              <w:pStyle w:val="TableParagraph"/>
              <w:spacing w:line="273" w:lineRule="auto" w:before="84"/>
              <w:ind w:right="199"/>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390" w:hRule="atLeast"/>
        </w:trPr>
        <w:tc>
          <w:tcPr>
            <w:tcW w:w="944" w:type="dxa"/>
          </w:tcPr>
          <w:p>
            <w:pPr>
              <w:pStyle w:val="TableParagraph"/>
              <w:spacing w:before="50"/>
              <w:ind w:left="200"/>
              <w:rPr>
                <w:b/>
                <w:sz w:val="21"/>
              </w:rPr>
            </w:pPr>
            <w:r>
              <w:rPr>
                <w:b/>
                <w:sz w:val="21"/>
              </w:rPr>
              <w:t>8.1.6</w:t>
            </w:r>
          </w:p>
        </w:tc>
        <w:tc>
          <w:tcPr>
            <w:tcW w:w="1498" w:type="dxa"/>
          </w:tcPr>
          <w:p>
            <w:pPr>
              <w:pStyle w:val="TableParagraph"/>
              <w:spacing w:before="50"/>
              <w:ind w:left="108"/>
              <w:rPr>
                <w:b/>
                <w:sz w:val="21"/>
              </w:rPr>
            </w:pPr>
            <w:r>
              <w:rPr>
                <w:b/>
                <w:sz w:val="21"/>
              </w:rPr>
              <w:t>终末期肾病</w:t>
            </w:r>
          </w:p>
          <w:p>
            <w:pPr>
              <w:pStyle w:val="TableParagraph"/>
              <w:spacing w:line="273" w:lineRule="auto" w:before="37"/>
              <w:ind w:left="108" w:right="120"/>
              <w:jc w:val="both"/>
              <w:rPr>
                <w:b/>
                <w:sz w:val="21"/>
              </w:rPr>
            </w:pPr>
            <w:r>
              <w:rPr>
                <w:b/>
                <w:sz w:val="21"/>
              </w:rPr>
              <w:t>（或称慢性肾功能衰竭尿毒症期）</w:t>
            </w:r>
          </w:p>
        </w:tc>
        <w:tc>
          <w:tcPr>
            <w:tcW w:w="7288" w:type="dxa"/>
          </w:tcPr>
          <w:p>
            <w:pPr>
              <w:pStyle w:val="TableParagraph"/>
              <w:spacing w:before="50"/>
              <w:rPr>
                <w:sz w:val="21"/>
              </w:rPr>
            </w:pPr>
            <w:r>
              <w:rPr>
                <w:sz w:val="21"/>
              </w:rPr>
              <w:t>指双肾功能慢性不可逆性衰竭，达到尿毒症期，经诊断后已经进行了至少 90</w:t>
            </w:r>
          </w:p>
          <w:p>
            <w:pPr>
              <w:pStyle w:val="TableParagraph"/>
              <w:spacing w:before="37"/>
              <w:rPr>
                <w:sz w:val="21"/>
              </w:rPr>
            </w:pPr>
            <w:r>
              <w:rPr>
                <w:sz w:val="21"/>
              </w:rPr>
              <w:t>天的规律性透析治疗或实施了肾脏移植手术。</w:t>
            </w:r>
          </w:p>
        </w:tc>
      </w:tr>
      <w:tr>
        <w:trPr>
          <w:trHeight w:val="765" w:hRule="atLeast"/>
        </w:trPr>
        <w:tc>
          <w:tcPr>
            <w:tcW w:w="944" w:type="dxa"/>
          </w:tcPr>
          <w:p>
            <w:pPr>
              <w:pStyle w:val="TableParagraph"/>
              <w:spacing w:before="48"/>
              <w:ind w:left="200"/>
              <w:rPr>
                <w:b/>
                <w:sz w:val="21"/>
              </w:rPr>
            </w:pPr>
            <w:r>
              <w:rPr>
                <w:b/>
                <w:sz w:val="21"/>
              </w:rPr>
              <w:t>8.1.7</w:t>
            </w:r>
          </w:p>
        </w:tc>
        <w:tc>
          <w:tcPr>
            <w:tcW w:w="1498" w:type="dxa"/>
          </w:tcPr>
          <w:p>
            <w:pPr>
              <w:pStyle w:val="TableParagraph"/>
              <w:spacing w:before="48"/>
              <w:ind w:left="108"/>
              <w:rPr>
                <w:b/>
                <w:sz w:val="21"/>
              </w:rPr>
            </w:pPr>
            <w:r>
              <w:rPr>
                <w:b/>
                <w:sz w:val="21"/>
              </w:rPr>
              <w:t>多个肢体缺失</w:t>
            </w:r>
          </w:p>
        </w:tc>
        <w:tc>
          <w:tcPr>
            <w:tcW w:w="7288" w:type="dxa"/>
          </w:tcPr>
          <w:p>
            <w:pPr>
              <w:pStyle w:val="TableParagraph"/>
              <w:spacing w:line="273" w:lineRule="auto" w:before="48"/>
              <w:ind w:right="199"/>
              <w:rPr>
                <w:sz w:val="21"/>
              </w:rPr>
            </w:pPr>
            <w:r>
              <w:rPr>
                <w:sz w:val="21"/>
              </w:rPr>
              <w:t>指因疾病或意外伤害导致两个或两个以上肢体自腕关节或踝关节近端（靠近躯干端）以上完全性断离。</w:t>
            </w:r>
          </w:p>
        </w:tc>
      </w:tr>
      <w:tr>
        <w:trPr>
          <w:trHeight w:val="2013" w:hRule="atLeast"/>
        </w:trPr>
        <w:tc>
          <w:tcPr>
            <w:tcW w:w="944" w:type="dxa"/>
          </w:tcPr>
          <w:p>
            <w:pPr>
              <w:pStyle w:val="TableParagraph"/>
              <w:spacing w:before="48"/>
              <w:ind w:left="200"/>
              <w:rPr>
                <w:b/>
                <w:sz w:val="21"/>
              </w:rPr>
            </w:pPr>
            <w:r>
              <w:rPr>
                <w:b/>
                <w:sz w:val="21"/>
              </w:rPr>
              <w:t>8.1.8</w:t>
            </w:r>
          </w:p>
        </w:tc>
        <w:tc>
          <w:tcPr>
            <w:tcW w:w="1498" w:type="dxa"/>
          </w:tcPr>
          <w:p>
            <w:pPr>
              <w:pStyle w:val="TableParagraph"/>
              <w:spacing w:line="273" w:lineRule="auto" w:before="48"/>
              <w:ind w:left="108" w:right="120"/>
              <w:rPr>
                <w:b/>
                <w:sz w:val="21"/>
              </w:rPr>
            </w:pPr>
            <w:r>
              <w:rPr>
                <w:b/>
                <w:sz w:val="21"/>
              </w:rPr>
              <w:t>急性或亚急性重症肝炎</w:t>
            </w:r>
          </w:p>
        </w:tc>
        <w:tc>
          <w:tcPr>
            <w:tcW w:w="7288" w:type="dxa"/>
          </w:tcPr>
          <w:p>
            <w:pPr>
              <w:pStyle w:val="TableParagraph"/>
              <w:spacing w:line="273" w:lineRule="auto" w:before="48"/>
              <w:ind w:right="199"/>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ind w:left="122"/>
              <w:rPr>
                <w:sz w:val="21"/>
              </w:rPr>
            </w:pPr>
            <w:r>
              <w:rPr>
                <w:sz w:val="21"/>
              </w:rPr>
              <w:t>(3)B 超或其它影像学检查显示肝脏体积急速萎缩；</w:t>
            </w:r>
          </w:p>
          <w:p>
            <w:pPr>
              <w:pStyle w:val="TableParagraph"/>
              <w:spacing w:before="37"/>
              <w:ind w:left="122"/>
              <w:rPr>
                <w:sz w:val="21"/>
              </w:rPr>
            </w:pPr>
            <w:r>
              <w:rPr>
                <w:sz w:val="21"/>
              </w:rPr>
              <w:t>(4)肝功能指标进行性恶化。</w:t>
            </w:r>
          </w:p>
        </w:tc>
      </w:tr>
      <w:tr>
        <w:trPr>
          <w:trHeight w:val="2404" w:hRule="atLeast"/>
        </w:trPr>
        <w:tc>
          <w:tcPr>
            <w:tcW w:w="944" w:type="dxa"/>
          </w:tcPr>
          <w:p>
            <w:pPr>
              <w:pStyle w:val="TableParagraph"/>
              <w:spacing w:before="49"/>
              <w:ind w:left="200"/>
              <w:rPr>
                <w:b/>
                <w:sz w:val="21"/>
              </w:rPr>
            </w:pPr>
            <w:r>
              <w:rPr>
                <w:b/>
                <w:sz w:val="21"/>
              </w:rPr>
              <w:t>8.1.9</w:t>
            </w:r>
          </w:p>
        </w:tc>
        <w:tc>
          <w:tcPr>
            <w:tcW w:w="1498" w:type="dxa"/>
          </w:tcPr>
          <w:p>
            <w:pPr>
              <w:pStyle w:val="TableParagraph"/>
              <w:spacing w:before="49"/>
              <w:ind w:left="108"/>
              <w:rPr>
                <w:b/>
                <w:sz w:val="21"/>
              </w:rPr>
            </w:pPr>
            <w:r>
              <w:rPr>
                <w:b/>
                <w:sz w:val="21"/>
              </w:rPr>
              <w:t>良性脑肿瘤</w:t>
            </w:r>
          </w:p>
        </w:tc>
        <w:tc>
          <w:tcPr>
            <w:tcW w:w="7288" w:type="dxa"/>
          </w:tcPr>
          <w:p>
            <w:pPr>
              <w:pStyle w:val="TableParagraph"/>
              <w:spacing w:line="273" w:lineRule="auto" w:before="49"/>
              <w:ind w:right="199"/>
              <w:rPr>
                <w:sz w:val="21"/>
              </w:rPr>
            </w:pPr>
            <w:r>
              <w:rPr>
                <w:spacing w:val="-2"/>
                <w:sz w:val="21"/>
              </w:rPr>
              <w:t>指脑的良性肿瘤，已经引起颅内压增高，临床表现为视神经乳头水肿、精神</w:t>
            </w:r>
            <w:r>
              <w:rPr>
                <w:spacing w:val="-8"/>
                <w:w w:val="100"/>
                <w:sz w:val="21"/>
              </w:rPr>
              <w:t>症状、癫痫及运动感觉障碍等，并危及生命。须由头颅断层扫描</w:t>
            </w:r>
            <w:r>
              <w:rPr>
                <w:spacing w:val="-2"/>
                <w:w w:val="100"/>
                <w:sz w:val="21"/>
              </w:rPr>
              <w:t>（</w:t>
            </w:r>
            <w:r>
              <w:rPr>
                <w:w w:val="100"/>
                <w:sz w:val="21"/>
              </w:rPr>
              <w:t>CT</w:t>
            </w:r>
            <w:r>
              <w:rPr>
                <w:spacing w:val="-108"/>
                <w:w w:val="100"/>
                <w:sz w:val="21"/>
              </w:rPr>
              <w:t>）</w:t>
            </w:r>
            <w:r>
              <w:rPr>
                <w:spacing w:val="-78"/>
                <w:w w:val="100"/>
                <w:sz w:val="21"/>
              </w:rPr>
              <w:t>、核磁</w:t>
            </w:r>
          </w:p>
          <w:p>
            <w:pPr>
              <w:pStyle w:val="TableParagraph"/>
              <w:spacing w:line="273" w:lineRule="auto" w:before="8"/>
              <w:ind w:right="199"/>
              <w:rPr>
                <w:sz w:val="21"/>
              </w:rPr>
            </w:pPr>
            <w:r>
              <w:rPr>
                <w:sz w:val="21"/>
              </w:rPr>
              <w:t>共振检查（MRI）或正电子发射断层扫描（PET）等影像学检查证实，并须满足下列至少一项条件：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116"/>
              <w:rPr>
                <w:rFonts w:ascii="黑体" w:eastAsia="黑体" w:hint="eastAsia"/>
                <w:sz w:val="21"/>
              </w:rPr>
            </w:pPr>
            <w:r>
              <w:rPr>
                <w:rFonts w:ascii="黑体" w:eastAsia="黑体" w:hint="eastAsia"/>
                <w:sz w:val="21"/>
              </w:rPr>
              <w:t>脑垂体瘤、脑囊肿、脑血管性疾病不在保障范围内。</w:t>
            </w:r>
          </w:p>
        </w:tc>
      </w:tr>
      <w:tr>
        <w:trPr>
          <w:trHeight w:val="2090" w:hRule="atLeast"/>
        </w:trPr>
        <w:tc>
          <w:tcPr>
            <w:tcW w:w="944" w:type="dxa"/>
          </w:tcPr>
          <w:p>
            <w:pPr>
              <w:pStyle w:val="TableParagraph"/>
              <w:spacing w:before="49"/>
              <w:ind w:left="200"/>
              <w:rPr>
                <w:b/>
                <w:sz w:val="21"/>
              </w:rPr>
            </w:pPr>
            <w:r>
              <w:rPr>
                <w:b/>
                <w:sz w:val="21"/>
              </w:rPr>
              <w:t>8.1.10</w:t>
            </w:r>
          </w:p>
        </w:tc>
        <w:tc>
          <w:tcPr>
            <w:tcW w:w="1498" w:type="dxa"/>
          </w:tcPr>
          <w:p>
            <w:pPr>
              <w:pStyle w:val="TableParagraph"/>
              <w:spacing w:line="273" w:lineRule="auto" w:before="49"/>
              <w:ind w:left="108" w:right="120"/>
              <w:rPr>
                <w:b/>
                <w:sz w:val="21"/>
              </w:rPr>
            </w:pPr>
            <w:r>
              <w:rPr>
                <w:b/>
                <w:sz w:val="21"/>
              </w:rPr>
              <w:t>慢性肝功能衰竭失代偿期</w:t>
            </w:r>
          </w:p>
        </w:tc>
        <w:tc>
          <w:tcPr>
            <w:tcW w:w="7288" w:type="dxa"/>
          </w:tcPr>
          <w:p>
            <w:pPr>
              <w:pStyle w:val="TableParagraph"/>
              <w:spacing w:before="49"/>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14"/>
              <w:rPr>
                <w:rFonts w:ascii="黑体" w:eastAsia="黑体" w:hint="eastAsia"/>
                <w:sz w:val="21"/>
              </w:rPr>
            </w:pPr>
            <w:r>
              <w:rPr>
                <w:rFonts w:ascii="黑体" w:eastAsia="黑体" w:hint="eastAsia"/>
                <w:sz w:val="21"/>
              </w:rPr>
              <w:t>因酗酒或药物滥用导致的肝功能衰竭不在保障范围内。</w:t>
            </w:r>
          </w:p>
        </w:tc>
      </w:tr>
      <w:tr>
        <w:trPr>
          <w:trHeight w:val="2014" w:hRule="atLeast"/>
        </w:trPr>
        <w:tc>
          <w:tcPr>
            <w:tcW w:w="944" w:type="dxa"/>
          </w:tcPr>
          <w:p>
            <w:pPr>
              <w:pStyle w:val="TableParagraph"/>
              <w:spacing w:before="49"/>
              <w:ind w:left="200"/>
              <w:rPr>
                <w:b/>
                <w:sz w:val="21"/>
              </w:rPr>
            </w:pPr>
            <w:r>
              <w:rPr>
                <w:b/>
                <w:sz w:val="21"/>
              </w:rPr>
              <w:t>8.1.11</w:t>
            </w:r>
          </w:p>
        </w:tc>
        <w:tc>
          <w:tcPr>
            <w:tcW w:w="1498" w:type="dxa"/>
          </w:tcPr>
          <w:p>
            <w:pPr>
              <w:pStyle w:val="TableParagraph"/>
              <w:spacing w:line="273" w:lineRule="auto" w:before="49"/>
              <w:ind w:left="108" w:right="120"/>
              <w:rPr>
                <w:b/>
                <w:sz w:val="21"/>
              </w:rPr>
            </w:pPr>
            <w:r>
              <w:rPr>
                <w:b/>
                <w:sz w:val="21"/>
              </w:rPr>
              <w:t>脑炎后遗症或脑膜炎后遗症</w:t>
            </w:r>
          </w:p>
        </w:tc>
        <w:tc>
          <w:tcPr>
            <w:tcW w:w="7288" w:type="dxa"/>
          </w:tcPr>
          <w:p>
            <w:pPr>
              <w:pStyle w:val="TableParagraph"/>
              <w:spacing w:line="273" w:lineRule="auto" w:before="49"/>
              <w:ind w:right="199"/>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ind w:left="122"/>
              <w:rPr>
                <w:sz w:val="21"/>
              </w:rPr>
            </w:pPr>
            <w:r>
              <w:rPr>
                <w:sz w:val="21"/>
              </w:rPr>
              <w:t>(1)一肢或一肢以上肢体机能完全丧失；</w:t>
            </w:r>
          </w:p>
          <w:p>
            <w:pPr>
              <w:pStyle w:val="TableParagraph"/>
              <w:spacing w:before="37"/>
              <w:ind w:left="122"/>
              <w:rPr>
                <w:sz w:val="21"/>
              </w:rPr>
            </w:pPr>
            <w:r>
              <w:rPr>
                <w:sz w:val="21"/>
              </w:rPr>
              <w:t>(2)语言能力或咀嚼吞咽能力完全丧失；</w:t>
            </w:r>
          </w:p>
          <w:p>
            <w:pPr>
              <w:pStyle w:val="TableParagraph"/>
              <w:spacing w:line="273" w:lineRule="auto" w:before="37"/>
              <w:ind w:left="122" w:right="200"/>
              <w:rPr>
                <w:sz w:val="21"/>
              </w:rPr>
            </w:pPr>
            <w:r>
              <w:rPr>
                <w:sz w:val="21"/>
              </w:rPr>
              <w:t>(3)</w:t>
            </w:r>
            <w:r>
              <w:rPr>
                <w:spacing w:val="-10"/>
                <w:sz w:val="21"/>
              </w:rPr>
              <w:t>自主生活能力完全丧失，无法独立完成六项基本日常生活活动中的三项或</w:t>
            </w:r>
            <w:r>
              <w:rPr>
                <w:spacing w:val="-5"/>
                <w:sz w:val="21"/>
              </w:rPr>
              <w:t>三项以上。</w:t>
            </w:r>
          </w:p>
        </w:tc>
      </w:tr>
      <w:tr>
        <w:trPr>
          <w:trHeight w:val="957" w:hRule="atLeast"/>
        </w:trPr>
        <w:tc>
          <w:tcPr>
            <w:tcW w:w="944" w:type="dxa"/>
          </w:tcPr>
          <w:p>
            <w:pPr>
              <w:pStyle w:val="TableParagraph"/>
              <w:spacing w:before="50"/>
              <w:ind w:left="200"/>
              <w:rPr>
                <w:b/>
                <w:sz w:val="21"/>
              </w:rPr>
            </w:pPr>
            <w:r>
              <w:rPr>
                <w:b/>
                <w:sz w:val="21"/>
              </w:rPr>
              <w:t>8.1.12</w:t>
            </w:r>
          </w:p>
        </w:tc>
        <w:tc>
          <w:tcPr>
            <w:tcW w:w="1498" w:type="dxa"/>
          </w:tcPr>
          <w:p>
            <w:pPr>
              <w:pStyle w:val="TableParagraph"/>
              <w:spacing w:before="50"/>
              <w:ind w:left="108"/>
              <w:rPr>
                <w:b/>
                <w:sz w:val="21"/>
              </w:rPr>
            </w:pPr>
            <w:r>
              <w:rPr>
                <w:b/>
                <w:sz w:val="21"/>
              </w:rPr>
              <w:t>深度昏迷</w:t>
            </w:r>
          </w:p>
        </w:tc>
        <w:tc>
          <w:tcPr>
            <w:tcW w:w="7288" w:type="dxa"/>
          </w:tcPr>
          <w:p>
            <w:pPr>
              <w:pStyle w:val="TableParagraph"/>
              <w:spacing w:line="310" w:lineRule="atLeast" w:before="15"/>
              <w:ind w:right="199"/>
              <w:jc w:val="both"/>
              <w:rPr>
                <w:sz w:val="21"/>
              </w:rPr>
            </w:pPr>
            <w:r>
              <w:rPr>
                <w:spacing w:val="-2"/>
                <w:sz w:val="21"/>
              </w:rPr>
              <w:t>指因疾病或意外伤害导致意识丧失,对外界刺激和体内需求均无反应,昏迷程</w:t>
            </w:r>
            <w:r>
              <w:rPr>
                <w:spacing w:val="-3"/>
                <w:sz w:val="21"/>
              </w:rPr>
              <w:t>度按照格拉斯哥昏迷分级</w:t>
            </w:r>
            <w:r>
              <w:rPr>
                <w:sz w:val="21"/>
              </w:rPr>
              <w:t>（Glasgow coma scale）</w:t>
            </w:r>
            <w:r>
              <w:rPr>
                <w:spacing w:val="-12"/>
                <w:sz w:val="21"/>
              </w:rPr>
              <w:t>结果为 </w:t>
            </w:r>
            <w:r>
              <w:rPr>
                <w:sz w:val="21"/>
              </w:rPr>
              <w:t>5</w:t>
            </w:r>
            <w:r>
              <w:rPr>
                <w:spacing w:val="-22"/>
                <w:sz w:val="21"/>
              </w:rPr>
              <w:t> 分或 </w:t>
            </w:r>
            <w:r>
              <w:rPr>
                <w:sz w:val="21"/>
              </w:rPr>
              <w:t>5</w:t>
            </w:r>
            <w:r>
              <w:rPr>
                <w:spacing w:val="-11"/>
                <w:sz w:val="21"/>
              </w:rPr>
              <w:t> 分以下， </w:t>
            </w:r>
            <w:r>
              <w:rPr>
                <w:spacing w:val="-8"/>
                <w:sz w:val="21"/>
              </w:rPr>
              <w:t>且已经持续使用呼吸机及其它生命维持系统 </w:t>
            </w:r>
            <w:r>
              <w:rPr>
                <w:sz w:val="21"/>
              </w:rPr>
              <w:t>96</w:t>
            </w:r>
            <w:r>
              <w:rPr>
                <w:spacing w:val="-10"/>
                <w:sz w:val="21"/>
              </w:rPr>
              <w:t> 小时以上。</w:t>
            </w:r>
          </w:p>
        </w:tc>
      </w:tr>
    </w:tbl>
    <w:p>
      <w:pPr>
        <w:spacing w:after="0" w:line="310" w:lineRule="atLeast"/>
        <w:jc w:val="both"/>
        <w:rPr>
          <w:sz w:val="21"/>
        </w:rPr>
        <w:sectPr>
          <w:pgSz w:w="11910" w:h="16840"/>
          <w:pgMar w:top="146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498"/>
        <w:gridCol w:w="7392"/>
      </w:tblGrid>
      <w:tr>
        <w:trPr>
          <w:trHeight w:val="332" w:hRule="atLeast"/>
        </w:trPr>
        <w:tc>
          <w:tcPr>
            <w:tcW w:w="944" w:type="dxa"/>
          </w:tcPr>
          <w:p>
            <w:pPr>
              <w:pStyle w:val="TableParagraph"/>
              <w:ind w:left="0"/>
              <w:rPr>
                <w:rFonts w:ascii="Times New Roman"/>
                <w:sz w:val="20"/>
              </w:rPr>
            </w:pPr>
          </w:p>
        </w:tc>
        <w:tc>
          <w:tcPr>
            <w:tcW w:w="1498" w:type="dxa"/>
          </w:tcPr>
          <w:p>
            <w:pPr>
              <w:pStyle w:val="TableParagraph"/>
              <w:ind w:left="0"/>
              <w:rPr>
                <w:rFonts w:ascii="Times New Roman"/>
                <w:sz w:val="20"/>
              </w:rPr>
            </w:pPr>
          </w:p>
        </w:tc>
        <w:tc>
          <w:tcPr>
            <w:tcW w:w="7392" w:type="dxa"/>
          </w:tcPr>
          <w:p>
            <w:pPr>
              <w:pStyle w:val="TableParagraph"/>
              <w:spacing w:line="202" w:lineRule="exact"/>
              <w:rPr>
                <w:rFonts w:ascii="黑体" w:eastAsia="黑体" w:hint="eastAsia"/>
                <w:sz w:val="21"/>
              </w:rPr>
            </w:pPr>
            <w:r>
              <w:rPr>
                <w:rFonts w:ascii="黑体" w:eastAsia="黑体" w:hint="eastAsia"/>
                <w:sz w:val="21"/>
              </w:rPr>
              <w:t>因酗酒或药物滥用导致的深度昏迷不在保障范围内。</w:t>
            </w:r>
          </w:p>
        </w:tc>
      </w:tr>
      <w:tr>
        <w:trPr>
          <w:trHeight w:val="1077" w:hRule="atLeast"/>
        </w:trPr>
        <w:tc>
          <w:tcPr>
            <w:tcW w:w="944" w:type="dxa"/>
          </w:tcPr>
          <w:p>
            <w:pPr>
              <w:pStyle w:val="TableParagraph"/>
              <w:spacing w:before="48"/>
              <w:ind w:left="0" w:right="106"/>
              <w:jc w:val="right"/>
              <w:rPr>
                <w:b/>
                <w:sz w:val="21"/>
              </w:rPr>
            </w:pPr>
            <w:r>
              <w:rPr>
                <w:b/>
                <w:sz w:val="21"/>
              </w:rPr>
              <w:t>8.1.13</w:t>
            </w:r>
          </w:p>
        </w:tc>
        <w:tc>
          <w:tcPr>
            <w:tcW w:w="1498" w:type="dxa"/>
          </w:tcPr>
          <w:p>
            <w:pPr>
              <w:pStyle w:val="TableParagraph"/>
              <w:spacing w:before="48"/>
              <w:ind w:left="108"/>
              <w:rPr>
                <w:b/>
                <w:sz w:val="21"/>
              </w:rPr>
            </w:pPr>
            <w:r>
              <w:rPr>
                <w:b/>
                <w:sz w:val="21"/>
              </w:rPr>
              <w:t>双耳失聪</w:t>
            </w:r>
          </w:p>
        </w:tc>
        <w:tc>
          <w:tcPr>
            <w:tcW w:w="7392" w:type="dxa"/>
          </w:tcPr>
          <w:p>
            <w:pPr>
              <w:pStyle w:val="TableParagraph"/>
              <w:spacing w:before="48"/>
              <w:rPr>
                <w:sz w:val="21"/>
              </w:rPr>
            </w:pPr>
            <w:r>
              <w:rPr>
                <w:sz w:val="21"/>
              </w:rPr>
              <w:t>指因疾病或意外伤害导致双耳听力</w:t>
            </w:r>
            <w:r>
              <w:rPr>
                <w:b/>
                <w:sz w:val="21"/>
              </w:rPr>
              <w:t>永久不可逆</w:t>
            </w:r>
            <w:r>
              <w:rPr>
                <w:sz w:val="21"/>
              </w:rPr>
              <w:t>（详见释义）性丧失，在 500</w:t>
            </w:r>
          </w:p>
          <w:p>
            <w:pPr>
              <w:pStyle w:val="TableParagraph"/>
              <w:spacing w:line="273" w:lineRule="auto" w:before="36"/>
              <w:ind w:left="122" w:right="302" w:hanging="1"/>
              <w:rPr>
                <w:sz w:val="21"/>
              </w:rPr>
            </w:pPr>
            <w:r>
              <w:rPr>
                <w:spacing w:val="-4"/>
                <w:sz w:val="21"/>
              </w:rPr>
              <w:t>赫兹、</w:t>
            </w:r>
            <w:r>
              <w:rPr>
                <w:sz w:val="21"/>
              </w:rPr>
              <w:t>1000</w:t>
            </w:r>
            <w:r>
              <w:rPr>
                <w:spacing w:val="-20"/>
                <w:sz w:val="21"/>
              </w:rPr>
              <w:t> 赫兹和 </w:t>
            </w:r>
            <w:r>
              <w:rPr>
                <w:sz w:val="21"/>
              </w:rPr>
              <w:t>2000</w:t>
            </w:r>
            <w:r>
              <w:rPr>
                <w:spacing w:val="-12"/>
                <w:sz w:val="21"/>
              </w:rPr>
              <w:t> 赫兹语音频率下，平均听阈大于 </w:t>
            </w:r>
            <w:r>
              <w:rPr>
                <w:sz w:val="21"/>
              </w:rPr>
              <w:t>90</w:t>
            </w:r>
            <w:r>
              <w:rPr>
                <w:spacing w:val="-11"/>
                <w:sz w:val="21"/>
              </w:rPr>
              <w:t> 分贝，且经纯音</w:t>
            </w:r>
            <w:r>
              <w:rPr>
                <w:spacing w:val="-6"/>
                <w:sz w:val="21"/>
              </w:rPr>
              <w:t>听力测试、声导抗检测或听觉诱发电位检测等证实。</w:t>
            </w:r>
          </w:p>
        </w:tc>
      </w:tr>
      <w:tr>
        <w:trPr>
          <w:trHeight w:val="2013" w:hRule="atLeast"/>
        </w:trPr>
        <w:tc>
          <w:tcPr>
            <w:tcW w:w="944" w:type="dxa"/>
          </w:tcPr>
          <w:p>
            <w:pPr>
              <w:pStyle w:val="TableParagraph"/>
              <w:spacing w:before="48"/>
              <w:ind w:left="0" w:right="106"/>
              <w:jc w:val="right"/>
              <w:rPr>
                <w:b/>
                <w:sz w:val="21"/>
              </w:rPr>
            </w:pPr>
            <w:r>
              <w:rPr>
                <w:b/>
                <w:sz w:val="21"/>
              </w:rPr>
              <w:t>8.1.14</w:t>
            </w:r>
          </w:p>
        </w:tc>
        <w:tc>
          <w:tcPr>
            <w:tcW w:w="1498" w:type="dxa"/>
          </w:tcPr>
          <w:p>
            <w:pPr>
              <w:pStyle w:val="TableParagraph"/>
              <w:spacing w:before="48"/>
              <w:ind w:left="108"/>
              <w:rPr>
                <w:b/>
                <w:sz w:val="21"/>
              </w:rPr>
            </w:pPr>
            <w:r>
              <w:rPr>
                <w:b/>
                <w:sz w:val="21"/>
              </w:rPr>
              <w:t>双目失明</w:t>
            </w:r>
          </w:p>
        </w:tc>
        <w:tc>
          <w:tcPr>
            <w:tcW w:w="7392" w:type="dxa"/>
          </w:tcPr>
          <w:p>
            <w:pPr>
              <w:pStyle w:val="TableParagraph"/>
              <w:spacing w:line="273" w:lineRule="auto" w:before="48"/>
              <w:ind w:right="303"/>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305"/>
              <w:rPr>
                <w:sz w:val="21"/>
              </w:rPr>
            </w:pPr>
            <w:r>
              <w:rPr>
                <w:sz w:val="21"/>
              </w:rPr>
              <w:t>(2)</w:t>
            </w:r>
            <w:r>
              <w:rPr>
                <w:spacing w:val="3"/>
                <w:sz w:val="21"/>
              </w:rPr>
              <w:t>矫正视力低于 </w:t>
            </w:r>
            <w:r>
              <w:rPr>
                <w:sz w:val="21"/>
              </w:rPr>
              <w:t>0.02（</w:t>
            </w:r>
            <w:r>
              <w:rPr>
                <w:spacing w:val="-1"/>
                <w:sz w:val="21"/>
              </w:rPr>
              <w:t>采用国际标准视力表，如果使用其它视力表应进行</w:t>
            </w:r>
            <w:r>
              <w:rPr>
                <w:spacing w:val="-1"/>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tc>
      </w:tr>
      <w:tr>
        <w:trPr>
          <w:trHeight w:val="1077" w:hRule="atLeast"/>
        </w:trPr>
        <w:tc>
          <w:tcPr>
            <w:tcW w:w="944" w:type="dxa"/>
          </w:tcPr>
          <w:p>
            <w:pPr>
              <w:pStyle w:val="TableParagraph"/>
              <w:spacing w:before="49"/>
              <w:ind w:left="0" w:right="106"/>
              <w:jc w:val="right"/>
              <w:rPr>
                <w:b/>
                <w:sz w:val="21"/>
              </w:rPr>
            </w:pPr>
            <w:r>
              <w:rPr>
                <w:b/>
                <w:sz w:val="21"/>
              </w:rPr>
              <w:t>8.1.15</w:t>
            </w:r>
          </w:p>
        </w:tc>
        <w:tc>
          <w:tcPr>
            <w:tcW w:w="1498" w:type="dxa"/>
          </w:tcPr>
          <w:p>
            <w:pPr>
              <w:pStyle w:val="TableParagraph"/>
              <w:spacing w:before="49"/>
              <w:ind w:left="108"/>
              <w:rPr>
                <w:b/>
                <w:sz w:val="21"/>
              </w:rPr>
            </w:pPr>
            <w:r>
              <w:rPr>
                <w:b/>
                <w:sz w:val="21"/>
              </w:rPr>
              <w:t>瘫痪</w:t>
            </w:r>
          </w:p>
        </w:tc>
        <w:tc>
          <w:tcPr>
            <w:tcW w:w="7392" w:type="dxa"/>
          </w:tcPr>
          <w:p>
            <w:pPr>
              <w:pStyle w:val="TableParagraph"/>
              <w:spacing w:line="273" w:lineRule="auto" w:before="49"/>
              <w:ind w:right="302"/>
              <w:jc w:val="both"/>
              <w:rPr>
                <w:sz w:val="21"/>
              </w:rPr>
            </w:pPr>
            <w:r>
              <w:rPr>
                <w:spacing w:val="-2"/>
                <w:sz w:val="21"/>
              </w:rPr>
              <w:t>指因疾病或意外伤害导致两肢或两肢以上肢体机能永久完全丧失。肢体机能</w:t>
            </w:r>
            <w:r>
              <w:rPr>
                <w:spacing w:val="-6"/>
                <w:sz w:val="21"/>
              </w:rPr>
              <w:t>永久完全丧失，指疾病确诊 </w:t>
            </w:r>
            <w:r>
              <w:rPr>
                <w:sz w:val="21"/>
              </w:rPr>
              <w:t>180</w:t>
            </w:r>
            <w:r>
              <w:rPr>
                <w:spacing w:val="-11"/>
                <w:sz w:val="21"/>
              </w:rPr>
              <w:t> 天后或意外伤害发生 </w:t>
            </w:r>
            <w:r>
              <w:rPr>
                <w:sz w:val="21"/>
              </w:rPr>
              <w:t>180</w:t>
            </w:r>
            <w:r>
              <w:rPr>
                <w:spacing w:val="-8"/>
                <w:sz w:val="21"/>
              </w:rPr>
              <w:t> 天后，每肢三大关</w:t>
            </w:r>
            <w:r>
              <w:rPr>
                <w:spacing w:val="-5"/>
                <w:sz w:val="21"/>
              </w:rPr>
              <w:t>节中的两大关节仍然完全僵硬，或不能随意识活动。</w:t>
            </w:r>
          </w:p>
        </w:tc>
      </w:tr>
      <w:tr>
        <w:trPr>
          <w:trHeight w:val="454" w:hRule="atLeast"/>
        </w:trPr>
        <w:tc>
          <w:tcPr>
            <w:tcW w:w="944" w:type="dxa"/>
          </w:tcPr>
          <w:p>
            <w:pPr>
              <w:pStyle w:val="TableParagraph"/>
              <w:spacing w:before="48"/>
              <w:ind w:left="0" w:right="106"/>
              <w:jc w:val="right"/>
              <w:rPr>
                <w:b/>
                <w:sz w:val="21"/>
              </w:rPr>
            </w:pPr>
            <w:r>
              <w:rPr>
                <w:b/>
                <w:sz w:val="21"/>
              </w:rPr>
              <w:t>8.1.16</w:t>
            </w:r>
          </w:p>
        </w:tc>
        <w:tc>
          <w:tcPr>
            <w:tcW w:w="1498" w:type="dxa"/>
          </w:tcPr>
          <w:p>
            <w:pPr>
              <w:pStyle w:val="TableParagraph"/>
              <w:spacing w:before="48"/>
              <w:ind w:left="108"/>
              <w:rPr>
                <w:b/>
                <w:sz w:val="21"/>
              </w:rPr>
            </w:pPr>
            <w:r>
              <w:rPr>
                <w:b/>
                <w:sz w:val="21"/>
              </w:rPr>
              <w:t>心脏瓣膜手术</w:t>
            </w:r>
          </w:p>
        </w:tc>
        <w:tc>
          <w:tcPr>
            <w:tcW w:w="7392" w:type="dxa"/>
          </w:tcPr>
          <w:p>
            <w:pPr>
              <w:pStyle w:val="TableParagraph"/>
              <w:spacing w:before="48"/>
              <w:rPr>
                <w:sz w:val="21"/>
              </w:rPr>
            </w:pPr>
            <w:r>
              <w:rPr>
                <w:sz w:val="21"/>
              </w:rPr>
              <w:t>指为治疗心脏瓣膜疾病，实际实施了开胸进行的心脏瓣膜置换或修复的手术。</w:t>
            </w:r>
          </w:p>
        </w:tc>
      </w:tr>
      <w:tr>
        <w:trPr>
          <w:trHeight w:val="2091" w:hRule="atLeast"/>
        </w:trPr>
        <w:tc>
          <w:tcPr>
            <w:tcW w:w="944" w:type="dxa"/>
          </w:tcPr>
          <w:p>
            <w:pPr>
              <w:pStyle w:val="TableParagraph"/>
              <w:spacing w:before="50"/>
              <w:ind w:left="0" w:right="106"/>
              <w:jc w:val="right"/>
              <w:rPr>
                <w:b/>
                <w:sz w:val="21"/>
              </w:rPr>
            </w:pPr>
            <w:r>
              <w:rPr>
                <w:b/>
                <w:sz w:val="21"/>
              </w:rPr>
              <w:t>8.1.17</w:t>
            </w:r>
          </w:p>
        </w:tc>
        <w:tc>
          <w:tcPr>
            <w:tcW w:w="1498" w:type="dxa"/>
          </w:tcPr>
          <w:p>
            <w:pPr>
              <w:pStyle w:val="TableParagraph"/>
              <w:spacing w:line="273" w:lineRule="auto" w:before="50"/>
              <w:ind w:left="108" w:right="120"/>
              <w:rPr>
                <w:b/>
                <w:sz w:val="21"/>
              </w:rPr>
            </w:pPr>
            <w:r>
              <w:rPr>
                <w:b/>
                <w:sz w:val="21"/>
              </w:rPr>
              <w:t>严重阿尔茨海默病</w:t>
            </w:r>
          </w:p>
        </w:tc>
        <w:tc>
          <w:tcPr>
            <w:tcW w:w="7392" w:type="dxa"/>
          </w:tcPr>
          <w:p>
            <w:pPr>
              <w:pStyle w:val="TableParagraph"/>
              <w:spacing w:line="273" w:lineRule="auto" w:before="50"/>
              <w:ind w:right="302"/>
              <w:jc w:val="both"/>
              <w:rPr>
                <w:sz w:val="21"/>
              </w:rPr>
            </w:pPr>
            <w:r>
              <w:rPr>
                <w:spacing w:val="-2"/>
                <w:sz w:val="21"/>
              </w:rPr>
              <w:t>指因大脑进行性、不可逆性改变导致智能严重衰退或丧失，临床表现为明显</w:t>
            </w:r>
            <w:r>
              <w:rPr>
                <w:spacing w:val="-3"/>
                <w:sz w:val="21"/>
              </w:rPr>
              <w:t>的认知能力障碍、行为异常和社交能力减退，其日常生活必须持续受到他人</w:t>
            </w:r>
            <w:r>
              <w:rPr>
                <w:spacing w:val="-3"/>
                <w:w w:val="100"/>
                <w:sz w:val="21"/>
              </w:rPr>
              <w:t>监护。须由头颅断层扫描</w:t>
            </w:r>
            <w:r>
              <w:rPr>
                <w:w w:val="100"/>
                <w:sz w:val="21"/>
              </w:rPr>
              <w:t>（CT</w:t>
            </w:r>
            <w:r>
              <w:rPr>
                <w:spacing w:val="-104"/>
                <w:w w:val="100"/>
                <w:sz w:val="21"/>
              </w:rPr>
              <w:t>）</w:t>
            </w:r>
            <w:r>
              <w:rPr>
                <w:spacing w:val="-1"/>
                <w:w w:val="100"/>
                <w:sz w:val="21"/>
              </w:rPr>
              <w:t>、核磁共振检查</w:t>
            </w:r>
            <w:r>
              <w:rPr>
                <w:w w:val="100"/>
                <w:sz w:val="21"/>
              </w:rPr>
              <w:t>（</w:t>
            </w:r>
            <w:r>
              <w:rPr>
                <w:spacing w:val="-3"/>
                <w:w w:val="100"/>
                <w:sz w:val="21"/>
              </w:rPr>
              <w:t>M</w:t>
            </w:r>
            <w:r>
              <w:rPr>
                <w:w w:val="100"/>
                <w:sz w:val="21"/>
              </w:rPr>
              <w:t>R</w:t>
            </w:r>
            <w:r>
              <w:rPr>
                <w:spacing w:val="-1"/>
                <w:w w:val="100"/>
                <w:sz w:val="21"/>
              </w:rPr>
              <w:t>I</w:t>
            </w:r>
            <w:r>
              <w:rPr>
                <w:w w:val="100"/>
                <w:sz w:val="21"/>
              </w:rPr>
              <w:t>）或正电子发射断层扫</w:t>
            </w:r>
            <w:r>
              <w:rPr>
                <w:spacing w:val="-20"/>
                <w:sz w:val="21"/>
              </w:rPr>
              <w:t>描</w:t>
            </w:r>
            <w:r>
              <w:rPr>
                <w:spacing w:val="-5"/>
                <w:sz w:val="21"/>
              </w:rPr>
              <w:t>（PET）</w:t>
            </w:r>
            <w:r>
              <w:rPr>
                <w:spacing w:val="-6"/>
                <w:sz w:val="21"/>
              </w:rPr>
              <w:t>等影像学检查证实，且自主生活能力完全丧失，无法独立完成六项</w:t>
            </w:r>
            <w:r>
              <w:rPr>
                <w:spacing w:val="-4"/>
                <w:sz w:val="21"/>
              </w:rPr>
              <w:t>基本日常生活活动中的三项或三项以上。</w:t>
            </w:r>
          </w:p>
          <w:p>
            <w:pPr>
              <w:pStyle w:val="TableParagraph"/>
              <w:spacing w:before="84"/>
              <w:jc w:val="both"/>
              <w:rPr>
                <w:rFonts w:ascii="黑体" w:eastAsia="黑体" w:hint="eastAsia"/>
                <w:sz w:val="21"/>
              </w:rPr>
            </w:pPr>
            <w:r>
              <w:rPr>
                <w:rFonts w:ascii="黑体" w:eastAsia="黑体" w:hint="eastAsia"/>
                <w:sz w:val="21"/>
              </w:rPr>
              <w:t>神经官能症和精神疾病不在保障范围内。</w:t>
            </w:r>
          </w:p>
        </w:tc>
      </w:tr>
      <w:tr>
        <w:trPr>
          <w:trHeight w:val="2637" w:hRule="atLeast"/>
        </w:trPr>
        <w:tc>
          <w:tcPr>
            <w:tcW w:w="944" w:type="dxa"/>
          </w:tcPr>
          <w:p>
            <w:pPr>
              <w:pStyle w:val="TableParagraph"/>
              <w:spacing w:before="49"/>
              <w:ind w:left="0" w:right="106"/>
              <w:jc w:val="right"/>
              <w:rPr>
                <w:b/>
                <w:sz w:val="21"/>
              </w:rPr>
            </w:pPr>
            <w:r>
              <w:rPr>
                <w:b/>
                <w:sz w:val="21"/>
              </w:rPr>
              <w:t>8.1.18</w:t>
            </w:r>
          </w:p>
        </w:tc>
        <w:tc>
          <w:tcPr>
            <w:tcW w:w="1498" w:type="dxa"/>
          </w:tcPr>
          <w:p>
            <w:pPr>
              <w:pStyle w:val="TableParagraph"/>
              <w:spacing w:before="49"/>
              <w:ind w:left="108"/>
              <w:rPr>
                <w:b/>
                <w:sz w:val="21"/>
              </w:rPr>
            </w:pPr>
            <w:r>
              <w:rPr>
                <w:b/>
                <w:sz w:val="21"/>
              </w:rPr>
              <w:t>严重脑损伤</w:t>
            </w:r>
          </w:p>
        </w:tc>
        <w:tc>
          <w:tcPr>
            <w:tcW w:w="7392" w:type="dxa"/>
          </w:tcPr>
          <w:p>
            <w:pPr>
              <w:pStyle w:val="TableParagraph"/>
              <w:spacing w:line="273" w:lineRule="auto" w:before="49"/>
              <w:ind w:right="303"/>
              <w:jc w:val="both"/>
              <w:rPr>
                <w:sz w:val="21"/>
              </w:rPr>
            </w:pPr>
            <w:r>
              <w:rPr>
                <w:spacing w:val="-2"/>
                <w:sz w:val="21"/>
              </w:rPr>
              <w:t>指因头部遭受机械性外力，引起脑重要部位损伤，导致神经系统永久性的功</w:t>
            </w:r>
            <w:r>
              <w:rPr>
                <w:spacing w:val="-3"/>
                <w:w w:val="100"/>
                <w:sz w:val="21"/>
              </w:rPr>
              <w:t>能障碍。须由头颅断层扫描</w:t>
            </w:r>
            <w:r>
              <w:rPr>
                <w:w w:val="100"/>
                <w:sz w:val="21"/>
              </w:rPr>
              <w:t>（CT</w:t>
            </w:r>
            <w:r>
              <w:rPr>
                <w:spacing w:val="-104"/>
                <w:w w:val="100"/>
                <w:sz w:val="21"/>
              </w:rPr>
              <w:t>）</w:t>
            </w:r>
            <w:r>
              <w:rPr>
                <w:spacing w:val="-1"/>
                <w:w w:val="100"/>
                <w:sz w:val="21"/>
              </w:rPr>
              <w:t>、核磁共振检查</w:t>
            </w:r>
            <w:r>
              <w:rPr>
                <w:spacing w:val="-3"/>
                <w:w w:val="100"/>
                <w:sz w:val="21"/>
              </w:rPr>
              <w:t>（</w:t>
            </w:r>
            <w:r>
              <w:rPr>
                <w:w w:val="100"/>
                <w:sz w:val="21"/>
              </w:rPr>
              <w:t>MRI）</w:t>
            </w:r>
            <w:r>
              <w:rPr>
                <w:spacing w:val="-1"/>
                <w:w w:val="100"/>
                <w:sz w:val="21"/>
              </w:rPr>
              <w:t>或正电子发射断层</w:t>
            </w:r>
            <w:r>
              <w:rPr>
                <w:spacing w:val="-4"/>
                <w:sz w:val="21"/>
              </w:rPr>
              <w:t>扫描</w:t>
            </w:r>
            <w:r>
              <w:rPr>
                <w:spacing w:val="-3"/>
                <w:sz w:val="21"/>
              </w:rPr>
              <w:t>（PET）</w:t>
            </w:r>
            <w:r>
              <w:rPr>
                <w:spacing w:val="-6"/>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8"/>
              <w:ind w:left="122"/>
              <w:rPr>
                <w:sz w:val="21"/>
              </w:rPr>
            </w:pPr>
            <w:r>
              <w:rPr>
                <w:sz w:val="21"/>
              </w:rPr>
              <w:t>(1)一肢或一肢以上肢体机能完全丧失；</w:t>
            </w:r>
          </w:p>
          <w:p>
            <w:pPr>
              <w:pStyle w:val="TableParagraph"/>
              <w:spacing w:before="37"/>
              <w:ind w:left="122"/>
              <w:rPr>
                <w:sz w:val="21"/>
              </w:rPr>
            </w:pPr>
            <w:r>
              <w:rPr>
                <w:sz w:val="21"/>
              </w:rPr>
              <w:t>(2)语言能力或咀嚼吞咽能力完全丧失；</w:t>
            </w:r>
          </w:p>
          <w:p>
            <w:pPr>
              <w:pStyle w:val="TableParagraph"/>
              <w:spacing w:line="273" w:lineRule="auto" w:before="37"/>
              <w:ind w:left="122" w:right="304"/>
              <w:rPr>
                <w:sz w:val="21"/>
              </w:rPr>
            </w:pPr>
            <w:r>
              <w:rPr>
                <w:sz w:val="21"/>
              </w:rPr>
              <w:t>(3)</w:t>
            </w:r>
            <w:r>
              <w:rPr>
                <w:spacing w:val="-10"/>
                <w:sz w:val="21"/>
              </w:rPr>
              <w:t>自主生活能力完全丧失，无法独立完成六项基本日常生活活动中的三项或</w:t>
            </w:r>
            <w:r>
              <w:rPr>
                <w:spacing w:val="-5"/>
                <w:sz w:val="21"/>
              </w:rPr>
              <w:t>三项以上。</w:t>
            </w:r>
          </w:p>
        </w:tc>
      </w:tr>
      <w:tr>
        <w:trPr>
          <w:trHeight w:val="2092" w:hRule="atLeast"/>
        </w:trPr>
        <w:tc>
          <w:tcPr>
            <w:tcW w:w="944" w:type="dxa"/>
          </w:tcPr>
          <w:p>
            <w:pPr>
              <w:pStyle w:val="TableParagraph"/>
              <w:spacing w:before="49"/>
              <w:ind w:left="0" w:right="106"/>
              <w:jc w:val="right"/>
              <w:rPr>
                <w:b/>
                <w:sz w:val="21"/>
              </w:rPr>
            </w:pPr>
            <w:r>
              <w:rPr>
                <w:b/>
                <w:sz w:val="21"/>
              </w:rPr>
              <w:t>8.1.19</w:t>
            </w:r>
          </w:p>
        </w:tc>
        <w:tc>
          <w:tcPr>
            <w:tcW w:w="1498" w:type="dxa"/>
          </w:tcPr>
          <w:p>
            <w:pPr>
              <w:pStyle w:val="TableParagraph"/>
              <w:spacing w:before="49"/>
              <w:ind w:left="108"/>
              <w:rPr>
                <w:b/>
                <w:sz w:val="21"/>
              </w:rPr>
            </w:pPr>
            <w:r>
              <w:rPr>
                <w:b/>
                <w:sz w:val="21"/>
              </w:rPr>
              <w:t>严重帕金森病</w:t>
            </w:r>
          </w:p>
        </w:tc>
        <w:tc>
          <w:tcPr>
            <w:tcW w:w="7392" w:type="dxa"/>
          </w:tcPr>
          <w:p>
            <w:pPr>
              <w:pStyle w:val="TableParagraph"/>
              <w:spacing w:line="273" w:lineRule="auto" w:before="49"/>
              <w:ind w:right="303"/>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3" w:lineRule="auto" w:before="37"/>
              <w:ind w:right="304"/>
              <w:rPr>
                <w:sz w:val="21"/>
              </w:rPr>
            </w:pPr>
            <w:r>
              <w:rPr>
                <w:sz w:val="21"/>
              </w:rPr>
              <w:t>(2)</w:t>
            </w:r>
            <w:r>
              <w:rPr>
                <w:spacing w:val="-10"/>
                <w:sz w:val="21"/>
              </w:rPr>
              <w:t>自主生活能力完全丧失，无法独立完成六项基本日常生活活动中的三项或</w:t>
            </w:r>
            <w:r>
              <w:rPr>
                <w:spacing w:val="-5"/>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tc>
      </w:tr>
      <w:tr>
        <w:trPr>
          <w:trHeight w:val="765" w:hRule="atLeast"/>
        </w:trPr>
        <w:tc>
          <w:tcPr>
            <w:tcW w:w="944" w:type="dxa"/>
          </w:tcPr>
          <w:p>
            <w:pPr>
              <w:pStyle w:val="TableParagraph"/>
              <w:spacing w:before="49"/>
              <w:ind w:left="0" w:right="106"/>
              <w:jc w:val="right"/>
              <w:rPr>
                <w:b/>
                <w:sz w:val="21"/>
              </w:rPr>
            </w:pPr>
            <w:r>
              <w:rPr>
                <w:b/>
                <w:sz w:val="21"/>
              </w:rPr>
              <w:t>8.1.20</w:t>
            </w:r>
          </w:p>
        </w:tc>
        <w:tc>
          <w:tcPr>
            <w:tcW w:w="1498" w:type="dxa"/>
          </w:tcPr>
          <w:p>
            <w:pPr>
              <w:pStyle w:val="TableParagraph"/>
              <w:spacing w:before="49"/>
              <w:ind w:left="108"/>
              <w:rPr>
                <w:b/>
                <w:sz w:val="21"/>
              </w:rPr>
            </w:pPr>
            <w:r>
              <w:rPr>
                <w:b/>
                <w:sz w:val="21"/>
              </w:rPr>
              <w:t>严重Ⅲ度烧伤</w:t>
            </w:r>
          </w:p>
        </w:tc>
        <w:tc>
          <w:tcPr>
            <w:tcW w:w="7392" w:type="dxa"/>
          </w:tcPr>
          <w:p>
            <w:pPr>
              <w:pStyle w:val="TableParagraph"/>
              <w:spacing w:line="273" w:lineRule="auto" w:before="49"/>
              <w:ind w:right="307"/>
              <w:rPr>
                <w:sz w:val="21"/>
              </w:rPr>
            </w:pPr>
            <w:r>
              <w:rPr>
                <w:sz w:val="21"/>
              </w:rPr>
              <w:t>指烧伤程度为Ⅲ度，且Ⅲ度烧伤的面积达到全身体表面积的 20％或 20％以上。体表面积根据《中国新九分法》计算。</w:t>
            </w:r>
          </w:p>
        </w:tc>
      </w:tr>
      <w:tr>
        <w:trPr>
          <w:trHeight w:val="956" w:hRule="atLeast"/>
        </w:trPr>
        <w:tc>
          <w:tcPr>
            <w:tcW w:w="944" w:type="dxa"/>
          </w:tcPr>
          <w:p>
            <w:pPr>
              <w:pStyle w:val="TableParagraph"/>
              <w:spacing w:before="48"/>
              <w:ind w:left="0" w:right="106"/>
              <w:jc w:val="right"/>
              <w:rPr>
                <w:b/>
                <w:sz w:val="21"/>
              </w:rPr>
            </w:pPr>
            <w:r>
              <w:rPr>
                <w:b/>
                <w:sz w:val="21"/>
              </w:rPr>
              <w:t>8.1.21</w:t>
            </w:r>
          </w:p>
        </w:tc>
        <w:tc>
          <w:tcPr>
            <w:tcW w:w="1498" w:type="dxa"/>
          </w:tcPr>
          <w:p>
            <w:pPr>
              <w:pStyle w:val="TableParagraph"/>
              <w:spacing w:line="273" w:lineRule="auto" w:before="48"/>
              <w:ind w:left="108" w:right="120"/>
              <w:rPr>
                <w:b/>
                <w:sz w:val="21"/>
              </w:rPr>
            </w:pPr>
            <w:r>
              <w:rPr>
                <w:b/>
                <w:sz w:val="21"/>
              </w:rPr>
              <w:t>严重原发性肺动脉高压</w:t>
            </w:r>
          </w:p>
        </w:tc>
        <w:tc>
          <w:tcPr>
            <w:tcW w:w="7392" w:type="dxa"/>
          </w:tcPr>
          <w:p>
            <w:pPr>
              <w:pStyle w:val="TableParagraph"/>
              <w:spacing w:line="310" w:lineRule="atLeast" w:before="13"/>
              <w:ind w:right="303"/>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bl>
    <w:p>
      <w:pPr>
        <w:spacing w:after="0" w:line="310" w:lineRule="atLeast"/>
        <w:jc w:val="both"/>
        <w:rPr>
          <w:sz w:val="21"/>
        </w:rPr>
        <w:sectPr>
          <w:pgSz w:w="11910" w:h="16840"/>
          <w:pgMar w:top="146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498"/>
        <w:gridCol w:w="7394"/>
      </w:tblGrid>
      <w:tr>
        <w:trPr>
          <w:trHeight w:val="1268" w:hRule="atLeast"/>
        </w:trPr>
        <w:tc>
          <w:tcPr>
            <w:tcW w:w="944" w:type="dxa"/>
          </w:tcPr>
          <w:p>
            <w:pPr>
              <w:pStyle w:val="TableParagraph"/>
              <w:spacing w:line="202" w:lineRule="exact"/>
              <w:ind w:left="0" w:right="106"/>
              <w:jc w:val="right"/>
              <w:rPr>
                <w:b/>
                <w:sz w:val="21"/>
              </w:rPr>
            </w:pPr>
            <w:r>
              <w:rPr>
                <w:b/>
                <w:sz w:val="21"/>
              </w:rPr>
              <w:t>8.1.22</w:t>
            </w:r>
          </w:p>
        </w:tc>
        <w:tc>
          <w:tcPr>
            <w:tcW w:w="1498" w:type="dxa"/>
          </w:tcPr>
          <w:p>
            <w:pPr>
              <w:pStyle w:val="TableParagraph"/>
              <w:spacing w:line="202" w:lineRule="exact"/>
              <w:ind w:left="108"/>
              <w:rPr>
                <w:b/>
                <w:sz w:val="21"/>
              </w:rPr>
            </w:pPr>
            <w:r>
              <w:rPr>
                <w:b/>
                <w:sz w:val="21"/>
              </w:rPr>
              <w:t>严重运动神经</w:t>
            </w:r>
          </w:p>
          <w:p>
            <w:pPr>
              <w:pStyle w:val="TableParagraph"/>
              <w:spacing w:before="37"/>
              <w:ind w:left="108"/>
              <w:rPr>
                <w:b/>
                <w:sz w:val="21"/>
              </w:rPr>
            </w:pPr>
            <w:r>
              <w:rPr>
                <w:b/>
                <w:sz w:val="21"/>
              </w:rPr>
              <w:t>元病</w:t>
            </w:r>
          </w:p>
        </w:tc>
        <w:tc>
          <w:tcPr>
            <w:tcW w:w="7394" w:type="dxa"/>
          </w:tcPr>
          <w:p>
            <w:pPr>
              <w:pStyle w:val="TableParagraph"/>
              <w:spacing w:line="202" w:lineRule="exact"/>
              <w:rPr>
                <w:sz w:val="21"/>
              </w:rPr>
            </w:pPr>
            <w:r>
              <w:rPr>
                <w:sz w:val="21"/>
              </w:rPr>
              <w:t>是一组中枢神经系统运动神经元的进行性变性疾病，包括进行性脊肌萎缩症、</w:t>
            </w:r>
          </w:p>
          <w:p>
            <w:pPr>
              <w:pStyle w:val="TableParagraph"/>
              <w:spacing w:line="273" w:lineRule="auto" w:before="37"/>
              <w:ind w:right="305"/>
              <w:jc w:val="both"/>
              <w:rPr>
                <w:sz w:val="21"/>
              </w:rPr>
            </w:pPr>
            <w:r>
              <w:rPr>
                <w:sz w:val="21"/>
              </w:rPr>
              <w:t>进行性延髓麻痹症、原发性侧索硬化症、肌萎缩性侧索硬化症。须满足自主生活能力完全丧失，无法独立完成六项基本日常生活活动中的三项或三项以上的条件。</w:t>
            </w:r>
          </w:p>
        </w:tc>
      </w:tr>
      <w:tr>
        <w:trPr>
          <w:trHeight w:val="1155" w:hRule="atLeast"/>
        </w:trPr>
        <w:tc>
          <w:tcPr>
            <w:tcW w:w="944" w:type="dxa"/>
          </w:tcPr>
          <w:p>
            <w:pPr>
              <w:pStyle w:val="TableParagraph"/>
              <w:spacing w:before="48"/>
              <w:ind w:left="0" w:right="106"/>
              <w:jc w:val="right"/>
              <w:rPr>
                <w:b/>
                <w:sz w:val="21"/>
              </w:rPr>
            </w:pPr>
            <w:r>
              <w:rPr>
                <w:b/>
                <w:sz w:val="21"/>
              </w:rPr>
              <w:t>8.1.23</w:t>
            </w:r>
          </w:p>
        </w:tc>
        <w:tc>
          <w:tcPr>
            <w:tcW w:w="1498" w:type="dxa"/>
          </w:tcPr>
          <w:p>
            <w:pPr>
              <w:pStyle w:val="TableParagraph"/>
              <w:spacing w:before="48"/>
              <w:ind w:left="108"/>
              <w:rPr>
                <w:b/>
                <w:sz w:val="21"/>
              </w:rPr>
            </w:pPr>
            <w:r>
              <w:rPr>
                <w:b/>
                <w:sz w:val="21"/>
              </w:rPr>
              <w:t>语言能力丧失</w:t>
            </w:r>
          </w:p>
        </w:tc>
        <w:tc>
          <w:tcPr>
            <w:tcW w:w="7394" w:type="dxa"/>
          </w:tcPr>
          <w:p>
            <w:pPr>
              <w:pStyle w:val="TableParagraph"/>
              <w:spacing w:line="273" w:lineRule="auto" w:before="48"/>
              <w:ind w:left="122" w:right="381" w:hanging="1"/>
              <w:rPr>
                <w:sz w:val="21"/>
              </w:rPr>
            </w:pPr>
            <w:r>
              <w:rPr>
                <w:spacing w:val="-7"/>
                <w:sz w:val="21"/>
              </w:rPr>
              <w:t>指因疾病或意外伤害导致完全丧失语言能力，经过积极治疗至少 </w:t>
            </w:r>
            <w:r>
              <w:rPr>
                <w:sz w:val="21"/>
              </w:rPr>
              <w:t>12</w:t>
            </w:r>
            <w:r>
              <w:rPr>
                <w:spacing w:val="-27"/>
                <w:sz w:val="21"/>
              </w:rPr>
              <w:t> 个月</w:t>
            </w:r>
            <w:r>
              <w:rPr>
                <w:spacing w:val="-39"/>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4"/>
              <w:ind w:left="122"/>
              <w:rPr>
                <w:rFonts w:ascii="黑体" w:eastAsia="黑体" w:hint="eastAsia"/>
                <w:sz w:val="21"/>
              </w:rPr>
            </w:pPr>
            <w:r>
              <w:rPr>
                <w:rFonts w:ascii="黑体" w:eastAsia="黑体" w:hint="eastAsia"/>
                <w:sz w:val="21"/>
              </w:rPr>
              <w:t>精神心理因素所致的语言能力丧失不在保障范围内。</w:t>
            </w:r>
          </w:p>
        </w:tc>
      </w:tr>
      <w:tr>
        <w:trPr>
          <w:trHeight w:val="2326" w:hRule="atLeast"/>
        </w:trPr>
        <w:tc>
          <w:tcPr>
            <w:tcW w:w="944" w:type="dxa"/>
          </w:tcPr>
          <w:p>
            <w:pPr>
              <w:pStyle w:val="TableParagraph"/>
              <w:spacing w:before="50"/>
              <w:ind w:left="0" w:right="106"/>
              <w:jc w:val="right"/>
              <w:rPr>
                <w:b/>
                <w:sz w:val="21"/>
              </w:rPr>
            </w:pPr>
            <w:r>
              <w:rPr>
                <w:b/>
                <w:sz w:val="21"/>
              </w:rPr>
              <w:t>8.1.24</w:t>
            </w:r>
          </w:p>
        </w:tc>
        <w:tc>
          <w:tcPr>
            <w:tcW w:w="1498" w:type="dxa"/>
          </w:tcPr>
          <w:p>
            <w:pPr>
              <w:pStyle w:val="TableParagraph"/>
              <w:spacing w:line="273" w:lineRule="auto" w:before="50"/>
              <w:ind w:left="108" w:right="120"/>
              <w:rPr>
                <w:b/>
                <w:sz w:val="21"/>
              </w:rPr>
            </w:pPr>
            <w:r>
              <w:rPr>
                <w:b/>
                <w:sz w:val="21"/>
              </w:rPr>
              <w:t>重型再生障碍性贫血</w:t>
            </w:r>
          </w:p>
        </w:tc>
        <w:tc>
          <w:tcPr>
            <w:tcW w:w="7394" w:type="dxa"/>
          </w:tcPr>
          <w:p>
            <w:pPr>
              <w:pStyle w:val="TableParagraph"/>
              <w:spacing w:line="273" w:lineRule="auto" w:before="50"/>
              <w:ind w:right="305"/>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spacing w:before="37"/>
              <w:ind w:left="647"/>
              <w:rPr>
                <w:sz w:val="21"/>
              </w:rPr>
            </w:pPr>
            <w:r>
              <w:rPr>
                <w:sz w:val="21"/>
              </w:rPr>
              <w:t>①中性粒细胞绝对值≤0.5×10</w:t>
            </w:r>
            <w:r>
              <w:rPr>
                <w:position w:val="11"/>
                <w:sz w:val="11"/>
              </w:rPr>
              <w:t>9</w:t>
            </w:r>
            <w:r>
              <w:rPr>
                <w:sz w:val="21"/>
              </w:rPr>
              <w:t>/L ；</w:t>
            </w:r>
          </w:p>
          <w:p>
            <w:pPr>
              <w:pStyle w:val="TableParagraph"/>
              <w:spacing w:before="37"/>
              <w:ind w:left="647"/>
              <w:rPr>
                <w:sz w:val="21"/>
              </w:rPr>
            </w:pPr>
            <w:r>
              <w:rPr>
                <w:sz w:val="21"/>
              </w:rPr>
              <w:t>②网织红细胞＜1%；</w:t>
            </w:r>
          </w:p>
          <w:p>
            <w:pPr>
              <w:pStyle w:val="TableParagraph"/>
              <w:spacing w:before="37"/>
              <w:ind w:left="647"/>
              <w:rPr>
                <w:sz w:val="21"/>
              </w:rPr>
            </w:pPr>
            <w:r>
              <w:rPr>
                <w:sz w:val="21"/>
              </w:rPr>
              <w:t>③血小板绝对值≤20×10</w:t>
            </w:r>
            <w:r>
              <w:rPr>
                <w:position w:val="11"/>
                <w:sz w:val="11"/>
              </w:rPr>
              <w:t>9</w:t>
            </w:r>
            <w:r>
              <w:rPr>
                <w:sz w:val="21"/>
              </w:rPr>
              <w:t>/L。</w:t>
            </w:r>
          </w:p>
        </w:tc>
      </w:tr>
      <w:tr>
        <w:trPr>
          <w:trHeight w:val="1466" w:hRule="atLeast"/>
        </w:trPr>
        <w:tc>
          <w:tcPr>
            <w:tcW w:w="944" w:type="dxa"/>
          </w:tcPr>
          <w:p>
            <w:pPr>
              <w:pStyle w:val="TableParagraph"/>
              <w:spacing w:before="48"/>
              <w:ind w:left="0" w:right="106"/>
              <w:jc w:val="right"/>
              <w:rPr>
                <w:b/>
                <w:sz w:val="21"/>
              </w:rPr>
            </w:pPr>
            <w:r>
              <w:rPr>
                <w:b/>
                <w:sz w:val="21"/>
              </w:rPr>
              <w:t>8.1.25</w:t>
            </w:r>
          </w:p>
        </w:tc>
        <w:tc>
          <w:tcPr>
            <w:tcW w:w="1498" w:type="dxa"/>
          </w:tcPr>
          <w:p>
            <w:pPr>
              <w:pStyle w:val="TableParagraph"/>
              <w:spacing w:before="48"/>
              <w:ind w:left="108"/>
              <w:rPr>
                <w:b/>
                <w:sz w:val="21"/>
              </w:rPr>
            </w:pPr>
            <w:r>
              <w:rPr>
                <w:b/>
                <w:sz w:val="21"/>
              </w:rPr>
              <w:t>主动脉手术</w:t>
            </w:r>
          </w:p>
        </w:tc>
        <w:tc>
          <w:tcPr>
            <w:tcW w:w="7394" w:type="dxa"/>
          </w:tcPr>
          <w:p>
            <w:pPr>
              <w:pStyle w:val="TableParagraph"/>
              <w:spacing w:line="273" w:lineRule="auto" w:before="48"/>
              <w:ind w:right="30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4"/>
              <w:jc w:val="both"/>
              <w:rPr>
                <w:rFonts w:ascii="黑体" w:eastAsia="黑体" w:hint="eastAsia"/>
                <w:sz w:val="21"/>
              </w:rPr>
            </w:pPr>
            <w:r>
              <w:rPr>
                <w:rFonts w:ascii="黑体" w:eastAsia="黑体" w:hint="eastAsia"/>
                <w:sz w:val="21"/>
              </w:rPr>
              <w:t>动脉内血管成形术不在保障范围内。</w:t>
            </w:r>
          </w:p>
        </w:tc>
      </w:tr>
      <w:tr>
        <w:trPr>
          <w:trHeight w:val="2014" w:hRule="atLeast"/>
        </w:trPr>
        <w:tc>
          <w:tcPr>
            <w:tcW w:w="944" w:type="dxa"/>
          </w:tcPr>
          <w:p>
            <w:pPr>
              <w:pStyle w:val="TableParagraph"/>
              <w:spacing w:before="48"/>
              <w:ind w:left="0" w:right="106"/>
              <w:jc w:val="right"/>
              <w:rPr>
                <w:b/>
                <w:sz w:val="21"/>
              </w:rPr>
            </w:pPr>
            <w:r>
              <w:rPr>
                <w:b/>
                <w:sz w:val="21"/>
              </w:rPr>
              <w:t>8.1.26</w:t>
            </w:r>
          </w:p>
        </w:tc>
        <w:tc>
          <w:tcPr>
            <w:tcW w:w="1498" w:type="dxa"/>
          </w:tcPr>
          <w:p>
            <w:pPr>
              <w:pStyle w:val="TableParagraph"/>
              <w:spacing w:line="273" w:lineRule="auto" w:before="48"/>
              <w:ind w:left="108" w:right="120"/>
              <w:rPr>
                <w:b/>
                <w:sz w:val="21"/>
              </w:rPr>
            </w:pPr>
            <w:r>
              <w:rPr>
                <w:b/>
                <w:sz w:val="21"/>
              </w:rPr>
              <w:t>严重多发性硬化症</w:t>
            </w:r>
          </w:p>
        </w:tc>
        <w:tc>
          <w:tcPr>
            <w:tcW w:w="7394" w:type="dxa"/>
          </w:tcPr>
          <w:p>
            <w:pPr>
              <w:pStyle w:val="TableParagraph"/>
              <w:spacing w:line="273" w:lineRule="auto" w:before="48"/>
              <w:ind w:right="305"/>
              <w:jc w:val="both"/>
              <w:rPr>
                <w:sz w:val="21"/>
              </w:rPr>
            </w:pPr>
            <w:r>
              <w:rPr>
                <w:spacing w:val="-2"/>
                <w:sz w:val="21"/>
              </w:rPr>
              <w:t>多发性硬化为中枢神经系统白质多灶性脱髓鞘病变，病变有时累及灰质。多</w:t>
            </w:r>
            <w:r>
              <w:rPr>
                <w:spacing w:val="-3"/>
                <w:sz w:val="21"/>
              </w:rPr>
              <w:t>发性硬化必须明确诊断，并且已经造成永久不可逆的神经系统功能损害。永</w:t>
            </w:r>
            <w:r>
              <w:rPr>
                <w:spacing w:val="-5"/>
                <w:sz w:val="21"/>
              </w:rPr>
              <w:t>久不可逆的神经系统损害指被保险人持续 </w:t>
            </w:r>
            <w:r>
              <w:rPr>
                <w:sz w:val="21"/>
              </w:rPr>
              <w:t>180</w:t>
            </w:r>
            <w:r>
              <w:rPr>
                <w:spacing w:val="-6"/>
                <w:sz w:val="21"/>
              </w:rPr>
              <w:t> 天无法独立完成下列基本日常</w:t>
            </w:r>
            <w:r>
              <w:rPr>
                <w:spacing w:val="-1"/>
                <w:sz w:val="21"/>
              </w:rPr>
              <w:t>生活活动：</w:t>
            </w:r>
          </w:p>
          <w:p>
            <w:pPr>
              <w:pStyle w:val="TableParagraph"/>
              <w:spacing w:before="7"/>
              <w:ind w:left="122"/>
              <w:jc w:val="both"/>
              <w:rPr>
                <w:sz w:val="21"/>
              </w:rPr>
            </w:pPr>
            <w:r>
              <w:rPr>
                <w:sz w:val="21"/>
              </w:rPr>
              <w:t>(1)移动：自己从一个房间到另一个房间；或者</w:t>
            </w:r>
          </w:p>
          <w:p>
            <w:pPr>
              <w:pStyle w:val="TableParagraph"/>
              <w:spacing w:before="37"/>
              <w:ind w:left="122"/>
              <w:jc w:val="both"/>
              <w:rPr>
                <w:sz w:val="21"/>
              </w:rPr>
            </w:pPr>
            <w:r>
              <w:rPr>
                <w:sz w:val="21"/>
              </w:rPr>
              <w:t>(2)进食：自己从已准备好的碗或碟中取食物放入口中。</w:t>
            </w:r>
          </w:p>
        </w:tc>
      </w:tr>
      <w:tr>
        <w:trPr>
          <w:trHeight w:val="1303" w:hRule="atLeast"/>
        </w:trPr>
        <w:tc>
          <w:tcPr>
            <w:tcW w:w="944" w:type="dxa"/>
          </w:tcPr>
          <w:p>
            <w:pPr>
              <w:pStyle w:val="TableParagraph"/>
              <w:spacing w:before="50"/>
              <w:ind w:left="0" w:right="106"/>
              <w:jc w:val="right"/>
              <w:rPr>
                <w:b/>
                <w:sz w:val="21"/>
              </w:rPr>
            </w:pPr>
            <w:r>
              <w:rPr>
                <w:b/>
                <w:sz w:val="21"/>
              </w:rPr>
              <w:t>8.1.27</w:t>
            </w:r>
          </w:p>
        </w:tc>
        <w:tc>
          <w:tcPr>
            <w:tcW w:w="1498" w:type="dxa"/>
          </w:tcPr>
          <w:p>
            <w:pPr>
              <w:pStyle w:val="TableParagraph"/>
              <w:spacing w:before="50"/>
              <w:ind w:left="108"/>
              <w:rPr>
                <w:b/>
                <w:sz w:val="21"/>
              </w:rPr>
            </w:pPr>
            <w:r>
              <w:rPr>
                <w:b/>
                <w:sz w:val="21"/>
              </w:rPr>
              <w:t>严重冠心病</w:t>
            </w:r>
          </w:p>
        </w:tc>
        <w:tc>
          <w:tcPr>
            <w:tcW w:w="7394" w:type="dxa"/>
          </w:tcPr>
          <w:p>
            <w:pPr>
              <w:pStyle w:val="TableParagraph"/>
              <w:spacing w:line="237" w:lineRule="auto" w:before="93"/>
              <w:ind w:right="304"/>
              <w:jc w:val="both"/>
              <w:rPr>
                <w:rFonts w:ascii="黑体" w:eastAsia="黑体" w:hint="eastAsia"/>
                <w:sz w:val="21"/>
              </w:rPr>
            </w:pPr>
            <w:r>
              <w:rPr>
                <w:sz w:val="21"/>
              </w:rPr>
              <w:t>指根据冠状动脉造影检查结果确诊的三支主要血管(左冠状动脉主干和右冠</w:t>
            </w:r>
            <w:r>
              <w:rPr>
                <w:spacing w:val="-2"/>
                <w:sz w:val="21"/>
              </w:rPr>
              <w:t>状动脉，或前降支、左旋支和右冠状动脉)严重狭窄性病变(至少一支血管管</w:t>
            </w:r>
            <w:r>
              <w:rPr>
                <w:spacing w:val="-7"/>
                <w:sz w:val="21"/>
              </w:rPr>
              <w:t>腔直径减少 </w:t>
            </w:r>
            <w:r>
              <w:rPr>
                <w:sz w:val="21"/>
              </w:rPr>
              <w:t>75</w:t>
            </w:r>
            <w:r>
              <w:rPr>
                <w:spacing w:val="-5"/>
                <w:sz w:val="21"/>
              </w:rPr>
              <w:t>%以上和其他两支血管管腔直径减少 </w:t>
            </w:r>
            <w:r>
              <w:rPr>
                <w:sz w:val="21"/>
              </w:rPr>
              <w:t>60%</w:t>
            </w:r>
            <w:r>
              <w:rPr>
                <w:spacing w:val="-3"/>
                <w:sz w:val="21"/>
              </w:rPr>
              <w:t>以上)。</w:t>
            </w:r>
            <w:r>
              <w:rPr>
                <w:rFonts w:ascii="黑体" w:eastAsia="黑体" w:hint="eastAsia"/>
                <w:spacing w:val="-3"/>
                <w:sz w:val="21"/>
              </w:rPr>
              <w:t>前降支、左旋支及右冠状动脉的分支血管的狭窄不作为本保障的衡量指标。</w:t>
            </w:r>
          </w:p>
        </w:tc>
      </w:tr>
      <w:tr>
        <w:trPr>
          <w:trHeight w:val="2081" w:hRule="atLeast"/>
        </w:trPr>
        <w:tc>
          <w:tcPr>
            <w:tcW w:w="944" w:type="dxa"/>
          </w:tcPr>
          <w:p>
            <w:pPr>
              <w:pStyle w:val="TableParagraph"/>
              <w:spacing w:before="40"/>
              <w:ind w:left="0" w:right="106"/>
              <w:jc w:val="right"/>
              <w:rPr>
                <w:b/>
                <w:sz w:val="21"/>
              </w:rPr>
            </w:pPr>
            <w:r>
              <w:rPr>
                <w:b/>
                <w:sz w:val="21"/>
              </w:rPr>
              <w:t>8.1.28</w:t>
            </w:r>
          </w:p>
        </w:tc>
        <w:tc>
          <w:tcPr>
            <w:tcW w:w="1498" w:type="dxa"/>
          </w:tcPr>
          <w:p>
            <w:pPr>
              <w:pStyle w:val="TableParagraph"/>
              <w:spacing w:line="273" w:lineRule="auto" w:before="40"/>
              <w:ind w:left="108" w:right="120"/>
              <w:rPr>
                <w:b/>
                <w:sz w:val="21"/>
              </w:rPr>
            </w:pPr>
            <w:r>
              <w:rPr>
                <w:b/>
                <w:sz w:val="21"/>
              </w:rPr>
              <w:t>严重慢性呼吸功能衰竭</w:t>
            </w:r>
          </w:p>
        </w:tc>
        <w:tc>
          <w:tcPr>
            <w:tcW w:w="7394" w:type="dxa"/>
          </w:tcPr>
          <w:p>
            <w:pPr>
              <w:pStyle w:val="TableParagraph"/>
              <w:spacing w:line="273" w:lineRule="auto" w:before="40"/>
              <w:ind w:right="332"/>
              <w:rPr>
                <w:sz w:val="21"/>
              </w:rPr>
            </w:pPr>
            <w:r>
              <w:rPr>
                <w:sz w:val="21"/>
              </w:rPr>
              <w:t>慢性肺部疾病导致永久不可逆性的慢性呼吸功能衰竭，必须由呼吸专科医师确认并符合下列所有条件：</w:t>
            </w:r>
          </w:p>
          <w:p>
            <w:pPr>
              <w:pStyle w:val="TableParagraph"/>
              <w:spacing w:before="7"/>
              <w:rPr>
                <w:sz w:val="21"/>
              </w:rPr>
            </w:pPr>
            <w:r>
              <w:rPr>
                <w:sz w:val="21"/>
              </w:rPr>
              <w:t>(1)肺功能测试其 FEV1 持续低于 0.75 升；</w:t>
            </w:r>
          </w:p>
          <w:p>
            <w:pPr>
              <w:pStyle w:val="TableParagraph"/>
              <w:spacing w:before="36"/>
              <w:ind w:left="122"/>
              <w:rPr>
                <w:sz w:val="21"/>
              </w:rPr>
            </w:pPr>
            <w:r>
              <w:rPr>
                <w:sz w:val="21"/>
              </w:rPr>
              <w:t>(2)病人缺氧必须广泛而持续地进行输氧治疗；</w:t>
            </w:r>
          </w:p>
          <w:p>
            <w:pPr>
              <w:pStyle w:val="TableParagraph"/>
              <w:spacing w:before="36"/>
              <w:ind w:left="122"/>
              <w:rPr>
                <w:sz w:val="21"/>
              </w:rPr>
            </w:pPr>
            <w:r>
              <w:rPr>
                <w:sz w:val="21"/>
              </w:rPr>
              <w:t>(3)动脉血气分析氧分压低于 55mmHg。</w:t>
            </w:r>
          </w:p>
          <w:p>
            <w:pPr>
              <w:pStyle w:val="TableParagraph"/>
              <w:spacing w:before="113"/>
              <w:ind w:left="122"/>
              <w:rPr>
                <w:sz w:val="21"/>
              </w:rPr>
            </w:pPr>
            <w:r>
              <w:rPr>
                <w:sz w:val="21"/>
              </w:rPr>
              <w:t>理赔时必须提供以上三项相应的证明文件或检查报告。</w:t>
            </w:r>
          </w:p>
        </w:tc>
      </w:tr>
      <w:tr>
        <w:trPr>
          <w:trHeight w:val="1381" w:hRule="atLeast"/>
        </w:trPr>
        <w:tc>
          <w:tcPr>
            <w:tcW w:w="944" w:type="dxa"/>
          </w:tcPr>
          <w:p>
            <w:pPr>
              <w:pStyle w:val="TableParagraph"/>
              <w:spacing w:before="49"/>
              <w:ind w:left="0" w:right="106"/>
              <w:jc w:val="right"/>
              <w:rPr>
                <w:b/>
                <w:sz w:val="21"/>
              </w:rPr>
            </w:pPr>
            <w:r>
              <w:rPr>
                <w:b/>
                <w:sz w:val="21"/>
              </w:rPr>
              <w:t>8.1.29</w:t>
            </w:r>
          </w:p>
        </w:tc>
        <w:tc>
          <w:tcPr>
            <w:tcW w:w="1498" w:type="dxa"/>
          </w:tcPr>
          <w:p>
            <w:pPr>
              <w:pStyle w:val="TableParagraph"/>
              <w:spacing w:line="273" w:lineRule="auto" w:before="49"/>
              <w:ind w:left="108" w:right="120"/>
              <w:rPr>
                <w:b/>
                <w:sz w:val="21"/>
              </w:rPr>
            </w:pPr>
            <w:r>
              <w:rPr>
                <w:b/>
                <w:sz w:val="21"/>
              </w:rPr>
              <w:t>严重原发性心肌病</w:t>
            </w:r>
          </w:p>
        </w:tc>
        <w:tc>
          <w:tcPr>
            <w:tcW w:w="7394" w:type="dxa"/>
          </w:tcPr>
          <w:p>
            <w:pPr>
              <w:pStyle w:val="TableParagraph"/>
              <w:spacing w:line="237" w:lineRule="auto" w:before="92"/>
              <w:ind w:right="305"/>
              <w:jc w:val="both"/>
              <w:rPr>
                <w:sz w:val="21"/>
              </w:rPr>
            </w:pPr>
            <w:r>
              <w:rPr>
                <w:spacing w:val="-2"/>
                <w:sz w:val="21"/>
              </w:rPr>
              <w:t>指因原发性心肌病导致心室功能损害造成永久不可逆性的心功能衰竭，心功</w:t>
            </w:r>
            <w:r>
              <w:rPr>
                <w:spacing w:val="-5"/>
                <w:sz w:val="21"/>
              </w:rPr>
              <w:t>能衰竭程度达到美国纽约心脏病学会心功能状态分级 </w:t>
            </w:r>
            <w:r>
              <w:rPr>
                <w:sz w:val="21"/>
              </w:rPr>
              <w:t>IV</w:t>
            </w:r>
            <w:r>
              <w:rPr>
                <w:spacing w:val="-15"/>
                <w:sz w:val="21"/>
              </w:rPr>
              <w:t> 级。必须由心脏专科</w:t>
            </w:r>
            <w:r>
              <w:rPr>
                <w:spacing w:val="-7"/>
                <w:sz w:val="21"/>
              </w:rPr>
              <w:t>医生确诊，并有包括超声心动图在内的相关检查证实。</w:t>
            </w:r>
          </w:p>
          <w:p>
            <w:pPr>
              <w:pStyle w:val="TableParagraph"/>
              <w:spacing w:before="77"/>
              <w:jc w:val="both"/>
              <w:rPr>
                <w:rFonts w:ascii="黑体" w:eastAsia="黑体" w:hint="eastAsia"/>
                <w:sz w:val="21"/>
              </w:rPr>
            </w:pPr>
            <w:r>
              <w:rPr>
                <w:rFonts w:ascii="黑体" w:eastAsia="黑体" w:hint="eastAsia"/>
                <w:sz w:val="21"/>
              </w:rPr>
              <w:t>因酗酒、药物以及其他疾病所引发的继发性心肌病不在保险责任范围内。</w:t>
            </w:r>
          </w:p>
        </w:tc>
      </w:tr>
      <w:tr>
        <w:trPr>
          <w:trHeight w:val="636" w:hRule="atLeast"/>
        </w:trPr>
        <w:tc>
          <w:tcPr>
            <w:tcW w:w="944" w:type="dxa"/>
          </w:tcPr>
          <w:p>
            <w:pPr>
              <w:pStyle w:val="TableParagraph"/>
              <w:spacing w:before="40"/>
              <w:ind w:left="0" w:right="106"/>
              <w:jc w:val="right"/>
              <w:rPr>
                <w:b/>
                <w:sz w:val="21"/>
              </w:rPr>
            </w:pPr>
            <w:r>
              <w:rPr>
                <w:b/>
                <w:sz w:val="21"/>
              </w:rPr>
              <w:t>8.1.30</w:t>
            </w:r>
          </w:p>
        </w:tc>
        <w:tc>
          <w:tcPr>
            <w:tcW w:w="1498" w:type="dxa"/>
          </w:tcPr>
          <w:p>
            <w:pPr>
              <w:pStyle w:val="TableParagraph"/>
              <w:spacing w:before="40"/>
              <w:ind w:left="108"/>
              <w:rPr>
                <w:b/>
                <w:sz w:val="21"/>
              </w:rPr>
            </w:pPr>
            <w:r>
              <w:rPr>
                <w:b/>
                <w:sz w:val="21"/>
              </w:rPr>
              <w:t>严重克隆病</w:t>
            </w:r>
          </w:p>
        </w:tc>
        <w:tc>
          <w:tcPr>
            <w:tcW w:w="7394" w:type="dxa"/>
          </w:tcPr>
          <w:p>
            <w:pPr>
              <w:pStyle w:val="TableParagraph"/>
              <w:spacing w:line="310" w:lineRule="atLeast" w:before="5"/>
              <w:ind w:right="332"/>
              <w:rPr>
                <w:sz w:val="21"/>
              </w:rPr>
            </w:pPr>
            <w:r>
              <w:rPr>
                <w:sz w:val="21"/>
              </w:rPr>
              <w:t>伴有肠梗阻或肠穿孔是一种慢性肉芽肿性肠炎，具有特征性的克隆病病理组织学变化。疾病诊断必须经专科医师确认被保险人所患的克隆病已经造成瘘</w:t>
            </w:r>
          </w:p>
        </w:tc>
      </w:tr>
    </w:tbl>
    <w:p>
      <w:pPr>
        <w:spacing w:after="0" w:line="310" w:lineRule="atLeast"/>
        <w:rPr>
          <w:sz w:val="21"/>
        </w:rPr>
        <w:sectPr>
          <w:pgSz w:w="11910" w:h="16840"/>
          <w:pgMar w:top="146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498"/>
        <w:gridCol w:w="7394"/>
      </w:tblGrid>
      <w:tr>
        <w:trPr>
          <w:trHeight w:val="332" w:hRule="atLeast"/>
        </w:trPr>
        <w:tc>
          <w:tcPr>
            <w:tcW w:w="944" w:type="dxa"/>
          </w:tcPr>
          <w:p>
            <w:pPr>
              <w:pStyle w:val="TableParagraph"/>
              <w:ind w:left="0"/>
              <w:rPr>
                <w:rFonts w:ascii="Times New Roman"/>
                <w:sz w:val="20"/>
              </w:rPr>
            </w:pPr>
          </w:p>
        </w:tc>
        <w:tc>
          <w:tcPr>
            <w:tcW w:w="1498" w:type="dxa"/>
          </w:tcPr>
          <w:p>
            <w:pPr>
              <w:pStyle w:val="TableParagraph"/>
              <w:ind w:left="0"/>
              <w:rPr>
                <w:rFonts w:ascii="Times New Roman"/>
                <w:sz w:val="20"/>
              </w:rPr>
            </w:pPr>
          </w:p>
        </w:tc>
        <w:tc>
          <w:tcPr>
            <w:tcW w:w="7394" w:type="dxa"/>
          </w:tcPr>
          <w:p>
            <w:pPr>
              <w:pStyle w:val="TableParagraph"/>
              <w:spacing w:line="202" w:lineRule="exact"/>
              <w:rPr>
                <w:sz w:val="21"/>
              </w:rPr>
            </w:pPr>
            <w:r>
              <w:rPr>
                <w:sz w:val="21"/>
              </w:rPr>
              <w:t>管形成并伴有肠梗阻或肠穿孔。</w:t>
            </w:r>
          </w:p>
        </w:tc>
      </w:tr>
      <w:tr>
        <w:trPr>
          <w:trHeight w:val="3027" w:hRule="atLeast"/>
        </w:trPr>
        <w:tc>
          <w:tcPr>
            <w:tcW w:w="944" w:type="dxa"/>
          </w:tcPr>
          <w:p>
            <w:pPr>
              <w:pStyle w:val="TableParagraph"/>
              <w:spacing w:before="48"/>
              <w:ind w:left="0" w:right="106"/>
              <w:jc w:val="right"/>
              <w:rPr>
                <w:b/>
                <w:sz w:val="21"/>
              </w:rPr>
            </w:pPr>
            <w:r>
              <w:rPr>
                <w:b/>
                <w:sz w:val="21"/>
              </w:rPr>
              <w:t>8.1.31</w:t>
            </w:r>
          </w:p>
        </w:tc>
        <w:tc>
          <w:tcPr>
            <w:tcW w:w="1498" w:type="dxa"/>
          </w:tcPr>
          <w:p>
            <w:pPr>
              <w:pStyle w:val="TableParagraph"/>
              <w:spacing w:line="273" w:lineRule="auto" w:before="48"/>
              <w:ind w:left="108" w:right="120"/>
              <w:rPr>
                <w:b/>
                <w:sz w:val="21"/>
              </w:rPr>
            </w:pPr>
            <w:r>
              <w:rPr>
                <w:b/>
                <w:sz w:val="21"/>
              </w:rPr>
              <w:t>慢性肾上腺皮质功能衰竭</w:t>
            </w:r>
          </w:p>
        </w:tc>
        <w:tc>
          <w:tcPr>
            <w:tcW w:w="7394" w:type="dxa"/>
          </w:tcPr>
          <w:p>
            <w:pPr>
              <w:pStyle w:val="TableParagraph"/>
              <w:spacing w:line="273" w:lineRule="auto" w:before="48"/>
              <w:ind w:right="332"/>
              <w:jc w:val="both"/>
              <w:rPr>
                <w:sz w:val="21"/>
              </w:rPr>
            </w:pPr>
            <w:r>
              <w:rPr>
                <w:sz w:val="21"/>
              </w:rPr>
              <w:t>因为自身免疫功能紊乱，使肾上腺组织逐渐受损，而需要长期接受糖皮质激素及肾上腺皮质激素替代疗法。该病必须经内分泌专科医生确诊，并有以下全部检查结果异常的报告作为证据：</w:t>
            </w:r>
          </w:p>
          <w:p>
            <w:pPr>
              <w:pStyle w:val="TableParagraph"/>
              <w:spacing w:before="7"/>
              <w:jc w:val="both"/>
              <w:rPr>
                <w:sz w:val="21"/>
              </w:rPr>
            </w:pPr>
            <w:r>
              <w:rPr>
                <w:sz w:val="21"/>
              </w:rPr>
              <w:t>(1)促肾上腺皮质激素(ACTH)刺激试验；</w:t>
            </w:r>
          </w:p>
          <w:p>
            <w:pPr>
              <w:pStyle w:val="TableParagraph"/>
              <w:spacing w:before="37"/>
              <w:jc w:val="both"/>
              <w:rPr>
                <w:sz w:val="21"/>
              </w:rPr>
            </w:pPr>
            <w:r>
              <w:rPr>
                <w:sz w:val="21"/>
              </w:rPr>
              <w:t>(2)胰岛素血糖减少测试；</w:t>
            </w:r>
          </w:p>
          <w:p>
            <w:pPr>
              <w:pStyle w:val="TableParagraph"/>
              <w:spacing w:before="37"/>
              <w:jc w:val="both"/>
              <w:rPr>
                <w:sz w:val="21"/>
              </w:rPr>
            </w:pPr>
            <w:r>
              <w:rPr>
                <w:sz w:val="21"/>
              </w:rPr>
              <w:t>(3)血浆促肾上腺皮质激素(ACTH)水平测定；</w:t>
            </w:r>
          </w:p>
          <w:p>
            <w:pPr>
              <w:pStyle w:val="TableParagraph"/>
              <w:spacing w:before="37"/>
              <w:jc w:val="both"/>
              <w:rPr>
                <w:sz w:val="21"/>
              </w:rPr>
            </w:pPr>
            <w:r>
              <w:rPr>
                <w:sz w:val="21"/>
              </w:rPr>
              <w:t>(4)血浆肾素活性(PRA)测定。</w:t>
            </w:r>
          </w:p>
          <w:p>
            <w:pPr>
              <w:pStyle w:val="TableParagraph"/>
              <w:spacing w:line="273" w:lineRule="auto" w:before="114"/>
              <w:ind w:right="332"/>
              <w:rPr>
                <w:rFonts w:ascii="黑体" w:eastAsia="黑体" w:hint="eastAsia"/>
                <w:sz w:val="21"/>
              </w:rPr>
            </w:pPr>
            <w:r>
              <w:rPr>
                <w:rFonts w:ascii="黑体" w:eastAsia="黑体" w:hint="eastAsia"/>
                <w:sz w:val="21"/>
              </w:rPr>
              <w:t>慢性肾上腺皮质功能衰竭只对由自身免疫功能紊乱引起的承担保险责任，其他原因引起的除外。</w:t>
            </w:r>
          </w:p>
        </w:tc>
      </w:tr>
      <w:tr>
        <w:trPr>
          <w:trHeight w:val="3651" w:hRule="atLeast"/>
        </w:trPr>
        <w:tc>
          <w:tcPr>
            <w:tcW w:w="944" w:type="dxa"/>
          </w:tcPr>
          <w:p>
            <w:pPr>
              <w:pStyle w:val="TableParagraph"/>
              <w:spacing w:before="50"/>
              <w:ind w:left="0" w:right="106"/>
              <w:jc w:val="right"/>
              <w:rPr>
                <w:b/>
                <w:sz w:val="21"/>
              </w:rPr>
            </w:pPr>
            <w:r>
              <w:rPr>
                <w:b/>
                <w:sz w:val="21"/>
              </w:rPr>
              <w:t>8.1.32</w:t>
            </w:r>
          </w:p>
        </w:tc>
        <w:tc>
          <w:tcPr>
            <w:tcW w:w="1498" w:type="dxa"/>
          </w:tcPr>
          <w:p>
            <w:pPr>
              <w:pStyle w:val="TableParagraph"/>
              <w:spacing w:before="50"/>
              <w:ind w:left="108"/>
              <w:rPr>
                <w:b/>
                <w:sz w:val="21"/>
              </w:rPr>
            </w:pPr>
            <w:r>
              <w:rPr>
                <w:b/>
                <w:sz w:val="21"/>
              </w:rPr>
              <w:t>系统性硬皮病</w:t>
            </w:r>
          </w:p>
        </w:tc>
        <w:tc>
          <w:tcPr>
            <w:tcW w:w="7394" w:type="dxa"/>
          </w:tcPr>
          <w:p>
            <w:pPr>
              <w:pStyle w:val="TableParagraph"/>
              <w:spacing w:line="273" w:lineRule="auto" w:before="50"/>
              <w:ind w:right="198"/>
              <w:rPr>
                <w:sz w:val="21"/>
              </w:rPr>
            </w:pPr>
            <w:r>
              <w:rPr>
                <w:spacing w:val="-17"/>
                <w:sz w:val="21"/>
              </w:rPr>
              <w:t>系统性硬皮病</w:t>
            </w:r>
            <w:r>
              <w:rPr>
                <w:sz w:val="21"/>
              </w:rPr>
              <w:t>（</w:t>
            </w:r>
            <w:r>
              <w:rPr>
                <w:spacing w:val="-3"/>
                <w:sz w:val="21"/>
              </w:rPr>
              <w:t>须累及内脏器官</w:t>
            </w:r>
            <w:r>
              <w:rPr>
                <w:spacing w:val="-100"/>
                <w:sz w:val="21"/>
              </w:rPr>
              <w:t>）</w:t>
            </w:r>
            <w:r>
              <w:rPr>
                <w:spacing w:val="-12"/>
                <w:sz w:val="21"/>
              </w:rPr>
              <w:t>，指一种以局限性或弥漫性皮肤增厚和皮肤、</w:t>
            </w:r>
            <w:r>
              <w:rPr>
                <w:spacing w:val="-6"/>
                <w:sz w:val="21"/>
              </w:rPr>
              <w:t>血管、内脏器官异常纤维化为特征的结缔组织病。本病须经专科医师明确诊</w:t>
            </w:r>
            <w:r>
              <w:rPr>
                <w:spacing w:val="-4"/>
                <w:sz w:val="21"/>
              </w:rPr>
              <w:t>断，并须满足下列至少一项条件：</w:t>
            </w:r>
          </w:p>
          <w:p>
            <w:pPr>
              <w:pStyle w:val="TableParagraph"/>
              <w:spacing w:line="273" w:lineRule="auto" w:before="7"/>
              <w:ind w:right="304"/>
              <w:rPr>
                <w:sz w:val="21"/>
              </w:rPr>
            </w:pPr>
            <w:r>
              <w:rPr>
                <w:sz w:val="21"/>
              </w:rPr>
              <w:t>(1)</w:t>
            </w:r>
            <w:r>
              <w:rPr>
                <w:spacing w:val="-10"/>
                <w:sz w:val="21"/>
              </w:rPr>
              <w:t>肺脏：肺部病变进而发展为肺间质纤维化和肺动脉高压，静息状态下肺动</w:t>
            </w:r>
            <w:r>
              <w:rPr>
                <w:spacing w:val="-11"/>
                <w:sz w:val="21"/>
              </w:rPr>
              <w:t>脉平均压超过 </w:t>
            </w:r>
            <w:r>
              <w:rPr>
                <w:sz w:val="21"/>
              </w:rPr>
              <w:t>25mmHg；</w:t>
            </w:r>
          </w:p>
          <w:p>
            <w:pPr>
              <w:pStyle w:val="TableParagraph"/>
              <w:spacing w:before="7"/>
              <w:rPr>
                <w:sz w:val="21"/>
              </w:rPr>
            </w:pPr>
            <w:r>
              <w:rPr>
                <w:sz w:val="21"/>
              </w:rPr>
              <w:t>(2)心脏：心功能受损达到美国纽约心脏病学会心功能状态分级 IV 级；</w:t>
            </w:r>
          </w:p>
          <w:p>
            <w:pPr>
              <w:pStyle w:val="TableParagraph"/>
              <w:spacing w:before="37"/>
              <w:ind w:left="122"/>
              <w:rPr>
                <w:sz w:val="21"/>
              </w:rPr>
            </w:pPr>
            <w:r>
              <w:rPr>
                <w:sz w:val="21"/>
              </w:rPr>
              <w:t>(3)肾脏：肾脏受损导致双肾功能慢性不可逆衰竭，达到尿毒症期。</w:t>
            </w:r>
          </w:p>
          <w:p>
            <w:pPr>
              <w:pStyle w:val="TableParagraph"/>
              <w:spacing w:before="114"/>
              <w:rPr>
                <w:rFonts w:ascii="黑体" w:eastAsia="黑体" w:hint="eastAsia"/>
                <w:sz w:val="21"/>
              </w:rPr>
            </w:pPr>
            <w:r>
              <w:rPr>
                <w:rFonts w:ascii="黑体" w:eastAsia="黑体" w:hint="eastAsia"/>
                <w:sz w:val="21"/>
              </w:rPr>
              <w:t>下列疾病不在本险种保障范围内：</w:t>
            </w:r>
          </w:p>
          <w:p>
            <w:pPr>
              <w:pStyle w:val="TableParagraph"/>
              <w:spacing w:before="37"/>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局部性硬皮病</w:t>
            </w:r>
            <w:r>
              <w:rPr>
                <w:rFonts w:ascii="黑体" w:eastAsia="黑体" w:hint="eastAsia"/>
                <w:w w:val="100"/>
                <w:sz w:val="21"/>
              </w:rPr>
              <w:t>（</w:t>
            </w:r>
            <w:r>
              <w:rPr>
                <w:rFonts w:ascii="黑体" w:eastAsia="黑体" w:hint="eastAsia"/>
                <w:spacing w:val="-3"/>
                <w:w w:val="100"/>
                <w:sz w:val="21"/>
              </w:rPr>
              <w:t>如：带状硬皮病、硬斑病</w:t>
            </w:r>
            <w:r>
              <w:rPr>
                <w:rFonts w:ascii="黑体" w:eastAsia="黑体" w:hint="eastAsia"/>
                <w:spacing w:val="-106"/>
                <w:w w:val="100"/>
                <w:sz w:val="21"/>
              </w:rPr>
              <w:t>）</w:t>
            </w:r>
            <w:r>
              <w:rPr>
                <w:rFonts w:ascii="黑体" w:eastAsia="黑体" w:hint="eastAsia"/>
                <w:w w:val="100"/>
                <w:sz w:val="21"/>
              </w:rPr>
              <w:t>；</w:t>
            </w:r>
          </w:p>
          <w:p>
            <w:pPr>
              <w:pStyle w:val="TableParagraph"/>
              <w:spacing w:before="37"/>
              <w:rPr>
                <w:rFonts w:ascii="黑体" w:eastAsia="黑体" w:hint="eastAsia"/>
                <w:sz w:val="21"/>
              </w:rPr>
            </w:pPr>
            <w:r>
              <w:rPr>
                <w:rFonts w:ascii="黑体" w:eastAsia="黑体" w:hint="eastAsia"/>
                <w:sz w:val="21"/>
              </w:rPr>
              <w:t>(2)嗜酸性粒细胞性筋膜炎；</w:t>
            </w:r>
          </w:p>
          <w:p>
            <w:pPr>
              <w:pStyle w:val="TableParagraph"/>
              <w:spacing w:before="37"/>
              <w:rPr>
                <w:rFonts w:ascii="黑体" w:eastAsia="黑体" w:hint="eastAsia"/>
                <w:sz w:val="21"/>
              </w:rPr>
            </w:pPr>
            <w:r>
              <w:rPr>
                <w:rFonts w:ascii="黑体" w:eastAsia="黑体" w:hint="eastAsia"/>
                <w:sz w:val="21"/>
              </w:rPr>
              <w:t>(3)CREST 综合征。</w:t>
            </w:r>
          </w:p>
        </w:tc>
      </w:tr>
      <w:tr>
        <w:trPr>
          <w:trHeight w:val="3340" w:hRule="atLeast"/>
        </w:trPr>
        <w:tc>
          <w:tcPr>
            <w:tcW w:w="944" w:type="dxa"/>
          </w:tcPr>
          <w:p>
            <w:pPr>
              <w:pStyle w:val="TableParagraph"/>
              <w:spacing w:before="49"/>
              <w:ind w:left="0" w:right="106"/>
              <w:jc w:val="right"/>
              <w:rPr>
                <w:b/>
                <w:sz w:val="21"/>
              </w:rPr>
            </w:pPr>
            <w:r>
              <w:rPr>
                <w:b/>
                <w:sz w:val="21"/>
              </w:rPr>
              <w:t>8.1.33</w:t>
            </w:r>
          </w:p>
        </w:tc>
        <w:tc>
          <w:tcPr>
            <w:tcW w:w="1498" w:type="dxa"/>
          </w:tcPr>
          <w:p>
            <w:pPr>
              <w:pStyle w:val="TableParagraph"/>
              <w:spacing w:line="273" w:lineRule="auto" w:before="49"/>
              <w:ind w:left="108" w:right="120"/>
              <w:jc w:val="both"/>
              <w:rPr>
                <w:b/>
                <w:sz w:val="21"/>
              </w:rPr>
            </w:pPr>
            <w:r>
              <w:rPr>
                <w:b/>
                <w:sz w:val="21"/>
              </w:rPr>
              <w:t>经输血导致的人类免疫缺陷病毒感染</w:t>
            </w:r>
          </w:p>
        </w:tc>
        <w:tc>
          <w:tcPr>
            <w:tcW w:w="7394" w:type="dxa"/>
          </w:tcPr>
          <w:p>
            <w:pPr>
              <w:pStyle w:val="TableParagraph"/>
              <w:spacing w:before="49"/>
              <w:rPr>
                <w:sz w:val="21"/>
              </w:rPr>
            </w:pPr>
            <w:r>
              <w:rPr>
                <w:sz w:val="21"/>
              </w:rPr>
              <w:t>被保险人因输血而感染上人类免疫缺陷病毒（HIV）必须同时满足以下条件：</w:t>
            </w:r>
          </w:p>
          <w:p>
            <w:pPr>
              <w:pStyle w:val="TableParagraph"/>
              <w:spacing w:before="37"/>
              <w:ind w:left="122"/>
              <w:rPr>
                <w:sz w:val="21"/>
              </w:rPr>
            </w:pPr>
            <w:r>
              <w:rPr>
                <w:sz w:val="21"/>
              </w:rPr>
              <w:t>(1)在保障起始日或复效日之后，被保险人因输血而感染 HIV；</w:t>
            </w:r>
          </w:p>
          <w:p>
            <w:pPr>
              <w:pStyle w:val="TableParagraph"/>
              <w:spacing w:line="273" w:lineRule="auto" w:before="37"/>
              <w:ind w:left="122" w:right="3592"/>
              <w:rPr>
                <w:sz w:val="21"/>
              </w:rPr>
            </w:pPr>
            <w:r>
              <w:rPr>
                <w:sz w:val="21"/>
              </w:rPr>
              <w:t>(2)受感染的被保险人不是血友病患者； 以及下列条件(3)或(4)中的任意一条：</w:t>
            </w:r>
          </w:p>
          <w:p>
            <w:pPr>
              <w:pStyle w:val="TableParagraph"/>
              <w:spacing w:before="8"/>
              <w:ind w:left="122"/>
              <w:rPr>
                <w:sz w:val="21"/>
              </w:rPr>
            </w:pPr>
            <w:r>
              <w:rPr>
                <w:sz w:val="21"/>
              </w:rPr>
              <w:t>(3)提供输血治疗的输血中心或医院承认该项输血感染责任的证明；</w:t>
            </w:r>
          </w:p>
          <w:p>
            <w:pPr>
              <w:pStyle w:val="TableParagraph"/>
              <w:spacing w:line="273" w:lineRule="auto" w:before="37"/>
              <w:ind w:left="122" w:right="304"/>
              <w:rPr>
                <w:sz w:val="21"/>
              </w:rPr>
            </w:pPr>
            <w:r>
              <w:rPr>
                <w:sz w:val="21"/>
              </w:rPr>
              <w:t>(4)</w:t>
            </w:r>
            <w:r>
              <w:rPr>
                <w:spacing w:val="-7"/>
                <w:sz w:val="21"/>
              </w:rPr>
              <w:t>提供输血前一个月内 </w:t>
            </w:r>
            <w:r>
              <w:rPr>
                <w:sz w:val="21"/>
              </w:rPr>
              <w:t>HIV</w:t>
            </w:r>
            <w:r>
              <w:rPr>
                <w:spacing w:val="-12"/>
                <w:sz w:val="21"/>
              </w:rPr>
              <w:t> 检查阴性的报告、输血血液来源的证明以及输血</w:t>
            </w:r>
            <w:r>
              <w:rPr>
                <w:spacing w:val="-30"/>
                <w:sz w:val="21"/>
              </w:rPr>
              <w:t>后 </w:t>
            </w:r>
            <w:r>
              <w:rPr>
                <w:sz w:val="21"/>
              </w:rPr>
              <w:t>HIV</w:t>
            </w:r>
            <w:r>
              <w:rPr>
                <w:spacing w:val="-8"/>
                <w:sz w:val="21"/>
              </w:rPr>
              <w:t> 检查阳性的报告。</w:t>
            </w:r>
          </w:p>
          <w:p>
            <w:pPr>
              <w:pStyle w:val="TableParagraph"/>
              <w:spacing w:line="273" w:lineRule="auto" w:before="86"/>
              <w:ind w:left="122" w:right="332" w:hanging="1"/>
              <w:jc w:val="both"/>
              <w:rPr>
                <w:sz w:val="21"/>
              </w:rPr>
            </w:pPr>
            <w:r>
              <w:rPr>
                <w:rFonts w:ascii="黑体" w:eastAsia="黑体" w:hint="eastAsia"/>
                <w:spacing w:val="-3"/>
                <w:sz w:val="21"/>
              </w:rPr>
              <w:t>任何因其他传播方式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11"/>
                <w:sz w:val="21"/>
              </w:rPr>
              <w:t>导致的 </w:t>
            </w:r>
            <w:r>
              <w:rPr>
                <w:rFonts w:ascii="黑体" w:eastAsia="黑体" w:hint="eastAsia"/>
                <w:sz w:val="21"/>
              </w:rPr>
              <w:t>HIV</w:t>
            </w:r>
            <w:r>
              <w:rPr>
                <w:rFonts w:ascii="黑体" w:eastAsia="黑体" w:hint="eastAsia"/>
                <w:spacing w:val="-10"/>
                <w:sz w:val="21"/>
              </w:rPr>
              <w:t> 感染不在</w:t>
            </w:r>
            <w:r>
              <w:rPr>
                <w:rFonts w:ascii="黑体" w:eastAsia="黑体" w:hint="eastAsia"/>
                <w:spacing w:val="-5"/>
                <w:sz w:val="21"/>
              </w:rPr>
              <w:t>本保单保障范围内。</w:t>
            </w:r>
            <w:r>
              <w:rPr>
                <w:spacing w:val="-3"/>
                <w:sz w:val="21"/>
              </w:rPr>
              <w:t>保险公司必须拥有获得使用被保险人的所有血液样本的权利和能够对这些样本进行独立检验的权利。</w:t>
            </w:r>
          </w:p>
        </w:tc>
      </w:tr>
      <w:tr>
        <w:trPr>
          <w:trHeight w:val="1467" w:hRule="atLeast"/>
        </w:trPr>
        <w:tc>
          <w:tcPr>
            <w:tcW w:w="944" w:type="dxa"/>
          </w:tcPr>
          <w:p>
            <w:pPr>
              <w:pStyle w:val="TableParagraph"/>
              <w:spacing w:before="49"/>
              <w:ind w:left="0" w:right="106"/>
              <w:jc w:val="right"/>
              <w:rPr>
                <w:b/>
                <w:sz w:val="21"/>
              </w:rPr>
            </w:pPr>
            <w:r>
              <w:rPr>
                <w:b/>
                <w:sz w:val="21"/>
              </w:rPr>
              <w:t>8.1.34</w:t>
            </w:r>
          </w:p>
        </w:tc>
        <w:tc>
          <w:tcPr>
            <w:tcW w:w="1498" w:type="dxa"/>
          </w:tcPr>
          <w:p>
            <w:pPr>
              <w:pStyle w:val="TableParagraph"/>
              <w:spacing w:line="273" w:lineRule="auto" w:before="49"/>
              <w:ind w:left="108" w:right="120"/>
              <w:rPr>
                <w:b/>
                <w:sz w:val="21"/>
              </w:rPr>
            </w:pPr>
            <w:r>
              <w:rPr>
                <w:b/>
                <w:sz w:val="21"/>
              </w:rPr>
              <w:t>慢性复发性胰腺炎</w:t>
            </w:r>
          </w:p>
        </w:tc>
        <w:tc>
          <w:tcPr>
            <w:tcW w:w="7394" w:type="dxa"/>
          </w:tcPr>
          <w:p>
            <w:pPr>
              <w:pStyle w:val="TableParagraph"/>
              <w:spacing w:line="273" w:lineRule="auto" w:before="49"/>
              <w:ind w:right="332"/>
              <w:jc w:val="both"/>
              <w:rPr>
                <w:sz w:val="21"/>
              </w:rPr>
            </w:pPr>
            <w:r>
              <w:rPr>
                <w:sz w:val="21"/>
              </w:rPr>
              <w:t>胰腺炎反复发作超过三次以上并导致胰腺功能紊乱和营养不良，需要接受酶替代治疗。诊断必须有消化科专科医生确认并且有内窥镜逆行胰胆管造影所证实。</w:t>
            </w:r>
          </w:p>
          <w:p>
            <w:pPr>
              <w:pStyle w:val="TableParagraph"/>
              <w:spacing w:before="84"/>
              <w:jc w:val="both"/>
              <w:rPr>
                <w:rFonts w:ascii="黑体" w:eastAsia="黑体" w:hint="eastAsia"/>
                <w:sz w:val="21"/>
              </w:rPr>
            </w:pPr>
            <w:r>
              <w:rPr>
                <w:rFonts w:ascii="黑体" w:eastAsia="黑体" w:hint="eastAsia"/>
                <w:sz w:val="21"/>
              </w:rPr>
              <w:t>因酒精所致的慢性复发性胰腺炎除外。</w:t>
            </w:r>
          </w:p>
        </w:tc>
      </w:tr>
      <w:tr>
        <w:trPr>
          <w:trHeight w:val="2085" w:hRule="atLeast"/>
        </w:trPr>
        <w:tc>
          <w:tcPr>
            <w:tcW w:w="944" w:type="dxa"/>
          </w:tcPr>
          <w:p>
            <w:pPr>
              <w:pStyle w:val="TableParagraph"/>
              <w:spacing w:before="50"/>
              <w:ind w:left="0" w:right="106"/>
              <w:jc w:val="right"/>
              <w:rPr>
                <w:b/>
                <w:sz w:val="21"/>
              </w:rPr>
            </w:pPr>
            <w:r>
              <w:rPr>
                <w:b/>
                <w:sz w:val="21"/>
              </w:rPr>
              <w:t>8.1.35</w:t>
            </w:r>
          </w:p>
        </w:tc>
        <w:tc>
          <w:tcPr>
            <w:tcW w:w="1498" w:type="dxa"/>
          </w:tcPr>
          <w:p>
            <w:pPr>
              <w:pStyle w:val="TableParagraph"/>
              <w:spacing w:line="273" w:lineRule="auto" w:before="50"/>
              <w:ind w:left="108" w:right="120"/>
              <w:rPr>
                <w:b/>
                <w:sz w:val="21"/>
              </w:rPr>
            </w:pPr>
            <w:r>
              <w:rPr>
                <w:b/>
                <w:sz w:val="21"/>
              </w:rPr>
              <w:t>原发性硬化性胆管炎</w:t>
            </w:r>
          </w:p>
        </w:tc>
        <w:tc>
          <w:tcPr>
            <w:tcW w:w="7394" w:type="dxa"/>
          </w:tcPr>
          <w:p>
            <w:pPr>
              <w:pStyle w:val="TableParagraph"/>
              <w:spacing w:line="237" w:lineRule="auto" w:before="93"/>
              <w:ind w:right="200"/>
              <w:rPr>
                <w:sz w:val="21"/>
              </w:rPr>
            </w:pPr>
            <w:r>
              <w:rPr>
                <w:spacing w:val="-9"/>
                <w:sz w:val="21"/>
              </w:rPr>
              <w:t>指一种胆汁淤积综合征，其特征是肝内、肝外胆道因纤维化性炎症逐渐狭窄， 并最终导致完全阻塞而发展为肝硬化。本病须经内镜逆行胰胆管造影等影像</w:t>
            </w:r>
            <w:r>
              <w:rPr>
                <w:spacing w:val="-5"/>
                <w:sz w:val="21"/>
              </w:rPr>
              <w:t>学检查证实，并须满足下列全部条件：</w:t>
            </w:r>
          </w:p>
          <w:p>
            <w:pPr>
              <w:pStyle w:val="TableParagraph"/>
              <w:spacing w:line="272" w:lineRule="exact"/>
              <w:rPr>
                <w:sz w:val="21"/>
              </w:rPr>
            </w:pPr>
            <w:r>
              <w:rPr>
                <w:sz w:val="21"/>
              </w:rPr>
              <w:t>(1)总胆红素和直接胆红素同时升高，血清 ALP&gt;200U/L；</w:t>
            </w:r>
          </w:p>
          <w:p>
            <w:pPr>
              <w:pStyle w:val="TableParagraph"/>
              <w:spacing w:line="271" w:lineRule="exact"/>
              <w:ind w:left="122"/>
              <w:rPr>
                <w:sz w:val="21"/>
              </w:rPr>
            </w:pPr>
            <w:r>
              <w:rPr>
                <w:sz w:val="21"/>
              </w:rPr>
              <w:t>(2)持续性黄疸病史；</w:t>
            </w:r>
          </w:p>
          <w:p>
            <w:pPr>
              <w:pStyle w:val="TableParagraph"/>
              <w:spacing w:line="273" w:lineRule="exact"/>
              <w:ind w:left="122"/>
              <w:rPr>
                <w:sz w:val="21"/>
              </w:rPr>
            </w:pPr>
            <w:r>
              <w:rPr>
                <w:sz w:val="21"/>
              </w:rPr>
              <w:t>(3)出现胆汁性肝硬化或门脉高压。</w:t>
            </w:r>
          </w:p>
          <w:p>
            <w:pPr>
              <w:pStyle w:val="TableParagraph"/>
              <w:spacing w:line="264" w:lineRule="exact" w:before="78"/>
              <w:rPr>
                <w:rFonts w:ascii="黑体" w:eastAsia="黑体" w:hint="eastAsia"/>
                <w:sz w:val="21"/>
              </w:rPr>
            </w:pPr>
            <w:r>
              <w:rPr>
                <w:rFonts w:ascii="黑体" w:eastAsia="黑体" w:hint="eastAsia"/>
                <w:sz w:val="21"/>
              </w:rPr>
              <w:t>因肿瘤或胆管损伤等继发性的硬化性胆管炎不在保障范围内。</w:t>
            </w:r>
          </w:p>
        </w:tc>
      </w:tr>
    </w:tbl>
    <w:p>
      <w:pPr>
        <w:spacing w:after="0" w:line="264" w:lineRule="exact"/>
        <w:rPr>
          <w:rFonts w:ascii="黑体" w:eastAsia="黑体" w:hint="eastAsia"/>
          <w:sz w:val="21"/>
        </w:rPr>
        <w:sectPr>
          <w:pgSz w:w="11910" w:h="16840"/>
          <w:pgMar w:top="146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498"/>
        <w:gridCol w:w="7395"/>
      </w:tblGrid>
      <w:tr>
        <w:trPr>
          <w:trHeight w:val="1892" w:hRule="atLeast"/>
        </w:trPr>
        <w:tc>
          <w:tcPr>
            <w:tcW w:w="944" w:type="dxa"/>
          </w:tcPr>
          <w:p>
            <w:pPr>
              <w:pStyle w:val="TableParagraph"/>
              <w:spacing w:line="211" w:lineRule="exact"/>
              <w:ind w:left="200"/>
              <w:rPr>
                <w:b/>
                <w:sz w:val="21"/>
              </w:rPr>
            </w:pPr>
            <w:r>
              <w:rPr>
                <w:b/>
                <w:sz w:val="21"/>
              </w:rPr>
              <w:t>8.1.36</w:t>
            </w:r>
          </w:p>
        </w:tc>
        <w:tc>
          <w:tcPr>
            <w:tcW w:w="1498" w:type="dxa"/>
          </w:tcPr>
          <w:p>
            <w:pPr>
              <w:pStyle w:val="TableParagraph"/>
              <w:spacing w:line="211" w:lineRule="exact"/>
              <w:ind w:left="108"/>
              <w:rPr>
                <w:b/>
                <w:sz w:val="21"/>
              </w:rPr>
            </w:pPr>
            <w:r>
              <w:rPr>
                <w:b/>
                <w:sz w:val="21"/>
              </w:rPr>
              <w:t>全身性重症肌</w:t>
            </w:r>
          </w:p>
          <w:p>
            <w:pPr>
              <w:pStyle w:val="TableParagraph"/>
              <w:spacing w:before="37"/>
              <w:ind w:left="108"/>
              <w:rPr>
                <w:b/>
                <w:sz w:val="21"/>
              </w:rPr>
            </w:pPr>
            <w:r>
              <w:rPr>
                <w:b/>
                <w:sz w:val="21"/>
              </w:rPr>
              <w:t>无力</w:t>
            </w:r>
          </w:p>
        </w:tc>
        <w:tc>
          <w:tcPr>
            <w:tcW w:w="7395" w:type="dxa"/>
          </w:tcPr>
          <w:p>
            <w:pPr>
              <w:pStyle w:val="TableParagraph"/>
              <w:spacing w:line="211" w:lineRule="exact"/>
              <w:rPr>
                <w:sz w:val="21"/>
              </w:rPr>
            </w:pPr>
            <w:r>
              <w:rPr>
                <w:sz w:val="21"/>
              </w:rPr>
              <w:t>重症肌无力是一种神经肌肉接头传递障碍所致的疾病，表现为局部或全身骨</w:t>
            </w:r>
          </w:p>
          <w:p>
            <w:pPr>
              <w:pStyle w:val="TableParagraph"/>
              <w:spacing w:line="273" w:lineRule="auto" w:before="37"/>
              <w:ind w:right="333"/>
              <w:rPr>
                <w:sz w:val="21"/>
              </w:rPr>
            </w:pPr>
            <w:r>
              <w:rPr>
                <w:sz w:val="21"/>
              </w:rPr>
              <w:t>骼肌（特别是眼外肌）极易疲劳。疾病可以累及呼吸肌、上肢或下肢的近端肌群或全身肌肉，必须满足下列全部条件：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right="307"/>
              <w:rPr>
                <w:sz w:val="21"/>
              </w:rPr>
            </w:pPr>
            <w:r>
              <w:rPr>
                <w:sz w:val="21"/>
              </w:rPr>
              <w:t>(2)</w:t>
            </w:r>
            <w:r>
              <w:rPr>
                <w:spacing w:val="-10"/>
                <w:sz w:val="21"/>
              </w:rPr>
              <w:t>自主生活能力完全丧失，无法独立完成六项基本日常生活活动中的三项或</w:t>
            </w:r>
            <w:r>
              <w:rPr>
                <w:spacing w:val="-5"/>
                <w:sz w:val="21"/>
              </w:rPr>
              <w:t>三项以上。</w:t>
            </w:r>
          </w:p>
        </w:tc>
      </w:tr>
      <w:tr>
        <w:trPr>
          <w:trHeight w:val="3273" w:hRule="atLeast"/>
        </w:trPr>
        <w:tc>
          <w:tcPr>
            <w:tcW w:w="944" w:type="dxa"/>
          </w:tcPr>
          <w:p>
            <w:pPr>
              <w:pStyle w:val="TableParagraph"/>
              <w:spacing w:before="57"/>
              <w:ind w:left="200"/>
              <w:rPr>
                <w:b/>
                <w:sz w:val="21"/>
              </w:rPr>
            </w:pPr>
            <w:r>
              <w:rPr>
                <w:b/>
                <w:sz w:val="21"/>
              </w:rPr>
              <w:t>8.1.37</w:t>
            </w:r>
          </w:p>
        </w:tc>
        <w:tc>
          <w:tcPr>
            <w:tcW w:w="1498" w:type="dxa"/>
          </w:tcPr>
          <w:p>
            <w:pPr>
              <w:pStyle w:val="TableParagraph"/>
              <w:spacing w:line="273" w:lineRule="auto" w:before="57"/>
              <w:ind w:left="108" w:right="120"/>
              <w:rPr>
                <w:b/>
                <w:sz w:val="21"/>
              </w:rPr>
            </w:pPr>
            <w:r>
              <w:rPr>
                <w:b/>
                <w:sz w:val="21"/>
              </w:rPr>
              <w:t>严重类风湿性关节炎</w:t>
            </w:r>
          </w:p>
        </w:tc>
        <w:tc>
          <w:tcPr>
            <w:tcW w:w="7395" w:type="dxa"/>
          </w:tcPr>
          <w:p>
            <w:pPr>
              <w:pStyle w:val="TableParagraph"/>
              <w:spacing w:line="273" w:lineRule="auto" w:before="57"/>
              <w:ind w:right="199"/>
              <w:rPr>
                <w:sz w:val="21"/>
              </w:rPr>
            </w:pPr>
            <w:r>
              <w:rPr>
                <w:spacing w:val="-6"/>
                <w:sz w:val="21"/>
              </w:rPr>
              <w:t>类风湿性关节炎为广泛分布的慢性进行性多关节病变，表现为关节严重变形， </w:t>
            </w:r>
            <w:r>
              <w:rPr>
                <w:spacing w:val="-11"/>
                <w:sz w:val="21"/>
              </w:rPr>
              <w:t>侵犯至少三个主要关节或关节组，【如:双手(多手指)关节、双足(多足趾)关</w:t>
            </w:r>
            <w:r>
              <w:rPr>
                <w:spacing w:val="-16"/>
                <w:sz w:val="21"/>
              </w:rPr>
              <w:t>节、双腕关节、双膝关节和双髋关节】。被保人所患的类风湿性关节炎必须已</w:t>
            </w:r>
            <w:r>
              <w:rPr>
                <w:spacing w:val="-3"/>
                <w:sz w:val="21"/>
              </w:rPr>
              <w:t>经达到类风湿性关节炎功能分级Ⅲ级以上的功能障碍以及活动限制，并须满足下列全部条件：</w:t>
            </w:r>
          </w:p>
          <w:p>
            <w:pPr>
              <w:pStyle w:val="TableParagraph"/>
              <w:spacing w:before="7"/>
              <w:rPr>
                <w:sz w:val="21"/>
              </w:rPr>
            </w:pPr>
            <w:r>
              <w:rPr>
                <w:sz w:val="21"/>
              </w:rPr>
              <w:t>(1)晨僵；</w:t>
            </w:r>
          </w:p>
          <w:p>
            <w:pPr>
              <w:pStyle w:val="TableParagraph"/>
              <w:spacing w:before="37"/>
              <w:rPr>
                <w:sz w:val="21"/>
              </w:rPr>
            </w:pPr>
            <w:r>
              <w:rPr>
                <w:sz w:val="21"/>
              </w:rPr>
              <w:t>(2)对称性关节炎；</w:t>
            </w:r>
          </w:p>
          <w:p>
            <w:pPr>
              <w:pStyle w:val="TableParagraph"/>
              <w:spacing w:before="37"/>
              <w:rPr>
                <w:sz w:val="21"/>
              </w:rPr>
            </w:pPr>
            <w:r>
              <w:rPr>
                <w:sz w:val="21"/>
              </w:rPr>
              <w:t>(3)类风湿性皮下结节；</w:t>
            </w:r>
          </w:p>
          <w:p>
            <w:pPr>
              <w:pStyle w:val="TableParagraph"/>
              <w:spacing w:before="37"/>
              <w:rPr>
                <w:sz w:val="21"/>
              </w:rPr>
            </w:pPr>
            <w:r>
              <w:rPr>
                <w:sz w:val="21"/>
              </w:rPr>
              <w:t>(4)类风湿因子滴度升高；</w:t>
            </w:r>
          </w:p>
          <w:p>
            <w:pPr>
              <w:pStyle w:val="TableParagraph"/>
              <w:spacing w:before="37"/>
              <w:rPr>
                <w:sz w:val="21"/>
              </w:rPr>
            </w:pPr>
            <w:r>
              <w:rPr>
                <w:sz w:val="21"/>
              </w:rPr>
              <w:t>(5)X 线显示严重的关节</w:t>
            </w:r>
            <w:r>
              <w:rPr>
                <w:rFonts w:ascii="Calibri" w:eastAsia="Calibri"/>
                <w:sz w:val="21"/>
              </w:rPr>
              <w:t>(</w:t>
            </w:r>
            <w:r>
              <w:rPr>
                <w:sz w:val="21"/>
              </w:rPr>
              <w:t>软骨和骨</w:t>
            </w:r>
            <w:r>
              <w:rPr>
                <w:rFonts w:ascii="Calibri" w:eastAsia="Calibri"/>
                <w:sz w:val="21"/>
              </w:rPr>
              <w:t>)</w:t>
            </w:r>
            <w:r>
              <w:rPr>
                <w:sz w:val="21"/>
              </w:rPr>
              <w:t>破坏和关节畸形。</w:t>
            </w:r>
          </w:p>
        </w:tc>
      </w:tr>
      <w:tr>
        <w:trPr>
          <w:trHeight w:val="1378" w:hRule="atLeast"/>
        </w:trPr>
        <w:tc>
          <w:tcPr>
            <w:tcW w:w="944" w:type="dxa"/>
          </w:tcPr>
          <w:p>
            <w:pPr>
              <w:pStyle w:val="TableParagraph"/>
              <w:spacing w:before="46"/>
              <w:ind w:left="200"/>
              <w:rPr>
                <w:b/>
                <w:sz w:val="21"/>
              </w:rPr>
            </w:pPr>
            <w:r>
              <w:rPr>
                <w:b/>
                <w:sz w:val="21"/>
              </w:rPr>
              <w:t>8.1.38</w:t>
            </w:r>
          </w:p>
        </w:tc>
        <w:tc>
          <w:tcPr>
            <w:tcW w:w="1498" w:type="dxa"/>
          </w:tcPr>
          <w:p>
            <w:pPr>
              <w:pStyle w:val="TableParagraph"/>
              <w:spacing w:line="273" w:lineRule="auto" w:before="46"/>
              <w:ind w:left="108" w:right="120"/>
              <w:rPr>
                <w:b/>
                <w:sz w:val="21"/>
              </w:rPr>
            </w:pPr>
            <w:r>
              <w:rPr>
                <w:b/>
                <w:sz w:val="21"/>
              </w:rPr>
              <w:t>严重溃疡性结肠炎</w:t>
            </w:r>
          </w:p>
        </w:tc>
        <w:tc>
          <w:tcPr>
            <w:tcW w:w="7395" w:type="dxa"/>
          </w:tcPr>
          <w:p>
            <w:pPr>
              <w:pStyle w:val="TableParagraph"/>
              <w:spacing w:line="273" w:lineRule="auto" w:before="46"/>
              <w:ind w:right="199"/>
              <w:rPr>
                <w:sz w:val="21"/>
              </w:rPr>
            </w:pPr>
            <w:r>
              <w:rPr>
                <w:spacing w:val="-3"/>
                <w:sz w:val="21"/>
              </w:rPr>
              <w:t>是指伴有致命性电解质紊乱的急性暴发性溃疡性结肠炎，病变累及全结肠， </w:t>
            </w:r>
            <w:r>
              <w:rPr>
                <w:spacing w:val="-8"/>
                <w:sz w:val="21"/>
              </w:rPr>
              <w:t>表现为严重的血便和系统性症状体征，已经造成瘘管并伴有肠梗阻或肠穿孔， </w:t>
            </w:r>
            <w:r>
              <w:rPr>
                <w:spacing w:val="-5"/>
                <w:sz w:val="21"/>
              </w:rPr>
              <w:t>治疗通常采取全结肠切除和回肠造瘘术。溃疡性结肠炎必须根据组织病理学</w:t>
            </w:r>
            <w:r>
              <w:rPr>
                <w:spacing w:val="-4"/>
                <w:sz w:val="21"/>
              </w:rPr>
              <w:t>特点诊断，并且被保险人已经接受了结肠切除和回肠造瘘术。</w:t>
            </w:r>
          </w:p>
        </w:tc>
      </w:tr>
      <w:tr>
        <w:trPr>
          <w:trHeight w:val="1390" w:hRule="atLeast"/>
        </w:trPr>
        <w:tc>
          <w:tcPr>
            <w:tcW w:w="944" w:type="dxa"/>
          </w:tcPr>
          <w:p>
            <w:pPr>
              <w:pStyle w:val="TableParagraph"/>
              <w:spacing w:before="57"/>
              <w:ind w:left="200"/>
              <w:rPr>
                <w:b/>
                <w:sz w:val="21"/>
              </w:rPr>
            </w:pPr>
            <w:r>
              <w:rPr>
                <w:b/>
                <w:sz w:val="21"/>
              </w:rPr>
              <w:t>8.1.39</w:t>
            </w:r>
          </w:p>
        </w:tc>
        <w:tc>
          <w:tcPr>
            <w:tcW w:w="1498" w:type="dxa"/>
          </w:tcPr>
          <w:p>
            <w:pPr>
              <w:pStyle w:val="TableParagraph"/>
              <w:spacing w:before="57"/>
              <w:ind w:left="108"/>
              <w:rPr>
                <w:b/>
                <w:sz w:val="21"/>
              </w:rPr>
            </w:pPr>
            <w:r>
              <w:rPr>
                <w:b/>
                <w:sz w:val="21"/>
              </w:rPr>
              <w:t>去皮质综合征</w:t>
            </w:r>
          </w:p>
          <w:p>
            <w:pPr>
              <w:pStyle w:val="TableParagraph"/>
              <w:spacing w:line="273" w:lineRule="auto" w:before="36"/>
              <w:ind w:left="108" w:right="333"/>
              <w:rPr>
                <w:b/>
                <w:sz w:val="21"/>
              </w:rPr>
            </w:pPr>
            <w:r>
              <w:rPr>
                <w:b/>
                <w:sz w:val="21"/>
              </w:rPr>
              <w:t>（植物人状态）</w:t>
            </w:r>
          </w:p>
        </w:tc>
        <w:tc>
          <w:tcPr>
            <w:tcW w:w="7395" w:type="dxa"/>
          </w:tcPr>
          <w:p>
            <w:pPr>
              <w:pStyle w:val="TableParagraph"/>
              <w:spacing w:line="273" w:lineRule="auto" w:before="57"/>
              <w:ind w:right="301"/>
              <w:jc w:val="both"/>
              <w:rPr>
                <w:sz w:val="21"/>
              </w:rPr>
            </w:pPr>
            <w:r>
              <w:rPr>
                <w:sz w:val="21"/>
              </w:rPr>
              <w:t>是指脑皮质广泛性坏死而导致对自身及周边的认知能力完全丧失,但脑干功</w:t>
            </w:r>
            <w:r>
              <w:rPr>
                <w:spacing w:val="-1"/>
                <w:w w:val="100"/>
                <w:sz w:val="21"/>
              </w:rPr>
              <w:t>能依然存在。须由头颅断层扫描</w:t>
            </w:r>
            <w:r>
              <w:rPr>
                <w:w w:val="100"/>
                <w:sz w:val="21"/>
              </w:rPr>
              <w:t>（CT</w:t>
            </w:r>
            <w:r>
              <w:rPr>
                <w:spacing w:val="-104"/>
                <w:w w:val="100"/>
                <w:sz w:val="21"/>
              </w:rPr>
              <w:t>）</w:t>
            </w:r>
            <w:r>
              <w:rPr>
                <w:spacing w:val="-3"/>
                <w:w w:val="100"/>
                <w:sz w:val="21"/>
              </w:rPr>
              <w:t>，核磁共振检查</w:t>
            </w:r>
            <w:r>
              <w:rPr>
                <w:w w:val="100"/>
                <w:sz w:val="21"/>
              </w:rPr>
              <w:t>（MRI）</w:t>
            </w:r>
            <w:r>
              <w:rPr>
                <w:spacing w:val="-1"/>
                <w:w w:val="100"/>
                <w:sz w:val="21"/>
              </w:rPr>
              <w:t>或正电子发射</w:t>
            </w:r>
            <w:r>
              <w:rPr>
                <w:spacing w:val="-2"/>
                <w:sz w:val="21"/>
              </w:rPr>
              <w:t>断层扫描</w:t>
            </w:r>
            <w:r>
              <w:rPr>
                <w:sz w:val="21"/>
              </w:rPr>
              <w:t>（PET）</w:t>
            </w:r>
            <w:r>
              <w:rPr>
                <w:spacing w:val="-5"/>
                <w:sz w:val="21"/>
              </w:rPr>
              <w:t>等影像学检查证实。上述情况必须持续至少 </w:t>
            </w:r>
            <w:r>
              <w:rPr>
                <w:sz w:val="21"/>
              </w:rPr>
              <w:t>90</w:t>
            </w:r>
            <w:r>
              <w:rPr>
                <w:spacing w:val="-8"/>
                <w:sz w:val="21"/>
              </w:rPr>
              <w:t> 天且有相应</w:t>
            </w:r>
            <w:r>
              <w:rPr>
                <w:spacing w:val="-3"/>
                <w:sz w:val="21"/>
              </w:rPr>
              <w:t>的病历记录加以证实。</w:t>
            </w:r>
          </w:p>
        </w:tc>
      </w:tr>
      <w:tr>
        <w:trPr>
          <w:trHeight w:val="3559" w:hRule="atLeast"/>
        </w:trPr>
        <w:tc>
          <w:tcPr>
            <w:tcW w:w="944" w:type="dxa"/>
          </w:tcPr>
          <w:p>
            <w:pPr>
              <w:pStyle w:val="TableParagraph"/>
              <w:spacing w:before="58"/>
              <w:ind w:left="200"/>
              <w:rPr>
                <w:b/>
                <w:sz w:val="21"/>
              </w:rPr>
            </w:pPr>
            <w:r>
              <w:rPr>
                <w:b/>
                <w:sz w:val="21"/>
              </w:rPr>
              <w:t>8.1.40</w:t>
            </w:r>
          </w:p>
        </w:tc>
        <w:tc>
          <w:tcPr>
            <w:tcW w:w="1498" w:type="dxa"/>
          </w:tcPr>
          <w:p>
            <w:pPr>
              <w:pStyle w:val="TableParagraph"/>
              <w:spacing w:line="273" w:lineRule="auto" w:before="58"/>
              <w:ind w:left="108" w:right="120"/>
              <w:rPr>
                <w:b/>
                <w:sz w:val="21"/>
              </w:rPr>
            </w:pPr>
            <w:r>
              <w:rPr>
                <w:b/>
                <w:sz w:val="21"/>
              </w:rPr>
              <w:t>系统性红斑狼疮——III 型</w:t>
            </w:r>
          </w:p>
          <w:p>
            <w:pPr>
              <w:pStyle w:val="TableParagraph"/>
              <w:spacing w:line="273" w:lineRule="auto" w:before="7"/>
              <w:ind w:left="108" w:right="120"/>
              <w:rPr>
                <w:b/>
                <w:sz w:val="21"/>
              </w:rPr>
            </w:pPr>
            <w:r>
              <w:rPr>
                <w:b/>
                <w:sz w:val="21"/>
              </w:rPr>
              <w:t>或以上狼疮性肾炎</w:t>
            </w:r>
          </w:p>
        </w:tc>
        <w:tc>
          <w:tcPr>
            <w:tcW w:w="7395" w:type="dxa"/>
          </w:tcPr>
          <w:p>
            <w:pPr>
              <w:pStyle w:val="TableParagraph"/>
              <w:spacing w:line="237" w:lineRule="auto" w:before="102"/>
              <w:ind w:right="306"/>
              <w:jc w:val="both"/>
              <w:rPr>
                <w:rFonts w:ascii="黑体" w:eastAsia="黑体" w:hint="eastAsia"/>
                <w:sz w:val="21"/>
              </w:rPr>
            </w:pPr>
            <w:r>
              <w:rPr>
                <w:spacing w:val="-2"/>
                <w:sz w:val="21"/>
              </w:rPr>
              <w:t>系统性红斑狼疮是由多种因素引起，累及多系统的自身免疫性疾病。其特点</w:t>
            </w:r>
            <w:r>
              <w:rPr>
                <w:spacing w:val="-3"/>
                <w:sz w:val="21"/>
              </w:rPr>
              <w:t>是生成自身抗体对抗多种自身抗原。多见于育龄妇女。本保单所指的系统性红斑狼疮仅限于累及肾脏</w:t>
            </w:r>
            <w:r>
              <w:rPr>
                <w:sz w:val="21"/>
              </w:rPr>
              <w:t>（</w:t>
            </w:r>
            <w:r>
              <w:rPr>
                <w:spacing w:val="-5"/>
                <w:sz w:val="21"/>
              </w:rPr>
              <w:t>经肾脏活检确认的，符合 </w:t>
            </w:r>
            <w:r>
              <w:rPr>
                <w:sz w:val="21"/>
              </w:rPr>
              <w:t>WHO</w:t>
            </w:r>
            <w:r>
              <w:rPr>
                <w:spacing w:val="-7"/>
                <w:sz w:val="21"/>
              </w:rPr>
              <w:t> 诊断标准定义 </w:t>
            </w:r>
            <w:r>
              <w:rPr>
                <w:sz w:val="21"/>
              </w:rPr>
              <w:t>III </w:t>
            </w:r>
            <w:r>
              <w:rPr>
                <w:spacing w:val="-7"/>
                <w:sz w:val="21"/>
              </w:rPr>
              <w:t>型或 </w:t>
            </w:r>
            <w:r>
              <w:rPr>
                <w:sz w:val="21"/>
              </w:rPr>
              <w:t>III</w:t>
            </w:r>
            <w:r>
              <w:rPr>
                <w:spacing w:val="-6"/>
                <w:sz w:val="21"/>
              </w:rPr>
              <w:t> 型以上狼疮性肾炎</w:t>
            </w:r>
            <w:r>
              <w:rPr>
                <w:sz w:val="21"/>
              </w:rPr>
              <w:t>）</w:t>
            </w:r>
            <w:r>
              <w:rPr>
                <w:spacing w:val="-3"/>
                <w:sz w:val="21"/>
              </w:rPr>
              <w:t>的系统性红斑狼疮。</w:t>
            </w:r>
            <w:r>
              <w:rPr>
                <w:rFonts w:ascii="黑体" w:eastAsia="黑体" w:hint="eastAsia"/>
                <w:spacing w:val="-3"/>
                <w:sz w:val="21"/>
              </w:rPr>
              <w:t>其他类型的红斑性狼疮， 如盘状狼疮、仅累及血液及关节的狼疮不在本保单保障范围內。</w:t>
            </w:r>
          </w:p>
          <w:p>
            <w:pPr>
              <w:pStyle w:val="TableParagraph"/>
              <w:spacing w:line="274" w:lineRule="exact" w:before="78"/>
              <w:jc w:val="both"/>
              <w:rPr>
                <w:sz w:val="21"/>
              </w:rPr>
            </w:pPr>
            <w:r>
              <w:rPr>
                <w:sz w:val="21"/>
              </w:rPr>
              <w:t>世界卫生组织(WHO)狼疮性肾炎分型：</w:t>
            </w:r>
          </w:p>
          <w:p>
            <w:pPr>
              <w:pStyle w:val="TableParagraph"/>
              <w:spacing w:line="272" w:lineRule="exact"/>
              <w:ind w:left="122"/>
              <w:jc w:val="both"/>
              <w:rPr>
                <w:sz w:val="21"/>
              </w:rPr>
            </w:pPr>
            <w:r>
              <w:rPr>
                <w:sz w:val="21"/>
              </w:rPr>
              <w:t>Ⅰ型     微小病变型</w:t>
            </w:r>
          </w:p>
          <w:p>
            <w:pPr>
              <w:pStyle w:val="TableParagraph"/>
              <w:spacing w:line="272" w:lineRule="exact"/>
              <w:ind w:left="122"/>
              <w:jc w:val="both"/>
              <w:rPr>
                <w:sz w:val="21"/>
              </w:rPr>
            </w:pPr>
            <w:r>
              <w:rPr>
                <w:sz w:val="21"/>
              </w:rPr>
              <w:t>Ⅱ型     系膜病变型</w:t>
            </w:r>
          </w:p>
          <w:p>
            <w:pPr>
              <w:pStyle w:val="TableParagraph"/>
              <w:spacing w:line="272" w:lineRule="exact"/>
              <w:ind w:left="122"/>
              <w:jc w:val="both"/>
              <w:rPr>
                <w:sz w:val="21"/>
              </w:rPr>
            </w:pPr>
            <w:r>
              <w:rPr>
                <w:sz w:val="21"/>
              </w:rPr>
              <w:t>Ⅲ型     局灶及节段增生型</w:t>
            </w:r>
          </w:p>
          <w:p>
            <w:pPr>
              <w:pStyle w:val="TableParagraph"/>
              <w:spacing w:line="272" w:lineRule="exact"/>
              <w:ind w:left="122"/>
              <w:jc w:val="both"/>
              <w:rPr>
                <w:sz w:val="21"/>
              </w:rPr>
            </w:pPr>
            <w:r>
              <w:rPr>
                <w:sz w:val="21"/>
              </w:rPr>
              <w:t>Ⅳ型     弥漫增生型</w:t>
            </w:r>
          </w:p>
          <w:p>
            <w:pPr>
              <w:pStyle w:val="TableParagraph"/>
              <w:spacing w:line="272" w:lineRule="exact"/>
              <w:ind w:left="122"/>
              <w:jc w:val="both"/>
              <w:rPr>
                <w:sz w:val="21"/>
              </w:rPr>
            </w:pPr>
            <w:r>
              <w:rPr>
                <w:sz w:val="21"/>
              </w:rPr>
              <w:t>Ⅴ 型   膜 型</w:t>
            </w:r>
          </w:p>
          <w:p>
            <w:pPr>
              <w:pStyle w:val="TableParagraph"/>
              <w:spacing w:line="273" w:lineRule="exact"/>
              <w:ind w:left="122"/>
              <w:jc w:val="both"/>
              <w:rPr>
                <w:sz w:val="21"/>
              </w:rPr>
            </w:pPr>
            <w:r>
              <w:rPr>
                <w:sz w:val="21"/>
              </w:rPr>
              <w:t>Ⅵ型     肾小球硬化型</w:t>
            </w:r>
          </w:p>
        </w:tc>
      </w:tr>
      <w:tr>
        <w:trPr>
          <w:trHeight w:val="1960" w:hRule="atLeast"/>
        </w:trPr>
        <w:tc>
          <w:tcPr>
            <w:tcW w:w="944" w:type="dxa"/>
          </w:tcPr>
          <w:p>
            <w:pPr>
              <w:pStyle w:val="TableParagraph"/>
              <w:spacing w:before="49"/>
              <w:ind w:left="200"/>
              <w:rPr>
                <w:b/>
                <w:sz w:val="21"/>
              </w:rPr>
            </w:pPr>
            <w:r>
              <w:rPr>
                <w:b/>
                <w:sz w:val="21"/>
              </w:rPr>
              <w:t>8.2</w:t>
            </w:r>
          </w:p>
        </w:tc>
        <w:tc>
          <w:tcPr>
            <w:tcW w:w="1498" w:type="dxa"/>
          </w:tcPr>
          <w:p>
            <w:pPr>
              <w:pStyle w:val="TableParagraph"/>
              <w:spacing w:line="273" w:lineRule="auto" w:before="49"/>
              <w:ind w:left="108" w:right="120"/>
              <w:rPr>
                <w:b/>
                <w:sz w:val="21"/>
              </w:rPr>
            </w:pPr>
            <w:r>
              <w:rPr>
                <w:b/>
                <w:sz w:val="21"/>
              </w:rPr>
              <w:t>定义来源及确诊医院范围</w:t>
            </w:r>
          </w:p>
        </w:tc>
        <w:tc>
          <w:tcPr>
            <w:tcW w:w="7395" w:type="dxa"/>
          </w:tcPr>
          <w:p>
            <w:pPr>
              <w:pStyle w:val="TableParagraph"/>
              <w:spacing w:line="273" w:lineRule="auto" w:before="49"/>
              <w:ind w:left="122" w:right="204" w:hanging="1"/>
              <w:rPr>
                <w:sz w:val="21"/>
              </w:rPr>
            </w:pPr>
            <w:r>
              <w:rPr>
                <w:spacing w:val="-7"/>
                <w:sz w:val="21"/>
              </w:rPr>
              <w:t>以上“</w:t>
            </w:r>
            <w:r>
              <w:rPr>
                <w:sz w:val="21"/>
              </w:rPr>
              <w:t>8.1.1</w:t>
            </w:r>
            <w:r>
              <w:rPr>
                <w:spacing w:val="-7"/>
                <w:sz w:val="21"/>
              </w:rPr>
              <w:t> 恶性肿瘤”至“</w:t>
            </w:r>
            <w:r>
              <w:rPr>
                <w:sz w:val="21"/>
              </w:rPr>
              <w:t>8.1.25</w:t>
            </w:r>
            <w:r>
              <w:rPr>
                <w:spacing w:val="-4"/>
                <w:sz w:val="21"/>
              </w:rPr>
              <w:t> 主动脉手术”所列重大疾病定义根据中</w:t>
            </w:r>
            <w:r>
              <w:rPr>
                <w:spacing w:val="-8"/>
                <w:sz w:val="21"/>
              </w:rPr>
              <w:t>国保险行业协会 </w:t>
            </w:r>
            <w:r>
              <w:rPr>
                <w:sz w:val="21"/>
              </w:rPr>
              <w:t>2007</w:t>
            </w:r>
            <w:r>
              <w:rPr>
                <w:spacing w:val="-4"/>
                <w:sz w:val="21"/>
              </w:rPr>
              <w:t> 年公布的《重大疾病保险的疾病定义使用规范》作出， </w:t>
            </w:r>
            <w:r>
              <w:rPr>
                <w:spacing w:val="-3"/>
                <w:sz w:val="21"/>
              </w:rPr>
              <w:t>其他重大疾病由本公司增加，其定义由本公司根据通行的医学标准制定。</w:t>
            </w:r>
          </w:p>
          <w:p>
            <w:pPr>
              <w:pStyle w:val="TableParagraph"/>
              <w:spacing w:line="310" w:lineRule="atLeast" w:before="49"/>
              <w:ind w:right="204"/>
              <w:rPr>
                <w:rFonts w:ascii="黑体" w:eastAsia="黑体" w:hint="eastAsia"/>
                <w:sz w:val="21"/>
              </w:rPr>
            </w:pPr>
            <w:r>
              <w:rPr>
                <w:rFonts w:ascii="黑体" w:eastAsia="黑体" w:hint="eastAsia"/>
                <w:spacing w:val="-1"/>
                <w:sz w:val="21"/>
              </w:rPr>
              <w:t>以上重大疾病，除严重原发性心肌病须在卫</w:t>
            </w:r>
            <w:r>
              <w:rPr>
                <w:rFonts w:ascii="黑体" w:eastAsia="黑体" w:hint="eastAsia"/>
                <w:sz w:val="21"/>
              </w:rPr>
              <w:t>Th</w:t>
            </w:r>
            <w:r>
              <w:rPr>
                <w:rFonts w:ascii="黑体" w:eastAsia="黑体" w:hint="eastAsia"/>
                <w:spacing w:val="-2"/>
                <w:sz w:val="21"/>
              </w:rPr>
              <w:t>行政部门认定的三级以上</w:t>
            </w:r>
            <w:r>
              <w:rPr>
                <w:rFonts w:ascii="黑体" w:eastAsia="黑体" w:hint="eastAsia"/>
                <w:sz w:val="21"/>
              </w:rPr>
              <w:t>（含</w:t>
            </w:r>
            <w:r>
              <w:rPr>
                <w:rFonts w:ascii="黑体" w:eastAsia="黑体" w:hint="eastAsia"/>
                <w:spacing w:val="-2"/>
                <w:sz w:val="21"/>
              </w:rPr>
              <w:t>三级</w:t>
            </w:r>
            <w:r>
              <w:rPr>
                <w:rFonts w:ascii="黑体" w:eastAsia="黑体" w:hint="eastAsia"/>
                <w:spacing w:val="-25"/>
                <w:sz w:val="21"/>
              </w:rPr>
              <w:t>）</w:t>
            </w:r>
            <w:r>
              <w:rPr>
                <w:rFonts w:ascii="黑体" w:eastAsia="黑体" w:hint="eastAsia"/>
                <w:spacing w:val="-7"/>
                <w:sz w:val="21"/>
              </w:rPr>
              <w:t>医院确诊外，其他疾病均须在卫</w:t>
            </w:r>
            <w:r>
              <w:rPr>
                <w:rFonts w:ascii="黑体" w:eastAsia="黑体" w:hint="eastAsia"/>
                <w:sz w:val="21"/>
              </w:rPr>
              <w:t>Th</w:t>
            </w:r>
            <w:r>
              <w:rPr>
                <w:rFonts w:ascii="黑体" w:eastAsia="黑体" w:hint="eastAsia"/>
                <w:spacing w:val="-5"/>
                <w:sz w:val="21"/>
              </w:rPr>
              <w:t>行政部门认定的二级以上</w:t>
            </w:r>
            <w:r>
              <w:rPr>
                <w:rFonts w:ascii="黑体" w:eastAsia="黑体" w:hint="eastAsia"/>
                <w:spacing w:val="-3"/>
                <w:sz w:val="21"/>
              </w:rPr>
              <w:t>（含二级） </w:t>
            </w:r>
            <w:r>
              <w:rPr>
                <w:rFonts w:ascii="黑体" w:eastAsia="黑体" w:hint="eastAsia"/>
                <w:spacing w:val="-1"/>
                <w:sz w:val="21"/>
              </w:rPr>
              <w:t>医院确诊。</w:t>
            </w:r>
          </w:p>
        </w:tc>
      </w:tr>
    </w:tbl>
    <w:p>
      <w:pPr>
        <w:spacing w:after="0" w:line="310" w:lineRule="atLeast"/>
        <w:rPr>
          <w:rFonts w:ascii="黑体" w:eastAsia="黑体" w:hint="eastAsia"/>
          <w:sz w:val="21"/>
        </w:rPr>
        <w:sectPr>
          <w:pgSz w:w="11910" w:h="16840"/>
          <w:pgMar w:top="1580" w:bottom="280" w:left="98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1"/>
        <w:gridCol w:w="1604"/>
        <w:gridCol w:w="7216"/>
      </w:tblGrid>
      <w:tr>
        <w:trPr>
          <w:trHeight w:val="311" w:hRule="atLeast"/>
        </w:trPr>
        <w:tc>
          <w:tcPr>
            <w:tcW w:w="721" w:type="dxa"/>
            <w:shd w:val="clear" w:color="auto" w:fill="DADADA"/>
          </w:tcPr>
          <w:p>
            <w:pPr>
              <w:pStyle w:val="TableParagraph"/>
              <w:spacing w:line="262" w:lineRule="exact"/>
              <w:ind w:left="108"/>
              <w:rPr>
                <w:b/>
                <w:sz w:val="21"/>
              </w:rPr>
            </w:pPr>
            <w:r>
              <w:rPr>
                <w:b/>
                <w:sz w:val="21"/>
              </w:rPr>
              <w:t>9．</w:t>
            </w:r>
          </w:p>
        </w:tc>
        <w:tc>
          <w:tcPr>
            <w:tcW w:w="1604" w:type="dxa"/>
            <w:shd w:val="clear" w:color="auto" w:fill="DADADA"/>
          </w:tcPr>
          <w:p>
            <w:pPr>
              <w:pStyle w:val="TableParagraph"/>
              <w:spacing w:line="262" w:lineRule="exact"/>
              <w:ind w:left="239"/>
              <w:rPr>
                <w:b/>
                <w:sz w:val="21"/>
              </w:rPr>
            </w:pPr>
            <w:r>
              <w:rPr>
                <w:b/>
                <w:sz w:val="21"/>
              </w:rPr>
              <w:t>释义</w:t>
            </w:r>
          </w:p>
        </w:tc>
        <w:tc>
          <w:tcPr>
            <w:tcW w:w="7216" w:type="dxa"/>
            <w:shd w:val="clear" w:color="auto" w:fill="DADADA"/>
          </w:tcPr>
          <w:p>
            <w:pPr>
              <w:pStyle w:val="TableParagraph"/>
              <w:ind w:left="0"/>
              <w:rPr>
                <w:rFonts w:ascii="Times New Roman"/>
                <w:sz w:val="20"/>
              </w:rPr>
            </w:pPr>
          </w:p>
        </w:tc>
      </w:tr>
      <w:tr>
        <w:trPr>
          <w:trHeight w:val="1851" w:hRule="atLeast"/>
        </w:trPr>
        <w:tc>
          <w:tcPr>
            <w:tcW w:w="721" w:type="dxa"/>
          </w:tcPr>
          <w:p>
            <w:pPr>
              <w:pStyle w:val="TableParagraph"/>
              <w:spacing w:before="129"/>
              <w:ind w:left="108"/>
              <w:rPr>
                <w:b/>
                <w:sz w:val="21"/>
              </w:rPr>
            </w:pPr>
            <w:r>
              <w:rPr>
                <w:b/>
                <w:sz w:val="21"/>
              </w:rPr>
              <w:t>9.1</w:t>
            </w:r>
          </w:p>
        </w:tc>
        <w:tc>
          <w:tcPr>
            <w:tcW w:w="1604" w:type="dxa"/>
          </w:tcPr>
          <w:p>
            <w:pPr>
              <w:pStyle w:val="TableParagraph"/>
              <w:spacing w:before="129"/>
              <w:ind w:left="191"/>
              <w:rPr>
                <w:b/>
                <w:sz w:val="21"/>
              </w:rPr>
            </w:pPr>
            <w:r>
              <w:rPr>
                <w:b/>
                <w:sz w:val="21"/>
              </w:rPr>
              <w:t>意外伤害</w:t>
            </w:r>
          </w:p>
        </w:tc>
        <w:tc>
          <w:tcPr>
            <w:tcW w:w="7216" w:type="dxa"/>
          </w:tcPr>
          <w:p>
            <w:pPr>
              <w:pStyle w:val="TableParagraph"/>
              <w:spacing w:line="273" w:lineRule="auto" w:before="129"/>
              <w:ind w:left="146" w:right="102"/>
              <w:jc w:val="both"/>
              <w:rPr>
                <w:sz w:val="21"/>
              </w:rPr>
            </w:pPr>
            <w:r>
              <w:rPr>
                <w:sz w:val="21"/>
              </w:rPr>
              <w:t>指遭受外来的、突发的、非本意的、非疾病的客观事件直接致使身体受到的伤害。</w:t>
            </w:r>
          </w:p>
          <w:p>
            <w:pPr>
              <w:pStyle w:val="TableParagraph"/>
              <w:spacing w:line="273" w:lineRule="auto" w:before="84"/>
              <w:ind w:left="146" w:right="101"/>
              <w:jc w:val="both"/>
              <w:rPr>
                <w:sz w:val="21"/>
              </w:rPr>
            </w:pPr>
            <w:r>
              <w:rPr>
                <w:spacing w:val="-5"/>
                <w:sz w:val="21"/>
              </w:rPr>
              <w:t>本合同所述的意外伤害导致的身故，</w:t>
            </w:r>
            <w:r>
              <w:rPr>
                <w:rFonts w:ascii="黑体" w:hAnsi="黑体" w:eastAsia="黑体" w:hint="eastAsia"/>
                <w:spacing w:val="-3"/>
                <w:sz w:val="21"/>
              </w:rPr>
              <w:t>不包括猝死</w:t>
            </w:r>
            <w:r>
              <w:rPr>
                <w:spacing w:val="-16"/>
                <w:sz w:val="21"/>
              </w:rPr>
              <w:t>。“猝死”是指貌似健康的人</w:t>
            </w:r>
            <w:r>
              <w:rPr>
                <w:spacing w:val="-7"/>
                <w:sz w:val="21"/>
              </w:rPr>
              <w:t>因潜在疾病、机能障碍或其他原因在出现症状后</w:t>
            </w:r>
            <w:r>
              <w:rPr>
                <w:sz w:val="21"/>
              </w:rPr>
              <w:t>24</w:t>
            </w:r>
            <w:r>
              <w:rPr>
                <w:spacing w:val="-3"/>
                <w:sz w:val="21"/>
              </w:rPr>
              <w:t>小时内发生的非暴力性突</w:t>
            </w:r>
            <w:r>
              <w:rPr>
                <w:spacing w:val="-1"/>
                <w:sz w:val="21"/>
              </w:rPr>
              <w:t>然死亡。</w:t>
            </w:r>
          </w:p>
        </w:tc>
      </w:tr>
      <w:tr>
        <w:trPr>
          <w:trHeight w:val="1390" w:hRule="atLeast"/>
        </w:trPr>
        <w:tc>
          <w:tcPr>
            <w:tcW w:w="721" w:type="dxa"/>
          </w:tcPr>
          <w:p>
            <w:pPr>
              <w:pStyle w:val="TableParagraph"/>
              <w:spacing w:before="58"/>
              <w:ind w:left="108"/>
              <w:rPr>
                <w:b/>
                <w:sz w:val="21"/>
              </w:rPr>
            </w:pPr>
            <w:r>
              <w:rPr>
                <w:b/>
                <w:sz w:val="21"/>
              </w:rPr>
              <w:t>9.2</w:t>
            </w:r>
          </w:p>
        </w:tc>
        <w:tc>
          <w:tcPr>
            <w:tcW w:w="1604" w:type="dxa"/>
          </w:tcPr>
          <w:p>
            <w:pPr>
              <w:pStyle w:val="TableParagraph"/>
              <w:spacing w:before="58"/>
              <w:ind w:left="191"/>
              <w:rPr>
                <w:b/>
                <w:sz w:val="21"/>
              </w:rPr>
            </w:pPr>
            <w:r>
              <w:rPr>
                <w:b/>
                <w:sz w:val="21"/>
              </w:rPr>
              <w:t>医院</w:t>
            </w:r>
          </w:p>
        </w:tc>
        <w:tc>
          <w:tcPr>
            <w:tcW w:w="7216" w:type="dxa"/>
          </w:tcPr>
          <w:p>
            <w:pPr>
              <w:pStyle w:val="TableParagraph"/>
              <w:spacing w:line="273" w:lineRule="auto" w:before="58"/>
              <w:ind w:left="146" w:right="102"/>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389" w:hRule="atLeast"/>
        </w:trPr>
        <w:tc>
          <w:tcPr>
            <w:tcW w:w="721" w:type="dxa"/>
          </w:tcPr>
          <w:p>
            <w:pPr>
              <w:pStyle w:val="TableParagraph"/>
              <w:spacing w:before="57"/>
              <w:ind w:left="108"/>
              <w:rPr>
                <w:b/>
                <w:sz w:val="21"/>
              </w:rPr>
            </w:pPr>
            <w:r>
              <w:rPr>
                <w:b/>
                <w:sz w:val="21"/>
              </w:rPr>
              <w:t>9.3</w:t>
            </w:r>
          </w:p>
        </w:tc>
        <w:tc>
          <w:tcPr>
            <w:tcW w:w="1604" w:type="dxa"/>
          </w:tcPr>
          <w:p>
            <w:pPr>
              <w:pStyle w:val="TableParagraph"/>
              <w:spacing w:before="57"/>
              <w:ind w:left="191"/>
              <w:rPr>
                <w:b/>
                <w:sz w:val="21"/>
              </w:rPr>
            </w:pPr>
            <w:r>
              <w:rPr>
                <w:b/>
                <w:sz w:val="21"/>
              </w:rPr>
              <w:t>毒品</w:t>
            </w:r>
          </w:p>
        </w:tc>
        <w:tc>
          <w:tcPr>
            <w:tcW w:w="7216" w:type="dxa"/>
          </w:tcPr>
          <w:p>
            <w:pPr>
              <w:pStyle w:val="TableParagraph"/>
              <w:spacing w:line="273" w:lineRule="auto" w:before="57"/>
              <w:ind w:left="146" w:right="101"/>
              <w:jc w:val="both"/>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w:t>
            </w:r>
            <w:r>
              <w:rPr>
                <w:spacing w:val="-5"/>
                <w:sz w:val="21"/>
              </w:rPr>
              <w:t>麻、可卡因以及国家规定管制的其他能够使人形成瘾癖的麻醉药品和精神药</w:t>
            </w:r>
            <w:r>
              <w:rPr>
                <w:spacing w:val="-4"/>
                <w:sz w:val="21"/>
              </w:rPr>
              <w:t>品，但不包括由医生开具并遵医嘱使用的用于治疗疾病但含有毒品成分的处</w:t>
            </w:r>
            <w:r>
              <w:rPr>
                <w:spacing w:val="-3"/>
                <w:sz w:val="21"/>
              </w:rPr>
              <w:t>方药品。</w:t>
            </w:r>
          </w:p>
        </w:tc>
      </w:tr>
      <w:tr>
        <w:trPr>
          <w:trHeight w:val="1077" w:hRule="atLeast"/>
        </w:trPr>
        <w:tc>
          <w:tcPr>
            <w:tcW w:w="721" w:type="dxa"/>
          </w:tcPr>
          <w:p>
            <w:pPr>
              <w:pStyle w:val="TableParagraph"/>
              <w:spacing w:before="57"/>
              <w:ind w:left="108"/>
              <w:rPr>
                <w:b/>
                <w:sz w:val="21"/>
              </w:rPr>
            </w:pPr>
            <w:r>
              <w:rPr>
                <w:b/>
                <w:sz w:val="21"/>
              </w:rPr>
              <w:t>9.4</w:t>
            </w:r>
          </w:p>
        </w:tc>
        <w:tc>
          <w:tcPr>
            <w:tcW w:w="1604" w:type="dxa"/>
          </w:tcPr>
          <w:p>
            <w:pPr>
              <w:pStyle w:val="TableParagraph"/>
              <w:spacing w:before="57"/>
              <w:ind w:left="191"/>
              <w:rPr>
                <w:b/>
                <w:sz w:val="21"/>
              </w:rPr>
            </w:pPr>
            <w:r>
              <w:rPr>
                <w:b/>
                <w:sz w:val="21"/>
              </w:rPr>
              <w:t>酒后驾驶</w:t>
            </w:r>
          </w:p>
        </w:tc>
        <w:tc>
          <w:tcPr>
            <w:tcW w:w="7216" w:type="dxa"/>
          </w:tcPr>
          <w:p>
            <w:pPr>
              <w:pStyle w:val="TableParagraph"/>
              <w:spacing w:line="273" w:lineRule="auto" w:before="57"/>
              <w:ind w:left="146" w:right="12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13" w:hRule="atLeast"/>
        </w:trPr>
        <w:tc>
          <w:tcPr>
            <w:tcW w:w="721" w:type="dxa"/>
          </w:tcPr>
          <w:p>
            <w:pPr>
              <w:pStyle w:val="TableParagraph"/>
              <w:spacing w:before="57"/>
              <w:ind w:left="108"/>
              <w:rPr>
                <w:b/>
                <w:sz w:val="21"/>
              </w:rPr>
            </w:pPr>
            <w:r>
              <w:rPr>
                <w:b/>
                <w:sz w:val="21"/>
              </w:rPr>
              <w:t>9.5</w:t>
            </w:r>
          </w:p>
        </w:tc>
        <w:tc>
          <w:tcPr>
            <w:tcW w:w="1604" w:type="dxa"/>
          </w:tcPr>
          <w:p>
            <w:pPr>
              <w:pStyle w:val="TableParagraph"/>
              <w:spacing w:line="273" w:lineRule="auto" w:before="57"/>
              <w:ind w:left="191" w:right="143"/>
              <w:rPr>
                <w:b/>
                <w:sz w:val="21"/>
              </w:rPr>
            </w:pPr>
            <w:r>
              <w:rPr>
                <w:b/>
                <w:sz w:val="21"/>
              </w:rPr>
              <w:t>无合法有效驾驶证驾驶</w:t>
            </w:r>
          </w:p>
        </w:tc>
        <w:tc>
          <w:tcPr>
            <w:tcW w:w="7216" w:type="dxa"/>
          </w:tcPr>
          <w:p>
            <w:pPr>
              <w:pStyle w:val="TableParagraph"/>
              <w:spacing w:before="57"/>
              <w:ind w:left="146"/>
              <w:rPr>
                <w:sz w:val="21"/>
              </w:rPr>
            </w:pPr>
            <w:r>
              <w:rPr>
                <w:sz w:val="21"/>
              </w:rPr>
              <w:t>指下列情形之一：</w:t>
            </w:r>
          </w:p>
          <w:p>
            <w:pPr>
              <w:pStyle w:val="TableParagraph"/>
              <w:spacing w:before="36"/>
              <w:ind w:left="146"/>
              <w:rPr>
                <w:sz w:val="21"/>
              </w:rPr>
            </w:pPr>
            <w:r>
              <w:rPr>
                <w:sz w:val="21"/>
              </w:rPr>
              <w:t>(1)没有取得驾驶资格；</w:t>
            </w:r>
          </w:p>
          <w:p>
            <w:pPr>
              <w:pStyle w:val="TableParagraph"/>
              <w:spacing w:before="36"/>
              <w:ind w:left="146"/>
              <w:rPr>
                <w:sz w:val="21"/>
              </w:rPr>
            </w:pPr>
            <w:r>
              <w:rPr>
                <w:sz w:val="21"/>
              </w:rPr>
              <w:t>(2)驾驶与驾驶证准驾车型不相符合的车辆；</w:t>
            </w:r>
          </w:p>
          <w:p>
            <w:pPr>
              <w:pStyle w:val="TableParagraph"/>
              <w:spacing w:before="36"/>
              <w:ind w:left="146"/>
              <w:rPr>
                <w:sz w:val="21"/>
              </w:rPr>
            </w:pPr>
            <w:r>
              <w:rPr>
                <w:sz w:val="21"/>
              </w:rPr>
              <w:t>(3)持审验不合格的驾驶证驾驶；</w:t>
            </w:r>
          </w:p>
          <w:p>
            <w:pPr>
              <w:pStyle w:val="TableParagraph"/>
              <w:spacing w:line="273" w:lineRule="auto" w:before="36"/>
              <w:ind w:left="147" w:right="105"/>
              <w:rPr>
                <w:sz w:val="21"/>
              </w:rPr>
            </w:pPr>
            <w:r>
              <w:rPr>
                <w:sz w:val="21"/>
              </w:rPr>
              <w:t>(4)</w:t>
            </w:r>
            <w:r>
              <w:rPr>
                <w:spacing w:val="-7"/>
                <w:sz w:val="21"/>
              </w:rPr>
              <w:t>持学习驾驶证件学习驾车时，无教练员随车指导，或不按指定时间、路线</w:t>
            </w:r>
            <w:r>
              <w:rPr>
                <w:spacing w:val="-1"/>
                <w:sz w:val="21"/>
              </w:rPr>
              <w:t>学习驾车。</w:t>
            </w:r>
          </w:p>
        </w:tc>
      </w:tr>
      <w:tr>
        <w:trPr>
          <w:trHeight w:val="1389" w:hRule="atLeast"/>
        </w:trPr>
        <w:tc>
          <w:tcPr>
            <w:tcW w:w="721" w:type="dxa"/>
          </w:tcPr>
          <w:p>
            <w:pPr>
              <w:pStyle w:val="TableParagraph"/>
              <w:spacing w:before="57"/>
              <w:ind w:left="108"/>
              <w:rPr>
                <w:b/>
                <w:sz w:val="21"/>
              </w:rPr>
            </w:pPr>
            <w:r>
              <w:rPr>
                <w:b/>
                <w:sz w:val="21"/>
              </w:rPr>
              <w:t>9.6</w:t>
            </w:r>
          </w:p>
        </w:tc>
        <w:tc>
          <w:tcPr>
            <w:tcW w:w="1604" w:type="dxa"/>
          </w:tcPr>
          <w:p>
            <w:pPr>
              <w:pStyle w:val="TableParagraph"/>
              <w:spacing w:before="57"/>
              <w:ind w:left="191"/>
              <w:rPr>
                <w:b/>
                <w:sz w:val="21"/>
              </w:rPr>
            </w:pPr>
            <w:r>
              <w:rPr>
                <w:b/>
                <w:sz w:val="21"/>
              </w:rPr>
              <w:t>无有效行驶证</w:t>
            </w:r>
          </w:p>
        </w:tc>
        <w:tc>
          <w:tcPr>
            <w:tcW w:w="7216" w:type="dxa"/>
          </w:tcPr>
          <w:p>
            <w:pPr>
              <w:pStyle w:val="TableParagraph"/>
              <w:spacing w:before="57"/>
              <w:ind w:left="146"/>
              <w:rPr>
                <w:sz w:val="21"/>
              </w:rPr>
            </w:pPr>
            <w:r>
              <w:rPr>
                <w:sz w:val="21"/>
              </w:rPr>
              <w:t>指下列情形之一：</w:t>
            </w:r>
          </w:p>
          <w:p>
            <w:pPr>
              <w:pStyle w:val="TableParagraph"/>
              <w:spacing w:before="36"/>
              <w:ind w:left="146"/>
              <w:rPr>
                <w:sz w:val="21"/>
              </w:rPr>
            </w:pPr>
            <w:r>
              <w:rPr>
                <w:sz w:val="21"/>
              </w:rPr>
              <w:t>(1)未取得行驶证；</w:t>
            </w:r>
          </w:p>
          <w:p>
            <w:pPr>
              <w:pStyle w:val="TableParagraph"/>
              <w:spacing w:before="36"/>
              <w:ind w:left="146"/>
              <w:rPr>
                <w:sz w:val="21"/>
              </w:rPr>
            </w:pPr>
            <w:r>
              <w:rPr>
                <w:sz w:val="21"/>
              </w:rPr>
              <w:t>(2)机动车被依法注销登记的；</w:t>
            </w:r>
          </w:p>
          <w:p>
            <w:pPr>
              <w:pStyle w:val="TableParagraph"/>
              <w:spacing w:before="36"/>
              <w:ind w:left="147"/>
              <w:rPr>
                <w:sz w:val="21"/>
              </w:rPr>
            </w:pPr>
            <w:r>
              <w:rPr>
                <w:sz w:val="21"/>
              </w:rPr>
              <w:t>(3)未依法按时进行或通过机动车安全技术检验。</w:t>
            </w:r>
          </w:p>
        </w:tc>
      </w:tr>
      <w:tr>
        <w:trPr>
          <w:trHeight w:val="1780" w:hRule="atLeast"/>
        </w:trPr>
        <w:tc>
          <w:tcPr>
            <w:tcW w:w="721" w:type="dxa"/>
          </w:tcPr>
          <w:p>
            <w:pPr>
              <w:pStyle w:val="TableParagraph"/>
              <w:spacing w:before="57"/>
              <w:ind w:left="108"/>
              <w:rPr>
                <w:b/>
                <w:sz w:val="21"/>
              </w:rPr>
            </w:pPr>
            <w:r>
              <w:rPr>
                <w:b/>
                <w:sz w:val="21"/>
              </w:rPr>
              <w:t>9.7</w:t>
            </w:r>
          </w:p>
        </w:tc>
        <w:tc>
          <w:tcPr>
            <w:tcW w:w="1604" w:type="dxa"/>
          </w:tcPr>
          <w:p>
            <w:pPr>
              <w:pStyle w:val="TableParagraph"/>
              <w:spacing w:line="273" w:lineRule="auto" w:before="57"/>
              <w:ind w:left="191" w:right="143"/>
              <w:rPr>
                <w:b/>
                <w:sz w:val="21"/>
              </w:rPr>
            </w:pPr>
            <w:r>
              <w:rPr>
                <w:b/>
                <w:sz w:val="21"/>
              </w:rPr>
              <w:t>感染艾滋病病毒或患艾滋病</w:t>
            </w:r>
          </w:p>
        </w:tc>
        <w:tc>
          <w:tcPr>
            <w:tcW w:w="7216" w:type="dxa"/>
          </w:tcPr>
          <w:p>
            <w:pPr>
              <w:pStyle w:val="TableParagraph"/>
              <w:spacing w:line="273" w:lineRule="auto" w:before="57"/>
              <w:ind w:left="147" w:right="102" w:hanging="1"/>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6"/>
              <w:ind w:left="146" w:right="-15"/>
              <w:rPr>
                <w:sz w:val="21"/>
              </w:rPr>
            </w:pPr>
            <w:r>
              <w:rPr>
                <w:spacing w:val="-2"/>
                <w:sz w:val="21"/>
              </w:rPr>
              <w:t>在人体血液或其他样本中检测到艾滋病病毒或其抗体呈阳性，没有出现临床</w:t>
            </w:r>
            <w:r>
              <w:rPr>
                <w:spacing w:val="-10"/>
                <w:sz w:val="21"/>
              </w:rPr>
              <w:t>症状或体征的，为感染艾滋病病毒；如果同时出现了明显临床症状或体征的， </w:t>
            </w:r>
            <w:r>
              <w:rPr>
                <w:spacing w:val="-5"/>
                <w:sz w:val="21"/>
              </w:rPr>
              <w:t>为患艾滋病。</w:t>
            </w:r>
          </w:p>
        </w:tc>
      </w:tr>
      <w:tr>
        <w:trPr>
          <w:trHeight w:val="765" w:hRule="atLeast"/>
        </w:trPr>
        <w:tc>
          <w:tcPr>
            <w:tcW w:w="721" w:type="dxa"/>
          </w:tcPr>
          <w:p>
            <w:pPr>
              <w:pStyle w:val="TableParagraph"/>
              <w:spacing w:before="57"/>
              <w:ind w:left="108"/>
              <w:rPr>
                <w:b/>
                <w:sz w:val="21"/>
              </w:rPr>
            </w:pPr>
            <w:r>
              <w:rPr>
                <w:b/>
                <w:sz w:val="21"/>
              </w:rPr>
              <w:t>9.8</w:t>
            </w:r>
          </w:p>
        </w:tc>
        <w:tc>
          <w:tcPr>
            <w:tcW w:w="1604" w:type="dxa"/>
          </w:tcPr>
          <w:p>
            <w:pPr>
              <w:pStyle w:val="TableParagraph"/>
              <w:spacing w:before="57"/>
              <w:ind w:left="191"/>
              <w:rPr>
                <w:b/>
                <w:sz w:val="21"/>
              </w:rPr>
            </w:pPr>
            <w:r>
              <w:rPr>
                <w:b/>
                <w:sz w:val="21"/>
              </w:rPr>
              <w:t>遗传性疾病</w:t>
            </w:r>
          </w:p>
        </w:tc>
        <w:tc>
          <w:tcPr>
            <w:tcW w:w="7216" w:type="dxa"/>
          </w:tcPr>
          <w:p>
            <w:pPr>
              <w:pStyle w:val="TableParagraph"/>
              <w:spacing w:line="273" w:lineRule="auto" w:before="57"/>
              <w:ind w:left="146" w:right="102"/>
              <w:rPr>
                <w:sz w:val="21"/>
              </w:rPr>
            </w:pPr>
            <w:r>
              <w:rPr>
                <w:sz w:val="21"/>
              </w:rPr>
              <w:t>指生殖细胞或受精卵的遗传物质（染色体和基因）发生突变或畸变所引起的疾病，通常具有由亲代传至后代的垂直传递的特征。</w:t>
            </w:r>
          </w:p>
        </w:tc>
      </w:tr>
      <w:tr>
        <w:trPr>
          <w:trHeight w:val="1077" w:hRule="atLeast"/>
        </w:trPr>
        <w:tc>
          <w:tcPr>
            <w:tcW w:w="721" w:type="dxa"/>
          </w:tcPr>
          <w:p>
            <w:pPr>
              <w:pStyle w:val="TableParagraph"/>
              <w:spacing w:before="57"/>
              <w:ind w:left="108"/>
              <w:rPr>
                <w:b/>
                <w:sz w:val="21"/>
              </w:rPr>
            </w:pPr>
            <w:r>
              <w:rPr>
                <w:b/>
                <w:sz w:val="21"/>
              </w:rPr>
              <w:t>9.9</w:t>
            </w:r>
          </w:p>
        </w:tc>
        <w:tc>
          <w:tcPr>
            <w:tcW w:w="1604" w:type="dxa"/>
          </w:tcPr>
          <w:p>
            <w:pPr>
              <w:pStyle w:val="TableParagraph"/>
              <w:spacing w:line="273" w:lineRule="auto" w:before="57"/>
              <w:ind w:left="191" w:right="143"/>
              <w:jc w:val="both"/>
              <w:rPr>
                <w:b/>
                <w:sz w:val="21"/>
              </w:rPr>
            </w:pPr>
            <w:r>
              <w:rPr>
                <w:b/>
                <w:sz w:val="21"/>
              </w:rPr>
              <w:t>先天性畸形、变形或染色体异常</w:t>
            </w:r>
          </w:p>
        </w:tc>
        <w:tc>
          <w:tcPr>
            <w:tcW w:w="7216" w:type="dxa"/>
          </w:tcPr>
          <w:p>
            <w:pPr>
              <w:pStyle w:val="TableParagraph"/>
              <w:spacing w:line="273" w:lineRule="auto" w:before="57"/>
              <w:ind w:left="146" w:right="1"/>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46"/>
              <w:rPr>
                <w:sz w:val="21"/>
              </w:rPr>
            </w:pPr>
            <w:r>
              <w:rPr>
                <w:sz w:val="21"/>
              </w:rPr>
              <w:t>（ICD-10）确定。</w:t>
            </w:r>
          </w:p>
        </w:tc>
      </w:tr>
      <w:tr>
        <w:trPr>
          <w:trHeight w:val="644" w:hRule="atLeast"/>
        </w:trPr>
        <w:tc>
          <w:tcPr>
            <w:tcW w:w="721" w:type="dxa"/>
          </w:tcPr>
          <w:p>
            <w:pPr>
              <w:pStyle w:val="TableParagraph"/>
              <w:spacing w:before="57"/>
              <w:ind w:left="108"/>
              <w:rPr>
                <w:b/>
                <w:sz w:val="21"/>
              </w:rPr>
            </w:pPr>
            <w:r>
              <w:rPr>
                <w:b/>
                <w:sz w:val="21"/>
              </w:rPr>
              <w:t>9.10</w:t>
            </w:r>
          </w:p>
        </w:tc>
        <w:tc>
          <w:tcPr>
            <w:tcW w:w="1604" w:type="dxa"/>
          </w:tcPr>
          <w:p>
            <w:pPr>
              <w:pStyle w:val="TableParagraph"/>
              <w:spacing w:before="57"/>
              <w:ind w:left="239"/>
              <w:rPr>
                <w:b/>
                <w:sz w:val="21"/>
              </w:rPr>
            </w:pPr>
            <w:r>
              <w:rPr>
                <w:b/>
                <w:sz w:val="21"/>
              </w:rPr>
              <w:t>现金价值</w:t>
            </w:r>
          </w:p>
        </w:tc>
        <w:tc>
          <w:tcPr>
            <w:tcW w:w="7216" w:type="dxa"/>
          </w:tcPr>
          <w:p>
            <w:pPr>
              <w:pStyle w:val="TableParagraph"/>
              <w:spacing w:line="310" w:lineRule="atLeast" w:before="22"/>
              <w:ind w:left="146" w:right="101"/>
              <w:rPr>
                <w:sz w:val="21"/>
              </w:rPr>
            </w:pPr>
            <w:r>
              <w:rPr>
                <w:spacing w:val="-2"/>
                <w:sz w:val="21"/>
              </w:rPr>
              <w:t>指本合同保险单所具有的价值，通常体现为解除合同时，根据精算原理计算</w:t>
            </w:r>
            <w:r>
              <w:rPr>
                <w:spacing w:val="-6"/>
                <w:w w:val="100"/>
                <w:sz w:val="21"/>
              </w:rPr>
              <w:t>的，由本公司退还的那部分金额。现金价值</w:t>
            </w:r>
            <w:r>
              <w:rPr>
                <w:spacing w:val="-1"/>
                <w:w w:val="100"/>
                <w:sz w:val="21"/>
              </w:rPr>
              <w:t>＝</w:t>
            </w:r>
            <w:r>
              <w:rPr>
                <w:spacing w:val="-2"/>
                <w:w w:val="100"/>
                <w:sz w:val="21"/>
              </w:rPr>
              <w:t>保险费</w:t>
            </w:r>
            <w:r>
              <w:rPr>
                <w:w w:val="100"/>
                <w:sz w:val="21"/>
              </w:rPr>
              <w:t>×7</w:t>
            </w:r>
            <w:r>
              <w:rPr>
                <w:spacing w:val="-3"/>
                <w:w w:val="100"/>
                <w:sz w:val="21"/>
              </w:rPr>
              <w:t>5</w:t>
            </w:r>
            <w:r>
              <w:rPr>
                <w:spacing w:val="-22"/>
                <w:w w:val="100"/>
                <w:sz w:val="21"/>
              </w:rPr>
              <w:t>％</w:t>
            </w:r>
            <w:r>
              <w:rPr>
                <w:w w:val="100"/>
                <w:sz w:val="21"/>
              </w:rPr>
              <w:t>×（1</w:t>
            </w:r>
            <w:r>
              <w:rPr>
                <w:spacing w:val="-3"/>
                <w:w w:val="100"/>
                <w:sz w:val="21"/>
              </w:rPr>
              <w:t>－</w:t>
            </w:r>
            <w:r>
              <w:rPr>
                <w:w w:val="100"/>
                <w:sz w:val="21"/>
              </w:rPr>
              <w:t>m/n</w:t>
            </w:r>
            <w:r>
              <w:rPr>
                <w:spacing w:val="-108"/>
                <w:w w:val="100"/>
                <w:sz w:val="21"/>
              </w:rPr>
              <w:t>）</w:t>
            </w:r>
            <w:r>
              <w:rPr>
                <w:spacing w:val="-10"/>
                <w:w w:val="100"/>
                <w:sz w:val="21"/>
              </w:rPr>
              <w:t>，其</w:t>
            </w:r>
          </w:p>
        </w:tc>
      </w:tr>
    </w:tbl>
    <w:p>
      <w:pPr>
        <w:spacing w:after="0" w:line="310" w:lineRule="atLeast"/>
        <w:rPr>
          <w:sz w:val="21"/>
        </w:rPr>
        <w:sectPr>
          <w:pgSz w:w="11910" w:h="16840"/>
          <w:pgMar w:top="140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1628"/>
        <w:gridCol w:w="7288"/>
      </w:tblGrid>
      <w:tr>
        <w:trPr>
          <w:trHeight w:val="332" w:hRule="atLeast"/>
        </w:trPr>
        <w:tc>
          <w:tcPr>
            <w:tcW w:w="813" w:type="dxa"/>
          </w:tcPr>
          <w:p>
            <w:pPr>
              <w:pStyle w:val="TableParagraph"/>
              <w:ind w:left="0"/>
              <w:rPr>
                <w:rFonts w:ascii="Times New Roman"/>
                <w:sz w:val="20"/>
              </w:rPr>
            </w:pPr>
          </w:p>
        </w:tc>
        <w:tc>
          <w:tcPr>
            <w:tcW w:w="1628" w:type="dxa"/>
          </w:tcPr>
          <w:p>
            <w:pPr>
              <w:pStyle w:val="TableParagraph"/>
              <w:ind w:left="0"/>
              <w:rPr>
                <w:rFonts w:ascii="Times New Roman"/>
                <w:sz w:val="20"/>
              </w:rPr>
            </w:pPr>
          </w:p>
        </w:tc>
        <w:tc>
          <w:tcPr>
            <w:tcW w:w="7288" w:type="dxa"/>
          </w:tcPr>
          <w:p>
            <w:pPr>
              <w:pStyle w:val="TableParagraph"/>
              <w:spacing w:line="202" w:lineRule="exact"/>
              <w:ind w:left="122"/>
              <w:rPr>
                <w:sz w:val="21"/>
              </w:rPr>
            </w:pPr>
            <w:r>
              <w:rPr>
                <w:sz w:val="21"/>
              </w:rPr>
              <w:t>中 m 为已生效天数，n 为保险期间的天数。已生效的天数不足一天的不计。</w:t>
            </w:r>
          </w:p>
        </w:tc>
      </w:tr>
      <w:tr>
        <w:trPr>
          <w:trHeight w:val="765" w:hRule="atLeast"/>
        </w:trPr>
        <w:tc>
          <w:tcPr>
            <w:tcW w:w="813" w:type="dxa"/>
          </w:tcPr>
          <w:p>
            <w:pPr>
              <w:pStyle w:val="TableParagraph"/>
              <w:spacing w:before="48"/>
              <w:ind w:left="200"/>
              <w:rPr>
                <w:b/>
                <w:sz w:val="21"/>
              </w:rPr>
            </w:pPr>
            <w:r>
              <w:rPr>
                <w:b/>
                <w:sz w:val="21"/>
              </w:rPr>
              <w:t>9.11</w:t>
            </w:r>
          </w:p>
        </w:tc>
        <w:tc>
          <w:tcPr>
            <w:tcW w:w="1628" w:type="dxa"/>
          </w:tcPr>
          <w:p>
            <w:pPr>
              <w:pStyle w:val="TableParagraph"/>
              <w:spacing w:before="48"/>
              <w:ind w:left="239"/>
              <w:rPr>
                <w:b/>
                <w:sz w:val="21"/>
              </w:rPr>
            </w:pPr>
            <w:r>
              <w:rPr>
                <w:b/>
                <w:sz w:val="21"/>
              </w:rPr>
              <w:t>有效身份证件</w:t>
            </w:r>
          </w:p>
        </w:tc>
        <w:tc>
          <w:tcPr>
            <w:tcW w:w="7288" w:type="dxa"/>
          </w:tcPr>
          <w:p>
            <w:pPr>
              <w:pStyle w:val="TableParagraph"/>
              <w:spacing w:line="273" w:lineRule="auto" w:before="48"/>
              <w:ind w:left="122" w:right="198"/>
              <w:rPr>
                <w:sz w:val="21"/>
              </w:rPr>
            </w:pPr>
            <w:r>
              <w:rPr>
                <w:sz w:val="21"/>
              </w:rPr>
              <w:t>指由政府主管部门规定的证明其身份的证件，如：居民身份证、按规定可使用的有效护照、军官证、警官证等证件。</w:t>
            </w:r>
          </w:p>
        </w:tc>
      </w:tr>
      <w:tr>
        <w:trPr>
          <w:trHeight w:val="765" w:hRule="atLeast"/>
        </w:trPr>
        <w:tc>
          <w:tcPr>
            <w:tcW w:w="813" w:type="dxa"/>
          </w:tcPr>
          <w:p>
            <w:pPr>
              <w:pStyle w:val="TableParagraph"/>
              <w:spacing w:before="48"/>
              <w:ind w:left="200"/>
              <w:rPr>
                <w:b/>
                <w:sz w:val="21"/>
              </w:rPr>
            </w:pPr>
            <w:r>
              <w:rPr>
                <w:b/>
                <w:sz w:val="21"/>
              </w:rPr>
              <w:t>9.12</w:t>
            </w:r>
          </w:p>
        </w:tc>
        <w:tc>
          <w:tcPr>
            <w:tcW w:w="1628" w:type="dxa"/>
          </w:tcPr>
          <w:p>
            <w:pPr>
              <w:pStyle w:val="TableParagraph"/>
              <w:spacing w:before="48"/>
              <w:ind w:left="239"/>
              <w:rPr>
                <w:b/>
                <w:sz w:val="21"/>
              </w:rPr>
            </w:pPr>
            <w:r>
              <w:rPr>
                <w:b/>
                <w:sz w:val="21"/>
              </w:rPr>
              <w:t>情形复杂</w:t>
            </w:r>
          </w:p>
        </w:tc>
        <w:tc>
          <w:tcPr>
            <w:tcW w:w="7288" w:type="dxa"/>
          </w:tcPr>
          <w:p>
            <w:pPr>
              <w:pStyle w:val="TableParagraph"/>
              <w:spacing w:line="273" w:lineRule="auto" w:before="48"/>
              <w:ind w:left="122" w:right="198"/>
              <w:rPr>
                <w:sz w:val="21"/>
              </w:rPr>
            </w:pPr>
            <w:r>
              <w:rPr>
                <w:sz w:val="21"/>
              </w:rPr>
              <w:t>指保险事故的性质、原因、伤害或损失程度等在本公司收到保险金给付申请书及合同约定的证明和资料后 5 日内无法确定，需要进一步核实。</w:t>
            </w:r>
          </w:p>
        </w:tc>
      </w:tr>
      <w:tr>
        <w:trPr>
          <w:trHeight w:val="2325" w:hRule="atLeast"/>
        </w:trPr>
        <w:tc>
          <w:tcPr>
            <w:tcW w:w="813" w:type="dxa"/>
          </w:tcPr>
          <w:p>
            <w:pPr>
              <w:pStyle w:val="TableParagraph"/>
              <w:spacing w:before="48"/>
              <w:ind w:left="200"/>
              <w:rPr>
                <w:b/>
                <w:sz w:val="21"/>
              </w:rPr>
            </w:pPr>
            <w:r>
              <w:rPr>
                <w:b/>
                <w:sz w:val="21"/>
              </w:rPr>
              <w:t>9.13</w:t>
            </w:r>
          </w:p>
        </w:tc>
        <w:tc>
          <w:tcPr>
            <w:tcW w:w="1628" w:type="dxa"/>
          </w:tcPr>
          <w:p>
            <w:pPr>
              <w:pStyle w:val="TableParagraph"/>
              <w:spacing w:before="48"/>
              <w:ind w:left="190"/>
              <w:rPr>
                <w:b/>
                <w:sz w:val="21"/>
              </w:rPr>
            </w:pPr>
            <w:r>
              <w:rPr>
                <w:b/>
                <w:sz w:val="21"/>
              </w:rPr>
              <w:t>专科医生</w:t>
            </w:r>
          </w:p>
        </w:tc>
        <w:tc>
          <w:tcPr>
            <w:tcW w:w="7288" w:type="dxa"/>
          </w:tcPr>
          <w:p>
            <w:pPr>
              <w:pStyle w:val="TableParagraph"/>
              <w:spacing w:before="48"/>
              <w:ind w:left="122"/>
              <w:rPr>
                <w:sz w:val="21"/>
              </w:rPr>
            </w:pPr>
            <w:r>
              <w:rPr>
                <w:sz w:val="21"/>
              </w:rPr>
              <w:t>专科医生应当同时满足以下四项资格条件：</w:t>
            </w:r>
          </w:p>
          <w:p>
            <w:pPr>
              <w:pStyle w:val="TableParagraph"/>
              <w:spacing w:before="36"/>
              <w:ind w:left="122"/>
              <w:rPr>
                <w:sz w:val="21"/>
              </w:rPr>
            </w:pPr>
            <w:r>
              <w:rPr>
                <w:sz w:val="21"/>
              </w:rPr>
              <w:t>(1)具有有效的中华人民共和国《医师资格证书》；</w:t>
            </w:r>
          </w:p>
          <w:p>
            <w:pPr>
              <w:pStyle w:val="TableParagraph"/>
              <w:spacing w:line="273" w:lineRule="auto" w:before="36"/>
              <w:ind w:left="122" w:right="198"/>
              <w:rPr>
                <w:sz w:val="21"/>
              </w:rPr>
            </w:pPr>
            <w:r>
              <w:rPr>
                <w:sz w:val="21"/>
              </w:rPr>
              <w:t>(2)</w:t>
            </w:r>
            <w:r>
              <w:rPr>
                <w:spacing w:val="-8"/>
                <w:sz w:val="21"/>
              </w:rPr>
              <w:t>具有有效的中华人民共和国《医师执业证书》，并按期到相关部门登记注册；</w:t>
            </w:r>
          </w:p>
          <w:p>
            <w:pPr>
              <w:pStyle w:val="TableParagraph"/>
              <w:spacing w:line="273" w:lineRule="auto" w:before="7"/>
              <w:ind w:left="122" w:right="197"/>
              <w:rPr>
                <w:sz w:val="21"/>
              </w:rPr>
            </w:pPr>
            <w:r>
              <w:rPr>
                <w:sz w:val="21"/>
              </w:rPr>
              <w:t>(3)</w:t>
            </w:r>
            <w:r>
              <w:rPr>
                <w:spacing w:val="-6"/>
                <w:sz w:val="21"/>
              </w:rPr>
              <w:t>具有有效的中华人民共和国主治医师或主治医师以上职称的《医师职称证</w:t>
            </w:r>
            <w:r>
              <w:rPr>
                <w:spacing w:val="-36"/>
                <w:sz w:val="21"/>
              </w:rPr>
              <w:t>书》；</w:t>
            </w:r>
          </w:p>
          <w:p>
            <w:pPr>
              <w:pStyle w:val="TableParagraph"/>
              <w:spacing w:before="7"/>
              <w:ind w:left="122"/>
              <w:rPr>
                <w:sz w:val="21"/>
              </w:rPr>
            </w:pPr>
            <w:r>
              <w:rPr>
                <w:sz w:val="21"/>
              </w:rPr>
              <w:t>(4)在二级或二级以上医院的相应科室从事临床工作三年以上。</w:t>
            </w:r>
          </w:p>
        </w:tc>
      </w:tr>
      <w:tr>
        <w:trPr>
          <w:trHeight w:val="766" w:hRule="atLeast"/>
        </w:trPr>
        <w:tc>
          <w:tcPr>
            <w:tcW w:w="813" w:type="dxa"/>
          </w:tcPr>
          <w:p>
            <w:pPr>
              <w:pStyle w:val="TableParagraph"/>
              <w:spacing w:before="49"/>
              <w:ind w:left="200"/>
              <w:rPr>
                <w:b/>
                <w:sz w:val="21"/>
              </w:rPr>
            </w:pPr>
            <w:r>
              <w:rPr>
                <w:b/>
                <w:sz w:val="21"/>
              </w:rPr>
              <w:t>9.14</w:t>
            </w:r>
          </w:p>
        </w:tc>
        <w:tc>
          <w:tcPr>
            <w:tcW w:w="1628" w:type="dxa"/>
          </w:tcPr>
          <w:p>
            <w:pPr>
              <w:pStyle w:val="TableParagraph"/>
              <w:spacing w:line="273" w:lineRule="auto" w:before="49"/>
              <w:ind w:left="190" w:right="167"/>
              <w:rPr>
                <w:b/>
                <w:sz w:val="21"/>
              </w:rPr>
            </w:pPr>
            <w:r>
              <w:rPr>
                <w:b/>
                <w:sz w:val="21"/>
              </w:rPr>
              <w:t>肢体机能完全丧失</w:t>
            </w:r>
          </w:p>
        </w:tc>
        <w:tc>
          <w:tcPr>
            <w:tcW w:w="7288" w:type="dxa"/>
          </w:tcPr>
          <w:p>
            <w:pPr>
              <w:pStyle w:val="TableParagraph"/>
              <w:spacing w:line="273" w:lineRule="auto" w:before="49"/>
              <w:ind w:left="122" w:right="198"/>
              <w:rPr>
                <w:sz w:val="21"/>
              </w:rPr>
            </w:pPr>
            <w:r>
              <w:rPr>
                <w:sz w:val="21"/>
              </w:rPr>
              <w:t>指肢体的三大关节中的两大关节僵硬，或不能随意识活动。肢体是指包括肩关节的整个上肢或包括髋关节的整个下肢。</w:t>
            </w:r>
          </w:p>
        </w:tc>
      </w:tr>
      <w:tr>
        <w:trPr>
          <w:trHeight w:val="1779" w:hRule="atLeast"/>
        </w:trPr>
        <w:tc>
          <w:tcPr>
            <w:tcW w:w="813" w:type="dxa"/>
          </w:tcPr>
          <w:p>
            <w:pPr>
              <w:pStyle w:val="TableParagraph"/>
              <w:spacing w:before="50"/>
              <w:ind w:left="200"/>
              <w:rPr>
                <w:b/>
                <w:sz w:val="21"/>
              </w:rPr>
            </w:pPr>
            <w:r>
              <w:rPr>
                <w:b/>
                <w:sz w:val="21"/>
              </w:rPr>
              <w:t>9.15</w:t>
            </w:r>
          </w:p>
        </w:tc>
        <w:tc>
          <w:tcPr>
            <w:tcW w:w="1628" w:type="dxa"/>
          </w:tcPr>
          <w:p>
            <w:pPr>
              <w:pStyle w:val="TableParagraph"/>
              <w:spacing w:line="273" w:lineRule="auto" w:before="50"/>
              <w:ind w:left="190" w:right="167"/>
              <w:jc w:val="both"/>
              <w:rPr>
                <w:b/>
                <w:sz w:val="21"/>
              </w:rPr>
            </w:pPr>
            <w:r>
              <w:rPr>
                <w:b/>
                <w:sz w:val="21"/>
              </w:rPr>
              <w:t>语言能力或咀嚼吞咽能力完全丧失</w:t>
            </w:r>
          </w:p>
        </w:tc>
        <w:tc>
          <w:tcPr>
            <w:tcW w:w="7288" w:type="dxa"/>
          </w:tcPr>
          <w:p>
            <w:pPr>
              <w:pStyle w:val="TableParagraph"/>
              <w:spacing w:line="273" w:lineRule="auto" w:before="50"/>
              <w:ind w:left="122" w:right="19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4"/>
              <w:ind w:left="122" w:right="198"/>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25" w:hRule="atLeast"/>
        </w:trPr>
        <w:tc>
          <w:tcPr>
            <w:tcW w:w="813" w:type="dxa"/>
          </w:tcPr>
          <w:p>
            <w:pPr>
              <w:pStyle w:val="TableParagraph"/>
              <w:spacing w:before="49"/>
              <w:ind w:left="200"/>
              <w:rPr>
                <w:b/>
                <w:sz w:val="21"/>
              </w:rPr>
            </w:pPr>
            <w:r>
              <w:rPr>
                <w:b/>
                <w:sz w:val="21"/>
              </w:rPr>
              <w:t>9.16</w:t>
            </w:r>
          </w:p>
        </w:tc>
        <w:tc>
          <w:tcPr>
            <w:tcW w:w="1628" w:type="dxa"/>
          </w:tcPr>
          <w:p>
            <w:pPr>
              <w:pStyle w:val="TableParagraph"/>
              <w:spacing w:line="273" w:lineRule="auto" w:before="49"/>
              <w:ind w:left="190" w:right="167"/>
              <w:rPr>
                <w:b/>
                <w:sz w:val="21"/>
              </w:rPr>
            </w:pPr>
            <w:r>
              <w:rPr>
                <w:b/>
                <w:sz w:val="21"/>
              </w:rPr>
              <w:t>六项基本日常生活活动</w:t>
            </w:r>
          </w:p>
        </w:tc>
        <w:tc>
          <w:tcPr>
            <w:tcW w:w="7288" w:type="dxa"/>
          </w:tcPr>
          <w:p>
            <w:pPr>
              <w:pStyle w:val="TableParagraph"/>
              <w:spacing w:before="49"/>
              <w:ind w:left="122"/>
              <w:rPr>
                <w:sz w:val="21"/>
              </w:rPr>
            </w:pPr>
            <w:r>
              <w:rPr>
                <w:sz w:val="21"/>
              </w:rPr>
              <w:t>六项基本日常生活活动是指：</w:t>
            </w:r>
          </w:p>
          <w:p>
            <w:pPr>
              <w:pStyle w:val="TableParagraph"/>
              <w:spacing w:before="37"/>
              <w:ind w:left="122"/>
              <w:rPr>
                <w:sz w:val="21"/>
              </w:rPr>
            </w:pPr>
            <w:r>
              <w:rPr>
                <w:sz w:val="21"/>
              </w:rPr>
              <w:t>(1)穿衣：自己能够穿衣及脱衣；</w:t>
            </w:r>
          </w:p>
          <w:p>
            <w:pPr>
              <w:pStyle w:val="TableParagraph"/>
              <w:spacing w:before="37"/>
              <w:ind w:left="122"/>
              <w:rPr>
                <w:sz w:val="21"/>
              </w:rPr>
            </w:pPr>
            <w:r>
              <w:rPr>
                <w:sz w:val="21"/>
              </w:rPr>
              <w:t>(2)移动：自己从一个房间到另一个房间；</w:t>
            </w:r>
          </w:p>
          <w:p>
            <w:pPr>
              <w:pStyle w:val="TableParagraph"/>
              <w:spacing w:before="37"/>
              <w:ind w:left="122"/>
              <w:rPr>
                <w:sz w:val="21"/>
              </w:rPr>
            </w:pPr>
            <w:r>
              <w:rPr>
                <w:sz w:val="21"/>
              </w:rPr>
              <w:t>(3)行动：自己上下床或上下轮椅；</w:t>
            </w:r>
          </w:p>
          <w:p>
            <w:pPr>
              <w:pStyle w:val="TableParagraph"/>
              <w:spacing w:before="37"/>
              <w:ind w:left="122"/>
              <w:rPr>
                <w:sz w:val="21"/>
              </w:rPr>
            </w:pPr>
            <w:r>
              <w:rPr>
                <w:sz w:val="21"/>
              </w:rPr>
              <w:t>(4)如厕：自己控制进行大小便；</w:t>
            </w:r>
          </w:p>
          <w:p>
            <w:pPr>
              <w:pStyle w:val="TableParagraph"/>
              <w:spacing w:before="37"/>
              <w:ind w:left="122"/>
              <w:rPr>
                <w:sz w:val="21"/>
              </w:rPr>
            </w:pPr>
            <w:r>
              <w:rPr>
                <w:sz w:val="21"/>
              </w:rPr>
              <w:t>(5)进食：自己从已准备好的碗或碟中取食物放入口中；</w:t>
            </w:r>
          </w:p>
          <w:p>
            <w:pPr>
              <w:pStyle w:val="TableParagraph"/>
              <w:spacing w:before="37"/>
              <w:ind w:left="122"/>
              <w:rPr>
                <w:sz w:val="21"/>
              </w:rPr>
            </w:pPr>
            <w:r>
              <w:rPr>
                <w:sz w:val="21"/>
              </w:rPr>
              <w:t>(6)洗澡：自己进行淋浴或盆浴。</w:t>
            </w:r>
          </w:p>
        </w:tc>
      </w:tr>
      <w:tr>
        <w:trPr>
          <w:trHeight w:val="644" w:hRule="atLeast"/>
        </w:trPr>
        <w:tc>
          <w:tcPr>
            <w:tcW w:w="813" w:type="dxa"/>
          </w:tcPr>
          <w:p>
            <w:pPr>
              <w:pStyle w:val="TableParagraph"/>
              <w:spacing w:before="49"/>
              <w:ind w:left="200"/>
              <w:rPr>
                <w:b/>
                <w:sz w:val="21"/>
              </w:rPr>
            </w:pPr>
            <w:r>
              <w:rPr>
                <w:b/>
                <w:sz w:val="21"/>
              </w:rPr>
              <w:t>9.17</w:t>
            </w:r>
          </w:p>
        </w:tc>
        <w:tc>
          <w:tcPr>
            <w:tcW w:w="1628" w:type="dxa"/>
          </w:tcPr>
          <w:p>
            <w:pPr>
              <w:pStyle w:val="TableParagraph"/>
              <w:spacing w:before="49"/>
              <w:ind w:left="190"/>
              <w:rPr>
                <w:b/>
                <w:sz w:val="21"/>
              </w:rPr>
            </w:pPr>
            <w:r>
              <w:rPr>
                <w:b/>
                <w:sz w:val="21"/>
              </w:rPr>
              <w:t>永久不可逆</w:t>
            </w:r>
          </w:p>
        </w:tc>
        <w:tc>
          <w:tcPr>
            <w:tcW w:w="7288" w:type="dxa"/>
          </w:tcPr>
          <w:p>
            <w:pPr>
              <w:pStyle w:val="TableParagraph"/>
              <w:spacing w:line="310" w:lineRule="atLeast" w:before="13"/>
              <w:ind w:left="122" w:right="324"/>
              <w:rPr>
                <w:sz w:val="21"/>
              </w:rPr>
            </w:pPr>
            <w:r>
              <w:rPr>
                <w:sz w:val="21"/>
              </w:rPr>
              <w:t>指自疾病确诊或意外伤害发生之日起，经过积极治疗 180 天后，仍无法通过现有医疗手段恢复。</w:t>
            </w:r>
          </w:p>
        </w:tc>
      </w:tr>
    </w:tbl>
    <w:sectPr>
      <w:pgSz w:w="11910" w:h="16840"/>
      <w:pgMar w:top="146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948" w:hanging="423"/>
        <w:jc w:val="left"/>
      </w:pPr>
      <w:rPr>
        <w:rFonts w:hint="default"/>
      </w:rPr>
    </w:lvl>
    <w:lvl w:ilvl="1">
      <w:start w:val="1"/>
      <w:numFmt w:val="decimal"/>
      <w:lvlText w:val="%1.%2"/>
      <w:lvlJc w:val="left"/>
      <w:pPr>
        <w:ind w:left="948" w:hanging="423"/>
        <w:jc w:val="left"/>
      </w:pPr>
      <w:rPr>
        <w:rFonts w:hint="default" w:ascii="黑体" w:hAnsi="黑体" w:eastAsia="黑体" w:cs="黑体"/>
        <w:w w:val="100"/>
        <w:sz w:val="21"/>
        <w:szCs w:val="21"/>
      </w:rPr>
    </w:lvl>
    <w:lvl w:ilvl="2">
      <w:start w:val="0"/>
      <w:numFmt w:val="bullet"/>
      <w:lvlText w:val="•"/>
      <w:lvlJc w:val="left"/>
      <w:pPr>
        <w:ind w:left="1109" w:hanging="423"/>
      </w:pPr>
      <w:rPr>
        <w:rFonts w:hint="default"/>
      </w:rPr>
    </w:lvl>
    <w:lvl w:ilvl="3">
      <w:start w:val="0"/>
      <w:numFmt w:val="bullet"/>
      <w:lvlText w:val="•"/>
      <w:lvlJc w:val="left"/>
      <w:pPr>
        <w:ind w:left="1194" w:hanging="423"/>
      </w:pPr>
      <w:rPr>
        <w:rFonts w:hint="default"/>
      </w:rPr>
    </w:lvl>
    <w:lvl w:ilvl="4">
      <w:start w:val="0"/>
      <w:numFmt w:val="bullet"/>
      <w:lvlText w:val="•"/>
      <w:lvlJc w:val="left"/>
      <w:pPr>
        <w:ind w:left="1279" w:hanging="423"/>
      </w:pPr>
      <w:rPr>
        <w:rFonts w:hint="default"/>
      </w:rPr>
    </w:lvl>
    <w:lvl w:ilvl="5">
      <w:start w:val="0"/>
      <w:numFmt w:val="bullet"/>
      <w:lvlText w:val="•"/>
      <w:lvlJc w:val="left"/>
      <w:pPr>
        <w:ind w:left="1364" w:hanging="423"/>
      </w:pPr>
      <w:rPr>
        <w:rFonts w:hint="default"/>
      </w:rPr>
    </w:lvl>
    <w:lvl w:ilvl="6">
      <w:start w:val="0"/>
      <w:numFmt w:val="bullet"/>
      <w:lvlText w:val="•"/>
      <w:lvlJc w:val="left"/>
      <w:pPr>
        <w:ind w:left="1449" w:hanging="423"/>
      </w:pPr>
      <w:rPr>
        <w:rFonts w:hint="default"/>
      </w:rPr>
    </w:lvl>
    <w:lvl w:ilvl="7">
      <w:start w:val="0"/>
      <w:numFmt w:val="bullet"/>
      <w:lvlText w:val="•"/>
      <w:lvlJc w:val="left"/>
      <w:pPr>
        <w:ind w:left="1534" w:hanging="423"/>
      </w:pPr>
      <w:rPr>
        <w:rFonts w:hint="default"/>
      </w:rPr>
    </w:lvl>
    <w:lvl w:ilvl="8">
      <w:start w:val="0"/>
      <w:numFmt w:val="bullet"/>
      <w:lvlText w:val="•"/>
      <w:lvlJc w:val="left"/>
      <w:pPr>
        <w:ind w:left="1619" w:hanging="423"/>
      </w:pPr>
      <w:rPr>
        <w:rFonts w:hint="default"/>
      </w:rPr>
    </w:lvl>
  </w:abstractNum>
  <w:abstractNum w:abstractNumId="5">
    <w:multiLevelType w:val="hybridMultilevel"/>
    <w:lvl w:ilvl="0">
      <w:start w:val="9"/>
      <w:numFmt w:val="decimal"/>
      <w:lvlText w:val="%1"/>
      <w:lvlJc w:val="left"/>
      <w:pPr>
        <w:ind w:left="1058" w:hanging="526"/>
        <w:jc w:val="left"/>
      </w:pPr>
      <w:rPr>
        <w:rFonts w:hint="default"/>
      </w:rPr>
    </w:lvl>
    <w:lvl w:ilvl="1">
      <w:start w:val="12"/>
      <w:numFmt w:val="decimal"/>
      <w:lvlText w:val="%1.%2"/>
      <w:lvlJc w:val="left"/>
      <w:pPr>
        <w:ind w:left="1058" w:hanging="526"/>
        <w:jc w:val="left"/>
      </w:pPr>
      <w:rPr>
        <w:rFonts w:hint="default" w:ascii="黑体" w:hAnsi="黑体" w:eastAsia="黑体" w:cs="黑体"/>
        <w:w w:val="100"/>
        <w:sz w:val="21"/>
        <w:szCs w:val="21"/>
      </w:rPr>
    </w:lvl>
    <w:lvl w:ilvl="2">
      <w:start w:val="0"/>
      <w:numFmt w:val="bullet"/>
      <w:lvlText w:val="•"/>
      <w:lvlJc w:val="left"/>
      <w:pPr>
        <w:ind w:left="1612" w:hanging="526"/>
      </w:pPr>
      <w:rPr>
        <w:rFonts w:hint="default"/>
      </w:rPr>
    </w:lvl>
    <w:lvl w:ilvl="3">
      <w:start w:val="0"/>
      <w:numFmt w:val="bullet"/>
      <w:lvlText w:val="•"/>
      <w:lvlJc w:val="left"/>
      <w:pPr>
        <w:ind w:left="1888" w:hanging="526"/>
      </w:pPr>
      <w:rPr>
        <w:rFonts w:hint="default"/>
      </w:rPr>
    </w:lvl>
    <w:lvl w:ilvl="4">
      <w:start w:val="0"/>
      <w:numFmt w:val="bullet"/>
      <w:lvlText w:val="•"/>
      <w:lvlJc w:val="left"/>
      <w:pPr>
        <w:ind w:left="2165" w:hanging="526"/>
      </w:pPr>
      <w:rPr>
        <w:rFonts w:hint="default"/>
      </w:rPr>
    </w:lvl>
    <w:lvl w:ilvl="5">
      <w:start w:val="0"/>
      <w:numFmt w:val="bullet"/>
      <w:lvlText w:val="•"/>
      <w:lvlJc w:val="left"/>
      <w:pPr>
        <w:ind w:left="2441" w:hanging="526"/>
      </w:pPr>
      <w:rPr>
        <w:rFonts w:hint="default"/>
      </w:rPr>
    </w:lvl>
    <w:lvl w:ilvl="6">
      <w:start w:val="0"/>
      <w:numFmt w:val="bullet"/>
      <w:lvlText w:val="•"/>
      <w:lvlJc w:val="left"/>
      <w:pPr>
        <w:ind w:left="2717" w:hanging="526"/>
      </w:pPr>
      <w:rPr>
        <w:rFonts w:hint="default"/>
      </w:rPr>
    </w:lvl>
    <w:lvl w:ilvl="7">
      <w:start w:val="0"/>
      <w:numFmt w:val="bullet"/>
      <w:lvlText w:val="•"/>
      <w:lvlJc w:val="left"/>
      <w:pPr>
        <w:ind w:left="2993" w:hanging="526"/>
      </w:pPr>
      <w:rPr>
        <w:rFonts w:hint="default"/>
      </w:rPr>
    </w:lvl>
    <w:lvl w:ilvl="8">
      <w:start w:val="0"/>
      <w:numFmt w:val="bullet"/>
      <w:lvlText w:val="•"/>
      <w:lvlJc w:val="left"/>
      <w:pPr>
        <w:ind w:left="3270" w:hanging="526"/>
      </w:pPr>
      <w:rPr>
        <w:rFonts w:hint="default"/>
      </w:rPr>
    </w:lvl>
  </w:abstractNum>
  <w:abstractNum w:abstractNumId="4">
    <w:multiLevelType w:val="hybridMultilevel"/>
    <w:lvl w:ilvl="0">
      <w:start w:val="7"/>
      <w:numFmt w:val="decimal"/>
      <w:lvlText w:val="%1"/>
      <w:lvlJc w:val="left"/>
      <w:pPr>
        <w:ind w:left="949" w:hanging="423"/>
        <w:jc w:val="left"/>
      </w:pPr>
      <w:rPr>
        <w:rFonts w:hint="default"/>
      </w:rPr>
    </w:lvl>
    <w:lvl w:ilvl="1">
      <w:start w:val="5"/>
      <w:numFmt w:val="decimal"/>
      <w:lvlText w:val="%1.%2"/>
      <w:lvlJc w:val="left"/>
      <w:pPr>
        <w:ind w:left="949" w:hanging="423"/>
        <w:jc w:val="left"/>
      </w:pPr>
      <w:rPr>
        <w:rFonts w:hint="default" w:ascii="黑体" w:hAnsi="黑体" w:eastAsia="黑体" w:cs="黑体"/>
        <w:w w:val="100"/>
        <w:sz w:val="21"/>
        <w:szCs w:val="21"/>
      </w:rPr>
    </w:lvl>
    <w:lvl w:ilvl="2">
      <w:start w:val="0"/>
      <w:numFmt w:val="bullet"/>
      <w:lvlText w:val="•"/>
      <w:lvlJc w:val="left"/>
      <w:pPr>
        <w:ind w:left="1193" w:hanging="423"/>
      </w:pPr>
      <w:rPr>
        <w:rFonts w:hint="default"/>
      </w:rPr>
    </w:lvl>
    <w:lvl w:ilvl="3">
      <w:start w:val="0"/>
      <w:numFmt w:val="bullet"/>
      <w:lvlText w:val="•"/>
      <w:lvlJc w:val="left"/>
      <w:pPr>
        <w:ind w:left="1320" w:hanging="423"/>
      </w:pPr>
      <w:rPr>
        <w:rFonts w:hint="default"/>
      </w:rPr>
    </w:lvl>
    <w:lvl w:ilvl="4">
      <w:start w:val="0"/>
      <w:numFmt w:val="bullet"/>
      <w:lvlText w:val="•"/>
      <w:lvlJc w:val="left"/>
      <w:pPr>
        <w:ind w:left="1447" w:hanging="423"/>
      </w:pPr>
      <w:rPr>
        <w:rFonts w:hint="default"/>
      </w:rPr>
    </w:lvl>
    <w:lvl w:ilvl="5">
      <w:start w:val="0"/>
      <w:numFmt w:val="bullet"/>
      <w:lvlText w:val="•"/>
      <w:lvlJc w:val="left"/>
      <w:pPr>
        <w:ind w:left="1574" w:hanging="423"/>
      </w:pPr>
      <w:rPr>
        <w:rFonts w:hint="default"/>
      </w:rPr>
    </w:lvl>
    <w:lvl w:ilvl="6">
      <w:start w:val="0"/>
      <w:numFmt w:val="bullet"/>
      <w:lvlText w:val="•"/>
      <w:lvlJc w:val="left"/>
      <w:pPr>
        <w:ind w:left="1701" w:hanging="423"/>
      </w:pPr>
      <w:rPr>
        <w:rFonts w:hint="default"/>
      </w:rPr>
    </w:lvl>
    <w:lvl w:ilvl="7">
      <w:start w:val="0"/>
      <w:numFmt w:val="bullet"/>
      <w:lvlText w:val="•"/>
      <w:lvlJc w:val="left"/>
      <w:pPr>
        <w:ind w:left="1828" w:hanging="423"/>
      </w:pPr>
      <w:rPr>
        <w:rFonts w:hint="default"/>
      </w:rPr>
    </w:lvl>
    <w:lvl w:ilvl="8">
      <w:start w:val="0"/>
      <w:numFmt w:val="bullet"/>
      <w:lvlText w:val="•"/>
      <w:lvlJc w:val="left"/>
      <w:pPr>
        <w:ind w:left="1955" w:hanging="423"/>
      </w:pPr>
      <w:rPr>
        <w:rFonts w:hint="default"/>
      </w:rPr>
    </w:lvl>
  </w:abstractNum>
  <w:abstractNum w:abstractNumId="3">
    <w:multiLevelType w:val="hybridMultilevel"/>
    <w:lvl w:ilvl="0">
      <w:start w:val="9"/>
      <w:numFmt w:val="decimal"/>
      <w:lvlText w:val="%1"/>
      <w:lvlJc w:val="left"/>
      <w:pPr>
        <w:ind w:left="946" w:hanging="423"/>
        <w:jc w:val="left"/>
      </w:pPr>
      <w:rPr>
        <w:rFonts w:hint="default"/>
      </w:rPr>
    </w:lvl>
    <w:lvl w:ilvl="1">
      <w:start w:val="3"/>
      <w:numFmt w:val="decimal"/>
      <w:lvlText w:val="%1.%2"/>
      <w:lvlJc w:val="left"/>
      <w:pPr>
        <w:ind w:left="944" w:hanging="423"/>
        <w:jc w:val="left"/>
      </w:pPr>
      <w:rPr>
        <w:rFonts w:hint="default" w:ascii="黑体" w:hAnsi="黑体" w:eastAsia="黑体" w:cs="黑体"/>
        <w:w w:val="100"/>
        <w:sz w:val="21"/>
        <w:szCs w:val="21"/>
      </w:rPr>
    </w:lvl>
    <w:lvl w:ilvl="2">
      <w:start w:val="0"/>
      <w:numFmt w:val="bullet"/>
      <w:lvlText w:val="•"/>
      <w:lvlJc w:val="left"/>
      <w:pPr>
        <w:ind w:left="1514" w:hanging="423"/>
      </w:pPr>
      <w:rPr>
        <w:rFonts w:hint="default"/>
      </w:rPr>
    </w:lvl>
    <w:lvl w:ilvl="3">
      <w:start w:val="0"/>
      <w:numFmt w:val="bullet"/>
      <w:lvlText w:val="•"/>
      <w:lvlJc w:val="left"/>
      <w:pPr>
        <w:ind w:left="1802" w:hanging="423"/>
      </w:pPr>
      <w:rPr>
        <w:rFonts w:hint="default"/>
      </w:rPr>
    </w:lvl>
    <w:lvl w:ilvl="4">
      <w:start w:val="0"/>
      <w:numFmt w:val="bullet"/>
      <w:lvlText w:val="•"/>
      <w:lvlJc w:val="left"/>
      <w:pPr>
        <w:ind w:left="2089" w:hanging="423"/>
      </w:pPr>
      <w:rPr>
        <w:rFonts w:hint="default"/>
      </w:rPr>
    </w:lvl>
    <w:lvl w:ilvl="5">
      <w:start w:val="0"/>
      <w:numFmt w:val="bullet"/>
      <w:lvlText w:val="•"/>
      <w:lvlJc w:val="left"/>
      <w:pPr>
        <w:ind w:left="2377" w:hanging="423"/>
      </w:pPr>
      <w:rPr>
        <w:rFonts w:hint="default"/>
      </w:rPr>
    </w:lvl>
    <w:lvl w:ilvl="6">
      <w:start w:val="0"/>
      <w:numFmt w:val="bullet"/>
      <w:lvlText w:val="•"/>
      <w:lvlJc w:val="left"/>
      <w:pPr>
        <w:ind w:left="2664" w:hanging="423"/>
      </w:pPr>
      <w:rPr>
        <w:rFonts w:hint="default"/>
      </w:rPr>
    </w:lvl>
    <w:lvl w:ilvl="7">
      <w:start w:val="0"/>
      <w:numFmt w:val="bullet"/>
      <w:lvlText w:val="•"/>
      <w:lvlJc w:val="left"/>
      <w:pPr>
        <w:ind w:left="2952" w:hanging="423"/>
      </w:pPr>
      <w:rPr>
        <w:rFonts w:hint="default"/>
      </w:rPr>
    </w:lvl>
    <w:lvl w:ilvl="8">
      <w:start w:val="0"/>
      <w:numFmt w:val="bullet"/>
      <w:lvlText w:val="•"/>
      <w:lvlJc w:val="left"/>
      <w:pPr>
        <w:ind w:left="3239" w:hanging="423"/>
      </w:pPr>
      <w:rPr>
        <w:rFonts w:hint="default"/>
      </w:rPr>
    </w:lvl>
  </w:abstractNum>
  <w:abstractNum w:abstractNumId="2">
    <w:multiLevelType w:val="hybridMultilevel"/>
    <w:lvl w:ilvl="0">
      <w:start w:val="6"/>
      <w:numFmt w:val="decimal"/>
      <w:lvlText w:val="%1"/>
      <w:lvlJc w:val="left"/>
      <w:pPr>
        <w:ind w:left="948" w:hanging="423"/>
        <w:jc w:val="left"/>
      </w:pPr>
      <w:rPr>
        <w:rFonts w:hint="default"/>
      </w:rPr>
    </w:lvl>
    <w:lvl w:ilvl="1">
      <w:start w:val="1"/>
      <w:numFmt w:val="decimal"/>
      <w:lvlText w:val="%1.%2"/>
      <w:lvlJc w:val="left"/>
      <w:pPr>
        <w:ind w:left="948" w:hanging="423"/>
        <w:jc w:val="left"/>
      </w:pPr>
      <w:rPr>
        <w:rFonts w:hint="default" w:ascii="黑体" w:hAnsi="黑体" w:eastAsia="黑体" w:cs="黑体"/>
        <w:w w:val="100"/>
        <w:sz w:val="21"/>
        <w:szCs w:val="21"/>
      </w:rPr>
    </w:lvl>
    <w:lvl w:ilvl="2">
      <w:start w:val="0"/>
      <w:numFmt w:val="bullet"/>
      <w:lvlText w:val="•"/>
      <w:lvlJc w:val="left"/>
      <w:pPr>
        <w:ind w:left="1396" w:hanging="423"/>
      </w:pPr>
      <w:rPr>
        <w:rFonts w:hint="default"/>
      </w:rPr>
    </w:lvl>
    <w:lvl w:ilvl="3">
      <w:start w:val="0"/>
      <w:numFmt w:val="bullet"/>
      <w:lvlText w:val="•"/>
      <w:lvlJc w:val="left"/>
      <w:pPr>
        <w:ind w:left="1625" w:hanging="423"/>
      </w:pPr>
      <w:rPr>
        <w:rFonts w:hint="default"/>
      </w:rPr>
    </w:lvl>
    <w:lvl w:ilvl="4">
      <w:start w:val="0"/>
      <w:numFmt w:val="bullet"/>
      <w:lvlText w:val="•"/>
      <w:lvlJc w:val="left"/>
      <w:pPr>
        <w:ind w:left="1853" w:hanging="423"/>
      </w:pPr>
      <w:rPr>
        <w:rFonts w:hint="default"/>
      </w:rPr>
    </w:lvl>
    <w:lvl w:ilvl="5">
      <w:start w:val="0"/>
      <w:numFmt w:val="bullet"/>
      <w:lvlText w:val="•"/>
      <w:lvlJc w:val="left"/>
      <w:pPr>
        <w:ind w:left="2081" w:hanging="423"/>
      </w:pPr>
      <w:rPr>
        <w:rFonts w:hint="default"/>
      </w:rPr>
    </w:lvl>
    <w:lvl w:ilvl="6">
      <w:start w:val="0"/>
      <w:numFmt w:val="bullet"/>
      <w:lvlText w:val="•"/>
      <w:lvlJc w:val="left"/>
      <w:pPr>
        <w:ind w:left="2310" w:hanging="423"/>
      </w:pPr>
      <w:rPr>
        <w:rFonts w:hint="default"/>
      </w:rPr>
    </w:lvl>
    <w:lvl w:ilvl="7">
      <w:start w:val="0"/>
      <w:numFmt w:val="bullet"/>
      <w:lvlText w:val="•"/>
      <w:lvlJc w:val="left"/>
      <w:pPr>
        <w:ind w:left="2538" w:hanging="423"/>
      </w:pPr>
      <w:rPr>
        <w:rFonts w:hint="default"/>
      </w:rPr>
    </w:lvl>
    <w:lvl w:ilvl="8">
      <w:start w:val="0"/>
      <w:numFmt w:val="bullet"/>
      <w:lvlText w:val="•"/>
      <w:lvlJc w:val="left"/>
      <w:pPr>
        <w:ind w:left="2767" w:hanging="423"/>
      </w:pPr>
      <w:rPr>
        <w:rFonts w:hint="default"/>
      </w:rPr>
    </w:lvl>
  </w:abstractNum>
  <w:abstractNum w:abstractNumId="1">
    <w:multiLevelType w:val="hybridMultilevel"/>
    <w:lvl w:ilvl="0">
      <w:start w:val="1"/>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13"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867" w:hanging="423"/>
      </w:pPr>
      <w:rPr>
        <w:rFonts w:hint="default"/>
      </w:rPr>
    </w:lvl>
    <w:lvl w:ilvl="5">
      <w:start w:val="0"/>
      <w:numFmt w:val="bullet"/>
      <w:lvlText w:val="•"/>
      <w:lvlJc w:val="left"/>
      <w:pPr>
        <w:ind w:left="2094" w:hanging="423"/>
      </w:pPr>
      <w:rPr>
        <w:rFonts w:hint="default"/>
      </w:rPr>
    </w:lvl>
    <w:lvl w:ilvl="6">
      <w:start w:val="0"/>
      <w:numFmt w:val="bullet"/>
      <w:lvlText w:val="•"/>
      <w:lvlJc w:val="left"/>
      <w:pPr>
        <w:ind w:left="2320" w:hanging="423"/>
      </w:pPr>
      <w:rPr>
        <w:rFonts w:hint="default"/>
      </w:rPr>
    </w:lvl>
    <w:lvl w:ilvl="7">
      <w:start w:val="0"/>
      <w:numFmt w:val="bullet"/>
      <w:lvlText w:val="•"/>
      <w:lvlJc w:val="left"/>
      <w:pPr>
        <w:ind w:left="2547" w:hanging="423"/>
      </w:pPr>
      <w:rPr>
        <w:rFonts w:hint="default"/>
      </w:rPr>
    </w:lvl>
    <w:lvl w:ilvl="8">
      <w:start w:val="0"/>
      <w:numFmt w:val="bullet"/>
      <w:lvlText w:val="•"/>
      <w:lvlJc w:val="left"/>
      <w:pPr>
        <w:ind w:left="2774" w:hanging="423"/>
      </w:pPr>
      <w:rPr>
        <w:rFonts w:hint="default"/>
      </w:rPr>
    </w:lvl>
  </w:abstractNum>
  <w:abstractNum w:abstractNumId="0">
    <w:multiLevelType w:val="hybridMultilevel"/>
    <w:lvl w:ilvl="0">
      <w:start w:val="0"/>
      <w:numFmt w:val="bullet"/>
      <w:lvlText w:val=""/>
      <w:lvlJc w:val="left"/>
      <w:pPr>
        <w:ind w:left="849" w:hanging="454"/>
      </w:pPr>
      <w:rPr>
        <w:rFonts w:hint="default" w:ascii="Wingdings" w:hAnsi="Wingdings" w:eastAsia="Wingdings" w:cs="Wingdings"/>
        <w:w w:val="100"/>
        <w:sz w:val="21"/>
        <w:szCs w:val="21"/>
      </w:rPr>
    </w:lvl>
    <w:lvl w:ilvl="1">
      <w:start w:val="0"/>
      <w:numFmt w:val="bullet"/>
      <w:lvlText w:val="•"/>
      <w:lvlJc w:val="left"/>
      <w:pPr>
        <w:ind w:left="1790" w:hanging="454"/>
      </w:pPr>
      <w:rPr>
        <w:rFonts w:hint="default"/>
      </w:rPr>
    </w:lvl>
    <w:lvl w:ilvl="2">
      <w:start w:val="0"/>
      <w:numFmt w:val="bullet"/>
      <w:lvlText w:val="•"/>
      <w:lvlJc w:val="left"/>
      <w:pPr>
        <w:ind w:left="2741" w:hanging="454"/>
      </w:pPr>
      <w:rPr>
        <w:rFonts w:hint="default"/>
      </w:rPr>
    </w:lvl>
    <w:lvl w:ilvl="3">
      <w:start w:val="0"/>
      <w:numFmt w:val="bullet"/>
      <w:lvlText w:val="•"/>
      <w:lvlJc w:val="left"/>
      <w:pPr>
        <w:ind w:left="3691" w:hanging="454"/>
      </w:pPr>
      <w:rPr>
        <w:rFonts w:hint="default"/>
      </w:rPr>
    </w:lvl>
    <w:lvl w:ilvl="4">
      <w:start w:val="0"/>
      <w:numFmt w:val="bullet"/>
      <w:lvlText w:val="•"/>
      <w:lvlJc w:val="left"/>
      <w:pPr>
        <w:ind w:left="4642" w:hanging="454"/>
      </w:pPr>
      <w:rPr>
        <w:rFonts w:hint="default"/>
      </w:rPr>
    </w:lvl>
    <w:lvl w:ilvl="5">
      <w:start w:val="0"/>
      <w:numFmt w:val="bullet"/>
      <w:lvlText w:val="•"/>
      <w:lvlJc w:val="left"/>
      <w:pPr>
        <w:ind w:left="5593" w:hanging="454"/>
      </w:pPr>
      <w:rPr>
        <w:rFonts w:hint="default"/>
      </w:rPr>
    </w:lvl>
    <w:lvl w:ilvl="6">
      <w:start w:val="0"/>
      <w:numFmt w:val="bullet"/>
      <w:lvlText w:val="•"/>
      <w:lvlJc w:val="left"/>
      <w:pPr>
        <w:ind w:left="6543" w:hanging="454"/>
      </w:pPr>
      <w:rPr>
        <w:rFonts w:hint="default"/>
      </w:rPr>
    </w:lvl>
    <w:lvl w:ilvl="7">
      <w:start w:val="0"/>
      <w:numFmt w:val="bullet"/>
      <w:lvlText w:val="•"/>
      <w:lvlJc w:val="left"/>
      <w:pPr>
        <w:ind w:left="7494" w:hanging="454"/>
      </w:pPr>
      <w:rPr>
        <w:rFonts w:hint="default"/>
      </w:rPr>
    </w:lvl>
    <w:lvl w:ilvl="8">
      <w:start w:val="0"/>
      <w:numFmt w:val="bullet"/>
      <w:lvlText w:val="•"/>
      <w:lvlJc w:val="left"/>
      <w:pPr>
        <w:ind w:left="8445" w:hanging="454"/>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黑体" w:hAnsi="黑体" w:eastAsia="黑体" w:cs="黑体"/>
      <w:sz w:val="21"/>
      <w:szCs w:val="21"/>
    </w:rPr>
  </w:style>
  <w:style w:styleId="Heading1" w:type="paragraph">
    <w:name w:val="Heading 1"/>
    <w:basedOn w:val="Normal"/>
    <w:uiPriority w:val="1"/>
    <w:qFormat/>
    <w:pPr>
      <w:ind w:left="3004"/>
      <w:outlineLvl w:val="1"/>
    </w:pPr>
    <w:rPr>
      <w:rFonts w:ascii="黑体" w:hAnsi="黑体" w:eastAsia="黑体" w:cs="黑体"/>
      <w:b/>
      <w:bCs/>
      <w:sz w:val="32"/>
      <w:szCs w:val="32"/>
    </w:rPr>
  </w:style>
  <w:style w:styleId="ListParagraph" w:type="paragraph">
    <w:name w:val="List Paragraph"/>
    <w:basedOn w:val="Normal"/>
    <w:uiPriority w:val="1"/>
    <w:qFormat/>
    <w:pPr>
      <w:spacing w:before="44"/>
      <w:ind w:left="849" w:hanging="423"/>
    </w:pPr>
    <w:rPr>
      <w:rFonts w:ascii="黑体" w:hAnsi="黑体" w:eastAsia="黑体" w:cs="黑体"/>
    </w:rPr>
  </w:style>
  <w:style w:styleId="TableParagraph" w:type="paragraph">
    <w:name w:val="Table Paragraph"/>
    <w:basedOn w:val="Normal"/>
    <w:uiPriority w:val="1"/>
    <w:qFormat/>
    <w:pPr>
      <w:ind w:left="1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2018-10-19T23:08:48Z</dcterms:created>
  <dcterms:modified xsi:type="dcterms:W3CDTF">2018-10-19T23:08:48Z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Acrobat PDFMaker 9.0 Word 版</vt:lpwstr>
  </property>
  <property fmtid="{D5CDD505-2E9C-101B-9397-08002B2CF9AE}" pid="4" name="LastSaved">
    <vt:filetime>2018-10-19T00:00:00Z</vt:filetime>
  </property>
</Properties>
</file>