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41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154"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10" w:h="16840"/>
          <w:pgMar w:footer="831" w:top="640" w:bottom="1020" w:left="880" w:right="920"/>
          <w:pgNumType w:start="1"/>
        </w:sectPr>
      </w:pPr>
    </w:p>
    <w:p>
      <w:pPr>
        <w:pStyle w:val="BodyText"/>
        <w:rPr>
          <w:rFonts w:ascii="Times New Roman"/>
          <w:sz w:val="28"/>
        </w:rPr>
      </w:pPr>
    </w:p>
    <w:p>
      <w:pPr>
        <w:pStyle w:val="BodyText"/>
        <w:spacing w:before="10"/>
        <w:rPr>
          <w:rFonts w:ascii="Times New Roman"/>
          <w:sz w:val="24"/>
        </w:rPr>
      </w:pPr>
    </w:p>
    <w:p>
      <w:pPr>
        <w:spacing w:before="0"/>
        <w:ind w:left="0" w:right="0" w:firstLine="0"/>
        <w:jc w:val="right"/>
        <w:rPr>
          <w:b/>
          <w:sz w:val="28"/>
        </w:rPr>
      </w:pPr>
      <w:r>
        <w:rPr>
          <w:b/>
          <w:sz w:val="28"/>
        </w:rPr>
        <w:t>阅 读 指 引</w:t>
      </w:r>
    </w:p>
    <w:p>
      <w:pPr>
        <w:pStyle w:val="BodyText"/>
        <w:spacing w:line="233" w:lineRule="exact"/>
        <w:ind w:left="819"/>
      </w:pPr>
      <w:r>
        <w:rPr/>
        <w:br w:type="column"/>
      </w:r>
      <w:r>
        <w:rPr/>
        <w:t>中德安联人寿[2016]疾病保险 004 号</w:t>
      </w:r>
    </w:p>
    <w:p>
      <w:pPr>
        <w:pStyle w:val="BodyText"/>
        <w:spacing w:line="260" w:lineRule="exact"/>
        <w:ind w:left="2019"/>
      </w:pPr>
      <w:r>
        <w:rPr>
          <w:w w:val="95"/>
        </w:rPr>
        <w:t>请扫描以查询验证条款</w:t>
      </w:r>
    </w:p>
    <w:p>
      <w:pPr>
        <w:spacing w:after="0" w:line="260" w:lineRule="exact"/>
        <w:sectPr>
          <w:type w:val="continuous"/>
          <w:pgSz w:w="11910" w:h="16840"/>
          <w:pgMar w:top="640" w:bottom="1020" w:left="880" w:right="920"/>
          <w:cols w:num="2" w:equalWidth="0">
            <w:col w:w="5863" w:space="40"/>
            <w:col w:w="4207"/>
          </w:cols>
        </w:sectPr>
      </w:pPr>
    </w:p>
    <w:p>
      <w:pPr>
        <w:pStyle w:val="BodyText"/>
        <w:spacing w:before="7"/>
        <w:rPr>
          <w:sz w:val="9"/>
        </w:rPr>
      </w:pPr>
    </w:p>
    <w:p>
      <w:pPr>
        <w:spacing w:line="340" w:lineRule="auto" w:before="38"/>
        <w:ind w:left="353" w:right="512" w:firstLine="226"/>
        <w:jc w:val="left"/>
        <w:rPr>
          <w:b/>
          <w:sz w:val="20"/>
        </w:rPr>
      </w:pPr>
      <w:r>
        <w:rPr/>
        <w:pict>
          <v:group style="position:absolute;margin-left:49.68pt;margin-top:17.899693pt;width:494.5pt;height:619.65pt;mso-position-horizontal-relative:page;mso-position-vertical-relative:paragraph;z-index:-54136" coordorigin="994,358" coordsize="9890,12393">
            <v:shape style="position:absolute;left:1132;top:2345;width:404;height:200" type="#_x0000_t75" stroked="false">
              <v:imagedata r:id="rId7" o:title=""/>
            </v:shape>
            <v:shape style="position:absolute;left:1132;top:4841;width:404;height:200" type="#_x0000_t75" stroked="false">
              <v:imagedata r:id="rId7" o:title=""/>
            </v:shape>
            <v:line style="position:absolute" from="1274,6035" to="1274,12492" stroked="true" strokeweight=".48pt" strokecolor="#000000">
              <v:stroke dashstyle="solid"/>
            </v:line>
            <v:rect style="position:absolute;left:1269;top:12491;width:10;height:10" filled="true" fillcolor="#000000" stroked="false">
              <v:fill type="solid"/>
            </v:rect>
            <v:line style="position:absolute" from="1279,12496" to="3543,12496" stroked="true" strokeweight=".47998pt" strokecolor="#000000">
              <v:stroke dashstyle="solid"/>
            </v:line>
            <v:rect style="position:absolute;left:3528;top:12491;width:10;height:10" filled="true" fillcolor="#000000" stroked="false">
              <v:fill type="solid"/>
            </v:rect>
            <v:line style="position:absolute" from="3538,12496" to="5811,12496" stroked="true" strokeweight=".47998pt" strokecolor="#000000">
              <v:stroke dashstyle="solid"/>
            </v:line>
            <v:rect style="position:absolute;left:5797;top:12491;width:10;height:10" filled="true" fillcolor="#000000" stroked="false">
              <v:fill type="solid"/>
            </v:rect>
            <v:line style="position:absolute" from="5807,12496" to="8365,12496" stroked="true" strokeweight=".47998pt" strokecolor="#000000">
              <v:stroke dashstyle="solid"/>
            </v:line>
            <v:rect style="position:absolute;left:8351;top:12491;width:10;height:10" filled="true" fillcolor="#000000" stroked="false">
              <v:fill type="solid"/>
            </v:rect>
            <v:line style="position:absolute" from="8361,12496" to="10629,12496" stroked="true" strokeweight=".47998pt" strokecolor="#000000">
              <v:stroke dashstyle="solid"/>
            </v:line>
            <v:line style="position:absolute" from="10634,6035" to="10634,12492" stroked="true" strokeweight=".47998pt" strokecolor="#000000">
              <v:stroke dashstyle="solid"/>
            </v:line>
            <v:rect style="position:absolute;left:10629;top:12491;width:10;height:10" filled="true" fillcolor="#000000" stroked="false">
              <v:fill type="solid"/>
            </v:rect>
            <v:shape style="position:absolute;left:993;top:357;width:9890;height:12393" type="#_x0000_t75" stroked="false">
              <v:imagedata r:id="rId8" o:title=""/>
            </v:shape>
            <w10:wrap type="none"/>
          </v:group>
        </w:pict>
      </w:r>
      <w:r>
        <w:rPr>
          <w:sz w:val="20"/>
        </w:rPr>
        <w:t>本阅读指引有助于您理解条款，对</w:t>
      </w:r>
      <w:r>
        <w:rPr>
          <w:b/>
          <w:spacing w:val="-7"/>
          <w:sz w:val="20"/>
        </w:rPr>
        <w:t>“安联安康长泰 </w:t>
      </w:r>
      <w:r>
        <w:rPr>
          <w:b/>
          <w:sz w:val="20"/>
        </w:rPr>
        <w:t>B</w:t>
      </w:r>
      <w:r>
        <w:rPr>
          <w:b/>
          <w:spacing w:val="-8"/>
          <w:sz w:val="20"/>
        </w:rPr>
        <w:t> 长期重大疾病保险条款”</w:t>
      </w:r>
      <w:r>
        <w:rPr>
          <w:spacing w:val="-2"/>
          <w:sz w:val="20"/>
        </w:rPr>
        <w:t>内容的解释以条款为准。</w:t>
      </w:r>
      <w:r>
        <w:rPr>
          <w:b/>
          <w:spacing w:val="-2"/>
          <w:w w:val="95"/>
          <w:sz w:val="20"/>
        </w:rPr>
        <w:t>您拥有的重要权益</w:t>
      </w:r>
    </w:p>
    <w:p>
      <w:pPr>
        <w:pStyle w:val="ListParagraph"/>
        <w:numPr>
          <w:ilvl w:val="0"/>
          <w:numId w:val="1"/>
        </w:numPr>
        <w:tabs>
          <w:tab w:pos="1213" w:val="left" w:leader="none"/>
          <w:tab w:pos="1214" w:val="left" w:leader="none"/>
          <w:tab w:pos="9551" w:val="right" w:leader="dot"/>
        </w:tabs>
        <w:spacing w:line="242" w:lineRule="exact" w:before="0" w:after="0"/>
        <w:ind w:left="1213" w:right="0" w:hanging="420"/>
        <w:jc w:val="left"/>
        <w:rPr>
          <w:sz w:val="20"/>
        </w:rPr>
      </w:pPr>
      <w:r>
        <w:rPr>
          <w:sz w:val="20"/>
        </w:rPr>
        <w:t>被保险人可以享受本合同提供的保障</w:t>
        <w:tab/>
        <w:t>2.2</w:t>
      </w:r>
    </w:p>
    <w:p>
      <w:pPr>
        <w:pStyle w:val="ListParagraph"/>
        <w:numPr>
          <w:ilvl w:val="0"/>
          <w:numId w:val="1"/>
        </w:numPr>
        <w:tabs>
          <w:tab w:pos="1213" w:val="left" w:leader="none"/>
          <w:tab w:pos="1214" w:val="left" w:leader="none"/>
          <w:tab w:pos="9552" w:val="right" w:leader="dot"/>
        </w:tabs>
        <w:spacing w:line="240" w:lineRule="auto" w:before="36" w:after="0"/>
        <w:ind w:left="1213" w:right="0" w:hanging="420"/>
        <w:jc w:val="left"/>
        <w:rPr>
          <w:sz w:val="20"/>
        </w:rPr>
      </w:pPr>
      <w:r>
        <w:rPr>
          <w:sz w:val="20"/>
        </w:rPr>
        <w:t>您有选择保险费自动垫交的权利</w:t>
        <w:tab/>
        <w:t>3.2</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您有选择减额交清的权利</w:t>
        <w:tab/>
        <w:t>3.3</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您有保单贷款的权利</w:t>
        <w:tab/>
        <w:t>3.4</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您有退保的权利</w:t>
        <w:tab/>
        <w:t>6.1</w:t>
      </w:r>
    </w:p>
    <w:p>
      <w:pPr>
        <w:pStyle w:val="BodyText"/>
        <w:spacing w:before="8"/>
        <w:rPr>
          <w:sz w:val="26"/>
        </w:rPr>
      </w:pPr>
    </w:p>
    <w:p>
      <w:pPr>
        <w:pStyle w:val="Heading2"/>
        <w:spacing w:before="0"/>
        <w:ind w:left="351"/>
      </w:pPr>
      <w:r>
        <w:rPr>
          <w:w w:val="95"/>
        </w:rPr>
        <w:t>您应当特别注意的事项</w:t>
      </w:r>
    </w:p>
    <w:p>
      <w:pPr>
        <w:pStyle w:val="ListParagraph"/>
        <w:numPr>
          <w:ilvl w:val="0"/>
          <w:numId w:val="1"/>
        </w:numPr>
        <w:tabs>
          <w:tab w:pos="1213" w:val="left" w:leader="none"/>
          <w:tab w:pos="1214" w:val="left" w:leader="none"/>
          <w:tab w:pos="9249" w:val="left" w:leader="dot"/>
        </w:tabs>
        <w:spacing w:line="240" w:lineRule="auto" w:before="50" w:after="0"/>
        <w:ind w:left="1213" w:right="0" w:hanging="420"/>
        <w:jc w:val="left"/>
        <w:rPr>
          <w:sz w:val="20"/>
        </w:rPr>
      </w:pPr>
      <w:r>
        <w:rPr>
          <w:sz w:val="20"/>
        </w:rPr>
        <w:t>我们对责任免除的条款作了特别提示，详见条款正文中字体加粗的内容</w:t>
        <w:tab/>
        <w:t>2.3</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您有及时向我们通知保险事故的责任</w:t>
        <w:tab/>
        <w:t>4.2</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您应当按时支付保险费</w:t>
        <w:tab/>
        <w:t>3.1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退保会给您造成一定的损失，请您慎重决策</w:t>
        <w:tab/>
        <w:t>6.1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您有如实告知的义务</w:t>
        <w:tab/>
        <w:t>7.1</w:t>
      </w:r>
    </w:p>
    <w:p>
      <w:pPr>
        <w:pStyle w:val="ListParagraph"/>
        <w:numPr>
          <w:ilvl w:val="0"/>
          <w:numId w:val="1"/>
        </w:numPr>
        <w:tabs>
          <w:tab w:pos="1213" w:val="left" w:leader="none"/>
          <w:tab w:pos="1214" w:val="left" w:leader="none"/>
        </w:tabs>
        <w:spacing w:line="240" w:lineRule="auto" w:before="36" w:after="0"/>
        <w:ind w:left="1213" w:right="0" w:hanging="420"/>
        <w:jc w:val="left"/>
        <w:rPr>
          <w:sz w:val="20"/>
        </w:rPr>
      </w:pPr>
      <w:r>
        <w:rPr>
          <w:spacing w:val="-2"/>
          <w:sz w:val="20"/>
        </w:rPr>
        <w:t>我们对一些重要术语进行了解释，并作了显著标识，请您注意 ......................... 释义</w:t>
      </w:r>
    </w:p>
    <w:p>
      <w:pPr>
        <w:pStyle w:val="BodyText"/>
        <w:spacing w:before="9"/>
        <w:rPr>
          <w:sz w:val="23"/>
        </w:rPr>
      </w:pPr>
    </w:p>
    <w:p>
      <w:pPr>
        <w:pStyle w:val="Heading2"/>
        <w:spacing w:line="571" w:lineRule="auto"/>
        <w:ind w:left="351" w:right="3131"/>
      </w:pPr>
      <w:r>
        <w:rPr/>
        <w:pict>
          <v:shape style="position:absolute;margin-left:63.720001pt;margin-top:49.099709pt;width:468pt;height:277.2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2310"/>
                    <w:gridCol w:w="2650"/>
                    <w:gridCol w:w="2179"/>
                  </w:tblGrid>
                  <w:tr>
                    <w:trPr>
                      <w:trHeight w:val="5534" w:hRule="atLeast"/>
                    </w:trPr>
                    <w:tc>
                      <w:tcPr>
                        <w:tcW w:w="2222" w:type="dxa"/>
                        <w:tcBorders>
                          <w:top w:val="single" w:sz="4" w:space="0" w:color="000000"/>
                        </w:tcBorders>
                      </w:tcPr>
                      <w:p>
                        <w:pPr>
                          <w:pStyle w:val="TableParagraph"/>
                          <w:spacing w:before="33"/>
                          <w:ind w:left="110"/>
                          <w:rPr>
                            <w:b/>
                            <w:sz w:val="15"/>
                          </w:rPr>
                        </w:pPr>
                        <w:r>
                          <w:rPr>
                            <w:b/>
                            <w:sz w:val="15"/>
                          </w:rPr>
                          <w:t>第一部分 您与我们的合同</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保险合同的构成</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保险合同成立与生效</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投保范围</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保险期间</w:t>
                        </w:r>
                      </w:p>
                      <w:p>
                        <w:pPr>
                          <w:pStyle w:val="TableParagraph"/>
                          <w:numPr>
                            <w:ilvl w:val="1"/>
                            <w:numId w:val="2"/>
                          </w:numPr>
                          <w:tabs>
                            <w:tab w:pos="565" w:val="left" w:leader="none"/>
                          </w:tabs>
                          <w:spacing w:line="240" w:lineRule="auto" w:before="115" w:after="0"/>
                          <w:ind w:left="564" w:right="0" w:hanging="302"/>
                          <w:jc w:val="left"/>
                          <w:rPr>
                            <w:sz w:val="15"/>
                          </w:rPr>
                        </w:pPr>
                        <w:r>
                          <w:rPr>
                            <w:spacing w:val="-2"/>
                            <w:sz w:val="15"/>
                          </w:rPr>
                          <w:t>犹豫期</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合同终止</w:t>
                        </w:r>
                      </w:p>
                      <w:p>
                        <w:pPr>
                          <w:pStyle w:val="TableParagraph"/>
                          <w:spacing w:before="115"/>
                          <w:ind w:left="110"/>
                          <w:rPr>
                            <w:b/>
                            <w:sz w:val="15"/>
                          </w:rPr>
                        </w:pPr>
                        <w:r>
                          <w:rPr>
                            <w:b/>
                            <w:sz w:val="15"/>
                          </w:rPr>
                          <w:t>第二部分 我们提供的保障</w:t>
                        </w:r>
                      </w:p>
                      <w:p>
                        <w:pPr>
                          <w:pStyle w:val="TableParagraph"/>
                          <w:numPr>
                            <w:ilvl w:val="1"/>
                            <w:numId w:val="3"/>
                          </w:numPr>
                          <w:tabs>
                            <w:tab w:pos="565" w:val="left" w:leader="none"/>
                          </w:tabs>
                          <w:spacing w:line="240" w:lineRule="auto" w:before="115" w:after="0"/>
                          <w:ind w:left="562" w:right="0" w:hanging="300"/>
                          <w:jc w:val="left"/>
                          <w:rPr>
                            <w:sz w:val="15"/>
                          </w:rPr>
                        </w:pPr>
                        <w:r>
                          <w:rPr>
                            <w:spacing w:val="-2"/>
                            <w:sz w:val="15"/>
                          </w:rPr>
                          <w:t>等待期</w:t>
                        </w:r>
                      </w:p>
                      <w:p>
                        <w:pPr>
                          <w:pStyle w:val="TableParagraph"/>
                          <w:numPr>
                            <w:ilvl w:val="1"/>
                            <w:numId w:val="3"/>
                          </w:numPr>
                          <w:tabs>
                            <w:tab w:pos="565" w:val="left" w:leader="none"/>
                          </w:tabs>
                          <w:spacing w:line="240" w:lineRule="auto" w:before="115" w:after="0"/>
                          <w:ind w:left="562" w:right="0" w:hanging="300"/>
                          <w:jc w:val="left"/>
                          <w:rPr>
                            <w:sz w:val="15"/>
                          </w:rPr>
                        </w:pPr>
                        <w:r>
                          <w:rPr>
                            <w:spacing w:val="-3"/>
                            <w:sz w:val="15"/>
                          </w:rPr>
                          <w:t>保险责任</w:t>
                        </w:r>
                      </w:p>
                      <w:p>
                        <w:pPr>
                          <w:pStyle w:val="TableParagraph"/>
                          <w:numPr>
                            <w:ilvl w:val="1"/>
                            <w:numId w:val="3"/>
                          </w:numPr>
                          <w:tabs>
                            <w:tab w:pos="565" w:val="left" w:leader="none"/>
                          </w:tabs>
                          <w:spacing w:line="240" w:lineRule="auto" w:before="115" w:after="0"/>
                          <w:ind w:left="562" w:right="0" w:hanging="300"/>
                          <w:jc w:val="left"/>
                          <w:rPr>
                            <w:sz w:val="15"/>
                          </w:rPr>
                        </w:pPr>
                        <w:r>
                          <w:rPr>
                            <w:spacing w:val="-3"/>
                            <w:sz w:val="15"/>
                          </w:rPr>
                          <w:t>责任免除</w:t>
                        </w:r>
                      </w:p>
                      <w:p>
                        <w:pPr>
                          <w:pStyle w:val="TableParagraph"/>
                          <w:numPr>
                            <w:ilvl w:val="1"/>
                            <w:numId w:val="3"/>
                          </w:numPr>
                          <w:tabs>
                            <w:tab w:pos="565" w:val="left" w:leader="none"/>
                          </w:tabs>
                          <w:spacing w:line="381" w:lineRule="auto" w:before="115" w:after="0"/>
                          <w:ind w:left="562" w:right="455" w:hanging="300"/>
                          <w:jc w:val="left"/>
                          <w:rPr>
                            <w:sz w:val="15"/>
                          </w:rPr>
                        </w:pPr>
                        <w:r>
                          <w:rPr>
                            <w:spacing w:val="-3"/>
                            <w:sz w:val="15"/>
                          </w:rPr>
                          <w:t>未成年人身故保险金限制</w:t>
                        </w:r>
                      </w:p>
                      <w:p>
                        <w:pPr>
                          <w:pStyle w:val="TableParagraph"/>
                          <w:numPr>
                            <w:ilvl w:val="1"/>
                            <w:numId w:val="3"/>
                          </w:numPr>
                          <w:tabs>
                            <w:tab w:pos="565" w:val="left" w:leader="none"/>
                          </w:tabs>
                          <w:spacing w:line="381" w:lineRule="auto" w:before="27" w:after="0"/>
                          <w:ind w:left="110" w:right="304" w:firstLine="152"/>
                          <w:jc w:val="left"/>
                          <w:rPr>
                            <w:b/>
                            <w:sz w:val="15"/>
                          </w:rPr>
                        </w:pPr>
                        <w:r>
                          <w:rPr>
                            <w:spacing w:val="-3"/>
                            <w:sz w:val="15"/>
                          </w:rPr>
                          <w:t>基本保险金额的变更</w:t>
                        </w:r>
                        <w:r>
                          <w:rPr>
                            <w:b/>
                            <w:spacing w:val="-3"/>
                            <w:sz w:val="15"/>
                          </w:rPr>
                          <w:t>第三部分 如何支付保险费</w:t>
                        </w:r>
                      </w:p>
                      <w:p>
                        <w:pPr>
                          <w:pStyle w:val="TableParagraph"/>
                          <w:numPr>
                            <w:ilvl w:val="1"/>
                            <w:numId w:val="4"/>
                          </w:numPr>
                          <w:tabs>
                            <w:tab w:pos="565" w:val="left" w:leader="none"/>
                          </w:tabs>
                          <w:spacing w:line="240" w:lineRule="auto" w:before="27" w:after="0"/>
                          <w:ind w:left="564" w:right="0" w:hanging="302"/>
                          <w:jc w:val="left"/>
                          <w:rPr>
                            <w:sz w:val="15"/>
                          </w:rPr>
                        </w:pPr>
                        <w:r>
                          <w:rPr>
                            <w:spacing w:val="-3"/>
                            <w:sz w:val="15"/>
                          </w:rPr>
                          <w:t>保险费的支付及宽限期</w:t>
                        </w:r>
                      </w:p>
                      <w:p>
                        <w:pPr>
                          <w:pStyle w:val="TableParagraph"/>
                          <w:numPr>
                            <w:ilvl w:val="1"/>
                            <w:numId w:val="4"/>
                          </w:numPr>
                          <w:tabs>
                            <w:tab w:pos="565" w:val="left" w:leader="none"/>
                          </w:tabs>
                          <w:spacing w:line="240" w:lineRule="auto" w:before="115" w:after="0"/>
                          <w:ind w:left="564" w:right="0" w:hanging="302"/>
                          <w:jc w:val="left"/>
                          <w:rPr>
                            <w:sz w:val="15"/>
                          </w:rPr>
                        </w:pPr>
                        <w:r>
                          <w:rPr>
                            <w:spacing w:val="-3"/>
                            <w:sz w:val="15"/>
                          </w:rPr>
                          <w:t>保险费的自动垫交</w:t>
                        </w:r>
                      </w:p>
                    </w:tc>
                    <w:tc>
                      <w:tcPr>
                        <w:tcW w:w="2310" w:type="dxa"/>
                        <w:tcBorders>
                          <w:top w:val="single" w:sz="4" w:space="0" w:color="000000"/>
                        </w:tcBorders>
                      </w:tcPr>
                      <w:p>
                        <w:pPr>
                          <w:pStyle w:val="TableParagraph"/>
                          <w:numPr>
                            <w:ilvl w:val="1"/>
                            <w:numId w:val="5"/>
                          </w:numPr>
                          <w:tabs>
                            <w:tab w:pos="611" w:val="left" w:leader="none"/>
                          </w:tabs>
                          <w:spacing w:line="240" w:lineRule="auto" w:before="33" w:after="0"/>
                          <w:ind w:left="611" w:right="0" w:hanging="303"/>
                          <w:jc w:val="left"/>
                          <w:rPr>
                            <w:sz w:val="15"/>
                          </w:rPr>
                        </w:pPr>
                        <w:r>
                          <w:rPr>
                            <w:spacing w:val="-3"/>
                            <w:sz w:val="15"/>
                          </w:rPr>
                          <w:t>减额交清选择</w:t>
                        </w:r>
                      </w:p>
                      <w:p>
                        <w:pPr>
                          <w:pStyle w:val="TableParagraph"/>
                          <w:numPr>
                            <w:ilvl w:val="1"/>
                            <w:numId w:val="5"/>
                          </w:numPr>
                          <w:tabs>
                            <w:tab w:pos="611" w:val="left" w:leader="none"/>
                          </w:tabs>
                          <w:spacing w:line="240" w:lineRule="auto" w:before="115" w:after="0"/>
                          <w:ind w:left="611" w:right="0" w:hanging="303"/>
                          <w:jc w:val="left"/>
                          <w:rPr>
                            <w:sz w:val="15"/>
                          </w:rPr>
                        </w:pPr>
                        <w:r>
                          <w:rPr>
                            <w:spacing w:val="-3"/>
                            <w:sz w:val="15"/>
                          </w:rPr>
                          <w:t>保单贷款</w:t>
                        </w:r>
                      </w:p>
                      <w:p>
                        <w:pPr>
                          <w:pStyle w:val="TableParagraph"/>
                          <w:numPr>
                            <w:ilvl w:val="1"/>
                            <w:numId w:val="5"/>
                          </w:numPr>
                          <w:tabs>
                            <w:tab w:pos="611" w:val="left" w:leader="none"/>
                          </w:tabs>
                          <w:spacing w:line="240" w:lineRule="auto" w:before="115" w:after="0"/>
                          <w:ind w:left="611" w:right="0" w:hanging="303"/>
                          <w:jc w:val="left"/>
                          <w:rPr>
                            <w:sz w:val="15"/>
                          </w:rPr>
                        </w:pPr>
                        <w:r>
                          <w:rPr>
                            <w:spacing w:val="-3"/>
                            <w:sz w:val="15"/>
                          </w:rPr>
                          <w:t>保单欠款的扣除</w:t>
                        </w:r>
                      </w:p>
                      <w:p>
                        <w:pPr>
                          <w:pStyle w:val="TableParagraph"/>
                          <w:spacing w:before="115"/>
                          <w:ind w:left="156"/>
                          <w:rPr>
                            <w:b/>
                            <w:sz w:val="15"/>
                          </w:rPr>
                        </w:pPr>
                        <w:r>
                          <w:rPr>
                            <w:b/>
                            <w:sz w:val="15"/>
                          </w:rPr>
                          <w:t>第四部分 如何申请领取保险金</w:t>
                        </w:r>
                      </w:p>
                      <w:p>
                        <w:pPr>
                          <w:pStyle w:val="TableParagraph"/>
                          <w:numPr>
                            <w:ilvl w:val="1"/>
                            <w:numId w:val="6"/>
                          </w:numPr>
                          <w:tabs>
                            <w:tab w:pos="611" w:val="left" w:leader="none"/>
                          </w:tabs>
                          <w:spacing w:line="240" w:lineRule="auto" w:before="115" w:after="0"/>
                          <w:ind w:left="611" w:right="0" w:hanging="303"/>
                          <w:jc w:val="left"/>
                          <w:rPr>
                            <w:sz w:val="15"/>
                          </w:rPr>
                        </w:pPr>
                        <w:r>
                          <w:rPr>
                            <w:spacing w:val="-2"/>
                            <w:sz w:val="15"/>
                          </w:rPr>
                          <w:t>受益人</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保险事故通知</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保险金申请</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保险金给付</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诉讼时效</w:t>
                        </w:r>
                      </w:p>
                      <w:p>
                        <w:pPr>
                          <w:pStyle w:val="TableParagraph"/>
                          <w:spacing w:before="115"/>
                          <w:ind w:left="156"/>
                          <w:rPr>
                            <w:b/>
                            <w:sz w:val="15"/>
                          </w:rPr>
                        </w:pPr>
                        <w:r>
                          <w:rPr>
                            <w:b/>
                            <w:sz w:val="15"/>
                          </w:rPr>
                          <w:t>第五部分 合同效力的恢复</w:t>
                        </w:r>
                      </w:p>
                      <w:p>
                        <w:pPr>
                          <w:pStyle w:val="TableParagraph"/>
                          <w:spacing w:before="115"/>
                          <w:ind w:left="308"/>
                          <w:rPr>
                            <w:sz w:val="15"/>
                          </w:rPr>
                        </w:pPr>
                        <w:r>
                          <w:rPr>
                            <w:sz w:val="15"/>
                          </w:rPr>
                          <w:t>5.1 效力恢复</w:t>
                        </w:r>
                      </w:p>
                      <w:p>
                        <w:pPr>
                          <w:pStyle w:val="TableParagraph"/>
                          <w:spacing w:before="115"/>
                          <w:ind w:left="156"/>
                          <w:rPr>
                            <w:b/>
                            <w:sz w:val="15"/>
                          </w:rPr>
                        </w:pPr>
                        <w:r>
                          <w:rPr>
                            <w:b/>
                            <w:sz w:val="15"/>
                          </w:rPr>
                          <w:t>第六部分 如何解除保险合同</w:t>
                        </w:r>
                      </w:p>
                      <w:p>
                        <w:pPr>
                          <w:pStyle w:val="TableParagraph"/>
                          <w:spacing w:line="381" w:lineRule="auto" w:before="115"/>
                          <w:ind w:left="156" w:right="497" w:firstLine="151"/>
                          <w:rPr>
                            <w:b/>
                            <w:sz w:val="15"/>
                          </w:rPr>
                        </w:pPr>
                        <w:r>
                          <w:rPr>
                            <w:sz w:val="15"/>
                          </w:rPr>
                          <w:t>6.1 合同的解除及风险</w:t>
                        </w:r>
                        <w:r>
                          <w:rPr>
                            <w:b/>
                            <w:sz w:val="15"/>
                          </w:rPr>
                          <w:t>第七部分 其他重要事项</w:t>
                        </w:r>
                      </w:p>
                      <w:p>
                        <w:pPr>
                          <w:pStyle w:val="TableParagraph"/>
                          <w:numPr>
                            <w:ilvl w:val="1"/>
                            <w:numId w:val="7"/>
                          </w:numPr>
                          <w:tabs>
                            <w:tab w:pos="611" w:val="left" w:leader="none"/>
                          </w:tabs>
                          <w:spacing w:line="240" w:lineRule="auto" w:before="27" w:after="0"/>
                          <w:ind w:left="611" w:right="0" w:hanging="303"/>
                          <w:jc w:val="left"/>
                          <w:rPr>
                            <w:sz w:val="15"/>
                          </w:rPr>
                        </w:pPr>
                        <w:r>
                          <w:rPr>
                            <w:spacing w:val="-3"/>
                            <w:sz w:val="15"/>
                          </w:rPr>
                          <w:t>明确说明与如实告知</w:t>
                        </w:r>
                      </w:p>
                      <w:p>
                        <w:pPr>
                          <w:pStyle w:val="TableParagraph"/>
                          <w:numPr>
                            <w:ilvl w:val="1"/>
                            <w:numId w:val="7"/>
                          </w:numPr>
                          <w:tabs>
                            <w:tab w:pos="611" w:val="left" w:leader="none"/>
                          </w:tabs>
                          <w:spacing w:line="240" w:lineRule="auto" w:before="115" w:after="0"/>
                          <w:ind w:left="611" w:right="0" w:hanging="303"/>
                          <w:jc w:val="left"/>
                          <w:rPr>
                            <w:sz w:val="15"/>
                          </w:rPr>
                        </w:pPr>
                        <w:r>
                          <w:rPr>
                            <w:spacing w:val="-3"/>
                            <w:sz w:val="15"/>
                          </w:rPr>
                          <w:t>我们合同解除权的限制</w:t>
                        </w:r>
                      </w:p>
                      <w:p>
                        <w:pPr>
                          <w:pStyle w:val="TableParagraph"/>
                          <w:numPr>
                            <w:ilvl w:val="1"/>
                            <w:numId w:val="7"/>
                          </w:numPr>
                          <w:tabs>
                            <w:tab w:pos="611" w:val="left" w:leader="none"/>
                          </w:tabs>
                          <w:spacing w:line="240" w:lineRule="auto" w:before="115" w:after="0"/>
                          <w:ind w:left="611" w:right="0" w:hanging="303"/>
                          <w:jc w:val="left"/>
                          <w:rPr>
                            <w:sz w:val="15"/>
                          </w:rPr>
                        </w:pPr>
                        <w:r>
                          <w:rPr>
                            <w:spacing w:val="-3"/>
                            <w:sz w:val="15"/>
                          </w:rPr>
                          <w:t>年龄或性别错误</w:t>
                        </w:r>
                      </w:p>
                    </w:tc>
                    <w:tc>
                      <w:tcPr>
                        <w:tcW w:w="2650" w:type="dxa"/>
                        <w:tcBorders>
                          <w:top w:val="single" w:sz="4" w:space="0" w:color="000000"/>
                        </w:tcBorders>
                      </w:tcPr>
                      <w:p>
                        <w:pPr>
                          <w:pStyle w:val="TableParagraph"/>
                          <w:numPr>
                            <w:ilvl w:val="1"/>
                            <w:numId w:val="8"/>
                          </w:numPr>
                          <w:tabs>
                            <w:tab w:pos="569" w:val="left" w:leader="none"/>
                          </w:tabs>
                          <w:spacing w:line="240" w:lineRule="auto" w:before="33" w:after="0"/>
                          <w:ind w:left="569" w:right="0" w:hanging="303"/>
                          <w:jc w:val="left"/>
                          <w:rPr>
                            <w:sz w:val="15"/>
                          </w:rPr>
                        </w:pPr>
                        <w:r>
                          <w:rPr>
                            <w:spacing w:val="-3"/>
                            <w:sz w:val="15"/>
                          </w:rPr>
                          <w:t>变更住所与通讯地址</w:t>
                        </w:r>
                      </w:p>
                      <w:p>
                        <w:pPr>
                          <w:pStyle w:val="TableParagraph"/>
                          <w:numPr>
                            <w:ilvl w:val="1"/>
                            <w:numId w:val="8"/>
                          </w:numPr>
                          <w:tabs>
                            <w:tab w:pos="569" w:val="left" w:leader="none"/>
                          </w:tabs>
                          <w:spacing w:line="240" w:lineRule="auto" w:before="115" w:after="0"/>
                          <w:ind w:left="569" w:right="0" w:hanging="303"/>
                          <w:jc w:val="left"/>
                          <w:rPr>
                            <w:sz w:val="15"/>
                          </w:rPr>
                        </w:pPr>
                        <w:r>
                          <w:rPr>
                            <w:spacing w:val="-3"/>
                            <w:sz w:val="15"/>
                          </w:rPr>
                          <w:t>合同内容变更</w:t>
                        </w:r>
                      </w:p>
                      <w:p>
                        <w:pPr>
                          <w:pStyle w:val="TableParagraph"/>
                          <w:numPr>
                            <w:ilvl w:val="1"/>
                            <w:numId w:val="8"/>
                          </w:numPr>
                          <w:tabs>
                            <w:tab w:pos="569" w:val="left" w:leader="none"/>
                          </w:tabs>
                          <w:spacing w:line="240" w:lineRule="auto" w:before="115" w:after="0"/>
                          <w:ind w:left="569" w:right="0" w:hanging="303"/>
                          <w:jc w:val="left"/>
                          <w:rPr>
                            <w:sz w:val="15"/>
                          </w:rPr>
                        </w:pPr>
                        <w:r>
                          <w:rPr>
                            <w:spacing w:val="-3"/>
                            <w:sz w:val="15"/>
                          </w:rPr>
                          <w:t>法律法规</w:t>
                        </w:r>
                      </w:p>
                      <w:p>
                        <w:pPr>
                          <w:pStyle w:val="TableParagraph"/>
                          <w:numPr>
                            <w:ilvl w:val="1"/>
                            <w:numId w:val="8"/>
                          </w:numPr>
                          <w:tabs>
                            <w:tab w:pos="569" w:val="left" w:leader="none"/>
                          </w:tabs>
                          <w:spacing w:line="240" w:lineRule="auto" w:before="115" w:after="0"/>
                          <w:ind w:left="569" w:right="0" w:hanging="303"/>
                          <w:jc w:val="left"/>
                          <w:rPr>
                            <w:sz w:val="15"/>
                          </w:rPr>
                        </w:pPr>
                        <w:r>
                          <w:rPr>
                            <w:spacing w:val="-3"/>
                            <w:sz w:val="15"/>
                          </w:rPr>
                          <w:t>争议处理</w:t>
                        </w:r>
                      </w:p>
                      <w:p>
                        <w:pPr>
                          <w:pStyle w:val="TableParagraph"/>
                          <w:spacing w:line="381" w:lineRule="auto" w:before="115"/>
                          <w:ind w:left="115" w:right="195"/>
                          <w:jc w:val="both"/>
                          <w:rPr>
                            <w:b/>
                            <w:sz w:val="15"/>
                          </w:rPr>
                        </w:pPr>
                        <w:r>
                          <w:rPr>
                            <w:b/>
                            <w:sz w:val="15"/>
                          </w:rPr>
                          <w:t>附录一 本合同承保的重大疾病列表附录二 本合同承保的轻症重疾列表释义</w:t>
                        </w:r>
                      </w:p>
                      <w:p>
                        <w:pPr>
                          <w:pStyle w:val="TableParagraph"/>
                          <w:numPr>
                            <w:ilvl w:val="0"/>
                            <w:numId w:val="9"/>
                          </w:numPr>
                          <w:tabs>
                            <w:tab w:pos="493" w:val="left" w:leader="none"/>
                          </w:tabs>
                          <w:spacing w:line="240" w:lineRule="auto" w:before="27" w:after="0"/>
                          <w:ind w:left="492" w:right="0" w:hanging="226"/>
                          <w:jc w:val="left"/>
                          <w:rPr>
                            <w:sz w:val="15"/>
                          </w:rPr>
                        </w:pPr>
                        <w:r>
                          <w:rPr>
                            <w:spacing w:val="-2"/>
                            <w:sz w:val="15"/>
                          </w:rPr>
                          <w:t>现金价值</w:t>
                        </w:r>
                      </w:p>
                      <w:p>
                        <w:pPr>
                          <w:pStyle w:val="TableParagraph"/>
                          <w:numPr>
                            <w:ilvl w:val="0"/>
                            <w:numId w:val="9"/>
                          </w:numPr>
                          <w:tabs>
                            <w:tab w:pos="493" w:val="left" w:leader="none"/>
                          </w:tabs>
                          <w:spacing w:line="240" w:lineRule="auto" w:before="115" w:after="0"/>
                          <w:ind w:left="492" w:right="0" w:hanging="226"/>
                          <w:jc w:val="left"/>
                          <w:rPr>
                            <w:sz w:val="15"/>
                          </w:rPr>
                        </w:pPr>
                        <w:r>
                          <w:rPr>
                            <w:spacing w:val="-3"/>
                            <w:sz w:val="15"/>
                          </w:rPr>
                          <w:t>保单生效日</w:t>
                        </w:r>
                      </w:p>
                      <w:p>
                        <w:pPr>
                          <w:pStyle w:val="TableParagraph"/>
                          <w:numPr>
                            <w:ilvl w:val="0"/>
                            <w:numId w:val="9"/>
                          </w:numPr>
                          <w:tabs>
                            <w:tab w:pos="493" w:val="left" w:leader="none"/>
                          </w:tabs>
                          <w:spacing w:line="240" w:lineRule="auto" w:before="115" w:after="0"/>
                          <w:ind w:left="492" w:right="0" w:hanging="226"/>
                          <w:jc w:val="left"/>
                          <w:rPr>
                            <w:sz w:val="15"/>
                          </w:rPr>
                        </w:pPr>
                        <w:r>
                          <w:rPr>
                            <w:spacing w:val="-3"/>
                            <w:sz w:val="15"/>
                          </w:rPr>
                          <w:t>保单周年日</w:t>
                        </w:r>
                      </w:p>
                      <w:p>
                        <w:pPr>
                          <w:pStyle w:val="TableParagraph"/>
                          <w:numPr>
                            <w:ilvl w:val="0"/>
                            <w:numId w:val="9"/>
                          </w:numPr>
                          <w:tabs>
                            <w:tab w:pos="493" w:val="left" w:leader="none"/>
                          </w:tabs>
                          <w:spacing w:line="240" w:lineRule="auto" w:before="115" w:after="0"/>
                          <w:ind w:left="492" w:right="0" w:hanging="226"/>
                          <w:jc w:val="left"/>
                          <w:rPr>
                            <w:sz w:val="15"/>
                          </w:rPr>
                        </w:pPr>
                        <w:r>
                          <w:rPr>
                            <w:spacing w:val="-2"/>
                            <w:sz w:val="15"/>
                          </w:rPr>
                          <w:t>保单年度</w:t>
                        </w:r>
                      </w:p>
                      <w:p>
                        <w:pPr>
                          <w:pStyle w:val="TableParagraph"/>
                          <w:numPr>
                            <w:ilvl w:val="0"/>
                            <w:numId w:val="9"/>
                          </w:numPr>
                          <w:tabs>
                            <w:tab w:pos="493" w:val="left" w:leader="none"/>
                          </w:tabs>
                          <w:spacing w:line="240" w:lineRule="auto" w:before="115" w:after="0"/>
                          <w:ind w:left="492" w:right="0" w:hanging="226"/>
                          <w:jc w:val="left"/>
                          <w:rPr>
                            <w:sz w:val="15"/>
                          </w:rPr>
                        </w:pPr>
                        <w:r>
                          <w:rPr>
                            <w:sz w:val="15"/>
                          </w:rPr>
                          <w:t>周岁</w:t>
                        </w:r>
                      </w:p>
                      <w:p>
                        <w:pPr>
                          <w:pStyle w:val="TableParagraph"/>
                          <w:numPr>
                            <w:ilvl w:val="0"/>
                            <w:numId w:val="9"/>
                          </w:numPr>
                          <w:tabs>
                            <w:tab w:pos="493" w:val="left" w:leader="none"/>
                          </w:tabs>
                          <w:spacing w:line="240" w:lineRule="auto" w:before="115" w:after="0"/>
                          <w:ind w:left="492" w:right="0" w:hanging="226"/>
                          <w:jc w:val="left"/>
                          <w:rPr>
                            <w:sz w:val="15"/>
                          </w:rPr>
                        </w:pPr>
                        <w:r>
                          <w:rPr>
                            <w:spacing w:val="-2"/>
                            <w:sz w:val="15"/>
                          </w:rPr>
                          <w:t>满期日</w:t>
                        </w:r>
                      </w:p>
                      <w:p>
                        <w:pPr>
                          <w:pStyle w:val="TableParagraph"/>
                          <w:numPr>
                            <w:ilvl w:val="0"/>
                            <w:numId w:val="9"/>
                          </w:numPr>
                          <w:tabs>
                            <w:tab w:pos="493" w:val="left" w:leader="none"/>
                          </w:tabs>
                          <w:spacing w:line="240" w:lineRule="auto" w:before="116" w:after="0"/>
                          <w:ind w:left="492" w:right="0" w:hanging="226"/>
                          <w:jc w:val="left"/>
                          <w:rPr>
                            <w:sz w:val="15"/>
                          </w:rPr>
                        </w:pPr>
                        <w:r>
                          <w:rPr>
                            <w:sz w:val="15"/>
                          </w:rPr>
                          <w:t>全残</w:t>
                        </w:r>
                      </w:p>
                      <w:p>
                        <w:pPr>
                          <w:pStyle w:val="TableParagraph"/>
                          <w:numPr>
                            <w:ilvl w:val="0"/>
                            <w:numId w:val="9"/>
                          </w:numPr>
                          <w:tabs>
                            <w:tab w:pos="493" w:val="left" w:leader="none"/>
                          </w:tabs>
                          <w:spacing w:line="240" w:lineRule="auto" w:before="116" w:after="0"/>
                          <w:ind w:left="492" w:right="0" w:hanging="226"/>
                          <w:jc w:val="left"/>
                          <w:rPr>
                            <w:sz w:val="15"/>
                          </w:rPr>
                        </w:pPr>
                        <w:r>
                          <w:rPr>
                            <w:spacing w:val="-3"/>
                            <w:sz w:val="15"/>
                          </w:rPr>
                          <w:t>终末期疾病</w:t>
                        </w:r>
                      </w:p>
                      <w:p>
                        <w:pPr>
                          <w:pStyle w:val="TableParagraph"/>
                          <w:numPr>
                            <w:ilvl w:val="0"/>
                            <w:numId w:val="9"/>
                          </w:numPr>
                          <w:tabs>
                            <w:tab w:pos="493" w:val="left" w:leader="none"/>
                          </w:tabs>
                          <w:spacing w:line="240" w:lineRule="auto" w:before="116" w:after="0"/>
                          <w:ind w:left="492" w:right="0" w:hanging="226"/>
                          <w:jc w:val="left"/>
                          <w:rPr>
                            <w:sz w:val="15"/>
                          </w:rPr>
                        </w:pPr>
                        <w:r>
                          <w:rPr>
                            <w:spacing w:val="-3"/>
                            <w:sz w:val="15"/>
                          </w:rPr>
                          <w:t>基本保险金额</w:t>
                        </w:r>
                      </w:p>
                      <w:p>
                        <w:pPr>
                          <w:pStyle w:val="TableParagraph"/>
                          <w:numPr>
                            <w:ilvl w:val="0"/>
                            <w:numId w:val="9"/>
                          </w:numPr>
                          <w:tabs>
                            <w:tab w:pos="569" w:val="left" w:leader="none"/>
                          </w:tabs>
                          <w:spacing w:line="240" w:lineRule="auto" w:before="116" w:after="0"/>
                          <w:ind w:left="569" w:right="0" w:hanging="303"/>
                          <w:jc w:val="left"/>
                          <w:rPr>
                            <w:sz w:val="15"/>
                          </w:rPr>
                        </w:pPr>
                        <w:r>
                          <w:rPr>
                            <w:spacing w:val="-3"/>
                            <w:sz w:val="15"/>
                          </w:rPr>
                          <w:t>医院</w:t>
                        </w:r>
                      </w:p>
                      <w:p>
                        <w:pPr>
                          <w:pStyle w:val="TableParagraph"/>
                          <w:numPr>
                            <w:ilvl w:val="0"/>
                            <w:numId w:val="9"/>
                          </w:numPr>
                          <w:tabs>
                            <w:tab w:pos="569" w:val="left" w:leader="none"/>
                          </w:tabs>
                          <w:spacing w:line="176" w:lineRule="exact" w:before="116" w:after="0"/>
                          <w:ind w:left="569" w:right="0" w:hanging="303"/>
                          <w:jc w:val="left"/>
                          <w:rPr>
                            <w:sz w:val="15"/>
                          </w:rPr>
                        </w:pPr>
                        <w:r>
                          <w:rPr>
                            <w:spacing w:val="-3"/>
                            <w:sz w:val="15"/>
                          </w:rPr>
                          <w:t>专科医生</w:t>
                        </w:r>
                      </w:p>
                    </w:tc>
                    <w:tc>
                      <w:tcPr>
                        <w:tcW w:w="2179" w:type="dxa"/>
                        <w:tcBorders>
                          <w:top w:val="single" w:sz="4" w:space="0" w:color="000000"/>
                        </w:tcBorders>
                      </w:tcPr>
                      <w:p>
                        <w:pPr>
                          <w:pStyle w:val="TableParagraph"/>
                          <w:spacing w:before="33"/>
                          <w:ind w:left="194"/>
                          <w:rPr>
                            <w:sz w:val="15"/>
                          </w:rPr>
                        </w:pPr>
                        <w:r>
                          <w:rPr>
                            <w:sz w:val="15"/>
                          </w:rPr>
                          <w:t>12. 意外事故</w:t>
                        </w:r>
                      </w:p>
                      <w:p>
                        <w:pPr>
                          <w:pStyle w:val="TableParagraph"/>
                          <w:spacing w:before="115"/>
                          <w:ind w:left="194"/>
                          <w:rPr>
                            <w:sz w:val="15"/>
                          </w:rPr>
                        </w:pPr>
                        <w:r>
                          <w:rPr>
                            <w:sz w:val="15"/>
                          </w:rPr>
                          <w:t>13.自杀</w:t>
                        </w:r>
                      </w:p>
                      <w:p>
                        <w:pPr>
                          <w:pStyle w:val="TableParagraph"/>
                          <w:spacing w:before="115"/>
                          <w:ind w:left="194"/>
                          <w:rPr>
                            <w:sz w:val="15"/>
                          </w:rPr>
                        </w:pPr>
                        <w:r>
                          <w:rPr>
                            <w:sz w:val="15"/>
                          </w:rPr>
                          <w:t>14.毒品</w:t>
                        </w:r>
                      </w:p>
                      <w:p>
                        <w:pPr>
                          <w:pStyle w:val="TableParagraph"/>
                          <w:spacing w:before="115"/>
                          <w:ind w:left="194"/>
                          <w:rPr>
                            <w:sz w:val="15"/>
                          </w:rPr>
                        </w:pPr>
                        <w:r>
                          <w:rPr>
                            <w:sz w:val="15"/>
                          </w:rPr>
                          <w:t>15.酒后驾驶</w:t>
                        </w:r>
                      </w:p>
                      <w:p>
                        <w:pPr>
                          <w:pStyle w:val="TableParagraph"/>
                          <w:spacing w:before="115"/>
                          <w:ind w:left="194"/>
                          <w:rPr>
                            <w:sz w:val="15"/>
                          </w:rPr>
                        </w:pPr>
                        <w:r>
                          <w:rPr>
                            <w:sz w:val="15"/>
                          </w:rPr>
                          <w:t>16.无合法有效驾驶证驾驶</w:t>
                        </w:r>
                      </w:p>
                      <w:p>
                        <w:pPr>
                          <w:pStyle w:val="TableParagraph"/>
                          <w:spacing w:before="115"/>
                          <w:ind w:left="194"/>
                          <w:rPr>
                            <w:sz w:val="15"/>
                          </w:rPr>
                        </w:pPr>
                        <w:r>
                          <w:rPr>
                            <w:sz w:val="15"/>
                          </w:rPr>
                          <w:t>17.无有效行驶证</w:t>
                        </w:r>
                      </w:p>
                      <w:p>
                        <w:pPr>
                          <w:pStyle w:val="TableParagraph"/>
                          <w:spacing w:line="381" w:lineRule="auto" w:before="115"/>
                          <w:ind w:left="477" w:right="107" w:hanging="284"/>
                          <w:rPr>
                            <w:sz w:val="15"/>
                          </w:rPr>
                        </w:pPr>
                        <w:r>
                          <w:rPr>
                            <w:sz w:val="15"/>
                          </w:rPr>
                          <w:t>18. 患艾滋病或感染艾滋病病毒</w:t>
                        </w:r>
                      </w:p>
                      <w:p>
                        <w:pPr>
                          <w:pStyle w:val="TableParagraph"/>
                          <w:spacing w:before="27"/>
                          <w:ind w:left="194"/>
                          <w:rPr>
                            <w:sz w:val="15"/>
                          </w:rPr>
                        </w:pPr>
                        <w:r>
                          <w:rPr>
                            <w:sz w:val="15"/>
                          </w:rPr>
                          <w:t>19. 遗传性疾病</w:t>
                        </w:r>
                      </w:p>
                      <w:p>
                        <w:pPr>
                          <w:pStyle w:val="TableParagraph"/>
                          <w:spacing w:line="381" w:lineRule="auto" w:before="115"/>
                          <w:ind w:left="477" w:right="105" w:hanging="284"/>
                          <w:rPr>
                            <w:sz w:val="15"/>
                          </w:rPr>
                        </w:pPr>
                        <w:r>
                          <w:rPr>
                            <w:sz w:val="15"/>
                          </w:rPr>
                          <w:t>20.先天性畸形、变形或染色体异常</w:t>
                        </w:r>
                      </w:p>
                      <w:p>
                        <w:pPr>
                          <w:pStyle w:val="TableParagraph"/>
                          <w:spacing w:before="26"/>
                          <w:ind w:left="194"/>
                          <w:rPr>
                            <w:sz w:val="15"/>
                          </w:rPr>
                        </w:pPr>
                        <w:r>
                          <w:rPr>
                            <w:sz w:val="15"/>
                          </w:rPr>
                          <w:t>21. 保单欠款</w:t>
                        </w:r>
                      </w:p>
                      <w:p>
                        <w:pPr>
                          <w:pStyle w:val="TableParagraph"/>
                          <w:spacing w:before="115"/>
                          <w:ind w:left="194"/>
                          <w:rPr>
                            <w:sz w:val="15"/>
                          </w:rPr>
                        </w:pPr>
                        <w:r>
                          <w:rPr>
                            <w:sz w:val="15"/>
                          </w:rPr>
                          <w:t>22.利息</w:t>
                        </w:r>
                      </w:p>
                      <w:p>
                        <w:pPr>
                          <w:pStyle w:val="TableParagraph"/>
                          <w:spacing w:before="116"/>
                          <w:ind w:left="194"/>
                          <w:rPr>
                            <w:sz w:val="15"/>
                          </w:rPr>
                        </w:pPr>
                        <w:r>
                          <w:rPr>
                            <w:sz w:val="15"/>
                          </w:rPr>
                          <w:t>23.肢体机能完全丧失</w:t>
                        </w:r>
                      </w:p>
                      <w:p>
                        <w:pPr>
                          <w:pStyle w:val="TableParagraph"/>
                          <w:spacing w:line="381" w:lineRule="auto" w:before="115"/>
                          <w:ind w:left="477" w:right="106" w:hanging="284"/>
                          <w:rPr>
                            <w:sz w:val="15"/>
                          </w:rPr>
                        </w:pPr>
                        <w:r>
                          <w:rPr>
                            <w:sz w:val="15"/>
                          </w:rPr>
                          <w:t>24. 语言能力或咀嚼吞咽能力完全丧失</w:t>
                        </w:r>
                      </w:p>
                      <w:p>
                        <w:pPr>
                          <w:pStyle w:val="TableParagraph"/>
                          <w:spacing w:before="27"/>
                          <w:ind w:left="194"/>
                          <w:rPr>
                            <w:sz w:val="15"/>
                          </w:rPr>
                        </w:pPr>
                        <w:r>
                          <w:rPr>
                            <w:sz w:val="15"/>
                          </w:rPr>
                          <w:t>25.六项基本日常生活活动</w:t>
                        </w:r>
                      </w:p>
                      <w:p>
                        <w:pPr>
                          <w:pStyle w:val="TableParagraph"/>
                          <w:spacing w:line="176" w:lineRule="exact" w:before="116"/>
                          <w:ind w:left="194"/>
                          <w:rPr>
                            <w:sz w:val="15"/>
                          </w:rPr>
                        </w:pPr>
                        <w:r>
                          <w:rPr>
                            <w:sz w:val="15"/>
                          </w:rPr>
                          <w:t>26. 永久不可逆</w:t>
                        </w:r>
                      </w:p>
                    </w:tc>
                  </w:tr>
                </w:tbl>
                <w:p>
                  <w:pPr>
                    <w:pStyle w:val="BodyText"/>
                  </w:pPr>
                </w:p>
              </w:txbxContent>
            </v:textbox>
            <w10:wrap type="none"/>
          </v:shape>
        </w:pict>
      </w:r>
      <w:r>
        <w:rPr>
          <w:w w:val="95"/>
        </w:rPr>
        <w:t>条款是保险合同的重要内容，为充分保障您的权益，请您仔细阅读本条款。  </w:t>
      </w:r>
      <w:r>
        <w:rPr/>
        <w:t>条款目录</w:t>
      </w:r>
    </w:p>
    <w:p>
      <w:pPr>
        <w:spacing w:after="0" w:line="571" w:lineRule="auto"/>
        <w:sectPr>
          <w:type w:val="continuous"/>
          <w:pgSz w:w="11910" w:h="16840"/>
          <w:pgMar w:top="640" w:bottom="1020" w:left="880" w:right="920"/>
        </w:sectPr>
      </w:pPr>
    </w:p>
    <w:p>
      <w:pPr>
        <w:spacing w:line="487" w:lineRule="exact" w:before="0"/>
        <w:ind w:left="2717" w:right="0" w:firstLine="0"/>
        <w:jc w:val="left"/>
        <w:rPr>
          <w:b/>
          <w:sz w:val="40"/>
        </w:rPr>
      </w:pPr>
      <w:r>
        <w:rPr>
          <w:b/>
          <w:w w:val="95"/>
          <w:sz w:val="40"/>
        </w:rPr>
        <w:t>中德安联人寿保险有限公司</w:t>
      </w:r>
    </w:p>
    <w:p>
      <w:pPr>
        <w:pStyle w:val="BodyText"/>
        <w:spacing w:before="1"/>
        <w:rPr>
          <w:b/>
          <w:sz w:val="39"/>
        </w:rPr>
      </w:pPr>
    </w:p>
    <w:p>
      <w:pPr>
        <w:spacing w:before="1"/>
        <w:ind w:left="2736" w:right="0" w:firstLine="0"/>
        <w:jc w:val="left"/>
        <w:rPr>
          <w:b/>
          <w:sz w:val="28"/>
        </w:rPr>
      </w:pPr>
      <w:r>
        <w:rPr>
          <w:b/>
          <w:sz w:val="28"/>
        </w:rPr>
        <w:t>安联安康长泰 B 长期重大疾病保险条款</w:t>
      </w:r>
    </w:p>
    <w:p>
      <w:pPr>
        <w:pStyle w:val="BodyText"/>
        <w:spacing w:before="2"/>
        <w:rPr>
          <w:b/>
          <w:sz w:val="36"/>
        </w:rPr>
      </w:pPr>
    </w:p>
    <w:p>
      <w:pPr>
        <w:pStyle w:val="Heading2"/>
        <w:spacing w:before="0"/>
      </w:pPr>
      <w:r>
        <w:rPr>
          <w:w w:val="95"/>
          <w:u w:val="single"/>
        </w:rPr>
        <w:t>请您务必仔细阅读本条款，并特别关注加粗字体部分。</w:t>
      </w:r>
    </w:p>
    <w:p>
      <w:pPr>
        <w:spacing w:before="50"/>
        <w:ind w:left="292" w:right="0" w:firstLine="0"/>
        <w:jc w:val="left"/>
        <w:rPr>
          <w:b/>
          <w:sz w:val="20"/>
        </w:rPr>
      </w:pPr>
      <w:r>
        <w:rPr>
          <w:b/>
          <w:w w:val="95"/>
          <w:sz w:val="20"/>
        </w:rPr>
        <w:t>在本条款中，“您”指投保人，“我们”指中德安联人寿保险有限公司。</w:t>
      </w:r>
    </w:p>
    <w:p>
      <w:pPr>
        <w:spacing w:before="50"/>
        <w:ind w:left="292" w:right="0" w:firstLine="0"/>
        <w:jc w:val="left"/>
        <w:rPr>
          <w:b/>
          <w:sz w:val="20"/>
        </w:rPr>
      </w:pPr>
      <w:r>
        <w:rPr>
          <w:b/>
          <w:w w:val="95"/>
          <w:sz w:val="20"/>
        </w:rPr>
        <w:t>本条款中带有右上标标注的用词具有特定含义，您可参阅本条款尾部的“释义”获取相关解释。</w:t>
      </w:r>
    </w:p>
    <w:p>
      <w:pPr>
        <w:pStyle w:val="BodyText"/>
        <w:rPr>
          <w:b/>
        </w:rPr>
      </w:pPr>
    </w:p>
    <w:p>
      <w:pPr>
        <w:pStyle w:val="BodyText"/>
        <w:spacing w:before="5"/>
        <w:rPr>
          <w:b/>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731"/>
        <w:gridCol w:w="7940"/>
      </w:tblGrid>
      <w:tr>
        <w:trPr>
          <w:trHeight w:val="257" w:hRule="atLeast"/>
        </w:trPr>
        <w:tc>
          <w:tcPr>
            <w:tcW w:w="10247"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第一部分</w:t>
              <w:tab/>
            </w:r>
            <w:r>
              <w:rPr>
                <w:b/>
                <w:w w:val="95"/>
                <w:sz w:val="20"/>
              </w:rPr>
              <w:t>您与我们的合同</w:t>
            </w:r>
          </w:p>
        </w:tc>
      </w:tr>
      <w:tr>
        <w:trPr>
          <w:trHeight w:val="1792" w:hRule="atLeast"/>
        </w:trPr>
        <w:tc>
          <w:tcPr>
            <w:tcW w:w="576" w:type="dxa"/>
            <w:tcBorders>
              <w:top w:val="single" w:sz="4" w:space="0" w:color="000000"/>
            </w:tcBorders>
          </w:tcPr>
          <w:p>
            <w:pPr>
              <w:pStyle w:val="TableParagraph"/>
              <w:spacing w:before="148"/>
              <w:ind w:left="107"/>
              <w:rPr>
                <w:b/>
                <w:sz w:val="20"/>
              </w:rPr>
            </w:pPr>
            <w:r>
              <w:rPr>
                <w:b/>
                <w:sz w:val="20"/>
              </w:rPr>
              <w:t>1.1</w:t>
            </w:r>
          </w:p>
        </w:tc>
        <w:tc>
          <w:tcPr>
            <w:tcW w:w="1731" w:type="dxa"/>
            <w:tcBorders>
              <w:top w:val="single" w:sz="4" w:space="0" w:color="000000"/>
            </w:tcBorders>
          </w:tcPr>
          <w:p>
            <w:pPr>
              <w:pStyle w:val="TableParagraph"/>
              <w:spacing w:before="148"/>
              <w:ind w:left="194"/>
              <w:rPr>
                <w:b/>
                <w:sz w:val="20"/>
              </w:rPr>
            </w:pPr>
            <w:r>
              <w:rPr>
                <w:b/>
                <w:w w:val="95"/>
                <w:sz w:val="20"/>
              </w:rPr>
              <w:t>保险合同的构成</w:t>
            </w:r>
          </w:p>
        </w:tc>
        <w:tc>
          <w:tcPr>
            <w:tcW w:w="7940" w:type="dxa"/>
            <w:tcBorders>
              <w:top w:val="single" w:sz="4" w:space="0" w:color="000000"/>
            </w:tcBorders>
          </w:tcPr>
          <w:p>
            <w:pPr>
              <w:pStyle w:val="TableParagraph"/>
              <w:spacing w:line="285" w:lineRule="auto" w:before="148"/>
              <w:ind w:left="110" w:right="76"/>
              <w:jc w:val="both"/>
              <w:rPr>
                <w:sz w:val="20"/>
              </w:rPr>
            </w:pPr>
            <w:r>
              <w:rPr>
                <w:spacing w:val="-9"/>
                <w:sz w:val="20"/>
              </w:rPr>
              <w:t>本《安联安康长泰 </w:t>
            </w:r>
            <w:r>
              <w:rPr>
                <w:sz w:val="20"/>
              </w:rPr>
              <w:t>B</w:t>
            </w:r>
            <w:r>
              <w:rPr>
                <w:spacing w:val="-10"/>
                <w:sz w:val="20"/>
              </w:rPr>
              <w:t> 长期重大疾病保险》合同</w:t>
            </w:r>
            <w:r>
              <w:rPr>
                <w:sz w:val="20"/>
              </w:rPr>
              <w:t>（</w:t>
            </w:r>
            <w:r>
              <w:rPr>
                <w:spacing w:val="-4"/>
                <w:sz w:val="20"/>
              </w:rPr>
              <w:t>以下简称“本合同”</w:t>
            </w:r>
            <w:r>
              <w:rPr>
                <w:spacing w:val="-11"/>
                <w:sz w:val="20"/>
              </w:rPr>
              <w:t>）</w:t>
            </w:r>
            <w:r>
              <w:rPr>
                <w:spacing w:val="-2"/>
                <w:sz w:val="20"/>
              </w:rPr>
              <w:t>由本合同条款、保</w:t>
            </w:r>
            <w:r>
              <w:rPr>
                <w:spacing w:val="-2"/>
                <w:w w:val="95"/>
                <w:sz w:val="20"/>
              </w:rPr>
              <w:t>险单或其他保险凭证、</w:t>
            </w:r>
            <w:r>
              <w:rPr>
                <w:b/>
                <w:w w:val="95"/>
                <w:sz w:val="20"/>
              </w:rPr>
              <w:t>现金价值</w:t>
            </w:r>
            <w:r>
              <w:rPr>
                <w:b/>
                <w:w w:val="95"/>
                <w:position w:val="10"/>
                <w:sz w:val="10"/>
              </w:rPr>
              <w:t>[1]</w:t>
            </w:r>
            <w:r>
              <w:rPr>
                <w:w w:val="95"/>
                <w:sz w:val="20"/>
              </w:rPr>
              <w:t>表、投保单或其他投保文件、合法有效的声明、批注、   附贴批单及其他书面协议构成。</w:t>
            </w:r>
          </w:p>
          <w:p>
            <w:pPr>
              <w:pStyle w:val="TableParagraph"/>
              <w:spacing w:line="285" w:lineRule="auto" w:before="12"/>
              <w:ind w:left="110" w:right="108"/>
              <w:jc w:val="both"/>
              <w:rPr>
                <w:sz w:val="20"/>
              </w:rPr>
            </w:pPr>
            <w:r>
              <w:rPr>
                <w:spacing w:val="-4"/>
                <w:w w:val="95"/>
                <w:sz w:val="20"/>
              </w:rPr>
              <w:t>若上述构成本合同的文件正本须留我们处存档，其复印件或电子影像印刷件的效力与正本   相同；若复印件或电子影像印刷件的内容与正本不同，以正本为准。</w:t>
            </w:r>
          </w:p>
        </w:tc>
      </w:tr>
      <w:tr>
        <w:trPr>
          <w:trHeight w:val="1083" w:hRule="atLeast"/>
        </w:trPr>
        <w:tc>
          <w:tcPr>
            <w:tcW w:w="576" w:type="dxa"/>
          </w:tcPr>
          <w:p>
            <w:pPr>
              <w:pStyle w:val="TableParagraph"/>
              <w:spacing w:before="72"/>
              <w:ind w:left="107"/>
              <w:rPr>
                <w:b/>
                <w:sz w:val="20"/>
              </w:rPr>
            </w:pPr>
            <w:r>
              <w:rPr>
                <w:b/>
                <w:sz w:val="20"/>
              </w:rPr>
              <w:t>1.2</w:t>
            </w:r>
          </w:p>
        </w:tc>
        <w:tc>
          <w:tcPr>
            <w:tcW w:w="1731" w:type="dxa"/>
          </w:tcPr>
          <w:p>
            <w:pPr>
              <w:pStyle w:val="TableParagraph"/>
              <w:spacing w:line="285" w:lineRule="auto" w:before="72"/>
              <w:ind w:left="194" w:right="107"/>
              <w:rPr>
                <w:b/>
                <w:sz w:val="20"/>
              </w:rPr>
            </w:pPr>
            <w:r>
              <w:rPr>
                <w:b/>
                <w:w w:val="95"/>
                <w:sz w:val="20"/>
              </w:rPr>
              <w:t>保险合同成立与</w:t>
            </w:r>
            <w:r>
              <w:rPr>
                <w:b/>
                <w:sz w:val="20"/>
              </w:rPr>
              <w:t>生效</w:t>
            </w:r>
          </w:p>
        </w:tc>
        <w:tc>
          <w:tcPr>
            <w:tcW w:w="7940" w:type="dxa"/>
          </w:tcPr>
          <w:p>
            <w:pPr>
              <w:pStyle w:val="TableParagraph"/>
              <w:spacing w:before="72"/>
              <w:ind w:left="110"/>
              <w:rPr>
                <w:sz w:val="20"/>
              </w:rPr>
            </w:pPr>
            <w:r>
              <w:rPr>
                <w:w w:val="95"/>
                <w:sz w:val="20"/>
              </w:rPr>
              <w:t>您提出保险申请，我们同意承保，本合同成立。</w:t>
            </w:r>
          </w:p>
          <w:p>
            <w:pPr>
              <w:pStyle w:val="TableParagraph"/>
              <w:spacing w:line="285" w:lineRule="auto" w:before="50"/>
              <w:ind w:left="110" w:right="46"/>
              <w:rPr>
                <w:sz w:val="20"/>
              </w:rPr>
            </w:pPr>
            <w:r>
              <w:rPr>
                <w:b/>
                <w:sz w:val="20"/>
              </w:rPr>
              <w:t>保单生效日</w:t>
            </w:r>
            <w:r>
              <w:rPr>
                <w:b/>
                <w:position w:val="10"/>
                <w:sz w:val="10"/>
              </w:rPr>
              <w:t>[2]</w:t>
            </w:r>
            <w:r>
              <w:rPr>
                <w:sz w:val="20"/>
              </w:rPr>
              <w:t>在保险单上载明。</w:t>
            </w:r>
            <w:r>
              <w:rPr>
                <w:b/>
                <w:sz w:val="20"/>
              </w:rPr>
              <w:t>保单周年日</w:t>
            </w:r>
            <w:r>
              <w:rPr>
                <w:b/>
                <w:position w:val="10"/>
                <w:sz w:val="10"/>
              </w:rPr>
              <w:t>[3] </w:t>
            </w:r>
            <w:r>
              <w:rPr>
                <w:sz w:val="20"/>
              </w:rPr>
              <w:t>、</w:t>
            </w:r>
            <w:r>
              <w:rPr>
                <w:b/>
                <w:sz w:val="20"/>
              </w:rPr>
              <w:t>保单年度</w:t>
            </w:r>
            <w:r>
              <w:rPr>
                <w:b/>
                <w:position w:val="10"/>
                <w:sz w:val="10"/>
              </w:rPr>
              <w:t>[4] </w:t>
            </w:r>
            <w:r>
              <w:rPr>
                <w:sz w:val="20"/>
              </w:rPr>
              <w:t>、保险费约定支付日均以该日</w:t>
            </w:r>
            <w:r>
              <w:rPr>
                <w:w w:val="95"/>
                <w:sz w:val="20"/>
              </w:rPr>
              <w:t>期计算。</w:t>
            </w:r>
          </w:p>
        </w:tc>
      </w:tr>
      <w:tr>
        <w:trPr>
          <w:trHeight w:val="788" w:hRule="atLeast"/>
        </w:trPr>
        <w:tc>
          <w:tcPr>
            <w:tcW w:w="576" w:type="dxa"/>
          </w:tcPr>
          <w:p>
            <w:pPr>
              <w:pStyle w:val="TableParagraph"/>
              <w:spacing w:before="80"/>
              <w:ind w:left="107"/>
              <w:rPr>
                <w:b/>
                <w:sz w:val="20"/>
              </w:rPr>
            </w:pPr>
            <w:r>
              <w:rPr>
                <w:b/>
                <w:sz w:val="20"/>
              </w:rPr>
              <w:t>1.3</w:t>
            </w:r>
          </w:p>
        </w:tc>
        <w:tc>
          <w:tcPr>
            <w:tcW w:w="1731" w:type="dxa"/>
          </w:tcPr>
          <w:p>
            <w:pPr>
              <w:pStyle w:val="TableParagraph"/>
              <w:spacing w:before="80"/>
              <w:ind w:left="194"/>
              <w:rPr>
                <w:b/>
                <w:sz w:val="20"/>
              </w:rPr>
            </w:pPr>
            <w:r>
              <w:rPr>
                <w:b/>
                <w:sz w:val="20"/>
              </w:rPr>
              <w:t>投保范围</w:t>
            </w:r>
          </w:p>
        </w:tc>
        <w:tc>
          <w:tcPr>
            <w:tcW w:w="7940" w:type="dxa"/>
          </w:tcPr>
          <w:p>
            <w:pPr>
              <w:pStyle w:val="TableParagraph"/>
              <w:spacing w:line="285" w:lineRule="auto" w:before="80"/>
              <w:ind w:left="110" w:right="55"/>
              <w:rPr>
                <w:sz w:val="20"/>
              </w:rPr>
            </w:pPr>
            <w:r>
              <w:rPr>
                <w:w w:val="95"/>
                <w:sz w:val="20"/>
              </w:rPr>
              <w:t>投保时年龄在出生后满七天至五十五</w:t>
            </w:r>
            <w:r>
              <w:rPr>
                <w:b/>
                <w:w w:val="95"/>
                <w:sz w:val="20"/>
              </w:rPr>
              <w:t>周岁</w:t>
            </w:r>
            <w:r>
              <w:rPr>
                <w:b/>
                <w:w w:val="95"/>
                <w:position w:val="10"/>
                <w:sz w:val="10"/>
              </w:rPr>
              <w:t>[5]</w:t>
            </w:r>
            <w:r>
              <w:rPr>
                <w:w w:val="95"/>
                <w:sz w:val="20"/>
              </w:rPr>
              <w:t>（含五十五周岁）之间者，可作为本合同的被  保险人。</w:t>
            </w:r>
          </w:p>
        </w:tc>
      </w:tr>
      <w:tr>
        <w:trPr>
          <w:trHeight w:val="1404" w:hRule="atLeast"/>
        </w:trPr>
        <w:tc>
          <w:tcPr>
            <w:tcW w:w="576" w:type="dxa"/>
          </w:tcPr>
          <w:p>
            <w:pPr>
              <w:pStyle w:val="TableParagraph"/>
              <w:spacing w:before="72"/>
              <w:ind w:left="107"/>
              <w:rPr>
                <w:b/>
                <w:sz w:val="20"/>
              </w:rPr>
            </w:pPr>
            <w:r>
              <w:rPr>
                <w:b/>
                <w:sz w:val="20"/>
              </w:rPr>
              <w:t>1.4</w:t>
            </w:r>
          </w:p>
        </w:tc>
        <w:tc>
          <w:tcPr>
            <w:tcW w:w="1731" w:type="dxa"/>
          </w:tcPr>
          <w:p>
            <w:pPr>
              <w:pStyle w:val="TableParagraph"/>
              <w:spacing w:before="72"/>
              <w:ind w:left="194"/>
              <w:rPr>
                <w:b/>
                <w:sz w:val="20"/>
              </w:rPr>
            </w:pPr>
            <w:r>
              <w:rPr>
                <w:b/>
                <w:sz w:val="20"/>
              </w:rPr>
              <w:t>保险期间</w:t>
            </w:r>
          </w:p>
        </w:tc>
        <w:tc>
          <w:tcPr>
            <w:tcW w:w="7940" w:type="dxa"/>
          </w:tcPr>
          <w:p>
            <w:pPr>
              <w:pStyle w:val="TableParagraph"/>
              <w:spacing w:line="285" w:lineRule="auto" w:before="72"/>
              <w:ind w:left="110" w:right="9"/>
              <w:rPr>
                <w:sz w:val="20"/>
              </w:rPr>
            </w:pPr>
            <w:r>
              <w:rPr>
                <w:spacing w:val="-5"/>
                <w:sz w:val="20"/>
              </w:rPr>
              <w:t>若您选择一次交清的付费方式，我们在同意承保并收取全部保险费后，自保单生效日的零</w:t>
            </w:r>
            <w:r>
              <w:rPr>
                <w:spacing w:val="-16"/>
                <w:w w:val="95"/>
                <w:sz w:val="20"/>
              </w:rPr>
              <w:t>时起承担保险责任；若您选择分期支付保险费方式，我们在同意承保并收取首期保险费后，   自保单生效日的零时起承担保险责任。</w:t>
            </w:r>
          </w:p>
          <w:p>
            <w:pPr>
              <w:pStyle w:val="TableParagraph"/>
              <w:spacing w:before="12"/>
              <w:ind w:left="110"/>
              <w:rPr>
                <w:sz w:val="20"/>
              </w:rPr>
            </w:pPr>
            <w:r>
              <w:rPr>
                <w:sz w:val="20"/>
              </w:rPr>
              <w:t>本合同的保险期间于保险单中载明，自保单生效日的零时起至</w:t>
            </w:r>
            <w:r>
              <w:rPr>
                <w:b/>
                <w:sz w:val="20"/>
              </w:rPr>
              <w:t>满期日</w:t>
            </w:r>
            <w:r>
              <w:rPr>
                <w:b/>
                <w:position w:val="10"/>
                <w:sz w:val="10"/>
              </w:rPr>
              <w:t>[6] </w:t>
            </w:r>
            <w:r>
              <w:rPr>
                <w:sz w:val="20"/>
              </w:rPr>
              <w:t>二十四时止。</w:t>
            </w:r>
          </w:p>
        </w:tc>
      </w:tr>
      <w:tr>
        <w:trPr>
          <w:trHeight w:val="2028" w:hRule="atLeast"/>
        </w:trPr>
        <w:tc>
          <w:tcPr>
            <w:tcW w:w="576" w:type="dxa"/>
          </w:tcPr>
          <w:p>
            <w:pPr>
              <w:pStyle w:val="TableParagraph"/>
              <w:spacing w:before="72"/>
              <w:ind w:left="107"/>
              <w:rPr>
                <w:b/>
                <w:sz w:val="20"/>
              </w:rPr>
            </w:pPr>
            <w:r>
              <w:rPr>
                <w:b/>
                <w:sz w:val="20"/>
              </w:rPr>
              <w:t>1.5</w:t>
            </w:r>
          </w:p>
        </w:tc>
        <w:tc>
          <w:tcPr>
            <w:tcW w:w="1731" w:type="dxa"/>
          </w:tcPr>
          <w:p>
            <w:pPr>
              <w:pStyle w:val="TableParagraph"/>
              <w:spacing w:before="72"/>
              <w:ind w:left="194"/>
              <w:rPr>
                <w:b/>
                <w:sz w:val="20"/>
              </w:rPr>
            </w:pPr>
            <w:r>
              <w:rPr>
                <w:b/>
                <w:sz w:val="20"/>
              </w:rPr>
              <w:t>犹豫期</w:t>
            </w:r>
          </w:p>
        </w:tc>
        <w:tc>
          <w:tcPr>
            <w:tcW w:w="7940" w:type="dxa"/>
          </w:tcPr>
          <w:p>
            <w:pPr>
              <w:pStyle w:val="TableParagraph"/>
              <w:spacing w:line="285" w:lineRule="auto" w:before="72"/>
              <w:ind w:left="110" w:right="95"/>
              <w:jc w:val="both"/>
              <w:rPr>
                <w:b/>
                <w:sz w:val="20"/>
              </w:rPr>
            </w:pPr>
            <w:r>
              <w:rPr>
                <w:b/>
                <w:sz w:val="20"/>
              </w:rPr>
              <w:t>为保护您的权利，请在保险合同送达或寄达于您时书面签收。自您签收本合同次日起， 有十天的犹豫期。在此期间请您务必认真审视本合同，若您在此期间提出撤销本合同， 须填写合同终止申请书，并提供本合同及您本人的有效身份证件。自收到合同终止申请</w:t>
            </w:r>
            <w:r>
              <w:rPr>
                <w:b/>
                <w:spacing w:val="7"/>
                <w:w w:val="95"/>
                <w:sz w:val="20"/>
              </w:rPr>
              <w:t>书之日起三十日内我们会向您无息全额退还本合同及所附的附加合同的全部已交保险  </w:t>
            </w:r>
            <w:r>
              <w:rPr>
                <w:b/>
                <w:sz w:val="20"/>
              </w:rPr>
              <w:t>费。自您书面申请撤销合同之日起，本合同及其所附的附加合同即被解除，我们自始不</w:t>
            </w:r>
            <w:r>
              <w:rPr>
                <w:b/>
                <w:w w:val="95"/>
                <w:sz w:val="20"/>
              </w:rPr>
              <w:t>承担本合同及所附的附加合同的保险责任。</w:t>
            </w:r>
          </w:p>
        </w:tc>
      </w:tr>
      <w:tr>
        <w:trPr>
          <w:trHeight w:val="2418" w:hRule="atLeast"/>
        </w:trPr>
        <w:tc>
          <w:tcPr>
            <w:tcW w:w="576" w:type="dxa"/>
          </w:tcPr>
          <w:p>
            <w:pPr>
              <w:pStyle w:val="TableParagraph"/>
              <w:spacing w:before="72"/>
              <w:ind w:left="107"/>
              <w:rPr>
                <w:b/>
                <w:sz w:val="20"/>
              </w:rPr>
            </w:pPr>
            <w:r>
              <w:rPr>
                <w:b/>
                <w:sz w:val="20"/>
              </w:rPr>
              <w:t>1.6</w:t>
            </w:r>
          </w:p>
        </w:tc>
        <w:tc>
          <w:tcPr>
            <w:tcW w:w="1731" w:type="dxa"/>
          </w:tcPr>
          <w:p>
            <w:pPr>
              <w:pStyle w:val="TableParagraph"/>
              <w:spacing w:before="72"/>
              <w:ind w:left="194"/>
              <w:rPr>
                <w:b/>
                <w:sz w:val="20"/>
              </w:rPr>
            </w:pPr>
            <w:r>
              <w:rPr>
                <w:b/>
                <w:sz w:val="20"/>
              </w:rPr>
              <w:t>合同终止</w:t>
            </w:r>
          </w:p>
        </w:tc>
        <w:tc>
          <w:tcPr>
            <w:tcW w:w="7940" w:type="dxa"/>
          </w:tcPr>
          <w:p>
            <w:pPr>
              <w:pStyle w:val="TableParagraph"/>
              <w:spacing w:before="72"/>
              <w:ind w:left="110"/>
              <w:rPr>
                <w:sz w:val="20"/>
              </w:rPr>
            </w:pPr>
            <w:r>
              <w:rPr>
                <w:w w:val="95"/>
                <w:sz w:val="20"/>
              </w:rPr>
              <w:t>若发生下列情况之一，本合同终止：</w:t>
            </w:r>
          </w:p>
          <w:p>
            <w:pPr>
              <w:pStyle w:val="TableParagraph"/>
              <w:numPr>
                <w:ilvl w:val="0"/>
                <w:numId w:val="10"/>
              </w:numPr>
              <w:tabs>
                <w:tab w:pos="531" w:val="left" w:leader="none"/>
              </w:tabs>
              <w:spacing w:line="240" w:lineRule="auto" w:before="50" w:after="0"/>
              <w:ind w:left="530" w:right="0" w:hanging="420"/>
              <w:jc w:val="left"/>
              <w:rPr>
                <w:sz w:val="20"/>
              </w:rPr>
            </w:pPr>
            <w:r>
              <w:rPr>
                <w:w w:val="95"/>
                <w:sz w:val="20"/>
              </w:rPr>
              <w:t>您在本合同保险期间内向我们申请撤销或解除本合同；</w:t>
            </w:r>
          </w:p>
          <w:p>
            <w:pPr>
              <w:pStyle w:val="TableParagraph"/>
              <w:numPr>
                <w:ilvl w:val="0"/>
                <w:numId w:val="10"/>
              </w:numPr>
              <w:tabs>
                <w:tab w:pos="531" w:val="left" w:leader="none"/>
              </w:tabs>
              <w:spacing w:line="240" w:lineRule="auto" w:before="50" w:after="0"/>
              <w:ind w:left="530" w:right="0" w:hanging="420"/>
              <w:jc w:val="left"/>
              <w:rPr>
                <w:sz w:val="20"/>
              </w:rPr>
            </w:pPr>
            <w:r>
              <w:rPr>
                <w:w w:val="95"/>
                <w:sz w:val="20"/>
              </w:rPr>
              <w:t>被保险人于本合同保险期间内身故或发生本合同约定的</w:t>
            </w:r>
            <w:r>
              <w:rPr>
                <w:b/>
                <w:w w:val="95"/>
                <w:sz w:val="20"/>
              </w:rPr>
              <w:t>全残</w:t>
            </w:r>
            <w:r>
              <w:rPr>
                <w:b/>
                <w:w w:val="95"/>
                <w:position w:val="10"/>
                <w:sz w:val="10"/>
              </w:rPr>
              <w:t>[7]</w:t>
            </w:r>
            <w:r>
              <w:rPr>
                <w:w w:val="95"/>
                <w:sz w:val="20"/>
              </w:rPr>
              <w:t>；</w:t>
            </w:r>
          </w:p>
          <w:p>
            <w:pPr>
              <w:pStyle w:val="TableParagraph"/>
              <w:numPr>
                <w:ilvl w:val="0"/>
                <w:numId w:val="10"/>
              </w:numPr>
              <w:tabs>
                <w:tab w:pos="531" w:val="left" w:leader="none"/>
              </w:tabs>
              <w:spacing w:line="285" w:lineRule="auto" w:before="50" w:after="0"/>
              <w:ind w:left="530" w:right="137" w:hanging="420"/>
              <w:jc w:val="left"/>
              <w:rPr>
                <w:sz w:val="20"/>
              </w:rPr>
            </w:pPr>
            <w:r>
              <w:rPr>
                <w:sz w:val="20"/>
              </w:rPr>
              <w:t>被保险人于本合同保险期间内被确诊为</w:t>
            </w:r>
            <w:r>
              <w:rPr>
                <w:b/>
                <w:spacing w:val="2"/>
                <w:sz w:val="20"/>
              </w:rPr>
              <w:t>终末期疾病</w:t>
            </w:r>
            <w:r>
              <w:rPr>
                <w:b/>
                <w:position w:val="10"/>
                <w:sz w:val="10"/>
              </w:rPr>
              <w:t>[8]</w:t>
            </w:r>
            <w:r>
              <w:rPr>
                <w:sz w:val="20"/>
              </w:rPr>
              <w:t>并领取了生命尊严提前给付保</w:t>
            </w:r>
            <w:r>
              <w:rPr>
                <w:w w:val="95"/>
                <w:sz w:val="20"/>
              </w:rPr>
              <w:t>险金；</w:t>
            </w:r>
          </w:p>
          <w:p>
            <w:pPr>
              <w:pStyle w:val="TableParagraph"/>
              <w:numPr>
                <w:ilvl w:val="0"/>
                <w:numId w:val="10"/>
              </w:numPr>
              <w:tabs>
                <w:tab w:pos="531" w:val="left" w:leader="none"/>
              </w:tabs>
              <w:spacing w:line="240" w:lineRule="auto" w:before="12" w:after="0"/>
              <w:ind w:left="530" w:right="0" w:hanging="420"/>
              <w:jc w:val="left"/>
              <w:rPr>
                <w:sz w:val="20"/>
              </w:rPr>
            </w:pPr>
            <w:r>
              <w:rPr>
                <w:w w:val="95"/>
                <w:sz w:val="20"/>
              </w:rPr>
              <w:t>本合同效力中止后两年内（含两年），您未与我们就本合同效力恢复达成一致的；</w:t>
            </w:r>
          </w:p>
          <w:p>
            <w:pPr>
              <w:pStyle w:val="TableParagraph"/>
              <w:numPr>
                <w:ilvl w:val="0"/>
                <w:numId w:val="10"/>
              </w:numPr>
              <w:tabs>
                <w:tab w:pos="531" w:val="left" w:leader="none"/>
              </w:tabs>
              <w:spacing w:line="240" w:lineRule="auto" w:before="50" w:after="0"/>
              <w:ind w:left="530" w:right="0" w:hanging="420"/>
              <w:jc w:val="left"/>
              <w:rPr>
                <w:sz w:val="20"/>
              </w:rPr>
            </w:pPr>
            <w:r>
              <w:rPr>
                <w:w w:val="95"/>
                <w:sz w:val="20"/>
              </w:rPr>
              <w:t>因本合同约定或法律法规规定的其他情况导致本合同终止的。</w:t>
            </w:r>
          </w:p>
        </w:tc>
      </w:tr>
      <w:tr>
        <w:trPr>
          <w:trHeight w:val="469" w:hRule="atLeast"/>
        </w:trPr>
        <w:tc>
          <w:tcPr>
            <w:tcW w:w="10247" w:type="dxa"/>
            <w:gridSpan w:val="3"/>
            <w:tcBorders>
              <w:bottom w:val="single" w:sz="4" w:space="0" w:color="000000"/>
            </w:tcBorders>
          </w:tcPr>
          <w:p>
            <w:pPr>
              <w:pStyle w:val="TableParagraph"/>
              <w:tabs>
                <w:tab w:pos="1469" w:val="left" w:leader="none"/>
              </w:tabs>
              <w:spacing w:before="150"/>
              <w:ind w:left="287"/>
              <w:rPr>
                <w:b/>
                <w:sz w:val="20"/>
              </w:rPr>
            </w:pPr>
            <w:r>
              <w:rPr>
                <w:b/>
                <w:sz w:val="20"/>
              </w:rPr>
              <w:t>第二部分</w:t>
              <w:tab/>
            </w:r>
            <w:r>
              <w:rPr>
                <w:b/>
                <w:w w:val="95"/>
                <w:sz w:val="20"/>
              </w:rPr>
              <w:t>我们提供的保障</w:t>
            </w:r>
          </w:p>
        </w:tc>
      </w:tr>
      <w:tr>
        <w:trPr>
          <w:trHeight w:val="409" w:hRule="atLeast"/>
        </w:trPr>
        <w:tc>
          <w:tcPr>
            <w:tcW w:w="576" w:type="dxa"/>
            <w:tcBorders>
              <w:top w:val="single" w:sz="4" w:space="0" w:color="000000"/>
            </w:tcBorders>
          </w:tcPr>
          <w:p>
            <w:pPr>
              <w:pStyle w:val="TableParagraph"/>
              <w:spacing w:line="242" w:lineRule="exact" w:before="148"/>
              <w:ind w:left="107"/>
              <w:rPr>
                <w:b/>
                <w:sz w:val="20"/>
              </w:rPr>
            </w:pPr>
            <w:r>
              <w:rPr>
                <w:b/>
                <w:sz w:val="20"/>
              </w:rPr>
              <w:t>2.1</w:t>
            </w:r>
          </w:p>
        </w:tc>
        <w:tc>
          <w:tcPr>
            <w:tcW w:w="1731" w:type="dxa"/>
            <w:tcBorders>
              <w:top w:val="single" w:sz="4" w:space="0" w:color="000000"/>
            </w:tcBorders>
          </w:tcPr>
          <w:p>
            <w:pPr>
              <w:pStyle w:val="TableParagraph"/>
              <w:spacing w:line="242" w:lineRule="exact" w:before="148"/>
              <w:ind w:left="166"/>
              <w:rPr>
                <w:b/>
                <w:sz w:val="20"/>
              </w:rPr>
            </w:pPr>
            <w:r>
              <w:rPr>
                <w:b/>
                <w:sz w:val="20"/>
              </w:rPr>
              <w:t>等待期</w:t>
            </w:r>
          </w:p>
        </w:tc>
        <w:tc>
          <w:tcPr>
            <w:tcW w:w="7940" w:type="dxa"/>
            <w:tcBorders>
              <w:top w:val="single" w:sz="4" w:space="0" w:color="000000"/>
            </w:tcBorders>
          </w:tcPr>
          <w:p>
            <w:pPr>
              <w:pStyle w:val="TableParagraph"/>
              <w:spacing w:line="242" w:lineRule="exact" w:before="148"/>
              <w:ind w:left="110"/>
              <w:rPr>
                <w:b/>
                <w:sz w:val="20"/>
              </w:rPr>
            </w:pPr>
            <w:r>
              <w:rPr>
                <w:b/>
                <w:w w:val="95"/>
                <w:sz w:val="20"/>
              </w:rPr>
              <w:t>本合同生效日零时起九十日及本合同效力恢复日零时起九十日为等待期。</w:t>
            </w:r>
          </w:p>
        </w:tc>
      </w:tr>
    </w:tbl>
    <w:p>
      <w:pPr>
        <w:spacing w:after="0" w:line="242" w:lineRule="exact"/>
        <w:rPr>
          <w:sz w:val="20"/>
        </w:rPr>
        <w:sectPr>
          <w:pgSz w:w="11910" w:h="16840"/>
          <w:pgMar w:header="0" w:footer="831" w:top="1420" w:bottom="110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408"/>
        <w:gridCol w:w="8265"/>
      </w:tblGrid>
      <w:tr>
        <w:trPr>
          <w:trHeight w:val="14321" w:hRule="atLeast"/>
        </w:trPr>
        <w:tc>
          <w:tcPr>
            <w:tcW w:w="576" w:type="dxa"/>
            <w:tcBorders>
              <w:top w:val="single" w:sz="4" w:space="0" w:color="000000"/>
            </w:tcBorders>
          </w:tcPr>
          <w:p>
            <w:pPr>
              <w:pStyle w:val="TableParagraph"/>
              <w:spacing w:before="144"/>
              <w:ind w:left="107"/>
              <w:rPr>
                <w:b/>
                <w:sz w:val="20"/>
              </w:rPr>
            </w:pPr>
            <w:r>
              <w:rPr>
                <w:b/>
                <w:sz w:val="20"/>
              </w:rPr>
              <w:t>2.2</w:t>
            </w:r>
          </w:p>
        </w:tc>
        <w:tc>
          <w:tcPr>
            <w:tcW w:w="1408" w:type="dxa"/>
            <w:tcBorders>
              <w:top w:val="single" w:sz="4" w:space="0" w:color="000000"/>
            </w:tcBorders>
          </w:tcPr>
          <w:p>
            <w:pPr>
              <w:pStyle w:val="TableParagraph"/>
              <w:spacing w:before="144"/>
              <w:ind w:left="166"/>
              <w:rPr>
                <w:b/>
                <w:sz w:val="20"/>
              </w:rPr>
            </w:pPr>
            <w:r>
              <w:rPr>
                <w:b/>
                <w:sz w:val="20"/>
              </w:rPr>
              <w:t>保险责任</w:t>
            </w:r>
          </w:p>
        </w:tc>
        <w:tc>
          <w:tcPr>
            <w:tcW w:w="8265" w:type="dxa"/>
            <w:tcBorders>
              <w:top w:val="single" w:sz="4" w:space="0" w:color="000000"/>
            </w:tcBorders>
          </w:tcPr>
          <w:p>
            <w:pPr>
              <w:pStyle w:val="TableParagraph"/>
              <w:spacing w:line="250" w:lineRule="exact"/>
              <w:ind w:left="433"/>
              <w:rPr>
                <w:b/>
                <w:sz w:val="20"/>
              </w:rPr>
            </w:pPr>
            <w:r>
              <w:rPr>
                <w:b/>
                <w:w w:val="95"/>
                <w:sz w:val="20"/>
              </w:rPr>
              <w:t>一、在本合同保险期间内，我们承担以下保险责任：</w:t>
            </w:r>
          </w:p>
          <w:p>
            <w:pPr>
              <w:pStyle w:val="TableParagraph"/>
              <w:spacing w:before="170"/>
              <w:ind w:left="433"/>
              <w:rPr>
                <w:b/>
                <w:sz w:val="20"/>
              </w:rPr>
            </w:pPr>
            <w:r>
              <w:rPr>
                <w:b/>
                <w:w w:val="95"/>
                <w:sz w:val="20"/>
              </w:rPr>
              <w:t>1、身故给付</w:t>
            </w:r>
          </w:p>
          <w:p>
            <w:pPr>
              <w:pStyle w:val="TableParagraph"/>
              <w:spacing w:line="285" w:lineRule="auto" w:before="170"/>
              <w:ind w:left="433" w:right="200"/>
              <w:rPr>
                <w:b/>
                <w:sz w:val="20"/>
              </w:rPr>
            </w:pPr>
            <w:r>
              <w:rPr>
                <w:b/>
                <w:w w:val="95"/>
                <w:sz w:val="20"/>
              </w:rPr>
              <w:t>若被保险人于18周岁保单周年日（不含）之前身故，我们无息返还身故时累计应交保险   费，本合同终止；</w:t>
            </w:r>
          </w:p>
          <w:p>
            <w:pPr>
              <w:pStyle w:val="TableParagraph"/>
              <w:spacing w:line="285" w:lineRule="auto" w:before="12"/>
              <w:ind w:left="433" w:right="201"/>
              <w:rPr>
                <w:b/>
                <w:sz w:val="20"/>
              </w:rPr>
            </w:pPr>
            <w:r>
              <w:rPr>
                <w:b/>
                <w:w w:val="95"/>
                <w:sz w:val="20"/>
              </w:rPr>
              <w:t>若被保险人于18周岁保单周年日（含）之后身故，我们按被保险人身故时本合同的基本  保险金额</w:t>
            </w:r>
            <w:r>
              <w:rPr>
                <w:b/>
                <w:w w:val="95"/>
                <w:position w:val="10"/>
                <w:sz w:val="10"/>
              </w:rPr>
              <w:t>[9]</w:t>
            </w:r>
            <w:r>
              <w:rPr>
                <w:b/>
                <w:w w:val="95"/>
                <w:sz w:val="20"/>
              </w:rPr>
              <w:t>的三倍给付身故保险金，本合同终止。</w:t>
            </w:r>
          </w:p>
          <w:p>
            <w:pPr>
              <w:pStyle w:val="TableParagraph"/>
              <w:spacing w:before="165"/>
              <w:ind w:left="433"/>
              <w:rPr>
                <w:b/>
                <w:sz w:val="20"/>
              </w:rPr>
            </w:pPr>
            <w:r>
              <w:rPr>
                <w:b/>
                <w:w w:val="95"/>
                <w:sz w:val="20"/>
              </w:rPr>
              <w:t>2、全残给付</w:t>
            </w:r>
          </w:p>
          <w:p>
            <w:pPr>
              <w:pStyle w:val="TableParagraph"/>
              <w:spacing w:line="285" w:lineRule="auto" w:before="169"/>
              <w:ind w:left="433" w:right="5"/>
              <w:rPr>
                <w:b/>
                <w:sz w:val="20"/>
              </w:rPr>
            </w:pPr>
            <w:r>
              <w:rPr>
                <w:b/>
                <w:spacing w:val="-1"/>
                <w:w w:val="95"/>
                <w:sz w:val="20"/>
              </w:rPr>
              <w:t>若被保险人全残，我们按被保险人全残时本合同的基本保险金额的三倍给付全残保险金，   本合同终止。</w:t>
            </w:r>
          </w:p>
          <w:p>
            <w:pPr>
              <w:pStyle w:val="TableParagraph"/>
              <w:spacing w:before="167"/>
              <w:ind w:left="433"/>
              <w:rPr>
                <w:b/>
                <w:sz w:val="20"/>
              </w:rPr>
            </w:pPr>
            <w:r>
              <w:rPr>
                <w:b/>
                <w:w w:val="95"/>
                <w:sz w:val="20"/>
              </w:rPr>
              <w:t>3、生命尊严提前给付</w:t>
            </w:r>
          </w:p>
          <w:p>
            <w:pPr>
              <w:pStyle w:val="TableParagraph"/>
              <w:spacing w:line="285" w:lineRule="auto" w:before="169"/>
              <w:ind w:left="433" w:right="107"/>
              <w:jc w:val="both"/>
              <w:rPr>
                <w:b/>
                <w:sz w:val="20"/>
              </w:rPr>
            </w:pPr>
            <w:r>
              <w:rPr>
                <w:b/>
                <w:sz w:val="20"/>
              </w:rPr>
              <w:t>自本合同生效日或最近一次效力恢复日（以较迟者为准）零时起一年后，若被保险人由我们指定或认可的医院</w:t>
            </w:r>
            <w:r>
              <w:rPr>
                <w:b/>
                <w:position w:val="10"/>
                <w:sz w:val="10"/>
              </w:rPr>
              <w:t>[10]</w:t>
            </w:r>
            <w:r>
              <w:rPr>
                <w:b/>
                <w:sz w:val="20"/>
              </w:rPr>
              <w:t>的专科医生</w:t>
            </w:r>
            <w:r>
              <w:rPr>
                <w:b/>
                <w:position w:val="10"/>
                <w:sz w:val="10"/>
              </w:rPr>
              <w:t>[11]</w:t>
            </w:r>
            <w:r>
              <w:rPr>
                <w:b/>
                <w:sz w:val="20"/>
              </w:rPr>
              <w:t>确诊患有终末期疾病，可向我们申请领取生命尊严提前给付保险金。我们按申请时本合同的基本保险金额的三倍给付生命尊严提前给付</w:t>
            </w:r>
            <w:r>
              <w:rPr>
                <w:b/>
                <w:w w:val="95"/>
                <w:sz w:val="20"/>
              </w:rPr>
              <w:t>保险金后，本合同终止。</w:t>
            </w:r>
          </w:p>
          <w:p>
            <w:pPr>
              <w:pStyle w:val="TableParagraph"/>
              <w:spacing w:before="167"/>
              <w:ind w:left="433"/>
              <w:rPr>
                <w:b/>
                <w:sz w:val="20"/>
              </w:rPr>
            </w:pPr>
            <w:r>
              <w:rPr>
                <w:rFonts w:ascii="Times New Roman" w:eastAsia="Times New Roman"/>
                <w:b/>
                <w:w w:val="95"/>
                <w:sz w:val="20"/>
              </w:rPr>
              <w:t>4</w:t>
            </w:r>
            <w:r>
              <w:rPr>
                <w:b/>
                <w:w w:val="95"/>
                <w:sz w:val="20"/>
              </w:rPr>
              <w:t>、重大疾病给付</w:t>
            </w:r>
          </w:p>
          <w:p>
            <w:pPr>
              <w:pStyle w:val="TableParagraph"/>
              <w:spacing w:before="190"/>
              <w:ind w:left="433"/>
              <w:rPr>
                <w:b/>
                <w:sz w:val="20"/>
              </w:rPr>
            </w:pPr>
            <w:r>
              <w:rPr>
                <w:b/>
                <w:w w:val="95"/>
                <w:sz w:val="20"/>
              </w:rPr>
              <w:t>（1）首次重大疾病保险金</w:t>
            </w:r>
          </w:p>
          <w:p>
            <w:pPr>
              <w:pStyle w:val="TableParagraph"/>
              <w:spacing w:line="285" w:lineRule="auto" w:before="170"/>
              <w:ind w:left="433" w:right="199"/>
              <w:jc w:val="both"/>
              <w:rPr>
                <w:b/>
                <w:sz w:val="20"/>
              </w:rPr>
            </w:pPr>
            <w:r>
              <w:rPr>
                <w:b/>
                <w:w w:val="95"/>
                <w:sz w:val="20"/>
              </w:rPr>
              <w:t>若被保险人于等待期满后首次出现本合同约定的重大疾病的症状或体征，并且按本合同   对重大疾病的定义和诊断标准被我们指定或认可的医院初次确诊为患有本合同所列的重  大疾病，则我们按本合同的基本保险金额的三倍给付首次重大疾病保险金。若被保险人  因意外事故</w:t>
            </w:r>
            <w:r>
              <w:rPr>
                <w:b/>
                <w:w w:val="95"/>
                <w:position w:val="10"/>
                <w:sz w:val="10"/>
              </w:rPr>
              <w:t>[12]</w:t>
            </w:r>
            <w:r>
              <w:rPr>
                <w:b/>
                <w:w w:val="95"/>
                <w:sz w:val="20"/>
              </w:rPr>
              <w:t>而患有本合同所列的重大疾病，则不受等待期的限制。</w:t>
            </w:r>
          </w:p>
          <w:p>
            <w:pPr>
              <w:pStyle w:val="TableParagraph"/>
              <w:spacing w:line="285" w:lineRule="auto" w:before="129"/>
              <w:ind w:left="433" w:right="201"/>
              <w:jc w:val="both"/>
              <w:rPr>
                <w:b/>
                <w:sz w:val="20"/>
              </w:rPr>
            </w:pPr>
            <w:r>
              <w:rPr>
                <w:b/>
                <w:w w:val="95"/>
                <w:sz w:val="20"/>
              </w:rPr>
              <w:t>我们给付首次重大疾病保险金后，本合同的现金价值降为零，并同时豁免本合同在首次   重大疾病确诊日以后的各期保险费，并</w:t>
            </w:r>
            <w:r>
              <w:rPr>
                <w:b/>
                <w:w w:val="95"/>
                <w:sz w:val="20"/>
                <w:u w:val="single"/>
              </w:rPr>
              <w:t>不再承担给付身故或全残保险金、生命尊严提前  给付保险金、轻症重疾保险金的责任</w:t>
            </w:r>
            <w:r>
              <w:rPr>
                <w:b/>
                <w:w w:val="95"/>
                <w:sz w:val="20"/>
              </w:rPr>
              <w:t>。</w:t>
            </w:r>
          </w:p>
          <w:p>
            <w:pPr>
              <w:pStyle w:val="TableParagraph"/>
              <w:spacing w:line="285" w:lineRule="auto" w:before="167"/>
              <w:ind w:left="433" w:right="6"/>
              <w:rPr>
                <w:b/>
                <w:sz w:val="20"/>
              </w:rPr>
            </w:pPr>
            <w:r>
              <w:rPr>
                <w:b/>
                <w:sz w:val="20"/>
              </w:rPr>
              <w:t>若被保险人在等待期内首次出现本合同约定的重大疾病的症状或体征，或者在等待期内按本合同对重大疾病的定义和诊断标准被我们指定或认可的医院初次确诊为患有本合同</w:t>
            </w:r>
            <w:r>
              <w:rPr>
                <w:b/>
                <w:w w:val="95"/>
                <w:sz w:val="20"/>
              </w:rPr>
              <w:t>所列的重大疾病，我们不承担给付保险金的责任，仅无息退还本合同累计已交的保险费，   本合同终止。</w:t>
            </w:r>
          </w:p>
          <w:p>
            <w:pPr>
              <w:pStyle w:val="TableParagraph"/>
              <w:spacing w:before="167"/>
              <w:ind w:left="433"/>
              <w:rPr>
                <w:b/>
                <w:sz w:val="20"/>
              </w:rPr>
            </w:pPr>
            <w:r>
              <w:rPr>
                <w:b/>
                <w:w w:val="95"/>
                <w:sz w:val="20"/>
              </w:rPr>
              <w:t>（2）第二次重大疾病保险金</w:t>
            </w:r>
          </w:p>
          <w:p>
            <w:pPr>
              <w:pStyle w:val="TableParagraph"/>
              <w:spacing w:line="285" w:lineRule="auto" w:before="169"/>
              <w:ind w:left="433" w:right="199"/>
              <w:jc w:val="both"/>
              <w:rPr>
                <w:b/>
                <w:sz w:val="20"/>
              </w:rPr>
            </w:pPr>
            <w:r>
              <w:rPr>
                <w:b/>
                <w:w w:val="95"/>
                <w:sz w:val="20"/>
              </w:rPr>
              <w:t>我们给付首次重大疾病保险金后，若被保险人自首次重大疾病确诊之日起三百六十五日   后，初次出现首次重大疾病所属组别以外的其他组别中的任何一种重大疾病的症状或体   征，并且按本合同对重大疾病的定义和诊断标准被我们指定或认可的医院初次确诊为患  有该重大疾病，我们按本合同的基本保险金额给付第二次重大疾病保险金。</w:t>
            </w:r>
          </w:p>
          <w:p>
            <w:pPr>
              <w:pStyle w:val="TableParagraph"/>
              <w:spacing w:before="168"/>
              <w:ind w:left="433"/>
              <w:rPr>
                <w:b/>
                <w:sz w:val="20"/>
              </w:rPr>
            </w:pPr>
            <w:r>
              <w:rPr>
                <w:b/>
                <w:w w:val="95"/>
                <w:sz w:val="20"/>
              </w:rPr>
              <w:t>（3）第三次重大疾病保险金</w:t>
            </w:r>
          </w:p>
          <w:p>
            <w:pPr>
              <w:pStyle w:val="TableParagraph"/>
              <w:spacing w:line="285" w:lineRule="auto" w:before="170"/>
              <w:ind w:left="433" w:right="198"/>
              <w:jc w:val="both"/>
              <w:rPr>
                <w:b/>
                <w:sz w:val="20"/>
              </w:rPr>
            </w:pPr>
            <w:r>
              <w:rPr>
                <w:b/>
                <w:w w:val="95"/>
                <w:sz w:val="20"/>
              </w:rPr>
              <w:t>我们给付第二次重大疾病保险金后，若被保险人自上述第二次重大疾病确诊之日起三百   六十五日后，初次出现首次重大疾病以及第二次重大疾病所属组别以外的其他组别中的   任何一种重大疾病的症状或体征，并且按本合同对重大疾病的定义和诊断标准被我们指  定或认可的医院初次确诊为患有该重大疾病，我们按本合同的基本保险金额给付第三次   重大疾病保险金，本合同终止。</w:t>
            </w:r>
          </w:p>
          <w:p>
            <w:pPr>
              <w:pStyle w:val="TableParagraph"/>
              <w:spacing w:line="247" w:lineRule="exact" w:before="168"/>
              <w:ind w:left="433"/>
              <w:jc w:val="both"/>
              <w:rPr>
                <w:b/>
                <w:sz w:val="20"/>
              </w:rPr>
            </w:pPr>
            <w:r>
              <w:rPr>
                <w:b/>
                <w:w w:val="95"/>
                <w:sz w:val="20"/>
              </w:rPr>
              <w:t>5、轻症重疾给付及保险费豁免</w:t>
            </w:r>
          </w:p>
        </w:tc>
      </w:tr>
    </w:tbl>
    <w:p>
      <w:pPr>
        <w:spacing w:after="0" w:line="247" w:lineRule="exact"/>
        <w:jc w:val="both"/>
        <w:rPr>
          <w:sz w:val="20"/>
        </w:rPr>
        <w:sectPr>
          <w:pgSz w:w="11910" w:h="16840"/>
          <w:pgMar w:header="0" w:footer="831" w:top="1120" w:bottom="102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733"/>
        <w:gridCol w:w="7939"/>
      </w:tblGrid>
      <w:tr>
        <w:trPr>
          <w:trHeight w:val="3822" w:hRule="atLeast"/>
        </w:trPr>
        <w:tc>
          <w:tcPr>
            <w:tcW w:w="576" w:type="dxa"/>
            <w:tcBorders>
              <w:top w:val="single" w:sz="4" w:space="0" w:color="000000"/>
            </w:tcBorders>
          </w:tcPr>
          <w:p>
            <w:pPr>
              <w:pStyle w:val="TableParagraph"/>
              <w:ind w:left="0"/>
              <w:rPr>
                <w:rFonts w:ascii="Times New Roman"/>
                <w:sz w:val="18"/>
              </w:rPr>
            </w:pPr>
          </w:p>
        </w:tc>
        <w:tc>
          <w:tcPr>
            <w:tcW w:w="1733" w:type="dxa"/>
            <w:tcBorders>
              <w:top w:val="single" w:sz="4" w:space="0" w:color="000000"/>
            </w:tcBorders>
          </w:tcPr>
          <w:p>
            <w:pPr>
              <w:pStyle w:val="TableParagraph"/>
              <w:ind w:left="0"/>
              <w:rPr>
                <w:rFonts w:ascii="Times New Roman"/>
                <w:sz w:val="18"/>
              </w:rPr>
            </w:pPr>
          </w:p>
        </w:tc>
        <w:tc>
          <w:tcPr>
            <w:tcW w:w="7939" w:type="dxa"/>
            <w:tcBorders>
              <w:top w:val="single" w:sz="4" w:space="0" w:color="000000"/>
            </w:tcBorders>
          </w:tcPr>
          <w:p>
            <w:pPr>
              <w:pStyle w:val="TableParagraph"/>
              <w:spacing w:line="283" w:lineRule="auto"/>
              <w:ind w:right="147"/>
              <w:jc w:val="both"/>
              <w:rPr>
                <w:b/>
                <w:sz w:val="20"/>
              </w:rPr>
            </w:pPr>
            <w:r>
              <w:rPr>
                <w:b/>
                <w:sz w:val="20"/>
              </w:rPr>
              <w:t>若被保险人于等待期满后首次出现本合同约定的轻症重疾的症状或体征，并且按本合同对轻症重疾的定义和诊断标准被我们指定或认可的医院初次确诊为患有本合同所列的轻</w:t>
            </w:r>
            <w:r>
              <w:rPr>
                <w:b/>
                <w:spacing w:val="-3"/>
                <w:sz w:val="20"/>
              </w:rPr>
              <w:t>症重疾中的一种或多种，则我们按本合同的基本保险金额的 </w:t>
            </w:r>
            <w:r>
              <w:rPr>
                <w:rFonts w:ascii="Times New Roman" w:eastAsia="Times New Roman"/>
                <w:b/>
                <w:sz w:val="20"/>
              </w:rPr>
              <w:t>60%</w:t>
            </w:r>
            <w:r>
              <w:rPr>
                <w:b/>
                <w:sz w:val="20"/>
              </w:rPr>
              <w:t>给付轻症重疾保险金， 并同时豁免本合同在轻症重疾确诊日以后的各期保险费，本合同继续有效，但此后我们不再承担给付轻症重疾保险金的责任。若被保险人因意外事故而患有本合同所列的轻症</w:t>
            </w:r>
            <w:r>
              <w:rPr>
                <w:b/>
                <w:w w:val="95"/>
                <w:sz w:val="20"/>
              </w:rPr>
              <w:t>重疾，则不受等待期的限制。</w:t>
            </w:r>
          </w:p>
          <w:p>
            <w:pPr>
              <w:pStyle w:val="TableParagraph"/>
              <w:spacing w:before="11"/>
              <w:ind w:left="0"/>
              <w:rPr>
                <w:b/>
                <w:sz w:val="13"/>
              </w:rPr>
            </w:pPr>
          </w:p>
          <w:p>
            <w:pPr>
              <w:pStyle w:val="TableParagraph"/>
              <w:spacing w:line="285" w:lineRule="auto"/>
              <w:ind w:right="108"/>
              <w:jc w:val="both"/>
              <w:rPr>
                <w:b/>
                <w:sz w:val="20"/>
              </w:rPr>
            </w:pPr>
            <w:r>
              <w:rPr>
                <w:b/>
                <w:sz w:val="20"/>
              </w:rPr>
              <w:t>若被保险人在等待期内首次出现本合同约定的轻症重疾的症状或体征，或者在等待期内按本合同对轻症重疾的定义和诊断标准被我们指定或认可的医院初次确诊为患有本合同所列的轻症重疾，我们不承担给付轻症重疾保险金及豁免保险费的责任，仅无息退还本</w:t>
            </w:r>
            <w:r>
              <w:rPr>
                <w:b/>
                <w:w w:val="95"/>
                <w:sz w:val="20"/>
              </w:rPr>
              <w:t>合同累计已交的保险费，本合同终止。</w:t>
            </w:r>
          </w:p>
          <w:p>
            <w:pPr>
              <w:pStyle w:val="TableParagraph"/>
              <w:spacing w:before="167"/>
              <w:jc w:val="both"/>
              <w:rPr>
                <w:b/>
                <w:sz w:val="20"/>
              </w:rPr>
            </w:pPr>
            <w:r>
              <w:rPr>
                <w:b/>
                <w:w w:val="95"/>
                <w:sz w:val="20"/>
              </w:rPr>
              <w:t>二、在本合同终止、撤销、解除后或效力中止期间，我们不再承担本合同的保险责任。</w:t>
            </w:r>
          </w:p>
        </w:tc>
      </w:tr>
      <w:tr>
        <w:trPr>
          <w:trHeight w:val="9595" w:hRule="atLeast"/>
        </w:trPr>
        <w:tc>
          <w:tcPr>
            <w:tcW w:w="576" w:type="dxa"/>
          </w:tcPr>
          <w:p>
            <w:pPr>
              <w:pStyle w:val="TableParagraph"/>
              <w:spacing w:before="66"/>
              <w:ind w:left="107"/>
              <w:rPr>
                <w:b/>
                <w:sz w:val="20"/>
              </w:rPr>
            </w:pPr>
            <w:r>
              <w:rPr>
                <w:b/>
                <w:sz w:val="20"/>
              </w:rPr>
              <w:t>2.3</w:t>
            </w:r>
          </w:p>
        </w:tc>
        <w:tc>
          <w:tcPr>
            <w:tcW w:w="1733" w:type="dxa"/>
          </w:tcPr>
          <w:p>
            <w:pPr>
              <w:pStyle w:val="TableParagraph"/>
              <w:spacing w:before="66"/>
              <w:ind w:left="166"/>
              <w:rPr>
                <w:b/>
                <w:sz w:val="20"/>
              </w:rPr>
            </w:pPr>
            <w:r>
              <w:rPr>
                <w:b/>
                <w:sz w:val="20"/>
              </w:rPr>
              <w:t>责任免除</w:t>
            </w:r>
          </w:p>
        </w:tc>
        <w:tc>
          <w:tcPr>
            <w:tcW w:w="7939" w:type="dxa"/>
          </w:tcPr>
          <w:p>
            <w:pPr>
              <w:pStyle w:val="TableParagraph"/>
              <w:spacing w:line="285" w:lineRule="auto" w:before="66"/>
              <w:ind w:right="105"/>
              <w:jc w:val="both"/>
              <w:rPr>
                <w:b/>
                <w:sz w:val="20"/>
              </w:rPr>
            </w:pPr>
            <w:r>
              <w:rPr>
                <w:b/>
                <w:w w:val="95"/>
                <w:sz w:val="20"/>
              </w:rPr>
              <w:t>（1）因下列情形之一导致被保险人身故、全残或患有终末期疾病的，我们不承担身故给  付、全残给付或生命尊严提前给付的责任：</w:t>
            </w:r>
          </w:p>
          <w:p>
            <w:pPr>
              <w:pStyle w:val="TableParagraph"/>
              <w:numPr>
                <w:ilvl w:val="0"/>
                <w:numId w:val="11"/>
              </w:numPr>
              <w:tabs>
                <w:tab w:pos="788" w:val="left" w:leader="none"/>
              </w:tabs>
              <w:spacing w:line="240" w:lineRule="auto" w:before="12" w:after="0"/>
              <w:ind w:left="788" w:right="0" w:hanging="428"/>
              <w:jc w:val="left"/>
              <w:rPr>
                <w:b/>
                <w:sz w:val="20"/>
              </w:rPr>
            </w:pPr>
            <w:r>
              <w:rPr>
                <w:b/>
                <w:w w:val="95"/>
                <w:sz w:val="20"/>
              </w:rPr>
              <w:t>投保人对被保险人的故意杀害、故意伤害；</w:t>
            </w:r>
          </w:p>
          <w:p>
            <w:pPr>
              <w:pStyle w:val="TableParagraph"/>
              <w:numPr>
                <w:ilvl w:val="0"/>
                <w:numId w:val="11"/>
              </w:numPr>
              <w:tabs>
                <w:tab w:pos="788" w:val="left" w:leader="none"/>
              </w:tabs>
              <w:spacing w:line="240" w:lineRule="auto" w:before="49" w:after="0"/>
              <w:ind w:left="788" w:right="0" w:hanging="428"/>
              <w:jc w:val="left"/>
              <w:rPr>
                <w:b/>
                <w:sz w:val="20"/>
              </w:rPr>
            </w:pPr>
            <w:r>
              <w:rPr>
                <w:b/>
                <w:w w:val="95"/>
                <w:sz w:val="20"/>
              </w:rPr>
              <w:t>被保险人故意犯罪或者抗拒依法采取的刑事强制措施；</w:t>
            </w:r>
          </w:p>
          <w:p>
            <w:pPr>
              <w:pStyle w:val="TableParagraph"/>
              <w:numPr>
                <w:ilvl w:val="0"/>
                <w:numId w:val="11"/>
              </w:numPr>
              <w:tabs>
                <w:tab w:pos="788" w:val="left" w:leader="none"/>
              </w:tabs>
              <w:spacing w:line="285" w:lineRule="auto" w:before="49" w:after="0"/>
              <w:ind w:left="788" w:right="134" w:hanging="428"/>
              <w:jc w:val="left"/>
              <w:rPr>
                <w:b/>
                <w:sz w:val="20"/>
              </w:rPr>
            </w:pPr>
            <w:r>
              <w:rPr>
                <w:b/>
                <w:spacing w:val="-1"/>
                <w:w w:val="95"/>
                <w:sz w:val="20"/>
              </w:rPr>
              <w:t>被保险人自本合同成立或者合同效力恢复之日起两年内</w:t>
            </w:r>
            <w:r>
              <w:rPr>
                <w:b/>
                <w:w w:val="95"/>
                <w:sz w:val="20"/>
              </w:rPr>
              <w:t>（含两年）自杀</w:t>
            </w:r>
            <w:r>
              <w:rPr>
                <w:b/>
                <w:w w:val="95"/>
                <w:position w:val="10"/>
                <w:sz w:val="10"/>
              </w:rPr>
              <w:t>[13]</w:t>
            </w:r>
            <w:r>
              <w:rPr>
                <w:b/>
                <w:w w:val="95"/>
                <w:sz w:val="20"/>
              </w:rPr>
              <w:t>，但被  保险人自杀时为无民事行为能力人的除外；</w:t>
            </w:r>
          </w:p>
          <w:p>
            <w:pPr>
              <w:pStyle w:val="TableParagraph"/>
              <w:numPr>
                <w:ilvl w:val="0"/>
                <w:numId w:val="11"/>
              </w:numPr>
              <w:tabs>
                <w:tab w:pos="788" w:val="left" w:leader="none"/>
              </w:tabs>
              <w:spacing w:line="240" w:lineRule="auto" w:before="11" w:after="0"/>
              <w:ind w:left="788" w:right="0" w:hanging="428"/>
              <w:jc w:val="left"/>
              <w:rPr>
                <w:b/>
                <w:sz w:val="20"/>
              </w:rPr>
            </w:pPr>
            <w:r>
              <w:rPr>
                <w:b/>
                <w:w w:val="95"/>
                <w:sz w:val="20"/>
              </w:rPr>
              <w:t>被保险人主动吸食或注射毒品</w:t>
            </w:r>
            <w:r>
              <w:rPr>
                <w:b/>
                <w:w w:val="95"/>
                <w:position w:val="10"/>
                <w:sz w:val="10"/>
              </w:rPr>
              <w:t>[14]</w:t>
            </w:r>
            <w:r>
              <w:rPr>
                <w:b/>
                <w:w w:val="95"/>
                <w:sz w:val="20"/>
              </w:rPr>
              <w:t>；</w:t>
            </w:r>
          </w:p>
          <w:p>
            <w:pPr>
              <w:pStyle w:val="TableParagraph"/>
              <w:numPr>
                <w:ilvl w:val="0"/>
                <w:numId w:val="11"/>
              </w:numPr>
              <w:tabs>
                <w:tab w:pos="788" w:val="left" w:leader="none"/>
              </w:tabs>
              <w:spacing w:line="285" w:lineRule="auto" w:before="49" w:after="0"/>
              <w:ind w:left="788" w:right="130" w:hanging="428"/>
              <w:jc w:val="left"/>
              <w:rPr>
                <w:b/>
                <w:sz w:val="20"/>
              </w:rPr>
            </w:pPr>
            <w:r>
              <w:rPr>
                <w:b/>
                <w:w w:val="95"/>
                <w:sz w:val="20"/>
              </w:rPr>
              <w:t>被保险人酒后驾驶</w:t>
            </w:r>
            <w:r>
              <w:rPr>
                <w:b/>
                <w:w w:val="95"/>
                <w:position w:val="10"/>
                <w:sz w:val="10"/>
              </w:rPr>
              <w:t>[15]</w:t>
            </w:r>
            <w:r>
              <w:rPr>
                <w:b/>
                <w:w w:val="95"/>
                <w:sz w:val="20"/>
              </w:rPr>
              <w:t>，无合法有效驾驶证驾驶</w:t>
            </w:r>
            <w:r>
              <w:rPr>
                <w:b/>
                <w:w w:val="95"/>
                <w:position w:val="10"/>
                <w:sz w:val="10"/>
              </w:rPr>
              <w:t>[16]</w:t>
            </w:r>
            <w:r>
              <w:rPr>
                <w:b/>
                <w:w w:val="95"/>
                <w:sz w:val="20"/>
              </w:rPr>
              <w:t>，或驾驶无有效行驶证</w:t>
            </w:r>
            <w:r>
              <w:rPr>
                <w:b/>
                <w:w w:val="95"/>
                <w:position w:val="10"/>
                <w:sz w:val="10"/>
              </w:rPr>
              <w:t>[17]</w:t>
            </w:r>
            <w:r>
              <w:rPr>
                <w:b/>
                <w:w w:val="95"/>
                <w:sz w:val="20"/>
              </w:rPr>
              <w:t>的机动  车；</w:t>
            </w:r>
          </w:p>
          <w:p>
            <w:pPr>
              <w:pStyle w:val="TableParagraph"/>
              <w:numPr>
                <w:ilvl w:val="0"/>
                <w:numId w:val="11"/>
              </w:numPr>
              <w:tabs>
                <w:tab w:pos="788" w:val="left" w:leader="none"/>
              </w:tabs>
              <w:spacing w:line="240" w:lineRule="auto" w:before="11" w:after="0"/>
              <w:ind w:left="788" w:right="0" w:hanging="428"/>
              <w:jc w:val="left"/>
              <w:rPr>
                <w:b/>
                <w:sz w:val="20"/>
              </w:rPr>
            </w:pPr>
            <w:r>
              <w:rPr>
                <w:b/>
                <w:w w:val="95"/>
                <w:sz w:val="20"/>
              </w:rPr>
              <w:t>战争、军事冲突、暴乱或武装叛乱；</w:t>
            </w:r>
          </w:p>
          <w:p>
            <w:pPr>
              <w:pStyle w:val="TableParagraph"/>
              <w:numPr>
                <w:ilvl w:val="0"/>
                <w:numId w:val="11"/>
              </w:numPr>
              <w:tabs>
                <w:tab w:pos="788" w:val="left" w:leader="none"/>
              </w:tabs>
              <w:spacing w:line="240" w:lineRule="auto" w:before="49" w:after="0"/>
              <w:ind w:left="788" w:right="0" w:hanging="428"/>
              <w:jc w:val="left"/>
              <w:rPr>
                <w:b/>
                <w:sz w:val="20"/>
              </w:rPr>
            </w:pPr>
            <w:r>
              <w:rPr>
                <w:b/>
                <w:w w:val="95"/>
                <w:sz w:val="20"/>
              </w:rPr>
              <w:t>核爆炸、核辐射或核污染；</w:t>
            </w:r>
          </w:p>
          <w:p>
            <w:pPr>
              <w:pStyle w:val="TableParagraph"/>
              <w:spacing w:before="9"/>
              <w:ind w:left="0"/>
              <w:rPr>
                <w:b/>
                <w:sz w:val="15"/>
              </w:rPr>
            </w:pPr>
          </w:p>
          <w:p>
            <w:pPr>
              <w:pStyle w:val="TableParagraph"/>
              <w:spacing w:line="285" w:lineRule="auto"/>
              <w:ind w:right="134"/>
              <w:jc w:val="both"/>
              <w:rPr>
                <w:b/>
                <w:sz w:val="20"/>
              </w:rPr>
            </w:pPr>
            <w:r>
              <w:rPr>
                <w:b/>
                <w:spacing w:val="-8"/>
                <w:sz w:val="20"/>
              </w:rPr>
              <w:t>发生上述第 </w:t>
            </w:r>
            <w:r>
              <w:rPr>
                <w:b/>
                <w:sz w:val="20"/>
              </w:rPr>
              <w:t>1)项情形导致被保险人身故、全残或患有终末期疾病的，本合同终止，您已交足两年以上（含两年</w:t>
            </w:r>
            <w:r>
              <w:rPr>
                <w:b/>
                <w:spacing w:val="2"/>
                <w:sz w:val="20"/>
              </w:rPr>
              <w:t>）</w:t>
            </w:r>
            <w:r>
              <w:rPr>
                <w:b/>
                <w:sz w:val="20"/>
              </w:rPr>
              <w:t>保险费的，我们向受益人退还本合同的现金价值；发生上述其他情形导致被保险人身故、全残或患有终末期疾病的，本合同终止，我们向您退还本合</w:t>
            </w:r>
            <w:r>
              <w:rPr>
                <w:b/>
                <w:w w:val="95"/>
                <w:sz w:val="20"/>
              </w:rPr>
              <w:t>同的现金价值。</w:t>
            </w:r>
          </w:p>
          <w:p>
            <w:pPr>
              <w:pStyle w:val="TableParagraph"/>
              <w:spacing w:line="285" w:lineRule="auto" w:before="167"/>
              <w:ind w:right="110"/>
              <w:jc w:val="both"/>
              <w:rPr>
                <w:b/>
                <w:sz w:val="20"/>
              </w:rPr>
            </w:pPr>
            <w:r>
              <w:rPr>
                <w:b/>
                <w:w w:val="95"/>
                <w:sz w:val="20"/>
              </w:rPr>
              <w:t>（2）</w:t>
            </w:r>
            <w:r>
              <w:rPr>
                <w:b/>
                <w:spacing w:val="-1"/>
                <w:w w:val="95"/>
                <w:sz w:val="20"/>
              </w:rPr>
              <w:t>因下列情形之一导致被保险人患有疾病、达到疾病状态或进行手术的，我们不承担  重大疾病给付、轻症重疾给付及保险费豁免的责任：</w:t>
            </w:r>
          </w:p>
          <w:p>
            <w:pPr>
              <w:pStyle w:val="TableParagraph"/>
              <w:numPr>
                <w:ilvl w:val="0"/>
                <w:numId w:val="12"/>
              </w:numPr>
              <w:tabs>
                <w:tab w:pos="788" w:val="left" w:leader="none"/>
              </w:tabs>
              <w:spacing w:line="240" w:lineRule="auto" w:before="11" w:after="0"/>
              <w:ind w:left="788" w:right="0" w:hanging="428"/>
              <w:jc w:val="left"/>
              <w:rPr>
                <w:b/>
                <w:sz w:val="20"/>
              </w:rPr>
            </w:pPr>
            <w:r>
              <w:rPr>
                <w:b/>
                <w:w w:val="95"/>
                <w:sz w:val="20"/>
              </w:rPr>
              <w:t>投保人对被保险人的故意杀害、故意伤害；</w:t>
            </w:r>
          </w:p>
          <w:p>
            <w:pPr>
              <w:pStyle w:val="TableParagraph"/>
              <w:numPr>
                <w:ilvl w:val="0"/>
                <w:numId w:val="12"/>
              </w:numPr>
              <w:tabs>
                <w:tab w:pos="788" w:val="left" w:leader="none"/>
              </w:tabs>
              <w:spacing w:line="240" w:lineRule="auto" w:before="49" w:after="0"/>
              <w:ind w:left="788" w:right="0" w:hanging="428"/>
              <w:jc w:val="left"/>
              <w:rPr>
                <w:b/>
                <w:sz w:val="20"/>
              </w:rPr>
            </w:pPr>
            <w:r>
              <w:rPr>
                <w:b/>
                <w:w w:val="95"/>
                <w:sz w:val="20"/>
              </w:rPr>
              <w:t>被保险人故意自伤、故意犯罪或者抗拒依法采取的刑事强制措施；</w:t>
            </w:r>
          </w:p>
          <w:p>
            <w:pPr>
              <w:pStyle w:val="TableParagraph"/>
              <w:numPr>
                <w:ilvl w:val="0"/>
                <w:numId w:val="12"/>
              </w:numPr>
              <w:tabs>
                <w:tab w:pos="788" w:val="left" w:leader="none"/>
              </w:tabs>
              <w:spacing w:line="285" w:lineRule="auto" w:before="49" w:after="0"/>
              <w:ind w:left="788" w:right="128" w:hanging="428"/>
              <w:jc w:val="left"/>
              <w:rPr>
                <w:b/>
                <w:sz w:val="20"/>
              </w:rPr>
            </w:pPr>
            <w:r>
              <w:rPr>
                <w:b/>
                <w:spacing w:val="5"/>
                <w:w w:val="95"/>
                <w:sz w:val="20"/>
              </w:rPr>
              <w:t>被保险人患艾滋病或感染艾滋病病毒</w:t>
            </w:r>
            <w:r>
              <w:rPr>
                <w:b/>
                <w:w w:val="95"/>
                <w:position w:val="10"/>
                <w:sz w:val="10"/>
              </w:rPr>
              <w:t>[18]</w:t>
            </w:r>
            <w:r>
              <w:rPr>
                <w:b/>
                <w:spacing w:val="5"/>
                <w:w w:val="95"/>
                <w:sz w:val="20"/>
              </w:rPr>
              <w:t>后患病（因输血或者工作原因导致的除  </w:t>
            </w:r>
            <w:r>
              <w:rPr>
                <w:b/>
                <w:sz w:val="20"/>
              </w:rPr>
              <w:t>外）；</w:t>
            </w:r>
          </w:p>
          <w:p>
            <w:pPr>
              <w:pStyle w:val="TableParagraph"/>
              <w:numPr>
                <w:ilvl w:val="0"/>
                <w:numId w:val="12"/>
              </w:numPr>
              <w:tabs>
                <w:tab w:pos="788" w:val="left" w:leader="none"/>
              </w:tabs>
              <w:spacing w:line="240" w:lineRule="auto" w:before="11" w:after="0"/>
              <w:ind w:left="788" w:right="0" w:hanging="428"/>
              <w:jc w:val="left"/>
              <w:rPr>
                <w:b/>
                <w:sz w:val="20"/>
              </w:rPr>
            </w:pPr>
            <w:r>
              <w:rPr>
                <w:b/>
                <w:w w:val="95"/>
                <w:sz w:val="20"/>
              </w:rPr>
              <w:t>被保险人主动吸食或注射毒品；</w:t>
            </w:r>
          </w:p>
          <w:p>
            <w:pPr>
              <w:pStyle w:val="TableParagraph"/>
              <w:numPr>
                <w:ilvl w:val="0"/>
                <w:numId w:val="12"/>
              </w:numPr>
              <w:tabs>
                <w:tab w:pos="788" w:val="left" w:leader="none"/>
              </w:tabs>
              <w:spacing w:line="240" w:lineRule="auto" w:before="49" w:after="0"/>
              <w:ind w:left="788" w:right="0" w:hanging="428"/>
              <w:jc w:val="left"/>
              <w:rPr>
                <w:b/>
                <w:sz w:val="20"/>
              </w:rPr>
            </w:pPr>
            <w:r>
              <w:rPr>
                <w:b/>
                <w:w w:val="95"/>
                <w:sz w:val="20"/>
              </w:rPr>
              <w:t>被保险人酒后驾驶，无合法有效驾驶证驾驶，或驾驶无有效行驶证的机动车；</w:t>
            </w:r>
          </w:p>
          <w:p>
            <w:pPr>
              <w:pStyle w:val="TableParagraph"/>
              <w:numPr>
                <w:ilvl w:val="0"/>
                <w:numId w:val="12"/>
              </w:numPr>
              <w:tabs>
                <w:tab w:pos="788" w:val="left" w:leader="none"/>
              </w:tabs>
              <w:spacing w:line="240" w:lineRule="auto" w:before="49" w:after="0"/>
              <w:ind w:left="788" w:right="0" w:hanging="428"/>
              <w:jc w:val="left"/>
              <w:rPr>
                <w:b/>
                <w:sz w:val="20"/>
              </w:rPr>
            </w:pPr>
            <w:r>
              <w:rPr>
                <w:b/>
                <w:w w:val="95"/>
                <w:sz w:val="20"/>
              </w:rPr>
              <w:t>战争、军事冲突、暴乱或武装叛乱；</w:t>
            </w:r>
          </w:p>
          <w:p>
            <w:pPr>
              <w:pStyle w:val="TableParagraph"/>
              <w:numPr>
                <w:ilvl w:val="0"/>
                <w:numId w:val="12"/>
              </w:numPr>
              <w:tabs>
                <w:tab w:pos="788" w:val="left" w:leader="none"/>
              </w:tabs>
              <w:spacing w:line="240" w:lineRule="auto" w:before="49" w:after="0"/>
              <w:ind w:left="788" w:right="0" w:hanging="428"/>
              <w:jc w:val="left"/>
              <w:rPr>
                <w:b/>
                <w:sz w:val="20"/>
              </w:rPr>
            </w:pPr>
            <w:r>
              <w:rPr>
                <w:b/>
                <w:w w:val="95"/>
                <w:sz w:val="20"/>
              </w:rPr>
              <w:t>核爆炸、核辐射或核污染；</w:t>
            </w:r>
          </w:p>
          <w:p>
            <w:pPr>
              <w:pStyle w:val="TableParagraph"/>
              <w:numPr>
                <w:ilvl w:val="0"/>
                <w:numId w:val="12"/>
              </w:numPr>
              <w:tabs>
                <w:tab w:pos="788" w:val="left" w:leader="none"/>
              </w:tabs>
              <w:spacing w:line="240" w:lineRule="auto" w:before="50" w:after="0"/>
              <w:ind w:left="788" w:right="0" w:hanging="428"/>
              <w:jc w:val="left"/>
              <w:rPr>
                <w:b/>
                <w:sz w:val="20"/>
              </w:rPr>
            </w:pPr>
            <w:r>
              <w:rPr>
                <w:b/>
                <w:w w:val="95"/>
                <w:sz w:val="20"/>
              </w:rPr>
              <w:t>遗传性疾病</w:t>
            </w:r>
            <w:r>
              <w:rPr>
                <w:b/>
                <w:w w:val="95"/>
                <w:position w:val="10"/>
                <w:sz w:val="10"/>
              </w:rPr>
              <w:t>[19]</w:t>
            </w:r>
            <w:r>
              <w:rPr>
                <w:b/>
                <w:w w:val="95"/>
                <w:sz w:val="20"/>
              </w:rPr>
              <w:t>（不包括肌营养不良症），先天性畸形、变形或染色体异常</w:t>
            </w:r>
            <w:r>
              <w:rPr>
                <w:b/>
                <w:w w:val="95"/>
                <w:position w:val="10"/>
                <w:sz w:val="10"/>
              </w:rPr>
              <w:t>[20]</w:t>
            </w:r>
            <w:r>
              <w:rPr>
                <w:b/>
                <w:w w:val="95"/>
                <w:sz w:val="20"/>
              </w:rPr>
              <w:t>。</w:t>
            </w:r>
          </w:p>
          <w:p>
            <w:pPr>
              <w:pStyle w:val="TableParagraph"/>
              <w:spacing w:before="9"/>
              <w:ind w:left="0"/>
              <w:rPr>
                <w:b/>
                <w:sz w:val="15"/>
              </w:rPr>
            </w:pPr>
          </w:p>
          <w:p>
            <w:pPr>
              <w:pStyle w:val="TableParagraph"/>
              <w:spacing w:line="285" w:lineRule="auto"/>
              <w:ind w:right="109"/>
              <w:jc w:val="both"/>
              <w:rPr>
                <w:b/>
                <w:sz w:val="20"/>
              </w:rPr>
            </w:pPr>
            <w:r>
              <w:rPr>
                <w:b/>
                <w:spacing w:val="-3"/>
                <w:sz w:val="20"/>
              </w:rPr>
              <w:t>发生上述第 </w:t>
            </w:r>
            <w:r>
              <w:rPr>
                <w:b/>
                <w:sz w:val="20"/>
              </w:rPr>
              <w:t>1)项情形的，本合同终止，您已交足两年以上（含两年）保险费的，我们向受益人退还本合同的现金价值；发生上述其他情形的，本合同终止，我们向您退还本合</w:t>
            </w:r>
            <w:r>
              <w:rPr>
                <w:b/>
                <w:w w:val="95"/>
                <w:sz w:val="20"/>
              </w:rPr>
              <w:t>同的现金价值。</w:t>
            </w:r>
          </w:p>
        </w:tc>
      </w:tr>
      <w:tr>
        <w:trPr>
          <w:trHeight w:val="567" w:hRule="atLeast"/>
        </w:trPr>
        <w:tc>
          <w:tcPr>
            <w:tcW w:w="576" w:type="dxa"/>
          </w:tcPr>
          <w:p>
            <w:pPr>
              <w:pStyle w:val="TableParagraph"/>
              <w:spacing w:line="250" w:lineRule="exact"/>
              <w:ind w:left="107"/>
              <w:rPr>
                <w:b/>
                <w:sz w:val="20"/>
              </w:rPr>
            </w:pPr>
            <w:r>
              <w:rPr>
                <w:b/>
                <w:sz w:val="20"/>
              </w:rPr>
              <w:t>2.4</w:t>
            </w:r>
          </w:p>
        </w:tc>
        <w:tc>
          <w:tcPr>
            <w:tcW w:w="1733" w:type="dxa"/>
          </w:tcPr>
          <w:p>
            <w:pPr>
              <w:pStyle w:val="TableParagraph"/>
              <w:spacing w:line="250" w:lineRule="exact"/>
              <w:ind w:left="166"/>
              <w:rPr>
                <w:b/>
                <w:sz w:val="20"/>
              </w:rPr>
            </w:pPr>
            <w:r>
              <w:rPr>
                <w:b/>
                <w:w w:val="95"/>
                <w:sz w:val="20"/>
              </w:rPr>
              <w:t>未成年人身故保</w:t>
            </w:r>
          </w:p>
          <w:p>
            <w:pPr>
              <w:pStyle w:val="TableParagraph"/>
              <w:spacing w:line="247" w:lineRule="exact" w:before="50"/>
              <w:ind w:left="166"/>
              <w:rPr>
                <w:b/>
                <w:sz w:val="20"/>
              </w:rPr>
            </w:pPr>
            <w:r>
              <w:rPr>
                <w:b/>
                <w:sz w:val="20"/>
              </w:rPr>
              <w:t>险金限制</w:t>
            </w:r>
          </w:p>
        </w:tc>
        <w:tc>
          <w:tcPr>
            <w:tcW w:w="7939" w:type="dxa"/>
          </w:tcPr>
          <w:p>
            <w:pPr>
              <w:pStyle w:val="TableParagraph"/>
              <w:spacing w:line="237" w:lineRule="auto" w:before="20"/>
              <w:ind w:right="232"/>
              <w:rPr>
                <w:sz w:val="20"/>
              </w:rPr>
            </w:pPr>
            <w:r>
              <w:rPr>
                <w:w w:val="95"/>
                <w:sz w:val="20"/>
              </w:rPr>
              <w:t>为未成年子女投保的人身保险，因被保险人身故给付的保险金限额按国务院保险监督管  理机构规定执行。</w:t>
            </w:r>
          </w:p>
        </w:tc>
      </w:tr>
    </w:tbl>
    <w:p>
      <w:pPr>
        <w:spacing w:after="0" w:line="237" w:lineRule="auto"/>
        <w:rPr>
          <w:sz w:val="20"/>
        </w:rPr>
        <w:sectPr>
          <w:pgSz w:w="11910" w:h="16840"/>
          <w:pgMar w:header="0" w:footer="831" w:top="1120" w:bottom="1020" w:left="840" w:right="600"/>
        </w:sectPr>
      </w:pPr>
    </w:p>
    <w:p>
      <w:pPr>
        <w:pStyle w:val="ListParagraph"/>
        <w:numPr>
          <w:ilvl w:val="1"/>
          <w:numId w:val="13"/>
        </w:numPr>
        <w:tabs>
          <w:tab w:pos="734" w:val="left" w:leader="none"/>
          <w:tab w:pos="735" w:val="left" w:leader="none"/>
        </w:tabs>
        <w:spacing w:line="240" w:lineRule="auto" w:before="46" w:after="0"/>
        <w:ind w:left="734" w:right="0" w:hanging="634"/>
        <w:jc w:val="left"/>
        <w:rPr>
          <w:b/>
          <w:sz w:val="20"/>
        </w:rPr>
      </w:pPr>
      <w:r>
        <w:rPr>
          <w:b/>
          <w:spacing w:val="5"/>
          <w:w w:val="95"/>
          <w:sz w:val="20"/>
        </w:rPr>
        <w:t>基本保险金额的</w:t>
      </w:r>
    </w:p>
    <w:p>
      <w:pPr>
        <w:spacing w:before="50"/>
        <w:ind w:left="717" w:right="1034" w:firstLine="0"/>
        <w:jc w:val="center"/>
        <w:rPr>
          <w:b/>
          <w:sz w:val="20"/>
        </w:rPr>
      </w:pPr>
      <w:r>
        <w:rPr>
          <w:b/>
          <w:sz w:val="20"/>
        </w:rPr>
        <w:t>变更</w:t>
      </w:r>
    </w:p>
    <w:p>
      <w:pPr>
        <w:pStyle w:val="BodyText"/>
        <w:spacing w:before="22"/>
        <w:ind w:left="100" w:right="136"/>
        <w:jc w:val="both"/>
      </w:pPr>
      <w:r>
        <w:rPr/>
        <w:br w:type="column"/>
      </w:r>
      <w:r>
        <w:rPr/>
        <w:t>您在本合同保险期间内，可根据我们的规定提出降低本合同基本保险金额的书面申请， </w:t>
      </w:r>
      <w:r>
        <w:rPr>
          <w:w w:val="95"/>
        </w:rPr>
        <w:t>经我们同意并在本合同上批注后生效。</w:t>
      </w:r>
    </w:p>
    <w:p>
      <w:pPr>
        <w:spacing w:line="237" w:lineRule="auto" w:before="156"/>
        <w:ind w:left="100" w:right="112" w:firstLine="0"/>
        <w:jc w:val="both"/>
        <w:rPr>
          <w:b/>
          <w:sz w:val="20"/>
        </w:rPr>
      </w:pPr>
      <w:r>
        <w:rPr>
          <w:sz w:val="20"/>
        </w:rPr>
        <w:t>若申请降低本合同的基本保险金额，则降低后的基本保险金额不应低于我们规定的最低</w:t>
      </w:r>
      <w:r>
        <w:rPr>
          <w:w w:val="95"/>
          <w:sz w:val="20"/>
        </w:rPr>
        <w:t>金额。</w:t>
      </w:r>
      <w:r>
        <w:rPr>
          <w:b/>
          <w:w w:val="95"/>
          <w:sz w:val="20"/>
        </w:rPr>
        <w:t>基本保险金额的减少部分视为退保，我们将退还本合同基本保险金额减少部分所   对应的现金价值。</w:t>
      </w:r>
    </w:p>
    <w:p>
      <w:pPr>
        <w:pStyle w:val="BodyText"/>
        <w:spacing w:line="237" w:lineRule="auto" w:before="156"/>
        <w:ind w:left="100" w:right="135"/>
        <w:jc w:val="both"/>
      </w:pPr>
      <w:r>
        <w:rPr>
          <w:w w:val="95"/>
        </w:rPr>
        <w:t>基本保险金额变更后本合同的身故保险金、全残保险金、生命尊严提前给付保险金、各   项重大疾病保险金、轻症重疾保险金、现金价值均按变更后的基本保险金额计算。</w:t>
      </w:r>
    </w:p>
    <w:p>
      <w:pPr>
        <w:pStyle w:val="BodyText"/>
        <w:spacing w:before="153"/>
        <w:ind w:left="100"/>
        <w:jc w:val="both"/>
      </w:pPr>
      <w:r>
        <w:rPr>
          <w:w w:val="95"/>
        </w:rPr>
        <w:t>若您已交清本合同的全部保险费，则我们不接受变更本合同基本保险金额的申请。</w:t>
      </w:r>
    </w:p>
    <w:p>
      <w:pPr>
        <w:spacing w:after="0"/>
        <w:jc w:val="both"/>
        <w:sectPr>
          <w:pgSz w:w="11910" w:h="16840"/>
          <w:pgMar w:header="0" w:footer="831" w:top="1060" w:bottom="1020" w:left="960" w:right="800"/>
          <w:cols w:num="2" w:equalWidth="0">
            <w:col w:w="2193" w:space="116"/>
            <w:col w:w="7841"/>
          </w:cols>
        </w:sectPr>
      </w:pPr>
    </w:p>
    <w:p>
      <w:pPr>
        <w:pStyle w:val="BodyText"/>
        <w:spacing w:before="8"/>
        <w:rPr>
          <w:sz w:val="10"/>
        </w:rPr>
      </w:pPr>
    </w:p>
    <w:p>
      <w:pPr>
        <w:pStyle w:val="Heading2"/>
        <w:numPr>
          <w:ilvl w:val="1"/>
          <w:numId w:val="13"/>
        </w:numPr>
        <w:tabs>
          <w:tab w:pos="734" w:val="left" w:leader="none"/>
          <w:tab w:pos="735" w:val="left" w:leader="none"/>
          <w:tab w:pos="2409" w:val="left" w:leader="none"/>
        </w:tabs>
        <w:spacing w:line="240" w:lineRule="auto" w:before="38" w:after="0"/>
        <w:ind w:left="734" w:right="0" w:hanging="634"/>
        <w:jc w:val="left"/>
      </w:pPr>
      <w:r>
        <w:rPr/>
        <w:t>重大疾病的分组</w:t>
        <w:tab/>
      </w:r>
      <w:r>
        <w:rPr>
          <w:w w:val="95"/>
        </w:rPr>
        <w:t>本合同所承保的所有重大疾病分为以下三组：</w:t>
      </w:r>
    </w:p>
    <w:p>
      <w:pPr>
        <w:pStyle w:val="BodyText"/>
        <w:spacing w:before="4"/>
        <w:rPr>
          <w:b/>
          <w:sz w:val="16"/>
        </w:rPr>
      </w:pPr>
    </w:p>
    <w:tbl>
      <w:tblPr>
        <w:tblW w:w="0" w:type="auto"/>
        <w:jc w:val="left"/>
        <w:tblInd w:w="2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1" w:hRule="atLeast"/>
        </w:trPr>
        <w:tc>
          <w:tcPr>
            <w:tcW w:w="783" w:type="dxa"/>
          </w:tcPr>
          <w:p>
            <w:pPr>
              <w:pStyle w:val="TableParagraph"/>
              <w:spacing w:line="253" w:lineRule="exact"/>
              <w:ind w:left="189"/>
              <w:rPr>
                <w:b/>
                <w:sz w:val="20"/>
              </w:rPr>
            </w:pPr>
            <w:r>
              <w:rPr>
                <w:b/>
                <w:sz w:val="20"/>
              </w:rPr>
              <w:t>组别</w:t>
            </w:r>
          </w:p>
        </w:tc>
        <w:tc>
          <w:tcPr>
            <w:tcW w:w="6330" w:type="dxa"/>
          </w:tcPr>
          <w:p>
            <w:pPr>
              <w:pStyle w:val="TableParagraph"/>
              <w:spacing w:line="253" w:lineRule="exact"/>
              <w:ind w:left="2743" w:right="2722"/>
              <w:jc w:val="center"/>
              <w:rPr>
                <w:b/>
                <w:sz w:val="20"/>
              </w:rPr>
            </w:pPr>
            <w:r>
              <w:rPr>
                <w:b/>
                <w:sz w:val="20"/>
              </w:rPr>
              <w:t>重大疾病</w:t>
            </w:r>
          </w:p>
        </w:tc>
      </w:tr>
      <w:tr>
        <w:trPr>
          <w:trHeight w:val="642"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9"/>
              <w:ind w:left="213"/>
              <w:rPr>
                <w:b/>
                <w:sz w:val="20"/>
              </w:rPr>
            </w:pPr>
            <w:r>
              <w:rPr>
                <w:b/>
                <w:sz w:val="20"/>
              </w:rPr>
              <w:t>A 组</w:t>
            </w:r>
          </w:p>
        </w:tc>
        <w:tc>
          <w:tcPr>
            <w:tcW w:w="6330" w:type="dxa"/>
            <w:tcBorders>
              <w:bottom w:val="nil"/>
            </w:tcBorders>
          </w:tcPr>
          <w:p>
            <w:pPr>
              <w:pStyle w:val="TableParagraph"/>
              <w:spacing w:before="11"/>
              <w:ind w:left="0"/>
              <w:rPr>
                <w:b/>
                <w:sz w:val="24"/>
              </w:rPr>
            </w:pPr>
          </w:p>
          <w:p>
            <w:pPr>
              <w:pStyle w:val="TableParagraph"/>
              <w:ind w:left="107"/>
              <w:rPr>
                <w:b/>
                <w:sz w:val="20"/>
              </w:rPr>
            </w:pPr>
            <w:r>
              <w:rPr>
                <w:b/>
                <w:sz w:val="20"/>
              </w:rPr>
              <w:t>1. 恶性肿瘤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4. 重大器官移植术或造血干细胞移植术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sz w:val="20"/>
              </w:rPr>
              <w:t>6. 终末期肾病（或称慢性肾功能衰竭尿毒症期）</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8. 急性或亚急性重症肝炎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10.慢性肝功能衰竭失代偿期</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20.严重原发性肺动脉高压</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23.重型再生障碍性贫血</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30.系统性红斑狼疮</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31.系统性硬化病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32.严重克隆病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33.严重溃疡性结肠炎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34.急性坏死性胰腺炎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35.慢性复发性胰腺炎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36.原发性硬化性胆管炎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38.慢性肾上腺皮质功能衰竭</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39.慢性呼吸功能衰竭</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45.严重肺源性心脏病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49.胰腺移植</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50.严重自身免疫性肝炎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51.骨髓纤维化</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54.严重获得性或继发性肺泡蛋白质沉积症</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55.肺淋巴管肌瘤病</w:t>
            </w:r>
          </w:p>
        </w:tc>
      </w:tr>
      <w:tr>
        <w:trPr>
          <w:trHeight w:val="313" w:hRule="atLeast"/>
        </w:trPr>
        <w:tc>
          <w:tcPr>
            <w:tcW w:w="783" w:type="dxa"/>
            <w:vMerge/>
            <w:tcBorders>
              <w:top w:val="nil"/>
            </w:tcBorders>
          </w:tcPr>
          <w:p>
            <w:pPr>
              <w:rPr>
                <w:sz w:val="2"/>
                <w:szCs w:val="2"/>
              </w:rPr>
            </w:pPr>
          </w:p>
        </w:tc>
        <w:tc>
          <w:tcPr>
            <w:tcW w:w="6330" w:type="dxa"/>
            <w:tcBorders>
              <w:top w:val="nil"/>
            </w:tcBorders>
          </w:tcPr>
          <w:p>
            <w:pPr>
              <w:pStyle w:val="TableParagraph"/>
              <w:spacing w:line="255" w:lineRule="exact"/>
              <w:ind w:left="107"/>
              <w:rPr>
                <w:b/>
                <w:sz w:val="20"/>
              </w:rPr>
            </w:pPr>
            <w:r>
              <w:rPr>
                <w:b/>
                <w:w w:val="95"/>
                <w:sz w:val="20"/>
              </w:rPr>
              <w:t>57.肝豆状核变性（威尔逊氏病)</w:t>
            </w:r>
          </w:p>
        </w:tc>
      </w:tr>
      <w:tr>
        <w:trPr>
          <w:trHeight w:val="643"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1"/>
              </w:rPr>
            </w:pPr>
          </w:p>
          <w:p>
            <w:pPr>
              <w:pStyle w:val="TableParagraph"/>
              <w:ind w:left="213"/>
              <w:rPr>
                <w:b/>
                <w:sz w:val="20"/>
              </w:rPr>
            </w:pPr>
            <w:r>
              <w:rPr>
                <w:b/>
                <w:sz w:val="20"/>
              </w:rPr>
              <w:t>B 组</w:t>
            </w:r>
          </w:p>
        </w:tc>
        <w:tc>
          <w:tcPr>
            <w:tcW w:w="6330" w:type="dxa"/>
            <w:tcBorders>
              <w:bottom w:val="nil"/>
            </w:tcBorders>
          </w:tcPr>
          <w:p>
            <w:pPr>
              <w:pStyle w:val="TableParagraph"/>
              <w:spacing w:before="11"/>
              <w:ind w:left="0"/>
              <w:rPr>
                <w:b/>
                <w:sz w:val="24"/>
              </w:rPr>
            </w:pPr>
          </w:p>
          <w:p>
            <w:pPr>
              <w:pStyle w:val="TableParagraph"/>
              <w:ind w:left="107"/>
              <w:rPr>
                <w:b/>
                <w:sz w:val="20"/>
              </w:rPr>
            </w:pPr>
            <w:r>
              <w:rPr>
                <w:b/>
                <w:sz w:val="20"/>
              </w:rPr>
              <w:t>3. 脑中风后遗症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sz w:val="20"/>
              </w:rPr>
              <w:t>7. 多个肢体缺失</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sz w:val="20"/>
              </w:rPr>
              <w:t>9. 良性脑肿瘤</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11.脑炎后遗症或脑膜炎后遗症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12.双耳失聪</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13.双目失明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14.瘫痪</w:t>
            </w:r>
          </w:p>
        </w:tc>
      </w:tr>
      <w:tr>
        <w:trPr>
          <w:trHeight w:val="315"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16.严重阿尔茨海默病</w:t>
            </w:r>
          </w:p>
        </w:tc>
      </w:tr>
    </w:tbl>
    <w:p>
      <w:pPr>
        <w:spacing w:after="0" w:line="255" w:lineRule="exact"/>
        <w:rPr>
          <w:sz w:val="20"/>
        </w:rPr>
        <w:sectPr>
          <w:type w:val="continuous"/>
          <w:pgSz w:w="11910" w:h="16840"/>
          <w:pgMar w:top="640" w:bottom="1020" w:left="960" w:right="800"/>
        </w:sectPr>
      </w:pPr>
    </w:p>
    <w:tbl>
      <w:tblPr>
        <w:tblW w:w="0" w:type="auto"/>
        <w:jc w:val="left"/>
        <w:tblInd w:w="2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0" w:hRule="atLeast"/>
        </w:trPr>
        <w:tc>
          <w:tcPr>
            <w:tcW w:w="783" w:type="dxa"/>
            <w:vMerge w:val="restart"/>
            <w:tcBorders>
              <w:top w:val="nil"/>
            </w:tcBorders>
          </w:tcPr>
          <w:p>
            <w:pPr>
              <w:pStyle w:val="TableParagraph"/>
              <w:ind w:left="0"/>
              <w:rPr>
                <w:rFonts w:ascii="Times New Roman"/>
                <w:sz w:val="18"/>
              </w:rPr>
            </w:pPr>
          </w:p>
        </w:tc>
        <w:tc>
          <w:tcPr>
            <w:tcW w:w="6330" w:type="dxa"/>
            <w:tcBorders>
              <w:top w:val="nil"/>
              <w:bottom w:val="nil"/>
            </w:tcBorders>
          </w:tcPr>
          <w:p>
            <w:pPr>
              <w:pStyle w:val="TableParagraph"/>
              <w:spacing w:line="248" w:lineRule="exact"/>
              <w:ind w:left="107"/>
              <w:rPr>
                <w:b/>
                <w:sz w:val="20"/>
              </w:rPr>
            </w:pPr>
            <w:r>
              <w:rPr>
                <w:b/>
                <w:w w:val="95"/>
                <w:sz w:val="20"/>
              </w:rPr>
              <w:t>17.严重脑损伤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18.严重帕金森病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21.严重运动神经元病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22.语言能力丧失</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26.脊髓灰质炎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28.肌营养不良症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29.多发性硬化症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41.全身性重症肌无力</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42.疯牛病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46.植物人状态</w:t>
            </w:r>
          </w:p>
        </w:tc>
      </w:tr>
      <w:tr>
        <w:trPr>
          <w:trHeight w:val="624"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47.非阿尔茨海默病所致严重痴呆</w:t>
            </w:r>
          </w:p>
          <w:p>
            <w:pPr>
              <w:pStyle w:val="TableParagraph"/>
              <w:spacing w:before="50"/>
              <w:ind w:left="107"/>
              <w:rPr>
                <w:b/>
                <w:sz w:val="20"/>
              </w:rPr>
            </w:pPr>
            <w:r>
              <w:rPr>
                <w:b/>
                <w:sz w:val="20"/>
              </w:rPr>
              <w:t>48. 埃博拉病毒感染</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52.进行性核上性麻痹</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53.一肢及单眼缺失</w:t>
            </w:r>
          </w:p>
        </w:tc>
      </w:tr>
      <w:tr>
        <w:trPr>
          <w:trHeight w:val="314" w:hRule="atLeast"/>
        </w:trPr>
        <w:tc>
          <w:tcPr>
            <w:tcW w:w="783" w:type="dxa"/>
            <w:vMerge/>
            <w:tcBorders>
              <w:top w:val="nil"/>
            </w:tcBorders>
          </w:tcPr>
          <w:p>
            <w:pPr>
              <w:rPr>
                <w:sz w:val="2"/>
                <w:szCs w:val="2"/>
              </w:rPr>
            </w:pPr>
          </w:p>
        </w:tc>
        <w:tc>
          <w:tcPr>
            <w:tcW w:w="6330" w:type="dxa"/>
            <w:tcBorders>
              <w:top w:val="nil"/>
            </w:tcBorders>
          </w:tcPr>
          <w:p>
            <w:pPr>
              <w:pStyle w:val="TableParagraph"/>
              <w:spacing w:line="251" w:lineRule="exact"/>
              <w:ind w:left="107"/>
              <w:rPr>
                <w:b/>
                <w:sz w:val="20"/>
              </w:rPr>
            </w:pPr>
            <w:r>
              <w:rPr>
                <w:b/>
                <w:w w:val="95"/>
                <w:sz w:val="20"/>
              </w:rPr>
              <w:t>58.破裂脑动脉瘤夹闭手术</w:t>
            </w:r>
          </w:p>
        </w:tc>
      </w:tr>
      <w:tr>
        <w:trPr>
          <w:trHeight w:val="641"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6"/>
              <w:ind w:left="0"/>
              <w:rPr>
                <w:b/>
                <w:sz w:val="16"/>
              </w:rPr>
            </w:pPr>
          </w:p>
          <w:p>
            <w:pPr>
              <w:pStyle w:val="TableParagraph"/>
              <w:ind w:left="213"/>
              <w:rPr>
                <w:b/>
                <w:sz w:val="20"/>
              </w:rPr>
            </w:pPr>
            <w:r>
              <w:rPr>
                <w:b/>
                <w:sz w:val="20"/>
              </w:rPr>
              <w:t>C 组</w:t>
            </w:r>
          </w:p>
        </w:tc>
        <w:tc>
          <w:tcPr>
            <w:tcW w:w="6330" w:type="dxa"/>
            <w:tcBorders>
              <w:bottom w:val="nil"/>
            </w:tcBorders>
          </w:tcPr>
          <w:p>
            <w:pPr>
              <w:pStyle w:val="TableParagraph"/>
              <w:spacing w:before="3"/>
              <w:ind w:left="0"/>
              <w:rPr>
                <w:b/>
                <w:sz w:val="24"/>
              </w:rPr>
            </w:pPr>
          </w:p>
          <w:p>
            <w:pPr>
              <w:pStyle w:val="TableParagraph"/>
              <w:ind w:left="107"/>
              <w:rPr>
                <w:b/>
                <w:sz w:val="20"/>
              </w:rPr>
            </w:pPr>
            <w:r>
              <w:rPr>
                <w:b/>
                <w:sz w:val="20"/>
              </w:rPr>
              <w:t>2. 急性心肌梗塞</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sz w:val="20"/>
              </w:rPr>
              <w:t>5. 冠状动脉搭桥术（或称冠状动脉旁路移植术）</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15.心脏瓣膜手术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19.严重Ⅲ度烧伤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24.主动脉手术</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25.原发性心肌病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27.经输血导致的人类免疫缺陷病毒感染</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37.坏死性筋膜炎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40.象皮病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43.严重类风湿性关节炎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44.严重心肌炎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56.感染性心内膜炎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59.因职业关系导致的人类免疫缺陷病毒感染</w:t>
            </w:r>
          </w:p>
        </w:tc>
      </w:tr>
      <w:tr>
        <w:trPr>
          <w:trHeight w:val="314" w:hRule="atLeast"/>
        </w:trPr>
        <w:tc>
          <w:tcPr>
            <w:tcW w:w="783" w:type="dxa"/>
            <w:vMerge/>
            <w:tcBorders>
              <w:top w:val="nil"/>
            </w:tcBorders>
          </w:tcPr>
          <w:p>
            <w:pPr>
              <w:rPr>
                <w:sz w:val="2"/>
                <w:szCs w:val="2"/>
              </w:rPr>
            </w:pPr>
          </w:p>
        </w:tc>
        <w:tc>
          <w:tcPr>
            <w:tcW w:w="6330" w:type="dxa"/>
            <w:tcBorders>
              <w:top w:val="nil"/>
            </w:tcBorders>
          </w:tcPr>
          <w:p>
            <w:pPr>
              <w:pStyle w:val="TableParagraph"/>
              <w:spacing w:line="251" w:lineRule="exact"/>
              <w:ind w:left="107"/>
              <w:rPr>
                <w:b/>
                <w:sz w:val="20"/>
              </w:rPr>
            </w:pPr>
            <w:r>
              <w:rPr>
                <w:b/>
                <w:w w:val="95"/>
                <w:sz w:val="20"/>
              </w:rPr>
              <w:t>60.严重冠状动脉粥样硬化性心脏病</w:t>
            </w:r>
          </w:p>
        </w:tc>
      </w:tr>
    </w:tbl>
    <w:p>
      <w:pPr>
        <w:pStyle w:val="BodyText"/>
        <w:rPr>
          <w:b/>
          <w:sz w:val="8"/>
        </w:rPr>
      </w:pPr>
    </w:p>
    <w:p>
      <w:pPr>
        <w:tabs>
          <w:tab w:pos="1481" w:val="left" w:leader="none"/>
        </w:tabs>
        <w:spacing w:before="37"/>
        <w:ind w:left="400" w:right="0" w:firstLine="0"/>
        <w:jc w:val="left"/>
        <w:rPr>
          <w:b/>
          <w:sz w:val="20"/>
        </w:rPr>
      </w:pPr>
      <w:r>
        <w:rPr/>
        <w:pict>
          <v:group style="position:absolute;margin-left:47.639999pt;margin-top:17.849644pt;width:512.4pt;height:.5pt;mso-position-horizontal-relative:page;mso-position-vertical-relative:paragraph;z-index:1072;mso-wrap-distance-left:0;mso-wrap-distance-right:0" coordorigin="953,357" coordsize="10248,10">
            <v:line style="position:absolute" from="953,362" to="1616,362" stroked="true" strokeweight=".48004pt" strokecolor="#000000">
              <v:stroke dashstyle="solid"/>
            </v:line>
            <v:rect style="position:absolute;left:1615;top:356;width:10;height:10" filled="true" fillcolor="#000000" stroked="false">
              <v:fill type="solid"/>
            </v:rect>
            <v:line style="position:absolute" from="1625,362" to="3260,362" stroked="true" strokeweight=".48004pt" strokecolor="#000000">
              <v:stroke dashstyle="solid"/>
            </v:line>
            <v:rect style="position:absolute;left:3259;top:356;width:10;height:10" filled="true" fillcolor="#000000" stroked="false">
              <v:fill type="solid"/>
            </v:rect>
            <v:line style="position:absolute" from="3269,362" to="11200,362" stroked="true" strokeweight=".48004pt" strokecolor="#000000">
              <v:stroke dashstyle="solid"/>
            </v:line>
            <w10:wrap type="topAndBottom"/>
          </v:group>
        </w:pict>
      </w:r>
      <w:r>
        <w:rPr>
          <w:b/>
          <w:sz w:val="20"/>
        </w:rPr>
        <w:t>第三部分</w:t>
        <w:tab/>
      </w:r>
      <w:r>
        <w:rPr>
          <w:b/>
          <w:w w:val="95"/>
          <w:sz w:val="20"/>
        </w:rPr>
        <w:t>如何支付保险费</w:t>
      </w:r>
    </w:p>
    <w:p>
      <w:pPr>
        <w:pStyle w:val="BodyText"/>
        <w:spacing w:before="2"/>
        <w:rPr>
          <w:b/>
          <w:sz w:val="6"/>
        </w:rPr>
      </w:pPr>
    </w:p>
    <w:p>
      <w:pPr>
        <w:spacing w:after="0"/>
        <w:rPr>
          <w:sz w:val="6"/>
        </w:rPr>
        <w:sectPr>
          <w:pgSz w:w="11910" w:h="16840"/>
          <w:pgMar w:header="0" w:footer="831" w:top="1120" w:bottom="1100" w:left="840" w:right="600"/>
        </w:sectPr>
      </w:pPr>
    </w:p>
    <w:p>
      <w:pPr>
        <w:tabs>
          <w:tab w:pos="883" w:val="left" w:leader="none"/>
        </w:tabs>
        <w:spacing w:line="285" w:lineRule="auto" w:before="38"/>
        <w:ind w:left="883" w:right="0" w:hanging="663"/>
        <w:jc w:val="left"/>
        <w:rPr>
          <w:b/>
          <w:sz w:val="20"/>
        </w:rPr>
      </w:pPr>
      <w:r>
        <w:rPr>
          <w:b/>
          <w:sz w:val="20"/>
        </w:rPr>
        <w:t>3.1</w:t>
        <w:tab/>
      </w:r>
      <w:r>
        <w:rPr>
          <w:b/>
          <w:spacing w:val="1"/>
          <w:w w:val="95"/>
          <w:sz w:val="20"/>
        </w:rPr>
        <w:t>保险费的支付及 </w:t>
      </w:r>
      <w:r>
        <w:rPr>
          <w:b/>
          <w:spacing w:val="1"/>
          <w:sz w:val="20"/>
        </w:rPr>
        <w:t>宽限期</w:t>
      </w:r>
    </w:p>
    <w:p>
      <w:pPr>
        <w:pStyle w:val="BodyText"/>
        <w:spacing w:line="285" w:lineRule="auto" w:before="38"/>
        <w:ind w:left="179" w:right="115"/>
      </w:pPr>
      <w:r>
        <w:rPr/>
        <w:br w:type="column"/>
      </w:r>
      <w:r>
        <w:rPr>
          <w:spacing w:val="-8"/>
          <w:w w:val="95"/>
        </w:rPr>
        <w:t>您可选择本合同提供的交费方式支付保险费，并在保险单中约定。若您选择一次交清方式，   </w:t>
      </w:r>
      <w:r>
        <w:rPr>
          <w:spacing w:val="-12"/>
        </w:rPr>
        <w:t>保险费应在保单生效日之前一次付清；若您选择分期交费方式，保险费支付期应于保险单</w:t>
      </w:r>
      <w:r>
        <w:rPr>
          <w:spacing w:val="-11"/>
        </w:rPr>
        <w:t>中约定，首期保险费应在保单生效日之前支付，其余各期保险费应在保险单中所载的保险</w:t>
      </w:r>
      <w:r>
        <w:rPr>
          <w:spacing w:val="-11"/>
          <w:w w:val="95"/>
        </w:rPr>
        <w:t>费约定支付日支付。</w:t>
      </w:r>
    </w:p>
    <w:p>
      <w:pPr>
        <w:pStyle w:val="BodyText"/>
        <w:spacing w:line="285" w:lineRule="auto" w:before="168"/>
        <w:ind w:left="179" w:right="218"/>
      </w:pPr>
      <w:r>
        <w:rPr>
          <w:spacing w:val="-6"/>
          <w:w w:val="95"/>
        </w:rPr>
        <w:t>分期支付保险费的，您支付首期保险费后，除本合同另有约定外，如果您到期未支付当期   应交保险费，自保险费约定支付日的次日零时起六十日为宽限期。</w:t>
      </w:r>
    </w:p>
    <w:p>
      <w:pPr>
        <w:spacing w:line="237" w:lineRule="auto" w:before="146"/>
        <w:ind w:left="179" w:right="310" w:firstLine="0"/>
        <w:jc w:val="both"/>
        <w:rPr>
          <w:sz w:val="20"/>
        </w:rPr>
      </w:pPr>
      <w:r>
        <w:rPr>
          <w:sz w:val="20"/>
        </w:rPr>
        <w:t>对于在宽限期内发生的保险事故，我们仍会承担保险责任，但在给付保险金时会扣减您欠交的保险费；</w:t>
      </w:r>
      <w:r>
        <w:rPr>
          <w:b/>
          <w:sz w:val="20"/>
        </w:rPr>
        <w:t>如果宽限期结束时您仍未支付当期应交保险费，则本合同自宽限期满的</w:t>
      </w:r>
      <w:r>
        <w:rPr>
          <w:b/>
          <w:w w:val="95"/>
          <w:sz w:val="20"/>
        </w:rPr>
        <w:t>次日零时起效力中止，</w:t>
      </w:r>
      <w:r>
        <w:rPr>
          <w:w w:val="95"/>
          <w:sz w:val="20"/>
        </w:rPr>
        <w:t>但本合同另有约定的除外。</w:t>
      </w:r>
    </w:p>
    <w:p>
      <w:pPr>
        <w:spacing w:after="0" w:line="237" w:lineRule="auto"/>
        <w:jc w:val="both"/>
        <w:rPr>
          <w:sz w:val="20"/>
        </w:rPr>
        <w:sectPr>
          <w:type w:val="continuous"/>
          <w:pgSz w:w="11910" w:h="16840"/>
          <w:pgMar w:top="640" w:bottom="1020" w:left="840" w:right="600"/>
          <w:cols w:num="2" w:equalWidth="0">
            <w:col w:w="2311" w:space="40"/>
            <w:col w:w="8119"/>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730"/>
        <w:gridCol w:w="7981"/>
      </w:tblGrid>
      <w:tr>
        <w:trPr>
          <w:trHeight w:val="3883" w:hRule="atLeast"/>
        </w:trPr>
        <w:tc>
          <w:tcPr>
            <w:tcW w:w="537" w:type="dxa"/>
          </w:tcPr>
          <w:p>
            <w:pPr>
              <w:pStyle w:val="TableParagraph"/>
              <w:spacing w:line="199" w:lineRule="exact"/>
              <w:ind w:left="0" w:right="124"/>
              <w:jc w:val="right"/>
              <w:rPr>
                <w:b/>
                <w:sz w:val="20"/>
              </w:rPr>
            </w:pPr>
            <w:r>
              <w:rPr>
                <w:b/>
                <w:w w:val="95"/>
                <w:sz w:val="20"/>
              </w:rPr>
              <w:t>3.2</w:t>
            </w:r>
          </w:p>
        </w:tc>
        <w:tc>
          <w:tcPr>
            <w:tcW w:w="1730" w:type="dxa"/>
          </w:tcPr>
          <w:p>
            <w:pPr>
              <w:pStyle w:val="TableParagraph"/>
              <w:spacing w:line="199" w:lineRule="exact"/>
              <w:ind w:left="233"/>
              <w:rPr>
                <w:b/>
                <w:sz w:val="20"/>
              </w:rPr>
            </w:pPr>
            <w:r>
              <w:rPr>
                <w:b/>
                <w:w w:val="95"/>
                <w:sz w:val="20"/>
              </w:rPr>
              <w:t>保险费的自动垫</w:t>
            </w:r>
          </w:p>
          <w:p>
            <w:pPr>
              <w:pStyle w:val="TableParagraph"/>
              <w:spacing w:before="50"/>
              <w:ind w:left="233"/>
              <w:rPr>
                <w:b/>
                <w:sz w:val="20"/>
              </w:rPr>
            </w:pPr>
            <w:r>
              <w:rPr>
                <w:b/>
                <w:w w:val="99"/>
                <w:sz w:val="20"/>
              </w:rPr>
              <w:t>交</w:t>
            </w:r>
          </w:p>
        </w:tc>
        <w:tc>
          <w:tcPr>
            <w:tcW w:w="7981" w:type="dxa"/>
          </w:tcPr>
          <w:p>
            <w:pPr>
              <w:pStyle w:val="TableParagraph"/>
              <w:numPr>
                <w:ilvl w:val="0"/>
                <w:numId w:val="14"/>
              </w:numPr>
              <w:tabs>
                <w:tab w:pos="763" w:val="left" w:leader="none"/>
              </w:tabs>
              <w:spacing w:line="199" w:lineRule="exact" w:before="0" w:after="0"/>
              <w:ind w:left="762" w:right="0" w:hanging="612"/>
              <w:jc w:val="left"/>
              <w:rPr>
                <w:b/>
                <w:sz w:val="20"/>
              </w:rPr>
            </w:pPr>
            <w:r>
              <w:rPr>
                <w:b/>
                <w:w w:val="95"/>
                <w:sz w:val="20"/>
              </w:rPr>
              <w:t>如您未选择保险费的自动垫交选项的，若宽限期结束时您仍未支付当期应交保险</w:t>
            </w:r>
          </w:p>
          <w:p>
            <w:pPr>
              <w:pStyle w:val="TableParagraph"/>
              <w:spacing w:before="50"/>
              <w:ind w:left="762"/>
              <w:rPr>
                <w:b/>
                <w:sz w:val="20"/>
              </w:rPr>
            </w:pPr>
            <w:r>
              <w:rPr>
                <w:b/>
                <w:w w:val="95"/>
                <w:sz w:val="20"/>
              </w:rPr>
              <w:t>费，则本合同及所附的附加合同效力中止。</w:t>
            </w:r>
          </w:p>
          <w:p>
            <w:pPr>
              <w:pStyle w:val="TableParagraph"/>
              <w:spacing w:before="10"/>
              <w:ind w:left="0"/>
              <w:rPr>
                <w:sz w:val="15"/>
              </w:rPr>
            </w:pPr>
          </w:p>
          <w:p>
            <w:pPr>
              <w:pStyle w:val="TableParagraph"/>
              <w:numPr>
                <w:ilvl w:val="0"/>
                <w:numId w:val="14"/>
              </w:numPr>
              <w:tabs>
                <w:tab w:pos="763" w:val="left" w:leader="none"/>
              </w:tabs>
              <w:spacing w:line="285" w:lineRule="auto" w:before="0" w:after="0"/>
              <w:ind w:left="762" w:right="212" w:hanging="612"/>
              <w:jc w:val="both"/>
              <w:rPr>
                <w:sz w:val="20"/>
              </w:rPr>
            </w:pPr>
            <w:r>
              <w:rPr>
                <w:sz w:val="20"/>
              </w:rPr>
              <w:t>如您选择保险费自动垫交选项的，若宽限期结束时您仍未支付当期应交保险费， </w:t>
            </w:r>
            <w:r>
              <w:rPr>
                <w:w w:val="95"/>
                <w:sz w:val="20"/>
              </w:rPr>
              <w:t>且本合同及所附的附加合同的现金价值的和在减去</w:t>
            </w:r>
            <w:r>
              <w:rPr>
                <w:b/>
                <w:w w:val="95"/>
                <w:sz w:val="20"/>
              </w:rPr>
              <w:t>保单欠款</w:t>
            </w:r>
            <w:r>
              <w:rPr>
                <w:b/>
                <w:w w:val="95"/>
                <w:position w:val="10"/>
                <w:sz w:val="10"/>
              </w:rPr>
              <w:t>[21]</w:t>
            </w:r>
            <w:r>
              <w:rPr>
                <w:w w:val="95"/>
                <w:sz w:val="20"/>
              </w:rPr>
              <w:t>后的净额足以垫交  </w:t>
            </w:r>
            <w:r>
              <w:rPr>
                <w:sz w:val="20"/>
              </w:rPr>
              <w:t>本合同及所附的附加合同的当期应交保险费及其</w:t>
            </w:r>
            <w:r>
              <w:rPr>
                <w:b/>
                <w:sz w:val="20"/>
              </w:rPr>
              <w:t>利息</w:t>
            </w:r>
            <w:r>
              <w:rPr>
                <w:b/>
                <w:position w:val="10"/>
                <w:sz w:val="10"/>
              </w:rPr>
              <w:t>[22]</w:t>
            </w:r>
            <w:r>
              <w:rPr>
                <w:sz w:val="20"/>
              </w:rPr>
              <w:t>，我们有权自动为您垫交应交保险费，使本合同及所附的附加合同继续有效，直到我们收到您的书面反对声明为止。垫交保险费视作保单贷款，其利率同保单贷款利率，并自保险费自动</w:t>
            </w:r>
            <w:r>
              <w:rPr>
                <w:w w:val="95"/>
                <w:sz w:val="20"/>
              </w:rPr>
              <w:t>垫交发生之日起予以计息。</w:t>
            </w:r>
          </w:p>
          <w:p>
            <w:pPr>
              <w:pStyle w:val="TableParagraph"/>
              <w:spacing w:line="237" w:lineRule="auto" w:before="146"/>
              <w:ind w:left="759" w:right="190"/>
              <w:jc w:val="both"/>
              <w:rPr>
                <w:sz w:val="20"/>
              </w:rPr>
            </w:pPr>
            <w:r>
              <w:rPr>
                <w:b/>
                <w:w w:val="95"/>
                <w:sz w:val="20"/>
              </w:rPr>
              <w:t>如您选择保险费自动垫交选项的，若宽限期结束时您仍未支付当期应交保险费，  </w:t>
            </w:r>
            <w:r>
              <w:rPr>
                <w:b/>
                <w:sz w:val="20"/>
              </w:rPr>
              <w:t>且本合同及所附的附加合同的现金价值的和在减去保单欠款后的净额不足以垫交</w:t>
            </w:r>
            <w:r>
              <w:rPr>
                <w:b/>
                <w:w w:val="95"/>
                <w:sz w:val="20"/>
              </w:rPr>
              <w:t>本合同及所附的附加合同的当期应交保险费及其利息时，本合同及所附的附加合  </w:t>
            </w:r>
            <w:r>
              <w:rPr>
                <w:b/>
                <w:sz w:val="20"/>
              </w:rPr>
              <w:t>同效力中止</w:t>
            </w:r>
            <w:r>
              <w:rPr>
                <w:sz w:val="20"/>
              </w:rPr>
              <w:t>。</w:t>
            </w:r>
          </w:p>
        </w:tc>
      </w:tr>
      <w:tr>
        <w:trPr>
          <w:trHeight w:val="2638" w:hRule="atLeast"/>
        </w:trPr>
        <w:tc>
          <w:tcPr>
            <w:tcW w:w="537" w:type="dxa"/>
          </w:tcPr>
          <w:p>
            <w:pPr>
              <w:pStyle w:val="TableParagraph"/>
              <w:spacing w:before="57"/>
              <w:ind w:left="0" w:right="124"/>
              <w:jc w:val="right"/>
              <w:rPr>
                <w:b/>
                <w:sz w:val="20"/>
              </w:rPr>
            </w:pPr>
            <w:r>
              <w:rPr>
                <w:b/>
                <w:w w:val="95"/>
                <w:sz w:val="20"/>
              </w:rPr>
              <w:t>3.3</w:t>
            </w:r>
          </w:p>
        </w:tc>
        <w:tc>
          <w:tcPr>
            <w:tcW w:w="1730" w:type="dxa"/>
          </w:tcPr>
          <w:p>
            <w:pPr>
              <w:pStyle w:val="TableParagraph"/>
              <w:spacing w:before="57"/>
              <w:ind w:left="233"/>
              <w:rPr>
                <w:b/>
                <w:sz w:val="20"/>
              </w:rPr>
            </w:pPr>
            <w:r>
              <w:rPr>
                <w:b/>
                <w:w w:val="95"/>
                <w:sz w:val="20"/>
              </w:rPr>
              <w:t>减额交清选择</w:t>
            </w:r>
          </w:p>
        </w:tc>
        <w:tc>
          <w:tcPr>
            <w:tcW w:w="7981" w:type="dxa"/>
          </w:tcPr>
          <w:p>
            <w:pPr>
              <w:pStyle w:val="TableParagraph"/>
              <w:spacing w:line="285" w:lineRule="auto" w:before="57"/>
              <w:ind w:left="150" w:right="106"/>
              <w:jc w:val="both"/>
              <w:rPr>
                <w:b/>
                <w:sz w:val="20"/>
              </w:rPr>
            </w:pPr>
            <w:r>
              <w:rPr>
                <w:b/>
                <w:sz w:val="20"/>
              </w:rPr>
              <w:t>在本合同约定的期间内，您可以申请减额交清。经我们同意，我们以当时本合同的现金价值扣除保单欠款后的净额作为一次交清的保险费，同时相应减少本合同的基本保险金</w:t>
            </w:r>
            <w:r>
              <w:rPr>
                <w:b/>
                <w:w w:val="95"/>
                <w:sz w:val="20"/>
              </w:rPr>
              <w:t>额。减少后的基本保险金额将代替原保险单所载的基本保险金额。</w:t>
            </w:r>
          </w:p>
          <w:p>
            <w:pPr>
              <w:pStyle w:val="TableParagraph"/>
              <w:spacing w:line="285" w:lineRule="auto" w:before="167"/>
              <w:ind w:left="150" w:right="104"/>
              <w:jc w:val="both"/>
              <w:rPr>
                <w:b/>
                <w:sz w:val="20"/>
              </w:rPr>
            </w:pPr>
            <w:r>
              <w:rPr>
                <w:spacing w:val="-4"/>
                <w:sz w:val="20"/>
              </w:rPr>
              <w:t>若本合同所附的附加合同有减额交清选择的，则本合同减额交清时该附加合同必须同时减</w:t>
            </w:r>
            <w:r>
              <w:rPr>
                <w:spacing w:val="-2"/>
                <w:sz w:val="20"/>
              </w:rPr>
              <w:t>额交清；</w:t>
            </w:r>
            <w:r>
              <w:rPr>
                <w:b/>
                <w:sz w:val="20"/>
              </w:rPr>
              <w:t>若本合同所附的附加合同没有减额交清选择的，则本合同减额交清时该附加合同解除。</w:t>
            </w:r>
          </w:p>
          <w:p>
            <w:pPr>
              <w:pStyle w:val="TableParagraph"/>
              <w:spacing w:before="167"/>
              <w:ind w:left="150"/>
              <w:jc w:val="both"/>
              <w:rPr>
                <w:sz w:val="20"/>
              </w:rPr>
            </w:pPr>
            <w:r>
              <w:rPr>
                <w:w w:val="95"/>
                <w:sz w:val="20"/>
              </w:rPr>
              <w:t>本合同减额交清后的基本保险金额应不低于我们规定的最低基本保险金额。</w:t>
            </w:r>
          </w:p>
        </w:tc>
      </w:tr>
      <w:tr>
        <w:trPr>
          <w:trHeight w:val="4836" w:hRule="atLeast"/>
        </w:trPr>
        <w:tc>
          <w:tcPr>
            <w:tcW w:w="537" w:type="dxa"/>
          </w:tcPr>
          <w:p>
            <w:pPr>
              <w:pStyle w:val="TableParagraph"/>
              <w:spacing w:before="72"/>
              <w:ind w:left="0" w:right="125"/>
              <w:jc w:val="right"/>
              <w:rPr>
                <w:b/>
                <w:sz w:val="20"/>
              </w:rPr>
            </w:pPr>
            <w:r>
              <w:rPr>
                <w:b/>
                <w:w w:val="95"/>
                <w:sz w:val="20"/>
              </w:rPr>
              <w:t>3.4</w:t>
            </w:r>
          </w:p>
        </w:tc>
        <w:tc>
          <w:tcPr>
            <w:tcW w:w="1730" w:type="dxa"/>
          </w:tcPr>
          <w:p>
            <w:pPr>
              <w:pStyle w:val="TableParagraph"/>
              <w:spacing w:before="72"/>
              <w:ind w:left="233"/>
              <w:rPr>
                <w:b/>
                <w:sz w:val="20"/>
              </w:rPr>
            </w:pPr>
            <w:r>
              <w:rPr>
                <w:b/>
                <w:sz w:val="20"/>
              </w:rPr>
              <w:t>保单贷款</w:t>
            </w:r>
          </w:p>
        </w:tc>
        <w:tc>
          <w:tcPr>
            <w:tcW w:w="7981" w:type="dxa"/>
          </w:tcPr>
          <w:p>
            <w:pPr>
              <w:pStyle w:val="TableParagraph"/>
              <w:spacing w:before="72"/>
              <w:ind w:left="150"/>
              <w:rPr>
                <w:sz w:val="20"/>
              </w:rPr>
            </w:pPr>
            <w:r>
              <w:rPr>
                <w:w w:val="95"/>
                <w:sz w:val="20"/>
              </w:rPr>
              <w:t>本合同保险期间内，在下列条件下，您可向我们申请保单贷款：</w:t>
            </w:r>
          </w:p>
          <w:p>
            <w:pPr>
              <w:pStyle w:val="TableParagraph"/>
              <w:spacing w:before="10"/>
              <w:ind w:left="0"/>
              <w:rPr>
                <w:sz w:val="15"/>
              </w:rPr>
            </w:pPr>
          </w:p>
          <w:p>
            <w:pPr>
              <w:pStyle w:val="TableParagraph"/>
              <w:numPr>
                <w:ilvl w:val="0"/>
                <w:numId w:val="15"/>
              </w:numPr>
              <w:tabs>
                <w:tab w:pos="830" w:val="left" w:leader="none"/>
              </w:tabs>
              <w:spacing w:line="285" w:lineRule="auto" w:before="0" w:after="0"/>
              <w:ind w:left="830" w:right="147" w:hanging="680"/>
              <w:jc w:val="left"/>
              <w:rPr>
                <w:sz w:val="20"/>
              </w:rPr>
            </w:pPr>
            <w:r>
              <w:rPr>
                <w:sz w:val="20"/>
              </w:rPr>
              <w:t>累计贷款金额最高为本合同及所附的附加合同的现金价值的和的百分之八十，另</w:t>
            </w:r>
            <w:r>
              <w:rPr>
                <w:w w:val="95"/>
                <w:sz w:val="20"/>
              </w:rPr>
              <w:t>有约定的除外；</w:t>
            </w:r>
          </w:p>
          <w:p>
            <w:pPr>
              <w:pStyle w:val="TableParagraph"/>
              <w:numPr>
                <w:ilvl w:val="0"/>
                <w:numId w:val="15"/>
              </w:numPr>
              <w:tabs>
                <w:tab w:pos="830" w:val="left" w:leader="none"/>
              </w:tabs>
              <w:spacing w:line="240" w:lineRule="auto" w:before="168" w:after="0"/>
              <w:ind w:left="830" w:right="0" w:hanging="680"/>
              <w:jc w:val="left"/>
              <w:rPr>
                <w:sz w:val="20"/>
              </w:rPr>
            </w:pPr>
            <w:r>
              <w:rPr>
                <w:w w:val="95"/>
                <w:sz w:val="20"/>
              </w:rPr>
              <w:t>每次贷款的期限不超过六个月。</w:t>
            </w:r>
          </w:p>
          <w:p>
            <w:pPr>
              <w:pStyle w:val="TableParagraph"/>
              <w:spacing w:before="10"/>
              <w:ind w:left="0"/>
              <w:rPr>
                <w:sz w:val="15"/>
              </w:rPr>
            </w:pPr>
          </w:p>
          <w:p>
            <w:pPr>
              <w:pStyle w:val="TableParagraph"/>
              <w:ind w:left="150"/>
              <w:rPr>
                <w:sz w:val="20"/>
              </w:rPr>
            </w:pPr>
            <w:r>
              <w:rPr>
                <w:w w:val="95"/>
                <w:sz w:val="20"/>
              </w:rPr>
              <w:t>贷款利率参照中国人民银行同期六个月流动资金贷款基准利率加合理的浮动确定。</w:t>
            </w:r>
          </w:p>
          <w:p>
            <w:pPr>
              <w:pStyle w:val="TableParagraph"/>
              <w:spacing w:before="9"/>
              <w:ind w:left="0"/>
              <w:rPr>
                <w:sz w:val="15"/>
              </w:rPr>
            </w:pPr>
          </w:p>
          <w:p>
            <w:pPr>
              <w:pStyle w:val="TableParagraph"/>
              <w:spacing w:line="285" w:lineRule="auto" w:before="1"/>
              <w:ind w:left="150" w:right="107"/>
              <w:jc w:val="both"/>
              <w:rPr>
                <w:sz w:val="20"/>
              </w:rPr>
            </w:pPr>
            <w:r>
              <w:rPr>
                <w:spacing w:val="-6"/>
                <w:w w:val="95"/>
                <w:sz w:val="20"/>
              </w:rPr>
              <w:t>若您逾期未偿还全部贷款及利息，且本合同及所附的附加合同的现金价值的和大于逾期未   </w:t>
            </w:r>
            <w:r>
              <w:rPr>
                <w:spacing w:val="-11"/>
                <w:w w:val="95"/>
                <w:sz w:val="20"/>
              </w:rPr>
              <w:t>偿还全部贷款及利息，则所欠的贷款及累计利息将构成新的贷款本金，按我们公布的最新   保单贷款利率计算利息。</w:t>
            </w:r>
          </w:p>
          <w:p>
            <w:pPr>
              <w:pStyle w:val="TableParagraph"/>
              <w:spacing w:line="285" w:lineRule="auto" w:before="168"/>
              <w:ind w:left="150" w:right="112"/>
              <w:rPr>
                <w:b/>
                <w:sz w:val="20"/>
              </w:rPr>
            </w:pPr>
            <w:r>
              <w:rPr>
                <w:b/>
                <w:sz w:val="20"/>
              </w:rPr>
              <w:t>若本合同及所附的附加合同的现金价值的和小于或等于保险单全部贷款及利息，本合同</w:t>
            </w:r>
            <w:r>
              <w:rPr>
                <w:b/>
                <w:w w:val="95"/>
                <w:sz w:val="20"/>
              </w:rPr>
              <w:t>及所附的附加合同效力中止。</w:t>
            </w:r>
          </w:p>
          <w:p>
            <w:pPr>
              <w:pStyle w:val="TableParagraph"/>
              <w:spacing w:line="285" w:lineRule="auto" w:before="168"/>
              <w:ind w:left="150" w:right="832"/>
              <w:rPr>
                <w:sz w:val="20"/>
              </w:rPr>
            </w:pPr>
            <w:r>
              <w:rPr>
                <w:w w:val="95"/>
                <w:sz w:val="20"/>
              </w:rPr>
              <w:t>如果您部分还款的，该款项将首先用于偿还累计利息，然后用于偿还贷款本金。  如果您申请保单贷款的，本合同及所附的附加合同须质押于我们。</w:t>
            </w:r>
          </w:p>
        </w:tc>
      </w:tr>
      <w:tr>
        <w:trPr>
          <w:trHeight w:val="877" w:hRule="atLeast"/>
        </w:trPr>
        <w:tc>
          <w:tcPr>
            <w:tcW w:w="537" w:type="dxa"/>
          </w:tcPr>
          <w:p>
            <w:pPr>
              <w:pStyle w:val="TableParagraph"/>
              <w:spacing w:before="72"/>
              <w:ind w:left="0" w:right="125"/>
              <w:jc w:val="right"/>
              <w:rPr>
                <w:b/>
                <w:sz w:val="20"/>
              </w:rPr>
            </w:pPr>
            <w:r>
              <w:rPr>
                <w:b/>
                <w:w w:val="95"/>
                <w:sz w:val="20"/>
              </w:rPr>
              <w:t>3.5</w:t>
            </w:r>
          </w:p>
        </w:tc>
        <w:tc>
          <w:tcPr>
            <w:tcW w:w="1730" w:type="dxa"/>
          </w:tcPr>
          <w:p>
            <w:pPr>
              <w:pStyle w:val="TableParagraph"/>
              <w:spacing w:before="72"/>
              <w:ind w:left="233"/>
              <w:rPr>
                <w:b/>
                <w:sz w:val="20"/>
              </w:rPr>
            </w:pPr>
            <w:r>
              <w:rPr>
                <w:b/>
                <w:w w:val="95"/>
                <w:sz w:val="20"/>
              </w:rPr>
              <w:t>保单欠款的扣除</w:t>
            </w:r>
          </w:p>
        </w:tc>
        <w:tc>
          <w:tcPr>
            <w:tcW w:w="7981" w:type="dxa"/>
          </w:tcPr>
          <w:p>
            <w:pPr>
              <w:pStyle w:val="TableParagraph"/>
              <w:spacing w:line="285" w:lineRule="auto" w:before="72"/>
              <w:ind w:left="150" w:right="204"/>
              <w:rPr>
                <w:b/>
                <w:sz w:val="20"/>
              </w:rPr>
            </w:pPr>
            <w:r>
              <w:rPr>
                <w:b/>
                <w:w w:val="95"/>
                <w:sz w:val="20"/>
              </w:rPr>
              <w:t>我们在给付各项保险金、退还现金价值或保险费时，若您尚有保单欠款，则我们将在扣  除保单欠款后给付剩余部分。</w:t>
            </w:r>
          </w:p>
        </w:tc>
      </w:tr>
      <w:tr>
        <w:trPr>
          <w:trHeight w:val="489" w:hRule="atLeast"/>
        </w:trPr>
        <w:tc>
          <w:tcPr>
            <w:tcW w:w="10248" w:type="dxa"/>
            <w:gridSpan w:val="3"/>
            <w:tcBorders>
              <w:bottom w:val="single" w:sz="4" w:space="0" w:color="000000"/>
            </w:tcBorders>
          </w:tcPr>
          <w:p>
            <w:pPr>
              <w:pStyle w:val="TableParagraph"/>
              <w:tabs>
                <w:tab w:pos="1368" w:val="left" w:leader="none"/>
              </w:tabs>
              <w:spacing w:before="169"/>
              <w:ind w:left="287"/>
              <w:rPr>
                <w:b/>
                <w:sz w:val="20"/>
              </w:rPr>
            </w:pPr>
            <w:r>
              <w:rPr>
                <w:b/>
                <w:sz w:val="20"/>
              </w:rPr>
              <w:t>第四部分</w:t>
              <w:tab/>
            </w:r>
            <w:r>
              <w:rPr>
                <w:b/>
                <w:w w:val="95"/>
                <w:sz w:val="20"/>
              </w:rPr>
              <w:t>如何申请领取保险金</w:t>
            </w:r>
          </w:p>
        </w:tc>
      </w:tr>
      <w:tr>
        <w:trPr>
          <w:trHeight w:val="1345" w:hRule="atLeast"/>
        </w:trPr>
        <w:tc>
          <w:tcPr>
            <w:tcW w:w="537" w:type="dxa"/>
            <w:tcBorders>
              <w:top w:val="single" w:sz="4" w:space="0" w:color="000000"/>
            </w:tcBorders>
          </w:tcPr>
          <w:p>
            <w:pPr>
              <w:pStyle w:val="TableParagraph"/>
              <w:spacing w:before="148"/>
              <w:ind w:left="28"/>
              <w:rPr>
                <w:b/>
                <w:sz w:val="20"/>
              </w:rPr>
            </w:pPr>
            <w:r>
              <w:rPr>
                <w:b/>
                <w:sz w:val="20"/>
              </w:rPr>
              <w:t>4.1</w:t>
            </w:r>
          </w:p>
        </w:tc>
        <w:tc>
          <w:tcPr>
            <w:tcW w:w="1730" w:type="dxa"/>
            <w:tcBorders>
              <w:top w:val="single" w:sz="4" w:space="0" w:color="000000"/>
            </w:tcBorders>
          </w:tcPr>
          <w:p>
            <w:pPr>
              <w:pStyle w:val="TableParagraph"/>
              <w:spacing w:before="148"/>
              <w:ind w:left="125"/>
              <w:rPr>
                <w:b/>
                <w:sz w:val="20"/>
              </w:rPr>
            </w:pPr>
            <w:r>
              <w:rPr>
                <w:b/>
                <w:sz w:val="20"/>
              </w:rPr>
              <w:t>受益人</w:t>
            </w:r>
          </w:p>
        </w:tc>
        <w:tc>
          <w:tcPr>
            <w:tcW w:w="7981" w:type="dxa"/>
            <w:tcBorders>
              <w:top w:val="single" w:sz="4" w:space="0" w:color="000000"/>
            </w:tcBorders>
          </w:tcPr>
          <w:p>
            <w:pPr>
              <w:pStyle w:val="TableParagraph"/>
              <w:spacing w:before="148"/>
              <w:ind w:left="68"/>
              <w:rPr>
                <w:sz w:val="20"/>
              </w:rPr>
            </w:pPr>
            <w:r>
              <w:rPr>
                <w:w w:val="95"/>
                <w:sz w:val="20"/>
              </w:rPr>
              <w:t>（1）身故保险金受益人</w:t>
            </w:r>
          </w:p>
          <w:p>
            <w:pPr>
              <w:pStyle w:val="TableParagraph"/>
              <w:spacing w:before="10"/>
              <w:ind w:left="0"/>
              <w:rPr>
                <w:sz w:val="15"/>
              </w:rPr>
            </w:pPr>
          </w:p>
          <w:p>
            <w:pPr>
              <w:pStyle w:val="TableParagraph"/>
              <w:ind w:left="68"/>
              <w:rPr>
                <w:sz w:val="20"/>
              </w:rPr>
            </w:pPr>
            <w:r>
              <w:rPr>
                <w:w w:val="95"/>
                <w:sz w:val="20"/>
              </w:rPr>
              <w:t>您或者被保险人可以指定一人或多人为身故保险金受益人。</w:t>
            </w:r>
          </w:p>
          <w:p>
            <w:pPr>
              <w:pStyle w:val="TableParagraph"/>
              <w:spacing w:before="9"/>
              <w:ind w:left="0"/>
              <w:rPr>
                <w:sz w:val="15"/>
              </w:rPr>
            </w:pPr>
          </w:p>
          <w:p>
            <w:pPr>
              <w:pStyle w:val="TableParagraph"/>
              <w:spacing w:line="242" w:lineRule="exact"/>
              <w:ind w:left="68"/>
              <w:rPr>
                <w:sz w:val="20"/>
              </w:rPr>
            </w:pPr>
            <w:r>
              <w:rPr>
                <w:w w:val="95"/>
                <w:sz w:val="20"/>
              </w:rPr>
              <w:t>身故保险金受益人为多人时，可以确定受益顺序和受益份额；如果没有确定份额，各受益</w:t>
            </w:r>
          </w:p>
        </w:tc>
      </w:tr>
    </w:tbl>
    <w:p>
      <w:pPr>
        <w:spacing w:after="0" w:line="242" w:lineRule="exact"/>
        <w:rPr>
          <w:sz w:val="20"/>
        </w:rPr>
        <w:sectPr>
          <w:pgSz w:w="11910" w:h="16840"/>
          <w:pgMar w:header="0" w:footer="831" w:top="116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318"/>
      </w:tblGrid>
      <w:tr>
        <w:trPr>
          <w:trHeight w:val="6262" w:hRule="atLeast"/>
        </w:trPr>
        <w:tc>
          <w:tcPr>
            <w:tcW w:w="683" w:type="dxa"/>
          </w:tcPr>
          <w:p>
            <w:pPr>
              <w:pStyle w:val="TableParagraph"/>
              <w:ind w:left="0"/>
              <w:rPr>
                <w:rFonts w:ascii="Times New Roman"/>
                <w:sz w:val="18"/>
              </w:rPr>
            </w:pPr>
          </w:p>
        </w:tc>
        <w:tc>
          <w:tcPr>
            <w:tcW w:w="1606" w:type="dxa"/>
          </w:tcPr>
          <w:p>
            <w:pPr>
              <w:pStyle w:val="TableParagraph"/>
              <w:ind w:left="0"/>
              <w:rPr>
                <w:rFonts w:ascii="Times New Roman"/>
                <w:sz w:val="18"/>
              </w:rPr>
            </w:pPr>
          </w:p>
        </w:tc>
        <w:tc>
          <w:tcPr>
            <w:tcW w:w="8318" w:type="dxa"/>
          </w:tcPr>
          <w:p>
            <w:pPr>
              <w:pStyle w:val="TableParagraph"/>
              <w:spacing w:line="199" w:lineRule="exact"/>
              <w:ind w:left="138"/>
              <w:rPr>
                <w:sz w:val="20"/>
              </w:rPr>
            </w:pPr>
            <w:r>
              <w:rPr>
                <w:w w:val="95"/>
                <w:sz w:val="20"/>
              </w:rPr>
              <w:t>人按照相等份额享有受益权。</w:t>
            </w:r>
          </w:p>
          <w:p>
            <w:pPr>
              <w:pStyle w:val="TableParagraph"/>
              <w:spacing w:before="9"/>
              <w:ind w:left="0"/>
              <w:rPr>
                <w:sz w:val="15"/>
              </w:rPr>
            </w:pPr>
          </w:p>
          <w:p>
            <w:pPr>
              <w:pStyle w:val="TableParagraph"/>
              <w:spacing w:before="1"/>
              <w:ind w:left="138"/>
              <w:rPr>
                <w:sz w:val="20"/>
              </w:rPr>
            </w:pPr>
            <w:r>
              <w:rPr>
                <w:w w:val="95"/>
                <w:sz w:val="20"/>
              </w:rPr>
              <w:t>被保险人为无民事行为能力人或限制民事行为能力人的，可以由其监护人指定受益人。</w:t>
            </w:r>
          </w:p>
          <w:p>
            <w:pPr>
              <w:pStyle w:val="TableParagraph"/>
              <w:spacing w:before="10"/>
              <w:ind w:left="0"/>
              <w:rPr>
                <w:sz w:val="15"/>
              </w:rPr>
            </w:pPr>
          </w:p>
          <w:p>
            <w:pPr>
              <w:pStyle w:val="TableParagraph"/>
              <w:spacing w:line="285" w:lineRule="auto"/>
              <w:ind w:left="138" w:right="382"/>
              <w:rPr>
                <w:sz w:val="20"/>
              </w:rPr>
            </w:pPr>
            <w:r>
              <w:rPr>
                <w:w w:val="95"/>
                <w:sz w:val="20"/>
              </w:rPr>
              <w:t>您或者被保险人可以变更身故保险金受益人并书面通知我们。我们收到变更受益人的书面   通知后，在保险单或其他保险凭证上批注或附贴批单。</w:t>
            </w:r>
          </w:p>
          <w:p>
            <w:pPr>
              <w:pStyle w:val="TableParagraph"/>
              <w:spacing w:before="168"/>
              <w:ind w:left="138"/>
              <w:rPr>
                <w:sz w:val="20"/>
              </w:rPr>
            </w:pPr>
            <w:r>
              <w:rPr>
                <w:w w:val="95"/>
                <w:sz w:val="20"/>
              </w:rPr>
              <w:t>您在指定和变更身故保险金受益人时，必须经过被保险人同意。</w:t>
            </w:r>
          </w:p>
          <w:p>
            <w:pPr>
              <w:pStyle w:val="TableParagraph"/>
              <w:spacing w:before="10"/>
              <w:ind w:left="0"/>
              <w:rPr>
                <w:sz w:val="15"/>
              </w:rPr>
            </w:pPr>
          </w:p>
          <w:p>
            <w:pPr>
              <w:pStyle w:val="TableParagraph"/>
              <w:spacing w:line="285" w:lineRule="auto"/>
              <w:ind w:left="138" w:right="382"/>
              <w:rPr>
                <w:sz w:val="20"/>
              </w:rPr>
            </w:pPr>
            <w:r>
              <w:rPr>
                <w:w w:val="95"/>
                <w:sz w:val="20"/>
              </w:rPr>
              <w:t>被保险人身故后，有下列情形之一的，保险金作为被保险人的遗产，由我们依照《中华人   民共和国继承法》的规定履行给付保险金的义务：</w:t>
            </w:r>
          </w:p>
          <w:p>
            <w:pPr>
              <w:pStyle w:val="TableParagraph"/>
              <w:numPr>
                <w:ilvl w:val="0"/>
                <w:numId w:val="16"/>
              </w:numPr>
              <w:tabs>
                <w:tab w:pos="1112" w:val="left" w:leader="none"/>
              </w:tabs>
              <w:spacing w:line="240" w:lineRule="auto" w:before="12" w:after="0"/>
              <w:ind w:left="1111" w:right="0" w:hanging="361"/>
              <w:jc w:val="left"/>
              <w:rPr>
                <w:sz w:val="20"/>
              </w:rPr>
            </w:pPr>
            <w:r>
              <w:rPr>
                <w:w w:val="95"/>
                <w:sz w:val="20"/>
              </w:rPr>
              <w:t>没有指定受益人，或者受益人指定不明无法确定的；</w:t>
            </w:r>
          </w:p>
          <w:p>
            <w:pPr>
              <w:pStyle w:val="TableParagraph"/>
              <w:numPr>
                <w:ilvl w:val="0"/>
                <w:numId w:val="16"/>
              </w:numPr>
              <w:tabs>
                <w:tab w:pos="1112" w:val="left" w:leader="none"/>
              </w:tabs>
              <w:spacing w:line="240" w:lineRule="auto" w:before="50" w:after="0"/>
              <w:ind w:left="1111" w:right="0" w:hanging="361"/>
              <w:jc w:val="left"/>
              <w:rPr>
                <w:sz w:val="20"/>
              </w:rPr>
            </w:pPr>
            <w:r>
              <w:rPr>
                <w:w w:val="95"/>
                <w:sz w:val="20"/>
              </w:rPr>
              <w:t>受益人先于被保险人身故，没有其他受益人的；</w:t>
            </w:r>
          </w:p>
          <w:p>
            <w:pPr>
              <w:pStyle w:val="TableParagraph"/>
              <w:numPr>
                <w:ilvl w:val="0"/>
                <w:numId w:val="16"/>
              </w:numPr>
              <w:tabs>
                <w:tab w:pos="1112" w:val="left" w:leader="none"/>
              </w:tabs>
              <w:spacing w:line="240" w:lineRule="auto" w:before="50" w:after="0"/>
              <w:ind w:left="1111" w:right="0" w:hanging="361"/>
              <w:jc w:val="left"/>
              <w:rPr>
                <w:sz w:val="20"/>
              </w:rPr>
            </w:pPr>
            <w:r>
              <w:rPr>
                <w:w w:val="95"/>
                <w:sz w:val="20"/>
              </w:rPr>
              <w:t>受益人依法丧失受益权或者放弃受益权，没有其他受益人的。</w:t>
            </w:r>
          </w:p>
          <w:p>
            <w:pPr>
              <w:pStyle w:val="TableParagraph"/>
              <w:spacing w:before="9"/>
              <w:ind w:left="0"/>
              <w:rPr>
                <w:sz w:val="15"/>
              </w:rPr>
            </w:pPr>
          </w:p>
          <w:p>
            <w:pPr>
              <w:pStyle w:val="TableParagraph"/>
              <w:spacing w:before="1"/>
              <w:ind w:left="138"/>
              <w:rPr>
                <w:sz w:val="20"/>
              </w:rPr>
            </w:pPr>
            <w:r>
              <w:rPr>
                <w:w w:val="95"/>
                <w:sz w:val="20"/>
              </w:rPr>
              <w:t>受益人与被保险人在同一事件中身故，且不能确定身故先后顺序的，推定受益人身故在先。</w:t>
            </w:r>
          </w:p>
          <w:p>
            <w:pPr>
              <w:pStyle w:val="TableParagraph"/>
              <w:spacing w:before="10"/>
              <w:ind w:left="0"/>
              <w:rPr>
                <w:sz w:val="15"/>
              </w:rPr>
            </w:pPr>
          </w:p>
          <w:p>
            <w:pPr>
              <w:pStyle w:val="TableParagraph"/>
              <w:spacing w:line="285" w:lineRule="auto"/>
              <w:ind w:left="138" w:right="382"/>
              <w:rPr>
                <w:sz w:val="20"/>
              </w:rPr>
            </w:pPr>
            <w:r>
              <w:rPr>
                <w:w w:val="95"/>
                <w:sz w:val="20"/>
              </w:rPr>
              <w:t>受益人故意造成被保险人身故、伤残、疾病的，或者故意杀害被保险人未遂的，该受益人   丧失受益权。</w:t>
            </w:r>
          </w:p>
          <w:p>
            <w:pPr>
              <w:pStyle w:val="TableParagraph"/>
              <w:spacing w:line="285" w:lineRule="auto" w:before="167"/>
              <w:ind w:left="138" w:right="326"/>
              <w:rPr>
                <w:sz w:val="20"/>
              </w:rPr>
            </w:pPr>
            <w:r>
              <w:rPr>
                <w:spacing w:val="-4"/>
                <w:w w:val="95"/>
                <w:sz w:val="20"/>
              </w:rPr>
              <w:t>（2）全残保险金、生命尊严提前给付保险金、各项重大疾病保险金、轻症重疾保险金受益   </w:t>
            </w:r>
            <w:r>
              <w:rPr>
                <w:spacing w:val="-4"/>
                <w:sz w:val="20"/>
              </w:rPr>
              <w:t>人</w:t>
            </w:r>
          </w:p>
          <w:p>
            <w:pPr>
              <w:pStyle w:val="TableParagraph"/>
              <w:spacing w:before="167"/>
              <w:ind w:left="138"/>
              <w:rPr>
                <w:sz w:val="20"/>
              </w:rPr>
            </w:pPr>
            <w:r>
              <w:rPr>
                <w:w w:val="95"/>
                <w:sz w:val="20"/>
              </w:rPr>
              <w:t>本合同以上各项保险金的受益人均为被保险人本人。</w:t>
            </w:r>
          </w:p>
        </w:tc>
      </w:tr>
      <w:tr>
        <w:trPr>
          <w:trHeight w:val="1872" w:hRule="atLeast"/>
        </w:trPr>
        <w:tc>
          <w:tcPr>
            <w:tcW w:w="683" w:type="dxa"/>
          </w:tcPr>
          <w:p>
            <w:pPr>
              <w:pStyle w:val="TableParagraph"/>
              <w:spacing w:before="72"/>
              <w:ind w:left="179" w:right="160"/>
              <w:jc w:val="center"/>
              <w:rPr>
                <w:b/>
                <w:sz w:val="20"/>
              </w:rPr>
            </w:pPr>
            <w:r>
              <w:rPr>
                <w:b/>
                <w:sz w:val="20"/>
              </w:rPr>
              <w:t>4.2</w:t>
            </w:r>
          </w:p>
        </w:tc>
        <w:tc>
          <w:tcPr>
            <w:tcW w:w="1606" w:type="dxa"/>
          </w:tcPr>
          <w:p>
            <w:pPr>
              <w:pStyle w:val="TableParagraph"/>
              <w:spacing w:before="72"/>
              <w:ind w:left="179"/>
              <w:rPr>
                <w:b/>
                <w:sz w:val="20"/>
              </w:rPr>
            </w:pPr>
            <w:r>
              <w:rPr>
                <w:b/>
                <w:w w:val="95"/>
                <w:sz w:val="20"/>
              </w:rPr>
              <w:t>保险事故通知</w:t>
            </w:r>
          </w:p>
        </w:tc>
        <w:tc>
          <w:tcPr>
            <w:tcW w:w="8318" w:type="dxa"/>
          </w:tcPr>
          <w:p>
            <w:pPr>
              <w:pStyle w:val="TableParagraph"/>
              <w:spacing w:before="72"/>
              <w:ind w:left="220"/>
              <w:rPr>
                <w:sz w:val="20"/>
              </w:rPr>
            </w:pPr>
            <w:r>
              <w:rPr>
                <w:w w:val="95"/>
                <w:sz w:val="20"/>
              </w:rPr>
              <w:t>您或受益人知道保险事故后应当在十日内通知我们。</w:t>
            </w:r>
          </w:p>
          <w:p>
            <w:pPr>
              <w:pStyle w:val="TableParagraph"/>
              <w:spacing w:before="10"/>
              <w:ind w:left="0"/>
              <w:rPr>
                <w:sz w:val="15"/>
              </w:rPr>
            </w:pPr>
          </w:p>
          <w:p>
            <w:pPr>
              <w:pStyle w:val="TableParagraph"/>
              <w:spacing w:line="285" w:lineRule="auto"/>
              <w:ind w:left="220" w:right="379"/>
              <w:rPr>
                <w:sz w:val="20"/>
              </w:rPr>
            </w:pPr>
            <w:r>
              <w:rPr>
                <w:spacing w:val="-4"/>
                <w:w w:val="95"/>
                <w:sz w:val="20"/>
              </w:rPr>
              <w:t>如果您或受益人故意或者因重大过失未及时通知，致使保险事故的性质、原因、损失程度   </w:t>
            </w:r>
            <w:r>
              <w:rPr>
                <w:spacing w:val="-9"/>
                <w:w w:val="95"/>
                <w:sz w:val="20"/>
              </w:rPr>
              <w:t>等难以确定的，我们对无法确定的部分，不承担给付保险金的责任，但我们通过其他途径  </w:t>
            </w:r>
            <w:r>
              <w:rPr>
                <w:spacing w:val="-9"/>
                <w:sz w:val="20"/>
              </w:rPr>
              <w:t>已经及时知道或者应当及时知道保险事故发生或者虽未及时通知但不影响我们确定保险</w:t>
            </w:r>
            <w:r>
              <w:rPr>
                <w:spacing w:val="-9"/>
                <w:w w:val="95"/>
                <w:sz w:val="20"/>
              </w:rPr>
              <w:t>事故的性质、原因、损失程度的除外。</w:t>
            </w:r>
          </w:p>
        </w:tc>
      </w:tr>
      <w:tr>
        <w:trPr>
          <w:trHeight w:val="5794" w:hRule="atLeast"/>
        </w:trPr>
        <w:tc>
          <w:tcPr>
            <w:tcW w:w="683" w:type="dxa"/>
          </w:tcPr>
          <w:p>
            <w:pPr>
              <w:pStyle w:val="TableParagraph"/>
              <w:spacing w:before="72"/>
              <w:ind w:left="179" w:right="160"/>
              <w:jc w:val="center"/>
              <w:rPr>
                <w:b/>
                <w:sz w:val="20"/>
              </w:rPr>
            </w:pPr>
            <w:r>
              <w:rPr>
                <w:b/>
                <w:sz w:val="20"/>
              </w:rPr>
              <w:t>4.3</w:t>
            </w:r>
          </w:p>
        </w:tc>
        <w:tc>
          <w:tcPr>
            <w:tcW w:w="1606" w:type="dxa"/>
          </w:tcPr>
          <w:p>
            <w:pPr>
              <w:pStyle w:val="TableParagraph"/>
              <w:spacing w:before="72"/>
              <w:ind w:left="179"/>
              <w:rPr>
                <w:b/>
                <w:sz w:val="20"/>
              </w:rPr>
            </w:pPr>
            <w:r>
              <w:rPr>
                <w:b/>
                <w:w w:val="95"/>
                <w:sz w:val="20"/>
              </w:rPr>
              <w:t>保险金申请</w:t>
            </w:r>
          </w:p>
        </w:tc>
        <w:tc>
          <w:tcPr>
            <w:tcW w:w="8318" w:type="dxa"/>
          </w:tcPr>
          <w:p>
            <w:pPr>
              <w:pStyle w:val="TableParagraph"/>
              <w:spacing w:before="72"/>
              <w:ind w:left="220"/>
              <w:rPr>
                <w:sz w:val="20"/>
              </w:rPr>
            </w:pPr>
            <w:r>
              <w:rPr>
                <w:w w:val="95"/>
                <w:sz w:val="20"/>
              </w:rPr>
              <w:t>（1）身故保险金</w:t>
            </w:r>
          </w:p>
          <w:p>
            <w:pPr>
              <w:pStyle w:val="TableParagraph"/>
              <w:spacing w:before="9"/>
              <w:ind w:left="0"/>
              <w:rPr>
                <w:sz w:val="15"/>
              </w:rPr>
            </w:pPr>
          </w:p>
          <w:p>
            <w:pPr>
              <w:pStyle w:val="TableParagraph"/>
              <w:ind w:left="220"/>
              <w:rPr>
                <w:sz w:val="20"/>
              </w:rPr>
            </w:pPr>
            <w:r>
              <w:rPr>
                <w:w w:val="95"/>
                <w:sz w:val="20"/>
              </w:rPr>
              <w:t>在申请身故保险金时，申请人须填写保险金给付申请书，并提供下列证明和资料：</w:t>
            </w:r>
          </w:p>
          <w:p>
            <w:pPr>
              <w:pStyle w:val="TableParagraph"/>
              <w:numPr>
                <w:ilvl w:val="0"/>
                <w:numId w:val="17"/>
              </w:numPr>
              <w:tabs>
                <w:tab w:pos="1193" w:val="left" w:leader="none"/>
              </w:tabs>
              <w:spacing w:line="240" w:lineRule="auto" w:before="49" w:after="0"/>
              <w:ind w:left="1192" w:right="0" w:hanging="360"/>
              <w:jc w:val="left"/>
              <w:rPr>
                <w:sz w:val="20"/>
              </w:rPr>
            </w:pPr>
            <w:r>
              <w:rPr>
                <w:w w:val="95"/>
                <w:sz w:val="20"/>
              </w:rPr>
              <w:t>保险合同；</w:t>
            </w:r>
          </w:p>
          <w:p>
            <w:pPr>
              <w:pStyle w:val="TableParagraph"/>
              <w:numPr>
                <w:ilvl w:val="0"/>
                <w:numId w:val="17"/>
              </w:numPr>
              <w:tabs>
                <w:tab w:pos="1193" w:val="left" w:leader="none"/>
              </w:tabs>
              <w:spacing w:line="240" w:lineRule="auto" w:before="49" w:after="0"/>
              <w:ind w:left="1192" w:right="0" w:hanging="360"/>
              <w:jc w:val="left"/>
              <w:rPr>
                <w:sz w:val="20"/>
              </w:rPr>
            </w:pPr>
            <w:r>
              <w:rPr>
                <w:w w:val="95"/>
                <w:sz w:val="20"/>
              </w:rPr>
              <w:t>申请人的有效身份证件；</w:t>
            </w:r>
          </w:p>
          <w:p>
            <w:pPr>
              <w:pStyle w:val="TableParagraph"/>
              <w:numPr>
                <w:ilvl w:val="0"/>
                <w:numId w:val="17"/>
              </w:numPr>
              <w:tabs>
                <w:tab w:pos="1193" w:val="left" w:leader="none"/>
              </w:tabs>
              <w:spacing w:line="285" w:lineRule="auto" w:before="49" w:after="0"/>
              <w:ind w:left="1192" w:right="376" w:hanging="360"/>
              <w:jc w:val="left"/>
              <w:rPr>
                <w:sz w:val="20"/>
              </w:rPr>
            </w:pPr>
            <w:r>
              <w:rPr>
                <w:spacing w:val="-4"/>
                <w:w w:val="95"/>
                <w:sz w:val="20"/>
              </w:rPr>
              <w:t>国家卫生行政部门认定的医疗机构、公安部门或其他相关机构出具的被保险人  的死亡证明；</w:t>
            </w:r>
          </w:p>
          <w:p>
            <w:pPr>
              <w:pStyle w:val="TableParagraph"/>
              <w:numPr>
                <w:ilvl w:val="0"/>
                <w:numId w:val="17"/>
              </w:numPr>
              <w:tabs>
                <w:tab w:pos="1191" w:val="left" w:leader="none"/>
              </w:tabs>
              <w:spacing w:line="240" w:lineRule="auto" w:before="11" w:after="0"/>
              <w:ind w:left="1190" w:right="0" w:hanging="358"/>
              <w:jc w:val="left"/>
              <w:rPr>
                <w:sz w:val="20"/>
              </w:rPr>
            </w:pPr>
            <w:r>
              <w:rPr>
                <w:w w:val="95"/>
                <w:sz w:val="20"/>
              </w:rPr>
              <w:t>受益人身份证明及受益人与被保险人的关系证明；</w:t>
            </w:r>
          </w:p>
          <w:p>
            <w:pPr>
              <w:pStyle w:val="TableParagraph"/>
              <w:numPr>
                <w:ilvl w:val="0"/>
                <w:numId w:val="17"/>
              </w:numPr>
              <w:tabs>
                <w:tab w:pos="1191" w:val="left" w:leader="none"/>
              </w:tabs>
              <w:spacing w:line="285" w:lineRule="auto" w:before="49" w:after="0"/>
              <w:ind w:left="1190" w:right="376" w:hanging="358"/>
              <w:jc w:val="left"/>
              <w:rPr>
                <w:sz w:val="20"/>
              </w:rPr>
            </w:pPr>
            <w:r>
              <w:rPr>
                <w:spacing w:val="-5"/>
                <w:w w:val="95"/>
                <w:sz w:val="20"/>
              </w:rPr>
              <w:t>如为意外身故，须提供意外事故证明。如为疾病身故，须提供疾病治疗、诊断  证明；</w:t>
            </w:r>
          </w:p>
          <w:p>
            <w:pPr>
              <w:pStyle w:val="TableParagraph"/>
              <w:numPr>
                <w:ilvl w:val="0"/>
                <w:numId w:val="17"/>
              </w:numPr>
              <w:tabs>
                <w:tab w:pos="1191" w:val="left" w:leader="none"/>
              </w:tabs>
              <w:spacing w:line="240" w:lineRule="auto" w:before="11" w:after="0"/>
              <w:ind w:left="1190" w:right="0" w:hanging="358"/>
              <w:jc w:val="left"/>
              <w:rPr>
                <w:sz w:val="20"/>
              </w:rPr>
            </w:pPr>
            <w:r>
              <w:rPr>
                <w:w w:val="95"/>
                <w:sz w:val="20"/>
              </w:rPr>
              <w:t>申请人所能提供的与确认保险事故的性质、原因等有关的其他证明和资料。</w:t>
            </w:r>
          </w:p>
          <w:p>
            <w:pPr>
              <w:pStyle w:val="TableParagraph"/>
              <w:spacing w:before="9"/>
              <w:ind w:left="0"/>
              <w:rPr>
                <w:sz w:val="15"/>
              </w:rPr>
            </w:pPr>
          </w:p>
          <w:p>
            <w:pPr>
              <w:pStyle w:val="TableParagraph"/>
              <w:ind w:left="220"/>
              <w:rPr>
                <w:sz w:val="20"/>
              </w:rPr>
            </w:pPr>
            <w:r>
              <w:rPr>
                <w:w w:val="95"/>
                <w:sz w:val="20"/>
              </w:rPr>
              <w:t>（2）全残保险金</w:t>
            </w:r>
          </w:p>
          <w:p>
            <w:pPr>
              <w:pStyle w:val="TableParagraph"/>
              <w:spacing w:before="10"/>
              <w:ind w:left="0"/>
              <w:rPr>
                <w:sz w:val="15"/>
              </w:rPr>
            </w:pPr>
          </w:p>
          <w:p>
            <w:pPr>
              <w:pStyle w:val="TableParagraph"/>
              <w:ind w:left="220"/>
              <w:rPr>
                <w:sz w:val="20"/>
              </w:rPr>
            </w:pPr>
            <w:r>
              <w:rPr>
                <w:w w:val="95"/>
                <w:sz w:val="20"/>
              </w:rPr>
              <w:t>在申请全残保险金时，申请人需填写保险金给付申请书，并提供下列证明和资料：</w:t>
            </w:r>
          </w:p>
          <w:p>
            <w:pPr>
              <w:pStyle w:val="TableParagraph"/>
              <w:numPr>
                <w:ilvl w:val="0"/>
                <w:numId w:val="18"/>
              </w:numPr>
              <w:tabs>
                <w:tab w:pos="1193" w:val="left" w:leader="none"/>
              </w:tabs>
              <w:spacing w:line="240" w:lineRule="auto" w:before="50" w:after="0"/>
              <w:ind w:left="900" w:right="0" w:hanging="68"/>
              <w:jc w:val="left"/>
              <w:rPr>
                <w:sz w:val="20"/>
              </w:rPr>
            </w:pPr>
            <w:r>
              <w:rPr>
                <w:w w:val="95"/>
                <w:sz w:val="20"/>
              </w:rPr>
              <w:t>保险合同；</w:t>
            </w:r>
          </w:p>
          <w:p>
            <w:pPr>
              <w:pStyle w:val="TableParagraph"/>
              <w:numPr>
                <w:ilvl w:val="0"/>
                <w:numId w:val="18"/>
              </w:numPr>
              <w:tabs>
                <w:tab w:pos="1193" w:val="left" w:leader="none"/>
              </w:tabs>
              <w:spacing w:line="240" w:lineRule="auto" w:before="50" w:after="0"/>
              <w:ind w:left="900" w:right="0" w:hanging="68"/>
              <w:jc w:val="left"/>
              <w:rPr>
                <w:sz w:val="20"/>
              </w:rPr>
            </w:pPr>
            <w:r>
              <w:rPr>
                <w:w w:val="95"/>
                <w:sz w:val="20"/>
              </w:rPr>
              <w:t>申请人的有效身份证件；</w:t>
            </w:r>
          </w:p>
          <w:p>
            <w:pPr>
              <w:pStyle w:val="TableParagraph"/>
              <w:numPr>
                <w:ilvl w:val="0"/>
                <w:numId w:val="18"/>
              </w:numPr>
              <w:tabs>
                <w:tab w:pos="1193" w:val="left" w:leader="none"/>
              </w:tabs>
              <w:spacing w:line="285" w:lineRule="auto" w:before="50" w:after="0"/>
              <w:ind w:left="900" w:right="525" w:hanging="68"/>
              <w:jc w:val="left"/>
              <w:rPr>
                <w:sz w:val="20"/>
              </w:rPr>
            </w:pPr>
            <w:r>
              <w:rPr>
                <w:w w:val="95"/>
                <w:sz w:val="20"/>
              </w:rPr>
              <w:t>由我们指定或认可的医院或具备资质的鉴定机构的专科医生出具的被保险人  残疾程度鉴定书；</w:t>
            </w:r>
          </w:p>
          <w:p>
            <w:pPr>
              <w:pStyle w:val="TableParagraph"/>
              <w:numPr>
                <w:ilvl w:val="0"/>
                <w:numId w:val="18"/>
              </w:numPr>
              <w:tabs>
                <w:tab w:pos="1193" w:val="left" w:leader="none"/>
              </w:tabs>
              <w:spacing w:line="242" w:lineRule="exact" w:before="12" w:after="0"/>
              <w:ind w:left="900" w:right="0" w:hanging="68"/>
              <w:jc w:val="left"/>
              <w:rPr>
                <w:sz w:val="20"/>
              </w:rPr>
            </w:pPr>
            <w:r>
              <w:rPr>
                <w:w w:val="95"/>
                <w:sz w:val="20"/>
              </w:rPr>
              <w:t>申请人所能提供的与确认保险事故的性质、原因等有关的其他证明和资料。</w:t>
            </w:r>
          </w:p>
        </w:tc>
      </w:tr>
    </w:tbl>
    <w:p>
      <w:pPr>
        <w:spacing w:after="0" w:line="242" w:lineRule="exact"/>
        <w:jc w:val="left"/>
        <w:rPr>
          <w:sz w:val="20"/>
        </w:rPr>
        <w:sectPr>
          <w:pgSz w:w="11910" w:h="16840"/>
          <w:pgMar w:header="0" w:footer="831" w:top="1160" w:bottom="1020" w:left="76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05"/>
        <w:gridCol w:w="8322"/>
      </w:tblGrid>
      <w:tr>
        <w:trPr>
          <w:trHeight w:val="7460" w:hRule="atLeast"/>
        </w:trPr>
        <w:tc>
          <w:tcPr>
            <w:tcW w:w="683" w:type="dxa"/>
          </w:tcPr>
          <w:p>
            <w:pPr>
              <w:pStyle w:val="TableParagraph"/>
              <w:ind w:left="0"/>
              <w:rPr>
                <w:rFonts w:ascii="Times New Roman"/>
                <w:sz w:val="18"/>
              </w:rPr>
            </w:pPr>
          </w:p>
        </w:tc>
        <w:tc>
          <w:tcPr>
            <w:tcW w:w="1505" w:type="dxa"/>
          </w:tcPr>
          <w:p>
            <w:pPr>
              <w:pStyle w:val="TableParagraph"/>
              <w:ind w:left="0"/>
              <w:rPr>
                <w:rFonts w:ascii="Times New Roman"/>
                <w:sz w:val="18"/>
              </w:rPr>
            </w:pPr>
          </w:p>
        </w:tc>
        <w:tc>
          <w:tcPr>
            <w:tcW w:w="8322" w:type="dxa"/>
          </w:tcPr>
          <w:p>
            <w:pPr>
              <w:pStyle w:val="TableParagraph"/>
              <w:spacing w:line="199" w:lineRule="exact"/>
              <w:ind w:left="321"/>
              <w:rPr>
                <w:sz w:val="20"/>
              </w:rPr>
            </w:pPr>
            <w:r>
              <w:rPr>
                <w:w w:val="95"/>
                <w:sz w:val="20"/>
              </w:rPr>
              <w:t>（3）生命尊严提前给付保险金</w:t>
            </w:r>
          </w:p>
          <w:p>
            <w:pPr>
              <w:pStyle w:val="TableParagraph"/>
              <w:spacing w:before="9"/>
              <w:ind w:left="0"/>
              <w:rPr>
                <w:sz w:val="15"/>
              </w:rPr>
            </w:pPr>
          </w:p>
          <w:p>
            <w:pPr>
              <w:pStyle w:val="TableParagraph"/>
              <w:spacing w:line="285" w:lineRule="auto" w:before="1"/>
              <w:ind w:left="321" w:right="280"/>
              <w:rPr>
                <w:sz w:val="20"/>
              </w:rPr>
            </w:pPr>
            <w:r>
              <w:rPr>
                <w:spacing w:val="-5"/>
                <w:w w:val="95"/>
                <w:sz w:val="20"/>
              </w:rPr>
              <w:t>在申请生命尊严提前给付保险金时，申请人需填写保险金给付申请书，并提供下列证明和   资料：</w:t>
            </w:r>
          </w:p>
          <w:p>
            <w:pPr>
              <w:pStyle w:val="TableParagraph"/>
              <w:numPr>
                <w:ilvl w:val="0"/>
                <w:numId w:val="19"/>
              </w:numPr>
              <w:tabs>
                <w:tab w:pos="1294" w:val="left" w:leader="none"/>
              </w:tabs>
              <w:spacing w:line="240" w:lineRule="auto" w:before="12" w:after="0"/>
              <w:ind w:left="1349" w:right="0" w:hanging="416"/>
              <w:jc w:val="left"/>
              <w:rPr>
                <w:sz w:val="20"/>
              </w:rPr>
            </w:pPr>
            <w:r>
              <w:rPr>
                <w:w w:val="95"/>
                <w:sz w:val="20"/>
              </w:rPr>
              <w:t>保险合同；</w:t>
            </w:r>
          </w:p>
          <w:p>
            <w:pPr>
              <w:pStyle w:val="TableParagraph"/>
              <w:numPr>
                <w:ilvl w:val="0"/>
                <w:numId w:val="19"/>
              </w:numPr>
              <w:tabs>
                <w:tab w:pos="1294" w:val="left" w:leader="none"/>
              </w:tabs>
              <w:spacing w:line="240" w:lineRule="auto" w:before="50" w:after="0"/>
              <w:ind w:left="1349" w:right="0" w:hanging="416"/>
              <w:jc w:val="left"/>
              <w:rPr>
                <w:sz w:val="20"/>
              </w:rPr>
            </w:pPr>
            <w:r>
              <w:rPr>
                <w:w w:val="95"/>
                <w:sz w:val="20"/>
              </w:rPr>
              <w:t>申请人的有效身份证件；</w:t>
            </w:r>
          </w:p>
          <w:p>
            <w:pPr>
              <w:pStyle w:val="TableParagraph"/>
              <w:numPr>
                <w:ilvl w:val="0"/>
                <w:numId w:val="19"/>
              </w:numPr>
              <w:tabs>
                <w:tab w:pos="1294" w:val="left" w:leader="none"/>
              </w:tabs>
              <w:spacing w:line="240" w:lineRule="auto" w:before="50" w:after="0"/>
              <w:ind w:left="1349" w:right="0" w:hanging="416"/>
              <w:jc w:val="left"/>
              <w:rPr>
                <w:sz w:val="20"/>
              </w:rPr>
            </w:pPr>
            <w:r>
              <w:rPr>
                <w:w w:val="95"/>
                <w:sz w:val="20"/>
              </w:rPr>
              <w:t>所有身故保险金受益人的有效身份证件；</w:t>
            </w:r>
          </w:p>
          <w:p>
            <w:pPr>
              <w:pStyle w:val="TableParagraph"/>
              <w:numPr>
                <w:ilvl w:val="0"/>
                <w:numId w:val="19"/>
              </w:numPr>
              <w:tabs>
                <w:tab w:pos="1294" w:val="left" w:leader="none"/>
              </w:tabs>
              <w:spacing w:line="285" w:lineRule="auto" w:before="50" w:after="0"/>
              <w:ind w:left="1349" w:right="428" w:hanging="428"/>
              <w:jc w:val="left"/>
              <w:rPr>
                <w:sz w:val="20"/>
              </w:rPr>
            </w:pPr>
            <w:r>
              <w:rPr>
                <w:w w:val="95"/>
                <w:sz w:val="20"/>
              </w:rPr>
              <w:t>由我们指定或认可医院或具备资质的鉴定机构的专科医生出具的被保险人符  合终末期疾病定义的诊断证明；</w:t>
            </w:r>
          </w:p>
          <w:p>
            <w:pPr>
              <w:pStyle w:val="TableParagraph"/>
              <w:numPr>
                <w:ilvl w:val="0"/>
                <w:numId w:val="19"/>
              </w:numPr>
              <w:tabs>
                <w:tab w:pos="1294" w:val="left" w:leader="none"/>
              </w:tabs>
              <w:spacing w:line="250" w:lineRule="exact" w:before="0" w:after="0"/>
              <w:ind w:left="1293" w:right="0" w:hanging="372"/>
              <w:jc w:val="left"/>
              <w:rPr>
                <w:sz w:val="20"/>
              </w:rPr>
            </w:pPr>
            <w:r>
              <w:rPr>
                <w:w w:val="95"/>
                <w:sz w:val="20"/>
              </w:rPr>
              <w:t>申请人所能提供的与确认保险事故的性质、原因等有关的其他证明和资料。</w:t>
            </w:r>
          </w:p>
          <w:p>
            <w:pPr>
              <w:pStyle w:val="TableParagraph"/>
              <w:spacing w:before="180"/>
              <w:ind w:left="321"/>
              <w:rPr>
                <w:sz w:val="20"/>
              </w:rPr>
            </w:pPr>
            <w:r>
              <w:rPr>
                <w:w w:val="95"/>
                <w:sz w:val="20"/>
              </w:rPr>
              <w:t>（4）重大疾病保险金、轻症重疾保险金</w:t>
            </w:r>
          </w:p>
          <w:p>
            <w:pPr>
              <w:pStyle w:val="TableParagraph"/>
              <w:spacing w:before="10"/>
              <w:ind w:left="0"/>
              <w:rPr>
                <w:sz w:val="15"/>
              </w:rPr>
            </w:pPr>
          </w:p>
          <w:p>
            <w:pPr>
              <w:pStyle w:val="TableParagraph"/>
              <w:spacing w:line="285" w:lineRule="auto"/>
              <w:ind w:left="321" w:right="276"/>
              <w:rPr>
                <w:sz w:val="20"/>
              </w:rPr>
            </w:pPr>
            <w:r>
              <w:rPr>
                <w:spacing w:val="-6"/>
                <w:w w:val="95"/>
                <w:sz w:val="20"/>
              </w:rPr>
              <w:t>在申请以上各项保险金时，受益人或其代理人需填写保险金给付申请书，并提供下列证明   和资料：</w:t>
            </w:r>
          </w:p>
          <w:p>
            <w:pPr>
              <w:pStyle w:val="TableParagraph"/>
              <w:numPr>
                <w:ilvl w:val="0"/>
                <w:numId w:val="20"/>
              </w:numPr>
              <w:tabs>
                <w:tab w:pos="1421" w:val="left" w:leader="none"/>
              </w:tabs>
              <w:spacing w:line="240" w:lineRule="auto" w:before="12" w:after="0"/>
              <w:ind w:left="1421" w:right="0" w:hanging="488"/>
              <w:jc w:val="left"/>
              <w:rPr>
                <w:sz w:val="20"/>
              </w:rPr>
            </w:pPr>
            <w:r>
              <w:rPr>
                <w:w w:val="95"/>
                <w:sz w:val="20"/>
              </w:rPr>
              <w:t>保险合同；</w:t>
            </w:r>
          </w:p>
          <w:p>
            <w:pPr>
              <w:pStyle w:val="TableParagraph"/>
              <w:numPr>
                <w:ilvl w:val="0"/>
                <w:numId w:val="20"/>
              </w:numPr>
              <w:tabs>
                <w:tab w:pos="1421" w:val="left" w:leader="none"/>
              </w:tabs>
              <w:spacing w:line="240" w:lineRule="auto" w:before="50" w:after="0"/>
              <w:ind w:left="1421" w:right="0" w:hanging="488"/>
              <w:jc w:val="left"/>
              <w:rPr>
                <w:sz w:val="20"/>
              </w:rPr>
            </w:pPr>
            <w:r>
              <w:rPr>
                <w:w w:val="95"/>
                <w:sz w:val="20"/>
              </w:rPr>
              <w:t>申请人的有效身份证件；</w:t>
            </w:r>
          </w:p>
          <w:p>
            <w:pPr>
              <w:pStyle w:val="TableParagraph"/>
              <w:numPr>
                <w:ilvl w:val="0"/>
                <w:numId w:val="20"/>
              </w:numPr>
              <w:tabs>
                <w:tab w:pos="1421" w:val="left" w:leader="none"/>
              </w:tabs>
              <w:spacing w:line="285" w:lineRule="auto" w:before="49" w:after="0"/>
              <w:ind w:left="1421" w:right="303" w:hanging="488"/>
              <w:jc w:val="left"/>
              <w:rPr>
                <w:sz w:val="20"/>
              </w:rPr>
            </w:pPr>
            <w:r>
              <w:rPr>
                <w:w w:val="95"/>
                <w:sz w:val="20"/>
              </w:rPr>
              <w:t>我们指定或认可的医院出具的附有病理显微镜检查、血液检验及其他科学方  </w:t>
            </w:r>
            <w:r>
              <w:rPr>
                <w:sz w:val="20"/>
              </w:rPr>
              <w:t>法检验报告的疾病诊断证明书（以上证明皆需原件或加盖医院公章的复印 </w:t>
            </w:r>
            <w:r>
              <w:rPr>
                <w:w w:val="95"/>
                <w:sz w:val="20"/>
              </w:rPr>
              <w:t>件），我们保留对被保险人的病情做进一步会诊的权利；</w:t>
            </w:r>
          </w:p>
          <w:p>
            <w:pPr>
              <w:pStyle w:val="TableParagraph"/>
              <w:numPr>
                <w:ilvl w:val="0"/>
                <w:numId w:val="20"/>
              </w:numPr>
              <w:tabs>
                <w:tab w:pos="1421" w:val="left" w:leader="none"/>
              </w:tabs>
              <w:spacing w:line="429" w:lineRule="auto" w:before="11" w:after="0"/>
              <w:ind w:left="321" w:right="300" w:firstLine="612"/>
              <w:jc w:val="left"/>
              <w:rPr>
                <w:sz w:val="20"/>
              </w:rPr>
            </w:pPr>
            <w:r>
              <w:rPr>
                <w:w w:val="95"/>
                <w:sz w:val="20"/>
              </w:rPr>
              <w:t>申请人所能提供的与确认保险事故的性质、原因等有关的其他证明和资料。  若申请人为代理人，还需提供由受益人出具的授权委托书、代理人本人身份证明；</w:t>
            </w:r>
          </w:p>
          <w:p>
            <w:pPr>
              <w:pStyle w:val="TableParagraph"/>
              <w:spacing w:before="47"/>
              <w:ind w:left="321"/>
              <w:rPr>
                <w:sz w:val="20"/>
              </w:rPr>
            </w:pPr>
            <w:r>
              <w:rPr>
                <w:w w:val="95"/>
                <w:sz w:val="20"/>
              </w:rPr>
              <w:t>保险金作为被保险人遗产时，申请人必须提供可证明其享有合法继承权的相关文件。</w:t>
            </w:r>
          </w:p>
          <w:p>
            <w:pPr>
              <w:pStyle w:val="TableParagraph"/>
              <w:spacing w:before="9"/>
              <w:ind w:left="0"/>
              <w:rPr>
                <w:sz w:val="15"/>
              </w:rPr>
            </w:pPr>
          </w:p>
          <w:p>
            <w:pPr>
              <w:pStyle w:val="TableParagraph"/>
              <w:ind w:left="321"/>
              <w:rPr>
                <w:sz w:val="20"/>
              </w:rPr>
            </w:pPr>
            <w:r>
              <w:rPr>
                <w:w w:val="95"/>
                <w:sz w:val="20"/>
              </w:rPr>
              <w:t>以上证明和资料不完整的，我们将及时一次性通知申请人补充提供有关证明和资料。</w:t>
            </w:r>
          </w:p>
        </w:tc>
      </w:tr>
      <w:tr>
        <w:trPr>
          <w:trHeight w:val="4524" w:hRule="atLeast"/>
        </w:trPr>
        <w:tc>
          <w:tcPr>
            <w:tcW w:w="683" w:type="dxa"/>
          </w:tcPr>
          <w:p>
            <w:pPr>
              <w:pStyle w:val="TableParagraph"/>
              <w:spacing w:before="72"/>
              <w:ind w:left="179" w:right="160"/>
              <w:jc w:val="center"/>
              <w:rPr>
                <w:b/>
                <w:sz w:val="20"/>
              </w:rPr>
            </w:pPr>
            <w:r>
              <w:rPr>
                <w:b/>
                <w:sz w:val="20"/>
              </w:rPr>
              <w:t>4.4</w:t>
            </w:r>
          </w:p>
        </w:tc>
        <w:tc>
          <w:tcPr>
            <w:tcW w:w="1505" w:type="dxa"/>
          </w:tcPr>
          <w:p>
            <w:pPr>
              <w:pStyle w:val="TableParagraph"/>
              <w:spacing w:before="72"/>
              <w:ind w:left="179"/>
              <w:rPr>
                <w:b/>
                <w:sz w:val="20"/>
              </w:rPr>
            </w:pPr>
            <w:r>
              <w:rPr>
                <w:b/>
                <w:w w:val="95"/>
                <w:sz w:val="20"/>
              </w:rPr>
              <w:t>保险金给付</w:t>
            </w:r>
          </w:p>
        </w:tc>
        <w:tc>
          <w:tcPr>
            <w:tcW w:w="8322" w:type="dxa"/>
          </w:tcPr>
          <w:p>
            <w:pPr>
              <w:pStyle w:val="TableParagraph"/>
              <w:spacing w:line="285" w:lineRule="auto" w:before="72"/>
              <w:ind w:left="321" w:right="198"/>
              <w:jc w:val="both"/>
              <w:rPr>
                <w:sz w:val="20"/>
              </w:rPr>
            </w:pPr>
            <w:r>
              <w:rPr>
                <w:sz w:val="20"/>
              </w:rPr>
              <w:t>我们在收到保险金给付申请书及合同约定的证明和资料后，将在五个工作日内作出核定； </w:t>
            </w:r>
            <w:r>
              <w:rPr>
                <w:w w:val="95"/>
                <w:sz w:val="20"/>
              </w:rPr>
              <w:t>情形复杂的，在三十日内作出核定。</w:t>
            </w:r>
          </w:p>
          <w:p>
            <w:pPr>
              <w:pStyle w:val="TableParagraph"/>
              <w:spacing w:line="285" w:lineRule="auto" w:before="168"/>
              <w:ind w:left="321" w:right="280"/>
              <w:jc w:val="both"/>
              <w:rPr>
                <w:sz w:val="20"/>
              </w:rPr>
            </w:pPr>
            <w:r>
              <w:rPr>
                <w:spacing w:val="-9"/>
                <w:w w:val="95"/>
                <w:sz w:val="20"/>
              </w:rPr>
              <w:t>对属于保险责任的，我们在与受益人或被保险人的继承人达成给付保险金的协议后十日内   </w:t>
            </w:r>
            <w:r>
              <w:rPr>
                <w:spacing w:val="-12"/>
                <w:w w:val="95"/>
                <w:sz w:val="20"/>
              </w:rPr>
              <w:t>履行给付保险金义务；我们未及时履行前款规定的义务的，除支付保险金外，还应当赔偿   受益人或被保险人的继承人因此受到的损失。</w:t>
            </w:r>
          </w:p>
          <w:p>
            <w:pPr>
              <w:pStyle w:val="TableParagraph"/>
              <w:spacing w:line="285" w:lineRule="auto" w:before="167"/>
              <w:ind w:left="321" w:right="280"/>
              <w:jc w:val="both"/>
              <w:rPr>
                <w:sz w:val="20"/>
              </w:rPr>
            </w:pPr>
            <w:r>
              <w:rPr>
                <w:spacing w:val="-8"/>
                <w:w w:val="95"/>
                <w:sz w:val="20"/>
              </w:rPr>
              <w:t>对不属于保险责任的，我们自作出核定之日起三个工作日内向受益人或被保险人的继承人   发出拒绝给付保险金通知书并说明理由。</w:t>
            </w:r>
          </w:p>
          <w:p>
            <w:pPr>
              <w:pStyle w:val="TableParagraph"/>
              <w:spacing w:line="285" w:lineRule="auto" w:before="167"/>
              <w:ind w:left="321" w:right="280"/>
              <w:jc w:val="both"/>
              <w:rPr>
                <w:sz w:val="20"/>
              </w:rPr>
            </w:pPr>
            <w:r>
              <w:rPr>
                <w:spacing w:val="-3"/>
                <w:w w:val="95"/>
                <w:sz w:val="20"/>
              </w:rPr>
              <w:t>我们在收到保险金给付申请书及有关证明和资料之日起六十日内，对给付保险金的数额不   </w:t>
            </w:r>
            <w:r>
              <w:rPr>
                <w:spacing w:val="-9"/>
                <w:w w:val="95"/>
                <w:sz w:val="20"/>
              </w:rPr>
              <w:t>能确定的，根据已有证明和资料可以确定的数额先予支付；我们最终确定给付保险金的数   额后，将支付相应的差额。</w:t>
            </w:r>
          </w:p>
          <w:p>
            <w:pPr>
              <w:pStyle w:val="TableParagraph"/>
              <w:spacing w:line="285" w:lineRule="auto" w:before="167"/>
              <w:ind w:left="321" w:right="280"/>
              <w:jc w:val="both"/>
              <w:rPr>
                <w:sz w:val="20"/>
              </w:rPr>
            </w:pPr>
            <w:r>
              <w:rPr>
                <w:spacing w:val="-5"/>
                <w:w w:val="95"/>
                <w:sz w:val="20"/>
              </w:rPr>
              <w:t>若被保险人在被人民法院宣告死亡后生还，已经领取了身故保险金的人应于知道或被通知   被保险人生还后三十日内退还我们已给付的保险金。</w:t>
            </w:r>
          </w:p>
        </w:tc>
      </w:tr>
      <w:tr>
        <w:trPr>
          <w:trHeight w:val="1425" w:hRule="atLeast"/>
        </w:trPr>
        <w:tc>
          <w:tcPr>
            <w:tcW w:w="683" w:type="dxa"/>
          </w:tcPr>
          <w:p>
            <w:pPr>
              <w:pStyle w:val="TableParagraph"/>
              <w:spacing w:before="72"/>
              <w:ind w:left="179" w:right="160"/>
              <w:jc w:val="center"/>
              <w:rPr>
                <w:b/>
                <w:sz w:val="20"/>
              </w:rPr>
            </w:pPr>
            <w:r>
              <w:rPr>
                <w:b/>
                <w:sz w:val="20"/>
              </w:rPr>
              <w:t>4.5</w:t>
            </w:r>
          </w:p>
        </w:tc>
        <w:tc>
          <w:tcPr>
            <w:tcW w:w="1505" w:type="dxa"/>
          </w:tcPr>
          <w:p>
            <w:pPr>
              <w:pStyle w:val="TableParagraph"/>
              <w:spacing w:before="72"/>
              <w:ind w:left="179"/>
              <w:rPr>
                <w:b/>
                <w:sz w:val="20"/>
              </w:rPr>
            </w:pPr>
            <w:r>
              <w:rPr>
                <w:b/>
                <w:sz w:val="20"/>
              </w:rPr>
              <w:t>诉讼时效</w:t>
            </w:r>
          </w:p>
        </w:tc>
        <w:tc>
          <w:tcPr>
            <w:tcW w:w="8322" w:type="dxa"/>
          </w:tcPr>
          <w:p>
            <w:pPr>
              <w:pStyle w:val="TableParagraph"/>
              <w:spacing w:line="285" w:lineRule="auto" w:before="72"/>
              <w:ind w:left="321" w:right="283"/>
              <w:rPr>
                <w:sz w:val="20"/>
              </w:rPr>
            </w:pPr>
            <w:r>
              <w:rPr>
                <w:sz w:val="20"/>
              </w:rPr>
              <w:t>受益人或被保险人的继承人向我们请求给付身故或全残保险金以及生命尊严提前给付保</w:t>
            </w:r>
            <w:r>
              <w:rPr>
                <w:w w:val="95"/>
                <w:sz w:val="20"/>
              </w:rPr>
              <w:t>险金的诉讼时效期间为五年，自其知道或者应当知道保险事故发生之日起计算。</w:t>
            </w:r>
          </w:p>
          <w:p>
            <w:pPr>
              <w:pStyle w:val="TableParagraph"/>
              <w:spacing w:line="310" w:lineRule="atLeast" w:before="119"/>
              <w:ind w:left="321" w:right="199"/>
              <w:rPr>
                <w:sz w:val="20"/>
              </w:rPr>
            </w:pPr>
            <w:r>
              <w:rPr>
                <w:sz w:val="20"/>
              </w:rPr>
              <w:t>受益人向我们请求给付重大疾病保险金以及轻症重疾保险金的诉讼时效期间为两年，自其</w:t>
            </w:r>
            <w:r>
              <w:rPr>
                <w:w w:val="95"/>
                <w:sz w:val="20"/>
              </w:rPr>
              <w:t>知道或者应当知道保险事故发生之日起计算。</w:t>
            </w:r>
          </w:p>
        </w:tc>
      </w:tr>
    </w:tbl>
    <w:p>
      <w:pPr>
        <w:spacing w:after="0" w:line="310" w:lineRule="atLeast"/>
        <w:rPr>
          <w:sz w:val="20"/>
        </w:rPr>
        <w:sectPr>
          <w:pgSz w:w="11910" w:h="16840"/>
          <w:pgMar w:header="0" w:footer="831" w:top="1160" w:bottom="1020" w:left="760" w:right="4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681"/>
        <w:gridCol w:w="7976"/>
      </w:tblGrid>
      <w:tr>
        <w:trPr>
          <w:trHeight w:val="257" w:hRule="atLeast"/>
        </w:trPr>
        <w:tc>
          <w:tcPr>
            <w:tcW w:w="10248" w:type="dxa"/>
            <w:gridSpan w:val="3"/>
            <w:tcBorders>
              <w:bottom w:val="single" w:sz="4" w:space="0" w:color="000000"/>
            </w:tcBorders>
          </w:tcPr>
          <w:p>
            <w:pPr>
              <w:pStyle w:val="TableParagraph"/>
              <w:tabs>
                <w:tab w:pos="1368" w:val="left" w:leader="none"/>
              </w:tabs>
              <w:spacing w:line="199" w:lineRule="exact"/>
              <w:ind w:left="287"/>
              <w:rPr>
                <w:b/>
                <w:sz w:val="20"/>
              </w:rPr>
            </w:pPr>
            <w:r>
              <w:rPr>
                <w:b/>
                <w:sz w:val="20"/>
              </w:rPr>
              <w:t>第五部分</w:t>
              <w:tab/>
            </w:r>
            <w:r>
              <w:rPr>
                <w:b/>
                <w:w w:val="95"/>
                <w:sz w:val="20"/>
              </w:rPr>
              <w:t>合同效力的恢复</w:t>
            </w:r>
          </w:p>
        </w:tc>
      </w:tr>
      <w:tr>
        <w:trPr>
          <w:trHeight w:val="2028" w:hRule="atLeast"/>
        </w:trPr>
        <w:tc>
          <w:tcPr>
            <w:tcW w:w="591" w:type="dxa"/>
            <w:tcBorders>
              <w:top w:val="single" w:sz="4" w:space="0" w:color="000000"/>
            </w:tcBorders>
          </w:tcPr>
          <w:p>
            <w:pPr>
              <w:pStyle w:val="TableParagraph"/>
              <w:spacing w:before="150"/>
              <w:ind w:left="107"/>
              <w:rPr>
                <w:b/>
                <w:sz w:val="20"/>
              </w:rPr>
            </w:pPr>
            <w:r>
              <w:rPr>
                <w:b/>
                <w:sz w:val="20"/>
              </w:rPr>
              <w:t>5.1</w:t>
            </w:r>
          </w:p>
        </w:tc>
        <w:tc>
          <w:tcPr>
            <w:tcW w:w="1681" w:type="dxa"/>
            <w:tcBorders>
              <w:top w:val="single" w:sz="4" w:space="0" w:color="000000"/>
            </w:tcBorders>
          </w:tcPr>
          <w:p>
            <w:pPr>
              <w:pStyle w:val="TableParagraph"/>
              <w:spacing w:before="150"/>
              <w:ind w:left="179"/>
              <w:rPr>
                <w:b/>
                <w:sz w:val="20"/>
              </w:rPr>
            </w:pPr>
            <w:r>
              <w:rPr>
                <w:b/>
                <w:sz w:val="20"/>
              </w:rPr>
              <w:t>效力恢复</w:t>
            </w:r>
          </w:p>
        </w:tc>
        <w:tc>
          <w:tcPr>
            <w:tcW w:w="7976" w:type="dxa"/>
            <w:tcBorders>
              <w:top w:val="single" w:sz="4" w:space="0" w:color="000000"/>
            </w:tcBorders>
          </w:tcPr>
          <w:p>
            <w:pPr>
              <w:pStyle w:val="TableParagraph"/>
              <w:spacing w:line="285" w:lineRule="auto" w:before="150"/>
              <w:ind w:left="145" w:right="107"/>
              <w:jc w:val="both"/>
              <w:rPr>
                <w:sz w:val="20"/>
              </w:rPr>
            </w:pPr>
            <w:r>
              <w:rPr>
                <w:spacing w:val="-2"/>
                <w:w w:val="95"/>
                <w:sz w:val="20"/>
              </w:rPr>
              <w:t>本合同效力中止后两年内</w:t>
            </w:r>
            <w:r>
              <w:rPr>
                <w:w w:val="95"/>
                <w:sz w:val="20"/>
              </w:rPr>
              <w:t>（含两年</w:t>
            </w:r>
            <w:r>
              <w:rPr>
                <w:spacing w:val="-19"/>
                <w:w w:val="95"/>
                <w:sz w:val="20"/>
              </w:rPr>
              <w:t>）</w:t>
            </w:r>
            <w:r>
              <w:rPr>
                <w:spacing w:val="-7"/>
                <w:w w:val="95"/>
                <w:sz w:val="20"/>
              </w:rPr>
              <w:t>，您可以申请恢复合同效力。经我们与您协商并达成   协议，在您补交保单欠款之日起，合同效力恢复。</w:t>
            </w:r>
          </w:p>
          <w:p>
            <w:pPr>
              <w:pStyle w:val="TableParagraph"/>
              <w:spacing w:line="285" w:lineRule="auto" w:before="167"/>
              <w:ind w:left="145" w:right="99"/>
              <w:jc w:val="both"/>
              <w:rPr>
                <w:b/>
                <w:sz w:val="20"/>
              </w:rPr>
            </w:pPr>
            <w:r>
              <w:rPr>
                <w:b/>
                <w:sz w:val="20"/>
              </w:rPr>
              <w:t>自本合同效力中止之日起满两年您未和我们达成协议的，我们有权解除本合同及所附的附加合同。若我们解除合同，将向您退还合同效力中止时本合同及所附的附加合同的现</w:t>
            </w:r>
            <w:r>
              <w:rPr>
                <w:b/>
                <w:w w:val="95"/>
                <w:sz w:val="20"/>
              </w:rPr>
              <w:t>金价值。</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第六部分</w:t>
              <w:tab/>
            </w:r>
            <w:r>
              <w:rPr>
                <w:b/>
                <w:w w:val="95"/>
                <w:sz w:val="20"/>
              </w:rPr>
              <w:t>如何解除保险合同</w:t>
            </w:r>
          </w:p>
        </w:tc>
      </w:tr>
      <w:tr>
        <w:trPr>
          <w:trHeight w:val="2494" w:hRule="atLeast"/>
        </w:trPr>
        <w:tc>
          <w:tcPr>
            <w:tcW w:w="591" w:type="dxa"/>
            <w:tcBorders>
              <w:top w:val="single" w:sz="4" w:space="0" w:color="000000"/>
            </w:tcBorders>
          </w:tcPr>
          <w:p>
            <w:pPr>
              <w:pStyle w:val="TableParagraph"/>
              <w:spacing w:before="148"/>
              <w:ind w:left="107"/>
              <w:rPr>
                <w:b/>
                <w:sz w:val="20"/>
              </w:rPr>
            </w:pPr>
            <w:r>
              <w:rPr>
                <w:b/>
                <w:sz w:val="20"/>
              </w:rPr>
              <w:t>6.1</w:t>
            </w:r>
          </w:p>
        </w:tc>
        <w:tc>
          <w:tcPr>
            <w:tcW w:w="1681" w:type="dxa"/>
            <w:tcBorders>
              <w:top w:val="single" w:sz="4" w:space="0" w:color="000000"/>
            </w:tcBorders>
          </w:tcPr>
          <w:p>
            <w:pPr>
              <w:pStyle w:val="TableParagraph"/>
              <w:spacing w:line="285" w:lineRule="auto" w:before="148"/>
              <w:ind w:left="179" w:right="143"/>
              <w:rPr>
                <w:b/>
                <w:sz w:val="20"/>
              </w:rPr>
            </w:pPr>
            <w:r>
              <w:rPr>
                <w:b/>
                <w:w w:val="95"/>
                <w:sz w:val="20"/>
              </w:rPr>
              <w:t>合同的解除及</w:t>
            </w:r>
            <w:r>
              <w:rPr>
                <w:b/>
                <w:sz w:val="20"/>
              </w:rPr>
              <w:t>风险</w:t>
            </w:r>
          </w:p>
        </w:tc>
        <w:tc>
          <w:tcPr>
            <w:tcW w:w="7976" w:type="dxa"/>
            <w:tcBorders>
              <w:top w:val="single" w:sz="4" w:space="0" w:color="000000"/>
            </w:tcBorders>
          </w:tcPr>
          <w:p>
            <w:pPr>
              <w:pStyle w:val="TableParagraph"/>
              <w:spacing w:line="285" w:lineRule="auto" w:before="148"/>
              <w:ind w:left="145" w:right="706"/>
              <w:rPr>
                <w:sz w:val="20"/>
              </w:rPr>
            </w:pPr>
            <w:r>
              <w:rPr>
                <w:w w:val="95"/>
                <w:sz w:val="20"/>
              </w:rPr>
              <w:t>如您在犹豫期后申请解除本合同，请填写合同终止申请书并向我们提供下列资料： 1）保险合同；</w:t>
            </w:r>
          </w:p>
          <w:p>
            <w:pPr>
              <w:pStyle w:val="TableParagraph"/>
              <w:spacing w:before="12"/>
              <w:ind w:left="145"/>
              <w:rPr>
                <w:sz w:val="20"/>
              </w:rPr>
            </w:pPr>
            <w:r>
              <w:rPr>
                <w:w w:val="95"/>
                <w:sz w:val="20"/>
              </w:rPr>
              <w:t>2）您的有效身份证件。</w:t>
            </w:r>
          </w:p>
          <w:p>
            <w:pPr>
              <w:pStyle w:val="TableParagraph"/>
              <w:spacing w:before="9"/>
              <w:ind w:left="0"/>
              <w:rPr>
                <w:sz w:val="15"/>
              </w:rPr>
            </w:pPr>
          </w:p>
          <w:p>
            <w:pPr>
              <w:pStyle w:val="TableParagraph"/>
              <w:spacing w:line="285" w:lineRule="auto"/>
              <w:ind w:left="145" w:right="107"/>
              <w:rPr>
                <w:sz w:val="20"/>
              </w:rPr>
            </w:pPr>
            <w:r>
              <w:rPr>
                <w:spacing w:val="-5"/>
                <w:w w:val="95"/>
                <w:sz w:val="20"/>
              </w:rPr>
              <w:t>自我们收到解除合同申请书时起，本合同及所附的附加合同终止。我们自收到合同终止申   请书之日起三十日内向您退还本合同及所附的附加合同在终止日的现金价值。</w:t>
            </w:r>
          </w:p>
          <w:p>
            <w:pPr>
              <w:pStyle w:val="TableParagraph"/>
              <w:spacing w:before="167"/>
              <w:ind w:left="145"/>
              <w:rPr>
                <w:b/>
                <w:sz w:val="20"/>
              </w:rPr>
            </w:pPr>
            <w:r>
              <w:rPr>
                <w:b/>
                <w:w w:val="95"/>
                <w:sz w:val="20"/>
              </w:rPr>
              <w:t>如您在犹豫期后解除合同，会遭受一定的损失，故请您慎重考虑和决定。</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第七部分</w:t>
              <w:tab/>
            </w:r>
            <w:r>
              <w:rPr>
                <w:b/>
                <w:w w:val="95"/>
                <w:sz w:val="20"/>
              </w:rPr>
              <w:t>其他重要事项</w:t>
            </w:r>
          </w:p>
        </w:tc>
      </w:tr>
      <w:tr>
        <w:trPr>
          <w:trHeight w:val="5380" w:hRule="atLeast"/>
        </w:trPr>
        <w:tc>
          <w:tcPr>
            <w:tcW w:w="591" w:type="dxa"/>
            <w:tcBorders>
              <w:top w:val="single" w:sz="4" w:space="0" w:color="000000"/>
            </w:tcBorders>
          </w:tcPr>
          <w:p>
            <w:pPr>
              <w:pStyle w:val="TableParagraph"/>
              <w:spacing w:before="148"/>
              <w:ind w:left="107"/>
              <w:rPr>
                <w:b/>
                <w:sz w:val="20"/>
              </w:rPr>
            </w:pPr>
            <w:r>
              <w:rPr>
                <w:b/>
                <w:sz w:val="20"/>
              </w:rPr>
              <w:t>7.1</w:t>
            </w:r>
          </w:p>
        </w:tc>
        <w:tc>
          <w:tcPr>
            <w:tcW w:w="1681" w:type="dxa"/>
            <w:tcBorders>
              <w:top w:val="single" w:sz="4" w:space="0" w:color="000000"/>
            </w:tcBorders>
          </w:tcPr>
          <w:p>
            <w:pPr>
              <w:pStyle w:val="TableParagraph"/>
              <w:spacing w:line="285" w:lineRule="auto" w:before="148"/>
              <w:ind w:left="179" w:right="143"/>
              <w:rPr>
                <w:b/>
                <w:sz w:val="20"/>
              </w:rPr>
            </w:pPr>
            <w:r>
              <w:rPr>
                <w:b/>
                <w:w w:val="95"/>
                <w:sz w:val="20"/>
              </w:rPr>
              <w:t>明确说明与如</w:t>
            </w:r>
            <w:r>
              <w:rPr>
                <w:b/>
                <w:sz w:val="20"/>
              </w:rPr>
              <w:t>实告知</w:t>
            </w:r>
          </w:p>
        </w:tc>
        <w:tc>
          <w:tcPr>
            <w:tcW w:w="7976" w:type="dxa"/>
            <w:tcBorders>
              <w:top w:val="single" w:sz="4" w:space="0" w:color="000000"/>
            </w:tcBorders>
          </w:tcPr>
          <w:p>
            <w:pPr>
              <w:pStyle w:val="TableParagraph"/>
              <w:spacing w:before="148"/>
              <w:ind w:left="145"/>
              <w:rPr>
                <w:sz w:val="20"/>
              </w:rPr>
            </w:pPr>
            <w:r>
              <w:rPr>
                <w:w w:val="95"/>
                <w:sz w:val="20"/>
              </w:rPr>
              <w:t>订立合同时，我们应向您说明本合同的内容。</w:t>
            </w:r>
          </w:p>
          <w:p>
            <w:pPr>
              <w:pStyle w:val="TableParagraph"/>
              <w:spacing w:before="10"/>
              <w:ind w:left="0"/>
              <w:rPr>
                <w:sz w:val="15"/>
              </w:rPr>
            </w:pPr>
          </w:p>
          <w:p>
            <w:pPr>
              <w:pStyle w:val="TableParagraph"/>
              <w:spacing w:line="285" w:lineRule="auto"/>
              <w:ind w:left="145" w:right="108"/>
              <w:jc w:val="both"/>
              <w:rPr>
                <w:sz w:val="20"/>
              </w:rPr>
            </w:pPr>
            <w:r>
              <w:rPr>
                <w:spacing w:val="-5"/>
                <w:w w:val="95"/>
                <w:sz w:val="20"/>
              </w:rPr>
              <w:t>对保险条款中免除我们责任的条款，我们在订立合同时应当在投保单、保险单或者其他保   </w:t>
            </w:r>
            <w:r>
              <w:rPr>
                <w:spacing w:val="-10"/>
                <w:w w:val="95"/>
                <w:sz w:val="20"/>
              </w:rPr>
              <w:t>险凭证上作出足以引起您注意的提示，并对该条款的内容以书面或者口头形式向您作出明   确说明；未作提示或者明确说明的，该条款不产生效力。</w:t>
            </w:r>
          </w:p>
          <w:p>
            <w:pPr>
              <w:pStyle w:val="TableParagraph"/>
              <w:spacing w:line="285" w:lineRule="auto" w:before="168"/>
              <w:ind w:left="145" w:right="204"/>
              <w:jc w:val="both"/>
              <w:rPr>
                <w:b/>
                <w:sz w:val="20"/>
              </w:rPr>
            </w:pPr>
            <w:r>
              <w:rPr>
                <w:b/>
                <w:w w:val="95"/>
                <w:sz w:val="20"/>
              </w:rPr>
              <w:t>我们在合同订立、合同复效或合同变更时就您和被保险人的有关情况提出询问，您应当  如实告知。</w:t>
            </w:r>
          </w:p>
          <w:p>
            <w:pPr>
              <w:pStyle w:val="TableParagraph"/>
              <w:spacing w:line="285" w:lineRule="auto" w:before="168"/>
              <w:ind w:left="145" w:right="204"/>
              <w:jc w:val="both"/>
              <w:rPr>
                <w:b/>
                <w:sz w:val="20"/>
              </w:rPr>
            </w:pPr>
            <w:r>
              <w:rPr>
                <w:b/>
                <w:w w:val="95"/>
                <w:sz w:val="20"/>
              </w:rPr>
              <w:t>如果您故意或者因重大过失未履行前款规定的如实告知义务，足以影响我们决定是否同  意承保或者提高保险费率的，我们有权解除本合同。</w:t>
            </w:r>
          </w:p>
          <w:p>
            <w:pPr>
              <w:pStyle w:val="TableParagraph"/>
              <w:spacing w:line="285" w:lineRule="auto" w:before="167"/>
              <w:ind w:left="145" w:right="204"/>
              <w:jc w:val="both"/>
              <w:rPr>
                <w:b/>
                <w:sz w:val="20"/>
              </w:rPr>
            </w:pPr>
            <w:r>
              <w:rPr>
                <w:b/>
                <w:w w:val="95"/>
                <w:sz w:val="20"/>
              </w:rPr>
              <w:t>如果您故意不履行如实告知义务，对于本合同解除前发生的保险事故，我们不承担给付  保险金的责任，并不退还保险费；如果您因重大过失未履行如实告知义务，对保险事故  的发生有严重影响的，对于本合同解除前发生的保险事故，我们不承担给付保险金的责  任，但应当退还保险费。</w:t>
            </w:r>
          </w:p>
          <w:p>
            <w:pPr>
              <w:pStyle w:val="TableParagraph"/>
              <w:spacing w:line="285" w:lineRule="auto" w:before="167"/>
              <w:ind w:left="145" w:right="110"/>
              <w:jc w:val="both"/>
              <w:rPr>
                <w:sz w:val="20"/>
              </w:rPr>
            </w:pPr>
            <w:r>
              <w:rPr>
                <w:spacing w:val="-7"/>
                <w:w w:val="95"/>
                <w:sz w:val="20"/>
              </w:rPr>
              <w:t>我们在合同订立、合同复效或合同变更时已经知道您未如实告知的情况的，我们不得解除   合同；发生保险事故的，我们承担给付保险金的责任。</w:t>
            </w:r>
          </w:p>
        </w:tc>
      </w:tr>
      <w:tr>
        <w:trPr>
          <w:trHeight w:val="1092" w:hRule="atLeast"/>
        </w:trPr>
        <w:tc>
          <w:tcPr>
            <w:tcW w:w="591" w:type="dxa"/>
          </w:tcPr>
          <w:p>
            <w:pPr>
              <w:pStyle w:val="TableParagraph"/>
              <w:spacing w:before="72"/>
              <w:ind w:left="107"/>
              <w:rPr>
                <w:b/>
                <w:sz w:val="20"/>
              </w:rPr>
            </w:pPr>
            <w:r>
              <w:rPr>
                <w:b/>
                <w:sz w:val="20"/>
              </w:rPr>
              <w:t>7.2</w:t>
            </w:r>
          </w:p>
        </w:tc>
        <w:tc>
          <w:tcPr>
            <w:tcW w:w="1681" w:type="dxa"/>
          </w:tcPr>
          <w:p>
            <w:pPr>
              <w:pStyle w:val="TableParagraph"/>
              <w:spacing w:line="285" w:lineRule="auto" w:before="72"/>
              <w:ind w:left="179" w:right="143"/>
              <w:rPr>
                <w:b/>
                <w:sz w:val="20"/>
              </w:rPr>
            </w:pPr>
            <w:r>
              <w:rPr>
                <w:b/>
                <w:w w:val="95"/>
                <w:sz w:val="20"/>
              </w:rPr>
              <w:t>我们合同解除</w:t>
            </w:r>
            <w:r>
              <w:rPr>
                <w:b/>
                <w:sz w:val="20"/>
              </w:rPr>
              <w:t>权的限制</w:t>
            </w:r>
          </w:p>
        </w:tc>
        <w:tc>
          <w:tcPr>
            <w:tcW w:w="7976" w:type="dxa"/>
          </w:tcPr>
          <w:p>
            <w:pPr>
              <w:pStyle w:val="TableParagraph"/>
              <w:spacing w:line="285" w:lineRule="auto" w:before="72"/>
              <w:ind w:left="145" w:right="111"/>
              <w:jc w:val="both"/>
              <w:rPr>
                <w:sz w:val="20"/>
              </w:rPr>
            </w:pPr>
            <w:r>
              <w:rPr>
                <w:spacing w:val="-5"/>
                <w:w w:val="95"/>
                <w:sz w:val="20"/>
              </w:rPr>
              <w:t>前条规定的合同解除权，自我们知道有解除事由之日起，超过三十日不行使而消灭。自本   </w:t>
            </w:r>
            <w:r>
              <w:rPr>
                <w:spacing w:val="-9"/>
                <w:w w:val="95"/>
                <w:sz w:val="20"/>
              </w:rPr>
              <w:t>合同成立之日起超过两年的，我们不得解除合同；发生保险事故的，我们承担给付保险金   的责任。</w:t>
            </w:r>
          </w:p>
        </w:tc>
      </w:tr>
      <w:tr>
        <w:trPr>
          <w:trHeight w:val="1737" w:hRule="atLeast"/>
        </w:trPr>
        <w:tc>
          <w:tcPr>
            <w:tcW w:w="591" w:type="dxa"/>
          </w:tcPr>
          <w:p>
            <w:pPr>
              <w:pStyle w:val="TableParagraph"/>
              <w:spacing w:before="72"/>
              <w:ind w:left="107"/>
              <w:rPr>
                <w:b/>
                <w:sz w:val="20"/>
              </w:rPr>
            </w:pPr>
            <w:r>
              <w:rPr>
                <w:b/>
                <w:sz w:val="20"/>
              </w:rPr>
              <w:t>7.3</w:t>
            </w:r>
          </w:p>
        </w:tc>
        <w:tc>
          <w:tcPr>
            <w:tcW w:w="1681" w:type="dxa"/>
          </w:tcPr>
          <w:p>
            <w:pPr>
              <w:pStyle w:val="TableParagraph"/>
              <w:spacing w:line="285" w:lineRule="auto" w:before="72"/>
              <w:ind w:left="179" w:right="143"/>
              <w:rPr>
                <w:b/>
                <w:sz w:val="20"/>
              </w:rPr>
            </w:pPr>
            <w:r>
              <w:rPr>
                <w:b/>
                <w:w w:val="95"/>
                <w:sz w:val="20"/>
              </w:rPr>
              <w:t>年龄或性别错</w:t>
            </w:r>
            <w:r>
              <w:rPr>
                <w:b/>
                <w:sz w:val="20"/>
              </w:rPr>
              <w:t>误</w:t>
            </w:r>
          </w:p>
        </w:tc>
        <w:tc>
          <w:tcPr>
            <w:tcW w:w="7976" w:type="dxa"/>
          </w:tcPr>
          <w:p>
            <w:pPr>
              <w:pStyle w:val="TableParagraph"/>
              <w:spacing w:line="285" w:lineRule="auto" w:before="72"/>
              <w:ind w:left="145" w:right="106" w:firstLine="2"/>
              <w:rPr>
                <w:sz w:val="20"/>
              </w:rPr>
            </w:pPr>
            <w:r>
              <w:rPr>
                <w:spacing w:val="-9"/>
                <w:w w:val="95"/>
                <w:sz w:val="20"/>
              </w:rPr>
              <w:t>您在申请投保时，应将与有效身份证件相符的被保险人的出生日期及其真实性别在投保单   上填明，如果发生错误按照下列方式办理：</w:t>
            </w:r>
          </w:p>
          <w:p>
            <w:pPr>
              <w:pStyle w:val="TableParagraph"/>
              <w:spacing w:line="310" w:lineRule="atLeast" w:before="120"/>
              <w:ind w:left="825" w:right="140" w:hanging="680"/>
              <w:jc w:val="both"/>
              <w:rPr>
                <w:b/>
                <w:sz w:val="20"/>
              </w:rPr>
            </w:pPr>
            <w:r>
              <w:rPr>
                <w:sz w:val="20"/>
              </w:rPr>
              <w:t>（1）</w:t>
            </w:r>
            <w:r>
              <w:rPr>
                <w:spacing w:val="66"/>
                <w:sz w:val="20"/>
              </w:rPr>
              <w:t> </w:t>
            </w:r>
            <w:r>
              <w:rPr>
                <w:b/>
                <w:spacing w:val="-1"/>
                <w:sz w:val="20"/>
              </w:rPr>
              <w:t>您申报的被保险人年龄不真实，并且其真实年龄不符合本合同约定投保年龄限制</w:t>
            </w:r>
            <w:r>
              <w:rPr>
                <w:b/>
                <w:spacing w:val="-3"/>
                <w:w w:val="95"/>
                <w:sz w:val="20"/>
              </w:rPr>
              <w:t>的，我们有权解除合同，并向您退还本合同的现金价值。我们行使合同解除权适  </w:t>
            </w:r>
            <w:r>
              <w:rPr>
                <w:b/>
                <w:spacing w:val="-3"/>
                <w:sz w:val="20"/>
              </w:rPr>
              <w:t>用“7.2</w:t>
            </w:r>
            <w:r>
              <w:rPr>
                <w:b/>
                <w:spacing w:val="-8"/>
                <w:sz w:val="20"/>
              </w:rPr>
              <w:t> 我们合同解除权的限制”的规定。</w:t>
            </w:r>
          </w:p>
        </w:tc>
      </w:tr>
    </w:tbl>
    <w:p>
      <w:pPr>
        <w:spacing w:after="0" w:line="310" w:lineRule="atLeast"/>
        <w:jc w:val="both"/>
        <w:rPr>
          <w:sz w:val="20"/>
        </w:rPr>
        <w:sectPr>
          <w:pgSz w:w="11910" w:h="16840"/>
          <w:pgMar w:header="0" w:footer="831" w:top="132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81"/>
        <w:gridCol w:w="8064"/>
      </w:tblGrid>
      <w:tr>
        <w:trPr>
          <w:trHeight w:val="1738" w:hRule="atLeast"/>
        </w:trPr>
        <w:tc>
          <w:tcPr>
            <w:tcW w:w="683" w:type="dxa"/>
          </w:tcPr>
          <w:p>
            <w:pPr>
              <w:pStyle w:val="TableParagraph"/>
              <w:ind w:left="0"/>
              <w:rPr>
                <w:rFonts w:ascii="Times New Roman"/>
                <w:sz w:val="18"/>
              </w:rPr>
            </w:pPr>
          </w:p>
        </w:tc>
        <w:tc>
          <w:tcPr>
            <w:tcW w:w="1681" w:type="dxa"/>
          </w:tcPr>
          <w:p>
            <w:pPr>
              <w:pStyle w:val="TableParagraph"/>
              <w:ind w:left="0"/>
              <w:rPr>
                <w:rFonts w:ascii="Times New Roman"/>
                <w:sz w:val="18"/>
              </w:rPr>
            </w:pPr>
          </w:p>
        </w:tc>
        <w:tc>
          <w:tcPr>
            <w:tcW w:w="8064" w:type="dxa"/>
          </w:tcPr>
          <w:p>
            <w:pPr>
              <w:pStyle w:val="TableParagraph"/>
              <w:numPr>
                <w:ilvl w:val="0"/>
                <w:numId w:val="21"/>
              </w:numPr>
              <w:tabs>
                <w:tab w:pos="825" w:val="left" w:leader="none"/>
              </w:tabs>
              <w:spacing w:line="199" w:lineRule="exact" w:before="0" w:after="0"/>
              <w:ind w:left="825" w:right="0" w:hanging="680"/>
              <w:jc w:val="left"/>
              <w:rPr>
                <w:sz w:val="20"/>
              </w:rPr>
            </w:pPr>
            <w:r>
              <w:rPr>
                <w:w w:val="95"/>
                <w:sz w:val="20"/>
              </w:rPr>
              <w:t>您申报的被保险人年龄或性别不真实，致使您实付保险费少于应付保险费的，我</w:t>
            </w:r>
          </w:p>
          <w:p>
            <w:pPr>
              <w:pStyle w:val="TableParagraph"/>
              <w:spacing w:line="285" w:lineRule="auto" w:before="50"/>
              <w:ind w:left="825" w:right="240"/>
              <w:rPr>
                <w:sz w:val="20"/>
              </w:rPr>
            </w:pPr>
            <w:r>
              <w:rPr>
                <w:w w:val="95"/>
                <w:sz w:val="20"/>
              </w:rPr>
              <w:t>们有权更正并要求您补交保险费；若已经发生保险事故，在给付保险金时按实付  保险费和应付保险费的比例给付。</w:t>
            </w:r>
          </w:p>
          <w:p>
            <w:pPr>
              <w:pStyle w:val="TableParagraph"/>
              <w:numPr>
                <w:ilvl w:val="0"/>
                <w:numId w:val="21"/>
              </w:numPr>
              <w:tabs>
                <w:tab w:pos="825" w:val="left" w:leader="none"/>
              </w:tabs>
              <w:spacing w:line="285" w:lineRule="auto" w:before="168" w:after="0"/>
              <w:ind w:left="825" w:right="240" w:hanging="680"/>
              <w:jc w:val="left"/>
              <w:rPr>
                <w:sz w:val="20"/>
              </w:rPr>
            </w:pPr>
            <w:r>
              <w:rPr>
                <w:w w:val="95"/>
                <w:sz w:val="20"/>
              </w:rPr>
              <w:t>您申报的被保险人年龄或性别不真实，致使您实付保险费多于应付保险费的，我  们会无息将多收的保险费退还给您。</w:t>
            </w:r>
          </w:p>
        </w:tc>
      </w:tr>
      <w:tr>
        <w:trPr>
          <w:trHeight w:val="780" w:hRule="atLeast"/>
        </w:trPr>
        <w:tc>
          <w:tcPr>
            <w:tcW w:w="683" w:type="dxa"/>
          </w:tcPr>
          <w:p>
            <w:pPr>
              <w:pStyle w:val="TableParagraph"/>
              <w:spacing w:before="72"/>
              <w:ind w:left="179" w:right="160"/>
              <w:jc w:val="center"/>
              <w:rPr>
                <w:b/>
                <w:sz w:val="20"/>
              </w:rPr>
            </w:pPr>
            <w:r>
              <w:rPr>
                <w:b/>
                <w:sz w:val="20"/>
              </w:rPr>
              <w:t>7.4</w:t>
            </w:r>
          </w:p>
        </w:tc>
        <w:tc>
          <w:tcPr>
            <w:tcW w:w="1681" w:type="dxa"/>
          </w:tcPr>
          <w:p>
            <w:pPr>
              <w:pStyle w:val="TableParagraph"/>
              <w:spacing w:line="285" w:lineRule="auto" w:before="72"/>
              <w:ind w:left="179" w:right="143"/>
              <w:rPr>
                <w:b/>
                <w:sz w:val="20"/>
              </w:rPr>
            </w:pPr>
            <w:r>
              <w:rPr>
                <w:b/>
                <w:w w:val="95"/>
                <w:sz w:val="20"/>
              </w:rPr>
              <w:t>变更住所与通</w:t>
            </w:r>
            <w:r>
              <w:rPr>
                <w:b/>
                <w:sz w:val="20"/>
              </w:rPr>
              <w:t>讯地址</w:t>
            </w:r>
          </w:p>
        </w:tc>
        <w:tc>
          <w:tcPr>
            <w:tcW w:w="8064" w:type="dxa"/>
          </w:tcPr>
          <w:p>
            <w:pPr>
              <w:pStyle w:val="TableParagraph"/>
              <w:spacing w:line="285" w:lineRule="auto" w:before="72"/>
              <w:ind w:left="145" w:right="200"/>
              <w:rPr>
                <w:sz w:val="20"/>
              </w:rPr>
            </w:pPr>
            <w:r>
              <w:rPr>
                <w:spacing w:val="-4"/>
                <w:w w:val="95"/>
                <w:sz w:val="20"/>
              </w:rPr>
              <w:t>您或被保险人的住所或通讯地址发生变更时，应及时以书面形式通知我们；否则，所有我   们的通知信息都将按我们最近所知的地址发送，并视为已送达您或被保险人。</w:t>
            </w:r>
          </w:p>
        </w:tc>
      </w:tr>
      <w:tr>
        <w:trPr>
          <w:trHeight w:val="1091" w:hRule="atLeast"/>
        </w:trPr>
        <w:tc>
          <w:tcPr>
            <w:tcW w:w="683" w:type="dxa"/>
          </w:tcPr>
          <w:p>
            <w:pPr>
              <w:pStyle w:val="TableParagraph"/>
              <w:spacing w:before="72"/>
              <w:ind w:left="179" w:right="160"/>
              <w:jc w:val="center"/>
              <w:rPr>
                <w:b/>
                <w:sz w:val="20"/>
              </w:rPr>
            </w:pPr>
            <w:r>
              <w:rPr>
                <w:b/>
                <w:sz w:val="20"/>
              </w:rPr>
              <w:t>7.5</w:t>
            </w:r>
          </w:p>
        </w:tc>
        <w:tc>
          <w:tcPr>
            <w:tcW w:w="1681" w:type="dxa"/>
          </w:tcPr>
          <w:p>
            <w:pPr>
              <w:pStyle w:val="TableParagraph"/>
              <w:spacing w:before="72"/>
              <w:ind w:left="179"/>
              <w:rPr>
                <w:b/>
                <w:sz w:val="20"/>
              </w:rPr>
            </w:pPr>
            <w:r>
              <w:rPr>
                <w:b/>
                <w:w w:val="95"/>
                <w:sz w:val="20"/>
              </w:rPr>
              <w:t>合同内容变更</w:t>
            </w:r>
          </w:p>
        </w:tc>
        <w:tc>
          <w:tcPr>
            <w:tcW w:w="8064" w:type="dxa"/>
          </w:tcPr>
          <w:p>
            <w:pPr>
              <w:pStyle w:val="TableParagraph"/>
              <w:spacing w:line="285" w:lineRule="auto" w:before="72"/>
              <w:ind w:left="145" w:right="199"/>
              <w:jc w:val="both"/>
              <w:rPr>
                <w:sz w:val="20"/>
              </w:rPr>
            </w:pPr>
            <w:r>
              <w:rPr>
                <w:spacing w:val="-5"/>
                <w:w w:val="95"/>
                <w:sz w:val="20"/>
              </w:rPr>
              <w:t>在本合同规定的保险期间内，除法律、行政法规另有规定外，经您和我们协商同意，可以   </w:t>
            </w:r>
            <w:r>
              <w:rPr>
                <w:spacing w:val="-10"/>
                <w:w w:val="95"/>
                <w:sz w:val="20"/>
              </w:rPr>
              <w:t>变更本合同的有关内容。变更本合同后，应当由我们在原保险单或其它保险凭证上批注或   附贴批单，或由您和我们订立变更的书面协议。</w:t>
            </w:r>
          </w:p>
        </w:tc>
      </w:tr>
      <w:tr>
        <w:trPr>
          <w:trHeight w:val="1092" w:hRule="atLeast"/>
        </w:trPr>
        <w:tc>
          <w:tcPr>
            <w:tcW w:w="683" w:type="dxa"/>
          </w:tcPr>
          <w:p>
            <w:pPr>
              <w:pStyle w:val="TableParagraph"/>
              <w:spacing w:before="72"/>
              <w:ind w:left="179" w:right="160"/>
              <w:jc w:val="center"/>
              <w:rPr>
                <w:b/>
                <w:sz w:val="20"/>
              </w:rPr>
            </w:pPr>
            <w:r>
              <w:rPr>
                <w:b/>
                <w:sz w:val="20"/>
              </w:rPr>
              <w:t>7.6</w:t>
            </w:r>
          </w:p>
        </w:tc>
        <w:tc>
          <w:tcPr>
            <w:tcW w:w="1681" w:type="dxa"/>
          </w:tcPr>
          <w:p>
            <w:pPr>
              <w:pStyle w:val="TableParagraph"/>
              <w:spacing w:before="72"/>
              <w:ind w:left="179"/>
              <w:rPr>
                <w:b/>
                <w:sz w:val="20"/>
              </w:rPr>
            </w:pPr>
            <w:r>
              <w:rPr>
                <w:b/>
                <w:sz w:val="20"/>
              </w:rPr>
              <w:t>法律法规</w:t>
            </w:r>
          </w:p>
        </w:tc>
        <w:tc>
          <w:tcPr>
            <w:tcW w:w="8064" w:type="dxa"/>
          </w:tcPr>
          <w:p>
            <w:pPr>
              <w:pStyle w:val="TableParagraph"/>
              <w:spacing w:line="285" w:lineRule="auto" w:before="72"/>
              <w:ind w:left="145" w:right="198"/>
              <w:jc w:val="both"/>
              <w:rPr>
                <w:sz w:val="20"/>
              </w:rPr>
            </w:pPr>
            <w:r>
              <w:rPr>
                <w:spacing w:val="-5"/>
                <w:w w:val="95"/>
                <w:sz w:val="20"/>
              </w:rPr>
              <w:t>本合同受中华人民共和国法律管辖。本合同中的任何部分，若与当时有效的中华人民共和   </w:t>
            </w:r>
            <w:r>
              <w:rPr>
                <w:spacing w:val="-9"/>
                <w:w w:val="95"/>
                <w:sz w:val="20"/>
              </w:rPr>
              <w:t>国法律、法规及国务院保险监督管理机构的规范性文件的强制性规定相冲突，都应作相应   的修改。</w:t>
            </w:r>
          </w:p>
        </w:tc>
      </w:tr>
      <w:tr>
        <w:trPr>
          <w:trHeight w:val="1581" w:hRule="atLeast"/>
        </w:trPr>
        <w:tc>
          <w:tcPr>
            <w:tcW w:w="683" w:type="dxa"/>
          </w:tcPr>
          <w:p>
            <w:pPr>
              <w:pStyle w:val="TableParagraph"/>
              <w:spacing w:before="72"/>
              <w:ind w:left="179" w:right="160"/>
              <w:jc w:val="center"/>
              <w:rPr>
                <w:b/>
                <w:sz w:val="20"/>
              </w:rPr>
            </w:pPr>
            <w:r>
              <w:rPr>
                <w:b/>
                <w:sz w:val="20"/>
              </w:rPr>
              <w:t>7.7</w:t>
            </w:r>
          </w:p>
        </w:tc>
        <w:tc>
          <w:tcPr>
            <w:tcW w:w="1681" w:type="dxa"/>
          </w:tcPr>
          <w:p>
            <w:pPr>
              <w:pStyle w:val="TableParagraph"/>
              <w:spacing w:before="72"/>
              <w:ind w:left="179"/>
              <w:rPr>
                <w:b/>
                <w:sz w:val="20"/>
              </w:rPr>
            </w:pPr>
            <w:r>
              <w:rPr>
                <w:b/>
                <w:sz w:val="20"/>
              </w:rPr>
              <w:t>争议处理</w:t>
            </w:r>
          </w:p>
        </w:tc>
        <w:tc>
          <w:tcPr>
            <w:tcW w:w="8064" w:type="dxa"/>
          </w:tcPr>
          <w:p>
            <w:pPr>
              <w:pStyle w:val="TableParagraph"/>
              <w:spacing w:before="72"/>
              <w:ind w:left="145"/>
              <w:rPr>
                <w:sz w:val="20"/>
              </w:rPr>
            </w:pPr>
            <w:r>
              <w:rPr>
                <w:w w:val="95"/>
                <w:sz w:val="20"/>
              </w:rPr>
              <w:t>合同争议解决方式由当事人从下列两种方式中选择一种：</w:t>
            </w:r>
          </w:p>
          <w:p>
            <w:pPr>
              <w:pStyle w:val="TableParagraph"/>
              <w:numPr>
                <w:ilvl w:val="0"/>
                <w:numId w:val="22"/>
              </w:numPr>
              <w:tabs>
                <w:tab w:pos="825" w:val="left" w:leader="none"/>
              </w:tabs>
              <w:spacing w:line="285" w:lineRule="auto" w:before="50" w:after="0"/>
              <w:ind w:left="825" w:right="229" w:hanging="680"/>
              <w:jc w:val="left"/>
              <w:rPr>
                <w:sz w:val="20"/>
              </w:rPr>
            </w:pPr>
            <w:r>
              <w:rPr>
                <w:sz w:val="20"/>
              </w:rPr>
              <w:t>因履行本合同发生的争议，由双方协商解决；协商不成的，提交双方同意的仲裁</w:t>
            </w:r>
            <w:r>
              <w:rPr>
                <w:w w:val="95"/>
                <w:sz w:val="20"/>
              </w:rPr>
              <w:t>委员会仲裁。</w:t>
            </w:r>
          </w:p>
          <w:p>
            <w:pPr>
              <w:pStyle w:val="TableParagraph"/>
              <w:numPr>
                <w:ilvl w:val="0"/>
                <w:numId w:val="22"/>
              </w:numPr>
              <w:tabs>
                <w:tab w:pos="825" w:val="left" w:leader="none"/>
              </w:tabs>
              <w:spacing w:line="240" w:lineRule="auto" w:before="12" w:after="0"/>
              <w:ind w:left="825" w:right="0" w:hanging="680"/>
              <w:jc w:val="left"/>
              <w:rPr>
                <w:sz w:val="20"/>
              </w:rPr>
            </w:pPr>
            <w:r>
              <w:rPr>
                <w:sz w:val="20"/>
              </w:rPr>
              <w:t>因履行本合同发生的争议，由双方协商解决；协商不成的，依法向被告所在地人</w:t>
            </w:r>
          </w:p>
          <w:p>
            <w:pPr>
              <w:pStyle w:val="TableParagraph"/>
              <w:spacing w:line="242" w:lineRule="exact" w:before="50"/>
              <w:ind w:left="825"/>
              <w:rPr>
                <w:sz w:val="20"/>
              </w:rPr>
            </w:pPr>
            <w:r>
              <w:rPr>
                <w:w w:val="95"/>
                <w:sz w:val="20"/>
              </w:rPr>
              <w:t>民法院起诉。</w:t>
            </w:r>
          </w:p>
        </w:tc>
      </w:tr>
    </w:tbl>
    <w:p>
      <w:pPr>
        <w:spacing w:after="0" w:line="242" w:lineRule="exact"/>
        <w:rPr>
          <w:sz w:val="20"/>
        </w:rPr>
        <w:sectPr>
          <w:pgSz w:w="11910" w:h="16840"/>
          <w:pgMar w:header="0" w:footer="831" w:top="1160" w:bottom="1020" w:left="760" w:right="500"/>
        </w:sectPr>
      </w:pPr>
    </w:p>
    <w:p>
      <w:pPr>
        <w:pStyle w:val="Heading1"/>
        <w:spacing w:line="311" w:lineRule="exact"/>
      </w:pPr>
      <w:r>
        <w:rPr/>
        <w:pict>
          <v:line style="position:absolute;mso-position-horizontal-relative:page;mso-position-vertical-relative:paragraph;z-index:1096;mso-wrap-distance-left:0;mso-wrap-distance-right:0" from="55.200001pt,18.639999pt" to="539.620001pt,18.639999pt" stroked="true" strokeweight=".48pt" strokecolor="#000000">
            <v:stroke dashstyle="solid"/>
            <w10:wrap type="topAndBottom"/>
          </v:line>
        </w:pict>
      </w:r>
      <w:r>
        <w:rPr/>
        <w:t>附录一 本合同承保的重大疾病列表</w:t>
      </w:r>
    </w:p>
    <w:p>
      <w:pPr>
        <w:pStyle w:val="BodyText"/>
        <w:spacing w:before="2"/>
        <w:rPr>
          <w:b/>
          <w:sz w:val="6"/>
        </w:rPr>
      </w:pPr>
    </w:p>
    <w:p>
      <w:pPr>
        <w:pStyle w:val="BodyText"/>
        <w:spacing w:before="38"/>
        <w:ind w:left="132"/>
      </w:pPr>
      <w:r>
        <w:rPr>
          <w:spacing w:val="10"/>
        </w:rPr>
        <w:t>以下第</w:t>
      </w:r>
      <w:r>
        <w:rPr/>
        <w:t>1</w:t>
      </w:r>
      <w:r>
        <w:rPr>
          <w:spacing w:val="-21"/>
        </w:rPr>
        <w:t> 至</w:t>
      </w:r>
      <w:r>
        <w:rPr/>
        <w:t>24</w:t>
      </w:r>
      <w:r>
        <w:rPr>
          <w:spacing w:val="-15"/>
        </w:rPr>
        <w:t> 种重大疾病的名称及定义均出自中国保险行业协会颁布的《重大疾病保险的疾病定义使用规范》；</w:t>
      </w:r>
    </w:p>
    <w:p>
      <w:pPr>
        <w:pStyle w:val="BodyText"/>
        <w:spacing w:before="50"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6" w:hRule="atLeast"/>
        </w:trPr>
        <w:tc>
          <w:tcPr>
            <w:tcW w:w="1860" w:type="dxa"/>
            <w:shd w:val="clear" w:color="auto" w:fill="D7D7D7"/>
          </w:tcPr>
          <w:p>
            <w:pPr>
              <w:pStyle w:val="TableParagraph"/>
              <w:spacing w:before="20"/>
              <w:ind w:left="326"/>
              <w:rPr>
                <w:b/>
                <w:sz w:val="20"/>
              </w:rPr>
            </w:pPr>
            <w:r>
              <w:rPr>
                <w:b/>
                <w:w w:val="95"/>
                <w:sz w:val="20"/>
              </w:rPr>
              <w:t>重大疾病名称</w:t>
            </w:r>
          </w:p>
        </w:tc>
        <w:tc>
          <w:tcPr>
            <w:tcW w:w="7933" w:type="dxa"/>
            <w:shd w:val="clear" w:color="auto" w:fill="D7D7D7"/>
          </w:tcPr>
          <w:p>
            <w:pPr>
              <w:pStyle w:val="TableParagraph"/>
              <w:spacing w:before="20"/>
              <w:ind w:left="237" w:right="224"/>
              <w:jc w:val="center"/>
              <w:rPr>
                <w:b/>
                <w:sz w:val="20"/>
              </w:rPr>
            </w:pPr>
            <w:r>
              <w:rPr>
                <w:b/>
                <w:sz w:val="20"/>
              </w:rPr>
              <w:t>定义</w:t>
            </w:r>
          </w:p>
        </w:tc>
      </w:tr>
      <w:tr>
        <w:trPr>
          <w:trHeight w:val="3168" w:hRule="atLeast"/>
        </w:trPr>
        <w:tc>
          <w:tcPr>
            <w:tcW w:w="1860" w:type="dxa"/>
          </w:tcPr>
          <w:p>
            <w:pPr>
              <w:pStyle w:val="TableParagraph"/>
              <w:spacing w:before="11"/>
              <w:ind w:left="107"/>
              <w:rPr>
                <w:sz w:val="20"/>
              </w:rPr>
            </w:pPr>
            <w:r>
              <w:rPr>
                <w:sz w:val="20"/>
              </w:rPr>
              <w:t>1. 恶性肿瘤</w:t>
            </w:r>
          </w:p>
        </w:tc>
        <w:tc>
          <w:tcPr>
            <w:tcW w:w="7933" w:type="dxa"/>
          </w:tcPr>
          <w:p>
            <w:pPr>
              <w:pStyle w:val="TableParagraph"/>
              <w:spacing w:line="285" w:lineRule="auto" w:before="11"/>
              <w:ind w:right="104"/>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before="12"/>
              <w:jc w:val="both"/>
              <w:rPr>
                <w:b/>
                <w:sz w:val="20"/>
              </w:rPr>
            </w:pPr>
            <w:r>
              <w:rPr>
                <w:b/>
                <w:w w:val="95"/>
                <w:sz w:val="20"/>
              </w:rPr>
              <w:t>下列疾病不在保障范围内：</w:t>
            </w:r>
          </w:p>
          <w:p>
            <w:pPr>
              <w:pStyle w:val="TableParagraph"/>
              <w:numPr>
                <w:ilvl w:val="0"/>
                <w:numId w:val="23"/>
              </w:numPr>
              <w:tabs>
                <w:tab w:pos="713" w:val="left" w:leader="none"/>
              </w:tabs>
              <w:spacing w:line="240" w:lineRule="auto" w:before="50" w:after="0"/>
              <w:ind w:left="713" w:right="0" w:hanging="605"/>
              <w:jc w:val="both"/>
              <w:rPr>
                <w:b/>
                <w:sz w:val="20"/>
              </w:rPr>
            </w:pPr>
            <w:r>
              <w:rPr>
                <w:b/>
                <w:w w:val="95"/>
                <w:sz w:val="20"/>
              </w:rPr>
              <w:t>原位癌；</w:t>
            </w:r>
          </w:p>
          <w:p>
            <w:pPr>
              <w:pStyle w:val="TableParagraph"/>
              <w:numPr>
                <w:ilvl w:val="0"/>
                <w:numId w:val="23"/>
              </w:numPr>
              <w:tabs>
                <w:tab w:pos="713" w:val="left" w:leader="none"/>
              </w:tabs>
              <w:spacing w:line="240" w:lineRule="auto" w:before="50" w:after="0"/>
              <w:ind w:left="713" w:right="0" w:hanging="605"/>
              <w:jc w:val="both"/>
              <w:rPr>
                <w:b/>
                <w:sz w:val="20"/>
              </w:rPr>
            </w:pPr>
            <w:r>
              <w:rPr>
                <w:b/>
                <w:spacing w:val="-14"/>
                <w:sz w:val="20"/>
              </w:rPr>
              <w:t>相当于 </w:t>
            </w:r>
            <w:r>
              <w:rPr>
                <w:b/>
                <w:sz w:val="20"/>
              </w:rPr>
              <w:t>Binet</w:t>
            </w:r>
            <w:r>
              <w:rPr>
                <w:b/>
                <w:spacing w:val="-20"/>
                <w:sz w:val="20"/>
              </w:rPr>
              <w:t> 分期方案 </w:t>
            </w:r>
            <w:r>
              <w:rPr>
                <w:b/>
                <w:sz w:val="20"/>
              </w:rPr>
              <w:t>A</w:t>
            </w:r>
            <w:r>
              <w:rPr>
                <w:b/>
                <w:spacing w:val="-8"/>
                <w:sz w:val="20"/>
              </w:rPr>
              <w:t> 期程度的慢性淋巴细胞白血病；</w:t>
            </w:r>
          </w:p>
          <w:p>
            <w:pPr>
              <w:pStyle w:val="TableParagraph"/>
              <w:numPr>
                <w:ilvl w:val="0"/>
                <w:numId w:val="23"/>
              </w:numPr>
              <w:tabs>
                <w:tab w:pos="713" w:val="left" w:leader="none"/>
              </w:tabs>
              <w:spacing w:line="240" w:lineRule="auto" w:before="50" w:after="0"/>
              <w:ind w:left="713" w:right="0" w:hanging="605"/>
              <w:jc w:val="both"/>
              <w:rPr>
                <w:b/>
                <w:sz w:val="20"/>
              </w:rPr>
            </w:pPr>
            <w:r>
              <w:rPr>
                <w:b/>
                <w:spacing w:val="-13"/>
                <w:sz w:val="20"/>
              </w:rPr>
              <w:t>相当于 </w:t>
            </w:r>
            <w:r>
              <w:rPr>
                <w:b/>
                <w:sz w:val="20"/>
              </w:rPr>
              <w:t>Ann</w:t>
            </w:r>
            <w:r>
              <w:rPr>
                <w:b/>
                <w:spacing w:val="-2"/>
                <w:sz w:val="20"/>
              </w:rPr>
              <w:t> </w:t>
            </w:r>
            <w:r>
              <w:rPr>
                <w:b/>
                <w:sz w:val="20"/>
              </w:rPr>
              <w:t>Arbor</w:t>
            </w:r>
            <w:r>
              <w:rPr>
                <w:b/>
                <w:spacing w:val="-18"/>
                <w:sz w:val="20"/>
              </w:rPr>
              <w:t> 分期方案 </w:t>
            </w:r>
            <w:r>
              <w:rPr>
                <w:rFonts w:ascii="Arial" w:hAnsi="Arial" w:eastAsia="Arial"/>
                <w:b/>
                <w:sz w:val="20"/>
              </w:rPr>
              <w:t>Ι</w:t>
            </w:r>
            <w:r>
              <w:rPr>
                <w:rFonts w:ascii="Arial" w:hAnsi="Arial" w:eastAsia="Arial"/>
                <w:b/>
                <w:spacing w:val="6"/>
                <w:sz w:val="20"/>
              </w:rPr>
              <w:t>   </w:t>
            </w:r>
            <w:r>
              <w:rPr>
                <w:b/>
                <w:sz w:val="20"/>
              </w:rPr>
              <w:t>期程度的何杰金氏病；</w:t>
            </w:r>
          </w:p>
          <w:p>
            <w:pPr>
              <w:pStyle w:val="TableParagraph"/>
              <w:numPr>
                <w:ilvl w:val="0"/>
                <w:numId w:val="23"/>
              </w:numPr>
              <w:tabs>
                <w:tab w:pos="713" w:val="left" w:leader="none"/>
              </w:tabs>
              <w:spacing w:line="240" w:lineRule="auto" w:before="36" w:after="0"/>
              <w:ind w:left="713" w:right="0" w:hanging="605"/>
              <w:jc w:val="both"/>
              <w:rPr>
                <w:b/>
                <w:sz w:val="20"/>
              </w:rPr>
            </w:pPr>
            <w:r>
              <w:rPr>
                <w:b/>
                <w:w w:val="95"/>
                <w:sz w:val="20"/>
              </w:rPr>
              <w:t>皮肤癌（不包括恶性黑色素瘤及已发生转移的皮肤癌）；</w:t>
            </w:r>
          </w:p>
          <w:p>
            <w:pPr>
              <w:pStyle w:val="TableParagraph"/>
              <w:numPr>
                <w:ilvl w:val="0"/>
                <w:numId w:val="23"/>
              </w:numPr>
              <w:tabs>
                <w:tab w:pos="711" w:val="left" w:leader="none"/>
              </w:tabs>
              <w:spacing w:line="240" w:lineRule="auto" w:before="50" w:after="0"/>
              <w:ind w:left="710" w:right="0" w:hanging="602"/>
              <w:jc w:val="both"/>
              <w:rPr>
                <w:b/>
                <w:sz w:val="20"/>
              </w:rPr>
            </w:pPr>
            <w:r>
              <w:rPr>
                <w:b/>
                <w:position w:val="1"/>
                <w:sz w:val="20"/>
              </w:rPr>
              <w:t>TNM</w:t>
            </w:r>
            <w:r>
              <w:rPr>
                <w:b/>
                <w:spacing w:val="-12"/>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26"/>
                <w:sz w:val="10"/>
              </w:rPr>
              <w:t> </w:t>
            </w:r>
            <w:r>
              <w:rPr>
                <w:b/>
                <w:position w:val="1"/>
                <w:sz w:val="20"/>
              </w:rPr>
              <w:t>期或更轻分期的前列腺癌；</w:t>
            </w:r>
          </w:p>
          <w:p>
            <w:pPr>
              <w:pStyle w:val="TableParagraph"/>
              <w:numPr>
                <w:ilvl w:val="0"/>
                <w:numId w:val="23"/>
              </w:numPr>
              <w:tabs>
                <w:tab w:pos="713" w:val="left" w:leader="none"/>
              </w:tabs>
              <w:spacing w:line="240" w:lineRule="auto" w:before="51" w:after="0"/>
              <w:ind w:left="713" w:right="0" w:hanging="605"/>
              <w:jc w:val="both"/>
              <w:rPr>
                <w:b/>
                <w:sz w:val="20"/>
              </w:rPr>
            </w:pPr>
            <w:r>
              <w:rPr>
                <w:b/>
                <w:w w:val="95"/>
                <w:sz w:val="20"/>
              </w:rPr>
              <w:t>感染艾滋病病毒或患艾滋病期间所患恶性肿瘤。</w:t>
            </w:r>
          </w:p>
        </w:tc>
      </w:tr>
      <w:tr>
        <w:trPr>
          <w:trHeight w:val="1917" w:hRule="atLeast"/>
        </w:trPr>
        <w:tc>
          <w:tcPr>
            <w:tcW w:w="1860" w:type="dxa"/>
          </w:tcPr>
          <w:p>
            <w:pPr>
              <w:pStyle w:val="TableParagraph"/>
              <w:spacing w:before="8"/>
              <w:ind w:left="107"/>
              <w:rPr>
                <w:sz w:val="20"/>
              </w:rPr>
            </w:pPr>
            <w:r>
              <w:rPr>
                <w:sz w:val="20"/>
              </w:rPr>
              <w:t>2. 急性心肌梗塞</w:t>
            </w:r>
          </w:p>
        </w:tc>
        <w:tc>
          <w:tcPr>
            <w:tcW w:w="7933" w:type="dxa"/>
          </w:tcPr>
          <w:p>
            <w:pPr>
              <w:pStyle w:val="TableParagraph"/>
              <w:spacing w:line="285" w:lineRule="auto" w:before="8"/>
              <w:ind w:right="104"/>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24"/>
              </w:numPr>
              <w:tabs>
                <w:tab w:pos="709" w:val="left" w:leader="none"/>
              </w:tabs>
              <w:spacing w:line="240" w:lineRule="auto" w:before="11" w:after="0"/>
              <w:ind w:left="708" w:right="0" w:hanging="600"/>
              <w:jc w:val="left"/>
              <w:rPr>
                <w:sz w:val="20"/>
              </w:rPr>
            </w:pPr>
            <w:r>
              <w:rPr>
                <w:w w:val="95"/>
                <w:sz w:val="20"/>
              </w:rPr>
              <w:t>典型临床表现，例如急性胸痛等；</w:t>
            </w:r>
          </w:p>
          <w:p>
            <w:pPr>
              <w:pStyle w:val="TableParagraph"/>
              <w:numPr>
                <w:ilvl w:val="0"/>
                <w:numId w:val="24"/>
              </w:numPr>
              <w:tabs>
                <w:tab w:pos="709" w:val="left" w:leader="none"/>
              </w:tabs>
              <w:spacing w:line="240" w:lineRule="auto" w:before="49" w:after="0"/>
              <w:ind w:left="708" w:right="0" w:hanging="600"/>
              <w:jc w:val="left"/>
              <w:rPr>
                <w:sz w:val="20"/>
              </w:rPr>
            </w:pPr>
            <w:r>
              <w:rPr>
                <w:w w:val="95"/>
                <w:sz w:val="20"/>
              </w:rPr>
              <w:t>新近的心电图改变提示急性心肌梗塞；</w:t>
            </w:r>
          </w:p>
          <w:p>
            <w:pPr>
              <w:pStyle w:val="TableParagraph"/>
              <w:numPr>
                <w:ilvl w:val="0"/>
                <w:numId w:val="24"/>
              </w:numPr>
              <w:tabs>
                <w:tab w:pos="709" w:val="left" w:leader="none"/>
              </w:tabs>
              <w:spacing w:line="240" w:lineRule="auto" w:before="49" w:after="0"/>
              <w:ind w:left="708" w:right="0" w:hanging="600"/>
              <w:jc w:val="left"/>
              <w:rPr>
                <w:sz w:val="20"/>
              </w:rPr>
            </w:pPr>
            <w:r>
              <w:rPr>
                <w:w w:val="95"/>
                <w:sz w:val="20"/>
              </w:rPr>
              <w:t>心肌酶或肌钙蛋白有诊断意义的升高，或呈符合急性心肌梗塞的动态性变化；</w:t>
            </w:r>
          </w:p>
          <w:p>
            <w:pPr>
              <w:pStyle w:val="TableParagraph"/>
              <w:numPr>
                <w:ilvl w:val="0"/>
                <w:numId w:val="24"/>
              </w:numPr>
              <w:tabs>
                <w:tab w:pos="709" w:val="left" w:leader="none"/>
              </w:tabs>
              <w:spacing w:line="240" w:lineRule="auto" w:before="49" w:after="0"/>
              <w:ind w:left="708" w:right="0" w:hanging="60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917" w:hRule="atLeast"/>
        </w:trPr>
        <w:tc>
          <w:tcPr>
            <w:tcW w:w="1860" w:type="dxa"/>
          </w:tcPr>
          <w:p>
            <w:pPr>
              <w:pStyle w:val="TableParagraph"/>
              <w:spacing w:before="11"/>
              <w:ind w:left="107"/>
              <w:rPr>
                <w:sz w:val="20"/>
              </w:rPr>
            </w:pPr>
            <w:r>
              <w:rPr>
                <w:sz w:val="20"/>
              </w:rPr>
              <w:t>3. 脑中风后遗症</w:t>
            </w:r>
          </w:p>
        </w:tc>
        <w:tc>
          <w:tcPr>
            <w:tcW w:w="7933" w:type="dxa"/>
          </w:tcPr>
          <w:p>
            <w:pPr>
              <w:pStyle w:val="TableParagraph"/>
              <w:spacing w:line="285" w:lineRule="auto" w:before="11"/>
              <w:ind w:right="3"/>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25"/>
              </w:numPr>
              <w:tabs>
                <w:tab w:pos="709" w:val="left" w:leader="none"/>
              </w:tabs>
              <w:spacing w:line="240" w:lineRule="auto" w:before="12" w:after="0"/>
              <w:ind w:left="108" w:right="0" w:firstLine="0"/>
              <w:jc w:val="left"/>
              <w:rPr>
                <w:sz w:val="20"/>
              </w:rPr>
            </w:pPr>
            <w:r>
              <w:rPr>
                <w:w w:val="95"/>
                <w:sz w:val="20"/>
              </w:rPr>
              <w:t>一肢或一肢以上</w:t>
            </w:r>
            <w:r>
              <w:rPr>
                <w:b/>
                <w:w w:val="95"/>
                <w:sz w:val="20"/>
              </w:rPr>
              <w:t>肢体机能完全丧失</w:t>
            </w:r>
            <w:r>
              <w:rPr>
                <w:b/>
                <w:w w:val="95"/>
                <w:position w:val="10"/>
                <w:sz w:val="10"/>
              </w:rPr>
              <w:t>[23]</w:t>
            </w:r>
            <w:r>
              <w:rPr>
                <w:w w:val="95"/>
                <w:sz w:val="20"/>
              </w:rPr>
              <w:t>；</w:t>
            </w:r>
          </w:p>
          <w:p>
            <w:pPr>
              <w:pStyle w:val="TableParagraph"/>
              <w:numPr>
                <w:ilvl w:val="0"/>
                <w:numId w:val="25"/>
              </w:numPr>
              <w:tabs>
                <w:tab w:pos="709" w:val="left" w:leader="none"/>
              </w:tabs>
              <w:spacing w:line="240" w:lineRule="auto" w:before="50" w:after="0"/>
              <w:ind w:left="108" w:right="0" w:firstLine="0"/>
              <w:jc w:val="left"/>
              <w:rPr>
                <w:sz w:val="20"/>
              </w:rPr>
            </w:pPr>
            <w:r>
              <w:rPr>
                <w:b/>
                <w:sz w:val="20"/>
              </w:rPr>
              <w:t>语言能力或咀嚼吞咽能力完全丧失</w:t>
            </w:r>
            <w:r>
              <w:rPr>
                <w:b/>
                <w:position w:val="10"/>
                <w:sz w:val="10"/>
              </w:rPr>
              <w:t>[24]</w:t>
            </w:r>
            <w:r>
              <w:rPr>
                <w:sz w:val="20"/>
              </w:rPr>
              <w:t>；</w:t>
            </w:r>
          </w:p>
          <w:p>
            <w:pPr>
              <w:pStyle w:val="TableParagraph"/>
              <w:numPr>
                <w:ilvl w:val="0"/>
                <w:numId w:val="25"/>
              </w:numPr>
              <w:tabs>
                <w:tab w:pos="661" w:val="left" w:leader="none"/>
              </w:tabs>
              <w:spacing w:line="285" w:lineRule="auto" w:before="50" w:after="0"/>
              <w:ind w:left="108" w:right="98" w:firstLine="0"/>
              <w:jc w:val="left"/>
              <w:rPr>
                <w:sz w:val="20"/>
              </w:rPr>
            </w:pPr>
            <w:r>
              <w:rPr>
                <w:spacing w:val="-5"/>
                <w:sz w:val="20"/>
              </w:rPr>
              <w:t>自主生活能力完全丧失，无法独立完成</w:t>
            </w:r>
            <w:r>
              <w:rPr>
                <w:b/>
                <w:sz w:val="20"/>
              </w:rPr>
              <w:t>六项基本日常生活活动</w:t>
            </w:r>
            <w:r>
              <w:rPr>
                <w:b/>
                <w:position w:val="10"/>
                <w:sz w:val="10"/>
              </w:rPr>
              <w:t>[25]</w:t>
            </w:r>
            <w:r>
              <w:rPr>
                <w:sz w:val="20"/>
              </w:rPr>
              <w:t>中的三项或三项以</w:t>
            </w:r>
            <w:r>
              <w:rPr>
                <w:w w:val="95"/>
                <w:sz w:val="20"/>
              </w:rPr>
              <w:t>上。</w:t>
            </w:r>
          </w:p>
        </w:tc>
      </w:tr>
      <w:tr>
        <w:trPr>
          <w:trHeight w:val="1295" w:hRule="atLeast"/>
        </w:trPr>
        <w:tc>
          <w:tcPr>
            <w:tcW w:w="1860" w:type="dxa"/>
          </w:tcPr>
          <w:p>
            <w:pPr>
              <w:pStyle w:val="TableParagraph"/>
              <w:spacing w:line="285" w:lineRule="auto" w:before="11"/>
              <w:ind w:left="107" w:right="74"/>
              <w:jc w:val="both"/>
              <w:rPr>
                <w:sz w:val="20"/>
              </w:rPr>
            </w:pPr>
            <w:r>
              <w:rPr>
                <w:sz w:val="20"/>
              </w:rPr>
              <w:t>4. 重大器官移植术或造血干细胞移</w:t>
            </w:r>
            <w:r>
              <w:rPr>
                <w:w w:val="95"/>
                <w:sz w:val="20"/>
              </w:rPr>
              <w:t>植术</w:t>
            </w:r>
          </w:p>
        </w:tc>
        <w:tc>
          <w:tcPr>
            <w:tcW w:w="7933" w:type="dxa"/>
          </w:tcPr>
          <w:p>
            <w:pPr>
              <w:pStyle w:val="TableParagraph"/>
              <w:spacing w:line="285" w:lineRule="auto" w:before="11"/>
              <w:ind w:right="103"/>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3"/>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left="107" w:right="74"/>
              <w:jc w:val="both"/>
              <w:rPr>
                <w:sz w:val="20"/>
              </w:rPr>
            </w:pPr>
            <w:r>
              <w:rPr>
                <w:sz w:val="20"/>
              </w:rPr>
              <w:t>5. 冠状动脉搭桥术（或称冠状动脉</w:t>
            </w:r>
            <w:r>
              <w:rPr>
                <w:w w:val="95"/>
                <w:sz w:val="20"/>
              </w:rPr>
              <w:t>旁路移植术）</w:t>
            </w:r>
          </w:p>
        </w:tc>
        <w:tc>
          <w:tcPr>
            <w:tcW w:w="7933" w:type="dxa"/>
          </w:tcPr>
          <w:p>
            <w:pPr>
              <w:pStyle w:val="TableParagraph"/>
              <w:spacing w:line="285" w:lineRule="auto" w:before="8"/>
              <w:ind w:right="95"/>
              <w:jc w:val="both"/>
              <w:rPr>
                <w:b/>
                <w:sz w:val="20"/>
              </w:rPr>
            </w:pPr>
            <w:r>
              <w:rPr>
                <w:spacing w:val="-4"/>
                <w:w w:val="95"/>
                <w:sz w:val="20"/>
              </w:rPr>
              <w:t>指为治疗严重的冠心病，实际实施了开胸进行的冠状动脉血管旁路移植的手术</w:t>
            </w:r>
            <w:r>
              <w:rPr>
                <w:b/>
                <w:spacing w:val="-9"/>
                <w:w w:val="95"/>
                <w:sz w:val="20"/>
              </w:rPr>
              <w:t>。冠状动脉  </w:t>
            </w:r>
            <w:r>
              <w:rPr>
                <w:b/>
                <w:sz w:val="20"/>
              </w:rPr>
              <w:t>支架植入术、心导管球囊扩张术、激光射频技术及其它非开胸的介入手术、腔镜手术不</w:t>
            </w:r>
            <w:r>
              <w:rPr>
                <w:b/>
                <w:w w:val="95"/>
                <w:sz w:val="20"/>
              </w:rPr>
              <w:t>在保障范围内。</w:t>
            </w:r>
          </w:p>
        </w:tc>
      </w:tr>
      <w:tr>
        <w:trPr>
          <w:trHeight w:val="981" w:hRule="atLeast"/>
        </w:trPr>
        <w:tc>
          <w:tcPr>
            <w:tcW w:w="1860" w:type="dxa"/>
          </w:tcPr>
          <w:p>
            <w:pPr>
              <w:pStyle w:val="TableParagraph"/>
              <w:spacing w:line="285" w:lineRule="auto" w:before="11"/>
              <w:ind w:left="107" w:right="90"/>
              <w:jc w:val="both"/>
              <w:rPr>
                <w:sz w:val="20"/>
              </w:rPr>
            </w:pPr>
            <w:r>
              <w:rPr>
                <w:sz w:val="20"/>
              </w:rPr>
              <w:t>6</w:t>
            </w:r>
            <w:r>
              <w:rPr>
                <w:spacing w:val="-10"/>
                <w:sz w:val="20"/>
              </w:rPr>
              <w:t>. 终末期肾病</w:t>
            </w:r>
            <w:r>
              <w:rPr>
                <w:sz w:val="20"/>
              </w:rPr>
              <w:t>（或</w:t>
            </w:r>
            <w:r>
              <w:rPr>
                <w:spacing w:val="5"/>
                <w:sz w:val="20"/>
              </w:rPr>
              <w:t>称慢性肾功能衰竭</w:t>
            </w:r>
            <w:r>
              <w:rPr>
                <w:w w:val="95"/>
                <w:sz w:val="20"/>
              </w:rPr>
              <w:t>尿毒症期）</w:t>
            </w:r>
          </w:p>
        </w:tc>
        <w:tc>
          <w:tcPr>
            <w:tcW w:w="7933" w:type="dxa"/>
          </w:tcPr>
          <w:p>
            <w:pPr>
              <w:pStyle w:val="TableParagraph"/>
              <w:spacing w:line="285" w:lineRule="auto" w:before="11"/>
              <w:ind w:right="10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2" w:hRule="atLeast"/>
        </w:trPr>
        <w:tc>
          <w:tcPr>
            <w:tcW w:w="1860" w:type="dxa"/>
          </w:tcPr>
          <w:p>
            <w:pPr>
              <w:pStyle w:val="TableParagraph"/>
              <w:spacing w:before="11"/>
              <w:ind w:left="107"/>
              <w:rPr>
                <w:sz w:val="20"/>
              </w:rPr>
            </w:pPr>
            <w:r>
              <w:rPr>
                <w:sz w:val="20"/>
              </w:rPr>
              <w:t>7. 多个肢体缺失</w:t>
            </w:r>
          </w:p>
        </w:tc>
        <w:tc>
          <w:tcPr>
            <w:tcW w:w="7933" w:type="dxa"/>
          </w:tcPr>
          <w:p>
            <w:pPr>
              <w:pStyle w:val="TableParagraph"/>
              <w:spacing w:line="285" w:lineRule="auto" w:before="11"/>
              <w:ind w:right="103"/>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left="107" w:right="74"/>
              <w:rPr>
                <w:sz w:val="20"/>
              </w:rPr>
            </w:pPr>
            <w:r>
              <w:rPr>
                <w:sz w:val="20"/>
              </w:rPr>
              <w:t>8. 急性或亚急性</w:t>
            </w:r>
            <w:r>
              <w:rPr>
                <w:w w:val="95"/>
                <w:sz w:val="20"/>
              </w:rPr>
              <w:t>重症肝炎</w:t>
            </w:r>
          </w:p>
        </w:tc>
        <w:tc>
          <w:tcPr>
            <w:tcW w:w="7933" w:type="dxa"/>
          </w:tcPr>
          <w:p>
            <w:pPr>
              <w:pStyle w:val="TableParagraph"/>
              <w:spacing w:line="285" w:lineRule="auto" w:before="8"/>
              <w:ind w:right="103"/>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26"/>
              </w:numPr>
              <w:tabs>
                <w:tab w:pos="709" w:val="left" w:leader="none"/>
              </w:tabs>
              <w:spacing w:line="240" w:lineRule="auto" w:before="11" w:after="0"/>
              <w:ind w:left="708" w:right="0" w:hanging="600"/>
              <w:jc w:val="left"/>
              <w:rPr>
                <w:sz w:val="20"/>
              </w:rPr>
            </w:pPr>
            <w:r>
              <w:rPr>
                <w:w w:val="95"/>
                <w:sz w:val="20"/>
              </w:rPr>
              <w:t>重度黄疸或黄疸迅速加重；</w:t>
            </w:r>
          </w:p>
          <w:p>
            <w:pPr>
              <w:pStyle w:val="TableParagraph"/>
              <w:numPr>
                <w:ilvl w:val="0"/>
                <w:numId w:val="26"/>
              </w:numPr>
              <w:tabs>
                <w:tab w:pos="709" w:val="left" w:leader="none"/>
              </w:tabs>
              <w:spacing w:line="240" w:lineRule="auto" w:before="49" w:after="0"/>
              <w:ind w:left="708" w:right="0" w:hanging="600"/>
              <w:jc w:val="left"/>
              <w:rPr>
                <w:sz w:val="20"/>
              </w:rPr>
            </w:pPr>
            <w:r>
              <w:rPr>
                <w:w w:val="95"/>
                <w:sz w:val="20"/>
              </w:rPr>
              <w:t>肝性脑病；</w:t>
            </w:r>
          </w:p>
          <w:p>
            <w:pPr>
              <w:pStyle w:val="TableParagraph"/>
              <w:numPr>
                <w:ilvl w:val="0"/>
                <w:numId w:val="26"/>
              </w:numPr>
              <w:tabs>
                <w:tab w:pos="709" w:val="left" w:leader="none"/>
              </w:tabs>
              <w:spacing w:line="240" w:lineRule="auto" w:before="49" w:after="0"/>
              <w:ind w:left="708" w:right="0" w:hanging="600"/>
              <w:jc w:val="left"/>
              <w:rPr>
                <w:sz w:val="20"/>
              </w:rPr>
            </w:pPr>
            <w:r>
              <w:rPr>
                <w:sz w:val="20"/>
              </w:rPr>
              <w:t>B</w:t>
            </w:r>
            <w:r>
              <w:rPr>
                <w:spacing w:val="-2"/>
                <w:sz w:val="20"/>
              </w:rPr>
              <w:t> 超或其他影像学检查显示肝脏体积急速萎缩；</w:t>
            </w:r>
          </w:p>
          <w:p>
            <w:pPr>
              <w:pStyle w:val="TableParagraph"/>
              <w:numPr>
                <w:ilvl w:val="0"/>
                <w:numId w:val="26"/>
              </w:numPr>
              <w:tabs>
                <w:tab w:pos="709" w:val="left" w:leader="none"/>
              </w:tabs>
              <w:spacing w:line="240" w:lineRule="auto" w:before="49" w:after="0"/>
              <w:ind w:left="708" w:right="0" w:hanging="600"/>
              <w:jc w:val="left"/>
              <w:rPr>
                <w:sz w:val="20"/>
              </w:rPr>
            </w:pPr>
            <w:r>
              <w:rPr>
                <w:w w:val="95"/>
                <w:sz w:val="20"/>
              </w:rPr>
              <w:t>肝功能指标进行性恶化。</w:t>
            </w:r>
          </w:p>
        </w:tc>
      </w:tr>
    </w:tbl>
    <w:p>
      <w:pPr>
        <w:spacing w:after="0" w:line="240" w:lineRule="auto"/>
        <w:jc w:val="left"/>
        <w:rPr>
          <w:sz w:val="20"/>
        </w:rPr>
        <w:sectPr>
          <w:pgSz w:w="11910" w:h="16840"/>
          <w:pgMar w:header="0" w:footer="831"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917" w:hRule="atLeast"/>
        </w:trPr>
        <w:tc>
          <w:tcPr>
            <w:tcW w:w="1860" w:type="dxa"/>
          </w:tcPr>
          <w:p>
            <w:pPr>
              <w:pStyle w:val="TableParagraph"/>
              <w:spacing w:before="5"/>
              <w:ind w:left="107"/>
              <w:rPr>
                <w:sz w:val="20"/>
              </w:rPr>
            </w:pPr>
            <w:r>
              <w:rPr>
                <w:sz w:val="20"/>
              </w:rPr>
              <w:t>9. 良性脑肿瘤</w:t>
            </w:r>
          </w:p>
        </w:tc>
        <w:tc>
          <w:tcPr>
            <w:tcW w:w="7933" w:type="dxa"/>
          </w:tcPr>
          <w:p>
            <w:pPr>
              <w:pStyle w:val="TableParagraph"/>
              <w:spacing w:line="285" w:lineRule="auto" w:before="5"/>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27"/>
              </w:numPr>
              <w:tabs>
                <w:tab w:pos="709" w:val="left" w:leader="none"/>
              </w:tabs>
              <w:spacing w:line="240" w:lineRule="auto" w:before="12" w:after="0"/>
              <w:ind w:left="708" w:right="0" w:hanging="600"/>
              <w:jc w:val="both"/>
              <w:rPr>
                <w:sz w:val="20"/>
              </w:rPr>
            </w:pPr>
            <w:r>
              <w:rPr>
                <w:w w:val="95"/>
                <w:sz w:val="20"/>
              </w:rPr>
              <w:t>实际实施了开颅进行的脑肿瘤完全切除或部分切除的手术；</w:t>
            </w:r>
          </w:p>
          <w:p>
            <w:pPr>
              <w:pStyle w:val="TableParagraph"/>
              <w:numPr>
                <w:ilvl w:val="0"/>
                <w:numId w:val="27"/>
              </w:numPr>
              <w:tabs>
                <w:tab w:pos="709" w:val="left" w:leader="none"/>
              </w:tabs>
              <w:spacing w:line="240" w:lineRule="auto" w:before="50" w:after="0"/>
              <w:ind w:left="708" w:right="0" w:hanging="600"/>
              <w:jc w:val="both"/>
              <w:rPr>
                <w:sz w:val="20"/>
              </w:rPr>
            </w:pPr>
            <w:r>
              <w:rPr>
                <w:w w:val="95"/>
                <w:sz w:val="20"/>
              </w:rPr>
              <w:t>实际实施了对脑肿瘤进行的放射治疗。</w:t>
            </w:r>
          </w:p>
          <w:p>
            <w:pPr>
              <w:pStyle w:val="TableParagraph"/>
              <w:spacing w:before="50"/>
              <w:jc w:val="both"/>
              <w:rPr>
                <w:b/>
                <w:sz w:val="20"/>
              </w:rPr>
            </w:pPr>
            <w:r>
              <w:rPr>
                <w:b/>
                <w:w w:val="95"/>
                <w:sz w:val="20"/>
              </w:rPr>
              <w:t>脑垂体瘤、脑囊肿、脑血管性疾病不在保障范围内。</w:t>
            </w:r>
          </w:p>
        </w:tc>
      </w:tr>
      <w:tr>
        <w:trPr>
          <w:trHeight w:val="1919" w:hRule="atLeast"/>
        </w:trPr>
        <w:tc>
          <w:tcPr>
            <w:tcW w:w="1860" w:type="dxa"/>
          </w:tcPr>
          <w:p>
            <w:pPr>
              <w:pStyle w:val="TableParagraph"/>
              <w:spacing w:line="285" w:lineRule="auto" w:before="5"/>
              <w:ind w:left="107" w:right="74"/>
              <w:rPr>
                <w:sz w:val="20"/>
              </w:rPr>
            </w:pPr>
            <w:r>
              <w:rPr>
                <w:sz w:val="20"/>
              </w:rPr>
              <w:t>10. 慢性肝功能衰</w:t>
            </w:r>
            <w:r>
              <w:rPr>
                <w:w w:val="95"/>
                <w:sz w:val="20"/>
              </w:rPr>
              <w:t>竭失代偿期</w:t>
            </w:r>
          </w:p>
        </w:tc>
        <w:tc>
          <w:tcPr>
            <w:tcW w:w="7933" w:type="dxa"/>
          </w:tcPr>
          <w:p>
            <w:pPr>
              <w:pStyle w:val="TableParagraph"/>
              <w:spacing w:before="5"/>
              <w:rPr>
                <w:sz w:val="20"/>
              </w:rPr>
            </w:pPr>
            <w:r>
              <w:rPr>
                <w:w w:val="95"/>
                <w:sz w:val="20"/>
              </w:rPr>
              <w:t>指因慢性肝脏疾病导致肝功能衰竭。须满足下列全部条件：</w:t>
            </w:r>
          </w:p>
          <w:p>
            <w:pPr>
              <w:pStyle w:val="TableParagraph"/>
              <w:numPr>
                <w:ilvl w:val="0"/>
                <w:numId w:val="28"/>
              </w:numPr>
              <w:tabs>
                <w:tab w:pos="512" w:val="left" w:leader="none"/>
              </w:tabs>
              <w:spacing w:line="240" w:lineRule="auto" w:before="50" w:after="0"/>
              <w:ind w:left="108" w:right="0" w:firstLine="0"/>
              <w:jc w:val="left"/>
              <w:rPr>
                <w:sz w:val="20"/>
              </w:rPr>
            </w:pPr>
            <w:r>
              <w:rPr>
                <w:w w:val="95"/>
                <w:sz w:val="20"/>
              </w:rPr>
              <w:t>持续性黄疸；</w:t>
            </w:r>
          </w:p>
          <w:p>
            <w:pPr>
              <w:pStyle w:val="TableParagraph"/>
              <w:numPr>
                <w:ilvl w:val="0"/>
                <w:numId w:val="28"/>
              </w:numPr>
              <w:tabs>
                <w:tab w:pos="512" w:val="left" w:leader="none"/>
              </w:tabs>
              <w:spacing w:line="240" w:lineRule="auto" w:before="50" w:after="0"/>
              <w:ind w:left="108" w:right="0" w:firstLine="0"/>
              <w:jc w:val="left"/>
              <w:rPr>
                <w:sz w:val="20"/>
              </w:rPr>
            </w:pPr>
            <w:r>
              <w:rPr>
                <w:w w:val="95"/>
                <w:sz w:val="20"/>
              </w:rPr>
              <w:t>腹水；</w:t>
            </w:r>
          </w:p>
          <w:p>
            <w:pPr>
              <w:pStyle w:val="TableParagraph"/>
              <w:numPr>
                <w:ilvl w:val="0"/>
                <w:numId w:val="28"/>
              </w:numPr>
              <w:tabs>
                <w:tab w:pos="512" w:val="left" w:leader="none"/>
              </w:tabs>
              <w:spacing w:line="240" w:lineRule="auto" w:before="50" w:after="0"/>
              <w:ind w:left="108" w:right="0" w:firstLine="0"/>
              <w:jc w:val="left"/>
              <w:rPr>
                <w:sz w:val="20"/>
              </w:rPr>
            </w:pPr>
            <w:r>
              <w:rPr>
                <w:w w:val="95"/>
                <w:sz w:val="20"/>
              </w:rPr>
              <w:t>肝性脑病；</w:t>
            </w:r>
          </w:p>
          <w:p>
            <w:pPr>
              <w:pStyle w:val="TableParagraph"/>
              <w:numPr>
                <w:ilvl w:val="0"/>
                <w:numId w:val="28"/>
              </w:numPr>
              <w:tabs>
                <w:tab w:pos="512" w:val="left" w:leader="none"/>
              </w:tabs>
              <w:spacing w:line="285" w:lineRule="auto" w:before="50" w:after="0"/>
              <w:ind w:left="108" w:right="2996" w:firstLine="0"/>
              <w:jc w:val="left"/>
              <w:rPr>
                <w:b/>
                <w:sz w:val="20"/>
              </w:rPr>
            </w:pPr>
            <w:r>
              <w:rPr>
                <w:sz w:val="20"/>
              </w:rPr>
              <w:t>充血性脾肿大伴脾功能亢进或食管胃底静脉曲张。</w:t>
            </w:r>
            <w:r>
              <w:rPr>
                <w:b/>
                <w:w w:val="95"/>
                <w:sz w:val="20"/>
              </w:rPr>
              <w:t>因酗酒或药物滥用导致的肝功能衰竭不在保障范围内。</w:t>
            </w:r>
          </w:p>
        </w:tc>
      </w:tr>
      <w:tr>
        <w:trPr>
          <w:trHeight w:val="1605" w:hRule="atLeast"/>
        </w:trPr>
        <w:tc>
          <w:tcPr>
            <w:tcW w:w="1860" w:type="dxa"/>
          </w:tcPr>
          <w:p>
            <w:pPr>
              <w:pStyle w:val="TableParagraph"/>
              <w:spacing w:line="285" w:lineRule="auto" w:before="3"/>
              <w:ind w:left="107" w:right="74"/>
              <w:rPr>
                <w:sz w:val="20"/>
              </w:rPr>
            </w:pPr>
            <w:r>
              <w:rPr>
                <w:sz w:val="20"/>
              </w:rPr>
              <w:t>11. 脑炎后遗症或</w:t>
            </w:r>
            <w:r>
              <w:rPr>
                <w:w w:val="95"/>
                <w:sz w:val="20"/>
              </w:rPr>
              <w:t>脑膜炎后遗症</w:t>
            </w:r>
          </w:p>
        </w:tc>
        <w:tc>
          <w:tcPr>
            <w:tcW w:w="7933" w:type="dxa"/>
          </w:tcPr>
          <w:p>
            <w:pPr>
              <w:pStyle w:val="TableParagraph"/>
              <w:spacing w:line="285" w:lineRule="auto" w:before="3"/>
              <w:ind w:right="104"/>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29"/>
              </w:numPr>
              <w:tabs>
                <w:tab w:pos="512" w:val="left" w:leader="none"/>
              </w:tabs>
              <w:spacing w:line="240" w:lineRule="auto" w:before="12" w:after="0"/>
              <w:ind w:left="511" w:right="0" w:hanging="403"/>
              <w:jc w:val="left"/>
              <w:rPr>
                <w:sz w:val="20"/>
              </w:rPr>
            </w:pPr>
            <w:r>
              <w:rPr>
                <w:w w:val="95"/>
                <w:sz w:val="20"/>
              </w:rPr>
              <w:t>一肢或一肢以上肢体机能完全丧失；</w:t>
            </w:r>
          </w:p>
          <w:p>
            <w:pPr>
              <w:pStyle w:val="TableParagraph"/>
              <w:numPr>
                <w:ilvl w:val="0"/>
                <w:numId w:val="29"/>
              </w:numPr>
              <w:tabs>
                <w:tab w:pos="512" w:val="left" w:leader="none"/>
              </w:tabs>
              <w:spacing w:line="240" w:lineRule="auto" w:before="50" w:after="0"/>
              <w:ind w:left="511" w:right="0" w:hanging="403"/>
              <w:jc w:val="left"/>
              <w:rPr>
                <w:sz w:val="20"/>
              </w:rPr>
            </w:pPr>
            <w:r>
              <w:rPr>
                <w:w w:val="95"/>
                <w:sz w:val="20"/>
              </w:rPr>
              <w:t>语言能力或咀嚼吞咽能力完全丧失；</w:t>
            </w:r>
          </w:p>
          <w:p>
            <w:pPr>
              <w:pStyle w:val="TableParagraph"/>
              <w:numPr>
                <w:ilvl w:val="0"/>
                <w:numId w:val="29"/>
              </w:numPr>
              <w:tabs>
                <w:tab w:pos="512" w:val="left" w:leader="none"/>
              </w:tabs>
              <w:spacing w:line="240" w:lineRule="auto" w:before="50" w:after="0"/>
              <w:ind w:left="511" w:right="0" w:hanging="403"/>
              <w:jc w:val="left"/>
              <w:rPr>
                <w:sz w:val="20"/>
              </w:rPr>
            </w:pPr>
            <w:r>
              <w:rPr>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5"/>
              <w:ind w:left="107"/>
              <w:rPr>
                <w:sz w:val="20"/>
              </w:rPr>
            </w:pPr>
            <w:r>
              <w:rPr>
                <w:w w:val="95"/>
                <w:sz w:val="20"/>
              </w:rPr>
              <w:t>12.双耳失聪</w:t>
            </w:r>
          </w:p>
        </w:tc>
        <w:tc>
          <w:tcPr>
            <w:tcW w:w="7933" w:type="dxa"/>
          </w:tcPr>
          <w:p>
            <w:pPr>
              <w:pStyle w:val="TableParagraph"/>
              <w:spacing w:before="5"/>
              <w:rPr>
                <w:sz w:val="20"/>
              </w:rPr>
            </w:pPr>
            <w:r>
              <w:rPr>
                <w:sz w:val="20"/>
              </w:rPr>
              <w:t>指因疾病或意外伤害导致双耳听力</w:t>
            </w:r>
            <w:r>
              <w:rPr>
                <w:b/>
                <w:sz w:val="20"/>
              </w:rPr>
              <w:t>永久不可逆</w:t>
            </w:r>
            <w:r>
              <w:rPr>
                <w:b/>
                <w:position w:val="10"/>
                <w:sz w:val="10"/>
              </w:rPr>
              <w:t>[26]</w:t>
            </w:r>
            <w:r>
              <w:rPr>
                <w:spacing w:val="-17"/>
                <w:sz w:val="20"/>
              </w:rPr>
              <w:t>性丧失，在 </w:t>
            </w:r>
            <w:r>
              <w:rPr>
                <w:sz w:val="20"/>
              </w:rPr>
              <w:t>500</w:t>
            </w:r>
            <w:r>
              <w:rPr>
                <w:spacing w:val="-12"/>
                <w:sz w:val="20"/>
              </w:rPr>
              <w:t> 赫兹、</w:t>
            </w:r>
            <w:r>
              <w:rPr>
                <w:sz w:val="20"/>
              </w:rPr>
              <w:t>1000</w:t>
            </w:r>
            <w:r>
              <w:rPr>
                <w:spacing w:val="-11"/>
                <w:sz w:val="20"/>
              </w:rPr>
              <w:t> 赫兹和 </w:t>
            </w:r>
            <w:r>
              <w:rPr>
                <w:sz w:val="20"/>
              </w:rPr>
              <w:t>2000</w:t>
            </w:r>
          </w:p>
          <w:p>
            <w:pPr>
              <w:pStyle w:val="TableParagraph"/>
              <w:spacing w:line="285" w:lineRule="auto" w:before="50"/>
              <w:ind w:right="101"/>
              <w:rPr>
                <w:sz w:val="20"/>
              </w:rPr>
            </w:pPr>
            <w:r>
              <w:rPr>
                <w:spacing w:val="-6"/>
                <w:sz w:val="20"/>
              </w:rPr>
              <w:t>赫兹语音频率下，平均听阈大于 </w:t>
            </w:r>
            <w:r>
              <w:rPr>
                <w:sz w:val="20"/>
              </w:rPr>
              <w:t>90</w:t>
            </w:r>
            <w:r>
              <w:rPr>
                <w:spacing w:val="-5"/>
                <w:sz w:val="20"/>
              </w:rPr>
              <w:t> 分贝，且经纯音听力测试、声导抗检测或听觉诱发电</w:t>
            </w:r>
            <w:r>
              <w:rPr>
                <w:spacing w:val="-5"/>
                <w:w w:val="95"/>
                <w:sz w:val="20"/>
              </w:rPr>
              <w:t>位检测等证实。</w:t>
            </w:r>
          </w:p>
        </w:tc>
      </w:tr>
      <w:tr>
        <w:trPr>
          <w:trHeight w:val="1607" w:hRule="atLeast"/>
        </w:trPr>
        <w:tc>
          <w:tcPr>
            <w:tcW w:w="1860" w:type="dxa"/>
          </w:tcPr>
          <w:p>
            <w:pPr>
              <w:pStyle w:val="TableParagraph"/>
              <w:spacing w:before="5"/>
              <w:ind w:left="107"/>
              <w:rPr>
                <w:sz w:val="20"/>
              </w:rPr>
            </w:pPr>
            <w:r>
              <w:rPr>
                <w:w w:val="95"/>
                <w:sz w:val="20"/>
              </w:rPr>
              <w:t>13.双目失明</w:t>
            </w:r>
          </w:p>
        </w:tc>
        <w:tc>
          <w:tcPr>
            <w:tcW w:w="7933" w:type="dxa"/>
          </w:tcPr>
          <w:p>
            <w:pPr>
              <w:pStyle w:val="TableParagraph"/>
              <w:spacing w:line="285" w:lineRule="auto" w:before="5"/>
              <w:ind w:right="101"/>
              <w:rPr>
                <w:sz w:val="20"/>
              </w:rPr>
            </w:pPr>
            <w:r>
              <w:rPr>
                <w:spacing w:val="-4"/>
                <w:w w:val="95"/>
                <w:sz w:val="20"/>
              </w:rPr>
              <w:t>指因疾病或意外伤害导致双眼视力永久不可逆性丧失，双眼中较好眼须满足下列至少一项   条件：</w:t>
            </w:r>
          </w:p>
          <w:p>
            <w:pPr>
              <w:pStyle w:val="TableParagraph"/>
              <w:numPr>
                <w:ilvl w:val="0"/>
                <w:numId w:val="30"/>
              </w:numPr>
              <w:tabs>
                <w:tab w:pos="512" w:val="left" w:leader="none"/>
              </w:tabs>
              <w:spacing w:line="240" w:lineRule="auto" w:before="12" w:after="0"/>
              <w:ind w:left="511" w:right="0" w:hanging="403"/>
              <w:jc w:val="left"/>
              <w:rPr>
                <w:sz w:val="20"/>
              </w:rPr>
            </w:pPr>
            <w:r>
              <w:rPr>
                <w:w w:val="95"/>
                <w:sz w:val="20"/>
              </w:rPr>
              <w:t>眼球缺失或摘除；</w:t>
            </w:r>
          </w:p>
          <w:p>
            <w:pPr>
              <w:pStyle w:val="TableParagraph"/>
              <w:numPr>
                <w:ilvl w:val="0"/>
                <w:numId w:val="30"/>
              </w:numPr>
              <w:tabs>
                <w:tab w:pos="512" w:val="left" w:leader="none"/>
              </w:tabs>
              <w:spacing w:line="240" w:lineRule="auto" w:before="50" w:after="0"/>
              <w:ind w:left="511" w:right="0" w:hanging="403"/>
              <w:jc w:val="left"/>
              <w:rPr>
                <w:sz w:val="20"/>
              </w:rPr>
            </w:pPr>
            <w:r>
              <w:rPr>
                <w:spacing w:val="-9"/>
                <w:sz w:val="20"/>
              </w:rPr>
              <w:t>矫正视力低于 </w:t>
            </w:r>
            <w:r>
              <w:rPr>
                <w:sz w:val="20"/>
              </w:rPr>
              <w:t>0.02（采用国际标准视力表，如果使用其它视力表应进行换算）；</w:t>
            </w:r>
          </w:p>
          <w:p>
            <w:pPr>
              <w:pStyle w:val="TableParagraph"/>
              <w:numPr>
                <w:ilvl w:val="0"/>
                <w:numId w:val="30"/>
              </w:numPr>
              <w:tabs>
                <w:tab w:pos="512" w:val="left" w:leader="none"/>
              </w:tabs>
              <w:spacing w:line="240" w:lineRule="auto" w:before="50" w:after="0"/>
              <w:ind w:left="511" w:right="0" w:hanging="403"/>
              <w:jc w:val="left"/>
              <w:rPr>
                <w:sz w:val="20"/>
              </w:rPr>
            </w:pPr>
            <w:r>
              <w:rPr>
                <w:spacing w:val="-8"/>
                <w:sz w:val="20"/>
              </w:rPr>
              <w:t>视野半径小于 </w:t>
            </w:r>
            <w:r>
              <w:rPr>
                <w:sz w:val="20"/>
              </w:rPr>
              <w:t>5</w:t>
            </w:r>
            <w:r>
              <w:rPr>
                <w:spacing w:val="-2"/>
                <w:sz w:val="20"/>
              </w:rPr>
              <w:t> 度。</w:t>
            </w:r>
          </w:p>
        </w:tc>
      </w:tr>
      <w:tr>
        <w:trPr>
          <w:trHeight w:val="981" w:hRule="atLeast"/>
        </w:trPr>
        <w:tc>
          <w:tcPr>
            <w:tcW w:w="1860" w:type="dxa"/>
          </w:tcPr>
          <w:p>
            <w:pPr>
              <w:pStyle w:val="TableParagraph"/>
              <w:spacing w:before="3"/>
              <w:ind w:left="107"/>
              <w:rPr>
                <w:sz w:val="20"/>
              </w:rPr>
            </w:pPr>
            <w:r>
              <w:rPr>
                <w:sz w:val="20"/>
              </w:rPr>
              <w:t>14.瘫痪</w:t>
            </w:r>
          </w:p>
        </w:tc>
        <w:tc>
          <w:tcPr>
            <w:tcW w:w="7933" w:type="dxa"/>
          </w:tcPr>
          <w:p>
            <w:pPr>
              <w:pStyle w:val="TableParagraph"/>
              <w:spacing w:line="285" w:lineRule="auto" w:before="3"/>
              <w:ind w:right="99"/>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5"/>
                <w:sz w:val="20"/>
              </w:rPr>
              <w:t> 天后或意外伤害发生 </w:t>
            </w:r>
            <w:r>
              <w:rPr>
                <w:sz w:val="20"/>
              </w:rPr>
              <w:t>180</w:t>
            </w:r>
            <w:r>
              <w:rPr>
                <w:spacing w:val="-1"/>
                <w:sz w:val="20"/>
              </w:rPr>
              <w:t> 天后，每肢三大关节中的两大关节仍然完</w:t>
            </w:r>
            <w:r>
              <w:rPr>
                <w:spacing w:val="-1"/>
                <w:w w:val="95"/>
                <w:sz w:val="20"/>
              </w:rPr>
              <w:t>全僵硬，或不能随意识活动。</w:t>
            </w:r>
          </w:p>
        </w:tc>
      </w:tr>
      <w:tr>
        <w:trPr>
          <w:trHeight w:val="357" w:hRule="atLeast"/>
        </w:trPr>
        <w:tc>
          <w:tcPr>
            <w:tcW w:w="1860" w:type="dxa"/>
          </w:tcPr>
          <w:p>
            <w:pPr>
              <w:pStyle w:val="TableParagraph"/>
              <w:spacing w:before="5"/>
              <w:ind w:left="107"/>
              <w:rPr>
                <w:sz w:val="20"/>
              </w:rPr>
            </w:pPr>
            <w:r>
              <w:rPr>
                <w:w w:val="95"/>
                <w:sz w:val="20"/>
              </w:rPr>
              <w:t>15.心脏瓣膜手术</w:t>
            </w:r>
          </w:p>
        </w:tc>
        <w:tc>
          <w:tcPr>
            <w:tcW w:w="7933" w:type="dxa"/>
          </w:tcPr>
          <w:p>
            <w:pPr>
              <w:pStyle w:val="TableParagraph"/>
              <w:spacing w:before="5"/>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5"/>
              <w:ind w:left="107" w:right="74"/>
              <w:rPr>
                <w:sz w:val="20"/>
              </w:rPr>
            </w:pPr>
            <w:r>
              <w:rPr>
                <w:sz w:val="20"/>
              </w:rPr>
              <w:t>16. 严重阿尔茨海</w:t>
            </w:r>
            <w:r>
              <w:rPr>
                <w:w w:val="95"/>
                <w:sz w:val="20"/>
              </w:rPr>
              <w:t>默病</w:t>
            </w:r>
          </w:p>
        </w:tc>
        <w:tc>
          <w:tcPr>
            <w:tcW w:w="7933" w:type="dxa"/>
          </w:tcPr>
          <w:p>
            <w:pPr>
              <w:pStyle w:val="TableParagraph"/>
              <w:spacing w:line="285" w:lineRule="auto" w:before="5"/>
              <w:ind w:right="104"/>
              <w:rPr>
                <w:sz w:val="20"/>
              </w:rPr>
            </w:pPr>
            <w:r>
              <w:rPr>
                <w:spacing w:val="-8"/>
                <w:w w:val="95"/>
                <w:sz w:val="20"/>
              </w:rPr>
              <w:t>指因大脑进行性、不可逆性改变导致智能严重衰退或丧失，临床表现为明显的认知能力障  </w:t>
            </w:r>
            <w:r>
              <w:rPr>
                <w:spacing w:val="-1"/>
                <w:sz w:val="20"/>
              </w:rPr>
              <w:t>碍、行为异常和社交能力减退，其日常生活必须持续受到他人监护。须由头颅断层扫描</w:t>
            </w:r>
          </w:p>
          <w:p>
            <w:pPr>
              <w:pStyle w:val="TableParagraph"/>
              <w:spacing w:line="285" w:lineRule="auto" w:before="12"/>
              <w:ind w:right="100"/>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before="12"/>
              <w:rPr>
                <w:b/>
                <w:sz w:val="20"/>
              </w:rPr>
            </w:pPr>
            <w:r>
              <w:rPr>
                <w:b/>
                <w:w w:val="95"/>
                <w:sz w:val="20"/>
              </w:rPr>
              <w:t>神经官能症和精神疾病不在保障范围内。</w:t>
            </w:r>
          </w:p>
        </w:tc>
      </w:tr>
      <w:tr>
        <w:trPr>
          <w:trHeight w:val="2229" w:hRule="atLeast"/>
        </w:trPr>
        <w:tc>
          <w:tcPr>
            <w:tcW w:w="1860" w:type="dxa"/>
          </w:tcPr>
          <w:p>
            <w:pPr>
              <w:pStyle w:val="TableParagraph"/>
              <w:spacing w:before="3"/>
              <w:ind w:left="107"/>
              <w:rPr>
                <w:sz w:val="20"/>
              </w:rPr>
            </w:pPr>
            <w:r>
              <w:rPr>
                <w:w w:val="95"/>
                <w:sz w:val="20"/>
              </w:rPr>
              <w:t>17.严重脑损伤</w:t>
            </w:r>
          </w:p>
        </w:tc>
        <w:tc>
          <w:tcPr>
            <w:tcW w:w="7933" w:type="dxa"/>
          </w:tcPr>
          <w:p>
            <w:pPr>
              <w:pStyle w:val="TableParagraph"/>
              <w:spacing w:line="285" w:lineRule="auto" w:before="3"/>
              <w:ind w:right="100"/>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z w:val="20"/>
              </w:rPr>
              <w:t>证实。神经系统永久性的功能障碍，指脑损伤 180 天后，仍遗留下列一种或一种以上障</w:t>
            </w:r>
            <w:r>
              <w:rPr>
                <w:w w:val="95"/>
                <w:sz w:val="20"/>
              </w:rPr>
              <w:t>碍：</w:t>
            </w:r>
          </w:p>
          <w:p>
            <w:pPr>
              <w:pStyle w:val="TableParagraph"/>
              <w:numPr>
                <w:ilvl w:val="0"/>
                <w:numId w:val="31"/>
              </w:numPr>
              <w:tabs>
                <w:tab w:pos="512" w:val="left" w:leader="none"/>
              </w:tabs>
              <w:spacing w:line="240" w:lineRule="auto" w:before="12" w:after="0"/>
              <w:ind w:left="511" w:right="0" w:hanging="403"/>
              <w:jc w:val="both"/>
              <w:rPr>
                <w:sz w:val="20"/>
              </w:rPr>
            </w:pPr>
            <w:r>
              <w:rPr>
                <w:w w:val="95"/>
                <w:sz w:val="20"/>
              </w:rPr>
              <w:t>一肢或一肢以上肢体机能完全丧失；</w:t>
            </w:r>
          </w:p>
          <w:p>
            <w:pPr>
              <w:pStyle w:val="TableParagraph"/>
              <w:numPr>
                <w:ilvl w:val="0"/>
                <w:numId w:val="31"/>
              </w:numPr>
              <w:tabs>
                <w:tab w:pos="512" w:val="left" w:leader="none"/>
              </w:tabs>
              <w:spacing w:line="240" w:lineRule="auto" w:before="50" w:after="0"/>
              <w:ind w:left="511" w:right="0" w:hanging="403"/>
              <w:jc w:val="both"/>
              <w:rPr>
                <w:sz w:val="20"/>
              </w:rPr>
            </w:pPr>
            <w:r>
              <w:rPr>
                <w:w w:val="95"/>
                <w:sz w:val="20"/>
              </w:rPr>
              <w:t>语言能力或咀嚼吞咽能力完全丧失；</w:t>
            </w:r>
          </w:p>
          <w:p>
            <w:pPr>
              <w:pStyle w:val="TableParagraph"/>
              <w:numPr>
                <w:ilvl w:val="0"/>
                <w:numId w:val="31"/>
              </w:numPr>
              <w:tabs>
                <w:tab w:pos="512" w:val="left" w:leader="none"/>
              </w:tabs>
              <w:spacing w:line="240" w:lineRule="auto" w:before="50" w:after="0"/>
              <w:ind w:left="511"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5"/>
              <w:ind w:left="107"/>
              <w:rPr>
                <w:sz w:val="20"/>
              </w:rPr>
            </w:pPr>
            <w:r>
              <w:rPr>
                <w:w w:val="95"/>
                <w:sz w:val="20"/>
              </w:rPr>
              <w:t>18.严重帕金森病</w:t>
            </w:r>
          </w:p>
        </w:tc>
        <w:tc>
          <w:tcPr>
            <w:tcW w:w="7933" w:type="dxa"/>
          </w:tcPr>
          <w:p>
            <w:pPr>
              <w:pStyle w:val="TableParagraph"/>
              <w:spacing w:line="285" w:lineRule="auto" w:before="5"/>
              <w:ind w:right="104"/>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numPr>
                <w:ilvl w:val="0"/>
                <w:numId w:val="32"/>
              </w:numPr>
              <w:tabs>
                <w:tab w:pos="512" w:val="left" w:leader="none"/>
              </w:tabs>
              <w:spacing w:line="240" w:lineRule="auto" w:before="5" w:after="0"/>
              <w:ind w:left="108" w:right="0" w:firstLine="0"/>
              <w:jc w:val="left"/>
              <w:rPr>
                <w:sz w:val="20"/>
              </w:rPr>
            </w:pPr>
            <w:r>
              <w:rPr>
                <w:w w:val="95"/>
                <w:sz w:val="20"/>
              </w:rPr>
              <w:t>药物治疗无法控制病情；</w:t>
            </w:r>
          </w:p>
          <w:p>
            <w:pPr>
              <w:pStyle w:val="TableParagraph"/>
              <w:numPr>
                <w:ilvl w:val="0"/>
                <w:numId w:val="32"/>
              </w:numPr>
              <w:tabs>
                <w:tab w:pos="512" w:val="left" w:leader="none"/>
              </w:tabs>
              <w:spacing w:line="285" w:lineRule="auto" w:before="50" w:after="0"/>
              <w:ind w:left="108" w:right="17" w:firstLine="0"/>
              <w:jc w:val="left"/>
              <w:rPr>
                <w:b/>
                <w:sz w:val="20"/>
              </w:rPr>
            </w:pPr>
            <w:r>
              <w:rPr>
                <w:w w:val="95"/>
                <w:sz w:val="20"/>
              </w:rPr>
              <w:t>自主生活能力完全丧失，无法独立完成六项基本日常生活活动中的三项或三项以上。  </w:t>
            </w:r>
            <w:r>
              <w:rPr>
                <w:b/>
                <w:w w:val="95"/>
                <w:sz w:val="20"/>
              </w:rPr>
              <w:t>继发性帕金森综合征不在保障范围内。</w:t>
            </w:r>
          </w:p>
        </w:tc>
      </w:tr>
      <w:tr>
        <w:trPr>
          <w:trHeight w:val="671" w:hRule="atLeast"/>
        </w:trPr>
        <w:tc>
          <w:tcPr>
            <w:tcW w:w="1860" w:type="dxa"/>
          </w:tcPr>
          <w:p>
            <w:pPr>
              <w:pStyle w:val="TableParagraph"/>
              <w:spacing w:before="5"/>
              <w:ind w:left="107"/>
              <w:rPr>
                <w:sz w:val="20"/>
              </w:rPr>
            </w:pPr>
            <w:r>
              <w:rPr>
                <w:w w:val="95"/>
                <w:sz w:val="20"/>
              </w:rPr>
              <w:t>19.严重Ⅲ度烧伤</w:t>
            </w:r>
          </w:p>
        </w:tc>
        <w:tc>
          <w:tcPr>
            <w:tcW w:w="7933" w:type="dxa"/>
          </w:tcPr>
          <w:p>
            <w:pPr>
              <w:pStyle w:val="TableParagraph"/>
              <w:spacing w:line="285" w:lineRule="auto" w:before="5"/>
              <w:ind w:right="98"/>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3"/>
              <w:ind w:left="107" w:right="74"/>
              <w:rPr>
                <w:sz w:val="20"/>
              </w:rPr>
            </w:pPr>
            <w:r>
              <w:rPr>
                <w:sz w:val="20"/>
              </w:rPr>
              <w:t>20. 严重原发性肺</w:t>
            </w:r>
            <w:r>
              <w:rPr>
                <w:w w:val="95"/>
                <w:sz w:val="20"/>
              </w:rPr>
              <w:t>动脉高压</w:t>
            </w:r>
          </w:p>
        </w:tc>
        <w:tc>
          <w:tcPr>
            <w:tcW w:w="7933" w:type="dxa"/>
          </w:tcPr>
          <w:p>
            <w:pPr>
              <w:pStyle w:val="TableParagraph"/>
              <w:spacing w:line="285" w:lineRule="auto" w:before="3"/>
              <w:ind w:right="97"/>
              <w:jc w:val="both"/>
              <w:rPr>
                <w:sz w:val="20"/>
              </w:rPr>
            </w:pPr>
            <w:r>
              <w:rPr>
                <w:spacing w:val="-5"/>
                <w:sz w:val="20"/>
              </w:rPr>
              <w:t>指不明原因的肺动脉压力持续性增高，进行性发展而导致的慢性疾病，已经造成永久不可</w:t>
            </w:r>
            <w:r>
              <w:rPr>
                <w:spacing w:val="-8"/>
                <w:sz w:val="20"/>
              </w:rPr>
              <w:t>逆性的体力活动能力受限，达到美国纽约心脏病学会心功能状态分级 </w:t>
            </w:r>
            <w:r>
              <w:rPr>
                <w:sz w:val="20"/>
              </w:rPr>
              <w:t>IV</w:t>
            </w:r>
            <w:r>
              <w:rPr>
                <w:spacing w:val="-5"/>
                <w:sz w:val="20"/>
              </w:rPr>
              <w:t> 级，且静息状态</w:t>
            </w:r>
            <w:r>
              <w:rPr>
                <w:spacing w:val="-10"/>
                <w:sz w:val="20"/>
              </w:rPr>
              <w:t>下肺动脉平均压超过 </w:t>
            </w:r>
            <w:r>
              <w:rPr>
                <w:sz w:val="20"/>
              </w:rPr>
              <w:t>30mmHg。</w:t>
            </w:r>
          </w:p>
        </w:tc>
      </w:tr>
      <w:tr>
        <w:trPr>
          <w:trHeight w:val="981" w:hRule="atLeast"/>
        </w:trPr>
        <w:tc>
          <w:tcPr>
            <w:tcW w:w="1860" w:type="dxa"/>
          </w:tcPr>
          <w:p>
            <w:pPr>
              <w:pStyle w:val="TableParagraph"/>
              <w:spacing w:line="285" w:lineRule="auto" w:before="5"/>
              <w:ind w:left="107" w:right="74"/>
              <w:rPr>
                <w:sz w:val="20"/>
              </w:rPr>
            </w:pPr>
            <w:r>
              <w:rPr>
                <w:sz w:val="20"/>
              </w:rPr>
              <w:t>21. 严重运动神经</w:t>
            </w:r>
            <w:r>
              <w:rPr>
                <w:w w:val="95"/>
                <w:sz w:val="20"/>
              </w:rPr>
              <w:t>元病</w:t>
            </w:r>
          </w:p>
        </w:tc>
        <w:tc>
          <w:tcPr>
            <w:tcW w:w="7933" w:type="dxa"/>
          </w:tcPr>
          <w:p>
            <w:pPr>
              <w:pStyle w:val="TableParagraph"/>
              <w:spacing w:line="285" w:lineRule="auto" w:before="5"/>
              <w:ind w:right="103"/>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4" w:hRule="atLeast"/>
        </w:trPr>
        <w:tc>
          <w:tcPr>
            <w:tcW w:w="1860" w:type="dxa"/>
          </w:tcPr>
          <w:p>
            <w:pPr>
              <w:pStyle w:val="TableParagraph"/>
              <w:spacing w:before="5"/>
              <w:ind w:left="107"/>
              <w:rPr>
                <w:sz w:val="20"/>
              </w:rPr>
            </w:pPr>
            <w:r>
              <w:rPr>
                <w:w w:val="95"/>
                <w:sz w:val="20"/>
              </w:rPr>
              <w:t>22.语言能力丧失</w:t>
            </w:r>
          </w:p>
        </w:tc>
        <w:tc>
          <w:tcPr>
            <w:tcW w:w="7933" w:type="dxa"/>
          </w:tcPr>
          <w:p>
            <w:pPr>
              <w:pStyle w:val="TableParagraph"/>
              <w:spacing w:line="285" w:lineRule="auto" w:before="5"/>
              <w:ind w:right="98"/>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before="12"/>
              <w:rPr>
                <w:b/>
                <w:sz w:val="20"/>
              </w:rPr>
            </w:pPr>
            <w:r>
              <w:rPr>
                <w:b/>
                <w:w w:val="95"/>
                <w:sz w:val="20"/>
              </w:rPr>
              <w:t>精神心理因素所致的语言能力丧失不在保障范围内。</w:t>
            </w:r>
          </w:p>
        </w:tc>
      </w:tr>
      <w:tr>
        <w:trPr>
          <w:trHeight w:val="2229" w:hRule="atLeast"/>
        </w:trPr>
        <w:tc>
          <w:tcPr>
            <w:tcW w:w="1860" w:type="dxa"/>
          </w:tcPr>
          <w:p>
            <w:pPr>
              <w:pStyle w:val="TableParagraph"/>
              <w:spacing w:line="285" w:lineRule="auto" w:before="3"/>
              <w:ind w:left="107" w:right="74"/>
              <w:rPr>
                <w:sz w:val="20"/>
              </w:rPr>
            </w:pPr>
            <w:r>
              <w:rPr>
                <w:sz w:val="20"/>
              </w:rPr>
              <w:t>23. 重型再生障碍</w:t>
            </w:r>
            <w:r>
              <w:rPr>
                <w:w w:val="95"/>
                <w:sz w:val="20"/>
              </w:rPr>
              <w:t>性贫血</w:t>
            </w:r>
          </w:p>
        </w:tc>
        <w:tc>
          <w:tcPr>
            <w:tcW w:w="7933" w:type="dxa"/>
          </w:tcPr>
          <w:p>
            <w:pPr>
              <w:pStyle w:val="TableParagraph"/>
              <w:spacing w:line="285" w:lineRule="auto" w:before="3"/>
              <w:ind w:right="103"/>
              <w:rPr>
                <w:sz w:val="20"/>
              </w:rPr>
            </w:pPr>
            <w:r>
              <w:rPr>
                <w:spacing w:val="-4"/>
                <w:w w:val="95"/>
                <w:sz w:val="20"/>
              </w:rPr>
              <w:t>指因骨髓造血功能慢性持续性衰竭导致的贫血、中性粒细胞减少及血小板减少。须满足下   列全部条件：</w:t>
            </w:r>
          </w:p>
          <w:p>
            <w:pPr>
              <w:pStyle w:val="TableParagraph"/>
              <w:numPr>
                <w:ilvl w:val="0"/>
                <w:numId w:val="33"/>
              </w:numPr>
              <w:tabs>
                <w:tab w:pos="512" w:val="left" w:leader="none"/>
              </w:tabs>
              <w:spacing w:line="240" w:lineRule="auto" w:before="12" w:after="0"/>
              <w:ind w:left="511" w:right="0" w:hanging="403"/>
              <w:jc w:val="left"/>
              <w:rPr>
                <w:sz w:val="20"/>
              </w:rPr>
            </w:pPr>
            <w:r>
              <w:rPr>
                <w:w w:val="95"/>
                <w:sz w:val="20"/>
              </w:rPr>
              <w:t>骨髓穿刺检查或骨髓活检结果支持诊断；</w:t>
            </w:r>
          </w:p>
          <w:p>
            <w:pPr>
              <w:pStyle w:val="TableParagraph"/>
              <w:numPr>
                <w:ilvl w:val="0"/>
                <w:numId w:val="33"/>
              </w:numPr>
              <w:tabs>
                <w:tab w:pos="512" w:val="left" w:leader="none"/>
              </w:tabs>
              <w:spacing w:line="240" w:lineRule="auto" w:before="50" w:after="0"/>
              <w:ind w:left="511" w:right="0" w:hanging="403"/>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5"/>
              <w:ind w:left="107"/>
              <w:rPr>
                <w:sz w:val="20"/>
              </w:rPr>
            </w:pPr>
            <w:r>
              <w:rPr>
                <w:w w:val="95"/>
                <w:sz w:val="20"/>
              </w:rPr>
              <w:t>24.主动脉手术</w:t>
            </w:r>
          </w:p>
        </w:tc>
        <w:tc>
          <w:tcPr>
            <w:tcW w:w="7933" w:type="dxa"/>
          </w:tcPr>
          <w:p>
            <w:pPr>
              <w:pStyle w:val="TableParagraph"/>
              <w:spacing w:line="285" w:lineRule="auto" w:before="5"/>
              <w:ind w:right="104"/>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before="12"/>
              <w:rPr>
                <w:b/>
                <w:sz w:val="20"/>
              </w:rPr>
            </w:pPr>
            <w:r>
              <w:rPr>
                <w:b/>
                <w:w w:val="95"/>
                <w:sz w:val="20"/>
              </w:rPr>
              <w:t>动脉内血管成形术不在保障范围内。</w:t>
            </w:r>
          </w:p>
        </w:tc>
      </w:tr>
      <w:tr>
        <w:trPr>
          <w:trHeight w:val="2231" w:hRule="atLeast"/>
        </w:trPr>
        <w:tc>
          <w:tcPr>
            <w:tcW w:w="1860" w:type="dxa"/>
          </w:tcPr>
          <w:p>
            <w:pPr>
              <w:pStyle w:val="TableParagraph"/>
              <w:spacing w:before="6"/>
              <w:ind w:left="107"/>
              <w:rPr>
                <w:sz w:val="20"/>
              </w:rPr>
            </w:pPr>
            <w:r>
              <w:rPr>
                <w:w w:val="95"/>
                <w:sz w:val="20"/>
              </w:rPr>
              <w:t>25.原发性心肌病</w:t>
            </w:r>
          </w:p>
        </w:tc>
        <w:tc>
          <w:tcPr>
            <w:tcW w:w="7933" w:type="dxa"/>
          </w:tcPr>
          <w:p>
            <w:pPr>
              <w:pStyle w:val="TableParagraph"/>
              <w:spacing w:line="285" w:lineRule="auto" w:before="6"/>
              <w:ind w:right="95"/>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9"/>
                <w:sz w:val="20"/>
              </w:rPr>
              <w:t> 级)，且有相关住院医疗记录显示 </w:t>
            </w:r>
            <w:r>
              <w:rPr>
                <w:sz w:val="20"/>
              </w:rPr>
              <w:t>IV</w:t>
            </w:r>
            <w:r>
              <w:rPr>
                <w:spacing w:val="-14"/>
                <w:sz w:val="20"/>
              </w:rPr>
              <w:t> 级心功</w:t>
            </w:r>
            <w:r>
              <w:rPr>
                <w:spacing w:val="-16"/>
                <w:sz w:val="20"/>
              </w:rPr>
              <w:t>能衰竭状态持续至少一百八十天。该疾病索赔时须要经心内科专科医生做出明确诊断。继</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r>
        <w:trPr>
          <w:trHeight w:val="1293" w:hRule="atLeast"/>
        </w:trPr>
        <w:tc>
          <w:tcPr>
            <w:tcW w:w="1860" w:type="dxa"/>
          </w:tcPr>
          <w:p>
            <w:pPr>
              <w:pStyle w:val="TableParagraph"/>
              <w:spacing w:before="3"/>
              <w:ind w:left="107"/>
              <w:rPr>
                <w:sz w:val="20"/>
              </w:rPr>
            </w:pPr>
            <w:r>
              <w:rPr>
                <w:w w:val="95"/>
                <w:sz w:val="20"/>
              </w:rPr>
              <w:t>26.脊髓灰质炎</w:t>
            </w:r>
          </w:p>
        </w:tc>
        <w:tc>
          <w:tcPr>
            <w:tcW w:w="7933" w:type="dxa"/>
          </w:tcPr>
          <w:p>
            <w:pPr>
              <w:pStyle w:val="TableParagraph"/>
              <w:spacing w:line="285" w:lineRule="auto" w:before="3"/>
              <w:ind w:right="17"/>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before="5"/>
              <w:ind w:left="107" w:right="74"/>
              <w:jc w:val="both"/>
              <w:rPr>
                <w:sz w:val="20"/>
              </w:rPr>
            </w:pPr>
            <w:r>
              <w:rPr>
                <w:sz w:val="20"/>
              </w:rPr>
              <w:t>27. 经输血导致的人类免疫缺陷病毒</w:t>
            </w:r>
            <w:r>
              <w:rPr>
                <w:w w:val="95"/>
                <w:sz w:val="20"/>
              </w:rPr>
              <w:t>感染</w:t>
            </w:r>
          </w:p>
        </w:tc>
        <w:tc>
          <w:tcPr>
            <w:tcW w:w="7933" w:type="dxa"/>
          </w:tcPr>
          <w:p>
            <w:pPr>
              <w:pStyle w:val="TableParagraph"/>
              <w:spacing w:before="5"/>
              <w:rPr>
                <w:sz w:val="20"/>
              </w:rPr>
            </w:pPr>
            <w:r>
              <w:rPr>
                <w:w w:val="95"/>
                <w:sz w:val="20"/>
              </w:rPr>
              <w:t>被保险人感染上人类免疫缺陷病毒（HIV）并且符合下列所有条件：</w:t>
            </w:r>
          </w:p>
          <w:p>
            <w:pPr>
              <w:pStyle w:val="TableParagraph"/>
              <w:numPr>
                <w:ilvl w:val="0"/>
                <w:numId w:val="34"/>
              </w:numPr>
              <w:tabs>
                <w:tab w:pos="512" w:val="left" w:leader="none"/>
              </w:tabs>
              <w:spacing w:line="285" w:lineRule="auto" w:before="50" w:after="0"/>
              <w:ind w:left="108" w:right="103"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34"/>
              </w:numPr>
              <w:tabs>
                <w:tab w:pos="512" w:val="left" w:leader="none"/>
              </w:tabs>
              <w:spacing w:line="285" w:lineRule="auto" w:before="12" w:after="0"/>
              <w:ind w:left="108" w:right="101"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34"/>
              </w:numPr>
              <w:tabs>
                <w:tab w:pos="512" w:val="left" w:leader="none"/>
              </w:tabs>
              <w:spacing w:line="240" w:lineRule="auto" w:before="12" w:after="0"/>
              <w:ind w:left="108" w:right="0" w:firstLine="0"/>
              <w:jc w:val="left"/>
              <w:rPr>
                <w:sz w:val="20"/>
              </w:rPr>
            </w:pPr>
            <w:r>
              <w:rPr>
                <w:w w:val="95"/>
                <w:sz w:val="20"/>
              </w:rPr>
              <w:t>提供输血治疗的输血中心或医院必须拥有合法经营执照；</w:t>
            </w:r>
          </w:p>
          <w:p>
            <w:pPr>
              <w:pStyle w:val="TableParagraph"/>
              <w:numPr>
                <w:ilvl w:val="0"/>
                <w:numId w:val="34"/>
              </w:numPr>
              <w:tabs>
                <w:tab w:pos="512" w:val="left" w:leader="none"/>
              </w:tabs>
              <w:spacing w:line="240" w:lineRule="auto" w:before="49" w:after="0"/>
              <w:ind w:left="108" w:right="0" w:firstLine="0"/>
              <w:jc w:val="left"/>
              <w:rPr>
                <w:sz w:val="20"/>
              </w:rPr>
            </w:pPr>
            <w:r>
              <w:rPr>
                <w:w w:val="95"/>
                <w:sz w:val="20"/>
              </w:rPr>
              <w:t>受感染的被保险人不是血友病患者。</w:t>
            </w:r>
          </w:p>
          <w:p>
            <w:pPr>
              <w:pStyle w:val="TableParagraph"/>
              <w:spacing w:before="49"/>
              <w:rPr>
                <w:sz w:val="20"/>
              </w:rPr>
            </w:pPr>
            <w:r>
              <w:rPr>
                <w:spacing w:val="-4"/>
                <w:sz w:val="20"/>
              </w:rPr>
              <w:t>在任何治愈艾滋病</w:t>
            </w:r>
            <w:r>
              <w:rPr>
                <w:spacing w:val="-5"/>
                <w:sz w:val="20"/>
              </w:rPr>
              <w:t>（AIDS）</w:t>
            </w:r>
            <w:r>
              <w:rPr>
                <w:spacing w:val="-13"/>
                <w:sz w:val="20"/>
              </w:rPr>
              <w:t>或阻止 </w:t>
            </w:r>
            <w:r>
              <w:rPr>
                <w:sz w:val="20"/>
              </w:rPr>
              <w:t>HIV</w:t>
            </w:r>
            <w:r>
              <w:rPr>
                <w:spacing w:val="-6"/>
                <w:sz w:val="20"/>
              </w:rPr>
              <w:t> 病毒作用的疗法被发现以后，或能防止 </w:t>
            </w:r>
            <w:r>
              <w:rPr>
                <w:sz w:val="20"/>
              </w:rPr>
              <w:t>AIDS</w:t>
            </w:r>
            <w:r>
              <w:rPr>
                <w:spacing w:val="-1"/>
                <w:sz w:val="20"/>
              </w:rPr>
              <w:t> 发生</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w w:val="95"/>
                <w:sz w:val="20"/>
              </w:rPr>
              <w:t>的医疗方法被研究出来以后，本保障将不再予以赔付。</w:t>
            </w:r>
          </w:p>
          <w:p>
            <w:pPr>
              <w:pStyle w:val="TableParagraph"/>
              <w:spacing w:line="285" w:lineRule="auto" w:before="50"/>
              <w:ind w:right="-15"/>
              <w:rPr>
                <w:sz w:val="20"/>
              </w:rPr>
            </w:pPr>
            <w:r>
              <w:rPr>
                <w:b/>
                <w:spacing w:val="-5"/>
                <w:sz w:val="20"/>
              </w:rPr>
              <w:t>任何因其他传播方式</w:t>
            </w:r>
            <w:r>
              <w:rPr>
                <w:b/>
                <w:sz w:val="20"/>
              </w:rPr>
              <w:t>（</w:t>
            </w:r>
            <w:r>
              <w:rPr>
                <w:b/>
                <w:spacing w:val="-6"/>
                <w:sz w:val="20"/>
              </w:rPr>
              <w:t>包括：性传播或静脉注射毒品</w:t>
            </w:r>
            <w:r>
              <w:rPr>
                <w:b/>
                <w:spacing w:val="-39"/>
                <w:sz w:val="20"/>
              </w:rPr>
              <w:t>）</w:t>
            </w:r>
            <w:r>
              <w:rPr>
                <w:b/>
                <w:spacing w:val="-2"/>
                <w:sz w:val="20"/>
              </w:rPr>
              <w:t>导致的 </w:t>
            </w:r>
            <w:r>
              <w:rPr>
                <w:b/>
                <w:sz w:val="20"/>
              </w:rPr>
              <w:t>HIV</w:t>
            </w:r>
            <w:r>
              <w:rPr>
                <w:b/>
                <w:spacing w:val="-2"/>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5"/>
              <w:ind w:left="107"/>
              <w:rPr>
                <w:sz w:val="20"/>
              </w:rPr>
            </w:pPr>
            <w:r>
              <w:rPr>
                <w:w w:val="95"/>
                <w:sz w:val="20"/>
              </w:rPr>
              <w:t>28.肌营养不良症</w:t>
            </w:r>
          </w:p>
        </w:tc>
        <w:tc>
          <w:tcPr>
            <w:tcW w:w="7933" w:type="dxa"/>
          </w:tcPr>
          <w:p>
            <w:pPr>
              <w:pStyle w:val="TableParagraph"/>
              <w:spacing w:line="285" w:lineRule="auto" w:before="5"/>
              <w:ind w:right="101"/>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35"/>
              </w:numPr>
              <w:tabs>
                <w:tab w:pos="512" w:val="left" w:leader="none"/>
              </w:tabs>
              <w:spacing w:line="240" w:lineRule="auto" w:before="12" w:after="0"/>
              <w:ind w:left="108" w:right="0" w:firstLine="0"/>
              <w:jc w:val="left"/>
              <w:rPr>
                <w:sz w:val="20"/>
              </w:rPr>
            </w:pPr>
            <w:r>
              <w:rPr>
                <w:w w:val="95"/>
                <w:sz w:val="20"/>
              </w:rPr>
              <w:t>肌电图显示典型肌营养不良症的阳性改变；</w:t>
            </w:r>
          </w:p>
          <w:p>
            <w:pPr>
              <w:pStyle w:val="TableParagraph"/>
              <w:numPr>
                <w:ilvl w:val="0"/>
                <w:numId w:val="35"/>
              </w:numPr>
              <w:tabs>
                <w:tab w:pos="512" w:val="left" w:leader="none"/>
              </w:tabs>
              <w:spacing w:line="240" w:lineRule="auto" w:before="50" w:after="0"/>
              <w:ind w:left="108" w:right="0" w:firstLine="0"/>
              <w:jc w:val="left"/>
              <w:rPr>
                <w:sz w:val="20"/>
              </w:rPr>
            </w:pPr>
            <w:r>
              <w:rPr>
                <w:w w:val="95"/>
                <w:sz w:val="20"/>
              </w:rPr>
              <w:t>肌肉活检的病理学诊断符合肌营养不良症的肌肉细胞变性、坏死等阳性改变；</w:t>
            </w:r>
          </w:p>
          <w:p>
            <w:pPr>
              <w:pStyle w:val="TableParagraph"/>
              <w:numPr>
                <w:ilvl w:val="0"/>
                <w:numId w:val="35"/>
              </w:numPr>
              <w:tabs>
                <w:tab w:pos="514" w:val="left" w:leader="none"/>
              </w:tabs>
              <w:spacing w:line="285" w:lineRule="auto" w:before="50" w:after="0"/>
              <w:ind w:left="108" w:right="106"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3"/>
              <w:ind w:left="107"/>
              <w:rPr>
                <w:sz w:val="20"/>
              </w:rPr>
            </w:pPr>
            <w:r>
              <w:rPr>
                <w:w w:val="95"/>
                <w:sz w:val="20"/>
              </w:rPr>
              <w:t>29.多发性硬化症</w:t>
            </w:r>
          </w:p>
        </w:tc>
        <w:tc>
          <w:tcPr>
            <w:tcW w:w="7933" w:type="dxa"/>
          </w:tcPr>
          <w:p>
            <w:pPr>
              <w:pStyle w:val="TableParagraph"/>
              <w:spacing w:line="285" w:lineRule="auto" w:before="3"/>
              <w:ind w:right="10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5"/>
              <w:ind w:left="107" w:right="74"/>
              <w:rPr>
                <w:sz w:val="20"/>
              </w:rPr>
            </w:pPr>
            <w:r>
              <w:rPr>
                <w:sz w:val="20"/>
              </w:rPr>
              <w:t>30. 系统性红斑狼疮</w:t>
            </w:r>
          </w:p>
        </w:tc>
        <w:tc>
          <w:tcPr>
            <w:tcW w:w="7933" w:type="dxa"/>
          </w:tcPr>
          <w:p>
            <w:pPr>
              <w:pStyle w:val="TableParagraph"/>
              <w:spacing w:line="285" w:lineRule="auto" w:before="5"/>
              <w:ind w:right="101"/>
              <w:jc w:val="both"/>
              <w:rPr>
                <w:sz w:val="20"/>
              </w:rPr>
            </w:pPr>
            <w:r>
              <w:rPr>
                <w:sz w:val="20"/>
              </w:rPr>
              <w:t>由于病理性自身抗体和免疫复合物的沉积破坏了血管和细胞而导致的一种自体免疫性疾</w:t>
            </w:r>
            <w:r>
              <w:rPr>
                <w:spacing w:val="-9"/>
                <w:w w:val="95"/>
                <w:sz w:val="20"/>
              </w:rPr>
              <w:t>病。由于系统性红斑狼疮会损害肾功能而导致狼疮肾炎，世界卫生组织根据肾脏活检结果   </w:t>
            </w:r>
            <w:r>
              <w:rPr>
                <w:spacing w:val="-14"/>
                <w:sz w:val="20"/>
              </w:rPr>
              <w:t>将狼疮肾炎分成 </w:t>
            </w:r>
            <w:r>
              <w:rPr>
                <w:sz w:val="20"/>
              </w:rPr>
              <w:t>I</w:t>
            </w:r>
            <w:r>
              <w:rPr>
                <w:spacing w:val="-12"/>
                <w:sz w:val="20"/>
              </w:rPr>
              <w:t> 型到 </w:t>
            </w:r>
            <w:r>
              <w:rPr>
                <w:sz w:val="20"/>
              </w:rPr>
              <w:t>VI</w:t>
            </w:r>
            <w:r>
              <w:rPr>
                <w:spacing w:val="-1"/>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line="285" w:lineRule="auto" w:before="12"/>
              <w:ind w:right="5115"/>
              <w:rPr>
                <w:sz w:val="20"/>
              </w:rPr>
            </w:pPr>
            <w:r>
              <w:rPr>
                <w:sz w:val="20"/>
              </w:rPr>
              <w:t>WHO</w:t>
            </w:r>
            <w:r>
              <w:rPr>
                <w:spacing w:val="31"/>
                <w:sz w:val="20"/>
              </w:rPr>
              <w:t> </w:t>
            </w:r>
            <w:r>
              <w:rPr>
                <w:sz w:val="20"/>
              </w:rPr>
              <w:t>I</w:t>
            </w:r>
            <w:r>
              <w:rPr>
                <w:spacing w:val="3"/>
                <w:sz w:val="20"/>
              </w:rPr>
              <w:t> 型： 正常肾小球； WHO</w:t>
            </w:r>
            <w:r>
              <w:rPr>
                <w:spacing w:val="-5"/>
                <w:sz w:val="20"/>
              </w:rPr>
              <w:t> </w:t>
            </w:r>
            <w:r>
              <w:rPr>
                <w:sz w:val="20"/>
              </w:rPr>
              <w:t>II</w:t>
            </w:r>
            <w:r>
              <w:rPr>
                <w:spacing w:val="-2"/>
                <w:sz w:val="20"/>
              </w:rPr>
              <w:t> 型：单纯系膜增生型；</w:t>
            </w:r>
          </w:p>
          <w:p>
            <w:pPr>
              <w:pStyle w:val="TableParagraph"/>
              <w:spacing w:line="285" w:lineRule="auto" w:before="12"/>
              <w:ind w:right="333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before="50"/>
              <w:rPr>
                <w:sz w:val="20"/>
              </w:rPr>
            </w:pPr>
            <w:r>
              <w:rPr>
                <w:sz w:val="20"/>
              </w:rPr>
              <w:t>WHO VI 型：进行性硬化性肾小球肾炎。</w:t>
            </w:r>
          </w:p>
          <w:p>
            <w:pPr>
              <w:pStyle w:val="TableParagraph"/>
              <w:spacing w:line="285" w:lineRule="auto" w:before="50"/>
              <w:ind w:right="102"/>
              <w:rPr>
                <w:b/>
                <w:sz w:val="20"/>
              </w:rPr>
            </w:pPr>
            <w:r>
              <w:rPr>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5"/>
              <w:ind w:left="107"/>
              <w:rPr>
                <w:sz w:val="20"/>
              </w:rPr>
            </w:pPr>
            <w:r>
              <w:rPr>
                <w:w w:val="95"/>
                <w:sz w:val="20"/>
              </w:rPr>
              <w:t>31.系统性硬化病</w:t>
            </w:r>
          </w:p>
        </w:tc>
        <w:tc>
          <w:tcPr>
            <w:tcW w:w="7933" w:type="dxa"/>
          </w:tcPr>
          <w:p>
            <w:pPr>
              <w:pStyle w:val="TableParagraph"/>
              <w:spacing w:line="285" w:lineRule="auto" w:before="5"/>
              <w:ind w:right="104"/>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before="12"/>
              <w:jc w:val="both"/>
              <w:rPr>
                <w:b/>
                <w:sz w:val="20"/>
              </w:rPr>
            </w:pPr>
            <w:r>
              <w:rPr>
                <w:b/>
                <w:w w:val="95"/>
                <w:sz w:val="20"/>
              </w:rPr>
              <w:t>下列疾病不在保障范围内：</w:t>
            </w:r>
          </w:p>
          <w:p>
            <w:pPr>
              <w:pStyle w:val="TableParagraph"/>
              <w:numPr>
                <w:ilvl w:val="0"/>
                <w:numId w:val="36"/>
              </w:numPr>
              <w:tabs>
                <w:tab w:pos="512" w:val="left" w:leader="none"/>
              </w:tabs>
              <w:spacing w:line="240" w:lineRule="auto" w:before="50" w:after="0"/>
              <w:ind w:left="511" w:right="0" w:hanging="403"/>
              <w:jc w:val="both"/>
              <w:rPr>
                <w:b/>
                <w:sz w:val="20"/>
              </w:rPr>
            </w:pPr>
            <w:r>
              <w:rPr>
                <w:b/>
                <w:w w:val="95"/>
                <w:sz w:val="20"/>
              </w:rPr>
              <w:t>局限性硬皮病（包括带状硬皮病、硬斑病）；</w:t>
            </w:r>
          </w:p>
          <w:p>
            <w:pPr>
              <w:pStyle w:val="TableParagraph"/>
              <w:numPr>
                <w:ilvl w:val="0"/>
                <w:numId w:val="36"/>
              </w:numPr>
              <w:tabs>
                <w:tab w:pos="512" w:val="left" w:leader="none"/>
              </w:tabs>
              <w:spacing w:line="240" w:lineRule="auto" w:before="50" w:after="0"/>
              <w:ind w:left="511" w:right="0" w:hanging="403"/>
              <w:jc w:val="both"/>
              <w:rPr>
                <w:b/>
                <w:sz w:val="20"/>
              </w:rPr>
            </w:pPr>
            <w:r>
              <w:rPr>
                <w:b/>
                <w:w w:val="95"/>
                <w:sz w:val="20"/>
              </w:rPr>
              <w:t>嗜酸细胞性筋膜炎；</w:t>
            </w:r>
          </w:p>
          <w:p>
            <w:pPr>
              <w:pStyle w:val="TableParagraph"/>
              <w:numPr>
                <w:ilvl w:val="0"/>
                <w:numId w:val="36"/>
              </w:numPr>
              <w:tabs>
                <w:tab w:pos="512" w:val="left" w:leader="none"/>
              </w:tabs>
              <w:spacing w:line="240" w:lineRule="auto" w:before="50" w:after="0"/>
              <w:ind w:left="511" w:right="0" w:hanging="403"/>
              <w:jc w:val="both"/>
              <w:rPr>
                <w:b/>
                <w:sz w:val="20"/>
              </w:rPr>
            </w:pPr>
            <w:r>
              <w:rPr>
                <w:b/>
                <w:sz w:val="20"/>
              </w:rPr>
              <w:t>CREST</w:t>
            </w:r>
            <w:r>
              <w:rPr>
                <w:b/>
                <w:spacing w:val="-12"/>
                <w:sz w:val="20"/>
              </w:rPr>
              <w:t> 综合征。</w:t>
            </w:r>
          </w:p>
        </w:tc>
      </w:tr>
      <w:tr>
        <w:trPr>
          <w:trHeight w:val="669" w:hRule="atLeast"/>
        </w:trPr>
        <w:tc>
          <w:tcPr>
            <w:tcW w:w="1860" w:type="dxa"/>
          </w:tcPr>
          <w:p>
            <w:pPr>
              <w:pStyle w:val="TableParagraph"/>
              <w:spacing w:before="3"/>
              <w:ind w:left="107"/>
              <w:rPr>
                <w:sz w:val="20"/>
              </w:rPr>
            </w:pPr>
            <w:r>
              <w:rPr>
                <w:w w:val="95"/>
                <w:sz w:val="20"/>
              </w:rPr>
              <w:t>32.严重克隆病</w:t>
            </w:r>
          </w:p>
        </w:tc>
        <w:tc>
          <w:tcPr>
            <w:tcW w:w="7933" w:type="dxa"/>
          </w:tcPr>
          <w:p>
            <w:pPr>
              <w:pStyle w:val="TableParagraph"/>
              <w:spacing w:line="285" w:lineRule="auto" w:before="3"/>
              <w:ind w:right="103"/>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6"/>
              <w:ind w:left="107" w:right="74"/>
              <w:rPr>
                <w:sz w:val="20"/>
              </w:rPr>
            </w:pPr>
            <w:r>
              <w:rPr>
                <w:sz w:val="20"/>
              </w:rPr>
              <w:t>33. 严重溃疡性结</w:t>
            </w:r>
            <w:r>
              <w:rPr>
                <w:w w:val="95"/>
                <w:sz w:val="20"/>
              </w:rPr>
              <w:t>肠炎</w:t>
            </w:r>
          </w:p>
        </w:tc>
        <w:tc>
          <w:tcPr>
            <w:tcW w:w="7933" w:type="dxa"/>
          </w:tcPr>
          <w:p>
            <w:pPr>
              <w:pStyle w:val="TableParagraph"/>
              <w:spacing w:line="285" w:lineRule="auto" w:before="6"/>
              <w:ind w:right="103"/>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5"/>
              <w:ind w:left="107" w:right="74"/>
              <w:rPr>
                <w:sz w:val="20"/>
              </w:rPr>
            </w:pPr>
            <w:r>
              <w:rPr>
                <w:sz w:val="20"/>
              </w:rPr>
              <w:t>34. 急性坏死性胰</w:t>
            </w:r>
            <w:r>
              <w:rPr>
                <w:w w:val="95"/>
                <w:sz w:val="20"/>
              </w:rPr>
              <w:t>腺炎</w:t>
            </w:r>
          </w:p>
        </w:tc>
        <w:tc>
          <w:tcPr>
            <w:tcW w:w="7933" w:type="dxa"/>
          </w:tcPr>
          <w:p>
            <w:pPr>
              <w:pStyle w:val="TableParagraph"/>
              <w:spacing w:line="285" w:lineRule="auto" w:before="5"/>
              <w:ind w:right="104"/>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before="11"/>
              <w:rPr>
                <w:b/>
                <w:sz w:val="20"/>
              </w:rPr>
            </w:pPr>
            <w:r>
              <w:rPr>
                <w:b/>
                <w:w w:val="95"/>
                <w:sz w:val="20"/>
              </w:rPr>
              <w:t>因饮酒所致的急性出血坏死性胰腺炎或经腹腔镜手术进行的治疗不在保障范围内。</w:t>
            </w:r>
          </w:p>
        </w:tc>
      </w:tr>
      <w:tr>
        <w:trPr>
          <w:trHeight w:val="357" w:hRule="atLeast"/>
        </w:trPr>
        <w:tc>
          <w:tcPr>
            <w:tcW w:w="1860" w:type="dxa"/>
          </w:tcPr>
          <w:p>
            <w:pPr>
              <w:pStyle w:val="TableParagraph"/>
              <w:spacing w:before="3"/>
              <w:ind w:left="107"/>
              <w:rPr>
                <w:sz w:val="20"/>
              </w:rPr>
            </w:pPr>
            <w:r>
              <w:rPr>
                <w:sz w:val="20"/>
              </w:rPr>
              <w:t>35. 慢性复发性胰</w:t>
            </w:r>
          </w:p>
        </w:tc>
        <w:tc>
          <w:tcPr>
            <w:tcW w:w="7933" w:type="dxa"/>
          </w:tcPr>
          <w:p>
            <w:pPr>
              <w:pStyle w:val="TableParagraph"/>
              <w:spacing w:before="3"/>
              <w:ind w:left="237" w:right="233"/>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669" w:hRule="atLeast"/>
        </w:trPr>
        <w:tc>
          <w:tcPr>
            <w:tcW w:w="1860" w:type="dxa"/>
          </w:tcPr>
          <w:p>
            <w:pPr>
              <w:pStyle w:val="TableParagraph"/>
              <w:spacing w:before="5"/>
              <w:ind w:left="107"/>
              <w:rPr>
                <w:sz w:val="20"/>
              </w:rPr>
            </w:pPr>
            <w:r>
              <w:rPr>
                <w:w w:val="95"/>
                <w:sz w:val="20"/>
              </w:rPr>
              <w:t>腺炎</w:t>
            </w:r>
          </w:p>
        </w:tc>
        <w:tc>
          <w:tcPr>
            <w:tcW w:w="7933" w:type="dxa"/>
          </w:tcPr>
          <w:p>
            <w:pPr>
              <w:pStyle w:val="TableParagraph"/>
              <w:spacing w:line="285" w:lineRule="auto" w:before="5"/>
              <w:ind w:right="466"/>
              <w:rPr>
                <w:b/>
                <w:sz w:val="20"/>
              </w:rPr>
            </w:pPr>
            <w:r>
              <w:rPr>
                <w:sz w:val="20"/>
              </w:rPr>
              <w:t>180</w:t>
            </w:r>
            <w:r>
              <w:rPr>
                <w:spacing w:val="-8"/>
                <w:sz w:val="20"/>
              </w:rPr>
              <w:t> 天以上。诊断必须有消化科专科医生确认并且有内窥镜逆行胰胆管造影所证实。</w:t>
            </w:r>
            <w:r>
              <w:rPr>
                <w:b/>
                <w:spacing w:val="-8"/>
                <w:w w:val="95"/>
                <w:sz w:val="20"/>
              </w:rPr>
              <w:t>因酒精所致的慢性复发性胰腺炎不在保障范围内。</w:t>
            </w:r>
          </w:p>
        </w:tc>
      </w:tr>
      <w:tr>
        <w:trPr>
          <w:trHeight w:val="2231" w:hRule="atLeast"/>
        </w:trPr>
        <w:tc>
          <w:tcPr>
            <w:tcW w:w="1860" w:type="dxa"/>
          </w:tcPr>
          <w:p>
            <w:pPr>
              <w:pStyle w:val="TableParagraph"/>
              <w:spacing w:line="285" w:lineRule="auto" w:before="5"/>
              <w:ind w:left="107" w:right="74"/>
              <w:rPr>
                <w:sz w:val="20"/>
              </w:rPr>
            </w:pPr>
            <w:r>
              <w:rPr>
                <w:sz w:val="20"/>
              </w:rPr>
              <w:t>36. 原发性硬化性</w:t>
            </w:r>
            <w:r>
              <w:rPr>
                <w:w w:val="95"/>
                <w:sz w:val="20"/>
              </w:rPr>
              <w:t>胆管炎</w:t>
            </w:r>
          </w:p>
        </w:tc>
        <w:tc>
          <w:tcPr>
            <w:tcW w:w="7933" w:type="dxa"/>
          </w:tcPr>
          <w:p>
            <w:pPr>
              <w:pStyle w:val="TableParagraph"/>
              <w:spacing w:line="285" w:lineRule="auto" w:before="5"/>
              <w:ind w:right="103"/>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spacing w:before="12"/>
              <w:jc w:val="both"/>
              <w:rPr>
                <w:sz w:val="20"/>
              </w:rPr>
            </w:pPr>
            <w:r>
              <w:rPr>
                <w:sz w:val="20"/>
              </w:rPr>
              <w:t>（1）总胆红素和直接胆红素同时升高，血清 ALP&gt;200U/L；</w:t>
            </w:r>
          </w:p>
          <w:p>
            <w:pPr>
              <w:pStyle w:val="TableParagraph"/>
              <w:spacing w:before="50"/>
              <w:jc w:val="both"/>
              <w:rPr>
                <w:sz w:val="20"/>
              </w:rPr>
            </w:pPr>
            <w:r>
              <w:rPr>
                <w:w w:val="95"/>
                <w:sz w:val="20"/>
              </w:rPr>
              <w:t>（2）持续性黄疸病史；</w:t>
            </w:r>
          </w:p>
          <w:p>
            <w:pPr>
              <w:pStyle w:val="TableParagraph"/>
              <w:spacing w:before="50"/>
              <w:jc w:val="both"/>
              <w:rPr>
                <w:sz w:val="20"/>
              </w:rPr>
            </w:pPr>
            <w:r>
              <w:rPr>
                <w:w w:val="95"/>
                <w:sz w:val="20"/>
              </w:rPr>
              <w:t>（3）出现胆汁性肝硬化或门脉高压。</w:t>
            </w:r>
          </w:p>
          <w:p>
            <w:pPr>
              <w:pStyle w:val="TableParagraph"/>
              <w:spacing w:before="50"/>
              <w:jc w:val="both"/>
              <w:rPr>
                <w:b/>
                <w:sz w:val="20"/>
              </w:rPr>
            </w:pPr>
            <w:r>
              <w:rPr>
                <w:b/>
                <w:w w:val="95"/>
                <w:sz w:val="20"/>
              </w:rPr>
              <w:t>因肿瘤或胆管损伤等继发性的硬化性胆管炎不在保障范围内。</w:t>
            </w:r>
          </w:p>
        </w:tc>
      </w:tr>
      <w:tr>
        <w:trPr>
          <w:trHeight w:val="1605" w:hRule="atLeast"/>
        </w:trPr>
        <w:tc>
          <w:tcPr>
            <w:tcW w:w="1860" w:type="dxa"/>
          </w:tcPr>
          <w:p>
            <w:pPr>
              <w:pStyle w:val="TableParagraph"/>
              <w:spacing w:before="3"/>
              <w:ind w:left="107"/>
              <w:rPr>
                <w:sz w:val="20"/>
              </w:rPr>
            </w:pPr>
            <w:r>
              <w:rPr>
                <w:w w:val="95"/>
                <w:sz w:val="20"/>
              </w:rPr>
              <w:t>37.坏死性筋膜炎</w:t>
            </w:r>
          </w:p>
        </w:tc>
        <w:tc>
          <w:tcPr>
            <w:tcW w:w="7933" w:type="dxa"/>
          </w:tcPr>
          <w:p>
            <w:pPr>
              <w:pStyle w:val="TableParagraph"/>
              <w:spacing w:before="3"/>
              <w:rPr>
                <w:sz w:val="20"/>
              </w:rPr>
            </w:pPr>
            <w:r>
              <w:rPr>
                <w:w w:val="95"/>
                <w:sz w:val="20"/>
              </w:rPr>
              <w:t>坏死性筋膜炎的诊断须同时符合下列要求：</w:t>
            </w:r>
          </w:p>
          <w:p>
            <w:pPr>
              <w:pStyle w:val="TableParagraph"/>
              <w:spacing w:before="50"/>
              <w:rPr>
                <w:sz w:val="20"/>
              </w:rPr>
            </w:pPr>
            <w:r>
              <w:rPr>
                <w:w w:val="95"/>
                <w:sz w:val="20"/>
              </w:rPr>
              <w:t>（1）符合坏死性筋膜炎的一般临床表现；</w:t>
            </w:r>
          </w:p>
          <w:p>
            <w:pPr>
              <w:pStyle w:val="TableParagraph"/>
              <w:spacing w:before="50"/>
              <w:rPr>
                <w:sz w:val="20"/>
              </w:rPr>
            </w:pPr>
            <w:r>
              <w:rPr>
                <w:w w:val="95"/>
                <w:sz w:val="20"/>
              </w:rPr>
              <w:t>（2）细菌培养检出致病菌；</w:t>
            </w:r>
          </w:p>
          <w:p>
            <w:pPr>
              <w:pStyle w:val="TableParagraph"/>
              <w:spacing w:line="285" w:lineRule="auto" w:before="50"/>
              <w:ind w:right="118"/>
              <w:rPr>
                <w:b/>
                <w:sz w:val="20"/>
              </w:rPr>
            </w:pPr>
            <w:r>
              <w:rPr>
                <w:w w:val="95"/>
                <w:sz w:val="20"/>
              </w:rPr>
              <w:t>（3）出现广泛性肌肉及组织坏死，并确实实施了坏死组织和筋膜以及肌肉的切除手术。   </w:t>
            </w:r>
            <w:r>
              <w:rPr>
                <w:b/>
                <w:w w:val="95"/>
                <w:sz w:val="20"/>
              </w:rPr>
              <w:t>清创术不在保障范围内。</w:t>
            </w:r>
          </w:p>
        </w:tc>
      </w:tr>
      <w:tr>
        <w:trPr>
          <w:trHeight w:val="2229" w:hRule="atLeast"/>
        </w:trPr>
        <w:tc>
          <w:tcPr>
            <w:tcW w:w="1860" w:type="dxa"/>
          </w:tcPr>
          <w:p>
            <w:pPr>
              <w:pStyle w:val="TableParagraph"/>
              <w:spacing w:line="285" w:lineRule="auto" w:before="5"/>
              <w:ind w:left="107" w:right="74"/>
              <w:rPr>
                <w:sz w:val="20"/>
              </w:rPr>
            </w:pPr>
            <w:r>
              <w:rPr>
                <w:sz w:val="20"/>
              </w:rPr>
              <w:t>38. 慢性肾上腺皮</w:t>
            </w:r>
            <w:r>
              <w:rPr>
                <w:w w:val="95"/>
                <w:sz w:val="20"/>
              </w:rPr>
              <w:t>质功能衰竭</w:t>
            </w:r>
          </w:p>
        </w:tc>
        <w:tc>
          <w:tcPr>
            <w:tcW w:w="7933" w:type="dxa"/>
          </w:tcPr>
          <w:p>
            <w:pPr>
              <w:pStyle w:val="TableParagraph"/>
              <w:spacing w:line="285" w:lineRule="auto" w:before="5"/>
              <w:ind w:right="104"/>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spacing w:before="12"/>
              <w:rPr>
                <w:sz w:val="20"/>
              </w:rPr>
            </w:pPr>
            <w:r>
              <w:rPr>
                <w:w w:val="95"/>
                <w:sz w:val="20"/>
              </w:rPr>
              <w:t>（1）促肾上腺皮质激素(ACTH)刺激试验；</w:t>
            </w:r>
          </w:p>
          <w:p>
            <w:pPr>
              <w:pStyle w:val="TableParagraph"/>
              <w:spacing w:before="50"/>
              <w:rPr>
                <w:sz w:val="20"/>
              </w:rPr>
            </w:pPr>
            <w:r>
              <w:rPr>
                <w:w w:val="95"/>
                <w:sz w:val="20"/>
              </w:rPr>
              <w:t>（2）胰岛素血糖减少测试；</w:t>
            </w:r>
          </w:p>
          <w:p>
            <w:pPr>
              <w:pStyle w:val="TableParagraph"/>
              <w:spacing w:before="50"/>
              <w:rPr>
                <w:sz w:val="20"/>
              </w:rPr>
            </w:pPr>
            <w:r>
              <w:rPr>
                <w:w w:val="95"/>
                <w:sz w:val="20"/>
              </w:rPr>
              <w:t>（3）血浆促肾上腺皮质激素(ACTH)水平测定；</w:t>
            </w:r>
          </w:p>
          <w:p>
            <w:pPr>
              <w:pStyle w:val="TableParagraph"/>
              <w:spacing w:before="50"/>
              <w:rPr>
                <w:sz w:val="20"/>
              </w:rPr>
            </w:pPr>
            <w:r>
              <w:rPr>
                <w:w w:val="95"/>
                <w:sz w:val="20"/>
              </w:rPr>
              <w:t>（4）血浆肾素活性(PRA)测定</w:t>
            </w:r>
          </w:p>
          <w:p>
            <w:pPr>
              <w:pStyle w:val="TableParagraph"/>
              <w:spacing w:before="50"/>
              <w:rPr>
                <w:b/>
                <w:sz w:val="20"/>
              </w:rPr>
            </w:pPr>
            <w:r>
              <w:rPr>
                <w:b/>
                <w:w w:val="95"/>
                <w:sz w:val="20"/>
              </w:rPr>
              <w:t>非由自身免疫功能紊乱引起的慢性肾上腺皮质功能衰竭不在保障范围内。</w:t>
            </w:r>
          </w:p>
        </w:tc>
      </w:tr>
      <w:tr>
        <w:trPr>
          <w:trHeight w:val="1920" w:hRule="atLeast"/>
        </w:trPr>
        <w:tc>
          <w:tcPr>
            <w:tcW w:w="1860" w:type="dxa"/>
          </w:tcPr>
          <w:p>
            <w:pPr>
              <w:pStyle w:val="TableParagraph"/>
              <w:spacing w:line="285" w:lineRule="auto" w:before="5"/>
              <w:ind w:left="107" w:right="74"/>
              <w:rPr>
                <w:sz w:val="20"/>
              </w:rPr>
            </w:pPr>
            <w:r>
              <w:rPr>
                <w:sz w:val="20"/>
              </w:rPr>
              <w:t>39. 慢性呼吸功能</w:t>
            </w:r>
            <w:r>
              <w:rPr>
                <w:w w:val="95"/>
                <w:sz w:val="20"/>
              </w:rPr>
              <w:t>衰竭</w:t>
            </w:r>
          </w:p>
        </w:tc>
        <w:tc>
          <w:tcPr>
            <w:tcW w:w="7933" w:type="dxa"/>
          </w:tcPr>
          <w:p>
            <w:pPr>
              <w:pStyle w:val="TableParagraph"/>
              <w:spacing w:line="285" w:lineRule="auto" w:before="5"/>
              <w:ind w:right="101"/>
              <w:rPr>
                <w:sz w:val="20"/>
              </w:rPr>
            </w:pPr>
            <w:r>
              <w:rPr>
                <w:spacing w:val="-4"/>
                <w:w w:val="95"/>
                <w:sz w:val="20"/>
              </w:rPr>
              <w:t>慢性肺部疾病导致永久不可逆性的慢性呼吸功能衰竭，必须由呼吸专科医师确认并符合下   列所有条件：</w:t>
            </w:r>
          </w:p>
          <w:p>
            <w:pPr>
              <w:pStyle w:val="TableParagraph"/>
              <w:spacing w:before="12"/>
              <w:rPr>
                <w:sz w:val="20"/>
              </w:rPr>
            </w:pPr>
            <w:r>
              <w:rPr>
                <w:w w:val="95"/>
                <w:sz w:val="20"/>
              </w:rPr>
              <w:t>（1）休息时出现呼吸困难；</w:t>
            </w:r>
          </w:p>
          <w:p>
            <w:pPr>
              <w:pStyle w:val="TableParagraph"/>
              <w:spacing w:before="50"/>
              <w:rPr>
                <w:sz w:val="20"/>
              </w:rPr>
            </w:pPr>
            <w:r>
              <w:rPr>
                <w:position w:val="1"/>
                <w:sz w:val="20"/>
              </w:rPr>
              <w:t>（2）动脉氧分压 （PaO</w:t>
            </w:r>
            <w:r>
              <w:rPr>
                <w:sz w:val="10"/>
              </w:rPr>
              <w:t>2</w:t>
            </w:r>
            <w:r>
              <w:rPr>
                <w:position w:val="1"/>
                <w:sz w:val="20"/>
              </w:rPr>
              <w:t>）&lt; 50mmHg；</w:t>
            </w:r>
          </w:p>
          <w:p>
            <w:pPr>
              <w:pStyle w:val="TableParagraph"/>
              <w:spacing w:before="50"/>
              <w:rPr>
                <w:sz w:val="20"/>
              </w:rPr>
            </w:pPr>
            <w:r>
              <w:rPr>
                <w:position w:val="1"/>
                <w:sz w:val="20"/>
              </w:rPr>
              <w:t>（3）动脉血氧饱和度 （SaO</w:t>
            </w:r>
            <w:r>
              <w:rPr>
                <w:sz w:val="10"/>
              </w:rPr>
              <w:t>2</w:t>
            </w:r>
            <w:r>
              <w:rPr>
                <w:position w:val="1"/>
                <w:sz w:val="20"/>
              </w:rPr>
              <w:t>）&lt; 80％；</w:t>
            </w:r>
          </w:p>
          <w:p>
            <w:pPr>
              <w:pStyle w:val="TableParagraph"/>
              <w:spacing w:before="51"/>
              <w:rPr>
                <w:sz w:val="20"/>
              </w:rPr>
            </w:pPr>
            <w:r>
              <w:rPr>
                <w:w w:val="95"/>
                <w:sz w:val="20"/>
              </w:rPr>
              <w:t>（4）因缺氧必须接受持续的输氧治疗。</w:t>
            </w:r>
          </w:p>
        </w:tc>
      </w:tr>
      <w:tr>
        <w:trPr>
          <w:trHeight w:val="981" w:hRule="atLeast"/>
        </w:trPr>
        <w:tc>
          <w:tcPr>
            <w:tcW w:w="1860" w:type="dxa"/>
          </w:tcPr>
          <w:p>
            <w:pPr>
              <w:pStyle w:val="TableParagraph"/>
              <w:spacing w:before="3"/>
              <w:ind w:left="107"/>
              <w:rPr>
                <w:sz w:val="20"/>
              </w:rPr>
            </w:pPr>
            <w:r>
              <w:rPr>
                <w:w w:val="95"/>
                <w:sz w:val="20"/>
              </w:rPr>
              <w:t>40.象皮病</w:t>
            </w:r>
          </w:p>
        </w:tc>
        <w:tc>
          <w:tcPr>
            <w:tcW w:w="7933" w:type="dxa"/>
          </w:tcPr>
          <w:p>
            <w:pPr>
              <w:pStyle w:val="TableParagraph"/>
              <w:spacing w:line="285" w:lineRule="auto" w:before="3"/>
              <w:ind w:right="103"/>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5"/>
              <w:ind w:left="107" w:right="74"/>
              <w:rPr>
                <w:sz w:val="20"/>
              </w:rPr>
            </w:pPr>
            <w:r>
              <w:rPr>
                <w:sz w:val="20"/>
              </w:rPr>
              <w:t>41. 全身性重症肌</w:t>
            </w:r>
            <w:r>
              <w:rPr>
                <w:w w:val="95"/>
                <w:sz w:val="20"/>
              </w:rPr>
              <w:t>无力</w:t>
            </w:r>
          </w:p>
        </w:tc>
        <w:tc>
          <w:tcPr>
            <w:tcW w:w="7933" w:type="dxa"/>
          </w:tcPr>
          <w:p>
            <w:pPr>
              <w:pStyle w:val="TableParagraph"/>
              <w:spacing w:line="285" w:lineRule="auto" w:before="5"/>
              <w:ind w:right="103"/>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spacing w:before="12"/>
              <w:jc w:val="both"/>
              <w:rPr>
                <w:sz w:val="20"/>
              </w:rPr>
            </w:pPr>
            <w:r>
              <w:rPr>
                <w:w w:val="95"/>
                <w:sz w:val="20"/>
              </w:rPr>
              <w:t>（1）经药物治疗和胸腺切除治疗一年以上仍无法控制病情；</w:t>
            </w:r>
          </w:p>
          <w:p>
            <w:pPr>
              <w:pStyle w:val="TableParagraph"/>
              <w:spacing w:before="50"/>
              <w:jc w:val="both"/>
              <w:rPr>
                <w:sz w:val="20"/>
              </w:rPr>
            </w:pPr>
            <w:r>
              <w:rPr>
                <w:w w:val="95"/>
                <w:sz w:val="20"/>
              </w:rPr>
              <w:t>（2）自主生活能力完全丧失，无法独立完成六项基本日常生活活动中的三项或三项以上。</w:t>
            </w:r>
          </w:p>
        </w:tc>
      </w:tr>
      <w:tr>
        <w:trPr>
          <w:trHeight w:val="2232" w:hRule="atLeast"/>
        </w:trPr>
        <w:tc>
          <w:tcPr>
            <w:tcW w:w="1860" w:type="dxa"/>
          </w:tcPr>
          <w:p>
            <w:pPr>
              <w:pStyle w:val="TableParagraph"/>
              <w:spacing w:before="5"/>
              <w:ind w:left="107"/>
              <w:rPr>
                <w:sz w:val="20"/>
              </w:rPr>
            </w:pPr>
            <w:r>
              <w:rPr>
                <w:w w:val="95"/>
                <w:sz w:val="20"/>
              </w:rPr>
              <w:t>42.疯牛病</w:t>
            </w:r>
          </w:p>
        </w:tc>
        <w:tc>
          <w:tcPr>
            <w:tcW w:w="7933" w:type="dxa"/>
          </w:tcPr>
          <w:p>
            <w:pPr>
              <w:pStyle w:val="TableParagraph"/>
              <w:spacing w:before="5"/>
              <w:rPr>
                <w:sz w:val="20"/>
              </w:rPr>
            </w:pPr>
            <w:r>
              <w:rPr>
                <w:w w:val="95"/>
                <w:sz w:val="20"/>
              </w:rPr>
              <w:t>神经系统疾病及致命的成胶质状脑病，并有以下症状：</w:t>
            </w:r>
          </w:p>
          <w:p>
            <w:pPr>
              <w:pStyle w:val="TableParagraph"/>
              <w:spacing w:before="50"/>
              <w:rPr>
                <w:sz w:val="20"/>
              </w:rPr>
            </w:pPr>
            <w:r>
              <w:rPr>
                <w:w w:val="95"/>
                <w:sz w:val="20"/>
              </w:rPr>
              <w:t>（1）不能控制的肌肉痉挛及震颤；</w:t>
            </w:r>
          </w:p>
          <w:p>
            <w:pPr>
              <w:pStyle w:val="TableParagraph"/>
              <w:spacing w:before="50"/>
              <w:rPr>
                <w:sz w:val="20"/>
              </w:rPr>
            </w:pPr>
            <w:r>
              <w:rPr>
                <w:w w:val="95"/>
                <w:sz w:val="20"/>
              </w:rPr>
              <w:t>（2）逐渐痴呆；</w:t>
            </w:r>
          </w:p>
          <w:p>
            <w:pPr>
              <w:pStyle w:val="TableParagraph"/>
              <w:spacing w:before="50"/>
              <w:rPr>
                <w:sz w:val="20"/>
              </w:rPr>
            </w:pPr>
            <w:r>
              <w:rPr>
                <w:w w:val="95"/>
                <w:sz w:val="20"/>
              </w:rPr>
              <w:t>（3）小脑功能不良，共济失调；</w:t>
            </w:r>
          </w:p>
          <w:p>
            <w:pPr>
              <w:pStyle w:val="TableParagraph"/>
              <w:spacing w:before="50"/>
              <w:rPr>
                <w:sz w:val="20"/>
              </w:rPr>
            </w:pPr>
            <w:r>
              <w:rPr>
                <w:w w:val="95"/>
                <w:sz w:val="20"/>
              </w:rPr>
              <w:t>（4）手足徐动症。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49"/>
              <w:rPr>
                <w:sz w:val="20"/>
              </w:rPr>
            </w:pPr>
            <w:r>
              <w:rPr>
                <w:sz w:val="20"/>
              </w:rPr>
              <w:t>(CT)及核磁共振(MRI)。</w:t>
            </w:r>
          </w:p>
        </w:tc>
      </w:tr>
      <w:tr>
        <w:trPr>
          <w:trHeight w:val="357" w:hRule="atLeast"/>
        </w:trPr>
        <w:tc>
          <w:tcPr>
            <w:tcW w:w="1860" w:type="dxa"/>
          </w:tcPr>
          <w:p>
            <w:pPr>
              <w:pStyle w:val="TableParagraph"/>
              <w:spacing w:before="3"/>
              <w:ind w:left="107"/>
              <w:rPr>
                <w:sz w:val="20"/>
              </w:rPr>
            </w:pPr>
            <w:r>
              <w:rPr>
                <w:sz w:val="20"/>
              </w:rPr>
              <w:t>43. 严重类风湿性</w:t>
            </w:r>
          </w:p>
        </w:tc>
        <w:tc>
          <w:tcPr>
            <w:tcW w:w="7933" w:type="dxa"/>
          </w:tcPr>
          <w:p>
            <w:pPr>
              <w:pStyle w:val="TableParagraph"/>
              <w:spacing w:before="3"/>
              <w:ind w:left="236" w:right="234"/>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2853" w:hRule="atLeast"/>
        </w:trPr>
        <w:tc>
          <w:tcPr>
            <w:tcW w:w="1860" w:type="dxa"/>
          </w:tcPr>
          <w:p>
            <w:pPr>
              <w:pStyle w:val="TableParagraph"/>
              <w:spacing w:before="5"/>
              <w:ind w:left="107"/>
              <w:rPr>
                <w:sz w:val="20"/>
              </w:rPr>
            </w:pPr>
            <w:r>
              <w:rPr>
                <w:w w:val="95"/>
                <w:sz w:val="20"/>
              </w:rPr>
              <w:t>关节炎</w:t>
            </w:r>
          </w:p>
        </w:tc>
        <w:tc>
          <w:tcPr>
            <w:tcW w:w="7933" w:type="dxa"/>
          </w:tcPr>
          <w:p>
            <w:pPr>
              <w:pStyle w:val="TableParagraph"/>
              <w:spacing w:line="285" w:lineRule="auto" w:before="5"/>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spacing w:before="12"/>
              <w:jc w:val="both"/>
              <w:rPr>
                <w:sz w:val="20"/>
              </w:rPr>
            </w:pPr>
            <w:r>
              <w:rPr>
                <w:w w:val="95"/>
                <w:sz w:val="20"/>
              </w:rPr>
              <w:t>（1）晨僵；</w:t>
            </w:r>
          </w:p>
          <w:p>
            <w:pPr>
              <w:pStyle w:val="TableParagraph"/>
              <w:spacing w:before="50"/>
              <w:jc w:val="both"/>
              <w:rPr>
                <w:sz w:val="20"/>
              </w:rPr>
            </w:pPr>
            <w:r>
              <w:rPr>
                <w:w w:val="95"/>
                <w:sz w:val="20"/>
              </w:rPr>
              <w:t>（2）对称性关节炎；</w:t>
            </w:r>
          </w:p>
          <w:p>
            <w:pPr>
              <w:pStyle w:val="TableParagraph"/>
              <w:spacing w:before="50"/>
              <w:jc w:val="both"/>
              <w:rPr>
                <w:sz w:val="20"/>
              </w:rPr>
            </w:pPr>
            <w:r>
              <w:rPr>
                <w:w w:val="95"/>
                <w:sz w:val="20"/>
              </w:rPr>
              <w:t>（3）类风湿性皮下结节；</w:t>
            </w:r>
          </w:p>
          <w:p>
            <w:pPr>
              <w:pStyle w:val="TableParagraph"/>
              <w:spacing w:before="50"/>
              <w:jc w:val="both"/>
              <w:rPr>
                <w:sz w:val="20"/>
              </w:rPr>
            </w:pPr>
            <w:r>
              <w:rPr>
                <w:w w:val="95"/>
                <w:sz w:val="20"/>
              </w:rPr>
              <w:t>（4）类风湿因子滴度升高；</w:t>
            </w:r>
          </w:p>
          <w:p>
            <w:pPr>
              <w:pStyle w:val="TableParagraph"/>
              <w:spacing w:before="50"/>
              <w:jc w:val="both"/>
              <w:rPr>
                <w:sz w:val="20"/>
              </w:rPr>
            </w:pPr>
            <w:r>
              <w:rPr>
                <w:sz w:val="20"/>
              </w:rPr>
              <w:t>（5）X 线显示严重的关节(软骨和骨)破坏和关节畸形。</w:t>
            </w:r>
          </w:p>
        </w:tc>
      </w:tr>
      <w:tr>
        <w:trPr>
          <w:trHeight w:val="671" w:hRule="atLeast"/>
        </w:trPr>
        <w:tc>
          <w:tcPr>
            <w:tcW w:w="1860" w:type="dxa"/>
          </w:tcPr>
          <w:p>
            <w:pPr>
              <w:pStyle w:val="TableParagraph"/>
              <w:spacing w:before="5"/>
              <w:ind w:left="107"/>
              <w:rPr>
                <w:sz w:val="20"/>
              </w:rPr>
            </w:pPr>
            <w:r>
              <w:rPr>
                <w:w w:val="95"/>
                <w:sz w:val="20"/>
              </w:rPr>
              <w:t>44.严重心肌炎</w:t>
            </w:r>
          </w:p>
        </w:tc>
        <w:tc>
          <w:tcPr>
            <w:tcW w:w="7933" w:type="dxa"/>
          </w:tcPr>
          <w:p>
            <w:pPr>
              <w:pStyle w:val="TableParagraph"/>
              <w:spacing w:line="285" w:lineRule="auto" w:before="5"/>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1"/>
                <w:sz w:val="20"/>
              </w:rPr>
              <w:t> 天。</w:t>
            </w:r>
          </w:p>
        </w:tc>
      </w:tr>
      <w:tr>
        <w:trPr>
          <w:trHeight w:val="1293" w:hRule="atLeast"/>
        </w:trPr>
        <w:tc>
          <w:tcPr>
            <w:tcW w:w="1860" w:type="dxa"/>
          </w:tcPr>
          <w:p>
            <w:pPr>
              <w:pStyle w:val="TableParagraph"/>
              <w:spacing w:line="285" w:lineRule="auto" w:before="3"/>
              <w:ind w:left="107" w:right="74"/>
              <w:rPr>
                <w:sz w:val="20"/>
              </w:rPr>
            </w:pPr>
            <w:r>
              <w:rPr>
                <w:sz w:val="20"/>
              </w:rPr>
              <w:t>45. 严重肺源性心</w:t>
            </w:r>
            <w:r>
              <w:rPr>
                <w:w w:val="95"/>
                <w:sz w:val="20"/>
              </w:rPr>
              <w:t>脏病</w:t>
            </w:r>
          </w:p>
        </w:tc>
        <w:tc>
          <w:tcPr>
            <w:tcW w:w="7933" w:type="dxa"/>
          </w:tcPr>
          <w:p>
            <w:pPr>
              <w:pStyle w:val="TableParagraph"/>
              <w:spacing w:line="285" w:lineRule="auto" w:before="3"/>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5"/>
              <w:ind w:left="107"/>
              <w:rPr>
                <w:sz w:val="20"/>
              </w:rPr>
            </w:pPr>
            <w:r>
              <w:rPr>
                <w:w w:val="95"/>
                <w:sz w:val="20"/>
              </w:rPr>
              <w:t>46.植物人状态</w:t>
            </w:r>
          </w:p>
        </w:tc>
        <w:tc>
          <w:tcPr>
            <w:tcW w:w="7933" w:type="dxa"/>
          </w:tcPr>
          <w:p>
            <w:pPr>
              <w:pStyle w:val="TableParagraph"/>
              <w:spacing w:line="285" w:lineRule="auto" w:before="5"/>
              <w:ind w:right="100"/>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before="12"/>
              <w:jc w:val="both"/>
              <w:rPr>
                <w:b/>
                <w:sz w:val="20"/>
              </w:rPr>
            </w:pPr>
            <w:r>
              <w:rPr>
                <w:b/>
                <w:w w:val="95"/>
                <w:sz w:val="20"/>
              </w:rPr>
              <w:t>由于酗酒或滥用药物所致的植物人状态不在保障范围内。</w:t>
            </w:r>
          </w:p>
        </w:tc>
      </w:tr>
      <w:tr>
        <w:trPr>
          <w:trHeight w:val="1919" w:hRule="atLeast"/>
        </w:trPr>
        <w:tc>
          <w:tcPr>
            <w:tcW w:w="1860" w:type="dxa"/>
          </w:tcPr>
          <w:p>
            <w:pPr>
              <w:pStyle w:val="TableParagraph"/>
              <w:spacing w:line="285" w:lineRule="auto" w:before="5"/>
              <w:ind w:left="107" w:right="74"/>
              <w:rPr>
                <w:sz w:val="20"/>
              </w:rPr>
            </w:pPr>
            <w:r>
              <w:rPr>
                <w:sz w:val="20"/>
              </w:rPr>
              <w:t>47. 非阿尔茨海默</w:t>
            </w:r>
            <w:r>
              <w:rPr>
                <w:w w:val="95"/>
                <w:sz w:val="20"/>
              </w:rPr>
              <w:t>病所致严重痴呆</w:t>
            </w:r>
          </w:p>
        </w:tc>
        <w:tc>
          <w:tcPr>
            <w:tcW w:w="7933" w:type="dxa"/>
          </w:tcPr>
          <w:p>
            <w:pPr>
              <w:pStyle w:val="TableParagraph"/>
              <w:spacing w:line="285" w:lineRule="auto" w:before="5"/>
              <w:ind w:right="17"/>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before="12"/>
              <w:rPr>
                <w:b/>
                <w:sz w:val="20"/>
              </w:rPr>
            </w:pPr>
            <w:r>
              <w:rPr>
                <w:b/>
                <w:w w:val="95"/>
                <w:sz w:val="20"/>
              </w:rPr>
              <w:t>神经官能症，精神疾病及酒精中毒所致脑损害不在保障范围内。</w:t>
            </w:r>
          </w:p>
        </w:tc>
      </w:tr>
      <w:tr>
        <w:trPr>
          <w:trHeight w:val="669" w:hRule="atLeast"/>
        </w:trPr>
        <w:tc>
          <w:tcPr>
            <w:tcW w:w="1860" w:type="dxa"/>
          </w:tcPr>
          <w:p>
            <w:pPr>
              <w:pStyle w:val="TableParagraph"/>
              <w:spacing w:line="285" w:lineRule="auto" w:before="3"/>
              <w:ind w:left="107" w:right="242"/>
              <w:rPr>
                <w:sz w:val="20"/>
              </w:rPr>
            </w:pPr>
            <w:r>
              <w:rPr>
                <w:w w:val="95"/>
                <w:sz w:val="20"/>
              </w:rPr>
              <w:t>48.埃博拉病毒感</w:t>
            </w:r>
            <w:r>
              <w:rPr>
                <w:sz w:val="20"/>
              </w:rPr>
              <w:t>染</w:t>
            </w:r>
          </w:p>
        </w:tc>
        <w:tc>
          <w:tcPr>
            <w:tcW w:w="7933" w:type="dxa"/>
          </w:tcPr>
          <w:p>
            <w:pPr>
              <w:pStyle w:val="TableParagraph"/>
              <w:spacing w:line="285" w:lineRule="auto" w:before="3"/>
              <w:ind w:right="104"/>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5"/>
              <w:ind w:left="107"/>
              <w:rPr>
                <w:sz w:val="20"/>
              </w:rPr>
            </w:pPr>
            <w:r>
              <w:rPr>
                <w:w w:val="95"/>
                <w:sz w:val="20"/>
              </w:rPr>
              <w:t>49.胰腺移植</w:t>
            </w:r>
          </w:p>
        </w:tc>
        <w:tc>
          <w:tcPr>
            <w:tcW w:w="7933" w:type="dxa"/>
          </w:tcPr>
          <w:p>
            <w:pPr>
              <w:pStyle w:val="TableParagraph"/>
              <w:spacing w:line="285" w:lineRule="auto" w:before="5"/>
              <w:ind w:right="816"/>
              <w:rPr>
                <w:b/>
                <w:sz w:val="20"/>
              </w:rPr>
            </w:pPr>
            <w:r>
              <w:rPr>
                <w:w w:val="95"/>
                <w:sz w:val="20"/>
              </w:rPr>
              <w:t>指因胰腺功能衰竭，已经实施了在全身麻醉下进行的胰腺的异体器官移植手术。  </w:t>
            </w:r>
            <w:r>
              <w:rPr>
                <w:b/>
                <w:w w:val="95"/>
                <w:sz w:val="20"/>
              </w:rPr>
              <w:t>单纯胰岛移植、部分胰腺组织或细胞的移植不在保障范围内。</w:t>
            </w:r>
          </w:p>
        </w:tc>
      </w:tr>
      <w:tr>
        <w:trPr>
          <w:trHeight w:val="2544" w:hRule="atLeast"/>
        </w:trPr>
        <w:tc>
          <w:tcPr>
            <w:tcW w:w="1860" w:type="dxa"/>
          </w:tcPr>
          <w:p>
            <w:pPr>
              <w:pStyle w:val="TableParagraph"/>
              <w:spacing w:line="285" w:lineRule="auto" w:before="5"/>
              <w:ind w:left="107" w:right="74"/>
              <w:rPr>
                <w:sz w:val="20"/>
              </w:rPr>
            </w:pPr>
            <w:r>
              <w:rPr>
                <w:sz w:val="20"/>
              </w:rPr>
              <w:t>50. 严重自身免疫</w:t>
            </w:r>
            <w:r>
              <w:rPr>
                <w:w w:val="95"/>
                <w:sz w:val="20"/>
              </w:rPr>
              <w:t>性肝炎</w:t>
            </w:r>
          </w:p>
        </w:tc>
        <w:tc>
          <w:tcPr>
            <w:tcW w:w="7933" w:type="dxa"/>
          </w:tcPr>
          <w:p>
            <w:pPr>
              <w:pStyle w:val="TableParagraph"/>
              <w:spacing w:line="285" w:lineRule="auto" w:before="5"/>
              <w:ind w:right="103"/>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spacing w:before="12"/>
              <w:rPr>
                <w:sz w:val="20"/>
              </w:rPr>
            </w:pPr>
            <w:r>
              <w:rPr>
                <w:sz w:val="20"/>
              </w:rPr>
              <w:t>（1）高 </w:t>
            </w:r>
            <w:r>
              <w:rPr>
                <w:rFonts w:ascii="Arial" w:hAnsi="Arial" w:eastAsia="Arial"/>
                <w:sz w:val="20"/>
              </w:rPr>
              <w:t>γ  </w:t>
            </w:r>
            <w:r>
              <w:rPr>
                <w:sz w:val="20"/>
              </w:rPr>
              <w:t>球蛋白血症；</w:t>
            </w:r>
          </w:p>
          <w:p>
            <w:pPr>
              <w:pStyle w:val="TableParagraph"/>
              <w:spacing w:line="285" w:lineRule="auto" w:before="36"/>
              <w:ind w:right="7"/>
              <w:rPr>
                <w:sz w:val="20"/>
              </w:rPr>
            </w:pPr>
            <w:r>
              <w:rPr>
                <w:sz w:val="20"/>
              </w:rPr>
              <w:t>（2）血液中存在高水平的自身免疫抗体，如 ANA（抗核抗体）、SMA（抗平滑肌抗体）、抗 LKM1 抗体或抗-SLA/LP 抗体；</w:t>
            </w:r>
          </w:p>
          <w:p>
            <w:pPr>
              <w:pStyle w:val="TableParagraph"/>
              <w:spacing w:before="12"/>
              <w:jc w:val="both"/>
              <w:rPr>
                <w:sz w:val="20"/>
              </w:rPr>
            </w:pPr>
            <w:r>
              <w:rPr>
                <w:w w:val="95"/>
                <w:sz w:val="20"/>
              </w:rPr>
              <w:t>（3）肝脏活检证实免疫性肝炎；</w:t>
            </w:r>
          </w:p>
          <w:p>
            <w:pPr>
              <w:pStyle w:val="TableParagraph"/>
              <w:spacing w:before="50"/>
              <w:jc w:val="both"/>
              <w:rPr>
                <w:sz w:val="20"/>
              </w:rPr>
            </w:pPr>
            <w:r>
              <w:rPr>
                <w:w w:val="95"/>
                <w:sz w:val="20"/>
              </w:rPr>
              <w:t>（4）临床已经出现腹水、食道静脉曲张和脾肿大等肝硬化表现。</w:t>
            </w:r>
          </w:p>
        </w:tc>
      </w:tr>
      <w:tr>
        <w:trPr>
          <w:trHeight w:val="1293" w:hRule="atLeast"/>
        </w:trPr>
        <w:tc>
          <w:tcPr>
            <w:tcW w:w="1860" w:type="dxa"/>
          </w:tcPr>
          <w:p>
            <w:pPr>
              <w:pStyle w:val="TableParagraph"/>
              <w:spacing w:before="3"/>
              <w:ind w:left="107"/>
              <w:rPr>
                <w:sz w:val="20"/>
              </w:rPr>
            </w:pPr>
            <w:r>
              <w:rPr>
                <w:w w:val="95"/>
                <w:sz w:val="20"/>
              </w:rPr>
              <w:t>51.骨髓纤维化</w:t>
            </w:r>
          </w:p>
        </w:tc>
        <w:tc>
          <w:tcPr>
            <w:tcW w:w="7933" w:type="dxa"/>
          </w:tcPr>
          <w:p>
            <w:pPr>
              <w:pStyle w:val="TableParagraph"/>
              <w:spacing w:line="285" w:lineRule="auto" w:before="3"/>
              <w:ind w:right="101"/>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5"/>
              <w:ind w:left="107" w:right="74"/>
              <w:rPr>
                <w:sz w:val="20"/>
              </w:rPr>
            </w:pPr>
            <w:r>
              <w:rPr>
                <w:sz w:val="20"/>
              </w:rPr>
              <w:t>52. 进行性核上性</w:t>
            </w:r>
            <w:r>
              <w:rPr>
                <w:w w:val="95"/>
                <w:sz w:val="20"/>
              </w:rPr>
              <w:t>麻痹</w:t>
            </w:r>
          </w:p>
        </w:tc>
        <w:tc>
          <w:tcPr>
            <w:tcW w:w="7933" w:type="dxa"/>
          </w:tcPr>
          <w:p>
            <w:pPr>
              <w:pStyle w:val="TableParagraph"/>
              <w:spacing w:line="285" w:lineRule="auto" w:before="5"/>
              <w:ind w:right="103"/>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numPr>
                <w:ilvl w:val="0"/>
                <w:numId w:val="37"/>
              </w:numPr>
              <w:tabs>
                <w:tab w:pos="709" w:val="left" w:leader="none"/>
              </w:tabs>
              <w:spacing w:line="240" w:lineRule="auto" w:before="5" w:after="0"/>
              <w:ind w:left="708" w:right="0" w:hanging="600"/>
              <w:jc w:val="left"/>
              <w:rPr>
                <w:sz w:val="20"/>
              </w:rPr>
            </w:pPr>
            <w:r>
              <w:rPr>
                <w:w w:val="95"/>
                <w:sz w:val="20"/>
              </w:rPr>
              <w:t>步态共济失调；</w:t>
            </w:r>
          </w:p>
          <w:p>
            <w:pPr>
              <w:pStyle w:val="TableParagraph"/>
              <w:numPr>
                <w:ilvl w:val="0"/>
                <w:numId w:val="37"/>
              </w:numPr>
              <w:tabs>
                <w:tab w:pos="709" w:val="left" w:leader="none"/>
              </w:tabs>
              <w:spacing w:line="240" w:lineRule="auto" w:before="50" w:after="0"/>
              <w:ind w:left="708" w:right="0" w:hanging="600"/>
              <w:jc w:val="left"/>
              <w:rPr>
                <w:sz w:val="20"/>
              </w:rPr>
            </w:pPr>
            <w:r>
              <w:rPr>
                <w:w w:val="95"/>
                <w:sz w:val="20"/>
              </w:rPr>
              <w:t>对称性眼球垂直运动障碍；</w:t>
            </w:r>
          </w:p>
          <w:p>
            <w:pPr>
              <w:pStyle w:val="TableParagraph"/>
              <w:numPr>
                <w:ilvl w:val="0"/>
                <w:numId w:val="37"/>
              </w:numPr>
              <w:tabs>
                <w:tab w:pos="709" w:val="left" w:leader="none"/>
              </w:tabs>
              <w:spacing w:line="240" w:lineRule="auto" w:before="50" w:after="0"/>
              <w:ind w:left="708" w:right="0" w:hanging="60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5"/>
              <w:ind w:left="107" w:right="74"/>
              <w:rPr>
                <w:sz w:val="20"/>
              </w:rPr>
            </w:pPr>
            <w:r>
              <w:rPr>
                <w:sz w:val="20"/>
              </w:rPr>
              <w:t>53. 一肢及单眼缺失</w:t>
            </w:r>
          </w:p>
        </w:tc>
        <w:tc>
          <w:tcPr>
            <w:tcW w:w="7933" w:type="dxa"/>
          </w:tcPr>
          <w:p>
            <w:pPr>
              <w:pStyle w:val="TableParagraph"/>
              <w:spacing w:line="285" w:lineRule="auto" w:before="5"/>
              <w:ind w:right="103"/>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spacing w:before="50"/>
              <w:rPr>
                <w:sz w:val="20"/>
              </w:rPr>
            </w:pPr>
            <w:r>
              <w:rPr>
                <w:w w:val="95"/>
                <w:sz w:val="20"/>
              </w:rPr>
              <w:t>（1）眼球缺失或摘除；</w:t>
            </w:r>
          </w:p>
          <w:p>
            <w:pPr>
              <w:pStyle w:val="TableParagraph"/>
              <w:spacing w:before="50"/>
              <w:rPr>
                <w:sz w:val="20"/>
              </w:rPr>
            </w:pPr>
            <w:r>
              <w:rPr>
                <w:sz w:val="20"/>
              </w:rPr>
              <w:t>（2）矫正视力低于 0.02（采用国际标准视力表，如果使用其它视力表应进行换算）；</w:t>
            </w:r>
          </w:p>
          <w:p>
            <w:pPr>
              <w:pStyle w:val="TableParagraph"/>
              <w:spacing w:before="50"/>
              <w:rPr>
                <w:sz w:val="20"/>
              </w:rPr>
            </w:pPr>
            <w:r>
              <w:rPr>
                <w:sz w:val="20"/>
              </w:rPr>
              <w:t>（3）视野半径小于 5 度。</w:t>
            </w:r>
          </w:p>
          <w:p>
            <w:pPr>
              <w:pStyle w:val="TableParagraph"/>
              <w:spacing w:before="50"/>
              <w:rPr>
                <w:b/>
                <w:sz w:val="20"/>
              </w:rPr>
            </w:pPr>
            <w:r>
              <w:rPr>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3"/>
              <w:ind w:left="107" w:right="74"/>
              <w:jc w:val="both"/>
              <w:rPr>
                <w:sz w:val="20"/>
              </w:rPr>
            </w:pPr>
            <w:r>
              <w:rPr>
                <w:sz w:val="20"/>
              </w:rPr>
              <w:t>54. 严重获得性或继发性肺泡蛋白质</w:t>
            </w:r>
            <w:r>
              <w:rPr>
                <w:w w:val="95"/>
                <w:sz w:val="20"/>
              </w:rPr>
              <w:t>沉积症</w:t>
            </w:r>
          </w:p>
        </w:tc>
        <w:tc>
          <w:tcPr>
            <w:tcW w:w="7933" w:type="dxa"/>
          </w:tcPr>
          <w:p>
            <w:pPr>
              <w:pStyle w:val="TableParagraph"/>
              <w:spacing w:line="285" w:lineRule="auto" w:before="3"/>
              <w:ind w:right="101"/>
              <w:rPr>
                <w:sz w:val="20"/>
              </w:rPr>
            </w:pPr>
            <w:r>
              <w:rPr>
                <w:spacing w:val="-3"/>
                <w:w w:val="95"/>
                <w:sz w:val="20"/>
              </w:rPr>
              <w:t>因获得性或继发性原因导致双肺肺泡和细支气管腔内充满不可溶性富磷脂蛋白的疾病。理   赔时须满足下列所有条件：</w:t>
            </w:r>
          </w:p>
          <w:p>
            <w:pPr>
              <w:pStyle w:val="TableParagraph"/>
              <w:spacing w:line="285" w:lineRule="auto" w:before="12"/>
              <w:ind w:right="100"/>
              <w:rPr>
                <w:sz w:val="20"/>
              </w:rPr>
            </w:pPr>
            <w:r>
              <w:rPr>
                <w:sz w:val="20"/>
              </w:rPr>
              <w:t>(1）支气管镜活检或开胸肺活检病理检查证实肺泡内充满有过碘酸雪夫（PAS）染色阳性</w:t>
            </w:r>
            <w:r>
              <w:rPr>
                <w:w w:val="95"/>
                <w:sz w:val="20"/>
              </w:rPr>
              <w:t>的蛋白样物质；</w:t>
            </w:r>
          </w:p>
          <w:p>
            <w:pPr>
              <w:pStyle w:val="TableParagraph"/>
              <w:spacing w:before="12"/>
              <w:rPr>
                <w:sz w:val="20"/>
              </w:rPr>
            </w:pPr>
            <w:r>
              <w:rPr>
                <w:w w:val="95"/>
                <w:sz w:val="20"/>
              </w:rPr>
              <w:t>(2）被保险人因中重度呼吸困难或低氧血症而实际已行全身麻醉下的全肺灌洗治疗。</w:t>
            </w:r>
          </w:p>
        </w:tc>
      </w:tr>
      <w:tr>
        <w:trPr>
          <w:trHeight w:val="1605" w:hRule="atLeast"/>
        </w:trPr>
        <w:tc>
          <w:tcPr>
            <w:tcW w:w="1860" w:type="dxa"/>
          </w:tcPr>
          <w:p>
            <w:pPr>
              <w:pStyle w:val="TableParagraph"/>
              <w:spacing w:line="285" w:lineRule="auto" w:before="5"/>
              <w:ind w:left="107" w:right="74"/>
              <w:rPr>
                <w:sz w:val="20"/>
              </w:rPr>
            </w:pPr>
            <w:r>
              <w:rPr>
                <w:sz w:val="20"/>
              </w:rPr>
              <w:t>55. 肺淋巴管肌瘤病</w:t>
            </w:r>
          </w:p>
        </w:tc>
        <w:tc>
          <w:tcPr>
            <w:tcW w:w="7933" w:type="dxa"/>
          </w:tcPr>
          <w:p>
            <w:pPr>
              <w:pStyle w:val="TableParagraph"/>
              <w:spacing w:line="285" w:lineRule="auto" w:before="5"/>
              <w:ind w:right="103"/>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20" w:hRule="atLeast"/>
        </w:trPr>
        <w:tc>
          <w:tcPr>
            <w:tcW w:w="1860" w:type="dxa"/>
          </w:tcPr>
          <w:p>
            <w:pPr>
              <w:pStyle w:val="TableParagraph"/>
              <w:spacing w:line="285" w:lineRule="auto" w:before="5"/>
              <w:ind w:left="107" w:right="74"/>
              <w:rPr>
                <w:sz w:val="20"/>
              </w:rPr>
            </w:pPr>
            <w:r>
              <w:rPr>
                <w:sz w:val="20"/>
              </w:rPr>
              <w:t>56. 感染性心内膜炎</w:t>
            </w:r>
          </w:p>
        </w:tc>
        <w:tc>
          <w:tcPr>
            <w:tcW w:w="7933" w:type="dxa"/>
          </w:tcPr>
          <w:p>
            <w:pPr>
              <w:pStyle w:val="TableParagraph"/>
              <w:spacing w:before="5"/>
              <w:rPr>
                <w:sz w:val="20"/>
              </w:rPr>
            </w:pPr>
            <w:r>
              <w:rPr>
                <w:sz w:val="20"/>
              </w:rPr>
              <w:t>是指由感染性微生物导致的心脏内膜炎症，并须符合下</w:t>
            </w:r>
            <w:r>
              <w:rPr>
                <w:rFonts w:ascii="Arial" w:eastAsia="Arial"/>
                <w:w w:val="115"/>
                <w:sz w:val="20"/>
              </w:rPr>
              <w:t>列</w:t>
            </w:r>
            <w:r>
              <w:rPr>
                <w:sz w:val="20"/>
              </w:rPr>
              <w:t>所有条件：</w:t>
            </w:r>
          </w:p>
          <w:p>
            <w:pPr>
              <w:pStyle w:val="TableParagraph"/>
              <w:numPr>
                <w:ilvl w:val="0"/>
                <w:numId w:val="38"/>
              </w:numPr>
              <w:tabs>
                <w:tab w:pos="512" w:val="left" w:leader="none"/>
              </w:tabs>
              <w:spacing w:line="240" w:lineRule="auto" w:before="35" w:after="0"/>
              <w:ind w:left="108" w:right="0" w:firstLine="0"/>
              <w:jc w:val="left"/>
              <w:rPr>
                <w:sz w:val="20"/>
              </w:rPr>
            </w:pPr>
            <w:r>
              <w:rPr>
                <w:w w:val="95"/>
                <w:sz w:val="20"/>
              </w:rPr>
              <w:t>血液细菌培养结果呈阳性，证明感染性微生物的存在；</w:t>
            </w:r>
          </w:p>
          <w:p>
            <w:pPr>
              <w:pStyle w:val="TableParagraph"/>
              <w:numPr>
                <w:ilvl w:val="0"/>
                <w:numId w:val="38"/>
              </w:numPr>
              <w:tabs>
                <w:tab w:pos="512" w:val="left" w:leader="none"/>
              </w:tabs>
              <w:spacing w:line="271" w:lineRule="auto" w:before="49" w:after="0"/>
              <w:ind w:left="108" w:right="65" w:firstLine="0"/>
              <w:jc w:val="left"/>
              <w:rPr>
                <w:sz w:val="20"/>
              </w:rPr>
            </w:pPr>
            <w:r>
              <w:rPr>
                <w:sz w:val="20"/>
              </w:rPr>
              <w:t>感染性心内膜炎导致至少中度的心脏瓣膜关闭</w:t>
            </w:r>
            <w:r>
              <w:rPr>
                <w:rFonts w:ascii="Arial" w:eastAsia="Arial"/>
                <w:sz w:val="20"/>
              </w:rPr>
              <w:t>不</w:t>
            </w:r>
            <w:r>
              <w:rPr>
                <w:sz w:val="20"/>
              </w:rPr>
              <w:t>全（</w:t>
            </w:r>
            <w:r>
              <w:rPr>
                <w:spacing w:val="-1"/>
                <w:sz w:val="20"/>
              </w:rPr>
              <w:t>即返流部分面积达 </w:t>
            </w:r>
            <w:r>
              <w:rPr>
                <w:sz w:val="20"/>
              </w:rPr>
              <w:t>20%或以上</w:t>
            </w:r>
            <w:r>
              <w:rPr>
                <w:spacing w:val="-71"/>
                <w:sz w:val="20"/>
              </w:rPr>
              <w:t>） </w:t>
            </w:r>
            <w:r>
              <w:rPr>
                <w:sz w:val="20"/>
              </w:rPr>
              <w:t>或中度的心脏瓣膜狭窄（</w:t>
            </w:r>
            <w:r>
              <w:rPr>
                <w:spacing w:val="-5"/>
                <w:sz w:val="20"/>
              </w:rPr>
              <w:t>即心脏瓣膜面积为正常值的 </w:t>
            </w:r>
            <w:r>
              <w:rPr>
                <w:sz w:val="20"/>
              </w:rPr>
              <w:t>30%或以下）；</w:t>
            </w:r>
          </w:p>
          <w:p>
            <w:pPr>
              <w:pStyle w:val="TableParagraph"/>
              <w:numPr>
                <w:ilvl w:val="0"/>
                <w:numId w:val="38"/>
              </w:numPr>
              <w:tabs>
                <w:tab w:pos="514" w:val="left" w:leader="none"/>
              </w:tabs>
              <w:spacing w:line="285" w:lineRule="auto" w:before="24" w:after="0"/>
              <w:ind w:left="108" w:right="106"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3"/>
              <w:ind w:left="107"/>
              <w:rPr>
                <w:sz w:val="20"/>
              </w:rPr>
            </w:pPr>
            <w:r>
              <w:rPr>
                <w:sz w:val="20"/>
              </w:rPr>
              <w:t>57. 肝豆状核变性</w:t>
            </w:r>
          </w:p>
          <w:p>
            <w:pPr>
              <w:pStyle w:val="TableParagraph"/>
              <w:spacing w:before="50"/>
              <w:ind w:left="107"/>
              <w:rPr>
                <w:sz w:val="20"/>
              </w:rPr>
            </w:pPr>
            <w:r>
              <w:rPr>
                <w:w w:val="95"/>
                <w:sz w:val="20"/>
              </w:rPr>
              <w:t>（威尔逊氏病)</w:t>
            </w:r>
          </w:p>
        </w:tc>
        <w:tc>
          <w:tcPr>
            <w:tcW w:w="7933" w:type="dxa"/>
          </w:tcPr>
          <w:p>
            <w:pPr>
              <w:pStyle w:val="TableParagraph"/>
              <w:spacing w:line="285" w:lineRule="auto" w:before="3"/>
              <w:ind w:right="101"/>
              <w:jc w:val="both"/>
              <w:rPr>
                <w:sz w:val="20"/>
              </w:rPr>
            </w:pPr>
            <w:r>
              <w:rPr>
                <w:spacing w:val="-5"/>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4"/>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5"/>
              <w:ind w:left="107" w:right="74"/>
              <w:rPr>
                <w:sz w:val="20"/>
              </w:rPr>
            </w:pPr>
            <w:r>
              <w:rPr>
                <w:sz w:val="20"/>
              </w:rPr>
              <w:t>58. 破裂脑动脉瘤</w:t>
            </w:r>
            <w:r>
              <w:rPr>
                <w:w w:val="95"/>
                <w:sz w:val="20"/>
              </w:rPr>
              <w:t>夹闭手术</w:t>
            </w:r>
          </w:p>
        </w:tc>
        <w:tc>
          <w:tcPr>
            <w:tcW w:w="7933" w:type="dxa"/>
          </w:tcPr>
          <w:p>
            <w:pPr>
              <w:pStyle w:val="TableParagraph"/>
              <w:spacing w:line="285" w:lineRule="auto" w:before="5"/>
              <w:ind w:right="101"/>
              <w:rPr>
                <w:sz w:val="20"/>
              </w:rPr>
            </w:pPr>
            <w:r>
              <w:rPr>
                <w:spacing w:val="-5"/>
                <w:w w:val="95"/>
                <w:sz w:val="20"/>
              </w:rPr>
              <w:t>指因脑动脉瘤破裂造成蛛网膜下腔出血，被保险人实际接受了在全身麻醉下进行的开颅动   脉瘤夹闭手术。</w:t>
            </w:r>
          </w:p>
          <w:p>
            <w:pPr>
              <w:pStyle w:val="TableParagraph"/>
              <w:spacing w:line="285" w:lineRule="auto" w:before="12"/>
              <w:ind w:right="102"/>
              <w:rPr>
                <w:b/>
                <w:sz w:val="20"/>
              </w:rPr>
            </w:pPr>
            <w:r>
              <w:rPr>
                <w:b/>
                <w:sz w:val="20"/>
              </w:rPr>
              <w:t>脑动脉瘤（未破裂）预防性手术、颅骨打孔手术、动脉瘤栓塞手术、血管内手术及其他</w:t>
            </w:r>
            <w:r>
              <w:rPr>
                <w:b/>
                <w:w w:val="95"/>
                <w:sz w:val="20"/>
              </w:rPr>
              <w:t>颅脑手术不在保障范围内。</w:t>
            </w:r>
          </w:p>
        </w:tc>
      </w:tr>
      <w:tr>
        <w:trPr>
          <w:trHeight w:val="3480" w:hRule="atLeast"/>
        </w:trPr>
        <w:tc>
          <w:tcPr>
            <w:tcW w:w="1860" w:type="dxa"/>
          </w:tcPr>
          <w:p>
            <w:pPr>
              <w:pStyle w:val="TableParagraph"/>
              <w:spacing w:line="285" w:lineRule="auto" w:before="5"/>
              <w:ind w:left="107" w:right="74"/>
              <w:jc w:val="both"/>
              <w:rPr>
                <w:sz w:val="20"/>
              </w:rPr>
            </w:pPr>
            <w:r>
              <w:rPr>
                <w:sz w:val="20"/>
              </w:rPr>
              <w:t>59. 因职业关系导致的人类免疫缺陷</w:t>
            </w:r>
            <w:r>
              <w:rPr>
                <w:w w:val="95"/>
                <w:sz w:val="20"/>
              </w:rPr>
              <w:t>病毒感染</w:t>
            </w:r>
          </w:p>
        </w:tc>
        <w:tc>
          <w:tcPr>
            <w:tcW w:w="7933" w:type="dxa"/>
          </w:tcPr>
          <w:p>
            <w:pPr>
              <w:pStyle w:val="TableParagraph"/>
              <w:spacing w:line="285" w:lineRule="auto" w:before="5"/>
              <w:ind w:right="10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spacing w:line="285" w:lineRule="auto" w:before="51"/>
              <w:ind w:right="-15"/>
              <w:jc w:val="both"/>
              <w:rPr>
                <w:sz w:val="20"/>
              </w:rPr>
            </w:pPr>
            <w:r>
              <w:rPr>
                <w:spacing w:val="-15"/>
                <w:sz w:val="20"/>
              </w:rPr>
              <w:t>（1）</w:t>
            </w:r>
            <w:r>
              <w:rPr>
                <w:spacing w:val="-2"/>
                <w:sz w:val="20"/>
              </w:rPr>
              <w:t>感染必须是在被保险人正在从事其职业工作中发生，该职业必须属于以下职业之一： 医生和牙科医生、护士、医院化验室工作人员、医生助理和牙医助理、救护车工作人员、</w:t>
            </w:r>
            <w:r>
              <w:rPr>
                <w:spacing w:val="-2"/>
                <w:w w:val="95"/>
                <w:sz w:val="20"/>
              </w:rPr>
              <w:t>助产士、消防队员、警察、狱警；</w:t>
            </w:r>
          </w:p>
          <w:p>
            <w:pPr>
              <w:pStyle w:val="TableParagraph"/>
              <w:spacing w:before="12"/>
              <w:rPr>
                <w:sz w:val="20"/>
              </w:rPr>
            </w:pPr>
            <w:r>
              <w:rPr>
                <w:sz w:val="20"/>
              </w:rPr>
              <w:t>（2）血清转化必须出现在事故发生后的 6 个月以内；</w:t>
            </w:r>
          </w:p>
          <w:p>
            <w:pPr>
              <w:pStyle w:val="TableParagraph"/>
              <w:spacing w:line="285" w:lineRule="auto" w:before="50"/>
              <w:ind w:right="101"/>
              <w:rPr>
                <w:sz w:val="20"/>
              </w:rPr>
            </w:pPr>
            <w:r>
              <w:rPr>
                <w:sz w:val="20"/>
              </w:rPr>
              <w:t>（3）</w:t>
            </w:r>
            <w:r>
              <w:rPr>
                <w:spacing w:val="-3"/>
                <w:sz w:val="20"/>
              </w:rPr>
              <w:t>必须提供被保险人在所报事故发生后的 </w:t>
            </w:r>
            <w:r>
              <w:rPr>
                <w:sz w:val="20"/>
              </w:rPr>
              <w:t>5</w:t>
            </w:r>
            <w:r>
              <w:rPr>
                <w:spacing w:val="-7"/>
                <w:sz w:val="20"/>
              </w:rPr>
              <w:t> 天以内进行的检查报告，该报告必须显示</w:t>
            </w:r>
            <w:r>
              <w:rPr>
                <w:spacing w:val="-14"/>
                <w:sz w:val="20"/>
              </w:rPr>
              <w:t>被保险人血液 </w:t>
            </w:r>
            <w:r>
              <w:rPr>
                <w:sz w:val="20"/>
              </w:rPr>
              <w:t>HIV</w:t>
            </w:r>
            <w:r>
              <w:rPr>
                <w:spacing w:val="-10"/>
                <w:sz w:val="20"/>
              </w:rPr>
              <w:t> 病毒阴性和</w:t>
            </w:r>
            <w:r>
              <w:rPr>
                <w:sz w:val="20"/>
              </w:rPr>
              <w:t>/</w:t>
            </w:r>
            <w:r>
              <w:rPr>
                <w:spacing w:val="-26"/>
                <w:sz w:val="20"/>
              </w:rPr>
              <w:t>或 </w:t>
            </w:r>
            <w:r>
              <w:rPr>
                <w:sz w:val="20"/>
              </w:rPr>
              <w:t>HIV</w:t>
            </w:r>
            <w:r>
              <w:rPr>
                <w:spacing w:val="-10"/>
                <w:sz w:val="20"/>
              </w:rPr>
              <w:t> 抗体阴性；</w:t>
            </w:r>
          </w:p>
          <w:p>
            <w:pPr>
              <w:pStyle w:val="TableParagraph"/>
              <w:spacing w:before="12"/>
              <w:jc w:val="both"/>
              <w:rPr>
                <w:sz w:val="20"/>
              </w:rPr>
            </w:pPr>
            <w:r>
              <w:rPr>
                <w:sz w:val="20"/>
              </w:rPr>
              <w:t>（4）必须在事故发生后的 12 个月内证实被保险人体内存在 HIV 病毒或者 HIV 抗体。</w:t>
            </w:r>
          </w:p>
          <w:p>
            <w:pPr>
              <w:pStyle w:val="TableParagraph"/>
              <w:spacing w:before="50"/>
              <w:jc w:val="both"/>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8"/>
                <w:sz w:val="20"/>
              </w:rPr>
              <w:t> 发生</w:t>
            </w:r>
          </w:p>
        </w:tc>
      </w:tr>
    </w:tbl>
    <w:p>
      <w:pPr>
        <w:spacing w:after="0"/>
        <w:jc w:val="both"/>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w w:val="95"/>
                <w:sz w:val="20"/>
              </w:rPr>
              <w:t>的医疗方法被研究出来以后，本保障将不再予以赔付。</w:t>
            </w:r>
          </w:p>
          <w:p>
            <w:pPr>
              <w:pStyle w:val="TableParagraph"/>
              <w:spacing w:line="285" w:lineRule="auto" w:before="50"/>
              <w:ind w:right="-15"/>
              <w:rPr>
                <w:sz w:val="20"/>
              </w:rPr>
            </w:pPr>
            <w:r>
              <w:rPr>
                <w:b/>
                <w:spacing w:val="-3"/>
                <w:sz w:val="20"/>
              </w:rPr>
              <w:t>任何因其他传播方式</w:t>
            </w:r>
            <w:r>
              <w:rPr>
                <w:b/>
                <w:sz w:val="20"/>
              </w:rPr>
              <w:t>（</w:t>
            </w:r>
            <w:r>
              <w:rPr>
                <w:b/>
                <w:spacing w:val="-5"/>
                <w:sz w:val="20"/>
              </w:rPr>
              <w:t>包括：性传播或静脉注射毒品</w:t>
            </w:r>
            <w:r>
              <w:rPr>
                <w:b/>
                <w:spacing w:val="-22"/>
                <w:sz w:val="20"/>
              </w:rPr>
              <w:t>）</w:t>
            </w:r>
            <w:r>
              <w:rPr>
                <w:b/>
                <w:spacing w:val="-13"/>
                <w:sz w:val="20"/>
              </w:rPr>
              <w:t>导致的 </w:t>
            </w:r>
            <w:r>
              <w:rPr>
                <w:b/>
                <w:sz w:val="20"/>
              </w:rPr>
              <w:t>HIV</w:t>
            </w:r>
            <w:r>
              <w:rPr>
                <w:b/>
                <w:spacing w:val="-3"/>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5"/>
              <w:ind w:left="107" w:right="74"/>
              <w:rPr>
                <w:sz w:val="20"/>
              </w:rPr>
            </w:pPr>
            <w:r>
              <w:rPr>
                <w:sz w:val="20"/>
              </w:rPr>
              <w:t>60. 严重冠状动脉</w:t>
            </w:r>
            <w:r>
              <w:rPr>
                <w:w w:val="95"/>
                <w:sz w:val="20"/>
              </w:rPr>
              <w:t>粥样硬化性心脏病</w:t>
            </w:r>
          </w:p>
        </w:tc>
        <w:tc>
          <w:tcPr>
            <w:tcW w:w="7933" w:type="dxa"/>
          </w:tcPr>
          <w:p>
            <w:pPr>
              <w:pStyle w:val="TableParagraph"/>
              <w:spacing w:line="285" w:lineRule="auto" w:before="5"/>
              <w:ind w:right="101"/>
              <w:rPr>
                <w:sz w:val="20"/>
              </w:rPr>
            </w:pPr>
            <w:r>
              <w:rPr>
                <w:spacing w:val="-3"/>
                <w:w w:val="95"/>
                <w:sz w:val="20"/>
              </w:rPr>
              <w:t>指经心脏科专科医师根据冠状动脉造影检查结果确诊为主要血管严重狭窄性病变，须满足   下列至少一项条件：</w:t>
            </w:r>
          </w:p>
          <w:p>
            <w:pPr>
              <w:pStyle w:val="TableParagraph"/>
              <w:spacing w:line="285" w:lineRule="auto" w:before="12"/>
              <w:ind w:right="101"/>
              <w:rPr>
                <w:sz w:val="20"/>
              </w:rPr>
            </w:pPr>
            <w:r>
              <w:rPr>
                <w:sz w:val="20"/>
              </w:rPr>
              <w:t>（1）左冠状动脉主干和右冠状动脉中，一支血管管腔堵塞≥75％，且另一支血管管腔堵</w:t>
            </w:r>
            <w:r>
              <w:rPr>
                <w:w w:val="95"/>
                <w:sz w:val="20"/>
              </w:rPr>
              <w:t>塞≥60％；</w:t>
            </w:r>
          </w:p>
          <w:p>
            <w:pPr>
              <w:pStyle w:val="TableParagraph"/>
              <w:spacing w:line="285" w:lineRule="auto" w:before="12"/>
              <w:ind w:right="97"/>
              <w:rPr>
                <w:sz w:val="20"/>
              </w:rPr>
            </w:pPr>
            <w:r>
              <w:rPr>
                <w:spacing w:val="-8"/>
                <w:sz w:val="20"/>
              </w:rPr>
              <w:t>（2）</w:t>
            </w:r>
            <w:r>
              <w:rPr>
                <w:spacing w:val="-6"/>
                <w:sz w:val="20"/>
              </w:rPr>
              <w:t>左前降支、左回旋支和右冠状动脉中，至少一支血管管腔堵塞≥</w:t>
            </w:r>
            <w:r>
              <w:rPr>
                <w:spacing w:val="-5"/>
                <w:sz w:val="20"/>
              </w:rPr>
              <w:t>75%</w:t>
            </w:r>
            <w:r>
              <w:rPr>
                <w:spacing w:val="-2"/>
                <w:sz w:val="20"/>
              </w:rPr>
              <w:t>，且其他两支血</w:t>
            </w:r>
            <w:r>
              <w:rPr>
                <w:spacing w:val="-2"/>
                <w:w w:val="95"/>
                <w:sz w:val="20"/>
              </w:rPr>
              <w:t>管管腔堵塞均≥60%。</w:t>
            </w:r>
          </w:p>
          <w:p>
            <w:pPr>
              <w:pStyle w:val="TableParagraph"/>
              <w:spacing w:line="285" w:lineRule="auto" w:before="12"/>
              <w:ind w:right="102"/>
              <w:rPr>
                <w:b/>
                <w:sz w:val="20"/>
              </w:rPr>
            </w:pPr>
            <w:r>
              <w:rPr>
                <w:b/>
                <w:sz w:val="20"/>
              </w:rPr>
              <w:t>左前降支的分支血管、左回旋支的分支血管及右冠状动脉的分支血管的狭窄不作为本保</w:t>
            </w:r>
            <w:r>
              <w:rPr>
                <w:b/>
                <w:w w:val="95"/>
                <w:sz w:val="20"/>
              </w:rPr>
              <w:t>障的衡量指标。</w:t>
            </w:r>
          </w:p>
        </w:tc>
      </w:tr>
    </w:tbl>
    <w:p>
      <w:pPr>
        <w:pStyle w:val="BodyText"/>
      </w:pPr>
    </w:p>
    <w:p>
      <w:pPr>
        <w:pStyle w:val="Heading1"/>
        <w:spacing w:before="163"/>
      </w:pPr>
      <w:r>
        <w:rPr/>
        <w:pict>
          <v:line style="position:absolute;mso-position-horizontal-relative:page;mso-position-vertical-relative:paragraph;z-index:1120;mso-wrap-distance-left:0;mso-wrap-distance-right:0" from="55.200001pt,26.845627pt" to="539.620001pt,26.845627pt" stroked="true" strokeweight=".47998pt" strokecolor="#000000">
            <v:stroke dashstyle="solid"/>
            <w10:wrap type="topAndBottom"/>
          </v:line>
        </w:pict>
      </w:r>
      <w:r>
        <w:rPr/>
        <w:t>附录二 本合同承保的轻症重疾列表</w:t>
      </w:r>
    </w:p>
    <w:p>
      <w:pPr>
        <w:pStyle w:val="BodyText"/>
        <w:spacing w:before="9"/>
        <w:rPr>
          <w:b/>
          <w:sz w:val="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20"/>
              <w:ind w:left="107"/>
              <w:rPr>
                <w:b/>
                <w:sz w:val="20"/>
              </w:rPr>
            </w:pPr>
            <w:r>
              <w:rPr>
                <w:b/>
                <w:w w:val="95"/>
                <w:sz w:val="20"/>
              </w:rPr>
              <w:t>轻症重疾名称</w:t>
            </w:r>
          </w:p>
        </w:tc>
        <w:tc>
          <w:tcPr>
            <w:tcW w:w="7933" w:type="dxa"/>
            <w:shd w:val="clear" w:color="auto" w:fill="D7D7D7"/>
          </w:tcPr>
          <w:p>
            <w:pPr>
              <w:pStyle w:val="TableParagraph"/>
              <w:spacing w:before="20"/>
              <w:rPr>
                <w:b/>
                <w:sz w:val="20"/>
              </w:rPr>
            </w:pPr>
            <w:r>
              <w:rPr>
                <w:b/>
                <w:sz w:val="20"/>
              </w:rPr>
              <w:t>定义</w:t>
            </w:r>
          </w:p>
        </w:tc>
      </w:tr>
      <w:tr>
        <w:trPr>
          <w:trHeight w:val="2853" w:hRule="atLeast"/>
        </w:trPr>
        <w:tc>
          <w:tcPr>
            <w:tcW w:w="1860" w:type="dxa"/>
          </w:tcPr>
          <w:p>
            <w:pPr>
              <w:pStyle w:val="TableParagraph"/>
              <w:spacing w:line="285" w:lineRule="auto" w:before="8"/>
              <w:ind w:left="107" w:right="98"/>
              <w:rPr>
                <w:sz w:val="20"/>
              </w:rPr>
            </w:pPr>
            <w:r>
              <w:rPr>
                <w:w w:val="95"/>
                <w:sz w:val="20"/>
              </w:rPr>
              <w:t>1．极早期的恶性肿瘤或恶性病变</w:t>
            </w:r>
          </w:p>
        </w:tc>
        <w:tc>
          <w:tcPr>
            <w:tcW w:w="7933" w:type="dxa"/>
          </w:tcPr>
          <w:p>
            <w:pPr>
              <w:pStyle w:val="TableParagraph"/>
              <w:spacing w:before="8"/>
              <w:jc w:val="both"/>
              <w:rPr>
                <w:sz w:val="20"/>
              </w:rPr>
            </w:pPr>
            <w:r>
              <w:rPr>
                <w:w w:val="95"/>
                <w:sz w:val="20"/>
              </w:rPr>
              <w:t>指经组织病理学检查被明确诊断为下列恶性病变，并且接受了相应的治疗。</w:t>
            </w:r>
          </w:p>
          <w:p>
            <w:pPr>
              <w:pStyle w:val="TableParagraph"/>
              <w:spacing w:before="49"/>
              <w:jc w:val="both"/>
              <w:rPr>
                <w:sz w:val="20"/>
              </w:rPr>
            </w:pPr>
            <w:r>
              <w:rPr>
                <w:w w:val="95"/>
                <w:sz w:val="20"/>
              </w:rPr>
              <w:t>（1）原位癌；</w:t>
            </w:r>
          </w:p>
          <w:p>
            <w:pPr>
              <w:pStyle w:val="TableParagraph"/>
              <w:spacing w:before="49"/>
              <w:jc w:val="both"/>
              <w:rPr>
                <w:sz w:val="20"/>
              </w:rPr>
            </w:pPr>
            <w:r>
              <w:rPr>
                <w:sz w:val="20"/>
              </w:rPr>
              <w:t>（2）相当于 Binet 分期方案 A 期程度的慢性淋巴细胞白血病；</w:t>
            </w:r>
          </w:p>
          <w:p>
            <w:pPr>
              <w:pStyle w:val="TableParagraph"/>
              <w:spacing w:before="49"/>
              <w:jc w:val="both"/>
              <w:rPr>
                <w:sz w:val="20"/>
              </w:rPr>
            </w:pPr>
            <w:r>
              <w:rPr>
                <w:sz w:val="20"/>
              </w:rPr>
              <w:t>（3）相当于 Ann Arbor 分期方案 I 期程度的何杰金氏病；</w:t>
            </w:r>
          </w:p>
          <w:p>
            <w:pPr>
              <w:pStyle w:val="TableParagraph"/>
              <w:spacing w:before="49"/>
              <w:jc w:val="both"/>
              <w:rPr>
                <w:sz w:val="20"/>
              </w:rPr>
            </w:pPr>
            <w:r>
              <w:rPr>
                <w:w w:val="95"/>
                <w:sz w:val="20"/>
              </w:rPr>
              <w:t>（4）皮肤癌（不包括恶性黑色素瘤及已发生转移的皮肤癌）；</w:t>
            </w:r>
          </w:p>
          <w:p>
            <w:pPr>
              <w:pStyle w:val="TableParagraph"/>
              <w:spacing w:before="49"/>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0"/>
              <w:ind w:right="103"/>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11"/>
              <w:ind w:left="107" w:right="95"/>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3" w:type="dxa"/>
          </w:tcPr>
          <w:p>
            <w:pPr>
              <w:pStyle w:val="TableParagraph"/>
              <w:spacing w:line="285" w:lineRule="auto" w:before="11"/>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before="12"/>
              <w:rPr>
                <w:b/>
                <w:sz w:val="20"/>
              </w:rPr>
            </w:pPr>
            <w:r>
              <w:rPr>
                <w:b/>
                <w:sz w:val="20"/>
              </w:rPr>
              <w:t>面积达到全身体表面积的 20％或 20%以上的Ⅲ度烧伤不在保障范围内。</w:t>
            </w:r>
          </w:p>
        </w:tc>
      </w:tr>
      <w:tr>
        <w:trPr>
          <w:trHeight w:val="983" w:hRule="atLeast"/>
        </w:trPr>
        <w:tc>
          <w:tcPr>
            <w:tcW w:w="1860" w:type="dxa"/>
          </w:tcPr>
          <w:p>
            <w:pPr>
              <w:pStyle w:val="TableParagraph"/>
              <w:spacing w:before="11"/>
              <w:ind w:left="107"/>
              <w:rPr>
                <w:sz w:val="20"/>
              </w:rPr>
            </w:pPr>
            <w:r>
              <w:rPr>
                <w:w w:val="95"/>
                <w:sz w:val="20"/>
              </w:rPr>
              <w:t>3．慢性肾功能不全</w:t>
            </w:r>
          </w:p>
        </w:tc>
        <w:tc>
          <w:tcPr>
            <w:tcW w:w="7933"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5" w:hRule="atLeast"/>
        </w:trPr>
        <w:tc>
          <w:tcPr>
            <w:tcW w:w="1860" w:type="dxa"/>
          </w:tcPr>
          <w:p>
            <w:pPr>
              <w:pStyle w:val="TableParagraph"/>
              <w:spacing w:line="285" w:lineRule="auto" w:before="8"/>
              <w:ind w:left="107" w:right="90"/>
              <w:jc w:val="both"/>
              <w:rPr>
                <w:sz w:val="20"/>
              </w:rPr>
            </w:pPr>
            <w:r>
              <w:rPr>
                <w:spacing w:val="-15"/>
                <w:sz w:val="20"/>
              </w:rPr>
              <w:t>4</w:t>
            </w:r>
            <w:r>
              <w:rPr>
                <w:spacing w:val="-7"/>
                <w:sz w:val="20"/>
              </w:rPr>
              <w:t>．脑垂体瘤、脑囊</w:t>
            </w:r>
            <w:r>
              <w:rPr>
                <w:spacing w:val="5"/>
                <w:sz w:val="20"/>
              </w:rPr>
              <w:t>肿、脑动脉瘤及脑</w:t>
            </w:r>
            <w:r>
              <w:rPr>
                <w:w w:val="95"/>
                <w:sz w:val="20"/>
              </w:rPr>
              <w:t>血管瘤</w:t>
            </w:r>
          </w:p>
        </w:tc>
        <w:tc>
          <w:tcPr>
            <w:tcW w:w="7933" w:type="dxa"/>
          </w:tcPr>
          <w:p>
            <w:pPr>
              <w:pStyle w:val="TableParagraph"/>
              <w:spacing w:line="285" w:lineRule="auto" w:before="8"/>
              <w:ind w:right="102"/>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1"/>
              <w:rPr>
                <w:sz w:val="20"/>
              </w:rPr>
            </w:pPr>
            <w:r>
              <w:rPr>
                <w:w w:val="95"/>
                <w:sz w:val="20"/>
              </w:rPr>
              <w:t>（1）脑垂体瘤；</w:t>
            </w:r>
          </w:p>
          <w:p>
            <w:pPr>
              <w:pStyle w:val="TableParagraph"/>
              <w:spacing w:before="49"/>
              <w:rPr>
                <w:sz w:val="20"/>
              </w:rPr>
            </w:pPr>
            <w:r>
              <w:rPr>
                <w:w w:val="95"/>
                <w:sz w:val="20"/>
              </w:rPr>
              <w:t>（2）脑囊肿；</w:t>
            </w:r>
          </w:p>
          <w:p>
            <w:pPr>
              <w:pStyle w:val="TableParagraph"/>
              <w:spacing w:before="49"/>
              <w:rPr>
                <w:sz w:val="20"/>
              </w:rPr>
            </w:pPr>
            <w:r>
              <w:rPr>
                <w:w w:val="95"/>
                <w:sz w:val="20"/>
              </w:rPr>
              <w:t>（3）脑动脉瘤、脑血管瘤。</w:t>
            </w:r>
          </w:p>
        </w:tc>
      </w:tr>
      <w:tr>
        <w:trPr>
          <w:trHeight w:val="2232" w:hRule="atLeast"/>
        </w:trPr>
        <w:tc>
          <w:tcPr>
            <w:tcW w:w="1860" w:type="dxa"/>
          </w:tcPr>
          <w:p>
            <w:pPr>
              <w:pStyle w:val="TableParagraph"/>
              <w:spacing w:before="11"/>
              <w:ind w:left="107"/>
              <w:rPr>
                <w:sz w:val="20"/>
              </w:rPr>
            </w:pPr>
            <w:r>
              <w:rPr>
                <w:w w:val="95"/>
                <w:sz w:val="20"/>
              </w:rPr>
              <w:t>5．视力严重受损</w:t>
            </w:r>
          </w:p>
        </w:tc>
        <w:tc>
          <w:tcPr>
            <w:tcW w:w="7933" w:type="dxa"/>
          </w:tcPr>
          <w:p>
            <w:pPr>
              <w:pStyle w:val="TableParagraph"/>
              <w:spacing w:before="11"/>
              <w:rPr>
                <w:sz w:val="20"/>
              </w:rPr>
            </w:pPr>
            <w:r>
              <w:rPr>
                <w:w w:val="95"/>
                <w:sz w:val="20"/>
              </w:rPr>
              <w:t>指因疾病或意外伤害导致双目视力永久不可逆性丧失，须满足下列全部条件：</w:t>
            </w:r>
          </w:p>
          <w:p>
            <w:pPr>
              <w:pStyle w:val="TableParagraph"/>
              <w:spacing w:line="285" w:lineRule="auto" w:before="49"/>
              <w:ind w:right="103"/>
              <w:rPr>
                <w:sz w:val="20"/>
              </w:rPr>
            </w:pPr>
            <w:r>
              <w:rPr>
                <w:sz w:val="20"/>
              </w:rPr>
              <w:t>（1）双眼中较好眼矫正视力低于 0.1（采用国际标准视力表，如果使用其他视力表应进</w:t>
            </w:r>
            <w:r>
              <w:rPr>
                <w:w w:val="95"/>
                <w:sz w:val="20"/>
              </w:rPr>
              <w:t>行换算）；</w:t>
            </w:r>
          </w:p>
          <w:p>
            <w:pPr>
              <w:pStyle w:val="TableParagraph"/>
              <w:spacing w:before="11"/>
              <w:rPr>
                <w:sz w:val="20"/>
              </w:rPr>
            </w:pPr>
            <w:r>
              <w:rPr>
                <w:sz w:val="20"/>
              </w:rPr>
              <w:t>（2）视野半径小于 20 度。</w:t>
            </w:r>
          </w:p>
          <w:p>
            <w:pPr>
              <w:pStyle w:val="TableParagraph"/>
              <w:spacing w:before="49"/>
              <w:rPr>
                <w:b/>
                <w:sz w:val="20"/>
              </w:rPr>
            </w:pPr>
            <w:r>
              <w:rPr>
                <w:b/>
                <w:w w:val="95"/>
                <w:sz w:val="20"/>
              </w:rPr>
              <w:t>白内障导致的视力受损不在保障范围内。</w:t>
            </w:r>
          </w:p>
          <w:p>
            <w:pPr>
              <w:pStyle w:val="TableParagraph"/>
              <w:spacing w:line="285" w:lineRule="auto" w:before="49"/>
              <w:ind w:right="103"/>
              <w:rPr>
                <w:sz w:val="20"/>
              </w:rPr>
            </w:pPr>
            <w:r>
              <w:rPr>
                <w:sz w:val="20"/>
              </w:rPr>
              <w:t>申请理赔时，被保险人年龄必须在 3 周岁以上，并且须提供理赔当时的视力严重受损诊</w:t>
            </w:r>
            <w:r>
              <w:rPr>
                <w:w w:val="95"/>
                <w:sz w:val="20"/>
              </w:rPr>
              <w:t>断及检查证据。</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1917" w:hRule="atLeast"/>
        </w:trPr>
        <w:tc>
          <w:tcPr>
            <w:tcW w:w="1860" w:type="dxa"/>
          </w:tcPr>
          <w:p>
            <w:pPr>
              <w:pStyle w:val="TableParagraph"/>
              <w:spacing w:line="285" w:lineRule="auto" w:before="5"/>
              <w:ind w:left="107" w:right="98"/>
              <w:rPr>
                <w:sz w:val="20"/>
              </w:rPr>
            </w:pPr>
            <w:r>
              <w:rPr>
                <w:w w:val="95"/>
                <w:sz w:val="20"/>
              </w:rPr>
              <w:t>6．慢性肝功能衰竭失代偿期</w:t>
            </w:r>
          </w:p>
        </w:tc>
        <w:tc>
          <w:tcPr>
            <w:tcW w:w="7933" w:type="dxa"/>
          </w:tcPr>
          <w:p>
            <w:pPr>
              <w:pStyle w:val="TableParagraph"/>
              <w:spacing w:before="5"/>
              <w:rPr>
                <w:sz w:val="20"/>
              </w:rPr>
            </w:pPr>
            <w:r>
              <w:rPr>
                <w:w w:val="95"/>
                <w:sz w:val="20"/>
              </w:rPr>
              <w:t>指因慢性肝脏疾病导致肝功能衰竭失代偿期，须满足下列任意三个条件：</w:t>
            </w:r>
          </w:p>
          <w:p>
            <w:pPr>
              <w:pStyle w:val="TableParagraph"/>
              <w:spacing w:before="50"/>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85" w:lineRule="auto" w:before="50"/>
              <w:ind w:right="2915"/>
              <w:rPr>
                <w:b/>
                <w:sz w:val="20"/>
              </w:rPr>
            </w:pPr>
            <w:r>
              <w:rPr>
                <w:w w:val="95"/>
                <w:sz w:val="20"/>
              </w:rPr>
              <w:t>（4）充血性脾肿大伴脾功能亢进或食管胃底静脉曲张。 </w:t>
            </w:r>
            <w:r>
              <w:rPr>
                <w:b/>
                <w:w w:val="95"/>
                <w:sz w:val="20"/>
              </w:rPr>
              <w:t>因酗酒或药物滥用导致的肝功能衰竭不在保障范围内。</w:t>
            </w:r>
          </w:p>
        </w:tc>
      </w:tr>
      <w:tr>
        <w:trPr>
          <w:trHeight w:val="983" w:hRule="atLeast"/>
        </w:trPr>
        <w:tc>
          <w:tcPr>
            <w:tcW w:w="1860" w:type="dxa"/>
          </w:tcPr>
          <w:p>
            <w:pPr>
              <w:pStyle w:val="TableParagraph"/>
              <w:spacing w:before="5"/>
              <w:ind w:left="107"/>
              <w:rPr>
                <w:sz w:val="20"/>
              </w:rPr>
            </w:pPr>
            <w:r>
              <w:rPr>
                <w:w w:val="95"/>
                <w:sz w:val="20"/>
              </w:rPr>
              <w:t>7．脑中风</w:t>
            </w:r>
          </w:p>
        </w:tc>
        <w:tc>
          <w:tcPr>
            <w:tcW w:w="7933" w:type="dxa"/>
          </w:tcPr>
          <w:p>
            <w:pPr>
              <w:pStyle w:val="TableParagraph"/>
              <w:spacing w:line="285" w:lineRule="auto" w:before="5"/>
              <w:ind w:right="97"/>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before="12"/>
              <w:rPr>
                <w:sz w:val="20"/>
              </w:rPr>
            </w:pPr>
            <w:r>
              <w:rPr>
                <w:b/>
                <w:sz w:val="20"/>
              </w:rPr>
              <w:t>短暂性脑缺血发作(TIA) 和腔隙性脑梗塞不在保障范围内</w:t>
            </w:r>
            <w:r>
              <w:rPr>
                <w:sz w:val="20"/>
              </w:rPr>
              <w:t>。</w:t>
            </w:r>
          </w:p>
        </w:tc>
      </w:tr>
      <w:tr>
        <w:trPr>
          <w:trHeight w:val="1605" w:hRule="atLeast"/>
        </w:trPr>
        <w:tc>
          <w:tcPr>
            <w:tcW w:w="1860" w:type="dxa"/>
          </w:tcPr>
          <w:p>
            <w:pPr>
              <w:pStyle w:val="TableParagraph"/>
              <w:spacing w:line="285" w:lineRule="auto" w:before="3"/>
              <w:ind w:left="107" w:right="98"/>
              <w:rPr>
                <w:sz w:val="20"/>
              </w:rPr>
            </w:pPr>
            <w:r>
              <w:rPr>
                <w:w w:val="95"/>
                <w:sz w:val="20"/>
              </w:rPr>
              <w:t>8．不典型的急性心肌梗塞</w:t>
            </w:r>
          </w:p>
        </w:tc>
        <w:tc>
          <w:tcPr>
            <w:tcW w:w="7933" w:type="dxa"/>
          </w:tcPr>
          <w:p>
            <w:pPr>
              <w:pStyle w:val="TableParagraph"/>
              <w:spacing w:before="3"/>
              <w:rPr>
                <w:sz w:val="20"/>
              </w:rPr>
            </w:pPr>
            <w:r>
              <w:rPr>
                <w:w w:val="95"/>
                <w:sz w:val="20"/>
              </w:rPr>
              <w:t>指被临床诊断为急性心肌梗塞并接受了急性心肌梗塞治疗，须满足下列全部条件：</w:t>
            </w:r>
          </w:p>
          <w:p>
            <w:pPr>
              <w:pStyle w:val="TableParagraph"/>
              <w:spacing w:before="50"/>
              <w:rPr>
                <w:sz w:val="20"/>
              </w:rPr>
            </w:pPr>
            <w:r>
              <w:rPr>
                <w:w w:val="95"/>
                <w:sz w:val="20"/>
              </w:rPr>
              <w:t>（1）肌钙蛋白有诊断意义的升高；</w:t>
            </w:r>
          </w:p>
          <w:p>
            <w:pPr>
              <w:pStyle w:val="TableParagraph"/>
              <w:spacing w:before="50"/>
              <w:rPr>
                <w:sz w:val="20"/>
              </w:rPr>
            </w:pPr>
            <w:r>
              <w:rPr>
                <w:sz w:val="20"/>
              </w:rPr>
              <w:t>（2）心电图有损伤性的 ST 段改变但未出现病理 Q 波。</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1293" w:hRule="atLeast"/>
        </w:trPr>
        <w:tc>
          <w:tcPr>
            <w:tcW w:w="1860" w:type="dxa"/>
          </w:tcPr>
          <w:p>
            <w:pPr>
              <w:pStyle w:val="TableParagraph"/>
              <w:spacing w:line="285" w:lineRule="auto" w:before="5"/>
              <w:ind w:left="107" w:right="98"/>
              <w:rPr>
                <w:sz w:val="20"/>
              </w:rPr>
            </w:pPr>
            <w:r>
              <w:rPr>
                <w:w w:val="95"/>
                <w:sz w:val="20"/>
              </w:rPr>
              <w:t>9．冠状动脉介入手</w:t>
            </w:r>
            <w:r>
              <w:rPr>
                <w:sz w:val="20"/>
              </w:rPr>
              <w:t>术</w:t>
            </w:r>
          </w:p>
        </w:tc>
        <w:tc>
          <w:tcPr>
            <w:tcW w:w="7933" w:type="dxa"/>
          </w:tcPr>
          <w:p>
            <w:pPr>
              <w:pStyle w:val="TableParagraph"/>
              <w:spacing w:line="285" w:lineRule="auto" w:before="5"/>
              <w:ind w:right="102"/>
              <w:rPr>
                <w:sz w:val="20"/>
              </w:rPr>
            </w:pPr>
            <w:r>
              <w:rPr>
                <w:spacing w:val="-5"/>
                <w:w w:val="95"/>
                <w:sz w:val="20"/>
              </w:rPr>
              <w:t>为了治疗明显的冠状动脉狭窄性疾病，首次实际实施的冠状动脉球囊扩张成形术、冠状动   脉支架植入术或激光冠状动脉成形术。</w:t>
            </w:r>
          </w:p>
          <w:p>
            <w:pPr>
              <w:pStyle w:val="TableParagraph"/>
              <w:spacing w:line="285" w:lineRule="auto" w:before="12"/>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983" w:hRule="atLeast"/>
        </w:trPr>
        <w:tc>
          <w:tcPr>
            <w:tcW w:w="1860" w:type="dxa"/>
          </w:tcPr>
          <w:p>
            <w:pPr>
              <w:pStyle w:val="TableParagraph"/>
              <w:spacing w:line="285" w:lineRule="auto" w:before="5"/>
              <w:ind w:left="107" w:right="86"/>
              <w:rPr>
                <w:sz w:val="20"/>
              </w:rPr>
            </w:pPr>
            <w:r>
              <w:rPr>
                <w:sz w:val="20"/>
              </w:rPr>
              <w:t>10．胸腔镜下冠状</w:t>
            </w:r>
            <w:r>
              <w:rPr>
                <w:w w:val="95"/>
                <w:sz w:val="20"/>
              </w:rPr>
              <w:t>动脉搭桥手术</w:t>
            </w:r>
          </w:p>
        </w:tc>
        <w:tc>
          <w:tcPr>
            <w:tcW w:w="7933" w:type="dxa"/>
          </w:tcPr>
          <w:p>
            <w:pPr>
              <w:pStyle w:val="TableParagraph"/>
              <w:spacing w:before="5"/>
              <w:rPr>
                <w:sz w:val="20"/>
              </w:rPr>
            </w:pPr>
            <w:r>
              <w:rPr>
                <w:w w:val="95"/>
                <w:sz w:val="20"/>
              </w:rPr>
              <w:t>为了治疗明显的冠状动脉狭窄性疾病，首次实际实施的胸腔镜下冠状动脉搭桥手术。</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669" w:hRule="atLeast"/>
        </w:trPr>
        <w:tc>
          <w:tcPr>
            <w:tcW w:w="1860" w:type="dxa"/>
          </w:tcPr>
          <w:p>
            <w:pPr>
              <w:pStyle w:val="TableParagraph"/>
              <w:spacing w:line="285" w:lineRule="auto" w:before="3"/>
              <w:ind w:left="107" w:right="86"/>
              <w:rPr>
                <w:sz w:val="20"/>
              </w:rPr>
            </w:pPr>
            <w:r>
              <w:rPr>
                <w:sz w:val="20"/>
              </w:rPr>
              <w:t>11．心脏瓣膜介入</w:t>
            </w:r>
            <w:r>
              <w:rPr>
                <w:w w:val="95"/>
                <w:sz w:val="20"/>
              </w:rPr>
              <w:t>手术</w:t>
            </w:r>
          </w:p>
        </w:tc>
        <w:tc>
          <w:tcPr>
            <w:tcW w:w="7933" w:type="dxa"/>
          </w:tcPr>
          <w:p>
            <w:pPr>
              <w:pStyle w:val="TableParagraph"/>
              <w:spacing w:line="285" w:lineRule="auto" w:before="3"/>
              <w:ind w:right="101"/>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5"/>
              <w:ind w:left="107"/>
              <w:rPr>
                <w:sz w:val="20"/>
              </w:rPr>
            </w:pPr>
            <w:r>
              <w:rPr>
                <w:w w:val="95"/>
                <w:sz w:val="20"/>
              </w:rPr>
              <w:t>12．主动脉内手术</w:t>
            </w:r>
          </w:p>
        </w:tc>
        <w:tc>
          <w:tcPr>
            <w:tcW w:w="7933" w:type="dxa"/>
          </w:tcPr>
          <w:p>
            <w:pPr>
              <w:pStyle w:val="TableParagraph"/>
              <w:spacing w:line="285" w:lineRule="auto" w:before="5"/>
              <w:ind w:right="101"/>
              <w:rPr>
                <w:b/>
                <w:sz w:val="20"/>
              </w:rPr>
            </w:pPr>
            <w:r>
              <w:rPr>
                <w:spacing w:val="-4"/>
                <w:w w:val="95"/>
                <w:sz w:val="20"/>
              </w:rPr>
              <w:t>为了治疗主动脉疾病实际实施的经皮经导管进行的动脉内手术。主动脉指胸主动脉和腹主   动脉，</w:t>
            </w:r>
            <w:r>
              <w:rPr>
                <w:b/>
                <w:spacing w:val="-4"/>
                <w:w w:val="95"/>
                <w:sz w:val="20"/>
              </w:rPr>
              <w:t>不包括胸主动脉和腹主动脉的分支血管。</w:t>
            </w:r>
          </w:p>
        </w:tc>
      </w:tr>
      <w:tr>
        <w:trPr>
          <w:trHeight w:val="2855" w:hRule="atLeast"/>
        </w:trPr>
        <w:tc>
          <w:tcPr>
            <w:tcW w:w="1860" w:type="dxa"/>
          </w:tcPr>
          <w:p>
            <w:pPr>
              <w:pStyle w:val="TableParagraph"/>
              <w:spacing w:line="285" w:lineRule="auto" w:before="5"/>
              <w:ind w:left="107" w:right="86"/>
              <w:rPr>
                <w:sz w:val="20"/>
              </w:rPr>
            </w:pPr>
            <w:r>
              <w:rPr>
                <w:sz w:val="20"/>
              </w:rPr>
              <w:t>13．早期原发性心</w:t>
            </w:r>
            <w:r>
              <w:rPr>
                <w:w w:val="95"/>
                <w:sz w:val="20"/>
              </w:rPr>
              <w:t>肌病</w:t>
            </w:r>
          </w:p>
        </w:tc>
        <w:tc>
          <w:tcPr>
            <w:tcW w:w="7933" w:type="dxa"/>
          </w:tcPr>
          <w:p>
            <w:pPr>
              <w:pStyle w:val="TableParagraph"/>
              <w:spacing w:before="5"/>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101"/>
              <w:rPr>
                <w:sz w:val="20"/>
              </w:rPr>
            </w:pPr>
            <w:r>
              <w:rPr>
                <w:spacing w:val="-3"/>
                <w:w w:val="95"/>
                <w:sz w:val="20"/>
              </w:rPr>
              <w:t>原发性心肌病的诊断必须由本公司认可医院的心脏专科医师确认，并提供心脏超声检查结   果报告。</w:t>
            </w:r>
          </w:p>
          <w:p>
            <w:pPr>
              <w:pStyle w:val="TableParagraph"/>
              <w:spacing w:line="285" w:lineRule="auto" w:before="12"/>
              <w:ind w:right="95"/>
              <w:rPr>
                <w:b/>
                <w:sz w:val="20"/>
              </w:rPr>
            </w:pPr>
            <w:r>
              <w:rPr>
                <w:spacing w:val="-5"/>
                <w:sz w:val="20"/>
              </w:rPr>
              <w:t>本保障范围内的心肌病包括扩张型心肌病、肥厚型心肌病及限制型心肌病。</w:t>
            </w:r>
            <w:r>
              <w:rPr>
                <w:b/>
                <w:sz w:val="20"/>
              </w:rPr>
              <w:t>继发于全身性</w:t>
            </w:r>
            <w:r>
              <w:rPr>
                <w:b/>
                <w:w w:val="95"/>
                <w:sz w:val="20"/>
              </w:rPr>
              <w:t>疾病或其它器官系统疾病以及由于酒精和药物滥用导致的心肌病不在保障范围内。</w:t>
            </w:r>
          </w:p>
        </w:tc>
      </w:tr>
      <w:tr>
        <w:trPr>
          <w:trHeight w:val="981" w:hRule="atLeast"/>
        </w:trPr>
        <w:tc>
          <w:tcPr>
            <w:tcW w:w="1860" w:type="dxa"/>
          </w:tcPr>
          <w:p>
            <w:pPr>
              <w:pStyle w:val="TableParagraph"/>
              <w:spacing w:before="3"/>
              <w:ind w:left="107"/>
              <w:rPr>
                <w:sz w:val="20"/>
              </w:rPr>
            </w:pPr>
            <w:r>
              <w:rPr>
                <w:sz w:val="20"/>
              </w:rPr>
              <w:t>14．侵蚀性葡萄胎</w:t>
            </w:r>
          </w:p>
          <w:p>
            <w:pPr>
              <w:pStyle w:val="TableParagraph"/>
              <w:spacing w:line="285" w:lineRule="auto" w:before="50"/>
              <w:ind w:left="107" w:right="99"/>
              <w:rPr>
                <w:sz w:val="20"/>
              </w:rPr>
            </w:pPr>
            <w:r>
              <w:rPr>
                <w:sz w:val="20"/>
              </w:rPr>
              <w:t>（</w:t>
            </w:r>
            <w:r>
              <w:rPr>
                <w:spacing w:val="-33"/>
                <w:sz w:val="20"/>
              </w:rPr>
              <w:t> 或 称 恶 性 葡 萄</w:t>
            </w:r>
            <w:r>
              <w:rPr>
                <w:spacing w:val="-33"/>
                <w:w w:val="95"/>
                <w:sz w:val="20"/>
              </w:rPr>
              <w:t>胎）</w:t>
            </w:r>
          </w:p>
        </w:tc>
        <w:tc>
          <w:tcPr>
            <w:tcW w:w="7933" w:type="dxa"/>
          </w:tcPr>
          <w:p>
            <w:pPr>
              <w:pStyle w:val="TableParagraph"/>
              <w:spacing w:line="285" w:lineRule="auto" w:before="3"/>
              <w:ind w:right="100"/>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5"/>
              <w:ind w:left="107" w:right="86"/>
              <w:rPr>
                <w:sz w:val="20"/>
              </w:rPr>
            </w:pPr>
            <w:r>
              <w:rPr>
                <w:sz w:val="20"/>
              </w:rPr>
              <w:t>15．心脏起搏器或</w:t>
            </w:r>
            <w:r>
              <w:rPr>
                <w:w w:val="95"/>
                <w:sz w:val="20"/>
              </w:rPr>
              <w:t>除颤器植入</w:t>
            </w:r>
          </w:p>
        </w:tc>
        <w:tc>
          <w:tcPr>
            <w:tcW w:w="7933" w:type="dxa"/>
          </w:tcPr>
          <w:p>
            <w:pPr>
              <w:pStyle w:val="TableParagraph"/>
              <w:spacing w:line="285" w:lineRule="auto" w:before="5"/>
              <w:ind w:right="101"/>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5"/>
              <w:ind w:left="107"/>
              <w:rPr>
                <w:sz w:val="20"/>
              </w:rPr>
            </w:pPr>
            <w:r>
              <w:rPr>
                <w:w w:val="95"/>
                <w:sz w:val="20"/>
              </w:rPr>
              <w:t>16．单个肢体缺失</w:t>
            </w:r>
          </w:p>
        </w:tc>
        <w:tc>
          <w:tcPr>
            <w:tcW w:w="7933" w:type="dxa"/>
          </w:tcPr>
          <w:p>
            <w:pPr>
              <w:pStyle w:val="TableParagraph"/>
              <w:spacing w:before="5"/>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669" w:hRule="atLeast"/>
        </w:trPr>
        <w:tc>
          <w:tcPr>
            <w:tcW w:w="1860" w:type="dxa"/>
          </w:tcPr>
          <w:p>
            <w:pPr>
              <w:pStyle w:val="TableParagraph"/>
              <w:spacing w:before="3"/>
              <w:ind w:left="107"/>
              <w:rPr>
                <w:sz w:val="20"/>
              </w:rPr>
            </w:pPr>
            <w:r>
              <w:rPr>
                <w:w w:val="95"/>
                <w:sz w:val="20"/>
              </w:rPr>
              <w:t>17．中度严重脑炎</w:t>
            </w:r>
          </w:p>
        </w:tc>
        <w:tc>
          <w:tcPr>
            <w:tcW w:w="7933" w:type="dxa"/>
          </w:tcPr>
          <w:p>
            <w:pPr>
              <w:pStyle w:val="TableParagraph"/>
              <w:spacing w:line="285" w:lineRule="auto" w:before="3"/>
              <w:ind w:right="103"/>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tc>
      </w:tr>
    </w:tbl>
    <w:p>
      <w:pPr>
        <w:spacing w:after="0" w:line="285" w:lineRule="auto"/>
        <w:rPr>
          <w:sz w:val="20"/>
        </w:rPr>
        <w:sectPr>
          <w:pgSz w:w="11910" w:h="16840"/>
          <w:pgMar w:header="0" w:footer="831" w:top="1120" w:bottom="1020" w:left="1000" w:right="880"/>
        </w:sect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sz w:val="20"/>
              </w:rPr>
              <w:t>（1）一肢或一肢以上肢体肌力 III 级或 III 级以下的运动功能障碍。</w:t>
            </w:r>
          </w:p>
          <w:p>
            <w:pPr>
              <w:pStyle w:val="TableParagraph"/>
              <w:spacing w:line="285" w:lineRule="auto" w:before="50"/>
              <w:ind w:right="-15"/>
              <w:rPr>
                <w:b/>
                <w:sz w:val="20"/>
              </w:rPr>
            </w:pPr>
            <w:r>
              <w:rPr>
                <w:spacing w:val="-15"/>
                <w:sz w:val="20"/>
              </w:rPr>
              <w:t>（2）</w:t>
            </w:r>
            <w:r>
              <w:rPr>
                <w:spacing w:val="-6"/>
                <w:sz w:val="20"/>
              </w:rPr>
              <w:t>自主生活能力部分丧失，无法独立完成六项基本日常生活活动中的 </w:t>
            </w:r>
            <w:r>
              <w:rPr>
                <w:sz w:val="20"/>
              </w:rPr>
              <w:t>2</w:t>
            </w:r>
            <w:r>
              <w:rPr>
                <w:spacing w:val="-26"/>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16"/>
                <w:w w:val="95"/>
                <w:sz w:val="20"/>
              </w:rPr>
              <w:t>染导致的脑炎。</w:t>
            </w:r>
            <w:r>
              <w:rPr>
                <w:b/>
                <w:spacing w:val="-16"/>
                <w:w w:val="95"/>
                <w:sz w:val="20"/>
              </w:rPr>
              <w:t>由人类免疫缺陷病毒（HIV）导致的脑炎不在保障范围内。</w:t>
            </w:r>
          </w:p>
        </w:tc>
      </w:tr>
      <w:tr>
        <w:trPr>
          <w:trHeight w:val="3168" w:hRule="atLeast"/>
        </w:trPr>
        <w:tc>
          <w:tcPr>
            <w:tcW w:w="1860" w:type="dxa"/>
          </w:tcPr>
          <w:p>
            <w:pPr>
              <w:pStyle w:val="TableParagraph"/>
              <w:spacing w:line="285" w:lineRule="auto" w:before="5"/>
              <w:ind w:left="107" w:right="86"/>
              <w:rPr>
                <w:sz w:val="20"/>
              </w:rPr>
            </w:pPr>
            <w:r>
              <w:rPr>
                <w:sz w:val="20"/>
              </w:rPr>
              <w:t>18．中度严重重症</w:t>
            </w:r>
            <w:r>
              <w:rPr>
                <w:w w:val="95"/>
                <w:sz w:val="20"/>
              </w:rPr>
              <w:t>肌无力症</w:t>
            </w:r>
          </w:p>
        </w:tc>
        <w:tc>
          <w:tcPr>
            <w:tcW w:w="7933" w:type="dxa"/>
          </w:tcPr>
          <w:p>
            <w:pPr>
              <w:pStyle w:val="TableParagraph"/>
              <w:spacing w:line="285" w:lineRule="auto" w:before="5"/>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7"/>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7"/>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6"/>
              <w:rPr>
                <w:sz w:val="20"/>
              </w:rPr>
            </w:pPr>
            <w:r>
              <w:rPr>
                <w:spacing w:val="-27"/>
                <w:sz w:val="20"/>
              </w:rPr>
              <w:t>第 </w:t>
            </w:r>
            <w:r>
              <w:rPr>
                <w:sz w:val="20"/>
              </w:rPr>
              <w:t>III</w:t>
            </w:r>
            <w:r>
              <w:rPr>
                <w:spacing w:val="-8"/>
                <w:sz w:val="20"/>
              </w:rPr>
              <w:t> 级：任何程度之眼部肌肉无力，及其他部位之中度肌肉无力。</w:t>
            </w:r>
            <w:r>
              <w:rPr>
                <w:spacing w:val="-30"/>
                <w:sz w:val="20"/>
              </w:rPr>
              <w:t>第 </w:t>
            </w:r>
            <w:r>
              <w:rPr>
                <w:sz w:val="20"/>
              </w:rPr>
              <w:t>IV</w:t>
            </w:r>
            <w:r>
              <w:rPr>
                <w:spacing w:val="-8"/>
                <w:sz w:val="20"/>
              </w:rPr>
              <w:t> 级：任何程度之眼部肌肉无力，及其他部位之严重肌肉无力。</w:t>
            </w:r>
            <w:r>
              <w:rPr>
                <w:spacing w:val="-31"/>
                <w:sz w:val="20"/>
              </w:rPr>
              <w:t>第 </w:t>
            </w:r>
            <w:r>
              <w:rPr>
                <w:sz w:val="20"/>
              </w:rPr>
              <w:t>V</w:t>
            </w:r>
            <w:r>
              <w:rPr>
                <w:spacing w:val="-8"/>
                <w:sz w:val="20"/>
              </w:rPr>
              <w:t> 级：需要气管插管以维持气管畅通。</w:t>
            </w:r>
          </w:p>
        </w:tc>
      </w:tr>
      <w:tr>
        <w:trPr>
          <w:trHeight w:val="1917" w:hRule="atLeast"/>
        </w:trPr>
        <w:tc>
          <w:tcPr>
            <w:tcW w:w="1860" w:type="dxa"/>
          </w:tcPr>
          <w:p>
            <w:pPr>
              <w:pStyle w:val="TableParagraph"/>
              <w:spacing w:line="285" w:lineRule="auto" w:before="3"/>
              <w:ind w:left="107" w:right="86"/>
              <w:rPr>
                <w:sz w:val="20"/>
              </w:rPr>
            </w:pPr>
            <w:r>
              <w:rPr>
                <w:sz w:val="20"/>
              </w:rPr>
              <w:t>19．中度严重溃疡</w:t>
            </w:r>
            <w:r>
              <w:rPr>
                <w:w w:val="95"/>
                <w:sz w:val="20"/>
              </w:rPr>
              <w:t>性结肠炎</w:t>
            </w:r>
          </w:p>
        </w:tc>
        <w:tc>
          <w:tcPr>
            <w:tcW w:w="7933" w:type="dxa"/>
          </w:tcPr>
          <w:p>
            <w:pPr>
              <w:pStyle w:val="TableParagraph"/>
              <w:spacing w:line="285" w:lineRule="auto" w:before="3"/>
              <w:ind w:right="101"/>
              <w:rPr>
                <w:sz w:val="20"/>
              </w:rPr>
            </w:pPr>
            <w:r>
              <w:rPr>
                <w:spacing w:val="-3"/>
                <w:w w:val="95"/>
                <w:sz w:val="20"/>
              </w:rPr>
              <w:t>溃疡性结肠炎是指伴有致命性电解质紊乱及肠道肿胀及有肠破裂的风险的大肠</w:t>
            </w:r>
            <w:r>
              <w:rPr>
                <w:w w:val="95"/>
                <w:sz w:val="20"/>
              </w:rPr>
              <w:t>（结肠及直   肠）粘膜炎症。须满足下列所有条件：</w:t>
            </w:r>
          </w:p>
          <w:p>
            <w:pPr>
              <w:pStyle w:val="TableParagraph"/>
              <w:spacing w:line="285" w:lineRule="auto" w:before="12"/>
              <w:ind w:right="105"/>
              <w:rPr>
                <w:sz w:val="20"/>
              </w:rPr>
            </w:pPr>
            <w:r>
              <w:rPr>
                <w:sz w:val="20"/>
              </w:rPr>
              <w:t>（1）须经由内窥镜检查证实该疾病侵犯全部结肠及直肠，并经病理学组织切片检查证实</w:t>
            </w:r>
            <w:r>
              <w:rPr>
                <w:w w:val="95"/>
                <w:sz w:val="20"/>
              </w:rPr>
              <w:t>为溃疡性结肠炎。</w:t>
            </w:r>
          </w:p>
          <w:p>
            <w:pPr>
              <w:pStyle w:val="TableParagraph"/>
              <w:spacing w:before="12"/>
              <w:rPr>
                <w:sz w:val="20"/>
              </w:rPr>
            </w:pPr>
            <w:r>
              <w:rPr>
                <w:sz w:val="20"/>
              </w:rPr>
              <w:t>（2）经专科医生以类固醇或免疫抑制剂连续治疗 6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3" w:hRule="atLeast"/>
        </w:trPr>
        <w:tc>
          <w:tcPr>
            <w:tcW w:w="1860" w:type="dxa"/>
          </w:tcPr>
          <w:p>
            <w:pPr>
              <w:pStyle w:val="TableParagraph"/>
              <w:spacing w:line="285" w:lineRule="auto" w:before="5"/>
              <w:ind w:left="107" w:right="86"/>
              <w:jc w:val="both"/>
              <w:rPr>
                <w:sz w:val="20"/>
              </w:rPr>
            </w:pPr>
            <w:r>
              <w:rPr>
                <w:sz w:val="20"/>
              </w:rPr>
              <w:t>20．特定周围动脉狭窄的血管介入治疗</w:t>
            </w:r>
          </w:p>
        </w:tc>
        <w:tc>
          <w:tcPr>
            <w:tcW w:w="7933" w:type="dxa"/>
          </w:tcPr>
          <w:p>
            <w:pPr>
              <w:pStyle w:val="TableParagraph"/>
              <w:spacing w:line="285" w:lineRule="auto" w:before="5"/>
              <w:ind w:right="101"/>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3"/>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pStyle w:val="BodyText"/>
        <w:rPr>
          <w:b/>
        </w:rPr>
      </w:pPr>
    </w:p>
    <w:p>
      <w:pPr>
        <w:pStyle w:val="BodyText"/>
        <w:rPr>
          <w:b/>
        </w:rPr>
      </w:pPr>
    </w:p>
    <w:p>
      <w:pPr>
        <w:pStyle w:val="BodyText"/>
        <w:spacing w:before="4"/>
        <w:rPr>
          <w:b/>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555"/>
        <w:gridCol w:w="8321"/>
      </w:tblGrid>
      <w:tr>
        <w:trPr>
          <w:trHeight w:val="333" w:hRule="atLeast"/>
        </w:trPr>
        <w:tc>
          <w:tcPr>
            <w:tcW w:w="10508" w:type="dxa"/>
            <w:gridSpan w:val="3"/>
          </w:tcPr>
          <w:p>
            <w:pPr>
              <w:pStyle w:val="TableParagraph"/>
              <w:spacing w:line="199" w:lineRule="exact"/>
              <w:ind w:left="380"/>
              <w:rPr>
                <w:b/>
                <w:sz w:val="20"/>
              </w:rPr>
            </w:pPr>
            <w:r>
              <w:rPr>
                <w:b/>
                <w:sz w:val="20"/>
              </w:rPr>
              <w:t>释义</w:t>
            </w:r>
          </w:p>
        </w:tc>
      </w:tr>
      <w:tr>
        <w:trPr>
          <w:trHeight w:val="1367" w:hRule="atLeast"/>
        </w:trPr>
        <w:tc>
          <w:tcPr>
            <w:tcW w:w="632" w:type="dxa"/>
          </w:tcPr>
          <w:p>
            <w:pPr>
              <w:pStyle w:val="TableParagraph"/>
              <w:spacing w:before="72"/>
              <w:ind w:left="200"/>
              <w:rPr>
                <w:b/>
                <w:sz w:val="20"/>
              </w:rPr>
            </w:pPr>
            <w:r>
              <w:rPr>
                <w:b/>
                <w:sz w:val="20"/>
              </w:rPr>
              <w:t>1.</w:t>
            </w:r>
          </w:p>
        </w:tc>
        <w:tc>
          <w:tcPr>
            <w:tcW w:w="1555" w:type="dxa"/>
          </w:tcPr>
          <w:p>
            <w:pPr>
              <w:pStyle w:val="TableParagraph"/>
              <w:spacing w:before="72"/>
              <w:ind w:left="230"/>
              <w:rPr>
                <w:b/>
                <w:sz w:val="20"/>
              </w:rPr>
            </w:pPr>
            <w:r>
              <w:rPr>
                <w:b/>
                <w:sz w:val="20"/>
              </w:rPr>
              <w:t>现金价值</w:t>
            </w:r>
          </w:p>
        </w:tc>
        <w:tc>
          <w:tcPr>
            <w:tcW w:w="8321" w:type="dxa"/>
          </w:tcPr>
          <w:p>
            <w:pPr>
              <w:pStyle w:val="TableParagraph"/>
              <w:spacing w:line="288" w:lineRule="auto" w:before="72"/>
              <w:ind w:left="322" w:right="366"/>
              <w:jc w:val="both"/>
              <w:rPr>
                <w:b/>
                <w:sz w:val="20"/>
              </w:rPr>
            </w:pPr>
            <w:r>
              <w:rPr>
                <w:b/>
                <w:w w:val="95"/>
                <w:sz w:val="20"/>
              </w:rPr>
              <w:t>指保险单所具有的价值，通常体现为解除合同时根据精算原理计算的由我们退还的那部   分金额。该项目保单年度末的金额将列示在本合同所附的现金价值表的对应列内，实际   退保时的现金价值系基于保单年度末的现金价值根据合理的方法换算所得。</w:t>
            </w:r>
            <w:r>
              <w:rPr>
                <w:b/>
                <w:w w:val="95"/>
                <w:sz w:val="20"/>
                <w:u w:val="single"/>
              </w:rPr>
              <w:t>给付首次重  大疾病</w:t>
            </w:r>
            <w:r>
              <w:rPr>
                <w:b/>
                <w:spacing w:val="-15"/>
                <w:w w:val="95"/>
                <w:sz w:val="20"/>
                <w:u w:val="single"/>
              </w:rPr>
              <w:t>保险金后，本合同的现金价值降为零</w:t>
            </w:r>
            <w:r>
              <w:rPr>
                <w:b/>
                <w:w w:val="95"/>
                <w:sz w:val="20"/>
              </w:rPr>
              <w:t>。</w:t>
            </w:r>
          </w:p>
        </w:tc>
      </w:tr>
      <w:tr>
        <w:trPr>
          <w:trHeight w:val="704" w:hRule="atLeast"/>
        </w:trPr>
        <w:tc>
          <w:tcPr>
            <w:tcW w:w="632" w:type="dxa"/>
          </w:tcPr>
          <w:p>
            <w:pPr>
              <w:pStyle w:val="TableParagraph"/>
              <w:spacing w:before="33"/>
              <w:ind w:left="200"/>
              <w:rPr>
                <w:b/>
                <w:sz w:val="20"/>
              </w:rPr>
            </w:pPr>
            <w:r>
              <w:rPr>
                <w:b/>
                <w:sz w:val="20"/>
              </w:rPr>
              <w:t>2.</w:t>
            </w:r>
          </w:p>
        </w:tc>
        <w:tc>
          <w:tcPr>
            <w:tcW w:w="1555" w:type="dxa"/>
          </w:tcPr>
          <w:p>
            <w:pPr>
              <w:pStyle w:val="TableParagraph"/>
              <w:spacing w:before="33"/>
              <w:ind w:left="230"/>
              <w:rPr>
                <w:b/>
                <w:sz w:val="20"/>
              </w:rPr>
            </w:pPr>
            <w:r>
              <w:rPr>
                <w:b/>
                <w:w w:val="95"/>
                <w:sz w:val="20"/>
              </w:rPr>
              <w:t>保单生效日</w:t>
            </w:r>
          </w:p>
        </w:tc>
        <w:tc>
          <w:tcPr>
            <w:tcW w:w="8321" w:type="dxa"/>
          </w:tcPr>
          <w:p>
            <w:pPr>
              <w:pStyle w:val="TableParagraph"/>
              <w:spacing w:line="288" w:lineRule="auto" w:before="33"/>
              <w:ind w:left="322" w:right="278"/>
              <w:rPr>
                <w:sz w:val="20"/>
              </w:rPr>
            </w:pPr>
            <w:r>
              <w:rPr>
                <w:spacing w:val="-4"/>
                <w:w w:val="95"/>
                <w:sz w:val="20"/>
              </w:rPr>
              <w:t>保险单所载的我们所承担的保险责任的开始日期。所有保单周年日、保单年度、保险费约   定支付日均以此日期为计算依据。</w:t>
            </w:r>
          </w:p>
        </w:tc>
      </w:tr>
      <w:tr>
        <w:trPr>
          <w:trHeight w:val="662" w:hRule="atLeast"/>
        </w:trPr>
        <w:tc>
          <w:tcPr>
            <w:tcW w:w="632" w:type="dxa"/>
          </w:tcPr>
          <w:p>
            <w:pPr>
              <w:pStyle w:val="TableParagraph"/>
              <w:spacing w:before="32"/>
              <w:ind w:left="200"/>
              <w:rPr>
                <w:b/>
                <w:sz w:val="20"/>
              </w:rPr>
            </w:pPr>
            <w:r>
              <w:rPr>
                <w:b/>
                <w:sz w:val="20"/>
              </w:rPr>
              <w:t>3.</w:t>
            </w:r>
          </w:p>
        </w:tc>
        <w:tc>
          <w:tcPr>
            <w:tcW w:w="1555" w:type="dxa"/>
          </w:tcPr>
          <w:p>
            <w:pPr>
              <w:pStyle w:val="TableParagraph"/>
              <w:spacing w:before="32"/>
              <w:ind w:left="230"/>
              <w:rPr>
                <w:b/>
                <w:sz w:val="20"/>
              </w:rPr>
            </w:pPr>
            <w:r>
              <w:rPr>
                <w:b/>
                <w:w w:val="95"/>
                <w:sz w:val="20"/>
              </w:rPr>
              <w:t>保单周年日</w:t>
            </w:r>
          </w:p>
        </w:tc>
        <w:tc>
          <w:tcPr>
            <w:tcW w:w="8321" w:type="dxa"/>
          </w:tcPr>
          <w:p>
            <w:pPr>
              <w:pStyle w:val="TableParagraph"/>
              <w:spacing w:line="312" w:lineRule="exact" w:before="16"/>
              <w:ind w:left="322" w:right="275"/>
              <w:rPr>
                <w:sz w:val="20"/>
              </w:rPr>
            </w:pPr>
            <w:r>
              <w:rPr>
                <w:spacing w:val="-3"/>
                <w:w w:val="95"/>
                <w:sz w:val="20"/>
              </w:rPr>
              <w:t>保险单所载的保单生效日之后每一年中保单生效日的对应日。若被保险人周岁生日与保单   周年日重合，即为被保险人周岁生日。</w:t>
            </w:r>
          </w:p>
        </w:tc>
      </w:tr>
      <w:tr>
        <w:trPr>
          <w:trHeight w:val="391" w:hRule="atLeast"/>
        </w:trPr>
        <w:tc>
          <w:tcPr>
            <w:tcW w:w="632" w:type="dxa"/>
          </w:tcPr>
          <w:p>
            <w:pPr>
              <w:pStyle w:val="TableParagraph"/>
              <w:spacing w:line="256" w:lineRule="exact"/>
              <w:ind w:left="200"/>
              <w:rPr>
                <w:b/>
                <w:sz w:val="20"/>
              </w:rPr>
            </w:pPr>
            <w:r>
              <w:rPr>
                <w:b/>
                <w:sz w:val="20"/>
              </w:rPr>
              <w:t>4.</w:t>
            </w:r>
          </w:p>
        </w:tc>
        <w:tc>
          <w:tcPr>
            <w:tcW w:w="1555" w:type="dxa"/>
          </w:tcPr>
          <w:p>
            <w:pPr>
              <w:pStyle w:val="TableParagraph"/>
              <w:spacing w:line="256" w:lineRule="exact"/>
              <w:ind w:left="230"/>
              <w:rPr>
                <w:b/>
                <w:sz w:val="20"/>
              </w:rPr>
            </w:pPr>
            <w:r>
              <w:rPr>
                <w:b/>
                <w:sz w:val="20"/>
              </w:rPr>
              <w:t>保单年度</w:t>
            </w:r>
          </w:p>
        </w:tc>
        <w:tc>
          <w:tcPr>
            <w:tcW w:w="8321" w:type="dxa"/>
          </w:tcPr>
          <w:p>
            <w:pPr>
              <w:pStyle w:val="TableParagraph"/>
              <w:spacing w:line="258" w:lineRule="exact"/>
              <w:ind w:left="322"/>
              <w:rPr>
                <w:sz w:val="20"/>
              </w:rPr>
            </w:pPr>
            <w:r>
              <w:rPr>
                <w:w w:val="95"/>
                <w:sz w:val="20"/>
              </w:rPr>
              <w:t>自保险单所载的保单生效日算起的每个周年期间。保单生效日包含在第一个保单年度中。</w:t>
            </w:r>
          </w:p>
        </w:tc>
      </w:tr>
      <w:tr>
        <w:trPr>
          <w:trHeight w:val="741" w:hRule="atLeast"/>
        </w:trPr>
        <w:tc>
          <w:tcPr>
            <w:tcW w:w="632" w:type="dxa"/>
          </w:tcPr>
          <w:p>
            <w:pPr>
              <w:pStyle w:val="TableParagraph"/>
              <w:spacing w:before="70"/>
              <w:ind w:left="200"/>
              <w:rPr>
                <w:b/>
                <w:sz w:val="20"/>
              </w:rPr>
            </w:pPr>
            <w:r>
              <w:rPr>
                <w:b/>
                <w:sz w:val="20"/>
              </w:rPr>
              <w:t>5.</w:t>
            </w:r>
          </w:p>
        </w:tc>
        <w:tc>
          <w:tcPr>
            <w:tcW w:w="1555" w:type="dxa"/>
          </w:tcPr>
          <w:p>
            <w:pPr>
              <w:pStyle w:val="TableParagraph"/>
              <w:spacing w:before="70"/>
              <w:ind w:left="230"/>
              <w:rPr>
                <w:b/>
                <w:sz w:val="20"/>
              </w:rPr>
            </w:pPr>
            <w:r>
              <w:rPr>
                <w:b/>
                <w:sz w:val="20"/>
              </w:rPr>
              <w:t>周岁</w:t>
            </w:r>
          </w:p>
        </w:tc>
        <w:tc>
          <w:tcPr>
            <w:tcW w:w="8321" w:type="dxa"/>
          </w:tcPr>
          <w:p>
            <w:pPr>
              <w:pStyle w:val="TableParagraph"/>
              <w:spacing w:line="288" w:lineRule="auto" w:before="70"/>
              <w:ind w:left="322" w:right="278"/>
              <w:rPr>
                <w:sz w:val="20"/>
              </w:rPr>
            </w:pPr>
            <w:r>
              <w:rPr>
                <w:spacing w:val="-4"/>
                <w:w w:val="95"/>
                <w:sz w:val="20"/>
              </w:rPr>
              <w:t>以法定身份证明文件中记载的出生日期为基准，自出生之日起为零周岁，每经过一年增加   一周岁，不足一年的不计，依此类推。</w:t>
            </w:r>
          </w:p>
        </w:tc>
      </w:tr>
      <w:tr>
        <w:trPr>
          <w:trHeight w:val="429" w:hRule="atLeast"/>
        </w:trPr>
        <w:tc>
          <w:tcPr>
            <w:tcW w:w="632" w:type="dxa"/>
          </w:tcPr>
          <w:p>
            <w:pPr>
              <w:pStyle w:val="TableParagraph"/>
              <w:spacing w:before="32"/>
              <w:ind w:left="200"/>
              <w:rPr>
                <w:b/>
                <w:sz w:val="20"/>
              </w:rPr>
            </w:pPr>
            <w:r>
              <w:rPr>
                <w:b/>
                <w:sz w:val="20"/>
              </w:rPr>
              <w:t>6.</w:t>
            </w:r>
          </w:p>
        </w:tc>
        <w:tc>
          <w:tcPr>
            <w:tcW w:w="1555" w:type="dxa"/>
          </w:tcPr>
          <w:p>
            <w:pPr>
              <w:pStyle w:val="TableParagraph"/>
              <w:spacing w:before="32"/>
              <w:ind w:left="230"/>
              <w:rPr>
                <w:b/>
                <w:sz w:val="20"/>
              </w:rPr>
            </w:pPr>
            <w:r>
              <w:rPr>
                <w:b/>
                <w:sz w:val="20"/>
              </w:rPr>
              <w:t>满期日</w:t>
            </w:r>
          </w:p>
        </w:tc>
        <w:tc>
          <w:tcPr>
            <w:tcW w:w="8321" w:type="dxa"/>
          </w:tcPr>
          <w:p>
            <w:pPr>
              <w:pStyle w:val="TableParagraph"/>
              <w:spacing w:before="34"/>
              <w:ind w:left="322"/>
              <w:rPr>
                <w:sz w:val="20"/>
              </w:rPr>
            </w:pPr>
            <w:r>
              <w:rPr>
                <w:w w:val="95"/>
                <w:sz w:val="20"/>
              </w:rPr>
              <w:t>本合同订立时约定的保险期间届满之日。</w:t>
            </w:r>
          </w:p>
        </w:tc>
      </w:tr>
      <w:tr>
        <w:trPr>
          <w:trHeight w:val="644" w:hRule="atLeast"/>
        </w:trPr>
        <w:tc>
          <w:tcPr>
            <w:tcW w:w="632" w:type="dxa"/>
          </w:tcPr>
          <w:p>
            <w:pPr>
              <w:pStyle w:val="TableParagraph"/>
              <w:spacing w:before="70"/>
              <w:ind w:left="200"/>
              <w:rPr>
                <w:b/>
                <w:sz w:val="20"/>
              </w:rPr>
            </w:pPr>
            <w:r>
              <w:rPr>
                <w:b/>
                <w:sz w:val="20"/>
              </w:rPr>
              <w:t>7.</w:t>
            </w:r>
          </w:p>
        </w:tc>
        <w:tc>
          <w:tcPr>
            <w:tcW w:w="1555" w:type="dxa"/>
          </w:tcPr>
          <w:p>
            <w:pPr>
              <w:pStyle w:val="TableParagraph"/>
              <w:spacing w:before="70"/>
              <w:ind w:left="230"/>
              <w:rPr>
                <w:b/>
                <w:sz w:val="20"/>
              </w:rPr>
            </w:pPr>
            <w:r>
              <w:rPr>
                <w:b/>
                <w:sz w:val="20"/>
              </w:rPr>
              <w:t>全残</w:t>
            </w:r>
          </w:p>
        </w:tc>
        <w:tc>
          <w:tcPr>
            <w:tcW w:w="8321" w:type="dxa"/>
          </w:tcPr>
          <w:p>
            <w:pPr>
              <w:pStyle w:val="TableParagraph"/>
              <w:spacing w:line="310" w:lineRule="atLeast" w:before="22"/>
              <w:ind w:left="322" w:right="275"/>
              <w:rPr>
                <w:sz w:val="20"/>
              </w:rPr>
            </w:pPr>
            <w:r>
              <w:rPr>
                <w:spacing w:val="-4"/>
                <w:w w:val="95"/>
                <w:sz w:val="20"/>
              </w:rPr>
              <w:t>若被保险人因疾病而导致下列残疾项目之一，或者因意外事故的伤害而自意外事故发生之   </w:t>
            </w:r>
            <w:r>
              <w:rPr>
                <w:spacing w:val="-8"/>
                <w:w w:val="95"/>
                <w:sz w:val="20"/>
              </w:rPr>
              <w:t>日起一百八十日内因该事故导致下列残疾项目之一，即认为全残。若被保险人接受治疗仍</w:t>
            </w:r>
          </w:p>
        </w:tc>
      </w:tr>
    </w:tbl>
    <w:p>
      <w:pPr>
        <w:spacing w:after="0" w:line="310" w:lineRule="atLeast"/>
        <w:rPr>
          <w:sz w:val="20"/>
        </w:rPr>
        <w:sectPr>
          <w:pgSz w:w="11910" w:h="16840"/>
          <w:pgMar w:header="0" w:footer="831" w:top="1120" w:bottom="1020" w:left="760" w:right="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196"/>
      </w:tblGrid>
      <w:tr>
        <w:trPr>
          <w:trHeight w:val="5873" w:hRule="atLeast"/>
        </w:trPr>
        <w:tc>
          <w:tcPr>
            <w:tcW w:w="683" w:type="dxa"/>
          </w:tcPr>
          <w:p>
            <w:pPr>
              <w:pStyle w:val="TableParagraph"/>
              <w:ind w:left="0"/>
              <w:rPr>
                <w:rFonts w:ascii="Times New Roman"/>
                <w:sz w:val="18"/>
              </w:rPr>
            </w:pPr>
          </w:p>
        </w:tc>
        <w:tc>
          <w:tcPr>
            <w:tcW w:w="1606" w:type="dxa"/>
          </w:tcPr>
          <w:p>
            <w:pPr>
              <w:pStyle w:val="TableParagraph"/>
              <w:ind w:left="0"/>
              <w:rPr>
                <w:rFonts w:ascii="Times New Roman"/>
                <w:sz w:val="18"/>
              </w:rPr>
            </w:pPr>
          </w:p>
        </w:tc>
        <w:tc>
          <w:tcPr>
            <w:tcW w:w="8196" w:type="dxa"/>
          </w:tcPr>
          <w:p>
            <w:pPr>
              <w:pStyle w:val="TableParagraph"/>
              <w:spacing w:line="191" w:lineRule="exact"/>
              <w:ind w:left="220"/>
              <w:rPr>
                <w:sz w:val="20"/>
              </w:rPr>
            </w:pPr>
            <w:r>
              <w:rPr>
                <w:w w:val="95"/>
                <w:sz w:val="20"/>
              </w:rPr>
              <w:t>未结束的，按第一百八十日的身体情况进行残疾鉴定，并据此给付全残保险金。</w:t>
            </w:r>
          </w:p>
          <w:p>
            <w:pPr>
              <w:pStyle w:val="TableParagraph"/>
              <w:numPr>
                <w:ilvl w:val="0"/>
                <w:numId w:val="39"/>
              </w:numPr>
              <w:tabs>
                <w:tab w:pos="900" w:val="left" w:leader="none"/>
              </w:tabs>
              <w:spacing w:line="240" w:lineRule="auto" w:before="129" w:after="0"/>
              <w:ind w:left="900" w:right="0" w:hanging="680"/>
              <w:jc w:val="left"/>
              <w:rPr>
                <w:sz w:val="20"/>
              </w:rPr>
            </w:pPr>
            <w:r>
              <w:rPr>
                <w:sz w:val="20"/>
              </w:rPr>
              <w:t>双目永久完全失明的（</w:t>
            </w:r>
            <w:r>
              <w:rPr>
                <w:spacing w:val="-27"/>
                <w:sz w:val="20"/>
              </w:rPr>
              <w:t>注 </w:t>
            </w:r>
            <w:r>
              <w:rPr>
                <w:sz w:val="20"/>
              </w:rPr>
              <w:t>1）</w:t>
            </w:r>
          </w:p>
          <w:p>
            <w:pPr>
              <w:pStyle w:val="TableParagraph"/>
              <w:numPr>
                <w:ilvl w:val="0"/>
                <w:numId w:val="39"/>
              </w:numPr>
              <w:tabs>
                <w:tab w:pos="900" w:val="left" w:leader="none"/>
              </w:tabs>
              <w:spacing w:line="240" w:lineRule="auto" w:before="50" w:after="0"/>
              <w:ind w:left="900" w:right="0" w:hanging="680"/>
              <w:jc w:val="left"/>
              <w:rPr>
                <w:sz w:val="20"/>
              </w:rPr>
            </w:pPr>
            <w:r>
              <w:rPr>
                <w:w w:val="95"/>
                <w:sz w:val="20"/>
              </w:rPr>
              <w:t>两上肢腕关节以上或两下肢踝关节以上缺失的</w:t>
            </w:r>
          </w:p>
          <w:p>
            <w:pPr>
              <w:pStyle w:val="TableParagraph"/>
              <w:numPr>
                <w:ilvl w:val="0"/>
                <w:numId w:val="39"/>
              </w:numPr>
              <w:tabs>
                <w:tab w:pos="900" w:val="left" w:leader="none"/>
              </w:tabs>
              <w:spacing w:line="240" w:lineRule="auto" w:before="50" w:after="0"/>
              <w:ind w:left="900" w:right="0" w:hanging="680"/>
              <w:jc w:val="left"/>
              <w:rPr>
                <w:sz w:val="20"/>
              </w:rPr>
            </w:pPr>
            <w:r>
              <w:rPr>
                <w:w w:val="95"/>
                <w:sz w:val="20"/>
              </w:rPr>
              <w:t>一上肢腕关节以上及一下肢踝关节以上缺失的</w:t>
            </w:r>
          </w:p>
          <w:p>
            <w:pPr>
              <w:pStyle w:val="TableParagraph"/>
              <w:numPr>
                <w:ilvl w:val="0"/>
                <w:numId w:val="39"/>
              </w:numPr>
              <w:tabs>
                <w:tab w:pos="900" w:val="left" w:leader="none"/>
              </w:tabs>
              <w:spacing w:line="240" w:lineRule="auto" w:before="50" w:after="0"/>
              <w:ind w:left="900" w:right="0" w:hanging="680"/>
              <w:jc w:val="left"/>
              <w:rPr>
                <w:sz w:val="20"/>
              </w:rPr>
            </w:pPr>
            <w:r>
              <w:rPr>
                <w:w w:val="95"/>
                <w:sz w:val="20"/>
              </w:rPr>
              <w:t>一目永久完全失明及一上肢腕关节以上缺失的</w:t>
            </w:r>
          </w:p>
          <w:p>
            <w:pPr>
              <w:pStyle w:val="TableParagraph"/>
              <w:numPr>
                <w:ilvl w:val="0"/>
                <w:numId w:val="39"/>
              </w:numPr>
              <w:tabs>
                <w:tab w:pos="900" w:val="left" w:leader="none"/>
              </w:tabs>
              <w:spacing w:line="240" w:lineRule="auto" w:before="50" w:after="0"/>
              <w:ind w:left="900" w:right="0" w:hanging="680"/>
              <w:jc w:val="left"/>
              <w:rPr>
                <w:sz w:val="20"/>
              </w:rPr>
            </w:pPr>
            <w:r>
              <w:rPr>
                <w:w w:val="95"/>
                <w:sz w:val="20"/>
              </w:rPr>
              <w:t>一目永久完全失明及一下肢踝关节以上缺失的</w:t>
            </w:r>
          </w:p>
          <w:p>
            <w:pPr>
              <w:pStyle w:val="TableParagraph"/>
              <w:numPr>
                <w:ilvl w:val="0"/>
                <w:numId w:val="39"/>
              </w:numPr>
              <w:tabs>
                <w:tab w:pos="900" w:val="left" w:leader="none"/>
              </w:tabs>
              <w:spacing w:line="240" w:lineRule="auto" w:before="50" w:after="0"/>
              <w:ind w:left="900" w:right="0" w:hanging="680"/>
              <w:jc w:val="left"/>
              <w:rPr>
                <w:sz w:val="20"/>
              </w:rPr>
            </w:pPr>
            <w:r>
              <w:rPr>
                <w:sz w:val="20"/>
              </w:rPr>
              <w:t>四肢关节机能永久完全丧失的（</w:t>
            </w:r>
            <w:r>
              <w:rPr>
                <w:spacing w:val="-27"/>
                <w:sz w:val="20"/>
              </w:rPr>
              <w:t>注 </w:t>
            </w:r>
            <w:r>
              <w:rPr>
                <w:sz w:val="20"/>
              </w:rPr>
              <w:t>2）</w:t>
            </w:r>
          </w:p>
          <w:p>
            <w:pPr>
              <w:pStyle w:val="TableParagraph"/>
              <w:numPr>
                <w:ilvl w:val="0"/>
                <w:numId w:val="39"/>
              </w:numPr>
              <w:tabs>
                <w:tab w:pos="900" w:val="left" w:leader="none"/>
              </w:tabs>
              <w:spacing w:line="240" w:lineRule="auto" w:before="50" w:after="0"/>
              <w:ind w:left="900" w:right="0" w:hanging="680"/>
              <w:jc w:val="left"/>
              <w:rPr>
                <w:sz w:val="20"/>
              </w:rPr>
            </w:pPr>
            <w:r>
              <w:rPr>
                <w:sz w:val="20"/>
              </w:rPr>
              <w:t>咀嚼、吞咽机能永久完全丧失的（</w:t>
            </w:r>
            <w:r>
              <w:rPr>
                <w:spacing w:val="-28"/>
                <w:sz w:val="20"/>
              </w:rPr>
              <w:t>注 </w:t>
            </w:r>
            <w:r>
              <w:rPr>
                <w:sz w:val="20"/>
              </w:rPr>
              <w:t>3）</w:t>
            </w:r>
          </w:p>
          <w:p>
            <w:pPr>
              <w:pStyle w:val="TableParagraph"/>
              <w:numPr>
                <w:ilvl w:val="0"/>
                <w:numId w:val="39"/>
              </w:numPr>
              <w:tabs>
                <w:tab w:pos="900" w:val="left" w:leader="none"/>
              </w:tabs>
              <w:spacing w:line="285" w:lineRule="auto" w:before="50" w:after="0"/>
              <w:ind w:left="900" w:right="199" w:hanging="680"/>
              <w:jc w:val="left"/>
              <w:rPr>
                <w:sz w:val="20"/>
              </w:rPr>
            </w:pPr>
            <w:r>
              <w:rPr>
                <w:spacing w:val="-7"/>
                <w:w w:val="95"/>
                <w:sz w:val="20"/>
              </w:rPr>
              <w:t>中枢神经系统机能或胸、腹部脏器机能极度障碍，终生不能从事任何工作，为维持  </w:t>
            </w:r>
            <w:r>
              <w:rPr>
                <w:spacing w:val="-7"/>
                <w:sz w:val="20"/>
              </w:rPr>
              <w:t>生命必要的日常生活活动，全需他人扶助的（</w:t>
            </w:r>
            <w:r>
              <w:rPr>
                <w:spacing w:val="-31"/>
                <w:sz w:val="20"/>
              </w:rPr>
              <w:t>注 </w:t>
            </w:r>
            <w:r>
              <w:rPr>
                <w:sz w:val="20"/>
              </w:rPr>
              <w:t>4）</w:t>
            </w:r>
          </w:p>
          <w:p>
            <w:pPr>
              <w:pStyle w:val="TableParagraph"/>
              <w:spacing w:line="285" w:lineRule="auto" w:before="168"/>
              <w:ind w:left="1091" w:right="255" w:hanging="872"/>
              <w:jc w:val="both"/>
              <w:rPr>
                <w:sz w:val="20"/>
              </w:rPr>
            </w:pPr>
            <w:r>
              <w:rPr>
                <w:spacing w:val="0"/>
                <w:sz w:val="20"/>
              </w:rPr>
              <w:t>注： </w:t>
            </w:r>
            <w:r>
              <w:rPr>
                <w:sz w:val="20"/>
              </w:rPr>
              <w:t>1） 失明包括眼球缺失或摘除、或不能辨别明暗、或仅能辨别眼前手动者，最佳矫</w:t>
            </w:r>
            <w:r>
              <w:rPr>
                <w:spacing w:val="-4"/>
                <w:sz w:val="20"/>
              </w:rPr>
              <w:t>正视力低于国际标准视力表 </w:t>
            </w:r>
            <w:r>
              <w:rPr>
                <w:sz w:val="20"/>
              </w:rPr>
              <w:t>0.02</w:t>
            </w:r>
            <w:r>
              <w:rPr>
                <w:spacing w:val="-6"/>
                <w:sz w:val="20"/>
              </w:rPr>
              <w:t>，或视野半径小于 </w:t>
            </w:r>
            <w:r>
              <w:rPr>
                <w:sz w:val="20"/>
              </w:rPr>
              <w:t>5</w:t>
            </w:r>
            <w:r>
              <w:rPr>
                <w:spacing w:val="-8"/>
                <w:sz w:val="20"/>
              </w:rPr>
              <w:t> 度，并由保险公司指定有</w:t>
            </w:r>
            <w:r>
              <w:rPr>
                <w:spacing w:val="-8"/>
                <w:w w:val="95"/>
                <w:sz w:val="20"/>
              </w:rPr>
              <w:t>资格的眼科专科医生出具医疗诊断证明。</w:t>
            </w:r>
          </w:p>
          <w:p>
            <w:pPr>
              <w:pStyle w:val="TableParagraph"/>
              <w:numPr>
                <w:ilvl w:val="1"/>
                <w:numId w:val="39"/>
              </w:numPr>
              <w:tabs>
                <w:tab w:pos="1120" w:val="left" w:leader="none"/>
                <w:tab w:pos="1121" w:val="left" w:leader="none"/>
              </w:tabs>
              <w:spacing w:line="240" w:lineRule="auto" w:before="12" w:after="0"/>
              <w:ind w:left="1128" w:right="0" w:hanging="457"/>
              <w:jc w:val="left"/>
              <w:rPr>
                <w:sz w:val="20"/>
              </w:rPr>
            </w:pPr>
            <w:r>
              <w:rPr>
                <w:w w:val="95"/>
                <w:sz w:val="20"/>
              </w:rPr>
              <w:t>关节机能的丧失系指关节永久完全僵硬、或麻痹、或关节不能随意识活动。</w:t>
            </w:r>
          </w:p>
          <w:p>
            <w:pPr>
              <w:pStyle w:val="TableParagraph"/>
              <w:numPr>
                <w:ilvl w:val="1"/>
                <w:numId w:val="39"/>
              </w:numPr>
              <w:tabs>
                <w:tab w:pos="1120" w:val="left" w:leader="none"/>
                <w:tab w:pos="1121" w:val="left" w:leader="none"/>
              </w:tabs>
              <w:spacing w:line="285" w:lineRule="auto" w:before="50" w:after="0"/>
              <w:ind w:left="1128" w:right="278" w:hanging="457"/>
              <w:jc w:val="left"/>
              <w:rPr>
                <w:sz w:val="20"/>
              </w:rPr>
            </w:pPr>
            <w:r>
              <w:rPr>
                <w:w w:val="95"/>
                <w:sz w:val="20"/>
              </w:rPr>
              <w:t>咀嚼、吞咽机能的丧失系指由于牙齿以外的原因引起器质障碍或机能障碍，以  致不能作咀嚼、吞咽运动，除流质食物外不能摄取或吞咽的状态。</w:t>
            </w:r>
          </w:p>
          <w:p>
            <w:pPr>
              <w:pStyle w:val="TableParagraph"/>
              <w:numPr>
                <w:ilvl w:val="1"/>
                <w:numId w:val="39"/>
              </w:numPr>
              <w:tabs>
                <w:tab w:pos="1120" w:val="left" w:leader="none"/>
                <w:tab w:pos="1121" w:val="left" w:leader="none"/>
              </w:tabs>
              <w:spacing w:line="285" w:lineRule="auto" w:before="11" w:after="0"/>
              <w:ind w:left="1128" w:right="278" w:hanging="457"/>
              <w:jc w:val="left"/>
              <w:rPr>
                <w:sz w:val="20"/>
              </w:rPr>
            </w:pPr>
            <w:r>
              <w:rPr>
                <w:w w:val="95"/>
                <w:sz w:val="20"/>
              </w:rPr>
              <w:t>为维持生命必要之日常生活活动，全需他人扶助系指食物摄取、大小便始末、  穿脱衣服、起居、步行、入浴等，皆不能自己为之，需要他人帮助。</w:t>
            </w:r>
          </w:p>
        </w:tc>
      </w:tr>
      <w:tr>
        <w:trPr>
          <w:trHeight w:val="1054" w:hRule="atLeast"/>
        </w:trPr>
        <w:tc>
          <w:tcPr>
            <w:tcW w:w="683" w:type="dxa"/>
          </w:tcPr>
          <w:p>
            <w:pPr>
              <w:pStyle w:val="TableParagraph"/>
              <w:spacing w:before="63"/>
              <w:ind w:left="81" w:right="160"/>
              <w:jc w:val="center"/>
              <w:rPr>
                <w:b/>
                <w:sz w:val="20"/>
              </w:rPr>
            </w:pPr>
            <w:r>
              <w:rPr>
                <w:b/>
                <w:sz w:val="20"/>
              </w:rPr>
              <w:t>8.</w:t>
            </w:r>
          </w:p>
        </w:tc>
        <w:tc>
          <w:tcPr>
            <w:tcW w:w="1606" w:type="dxa"/>
          </w:tcPr>
          <w:p>
            <w:pPr>
              <w:pStyle w:val="TableParagraph"/>
              <w:spacing w:before="63"/>
              <w:ind w:left="179"/>
              <w:rPr>
                <w:b/>
                <w:sz w:val="20"/>
              </w:rPr>
            </w:pPr>
            <w:r>
              <w:rPr>
                <w:b/>
                <w:w w:val="95"/>
                <w:sz w:val="20"/>
              </w:rPr>
              <w:t>终末期疾病</w:t>
            </w:r>
          </w:p>
        </w:tc>
        <w:tc>
          <w:tcPr>
            <w:tcW w:w="8196" w:type="dxa"/>
          </w:tcPr>
          <w:p>
            <w:pPr>
              <w:pStyle w:val="TableParagraph"/>
              <w:spacing w:line="288" w:lineRule="auto" w:before="63"/>
              <w:ind w:left="220" w:right="255"/>
              <w:jc w:val="both"/>
              <w:rPr>
                <w:sz w:val="20"/>
              </w:rPr>
            </w:pPr>
            <w:r>
              <w:rPr>
                <w:spacing w:val="-4"/>
                <w:w w:val="95"/>
                <w:sz w:val="20"/>
              </w:rPr>
              <w:t>指被保险人达到疾病的终末期状态，所患疾病依现有的医疗技术无法治愈或缓解，且将导   </w:t>
            </w:r>
            <w:r>
              <w:rPr>
                <w:spacing w:val="-10"/>
                <w:w w:val="95"/>
                <w:sz w:val="20"/>
              </w:rPr>
              <w:t>致被保险人在未来六个月内死亡。在患者及其家属的要求和医生的同意下一切积极治疗已   被放弃，所有治疗措施仅以减轻患者痛苦为目的。</w:t>
            </w:r>
          </w:p>
        </w:tc>
      </w:tr>
      <w:tr>
        <w:trPr>
          <w:trHeight w:val="703" w:hRule="atLeast"/>
        </w:trPr>
        <w:tc>
          <w:tcPr>
            <w:tcW w:w="683" w:type="dxa"/>
          </w:tcPr>
          <w:p>
            <w:pPr>
              <w:pStyle w:val="TableParagraph"/>
              <w:spacing w:before="23"/>
              <w:ind w:left="81" w:right="160"/>
              <w:jc w:val="center"/>
              <w:rPr>
                <w:b/>
                <w:sz w:val="20"/>
              </w:rPr>
            </w:pPr>
            <w:r>
              <w:rPr>
                <w:b/>
                <w:sz w:val="20"/>
              </w:rPr>
              <w:t>9.</w:t>
            </w:r>
          </w:p>
        </w:tc>
        <w:tc>
          <w:tcPr>
            <w:tcW w:w="1606" w:type="dxa"/>
          </w:tcPr>
          <w:p>
            <w:pPr>
              <w:pStyle w:val="TableParagraph"/>
              <w:spacing w:before="23"/>
              <w:ind w:left="179"/>
              <w:rPr>
                <w:b/>
                <w:sz w:val="20"/>
              </w:rPr>
            </w:pPr>
            <w:r>
              <w:rPr>
                <w:b/>
                <w:w w:val="95"/>
                <w:sz w:val="20"/>
              </w:rPr>
              <w:t>基本保险金额</w:t>
            </w:r>
          </w:p>
        </w:tc>
        <w:tc>
          <w:tcPr>
            <w:tcW w:w="8196" w:type="dxa"/>
          </w:tcPr>
          <w:p>
            <w:pPr>
              <w:pStyle w:val="TableParagraph"/>
              <w:spacing w:line="288" w:lineRule="auto" w:before="23"/>
              <w:ind w:left="220" w:right="255"/>
              <w:rPr>
                <w:sz w:val="20"/>
              </w:rPr>
            </w:pPr>
            <w:r>
              <w:rPr>
                <w:spacing w:val="-3"/>
                <w:w w:val="95"/>
                <w:sz w:val="20"/>
              </w:rPr>
              <w:t>本合同所称的基本保险金额是指保险单所载的本合同的保险金额，若该金额经本合同其他   条款的修正而发生变更，则以变更后的金额作为基本保险金额。</w:t>
            </w:r>
          </w:p>
        </w:tc>
      </w:tr>
      <w:tr>
        <w:trPr>
          <w:trHeight w:val="2924" w:hRule="atLeast"/>
        </w:trPr>
        <w:tc>
          <w:tcPr>
            <w:tcW w:w="683" w:type="dxa"/>
          </w:tcPr>
          <w:p>
            <w:pPr>
              <w:pStyle w:val="TableParagraph"/>
              <w:spacing w:before="23"/>
              <w:ind w:left="179" w:right="160"/>
              <w:jc w:val="center"/>
              <w:rPr>
                <w:b/>
                <w:sz w:val="20"/>
              </w:rPr>
            </w:pPr>
            <w:r>
              <w:rPr>
                <w:b/>
                <w:sz w:val="20"/>
              </w:rPr>
              <w:t>10.</w:t>
            </w:r>
          </w:p>
        </w:tc>
        <w:tc>
          <w:tcPr>
            <w:tcW w:w="1606" w:type="dxa"/>
          </w:tcPr>
          <w:p>
            <w:pPr>
              <w:pStyle w:val="TableParagraph"/>
              <w:spacing w:before="23"/>
              <w:ind w:left="179"/>
              <w:rPr>
                <w:b/>
                <w:sz w:val="20"/>
              </w:rPr>
            </w:pPr>
            <w:r>
              <w:rPr>
                <w:b/>
                <w:sz w:val="20"/>
              </w:rPr>
              <w:t>医院</w:t>
            </w:r>
          </w:p>
        </w:tc>
        <w:tc>
          <w:tcPr>
            <w:tcW w:w="8196" w:type="dxa"/>
          </w:tcPr>
          <w:p>
            <w:pPr>
              <w:pStyle w:val="TableParagraph"/>
              <w:spacing w:before="23"/>
              <w:ind w:left="220"/>
              <w:rPr>
                <w:sz w:val="20"/>
              </w:rPr>
            </w:pPr>
            <w:r>
              <w:rPr>
                <w:w w:val="95"/>
                <w:sz w:val="20"/>
              </w:rPr>
              <w:t>指同时符合下列条件的机构：</w:t>
            </w:r>
          </w:p>
          <w:p>
            <w:pPr>
              <w:pStyle w:val="TableParagraph"/>
              <w:numPr>
                <w:ilvl w:val="0"/>
                <w:numId w:val="40"/>
              </w:numPr>
              <w:tabs>
                <w:tab w:pos="830" w:val="left" w:leader="none"/>
              </w:tabs>
              <w:spacing w:line="285" w:lineRule="auto" w:before="49" w:after="0"/>
              <w:ind w:left="220" w:right="295" w:firstLine="0"/>
              <w:jc w:val="both"/>
              <w:rPr>
                <w:sz w:val="20"/>
              </w:rPr>
            </w:pPr>
            <w:r>
              <w:rPr>
                <w:sz w:val="20"/>
              </w:rPr>
              <w:t>中华人民共和国境内合法经营的二级以上医院</w:t>
            </w:r>
            <w:r>
              <w:rPr>
                <w:spacing w:val="2"/>
                <w:sz w:val="20"/>
              </w:rPr>
              <w:t>（</w:t>
            </w:r>
            <w:r>
              <w:rPr>
                <w:sz w:val="20"/>
              </w:rPr>
              <w:t>含二级）或香港特别行政区、澳</w:t>
            </w:r>
            <w:r>
              <w:rPr>
                <w:w w:val="95"/>
                <w:sz w:val="20"/>
              </w:rPr>
              <w:t>门特别行政区及台湾地区医院；</w:t>
            </w:r>
          </w:p>
          <w:p>
            <w:pPr>
              <w:pStyle w:val="TableParagraph"/>
              <w:numPr>
                <w:ilvl w:val="0"/>
                <w:numId w:val="40"/>
              </w:numPr>
              <w:tabs>
                <w:tab w:pos="830" w:val="left" w:leader="none"/>
              </w:tabs>
              <w:spacing w:line="285" w:lineRule="auto" w:before="11" w:after="0"/>
              <w:ind w:left="220" w:right="292" w:firstLine="0"/>
              <w:jc w:val="both"/>
              <w:rPr>
                <w:sz w:val="20"/>
              </w:rPr>
            </w:pPr>
            <w:r>
              <w:rPr>
                <w:sz w:val="20"/>
              </w:rPr>
              <w:t>具有符合中华人民共和国（包括香港特别行政区、澳门特别行政区及台湾地区） </w:t>
            </w:r>
            <w:r>
              <w:rPr>
                <w:spacing w:val="-4"/>
                <w:sz w:val="20"/>
              </w:rPr>
              <w:t>有关医院管理规则设施标准的医疗设备，且全天 </w:t>
            </w:r>
            <w:r>
              <w:rPr>
                <w:sz w:val="20"/>
              </w:rPr>
              <w:t>24</w:t>
            </w:r>
            <w:r>
              <w:rPr>
                <w:spacing w:val="-10"/>
                <w:sz w:val="20"/>
              </w:rPr>
              <w:t> 小时有合格医师</w:t>
            </w:r>
            <w:r>
              <w:rPr>
                <w:sz w:val="20"/>
              </w:rPr>
              <w:t>（合格医师指具有与请求赔付的疾病相适应的专业资格认证和诊断处方权，且正在上述医院执业的医师，但</w:t>
            </w:r>
            <w:r>
              <w:rPr>
                <w:w w:val="95"/>
                <w:sz w:val="20"/>
              </w:rPr>
              <w:t>投保人、被保险人本人及其直系亲属除外。）及护士驻院提供医疗及护理服务；</w:t>
            </w:r>
          </w:p>
          <w:p>
            <w:pPr>
              <w:pStyle w:val="TableParagraph"/>
              <w:numPr>
                <w:ilvl w:val="0"/>
                <w:numId w:val="40"/>
              </w:numPr>
              <w:tabs>
                <w:tab w:pos="835" w:val="left" w:leader="none"/>
              </w:tabs>
              <w:spacing w:line="285" w:lineRule="auto" w:before="11" w:after="0"/>
              <w:ind w:left="220" w:right="260" w:firstLine="0"/>
              <w:jc w:val="both"/>
              <w:rPr>
                <w:b/>
                <w:sz w:val="20"/>
              </w:rPr>
            </w:pPr>
            <w:r>
              <w:rPr>
                <w:b/>
                <w:sz w:val="20"/>
              </w:rPr>
              <w:t>不包括未达卫生行政管理规定的二级医院标准的分院、联合医院及病房、外设挂</w:t>
            </w:r>
            <w:r>
              <w:rPr>
                <w:b/>
                <w:w w:val="95"/>
                <w:sz w:val="20"/>
              </w:rPr>
              <w:t>靠的门诊部、康复、疗养、戒酒、戒毒或类似的医疗机构。</w:t>
            </w:r>
          </w:p>
        </w:tc>
      </w:tr>
      <w:tr>
        <w:trPr>
          <w:trHeight w:val="1716" w:hRule="atLeast"/>
        </w:trPr>
        <w:tc>
          <w:tcPr>
            <w:tcW w:w="683" w:type="dxa"/>
          </w:tcPr>
          <w:p>
            <w:pPr>
              <w:pStyle w:val="TableParagraph"/>
              <w:spacing w:before="63"/>
              <w:ind w:left="179" w:right="160"/>
              <w:jc w:val="center"/>
              <w:rPr>
                <w:b/>
                <w:sz w:val="20"/>
              </w:rPr>
            </w:pPr>
            <w:r>
              <w:rPr>
                <w:b/>
                <w:sz w:val="20"/>
              </w:rPr>
              <w:t>11.</w:t>
            </w:r>
          </w:p>
        </w:tc>
        <w:tc>
          <w:tcPr>
            <w:tcW w:w="1606" w:type="dxa"/>
          </w:tcPr>
          <w:p>
            <w:pPr>
              <w:pStyle w:val="TableParagraph"/>
              <w:spacing w:before="63"/>
              <w:ind w:left="179"/>
              <w:rPr>
                <w:b/>
                <w:sz w:val="20"/>
              </w:rPr>
            </w:pPr>
            <w:r>
              <w:rPr>
                <w:b/>
                <w:sz w:val="20"/>
              </w:rPr>
              <w:t>专科医生</w:t>
            </w:r>
          </w:p>
        </w:tc>
        <w:tc>
          <w:tcPr>
            <w:tcW w:w="8196" w:type="dxa"/>
          </w:tcPr>
          <w:p>
            <w:pPr>
              <w:pStyle w:val="TableParagraph"/>
              <w:spacing w:before="63"/>
              <w:ind w:left="220"/>
              <w:rPr>
                <w:sz w:val="20"/>
              </w:rPr>
            </w:pPr>
            <w:r>
              <w:rPr>
                <w:w w:val="95"/>
                <w:sz w:val="20"/>
              </w:rPr>
              <w:t>专科医生应当同时满足以下四项资格条件：</w:t>
            </w:r>
          </w:p>
          <w:p>
            <w:pPr>
              <w:pStyle w:val="TableParagraph"/>
              <w:numPr>
                <w:ilvl w:val="0"/>
                <w:numId w:val="41"/>
              </w:numPr>
              <w:tabs>
                <w:tab w:pos="900" w:val="left" w:leader="none"/>
              </w:tabs>
              <w:spacing w:line="240" w:lineRule="auto" w:before="50" w:after="0"/>
              <w:ind w:left="900" w:right="0" w:hanging="680"/>
              <w:jc w:val="left"/>
              <w:rPr>
                <w:sz w:val="20"/>
              </w:rPr>
            </w:pPr>
            <w:r>
              <w:rPr>
                <w:w w:val="95"/>
                <w:sz w:val="20"/>
              </w:rPr>
              <w:t>具有有效的中华人民共和国《医师资格证书》；</w:t>
            </w:r>
          </w:p>
          <w:p>
            <w:pPr>
              <w:pStyle w:val="TableParagraph"/>
              <w:numPr>
                <w:ilvl w:val="0"/>
                <w:numId w:val="41"/>
              </w:numPr>
              <w:tabs>
                <w:tab w:pos="900" w:val="left" w:leader="none"/>
              </w:tabs>
              <w:spacing w:line="240" w:lineRule="auto" w:before="50" w:after="0"/>
              <w:ind w:left="900" w:right="0" w:hanging="680"/>
              <w:jc w:val="left"/>
              <w:rPr>
                <w:sz w:val="20"/>
              </w:rPr>
            </w:pPr>
            <w:r>
              <w:rPr>
                <w:w w:val="95"/>
                <w:sz w:val="20"/>
              </w:rPr>
              <w:t>具有有效的中华人民共和国《医师执业证书》，并按期到相关部门登记注册；</w:t>
            </w:r>
          </w:p>
          <w:p>
            <w:pPr>
              <w:pStyle w:val="TableParagraph"/>
              <w:numPr>
                <w:ilvl w:val="0"/>
                <w:numId w:val="41"/>
              </w:numPr>
              <w:tabs>
                <w:tab w:pos="900" w:val="left" w:leader="none"/>
              </w:tabs>
              <w:spacing w:line="240" w:lineRule="auto" w:before="50" w:after="0"/>
              <w:ind w:left="900" w:right="0" w:hanging="680"/>
              <w:jc w:val="left"/>
              <w:rPr>
                <w:sz w:val="20"/>
              </w:rPr>
            </w:pPr>
            <w:r>
              <w:rPr>
                <w:w w:val="95"/>
                <w:sz w:val="20"/>
              </w:rPr>
              <w:t>具有有效的中华人民共和国主治医师或主治医师以上职称的《医师职称证书》；</w:t>
            </w:r>
          </w:p>
          <w:p>
            <w:pPr>
              <w:pStyle w:val="TableParagraph"/>
              <w:numPr>
                <w:ilvl w:val="0"/>
                <w:numId w:val="41"/>
              </w:numPr>
              <w:tabs>
                <w:tab w:pos="900" w:val="left" w:leader="none"/>
              </w:tabs>
              <w:spacing w:line="240" w:lineRule="auto" w:before="51" w:after="0"/>
              <w:ind w:left="900" w:right="0" w:hanging="680"/>
              <w:jc w:val="left"/>
              <w:rPr>
                <w:b/>
                <w:sz w:val="20"/>
              </w:rPr>
            </w:pPr>
            <w:r>
              <w:rPr>
                <w:b/>
                <w:w w:val="95"/>
                <w:sz w:val="20"/>
              </w:rPr>
              <w:t>在二级或二级以上医院的相应科室从事临床工作三年以上。</w:t>
            </w:r>
          </w:p>
        </w:tc>
      </w:tr>
      <w:tr>
        <w:trPr>
          <w:trHeight w:val="469" w:hRule="atLeast"/>
        </w:trPr>
        <w:tc>
          <w:tcPr>
            <w:tcW w:w="683" w:type="dxa"/>
          </w:tcPr>
          <w:p>
            <w:pPr>
              <w:pStyle w:val="TableParagraph"/>
              <w:spacing w:before="63"/>
              <w:ind w:left="179" w:right="160"/>
              <w:jc w:val="center"/>
              <w:rPr>
                <w:b/>
                <w:sz w:val="20"/>
              </w:rPr>
            </w:pPr>
            <w:r>
              <w:rPr>
                <w:b/>
                <w:sz w:val="20"/>
              </w:rPr>
              <w:t>12.</w:t>
            </w:r>
          </w:p>
        </w:tc>
        <w:tc>
          <w:tcPr>
            <w:tcW w:w="1606" w:type="dxa"/>
          </w:tcPr>
          <w:p>
            <w:pPr>
              <w:pStyle w:val="TableParagraph"/>
              <w:spacing w:before="63"/>
              <w:ind w:left="179"/>
              <w:rPr>
                <w:b/>
                <w:sz w:val="20"/>
              </w:rPr>
            </w:pPr>
            <w:r>
              <w:rPr>
                <w:b/>
                <w:sz w:val="20"/>
              </w:rPr>
              <w:t>意外事故</w:t>
            </w:r>
          </w:p>
        </w:tc>
        <w:tc>
          <w:tcPr>
            <w:tcW w:w="8196" w:type="dxa"/>
          </w:tcPr>
          <w:p>
            <w:pPr>
              <w:pStyle w:val="TableParagraph"/>
              <w:spacing w:before="65"/>
              <w:ind w:left="220"/>
              <w:rPr>
                <w:sz w:val="20"/>
              </w:rPr>
            </w:pPr>
            <w:r>
              <w:rPr>
                <w:w w:val="95"/>
                <w:sz w:val="20"/>
              </w:rPr>
              <w:t>指外来的、突发的、非本意的、非疾病的使身体受到伤害的客观事件。</w:t>
            </w:r>
          </w:p>
        </w:tc>
      </w:tr>
      <w:tr>
        <w:trPr>
          <w:trHeight w:val="742" w:hRule="atLeast"/>
        </w:trPr>
        <w:tc>
          <w:tcPr>
            <w:tcW w:w="683" w:type="dxa"/>
          </w:tcPr>
          <w:p>
            <w:pPr>
              <w:pStyle w:val="TableParagraph"/>
              <w:spacing w:before="62"/>
              <w:ind w:left="179" w:right="160"/>
              <w:jc w:val="center"/>
              <w:rPr>
                <w:b/>
                <w:sz w:val="20"/>
              </w:rPr>
            </w:pPr>
            <w:r>
              <w:rPr>
                <w:b/>
                <w:sz w:val="20"/>
              </w:rPr>
              <w:t>13.</w:t>
            </w:r>
          </w:p>
        </w:tc>
        <w:tc>
          <w:tcPr>
            <w:tcW w:w="1606" w:type="dxa"/>
          </w:tcPr>
          <w:p>
            <w:pPr>
              <w:pStyle w:val="TableParagraph"/>
              <w:spacing w:before="62"/>
              <w:ind w:left="179"/>
              <w:rPr>
                <w:b/>
                <w:sz w:val="20"/>
              </w:rPr>
            </w:pPr>
            <w:r>
              <w:rPr>
                <w:b/>
                <w:sz w:val="20"/>
              </w:rPr>
              <w:t>自杀</w:t>
            </w:r>
          </w:p>
        </w:tc>
        <w:tc>
          <w:tcPr>
            <w:tcW w:w="8196" w:type="dxa"/>
          </w:tcPr>
          <w:p>
            <w:pPr>
              <w:pStyle w:val="TableParagraph"/>
              <w:spacing w:line="288" w:lineRule="auto" w:before="62"/>
              <w:ind w:left="220" w:right="255"/>
              <w:rPr>
                <w:sz w:val="20"/>
              </w:rPr>
            </w:pPr>
            <w:r>
              <w:rPr>
                <w:spacing w:val="-5"/>
                <w:w w:val="95"/>
                <w:sz w:val="20"/>
              </w:rPr>
              <w:t>根据自己意愿使自己生命终结的行为，如未遵医嘱私自服用、涂用、注射药物毒物、高空   坠落导致的死亡等。</w:t>
            </w:r>
          </w:p>
        </w:tc>
      </w:tr>
      <w:tr>
        <w:trPr>
          <w:trHeight w:val="607" w:hRule="atLeast"/>
        </w:trPr>
        <w:tc>
          <w:tcPr>
            <w:tcW w:w="683" w:type="dxa"/>
          </w:tcPr>
          <w:p>
            <w:pPr>
              <w:pStyle w:val="TableParagraph"/>
              <w:spacing w:before="24"/>
              <w:ind w:left="179" w:right="160"/>
              <w:jc w:val="center"/>
              <w:rPr>
                <w:b/>
                <w:sz w:val="20"/>
              </w:rPr>
            </w:pPr>
            <w:r>
              <w:rPr>
                <w:b/>
                <w:sz w:val="20"/>
              </w:rPr>
              <w:t>14.</w:t>
            </w:r>
          </w:p>
        </w:tc>
        <w:tc>
          <w:tcPr>
            <w:tcW w:w="1606" w:type="dxa"/>
          </w:tcPr>
          <w:p>
            <w:pPr>
              <w:pStyle w:val="TableParagraph"/>
              <w:spacing w:before="24"/>
              <w:ind w:left="179"/>
              <w:rPr>
                <w:b/>
                <w:sz w:val="20"/>
              </w:rPr>
            </w:pPr>
            <w:r>
              <w:rPr>
                <w:b/>
                <w:sz w:val="20"/>
              </w:rPr>
              <w:t>毒品</w:t>
            </w:r>
          </w:p>
        </w:tc>
        <w:tc>
          <w:tcPr>
            <w:tcW w:w="8196" w:type="dxa"/>
          </w:tcPr>
          <w:p>
            <w:pPr>
              <w:pStyle w:val="TableParagraph"/>
              <w:spacing w:line="312" w:lineRule="exact" w:before="8"/>
              <w:ind w:left="220" w:right="256"/>
              <w:rPr>
                <w:sz w:val="20"/>
              </w:rPr>
            </w:pPr>
            <w:r>
              <w:rPr>
                <w:spacing w:val="-3"/>
                <w:w w:val="95"/>
                <w:sz w:val="20"/>
              </w:rPr>
              <w:t>指中华人民共和国刑法规定的鸦片、海洛因、甲基苯丙胺</w:t>
            </w:r>
            <w:r>
              <w:rPr>
                <w:w w:val="95"/>
                <w:sz w:val="20"/>
              </w:rPr>
              <w:t>（冰毒</w:t>
            </w:r>
            <w:r>
              <w:rPr>
                <w:spacing w:val="-10"/>
                <w:w w:val="95"/>
                <w:sz w:val="20"/>
              </w:rPr>
              <w:t>）</w:t>
            </w:r>
            <w:r>
              <w:rPr>
                <w:spacing w:val="-6"/>
                <w:w w:val="95"/>
                <w:sz w:val="20"/>
              </w:rPr>
              <w:t>、吗啡、大麻、可卡因   </w:t>
            </w:r>
            <w:r>
              <w:rPr>
                <w:spacing w:val="-9"/>
                <w:w w:val="95"/>
                <w:sz w:val="20"/>
              </w:rPr>
              <w:t>以及国家规定管制的其他能够使人形成瘾癖的麻醉药品和精神药品，但不包括由医生开具</w:t>
            </w:r>
          </w:p>
        </w:tc>
      </w:tr>
    </w:tbl>
    <w:p>
      <w:pPr>
        <w:spacing w:after="0" w:line="312" w:lineRule="exact"/>
        <w:rPr>
          <w:sz w:val="20"/>
        </w:rPr>
        <w:sectPr>
          <w:pgSz w:w="11910" w:h="16840"/>
          <w:pgMar w:header="0" w:footer="831" w:top="1180" w:bottom="1020" w:left="7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17"/>
        <w:gridCol w:w="8128"/>
      </w:tblGrid>
      <w:tr>
        <w:trPr>
          <w:trHeight w:val="295" w:hRule="atLeast"/>
        </w:trPr>
        <w:tc>
          <w:tcPr>
            <w:tcW w:w="683" w:type="dxa"/>
          </w:tcPr>
          <w:p>
            <w:pPr>
              <w:pStyle w:val="TableParagraph"/>
              <w:ind w:left="0"/>
              <w:rPr>
                <w:rFonts w:ascii="Times New Roman"/>
                <w:sz w:val="18"/>
              </w:rPr>
            </w:pPr>
          </w:p>
        </w:tc>
        <w:tc>
          <w:tcPr>
            <w:tcW w:w="1717" w:type="dxa"/>
          </w:tcPr>
          <w:p>
            <w:pPr>
              <w:pStyle w:val="TableParagraph"/>
              <w:ind w:left="0"/>
              <w:rPr>
                <w:rFonts w:ascii="Times New Roman"/>
                <w:sz w:val="18"/>
              </w:rPr>
            </w:pPr>
          </w:p>
        </w:tc>
        <w:tc>
          <w:tcPr>
            <w:tcW w:w="8128" w:type="dxa"/>
          </w:tcPr>
          <w:p>
            <w:pPr>
              <w:pStyle w:val="TableParagraph"/>
              <w:spacing w:line="191" w:lineRule="exact"/>
              <w:ind w:left="109"/>
              <w:rPr>
                <w:sz w:val="20"/>
              </w:rPr>
            </w:pPr>
            <w:r>
              <w:rPr>
                <w:w w:val="95"/>
                <w:sz w:val="20"/>
              </w:rPr>
              <w:t>并遵医嘱使用的用于治疗疾病但含有毒品成分的处方药品。</w:t>
            </w:r>
          </w:p>
        </w:tc>
      </w:tr>
      <w:tr>
        <w:trPr>
          <w:trHeight w:val="1016" w:hRule="atLeast"/>
        </w:trPr>
        <w:tc>
          <w:tcPr>
            <w:tcW w:w="683" w:type="dxa"/>
          </w:tcPr>
          <w:p>
            <w:pPr>
              <w:pStyle w:val="TableParagraph"/>
              <w:spacing w:before="25"/>
              <w:ind w:left="179" w:right="160"/>
              <w:jc w:val="center"/>
              <w:rPr>
                <w:b/>
                <w:sz w:val="20"/>
              </w:rPr>
            </w:pPr>
            <w:r>
              <w:rPr>
                <w:b/>
                <w:sz w:val="20"/>
              </w:rPr>
              <w:t>15.</w:t>
            </w:r>
          </w:p>
        </w:tc>
        <w:tc>
          <w:tcPr>
            <w:tcW w:w="1717" w:type="dxa"/>
          </w:tcPr>
          <w:p>
            <w:pPr>
              <w:pStyle w:val="TableParagraph"/>
              <w:spacing w:before="25"/>
              <w:ind w:left="179"/>
              <w:rPr>
                <w:b/>
                <w:sz w:val="20"/>
              </w:rPr>
            </w:pPr>
            <w:r>
              <w:rPr>
                <w:b/>
                <w:sz w:val="20"/>
              </w:rPr>
              <w:t>酒后驾驶</w:t>
            </w:r>
          </w:p>
        </w:tc>
        <w:tc>
          <w:tcPr>
            <w:tcW w:w="8128" w:type="dxa"/>
          </w:tcPr>
          <w:p>
            <w:pPr>
              <w:pStyle w:val="TableParagraph"/>
              <w:spacing w:line="288" w:lineRule="auto" w:before="25"/>
              <w:ind w:left="109" w:right="298"/>
              <w:jc w:val="both"/>
              <w:rPr>
                <w:sz w:val="20"/>
              </w:rPr>
            </w:pPr>
            <w:r>
              <w:rPr>
                <w:spacing w:val="-9"/>
                <w:w w:val="95"/>
                <w:sz w:val="20"/>
              </w:rPr>
              <w:t>指经检测或鉴定，发生事故时车辆驾驶人员每百毫升血液中的酒精含量达到或超过一定的   </w:t>
            </w:r>
            <w:r>
              <w:rPr>
                <w:spacing w:val="-10"/>
                <w:w w:val="95"/>
                <w:sz w:val="20"/>
              </w:rPr>
              <w:t>标准，公安机关交通管理部门依据《道路交通安全法》的规定认定为饮酒后驾驶或醉酒后   驾驶。</w:t>
            </w:r>
          </w:p>
        </w:tc>
      </w:tr>
      <w:tr>
        <w:trPr>
          <w:trHeight w:val="1719" w:hRule="atLeast"/>
        </w:trPr>
        <w:tc>
          <w:tcPr>
            <w:tcW w:w="683" w:type="dxa"/>
          </w:tcPr>
          <w:p>
            <w:pPr>
              <w:pStyle w:val="TableParagraph"/>
              <w:spacing w:before="23"/>
              <w:ind w:left="179" w:right="160"/>
              <w:jc w:val="center"/>
              <w:rPr>
                <w:b/>
                <w:sz w:val="20"/>
              </w:rPr>
            </w:pPr>
            <w:r>
              <w:rPr>
                <w:b/>
                <w:sz w:val="20"/>
              </w:rPr>
              <w:t>16.</w:t>
            </w:r>
          </w:p>
        </w:tc>
        <w:tc>
          <w:tcPr>
            <w:tcW w:w="1717" w:type="dxa"/>
          </w:tcPr>
          <w:p>
            <w:pPr>
              <w:pStyle w:val="TableParagraph"/>
              <w:spacing w:line="285" w:lineRule="auto" w:before="23"/>
              <w:ind w:left="179" w:right="479"/>
              <w:rPr>
                <w:b/>
                <w:sz w:val="20"/>
              </w:rPr>
            </w:pPr>
            <w:r>
              <w:rPr>
                <w:b/>
                <w:w w:val="95"/>
                <w:sz w:val="20"/>
              </w:rPr>
              <w:t>无合法有效驾驶证驾驶</w:t>
            </w:r>
          </w:p>
        </w:tc>
        <w:tc>
          <w:tcPr>
            <w:tcW w:w="8128" w:type="dxa"/>
          </w:tcPr>
          <w:p>
            <w:pPr>
              <w:pStyle w:val="TableParagraph"/>
              <w:spacing w:before="26"/>
              <w:ind w:left="109"/>
              <w:rPr>
                <w:sz w:val="20"/>
              </w:rPr>
            </w:pPr>
            <w:r>
              <w:rPr>
                <w:w w:val="95"/>
                <w:sz w:val="20"/>
              </w:rPr>
              <w:t>指下列情形之一：</w:t>
            </w:r>
          </w:p>
          <w:p>
            <w:pPr>
              <w:pStyle w:val="TableParagraph"/>
              <w:numPr>
                <w:ilvl w:val="0"/>
                <w:numId w:val="42"/>
              </w:numPr>
              <w:tabs>
                <w:tab w:pos="530" w:val="left" w:leader="none"/>
              </w:tabs>
              <w:spacing w:line="240" w:lineRule="auto" w:before="127" w:after="0"/>
              <w:ind w:left="529" w:right="0" w:hanging="420"/>
              <w:jc w:val="left"/>
              <w:rPr>
                <w:sz w:val="20"/>
              </w:rPr>
            </w:pPr>
            <w:r>
              <w:rPr>
                <w:w w:val="95"/>
                <w:sz w:val="20"/>
              </w:rPr>
              <w:t>没有取得驾驶资格；</w:t>
            </w:r>
          </w:p>
          <w:p>
            <w:pPr>
              <w:pStyle w:val="TableParagraph"/>
              <w:numPr>
                <w:ilvl w:val="0"/>
                <w:numId w:val="42"/>
              </w:numPr>
              <w:tabs>
                <w:tab w:pos="530" w:val="left" w:leader="none"/>
              </w:tabs>
              <w:spacing w:line="240" w:lineRule="auto" w:before="50" w:after="0"/>
              <w:ind w:left="529" w:right="0" w:hanging="420"/>
              <w:jc w:val="left"/>
              <w:rPr>
                <w:sz w:val="20"/>
              </w:rPr>
            </w:pPr>
            <w:r>
              <w:rPr>
                <w:w w:val="95"/>
                <w:sz w:val="20"/>
              </w:rPr>
              <w:t>驾驶与驾驶证准驾车型不相符合的车辆；</w:t>
            </w:r>
          </w:p>
          <w:p>
            <w:pPr>
              <w:pStyle w:val="TableParagraph"/>
              <w:numPr>
                <w:ilvl w:val="0"/>
                <w:numId w:val="42"/>
              </w:numPr>
              <w:tabs>
                <w:tab w:pos="530" w:val="left" w:leader="none"/>
              </w:tabs>
              <w:spacing w:line="240" w:lineRule="auto" w:before="50" w:after="0"/>
              <w:ind w:left="529" w:right="0" w:hanging="420"/>
              <w:jc w:val="left"/>
              <w:rPr>
                <w:sz w:val="20"/>
              </w:rPr>
            </w:pPr>
            <w:r>
              <w:rPr>
                <w:w w:val="95"/>
                <w:sz w:val="20"/>
              </w:rPr>
              <w:t>持审验不合格或者未经审验的驾驶证驾驶；</w:t>
            </w:r>
          </w:p>
          <w:p>
            <w:pPr>
              <w:pStyle w:val="TableParagraph"/>
              <w:numPr>
                <w:ilvl w:val="0"/>
                <w:numId w:val="42"/>
              </w:numPr>
              <w:tabs>
                <w:tab w:pos="530" w:val="left" w:leader="none"/>
              </w:tabs>
              <w:spacing w:line="240" w:lineRule="auto" w:before="52" w:after="0"/>
              <w:ind w:left="529" w:right="0" w:hanging="420"/>
              <w:jc w:val="left"/>
              <w:rPr>
                <w:sz w:val="20"/>
              </w:rPr>
            </w:pPr>
            <w:r>
              <w:rPr>
                <w:w w:val="95"/>
                <w:sz w:val="20"/>
              </w:rPr>
              <w:t>持学习驾驶证学习驾车时，无教练员随车指导，或不按指定时间、路线学习驾车。</w:t>
            </w:r>
          </w:p>
        </w:tc>
      </w:tr>
      <w:tr>
        <w:trPr>
          <w:trHeight w:val="1095" w:hRule="atLeast"/>
        </w:trPr>
        <w:tc>
          <w:tcPr>
            <w:tcW w:w="683" w:type="dxa"/>
          </w:tcPr>
          <w:p>
            <w:pPr>
              <w:pStyle w:val="TableParagraph"/>
              <w:spacing w:before="25"/>
              <w:ind w:left="179" w:right="160"/>
              <w:jc w:val="center"/>
              <w:rPr>
                <w:b/>
                <w:sz w:val="20"/>
              </w:rPr>
            </w:pPr>
            <w:r>
              <w:rPr>
                <w:b/>
                <w:sz w:val="20"/>
              </w:rPr>
              <w:t>17.</w:t>
            </w:r>
          </w:p>
        </w:tc>
        <w:tc>
          <w:tcPr>
            <w:tcW w:w="1717" w:type="dxa"/>
          </w:tcPr>
          <w:p>
            <w:pPr>
              <w:pStyle w:val="TableParagraph"/>
              <w:spacing w:line="285" w:lineRule="auto" w:before="25"/>
              <w:ind w:left="179" w:right="479"/>
              <w:rPr>
                <w:b/>
                <w:sz w:val="20"/>
              </w:rPr>
            </w:pPr>
            <w:r>
              <w:rPr>
                <w:b/>
                <w:w w:val="95"/>
                <w:sz w:val="20"/>
              </w:rPr>
              <w:t>无有效行驶</w:t>
            </w:r>
            <w:r>
              <w:rPr>
                <w:b/>
                <w:sz w:val="20"/>
              </w:rPr>
              <w:t>证</w:t>
            </w:r>
          </w:p>
        </w:tc>
        <w:tc>
          <w:tcPr>
            <w:tcW w:w="8128" w:type="dxa"/>
          </w:tcPr>
          <w:p>
            <w:pPr>
              <w:pStyle w:val="TableParagraph"/>
              <w:spacing w:before="27"/>
              <w:ind w:left="109"/>
              <w:rPr>
                <w:sz w:val="20"/>
              </w:rPr>
            </w:pPr>
            <w:r>
              <w:rPr>
                <w:w w:val="95"/>
                <w:sz w:val="20"/>
              </w:rPr>
              <w:t>指下列情形之一：</w:t>
            </w:r>
          </w:p>
          <w:p>
            <w:pPr>
              <w:pStyle w:val="TableParagraph"/>
              <w:numPr>
                <w:ilvl w:val="0"/>
                <w:numId w:val="43"/>
              </w:numPr>
              <w:tabs>
                <w:tab w:pos="530" w:val="left" w:leader="none"/>
              </w:tabs>
              <w:spacing w:line="240" w:lineRule="auto" w:before="127" w:after="0"/>
              <w:ind w:left="529" w:right="0" w:hanging="420"/>
              <w:jc w:val="left"/>
              <w:rPr>
                <w:sz w:val="20"/>
              </w:rPr>
            </w:pPr>
            <w:r>
              <w:rPr>
                <w:w w:val="95"/>
                <w:sz w:val="20"/>
              </w:rPr>
              <w:t>机动车被依法注销登记的；</w:t>
            </w:r>
          </w:p>
          <w:p>
            <w:pPr>
              <w:pStyle w:val="TableParagraph"/>
              <w:numPr>
                <w:ilvl w:val="0"/>
                <w:numId w:val="43"/>
              </w:numPr>
              <w:tabs>
                <w:tab w:pos="530" w:val="left" w:leader="none"/>
              </w:tabs>
              <w:spacing w:line="240" w:lineRule="auto" w:before="53" w:after="0"/>
              <w:ind w:left="529" w:right="0" w:hanging="420"/>
              <w:jc w:val="left"/>
              <w:rPr>
                <w:sz w:val="20"/>
              </w:rPr>
            </w:pPr>
            <w:r>
              <w:rPr>
                <w:w w:val="95"/>
                <w:sz w:val="20"/>
              </w:rPr>
              <w:t>未依法按时进行或通过机动车安全技术检验的。</w:t>
            </w:r>
          </w:p>
        </w:tc>
      </w:tr>
      <w:tr>
        <w:trPr>
          <w:trHeight w:val="1409" w:hRule="atLeast"/>
        </w:trPr>
        <w:tc>
          <w:tcPr>
            <w:tcW w:w="683" w:type="dxa"/>
          </w:tcPr>
          <w:p>
            <w:pPr>
              <w:pStyle w:val="TableParagraph"/>
              <w:spacing w:before="23"/>
              <w:ind w:left="179" w:right="160"/>
              <w:jc w:val="center"/>
              <w:rPr>
                <w:b/>
                <w:sz w:val="20"/>
              </w:rPr>
            </w:pPr>
            <w:r>
              <w:rPr>
                <w:b/>
                <w:sz w:val="20"/>
              </w:rPr>
              <w:t>18.</w:t>
            </w:r>
          </w:p>
        </w:tc>
        <w:tc>
          <w:tcPr>
            <w:tcW w:w="1717" w:type="dxa"/>
          </w:tcPr>
          <w:p>
            <w:pPr>
              <w:pStyle w:val="TableParagraph"/>
              <w:spacing w:line="285" w:lineRule="auto" w:before="23"/>
              <w:ind w:left="179" w:right="239"/>
              <w:rPr>
                <w:b/>
                <w:sz w:val="20"/>
              </w:rPr>
            </w:pPr>
            <w:r>
              <w:rPr>
                <w:b/>
                <w:sz w:val="20"/>
              </w:rPr>
              <w:t>患艾滋病或感</w:t>
            </w:r>
            <w:r>
              <w:rPr>
                <w:b/>
                <w:w w:val="95"/>
                <w:sz w:val="20"/>
              </w:rPr>
              <w:t>染艾滋病病毒</w:t>
            </w:r>
          </w:p>
        </w:tc>
        <w:tc>
          <w:tcPr>
            <w:tcW w:w="8128" w:type="dxa"/>
          </w:tcPr>
          <w:p>
            <w:pPr>
              <w:pStyle w:val="TableParagraph"/>
              <w:spacing w:line="288" w:lineRule="auto" w:before="23"/>
              <w:ind w:left="109" w:right="216"/>
              <w:rPr>
                <w:sz w:val="20"/>
              </w:rPr>
            </w:pPr>
            <w:r>
              <w:rPr>
                <w:sz w:val="20"/>
              </w:rPr>
              <w:t>艾滋病病毒指人类免疫缺陷病毒，英文缩写为 HIV；艾滋病指人类免疫缺陷病毒引起的获得性免疫缺陷综合征， 英文缩写为 AIDS。</w:t>
            </w:r>
          </w:p>
          <w:p>
            <w:pPr>
              <w:pStyle w:val="TableParagraph"/>
              <w:spacing w:line="288" w:lineRule="auto" w:before="89"/>
              <w:ind w:left="109" w:right="303"/>
              <w:rPr>
                <w:b/>
                <w:sz w:val="20"/>
              </w:rPr>
            </w:pPr>
            <w:r>
              <w:rPr>
                <w:b/>
                <w:sz w:val="20"/>
              </w:rPr>
              <w:t>在人体血液或其它样本中检测到艾滋病病毒或其抗体呈阳性，没有出现临床症状或体征</w:t>
            </w:r>
            <w:r>
              <w:rPr>
                <w:b/>
                <w:w w:val="95"/>
                <w:sz w:val="20"/>
              </w:rPr>
              <w:t>的，为感染艾滋病病毒；如果同时出现了明显临床症状或体征的，为患艾滋病。</w:t>
            </w:r>
          </w:p>
        </w:tc>
      </w:tr>
      <w:tr>
        <w:trPr>
          <w:trHeight w:val="703" w:hRule="atLeast"/>
        </w:trPr>
        <w:tc>
          <w:tcPr>
            <w:tcW w:w="683" w:type="dxa"/>
          </w:tcPr>
          <w:p>
            <w:pPr>
              <w:pStyle w:val="TableParagraph"/>
              <w:spacing w:before="23"/>
              <w:ind w:left="179" w:right="160"/>
              <w:jc w:val="center"/>
              <w:rPr>
                <w:b/>
                <w:sz w:val="20"/>
              </w:rPr>
            </w:pPr>
            <w:r>
              <w:rPr>
                <w:b/>
                <w:sz w:val="20"/>
              </w:rPr>
              <w:t>19.</w:t>
            </w:r>
          </w:p>
        </w:tc>
        <w:tc>
          <w:tcPr>
            <w:tcW w:w="1717" w:type="dxa"/>
          </w:tcPr>
          <w:p>
            <w:pPr>
              <w:pStyle w:val="TableParagraph"/>
              <w:spacing w:before="23"/>
              <w:ind w:left="179"/>
              <w:rPr>
                <w:b/>
                <w:sz w:val="20"/>
              </w:rPr>
            </w:pPr>
            <w:r>
              <w:rPr>
                <w:b/>
                <w:w w:val="95"/>
                <w:sz w:val="20"/>
              </w:rPr>
              <w:t>遗传性疾病</w:t>
            </w:r>
          </w:p>
        </w:tc>
        <w:tc>
          <w:tcPr>
            <w:tcW w:w="8128" w:type="dxa"/>
          </w:tcPr>
          <w:p>
            <w:pPr>
              <w:pStyle w:val="TableParagraph"/>
              <w:spacing w:line="288" w:lineRule="auto" w:before="23"/>
              <w:ind w:left="109" w:right="298"/>
              <w:rPr>
                <w:sz w:val="20"/>
              </w:rPr>
            </w:pPr>
            <w:r>
              <w:rPr>
                <w:spacing w:val="-2"/>
                <w:w w:val="95"/>
                <w:sz w:val="20"/>
              </w:rPr>
              <w:t>指生殖细胞或受精卵的遗传物质</w:t>
            </w:r>
            <w:r>
              <w:rPr>
                <w:w w:val="95"/>
                <w:sz w:val="20"/>
              </w:rPr>
              <w:t>（染色体和基因</w:t>
            </w:r>
            <w:r>
              <w:rPr>
                <w:spacing w:val="-27"/>
                <w:w w:val="95"/>
                <w:sz w:val="20"/>
              </w:rPr>
              <w:t>）</w:t>
            </w:r>
            <w:r>
              <w:rPr>
                <w:spacing w:val="-2"/>
                <w:w w:val="95"/>
                <w:sz w:val="20"/>
              </w:rPr>
              <w:t>发生突变或畸变所引起的疾病，通常具   有由亲代传至后代的垂直传递的特征。</w:t>
            </w:r>
          </w:p>
        </w:tc>
      </w:tr>
      <w:tr>
        <w:trPr>
          <w:trHeight w:val="999" w:hRule="atLeast"/>
        </w:trPr>
        <w:tc>
          <w:tcPr>
            <w:tcW w:w="683" w:type="dxa"/>
          </w:tcPr>
          <w:p>
            <w:pPr>
              <w:pStyle w:val="TableParagraph"/>
              <w:spacing w:before="23"/>
              <w:ind w:left="179" w:right="160"/>
              <w:jc w:val="center"/>
              <w:rPr>
                <w:b/>
                <w:sz w:val="20"/>
              </w:rPr>
            </w:pPr>
            <w:r>
              <w:rPr>
                <w:b/>
                <w:sz w:val="20"/>
              </w:rPr>
              <w:t>20.</w:t>
            </w:r>
          </w:p>
        </w:tc>
        <w:tc>
          <w:tcPr>
            <w:tcW w:w="1717" w:type="dxa"/>
          </w:tcPr>
          <w:p>
            <w:pPr>
              <w:pStyle w:val="TableParagraph"/>
              <w:spacing w:line="285" w:lineRule="auto" w:before="23"/>
              <w:ind w:left="179" w:right="239"/>
              <w:jc w:val="both"/>
              <w:rPr>
                <w:b/>
                <w:sz w:val="20"/>
              </w:rPr>
            </w:pPr>
            <w:r>
              <w:rPr>
                <w:b/>
                <w:sz w:val="20"/>
              </w:rPr>
              <w:t>先天性畸形、变形或染色体异常</w:t>
            </w:r>
          </w:p>
        </w:tc>
        <w:tc>
          <w:tcPr>
            <w:tcW w:w="8128" w:type="dxa"/>
          </w:tcPr>
          <w:p>
            <w:pPr>
              <w:pStyle w:val="TableParagraph"/>
              <w:spacing w:line="288" w:lineRule="auto" w:before="23"/>
              <w:ind w:left="109" w:right="299"/>
              <w:rPr>
                <w:sz w:val="20"/>
              </w:rPr>
            </w:pPr>
            <w:r>
              <w:rPr>
                <w:spacing w:val="-4"/>
                <w:w w:val="95"/>
                <w:sz w:val="20"/>
              </w:rPr>
              <w:t>指被保险人出生时就具有的畸形、变形或染色体异常。先天性畸形、变形和染色体异常依   照世界卫生组织《疾病和有关健康问题的国际统计分类》（ICD-10）确定。</w:t>
            </w:r>
          </w:p>
        </w:tc>
      </w:tr>
      <w:tr>
        <w:trPr>
          <w:trHeight w:val="691" w:hRule="atLeast"/>
        </w:trPr>
        <w:tc>
          <w:tcPr>
            <w:tcW w:w="683" w:type="dxa"/>
          </w:tcPr>
          <w:p>
            <w:pPr>
              <w:pStyle w:val="TableParagraph"/>
              <w:spacing w:before="10"/>
              <w:ind w:left="179" w:right="160"/>
              <w:jc w:val="center"/>
              <w:rPr>
                <w:b/>
                <w:sz w:val="20"/>
              </w:rPr>
            </w:pPr>
            <w:r>
              <w:rPr>
                <w:b/>
                <w:sz w:val="20"/>
              </w:rPr>
              <w:t>21.</w:t>
            </w:r>
          </w:p>
        </w:tc>
        <w:tc>
          <w:tcPr>
            <w:tcW w:w="1717" w:type="dxa"/>
          </w:tcPr>
          <w:p>
            <w:pPr>
              <w:pStyle w:val="TableParagraph"/>
              <w:spacing w:before="10"/>
              <w:ind w:left="179"/>
              <w:rPr>
                <w:b/>
                <w:sz w:val="20"/>
              </w:rPr>
            </w:pPr>
            <w:r>
              <w:rPr>
                <w:b/>
                <w:sz w:val="20"/>
              </w:rPr>
              <w:t>保单欠款</w:t>
            </w:r>
          </w:p>
        </w:tc>
        <w:tc>
          <w:tcPr>
            <w:tcW w:w="8128" w:type="dxa"/>
          </w:tcPr>
          <w:p>
            <w:pPr>
              <w:pStyle w:val="TableParagraph"/>
              <w:spacing w:line="288" w:lineRule="auto" w:before="10"/>
              <w:ind w:left="109" w:right="199"/>
              <w:rPr>
                <w:sz w:val="20"/>
              </w:rPr>
            </w:pPr>
            <w:r>
              <w:rPr>
                <w:spacing w:val="-12"/>
                <w:w w:val="95"/>
                <w:sz w:val="20"/>
              </w:rPr>
              <w:t>指所有未交保险费、保单贷款</w:t>
            </w:r>
            <w:r>
              <w:rPr>
                <w:w w:val="95"/>
                <w:sz w:val="20"/>
              </w:rPr>
              <w:t>（包括我们自动为您垫交的保险费</w:t>
            </w:r>
            <w:r>
              <w:rPr>
                <w:spacing w:val="-60"/>
                <w:w w:val="95"/>
                <w:sz w:val="20"/>
              </w:rPr>
              <w:t>）</w:t>
            </w:r>
            <w:r>
              <w:rPr>
                <w:w w:val="95"/>
                <w:sz w:val="20"/>
              </w:rPr>
              <w:t>以及所有应付利息之和。   应付利息按本合同的约定计算。</w:t>
            </w:r>
          </w:p>
        </w:tc>
      </w:tr>
      <w:tr>
        <w:trPr>
          <w:trHeight w:val="742" w:hRule="atLeast"/>
        </w:trPr>
        <w:tc>
          <w:tcPr>
            <w:tcW w:w="683" w:type="dxa"/>
          </w:tcPr>
          <w:p>
            <w:pPr>
              <w:pStyle w:val="TableParagraph"/>
              <w:spacing w:before="25"/>
              <w:ind w:left="179" w:right="160"/>
              <w:jc w:val="center"/>
              <w:rPr>
                <w:b/>
                <w:sz w:val="20"/>
              </w:rPr>
            </w:pPr>
            <w:r>
              <w:rPr>
                <w:b/>
                <w:sz w:val="20"/>
              </w:rPr>
              <w:t>22.</w:t>
            </w:r>
          </w:p>
        </w:tc>
        <w:tc>
          <w:tcPr>
            <w:tcW w:w="1717" w:type="dxa"/>
          </w:tcPr>
          <w:p>
            <w:pPr>
              <w:pStyle w:val="TableParagraph"/>
              <w:spacing w:before="25"/>
              <w:ind w:left="179"/>
              <w:rPr>
                <w:b/>
                <w:sz w:val="20"/>
              </w:rPr>
            </w:pPr>
            <w:r>
              <w:rPr>
                <w:b/>
                <w:sz w:val="20"/>
              </w:rPr>
              <w:t>利息</w:t>
            </w:r>
          </w:p>
        </w:tc>
        <w:tc>
          <w:tcPr>
            <w:tcW w:w="8128" w:type="dxa"/>
          </w:tcPr>
          <w:p>
            <w:pPr>
              <w:pStyle w:val="TableParagraph"/>
              <w:spacing w:line="285" w:lineRule="auto" w:before="25"/>
              <w:ind w:left="109" w:right="344"/>
              <w:rPr>
                <w:sz w:val="20"/>
              </w:rPr>
            </w:pPr>
            <w:r>
              <w:rPr>
                <w:sz w:val="20"/>
              </w:rPr>
              <w:t>指保单贷款（包括我们自动为您垫交的保险费）的利息，按保单贷款的数额、经过的天</w:t>
            </w:r>
            <w:r>
              <w:rPr>
                <w:w w:val="95"/>
                <w:sz w:val="20"/>
              </w:rPr>
              <w:t>数和相关利率依单利方式计算。</w:t>
            </w:r>
          </w:p>
        </w:tc>
      </w:tr>
      <w:tr>
        <w:trPr>
          <w:trHeight w:val="780" w:hRule="atLeast"/>
        </w:trPr>
        <w:tc>
          <w:tcPr>
            <w:tcW w:w="683" w:type="dxa"/>
          </w:tcPr>
          <w:p>
            <w:pPr>
              <w:pStyle w:val="TableParagraph"/>
              <w:spacing w:before="63"/>
              <w:ind w:left="179" w:right="160"/>
              <w:jc w:val="center"/>
              <w:rPr>
                <w:b/>
                <w:sz w:val="20"/>
              </w:rPr>
            </w:pPr>
            <w:r>
              <w:rPr>
                <w:b/>
                <w:sz w:val="20"/>
              </w:rPr>
              <w:t>23.</w:t>
            </w:r>
          </w:p>
        </w:tc>
        <w:tc>
          <w:tcPr>
            <w:tcW w:w="1717" w:type="dxa"/>
          </w:tcPr>
          <w:p>
            <w:pPr>
              <w:pStyle w:val="TableParagraph"/>
              <w:spacing w:line="285" w:lineRule="auto" w:before="63"/>
              <w:ind w:left="179" w:right="109"/>
              <w:rPr>
                <w:b/>
                <w:sz w:val="20"/>
              </w:rPr>
            </w:pPr>
            <w:r>
              <w:rPr>
                <w:b/>
                <w:sz w:val="20"/>
              </w:rPr>
              <w:t>肢体机能完全丧失</w:t>
            </w:r>
          </w:p>
        </w:tc>
        <w:tc>
          <w:tcPr>
            <w:tcW w:w="8128" w:type="dxa"/>
          </w:tcPr>
          <w:p>
            <w:pPr>
              <w:pStyle w:val="TableParagraph"/>
              <w:spacing w:line="285" w:lineRule="auto" w:before="63"/>
              <w:ind w:left="109" w:right="344"/>
              <w:rPr>
                <w:sz w:val="20"/>
              </w:rPr>
            </w:pPr>
            <w:r>
              <w:rPr>
                <w:sz w:val="20"/>
              </w:rPr>
              <w:t>指肢体的三大关节中的两大关节僵硬，或不能随意识活动。肢体是指包括肩关节的整个</w:t>
            </w:r>
            <w:r>
              <w:rPr>
                <w:w w:val="95"/>
                <w:sz w:val="20"/>
              </w:rPr>
              <w:t>上肢或包括髋关节的整个下肢。</w:t>
            </w:r>
          </w:p>
        </w:tc>
      </w:tr>
      <w:tr>
        <w:trPr>
          <w:trHeight w:val="1560" w:hRule="atLeast"/>
        </w:trPr>
        <w:tc>
          <w:tcPr>
            <w:tcW w:w="683" w:type="dxa"/>
          </w:tcPr>
          <w:p>
            <w:pPr>
              <w:pStyle w:val="TableParagraph"/>
              <w:spacing w:before="63"/>
              <w:ind w:left="179" w:right="160"/>
              <w:jc w:val="center"/>
              <w:rPr>
                <w:b/>
                <w:sz w:val="20"/>
              </w:rPr>
            </w:pPr>
            <w:r>
              <w:rPr>
                <w:b/>
                <w:sz w:val="20"/>
              </w:rPr>
              <w:t>24.</w:t>
            </w:r>
          </w:p>
        </w:tc>
        <w:tc>
          <w:tcPr>
            <w:tcW w:w="1717" w:type="dxa"/>
          </w:tcPr>
          <w:p>
            <w:pPr>
              <w:pStyle w:val="TableParagraph"/>
              <w:spacing w:line="285" w:lineRule="auto" w:before="63"/>
              <w:ind w:left="179" w:right="109"/>
              <w:jc w:val="both"/>
              <w:rPr>
                <w:b/>
                <w:sz w:val="20"/>
              </w:rPr>
            </w:pPr>
            <w:r>
              <w:rPr>
                <w:b/>
                <w:sz w:val="20"/>
              </w:rPr>
              <w:t>语言能力或咀嚼吞咽能力完全丧失</w:t>
            </w:r>
          </w:p>
        </w:tc>
        <w:tc>
          <w:tcPr>
            <w:tcW w:w="8128" w:type="dxa"/>
          </w:tcPr>
          <w:p>
            <w:pPr>
              <w:pStyle w:val="TableParagraph"/>
              <w:spacing w:line="285" w:lineRule="auto" w:before="63"/>
              <w:ind w:left="109" w:right="344"/>
              <w:rPr>
                <w:sz w:val="20"/>
              </w:rPr>
            </w:pPr>
            <w:r>
              <w:rPr>
                <w:sz w:val="20"/>
              </w:rPr>
              <w:t>语言能力完全丧失，指无法发出四种语音（包括口唇音、齿舌音、口盖音和喉头音）中</w:t>
            </w:r>
            <w:r>
              <w:rPr>
                <w:w w:val="95"/>
                <w:sz w:val="20"/>
              </w:rPr>
              <w:t>的任何三种，或声带全部切除，或因大脑语言中枢受伤害而患失语症。</w:t>
            </w:r>
          </w:p>
          <w:p>
            <w:pPr>
              <w:pStyle w:val="TableParagraph"/>
              <w:spacing w:line="285" w:lineRule="auto" w:before="168"/>
              <w:ind w:left="109" w:right="344"/>
              <w:rPr>
                <w:sz w:val="20"/>
              </w:rPr>
            </w:pPr>
            <w:r>
              <w:rPr>
                <w:sz w:val="20"/>
              </w:rPr>
              <w:t>咀嚼吞咽能力完全丧失，指因牙齿以外的原因导致器质障碍或机能障碍，以致不能作咀</w:t>
            </w:r>
            <w:r>
              <w:rPr>
                <w:w w:val="95"/>
                <w:sz w:val="20"/>
              </w:rPr>
              <w:t>嚼吞咽运动，除流质食物外不能摄取或吞咽的状态。</w:t>
            </w:r>
          </w:p>
        </w:tc>
      </w:tr>
      <w:tr>
        <w:trPr>
          <w:trHeight w:val="1055" w:hRule="atLeast"/>
        </w:trPr>
        <w:tc>
          <w:tcPr>
            <w:tcW w:w="683" w:type="dxa"/>
          </w:tcPr>
          <w:p>
            <w:pPr>
              <w:pStyle w:val="TableParagraph"/>
              <w:spacing w:before="63"/>
              <w:ind w:left="179" w:right="160"/>
              <w:jc w:val="center"/>
              <w:rPr>
                <w:b/>
                <w:sz w:val="20"/>
              </w:rPr>
            </w:pPr>
            <w:r>
              <w:rPr>
                <w:b/>
                <w:sz w:val="20"/>
              </w:rPr>
              <w:t>25.</w:t>
            </w:r>
          </w:p>
        </w:tc>
        <w:tc>
          <w:tcPr>
            <w:tcW w:w="1717" w:type="dxa"/>
          </w:tcPr>
          <w:p>
            <w:pPr>
              <w:pStyle w:val="TableParagraph"/>
              <w:spacing w:line="285" w:lineRule="auto" w:before="63"/>
              <w:ind w:left="179" w:right="109"/>
              <w:rPr>
                <w:b/>
                <w:sz w:val="20"/>
              </w:rPr>
            </w:pPr>
            <w:r>
              <w:rPr>
                <w:b/>
                <w:sz w:val="20"/>
              </w:rPr>
              <w:t>六项基本日常生活活动</w:t>
            </w:r>
          </w:p>
        </w:tc>
        <w:tc>
          <w:tcPr>
            <w:tcW w:w="8128" w:type="dxa"/>
          </w:tcPr>
          <w:p>
            <w:pPr>
              <w:pStyle w:val="TableParagraph"/>
              <w:spacing w:line="288" w:lineRule="auto" w:before="63"/>
              <w:ind w:left="109" w:right="318"/>
              <w:jc w:val="both"/>
              <w:rPr>
                <w:sz w:val="20"/>
              </w:rPr>
            </w:pPr>
            <w:r>
              <w:rPr>
                <w:w w:val="95"/>
                <w:sz w:val="20"/>
              </w:rPr>
              <w:t>指（1）穿衣：自己能够穿衣及脱衣；（2）移动：自己从一个房间到另一个房间；（3）  </w:t>
            </w:r>
            <w:r>
              <w:rPr>
                <w:sz w:val="20"/>
              </w:rPr>
              <w:t>行动：自己上下床或上下轮椅；</w:t>
            </w:r>
            <w:r>
              <w:rPr>
                <w:spacing w:val="1"/>
                <w:sz w:val="20"/>
              </w:rPr>
              <w:t>（4）</w:t>
            </w:r>
            <w:r>
              <w:rPr>
                <w:sz w:val="20"/>
              </w:rPr>
              <w:t>如厕：自己控制进行大小便；</w:t>
            </w:r>
            <w:r>
              <w:rPr>
                <w:spacing w:val="1"/>
                <w:sz w:val="20"/>
              </w:rPr>
              <w:t>（5）</w:t>
            </w:r>
            <w:r>
              <w:rPr>
                <w:sz w:val="20"/>
              </w:rPr>
              <w:t>进食：自己从</w:t>
            </w:r>
            <w:r>
              <w:rPr>
                <w:w w:val="95"/>
                <w:sz w:val="20"/>
              </w:rPr>
              <w:t>已准备好的碗或碟中取食物放入口中；（6）洗澡：自己进行淋浴或盆浴。</w:t>
            </w:r>
          </w:p>
        </w:tc>
      </w:tr>
      <w:tr>
        <w:trPr>
          <w:trHeight w:val="606" w:hRule="atLeast"/>
        </w:trPr>
        <w:tc>
          <w:tcPr>
            <w:tcW w:w="683" w:type="dxa"/>
          </w:tcPr>
          <w:p>
            <w:pPr>
              <w:pStyle w:val="TableParagraph"/>
              <w:spacing w:before="24"/>
              <w:ind w:left="179" w:right="160"/>
              <w:jc w:val="center"/>
              <w:rPr>
                <w:b/>
                <w:sz w:val="20"/>
              </w:rPr>
            </w:pPr>
            <w:r>
              <w:rPr>
                <w:b/>
                <w:sz w:val="20"/>
              </w:rPr>
              <w:t>26.</w:t>
            </w:r>
          </w:p>
        </w:tc>
        <w:tc>
          <w:tcPr>
            <w:tcW w:w="1717" w:type="dxa"/>
          </w:tcPr>
          <w:p>
            <w:pPr>
              <w:pStyle w:val="TableParagraph"/>
              <w:spacing w:before="24"/>
              <w:ind w:left="179"/>
              <w:rPr>
                <w:b/>
                <w:sz w:val="20"/>
              </w:rPr>
            </w:pPr>
            <w:r>
              <w:rPr>
                <w:b/>
                <w:w w:val="95"/>
                <w:sz w:val="20"/>
              </w:rPr>
              <w:t>永久不可逆</w:t>
            </w:r>
          </w:p>
        </w:tc>
        <w:tc>
          <w:tcPr>
            <w:tcW w:w="8128" w:type="dxa"/>
          </w:tcPr>
          <w:p>
            <w:pPr>
              <w:pStyle w:val="TableParagraph"/>
              <w:spacing w:line="312" w:lineRule="exact" w:before="8"/>
              <w:ind w:left="109" w:right="288"/>
              <w:rPr>
                <w:sz w:val="20"/>
              </w:rPr>
            </w:pPr>
            <w:r>
              <w:rPr>
                <w:sz w:val="20"/>
              </w:rPr>
              <w:t>指自疾病确诊或意外伤害发生之日起，经过积极治疗 180 天后仍无法通过现有医疗手段</w:t>
            </w:r>
            <w:r>
              <w:rPr>
                <w:w w:val="95"/>
                <w:sz w:val="20"/>
              </w:rPr>
              <w:t>恢复。</w:t>
            </w:r>
          </w:p>
        </w:tc>
      </w:tr>
    </w:tbl>
    <w:sectPr>
      <w:pgSz w:w="11910" w:h="16840"/>
      <w:pgMar w:header="0" w:footer="831" w:top="1180" w:bottom="102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999pt;margin-top:785.386597pt;width:122.15pt;height:20.4pt;mso-position-horizontal-relative:page;mso-position-vertical-relative:page;z-index:-5413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pacing w:val="-7"/>
                    <w:sz w:val="16"/>
                  </w:rPr>
                  <w:t>安联安康长泰 </w:t>
                </w:r>
                <w:r>
                  <w:rPr>
                    <w:sz w:val="16"/>
                  </w:rPr>
                  <w:t>B</w:t>
                </w:r>
                <w:r>
                  <w:rPr>
                    <w:spacing w:val="-7"/>
                    <w:sz w:val="16"/>
                  </w:rPr>
                  <w:t> 长期重大疾病保险</w:t>
                </w:r>
              </w:p>
            </w:txbxContent>
          </v:textbox>
          <w10:wrap type="none"/>
        </v:shape>
      </w:pict>
    </w:r>
    <w:r>
      <w:rPr/>
      <w:pict>
        <v:shape style="position:absolute;margin-left:473.700012pt;margin-top:785.386597pt;width:70.2pt;height:10.050pt;mso-position-horizontal-relative:page;mso-position-vertical-relative:page;z-index:-5411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1">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0">
    <w:multiLevelType w:val="hybridMultilevel"/>
    <w:lvl w:ilvl="0">
      <w:start w:val="1"/>
      <w:numFmt w:val="decimal"/>
      <w:lvlText w:val="（%1）"/>
      <w:lvlJc w:val="left"/>
      <w:pPr>
        <w:ind w:left="900" w:hanging="680"/>
        <w:jc w:val="left"/>
      </w:pPr>
      <w:rPr>
        <w:rFonts w:hint="default" w:ascii="宋体" w:hAnsi="宋体" w:eastAsia="宋体" w:cs="宋体"/>
        <w:w w:val="99"/>
        <w:sz w:val="20"/>
        <w:szCs w:val="20"/>
      </w:rPr>
    </w:lvl>
    <w:lvl w:ilvl="1">
      <w:start w:val="0"/>
      <w:numFmt w:val="bullet"/>
      <w:lvlText w:val="•"/>
      <w:lvlJc w:val="left"/>
      <w:pPr>
        <w:ind w:left="1629" w:hanging="680"/>
      </w:pPr>
      <w:rPr>
        <w:rFonts w:hint="default"/>
      </w:rPr>
    </w:lvl>
    <w:lvl w:ilvl="2">
      <w:start w:val="0"/>
      <w:numFmt w:val="bullet"/>
      <w:lvlText w:val="•"/>
      <w:lvlJc w:val="left"/>
      <w:pPr>
        <w:ind w:left="2359" w:hanging="680"/>
      </w:pPr>
      <w:rPr>
        <w:rFonts w:hint="default"/>
      </w:rPr>
    </w:lvl>
    <w:lvl w:ilvl="3">
      <w:start w:val="0"/>
      <w:numFmt w:val="bullet"/>
      <w:lvlText w:val="•"/>
      <w:lvlJc w:val="left"/>
      <w:pPr>
        <w:ind w:left="3088" w:hanging="680"/>
      </w:pPr>
      <w:rPr>
        <w:rFonts w:hint="default"/>
      </w:rPr>
    </w:lvl>
    <w:lvl w:ilvl="4">
      <w:start w:val="0"/>
      <w:numFmt w:val="bullet"/>
      <w:lvlText w:val="•"/>
      <w:lvlJc w:val="left"/>
      <w:pPr>
        <w:ind w:left="3818" w:hanging="680"/>
      </w:pPr>
      <w:rPr>
        <w:rFonts w:hint="default"/>
      </w:rPr>
    </w:lvl>
    <w:lvl w:ilvl="5">
      <w:start w:val="0"/>
      <w:numFmt w:val="bullet"/>
      <w:lvlText w:val="•"/>
      <w:lvlJc w:val="left"/>
      <w:pPr>
        <w:ind w:left="4548" w:hanging="680"/>
      </w:pPr>
      <w:rPr>
        <w:rFonts w:hint="default"/>
      </w:rPr>
    </w:lvl>
    <w:lvl w:ilvl="6">
      <w:start w:val="0"/>
      <w:numFmt w:val="bullet"/>
      <w:lvlText w:val="•"/>
      <w:lvlJc w:val="left"/>
      <w:pPr>
        <w:ind w:left="5277" w:hanging="680"/>
      </w:pPr>
      <w:rPr>
        <w:rFonts w:hint="default"/>
      </w:rPr>
    </w:lvl>
    <w:lvl w:ilvl="7">
      <w:start w:val="0"/>
      <w:numFmt w:val="bullet"/>
      <w:lvlText w:val="•"/>
      <w:lvlJc w:val="left"/>
      <w:pPr>
        <w:ind w:left="6007" w:hanging="680"/>
      </w:pPr>
      <w:rPr>
        <w:rFonts w:hint="default"/>
      </w:rPr>
    </w:lvl>
    <w:lvl w:ilvl="8">
      <w:start w:val="0"/>
      <w:numFmt w:val="bullet"/>
      <w:lvlText w:val="•"/>
      <w:lvlJc w:val="left"/>
      <w:pPr>
        <w:ind w:left="6736" w:hanging="680"/>
      </w:pPr>
      <w:rPr>
        <w:rFonts w:hint="default"/>
      </w:rPr>
    </w:lvl>
  </w:abstractNum>
  <w:abstractNum w:abstractNumId="39">
    <w:multiLevelType w:val="hybridMultilevel"/>
    <w:lvl w:ilvl="0">
      <w:start w:val="1"/>
      <w:numFmt w:val="decimal"/>
      <w:lvlText w:val="（%1）"/>
      <w:lvlJc w:val="left"/>
      <w:pPr>
        <w:ind w:left="220" w:hanging="610"/>
        <w:jc w:val="left"/>
      </w:pPr>
      <w:rPr>
        <w:rFonts w:hint="default"/>
        <w:spacing w:val="0"/>
        <w:w w:val="99"/>
      </w:rPr>
    </w:lvl>
    <w:lvl w:ilvl="1">
      <w:start w:val="0"/>
      <w:numFmt w:val="bullet"/>
      <w:lvlText w:val="•"/>
      <w:lvlJc w:val="left"/>
      <w:pPr>
        <w:ind w:left="1017" w:hanging="610"/>
      </w:pPr>
      <w:rPr>
        <w:rFonts w:hint="default"/>
      </w:rPr>
    </w:lvl>
    <w:lvl w:ilvl="2">
      <w:start w:val="0"/>
      <w:numFmt w:val="bullet"/>
      <w:lvlText w:val="•"/>
      <w:lvlJc w:val="left"/>
      <w:pPr>
        <w:ind w:left="1815" w:hanging="610"/>
      </w:pPr>
      <w:rPr>
        <w:rFonts w:hint="default"/>
      </w:rPr>
    </w:lvl>
    <w:lvl w:ilvl="3">
      <w:start w:val="0"/>
      <w:numFmt w:val="bullet"/>
      <w:lvlText w:val="•"/>
      <w:lvlJc w:val="left"/>
      <w:pPr>
        <w:ind w:left="2612" w:hanging="610"/>
      </w:pPr>
      <w:rPr>
        <w:rFonts w:hint="default"/>
      </w:rPr>
    </w:lvl>
    <w:lvl w:ilvl="4">
      <w:start w:val="0"/>
      <w:numFmt w:val="bullet"/>
      <w:lvlText w:val="•"/>
      <w:lvlJc w:val="left"/>
      <w:pPr>
        <w:ind w:left="3410" w:hanging="610"/>
      </w:pPr>
      <w:rPr>
        <w:rFonts w:hint="default"/>
      </w:rPr>
    </w:lvl>
    <w:lvl w:ilvl="5">
      <w:start w:val="0"/>
      <w:numFmt w:val="bullet"/>
      <w:lvlText w:val="•"/>
      <w:lvlJc w:val="left"/>
      <w:pPr>
        <w:ind w:left="4208" w:hanging="610"/>
      </w:pPr>
      <w:rPr>
        <w:rFonts w:hint="default"/>
      </w:rPr>
    </w:lvl>
    <w:lvl w:ilvl="6">
      <w:start w:val="0"/>
      <w:numFmt w:val="bullet"/>
      <w:lvlText w:val="•"/>
      <w:lvlJc w:val="left"/>
      <w:pPr>
        <w:ind w:left="5005" w:hanging="610"/>
      </w:pPr>
      <w:rPr>
        <w:rFonts w:hint="default"/>
      </w:rPr>
    </w:lvl>
    <w:lvl w:ilvl="7">
      <w:start w:val="0"/>
      <w:numFmt w:val="bullet"/>
      <w:lvlText w:val="•"/>
      <w:lvlJc w:val="left"/>
      <w:pPr>
        <w:ind w:left="5803" w:hanging="610"/>
      </w:pPr>
      <w:rPr>
        <w:rFonts w:hint="default"/>
      </w:rPr>
    </w:lvl>
    <w:lvl w:ilvl="8">
      <w:start w:val="0"/>
      <w:numFmt w:val="bullet"/>
      <w:lvlText w:val="•"/>
      <w:lvlJc w:val="left"/>
      <w:pPr>
        <w:ind w:left="6600" w:hanging="610"/>
      </w:pPr>
      <w:rPr>
        <w:rFonts w:hint="default"/>
      </w:rPr>
    </w:lvl>
  </w:abstractNum>
  <w:abstractNum w:abstractNumId="38">
    <w:multiLevelType w:val="hybridMultilevel"/>
    <w:lvl w:ilvl="0">
      <w:start w:val="1"/>
      <w:numFmt w:val="decimal"/>
      <w:lvlText w:val="（%1）"/>
      <w:lvlJc w:val="left"/>
      <w:pPr>
        <w:ind w:left="900" w:hanging="680"/>
        <w:jc w:val="left"/>
      </w:pPr>
      <w:rPr>
        <w:rFonts w:hint="default" w:ascii="宋体" w:hAnsi="宋体" w:eastAsia="宋体" w:cs="宋体"/>
        <w:w w:val="99"/>
        <w:sz w:val="20"/>
        <w:szCs w:val="20"/>
      </w:rPr>
    </w:lvl>
    <w:lvl w:ilvl="1">
      <w:start w:val="2"/>
      <w:numFmt w:val="decimal"/>
      <w:lvlText w:val="%2)"/>
      <w:lvlJc w:val="left"/>
      <w:pPr>
        <w:ind w:left="1128" w:hanging="450"/>
        <w:jc w:val="left"/>
      </w:pPr>
      <w:rPr>
        <w:rFonts w:hint="default" w:ascii="宋体" w:hAnsi="宋体" w:eastAsia="宋体" w:cs="宋体"/>
        <w:spacing w:val="0"/>
        <w:w w:val="99"/>
        <w:sz w:val="20"/>
        <w:szCs w:val="20"/>
      </w:rPr>
    </w:lvl>
    <w:lvl w:ilvl="2">
      <w:start w:val="0"/>
      <w:numFmt w:val="bullet"/>
      <w:lvlText w:val="•"/>
      <w:lvlJc w:val="left"/>
      <w:pPr>
        <w:ind w:left="1906" w:hanging="450"/>
      </w:pPr>
      <w:rPr>
        <w:rFonts w:hint="default"/>
      </w:rPr>
    </w:lvl>
    <w:lvl w:ilvl="3">
      <w:start w:val="0"/>
      <w:numFmt w:val="bullet"/>
      <w:lvlText w:val="•"/>
      <w:lvlJc w:val="left"/>
      <w:pPr>
        <w:ind w:left="2692" w:hanging="450"/>
      </w:pPr>
      <w:rPr>
        <w:rFonts w:hint="default"/>
      </w:rPr>
    </w:lvl>
    <w:lvl w:ilvl="4">
      <w:start w:val="0"/>
      <w:numFmt w:val="bullet"/>
      <w:lvlText w:val="•"/>
      <w:lvlJc w:val="left"/>
      <w:pPr>
        <w:ind w:left="3478" w:hanging="450"/>
      </w:pPr>
      <w:rPr>
        <w:rFonts w:hint="default"/>
      </w:rPr>
    </w:lvl>
    <w:lvl w:ilvl="5">
      <w:start w:val="0"/>
      <w:numFmt w:val="bullet"/>
      <w:lvlText w:val="•"/>
      <w:lvlJc w:val="left"/>
      <w:pPr>
        <w:ind w:left="4264" w:hanging="450"/>
      </w:pPr>
      <w:rPr>
        <w:rFonts w:hint="default"/>
      </w:rPr>
    </w:lvl>
    <w:lvl w:ilvl="6">
      <w:start w:val="0"/>
      <w:numFmt w:val="bullet"/>
      <w:lvlText w:val="•"/>
      <w:lvlJc w:val="left"/>
      <w:pPr>
        <w:ind w:left="5051" w:hanging="450"/>
      </w:pPr>
      <w:rPr>
        <w:rFonts w:hint="default"/>
      </w:rPr>
    </w:lvl>
    <w:lvl w:ilvl="7">
      <w:start w:val="0"/>
      <w:numFmt w:val="bullet"/>
      <w:lvlText w:val="•"/>
      <w:lvlJc w:val="left"/>
      <w:pPr>
        <w:ind w:left="5837" w:hanging="450"/>
      </w:pPr>
      <w:rPr>
        <w:rFonts w:hint="default"/>
      </w:rPr>
    </w:lvl>
    <w:lvl w:ilvl="8">
      <w:start w:val="0"/>
      <w:numFmt w:val="bullet"/>
      <w:lvlText w:val="•"/>
      <w:lvlJc w:val="left"/>
      <w:pPr>
        <w:ind w:left="6623" w:hanging="450"/>
      </w:pPr>
      <w:rPr>
        <w:rFonts w:hint="default"/>
      </w:rPr>
    </w:lvl>
  </w:abstractNum>
  <w:abstractNum w:abstractNumId="37">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6">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35">
    <w:multiLevelType w:val="hybridMultilevel"/>
    <w:lvl w:ilvl="0">
      <w:start w:val="1"/>
      <w:numFmt w:val="decimal"/>
      <w:lvlText w:val="(%1)"/>
      <w:lvlJc w:val="left"/>
      <w:pPr>
        <w:ind w:left="511" w:hanging="404"/>
        <w:jc w:val="left"/>
      </w:pPr>
      <w:rPr>
        <w:rFonts w:hint="default" w:ascii="宋体" w:hAnsi="宋体" w:eastAsia="宋体" w:cs="宋体"/>
        <w:b/>
        <w:bCs/>
        <w:spacing w:val="0"/>
        <w:w w:val="98"/>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4">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3">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2">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1">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0">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9">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8">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7">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26">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5">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4">
    <w:multiLevelType w:val="hybridMultilevel"/>
    <w:lvl w:ilvl="0">
      <w:start w:val="1"/>
      <w:numFmt w:val="decimal"/>
      <w:lvlText w:val="（%1）"/>
      <w:lvlJc w:val="left"/>
      <w:pPr>
        <w:ind w:left="108" w:hanging="600"/>
        <w:jc w:val="left"/>
      </w:pPr>
      <w:rPr>
        <w:rFonts w:hint="default" w:ascii="宋体" w:hAnsi="宋体" w:eastAsia="宋体" w:cs="宋体"/>
        <w:w w:val="99"/>
        <w:sz w:val="20"/>
        <w:szCs w:val="20"/>
      </w:rPr>
    </w:lvl>
    <w:lvl w:ilvl="1">
      <w:start w:val="0"/>
      <w:numFmt w:val="bullet"/>
      <w:lvlText w:val="•"/>
      <w:lvlJc w:val="left"/>
      <w:pPr>
        <w:ind w:left="882" w:hanging="600"/>
      </w:pPr>
      <w:rPr>
        <w:rFonts w:hint="default"/>
      </w:rPr>
    </w:lvl>
    <w:lvl w:ilvl="2">
      <w:start w:val="0"/>
      <w:numFmt w:val="bullet"/>
      <w:lvlText w:val="•"/>
      <w:lvlJc w:val="left"/>
      <w:pPr>
        <w:ind w:left="1664" w:hanging="600"/>
      </w:pPr>
      <w:rPr>
        <w:rFonts w:hint="default"/>
      </w:rPr>
    </w:lvl>
    <w:lvl w:ilvl="3">
      <w:start w:val="0"/>
      <w:numFmt w:val="bullet"/>
      <w:lvlText w:val="•"/>
      <w:lvlJc w:val="left"/>
      <w:pPr>
        <w:ind w:left="2446" w:hanging="600"/>
      </w:pPr>
      <w:rPr>
        <w:rFonts w:hint="default"/>
      </w:rPr>
    </w:lvl>
    <w:lvl w:ilvl="4">
      <w:start w:val="0"/>
      <w:numFmt w:val="bullet"/>
      <w:lvlText w:val="•"/>
      <w:lvlJc w:val="left"/>
      <w:pPr>
        <w:ind w:left="3229" w:hanging="600"/>
      </w:pPr>
      <w:rPr>
        <w:rFonts w:hint="default"/>
      </w:rPr>
    </w:lvl>
    <w:lvl w:ilvl="5">
      <w:start w:val="0"/>
      <w:numFmt w:val="bullet"/>
      <w:lvlText w:val="•"/>
      <w:lvlJc w:val="left"/>
      <w:pPr>
        <w:ind w:left="4011" w:hanging="600"/>
      </w:pPr>
      <w:rPr>
        <w:rFonts w:hint="default"/>
      </w:rPr>
    </w:lvl>
    <w:lvl w:ilvl="6">
      <w:start w:val="0"/>
      <w:numFmt w:val="bullet"/>
      <w:lvlText w:val="•"/>
      <w:lvlJc w:val="left"/>
      <w:pPr>
        <w:ind w:left="4793" w:hanging="600"/>
      </w:pPr>
      <w:rPr>
        <w:rFonts w:hint="default"/>
      </w:rPr>
    </w:lvl>
    <w:lvl w:ilvl="7">
      <w:start w:val="0"/>
      <w:numFmt w:val="bullet"/>
      <w:lvlText w:val="•"/>
      <w:lvlJc w:val="left"/>
      <w:pPr>
        <w:ind w:left="5576" w:hanging="600"/>
      </w:pPr>
      <w:rPr>
        <w:rFonts w:hint="default"/>
      </w:rPr>
    </w:lvl>
    <w:lvl w:ilvl="8">
      <w:start w:val="0"/>
      <w:numFmt w:val="bullet"/>
      <w:lvlText w:val="•"/>
      <w:lvlJc w:val="left"/>
      <w:pPr>
        <w:ind w:left="6358" w:hanging="600"/>
      </w:pPr>
      <w:rPr>
        <w:rFonts w:hint="default"/>
      </w:rPr>
    </w:lvl>
  </w:abstractNum>
  <w:abstractNum w:abstractNumId="23">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2">
    <w:multiLevelType w:val="hybridMultilevel"/>
    <w:lvl w:ilvl="0">
      <w:start w:val="1"/>
      <w:numFmt w:val="decimal"/>
      <w:lvlText w:val="（%1）"/>
      <w:lvlJc w:val="left"/>
      <w:pPr>
        <w:ind w:left="713" w:hanging="605"/>
        <w:jc w:val="left"/>
      </w:pPr>
      <w:rPr>
        <w:rFonts w:hint="default" w:ascii="宋体" w:hAnsi="宋体" w:eastAsia="宋体" w:cs="宋体"/>
        <w:b/>
        <w:bCs/>
        <w:spacing w:val="0"/>
        <w:w w:val="98"/>
        <w:sz w:val="20"/>
        <w:szCs w:val="20"/>
      </w:rPr>
    </w:lvl>
    <w:lvl w:ilvl="1">
      <w:start w:val="0"/>
      <w:numFmt w:val="bullet"/>
      <w:lvlText w:val="•"/>
      <w:lvlJc w:val="left"/>
      <w:pPr>
        <w:ind w:left="1440" w:hanging="605"/>
      </w:pPr>
      <w:rPr>
        <w:rFonts w:hint="default"/>
      </w:rPr>
    </w:lvl>
    <w:lvl w:ilvl="2">
      <w:start w:val="0"/>
      <w:numFmt w:val="bullet"/>
      <w:lvlText w:val="•"/>
      <w:lvlJc w:val="left"/>
      <w:pPr>
        <w:ind w:left="2160" w:hanging="605"/>
      </w:pPr>
      <w:rPr>
        <w:rFonts w:hint="default"/>
      </w:rPr>
    </w:lvl>
    <w:lvl w:ilvl="3">
      <w:start w:val="0"/>
      <w:numFmt w:val="bullet"/>
      <w:lvlText w:val="•"/>
      <w:lvlJc w:val="left"/>
      <w:pPr>
        <w:ind w:left="2880" w:hanging="605"/>
      </w:pPr>
      <w:rPr>
        <w:rFonts w:hint="default"/>
      </w:rPr>
    </w:lvl>
    <w:lvl w:ilvl="4">
      <w:start w:val="0"/>
      <w:numFmt w:val="bullet"/>
      <w:lvlText w:val="•"/>
      <w:lvlJc w:val="left"/>
      <w:pPr>
        <w:ind w:left="3601" w:hanging="605"/>
      </w:pPr>
      <w:rPr>
        <w:rFonts w:hint="default"/>
      </w:rPr>
    </w:lvl>
    <w:lvl w:ilvl="5">
      <w:start w:val="0"/>
      <w:numFmt w:val="bullet"/>
      <w:lvlText w:val="•"/>
      <w:lvlJc w:val="left"/>
      <w:pPr>
        <w:ind w:left="4321" w:hanging="605"/>
      </w:pPr>
      <w:rPr>
        <w:rFonts w:hint="default"/>
      </w:rPr>
    </w:lvl>
    <w:lvl w:ilvl="6">
      <w:start w:val="0"/>
      <w:numFmt w:val="bullet"/>
      <w:lvlText w:val="•"/>
      <w:lvlJc w:val="left"/>
      <w:pPr>
        <w:ind w:left="5041" w:hanging="605"/>
      </w:pPr>
      <w:rPr>
        <w:rFonts w:hint="default"/>
      </w:rPr>
    </w:lvl>
    <w:lvl w:ilvl="7">
      <w:start w:val="0"/>
      <w:numFmt w:val="bullet"/>
      <w:lvlText w:val="•"/>
      <w:lvlJc w:val="left"/>
      <w:pPr>
        <w:ind w:left="5762" w:hanging="605"/>
      </w:pPr>
      <w:rPr>
        <w:rFonts w:hint="default"/>
      </w:rPr>
    </w:lvl>
    <w:lvl w:ilvl="8">
      <w:start w:val="0"/>
      <w:numFmt w:val="bullet"/>
      <w:lvlText w:val="•"/>
      <w:lvlJc w:val="left"/>
      <w:pPr>
        <w:ind w:left="6482" w:hanging="605"/>
      </w:pPr>
      <w:rPr>
        <w:rFonts w:hint="default"/>
      </w:rPr>
    </w:lvl>
  </w:abstractNum>
  <w:abstractNum w:abstractNumId="21">
    <w:multiLevelType w:val="hybridMultilevel"/>
    <w:lvl w:ilvl="0">
      <w:start w:val="1"/>
      <w:numFmt w:val="decimal"/>
      <w:lvlText w:val="（%1）"/>
      <w:lvlJc w:val="left"/>
      <w:pPr>
        <w:ind w:left="825" w:hanging="680"/>
        <w:jc w:val="left"/>
      </w:pPr>
      <w:rPr>
        <w:rFonts w:hint="default" w:ascii="宋体" w:hAnsi="宋体" w:eastAsia="宋体" w:cs="宋体"/>
        <w:w w:val="99"/>
        <w:sz w:val="20"/>
        <w:szCs w:val="20"/>
      </w:rPr>
    </w:lvl>
    <w:lvl w:ilvl="1">
      <w:start w:val="0"/>
      <w:numFmt w:val="bullet"/>
      <w:lvlText w:val="•"/>
      <w:lvlJc w:val="left"/>
      <w:pPr>
        <w:ind w:left="154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93" w:hanging="680"/>
      </w:pPr>
      <w:rPr>
        <w:rFonts w:hint="default"/>
      </w:rPr>
    </w:lvl>
    <w:lvl w:ilvl="4">
      <w:start w:val="0"/>
      <w:numFmt w:val="bullet"/>
      <w:lvlText w:val="•"/>
      <w:lvlJc w:val="left"/>
      <w:pPr>
        <w:ind w:left="3717" w:hanging="680"/>
      </w:pPr>
      <w:rPr>
        <w:rFonts w:hint="default"/>
      </w:rPr>
    </w:lvl>
    <w:lvl w:ilvl="5">
      <w:start w:val="0"/>
      <w:numFmt w:val="bullet"/>
      <w:lvlText w:val="•"/>
      <w:lvlJc w:val="left"/>
      <w:pPr>
        <w:ind w:left="4442" w:hanging="680"/>
      </w:pPr>
      <w:rPr>
        <w:rFonts w:hint="default"/>
      </w:rPr>
    </w:lvl>
    <w:lvl w:ilvl="6">
      <w:start w:val="0"/>
      <w:numFmt w:val="bullet"/>
      <w:lvlText w:val="•"/>
      <w:lvlJc w:val="left"/>
      <w:pPr>
        <w:ind w:left="5166" w:hanging="680"/>
      </w:pPr>
      <w:rPr>
        <w:rFonts w:hint="default"/>
      </w:rPr>
    </w:lvl>
    <w:lvl w:ilvl="7">
      <w:start w:val="0"/>
      <w:numFmt w:val="bullet"/>
      <w:lvlText w:val="•"/>
      <w:lvlJc w:val="left"/>
      <w:pPr>
        <w:ind w:left="5890" w:hanging="680"/>
      </w:pPr>
      <w:rPr>
        <w:rFonts w:hint="default"/>
      </w:rPr>
    </w:lvl>
    <w:lvl w:ilvl="8">
      <w:start w:val="0"/>
      <w:numFmt w:val="bullet"/>
      <w:lvlText w:val="•"/>
      <w:lvlJc w:val="left"/>
      <w:pPr>
        <w:ind w:left="6615" w:hanging="680"/>
      </w:pPr>
      <w:rPr>
        <w:rFonts w:hint="default"/>
      </w:rPr>
    </w:lvl>
  </w:abstractNum>
  <w:abstractNum w:abstractNumId="20">
    <w:multiLevelType w:val="hybridMultilevel"/>
    <w:lvl w:ilvl="0">
      <w:start w:val="2"/>
      <w:numFmt w:val="decimal"/>
      <w:lvlText w:val="（%1）"/>
      <w:lvlJc w:val="left"/>
      <w:pPr>
        <w:ind w:left="825" w:hanging="680"/>
        <w:jc w:val="left"/>
      </w:pPr>
      <w:rPr>
        <w:rFonts w:hint="default" w:ascii="宋体" w:hAnsi="宋体" w:eastAsia="宋体" w:cs="宋体"/>
        <w:w w:val="99"/>
        <w:sz w:val="20"/>
        <w:szCs w:val="20"/>
      </w:rPr>
    </w:lvl>
    <w:lvl w:ilvl="1">
      <w:start w:val="0"/>
      <w:numFmt w:val="bullet"/>
      <w:lvlText w:val="•"/>
      <w:lvlJc w:val="left"/>
      <w:pPr>
        <w:ind w:left="154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93" w:hanging="680"/>
      </w:pPr>
      <w:rPr>
        <w:rFonts w:hint="default"/>
      </w:rPr>
    </w:lvl>
    <w:lvl w:ilvl="4">
      <w:start w:val="0"/>
      <w:numFmt w:val="bullet"/>
      <w:lvlText w:val="•"/>
      <w:lvlJc w:val="left"/>
      <w:pPr>
        <w:ind w:left="3717" w:hanging="680"/>
      </w:pPr>
      <w:rPr>
        <w:rFonts w:hint="default"/>
      </w:rPr>
    </w:lvl>
    <w:lvl w:ilvl="5">
      <w:start w:val="0"/>
      <w:numFmt w:val="bullet"/>
      <w:lvlText w:val="•"/>
      <w:lvlJc w:val="left"/>
      <w:pPr>
        <w:ind w:left="4442" w:hanging="680"/>
      </w:pPr>
      <w:rPr>
        <w:rFonts w:hint="default"/>
      </w:rPr>
    </w:lvl>
    <w:lvl w:ilvl="6">
      <w:start w:val="0"/>
      <w:numFmt w:val="bullet"/>
      <w:lvlText w:val="•"/>
      <w:lvlJc w:val="left"/>
      <w:pPr>
        <w:ind w:left="5166" w:hanging="680"/>
      </w:pPr>
      <w:rPr>
        <w:rFonts w:hint="default"/>
      </w:rPr>
    </w:lvl>
    <w:lvl w:ilvl="7">
      <w:start w:val="0"/>
      <w:numFmt w:val="bullet"/>
      <w:lvlText w:val="•"/>
      <w:lvlJc w:val="left"/>
      <w:pPr>
        <w:ind w:left="5890" w:hanging="680"/>
      </w:pPr>
      <w:rPr>
        <w:rFonts w:hint="default"/>
      </w:rPr>
    </w:lvl>
    <w:lvl w:ilvl="8">
      <w:start w:val="0"/>
      <w:numFmt w:val="bullet"/>
      <w:lvlText w:val="•"/>
      <w:lvlJc w:val="left"/>
      <w:pPr>
        <w:ind w:left="6615" w:hanging="680"/>
      </w:pPr>
      <w:rPr>
        <w:rFonts w:hint="default"/>
      </w:rPr>
    </w:lvl>
  </w:abstractNum>
  <w:abstractNum w:abstractNumId="19">
    <w:multiLevelType w:val="hybridMultilevel"/>
    <w:lvl w:ilvl="0">
      <w:start w:val="1"/>
      <w:numFmt w:val="decimal"/>
      <w:lvlText w:val="%1）"/>
      <w:lvlJc w:val="left"/>
      <w:pPr>
        <w:ind w:left="1421" w:hanging="488"/>
        <w:jc w:val="left"/>
      </w:pPr>
      <w:rPr>
        <w:rFonts w:hint="default" w:ascii="宋体" w:hAnsi="宋体" w:eastAsia="宋体" w:cs="宋体"/>
        <w:spacing w:val="0"/>
        <w:w w:val="99"/>
        <w:sz w:val="20"/>
        <w:szCs w:val="20"/>
      </w:rPr>
    </w:lvl>
    <w:lvl w:ilvl="1">
      <w:start w:val="0"/>
      <w:numFmt w:val="bullet"/>
      <w:lvlText w:val="•"/>
      <w:lvlJc w:val="left"/>
      <w:pPr>
        <w:ind w:left="2110" w:hanging="488"/>
      </w:pPr>
      <w:rPr>
        <w:rFonts w:hint="default"/>
      </w:rPr>
    </w:lvl>
    <w:lvl w:ilvl="2">
      <w:start w:val="0"/>
      <w:numFmt w:val="bullet"/>
      <w:lvlText w:val="•"/>
      <w:lvlJc w:val="left"/>
      <w:pPr>
        <w:ind w:left="2800" w:hanging="488"/>
      </w:pPr>
      <w:rPr>
        <w:rFonts w:hint="default"/>
      </w:rPr>
    </w:lvl>
    <w:lvl w:ilvl="3">
      <w:start w:val="0"/>
      <w:numFmt w:val="bullet"/>
      <w:lvlText w:val="•"/>
      <w:lvlJc w:val="left"/>
      <w:pPr>
        <w:ind w:left="3490" w:hanging="488"/>
      </w:pPr>
      <w:rPr>
        <w:rFonts w:hint="default"/>
      </w:rPr>
    </w:lvl>
    <w:lvl w:ilvl="4">
      <w:start w:val="0"/>
      <w:numFmt w:val="bullet"/>
      <w:lvlText w:val="•"/>
      <w:lvlJc w:val="left"/>
      <w:pPr>
        <w:ind w:left="4180" w:hanging="488"/>
      </w:pPr>
      <w:rPr>
        <w:rFonts w:hint="default"/>
      </w:rPr>
    </w:lvl>
    <w:lvl w:ilvl="5">
      <w:start w:val="0"/>
      <w:numFmt w:val="bullet"/>
      <w:lvlText w:val="•"/>
      <w:lvlJc w:val="left"/>
      <w:pPr>
        <w:ind w:left="4871" w:hanging="488"/>
      </w:pPr>
      <w:rPr>
        <w:rFonts w:hint="default"/>
      </w:rPr>
    </w:lvl>
    <w:lvl w:ilvl="6">
      <w:start w:val="0"/>
      <w:numFmt w:val="bullet"/>
      <w:lvlText w:val="•"/>
      <w:lvlJc w:val="left"/>
      <w:pPr>
        <w:ind w:left="5561" w:hanging="488"/>
      </w:pPr>
      <w:rPr>
        <w:rFonts w:hint="default"/>
      </w:rPr>
    </w:lvl>
    <w:lvl w:ilvl="7">
      <w:start w:val="0"/>
      <w:numFmt w:val="bullet"/>
      <w:lvlText w:val="•"/>
      <w:lvlJc w:val="left"/>
      <w:pPr>
        <w:ind w:left="6251" w:hanging="488"/>
      </w:pPr>
      <w:rPr>
        <w:rFonts w:hint="default"/>
      </w:rPr>
    </w:lvl>
    <w:lvl w:ilvl="8">
      <w:start w:val="0"/>
      <w:numFmt w:val="bullet"/>
      <w:lvlText w:val="•"/>
      <w:lvlJc w:val="left"/>
      <w:pPr>
        <w:ind w:left="6941" w:hanging="488"/>
      </w:pPr>
      <w:rPr>
        <w:rFonts w:hint="default"/>
      </w:rPr>
    </w:lvl>
  </w:abstractNum>
  <w:abstractNum w:abstractNumId="18">
    <w:multiLevelType w:val="hybridMultilevel"/>
    <w:lvl w:ilvl="0">
      <w:start w:val="1"/>
      <w:numFmt w:val="decimal"/>
      <w:lvlText w:val="%1）"/>
      <w:lvlJc w:val="left"/>
      <w:pPr>
        <w:ind w:left="1349" w:hanging="361"/>
        <w:jc w:val="left"/>
      </w:pPr>
      <w:rPr>
        <w:rFonts w:hint="default" w:ascii="宋体" w:hAnsi="宋体" w:eastAsia="宋体" w:cs="宋体"/>
        <w:spacing w:val="0"/>
        <w:w w:val="99"/>
        <w:sz w:val="20"/>
        <w:szCs w:val="20"/>
      </w:rPr>
    </w:lvl>
    <w:lvl w:ilvl="1">
      <w:start w:val="0"/>
      <w:numFmt w:val="bullet"/>
      <w:lvlText w:val="•"/>
      <w:lvlJc w:val="left"/>
      <w:pPr>
        <w:ind w:left="2038" w:hanging="361"/>
      </w:pPr>
      <w:rPr>
        <w:rFonts w:hint="default"/>
      </w:rPr>
    </w:lvl>
    <w:lvl w:ilvl="2">
      <w:start w:val="0"/>
      <w:numFmt w:val="bullet"/>
      <w:lvlText w:val="•"/>
      <w:lvlJc w:val="left"/>
      <w:pPr>
        <w:ind w:left="2736" w:hanging="361"/>
      </w:pPr>
      <w:rPr>
        <w:rFonts w:hint="default"/>
      </w:rPr>
    </w:lvl>
    <w:lvl w:ilvl="3">
      <w:start w:val="0"/>
      <w:numFmt w:val="bullet"/>
      <w:lvlText w:val="•"/>
      <w:lvlJc w:val="left"/>
      <w:pPr>
        <w:ind w:left="3434" w:hanging="361"/>
      </w:pPr>
      <w:rPr>
        <w:rFonts w:hint="default"/>
      </w:rPr>
    </w:lvl>
    <w:lvl w:ilvl="4">
      <w:start w:val="0"/>
      <w:numFmt w:val="bullet"/>
      <w:lvlText w:val="•"/>
      <w:lvlJc w:val="left"/>
      <w:pPr>
        <w:ind w:left="4132" w:hanging="361"/>
      </w:pPr>
      <w:rPr>
        <w:rFonts w:hint="default"/>
      </w:rPr>
    </w:lvl>
    <w:lvl w:ilvl="5">
      <w:start w:val="0"/>
      <w:numFmt w:val="bullet"/>
      <w:lvlText w:val="•"/>
      <w:lvlJc w:val="left"/>
      <w:pPr>
        <w:ind w:left="4831" w:hanging="361"/>
      </w:pPr>
      <w:rPr>
        <w:rFonts w:hint="default"/>
      </w:rPr>
    </w:lvl>
    <w:lvl w:ilvl="6">
      <w:start w:val="0"/>
      <w:numFmt w:val="bullet"/>
      <w:lvlText w:val="•"/>
      <w:lvlJc w:val="left"/>
      <w:pPr>
        <w:ind w:left="5529" w:hanging="361"/>
      </w:pPr>
      <w:rPr>
        <w:rFonts w:hint="default"/>
      </w:rPr>
    </w:lvl>
    <w:lvl w:ilvl="7">
      <w:start w:val="0"/>
      <w:numFmt w:val="bullet"/>
      <w:lvlText w:val="•"/>
      <w:lvlJc w:val="left"/>
      <w:pPr>
        <w:ind w:left="6227" w:hanging="361"/>
      </w:pPr>
      <w:rPr>
        <w:rFonts w:hint="default"/>
      </w:rPr>
    </w:lvl>
    <w:lvl w:ilvl="8">
      <w:start w:val="0"/>
      <w:numFmt w:val="bullet"/>
      <w:lvlText w:val="•"/>
      <w:lvlJc w:val="left"/>
      <w:pPr>
        <w:ind w:left="6925" w:hanging="361"/>
      </w:pPr>
      <w:rPr>
        <w:rFonts w:hint="default"/>
      </w:rPr>
    </w:lvl>
  </w:abstractNum>
  <w:abstractNum w:abstractNumId="17">
    <w:multiLevelType w:val="hybridMultilevel"/>
    <w:lvl w:ilvl="0">
      <w:start w:val="1"/>
      <w:numFmt w:val="decimal"/>
      <w:lvlText w:val="%1）"/>
      <w:lvlJc w:val="left"/>
      <w:pPr>
        <w:ind w:left="900" w:hanging="361"/>
        <w:jc w:val="left"/>
      </w:pPr>
      <w:rPr>
        <w:rFonts w:hint="default" w:ascii="宋体" w:hAnsi="宋体" w:eastAsia="宋体" w:cs="宋体"/>
        <w:spacing w:val="0"/>
        <w:w w:val="99"/>
        <w:sz w:val="20"/>
        <w:szCs w:val="20"/>
      </w:rPr>
    </w:lvl>
    <w:lvl w:ilvl="1">
      <w:start w:val="0"/>
      <w:numFmt w:val="bullet"/>
      <w:lvlText w:val="•"/>
      <w:lvlJc w:val="left"/>
      <w:pPr>
        <w:ind w:left="1641" w:hanging="361"/>
      </w:pPr>
      <w:rPr>
        <w:rFonts w:hint="default"/>
      </w:rPr>
    </w:lvl>
    <w:lvl w:ilvl="2">
      <w:start w:val="0"/>
      <w:numFmt w:val="bullet"/>
      <w:lvlText w:val="•"/>
      <w:lvlJc w:val="left"/>
      <w:pPr>
        <w:ind w:left="2383" w:hanging="361"/>
      </w:pPr>
      <w:rPr>
        <w:rFonts w:hint="default"/>
      </w:rPr>
    </w:lvl>
    <w:lvl w:ilvl="3">
      <w:start w:val="0"/>
      <w:numFmt w:val="bullet"/>
      <w:lvlText w:val="•"/>
      <w:lvlJc w:val="left"/>
      <w:pPr>
        <w:ind w:left="3125" w:hanging="361"/>
      </w:pPr>
      <w:rPr>
        <w:rFonts w:hint="default"/>
      </w:rPr>
    </w:lvl>
    <w:lvl w:ilvl="4">
      <w:start w:val="0"/>
      <w:numFmt w:val="bullet"/>
      <w:lvlText w:val="•"/>
      <w:lvlJc w:val="left"/>
      <w:pPr>
        <w:ind w:left="3867" w:hanging="361"/>
      </w:pPr>
      <w:rPr>
        <w:rFonts w:hint="default"/>
      </w:rPr>
    </w:lvl>
    <w:lvl w:ilvl="5">
      <w:start w:val="0"/>
      <w:numFmt w:val="bullet"/>
      <w:lvlText w:val="•"/>
      <w:lvlJc w:val="left"/>
      <w:pPr>
        <w:ind w:left="4609"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092" w:hanging="361"/>
      </w:pPr>
      <w:rPr>
        <w:rFonts w:hint="default"/>
      </w:rPr>
    </w:lvl>
    <w:lvl w:ilvl="8">
      <w:start w:val="0"/>
      <w:numFmt w:val="bullet"/>
      <w:lvlText w:val="•"/>
      <w:lvlJc w:val="left"/>
      <w:pPr>
        <w:ind w:left="6834" w:hanging="361"/>
      </w:pPr>
      <w:rPr>
        <w:rFonts w:hint="default"/>
      </w:rPr>
    </w:lvl>
  </w:abstractNum>
  <w:abstractNum w:abstractNumId="16">
    <w:multiLevelType w:val="hybridMultilevel"/>
    <w:lvl w:ilvl="0">
      <w:start w:val="1"/>
      <w:numFmt w:val="decimal"/>
      <w:lvlText w:val="%1）"/>
      <w:lvlJc w:val="left"/>
      <w:pPr>
        <w:ind w:left="1192" w:hanging="361"/>
        <w:jc w:val="left"/>
      </w:pPr>
      <w:rPr>
        <w:rFonts w:hint="default" w:ascii="宋体" w:hAnsi="宋体" w:eastAsia="宋体" w:cs="宋体"/>
        <w:spacing w:val="0"/>
        <w:w w:val="99"/>
        <w:sz w:val="20"/>
        <w:szCs w:val="20"/>
      </w:rPr>
    </w:lvl>
    <w:lvl w:ilvl="1">
      <w:start w:val="0"/>
      <w:numFmt w:val="bullet"/>
      <w:lvlText w:val="•"/>
      <w:lvlJc w:val="left"/>
      <w:pPr>
        <w:ind w:left="1911" w:hanging="361"/>
      </w:pPr>
      <w:rPr>
        <w:rFonts w:hint="default"/>
      </w:rPr>
    </w:lvl>
    <w:lvl w:ilvl="2">
      <w:start w:val="0"/>
      <w:numFmt w:val="bullet"/>
      <w:lvlText w:val="•"/>
      <w:lvlJc w:val="left"/>
      <w:pPr>
        <w:ind w:left="2623" w:hanging="361"/>
      </w:pPr>
      <w:rPr>
        <w:rFonts w:hint="default"/>
      </w:rPr>
    </w:lvl>
    <w:lvl w:ilvl="3">
      <w:start w:val="0"/>
      <w:numFmt w:val="bullet"/>
      <w:lvlText w:val="•"/>
      <w:lvlJc w:val="left"/>
      <w:pPr>
        <w:ind w:left="3335" w:hanging="361"/>
      </w:pPr>
      <w:rPr>
        <w:rFonts w:hint="default"/>
      </w:rPr>
    </w:lvl>
    <w:lvl w:ilvl="4">
      <w:start w:val="0"/>
      <w:numFmt w:val="bullet"/>
      <w:lvlText w:val="•"/>
      <w:lvlJc w:val="left"/>
      <w:pPr>
        <w:ind w:left="4047" w:hanging="361"/>
      </w:pPr>
      <w:rPr>
        <w:rFonts w:hint="default"/>
      </w:rPr>
    </w:lvl>
    <w:lvl w:ilvl="5">
      <w:start w:val="0"/>
      <w:numFmt w:val="bullet"/>
      <w:lvlText w:val="•"/>
      <w:lvlJc w:val="left"/>
      <w:pPr>
        <w:ind w:left="4759" w:hanging="361"/>
      </w:pPr>
      <w:rPr>
        <w:rFonts w:hint="default"/>
      </w:rPr>
    </w:lvl>
    <w:lvl w:ilvl="6">
      <w:start w:val="0"/>
      <w:numFmt w:val="bullet"/>
      <w:lvlText w:val="•"/>
      <w:lvlJc w:val="left"/>
      <w:pPr>
        <w:ind w:left="5470" w:hanging="361"/>
      </w:pPr>
      <w:rPr>
        <w:rFonts w:hint="default"/>
      </w:rPr>
    </w:lvl>
    <w:lvl w:ilvl="7">
      <w:start w:val="0"/>
      <w:numFmt w:val="bullet"/>
      <w:lvlText w:val="•"/>
      <w:lvlJc w:val="left"/>
      <w:pPr>
        <w:ind w:left="6182" w:hanging="361"/>
      </w:pPr>
      <w:rPr>
        <w:rFonts w:hint="default"/>
      </w:rPr>
    </w:lvl>
    <w:lvl w:ilvl="8">
      <w:start w:val="0"/>
      <w:numFmt w:val="bullet"/>
      <w:lvlText w:val="•"/>
      <w:lvlJc w:val="left"/>
      <w:pPr>
        <w:ind w:left="6894" w:hanging="361"/>
      </w:pPr>
      <w:rPr>
        <w:rFonts w:hint="default"/>
      </w:rPr>
    </w:lvl>
  </w:abstractNum>
  <w:abstractNum w:abstractNumId="15">
    <w:multiLevelType w:val="hybridMultilevel"/>
    <w:lvl w:ilvl="0">
      <w:start w:val="1"/>
      <w:numFmt w:val="decimal"/>
      <w:lvlText w:val="%1）"/>
      <w:lvlJc w:val="left"/>
      <w:pPr>
        <w:ind w:left="1111" w:hanging="361"/>
        <w:jc w:val="left"/>
      </w:pPr>
      <w:rPr>
        <w:rFonts w:hint="default" w:ascii="宋体" w:hAnsi="宋体" w:eastAsia="宋体" w:cs="宋体"/>
        <w:spacing w:val="0"/>
        <w:w w:val="99"/>
        <w:sz w:val="20"/>
        <w:szCs w:val="20"/>
      </w:rPr>
    </w:lvl>
    <w:lvl w:ilvl="1">
      <w:start w:val="0"/>
      <w:numFmt w:val="bullet"/>
      <w:lvlText w:val="•"/>
      <w:lvlJc w:val="left"/>
      <w:pPr>
        <w:ind w:left="1839" w:hanging="361"/>
      </w:pPr>
      <w:rPr>
        <w:rFonts w:hint="default"/>
      </w:rPr>
    </w:lvl>
    <w:lvl w:ilvl="2">
      <w:start w:val="0"/>
      <w:numFmt w:val="bullet"/>
      <w:lvlText w:val="•"/>
      <w:lvlJc w:val="left"/>
      <w:pPr>
        <w:ind w:left="2559" w:hanging="361"/>
      </w:pPr>
      <w:rPr>
        <w:rFonts w:hint="default"/>
      </w:rPr>
    </w:lvl>
    <w:lvl w:ilvl="3">
      <w:start w:val="0"/>
      <w:numFmt w:val="bullet"/>
      <w:lvlText w:val="•"/>
      <w:lvlJc w:val="left"/>
      <w:pPr>
        <w:ind w:left="3279" w:hanging="361"/>
      </w:pPr>
      <w:rPr>
        <w:rFonts w:hint="default"/>
      </w:rPr>
    </w:lvl>
    <w:lvl w:ilvl="4">
      <w:start w:val="0"/>
      <w:numFmt w:val="bullet"/>
      <w:lvlText w:val="•"/>
      <w:lvlJc w:val="left"/>
      <w:pPr>
        <w:ind w:left="3999" w:hanging="361"/>
      </w:pPr>
      <w:rPr>
        <w:rFonts w:hint="default"/>
      </w:rPr>
    </w:lvl>
    <w:lvl w:ilvl="5">
      <w:start w:val="0"/>
      <w:numFmt w:val="bullet"/>
      <w:lvlText w:val="•"/>
      <w:lvlJc w:val="left"/>
      <w:pPr>
        <w:ind w:left="4719" w:hanging="361"/>
      </w:pPr>
      <w:rPr>
        <w:rFonts w:hint="default"/>
      </w:rPr>
    </w:lvl>
    <w:lvl w:ilvl="6">
      <w:start w:val="0"/>
      <w:numFmt w:val="bullet"/>
      <w:lvlText w:val="•"/>
      <w:lvlJc w:val="left"/>
      <w:pPr>
        <w:ind w:left="5438"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878" w:hanging="361"/>
      </w:pPr>
      <w:rPr>
        <w:rFonts w:hint="default"/>
      </w:rPr>
    </w:lvl>
  </w:abstractNum>
  <w:abstractNum w:abstractNumId="14">
    <w:multiLevelType w:val="hybridMultilevel"/>
    <w:lvl w:ilvl="0">
      <w:start w:val="1"/>
      <w:numFmt w:val="decimal"/>
      <w:lvlText w:val="（%1）"/>
      <w:lvlJc w:val="left"/>
      <w:pPr>
        <w:ind w:left="830" w:hanging="680"/>
        <w:jc w:val="left"/>
      </w:pPr>
      <w:rPr>
        <w:rFonts w:hint="default" w:ascii="宋体" w:hAnsi="宋体" w:eastAsia="宋体" w:cs="宋体"/>
        <w:w w:val="99"/>
        <w:sz w:val="20"/>
        <w:szCs w:val="20"/>
      </w:rPr>
    </w:lvl>
    <w:lvl w:ilvl="1">
      <w:start w:val="0"/>
      <w:numFmt w:val="bullet"/>
      <w:lvlText w:val="•"/>
      <w:lvlJc w:val="left"/>
      <w:pPr>
        <w:ind w:left="155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82" w:hanging="680"/>
      </w:pPr>
      <w:rPr>
        <w:rFonts w:hint="default"/>
      </w:rPr>
    </w:lvl>
    <w:lvl w:ilvl="4">
      <w:start w:val="0"/>
      <w:numFmt w:val="bullet"/>
      <w:lvlText w:val="•"/>
      <w:lvlJc w:val="left"/>
      <w:pPr>
        <w:ind w:left="3696" w:hanging="680"/>
      </w:pPr>
      <w:rPr>
        <w:rFonts w:hint="default"/>
      </w:rPr>
    </w:lvl>
    <w:lvl w:ilvl="5">
      <w:start w:val="0"/>
      <w:numFmt w:val="bullet"/>
      <w:lvlText w:val="•"/>
      <w:lvlJc w:val="left"/>
      <w:pPr>
        <w:ind w:left="4410" w:hanging="680"/>
      </w:pPr>
      <w:rPr>
        <w:rFonts w:hint="default"/>
      </w:rPr>
    </w:lvl>
    <w:lvl w:ilvl="6">
      <w:start w:val="0"/>
      <w:numFmt w:val="bullet"/>
      <w:lvlText w:val="•"/>
      <w:lvlJc w:val="left"/>
      <w:pPr>
        <w:ind w:left="5124" w:hanging="680"/>
      </w:pPr>
      <w:rPr>
        <w:rFonts w:hint="default"/>
      </w:rPr>
    </w:lvl>
    <w:lvl w:ilvl="7">
      <w:start w:val="0"/>
      <w:numFmt w:val="bullet"/>
      <w:lvlText w:val="•"/>
      <w:lvlJc w:val="left"/>
      <w:pPr>
        <w:ind w:left="5838" w:hanging="680"/>
      </w:pPr>
      <w:rPr>
        <w:rFonts w:hint="default"/>
      </w:rPr>
    </w:lvl>
    <w:lvl w:ilvl="8">
      <w:start w:val="0"/>
      <w:numFmt w:val="bullet"/>
      <w:lvlText w:val="•"/>
      <w:lvlJc w:val="left"/>
      <w:pPr>
        <w:ind w:left="6552" w:hanging="680"/>
      </w:pPr>
      <w:rPr>
        <w:rFonts w:hint="default"/>
      </w:rPr>
    </w:lvl>
  </w:abstractNum>
  <w:abstractNum w:abstractNumId="13">
    <w:multiLevelType w:val="hybridMultilevel"/>
    <w:lvl w:ilvl="0">
      <w:start w:val="1"/>
      <w:numFmt w:val="decimal"/>
      <w:lvlText w:val="（%1）"/>
      <w:lvlJc w:val="left"/>
      <w:pPr>
        <w:ind w:left="762" w:hanging="612"/>
        <w:jc w:val="left"/>
      </w:pPr>
      <w:rPr>
        <w:rFonts w:hint="default" w:ascii="宋体" w:hAnsi="宋体" w:eastAsia="宋体" w:cs="宋体"/>
        <w:w w:val="99"/>
        <w:sz w:val="20"/>
        <w:szCs w:val="20"/>
      </w:rPr>
    </w:lvl>
    <w:lvl w:ilvl="1">
      <w:start w:val="0"/>
      <w:numFmt w:val="bullet"/>
      <w:lvlText w:val="•"/>
      <w:lvlJc w:val="left"/>
      <w:pPr>
        <w:ind w:left="1482" w:hanging="612"/>
      </w:pPr>
      <w:rPr>
        <w:rFonts w:hint="default"/>
      </w:rPr>
    </w:lvl>
    <w:lvl w:ilvl="2">
      <w:start w:val="0"/>
      <w:numFmt w:val="bullet"/>
      <w:lvlText w:val="•"/>
      <w:lvlJc w:val="left"/>
      <w:pPr>
        <w:ind w:left="2204" w:hanging="612"/>
      </w:pPr>
      <w:rPr>
        <w:rFonts w:hint="default"/>
      </w:rPr>
    </w:lvl>
    <w:lvl w:ilvl="3">
      <w:start w:val="0"/>
      <w:numFmt w:val="bullet"/>
      <w:lvlText w:val="•"/>
      <w:lvlJc w:val="left"/>
      <w:pPr>
        <w:ind w:left="2926" w:hanging="612"/>
      </w:pPr>
      <w:rPr>
        <w:rFonts w:hint="default"/>
      </w:rPr>
    </w:lvl>
    <w:lvl w:ilvl="4">
      <w:start w:val="0"/>
      <w:numFmt w:val="bullet"/>
      <w:lvlText w:val="•"/>
      <w:lvlJc w:val="left"/>
      <w:pPr>
        <w:ind w:left="3648" w:hanging="612"/>
      </w:pPr>
      <w:rPr>
        <w:rFonts w:hint="default"/>
      </w:rPr>
    </w:lvl>
    <w:lvl w:ilvl="5">
      <w:start w:val="0"/>
      <w:numFmt w:val="bullet"/>
      <w:lvlText w:val="•"/>
      <w:lvlJc w:val="left"/>
      <w:pPr>
        <w:ind w:left="4370" w:hanging="612"/>
      </w:pPr>
      <w:rPr>
        <w:rFonts w:hint="default"/>
      </w:rPr>
    </w:lvl>
    <w:lvl w:ilvl="6">
      <w:start w:val="0"/>
      <w:numFmt w:val="bullet"/>
      <w:lvlText w:val="•"/>
      <w:lvlJc w:val="left"/>
      <w:pPr>
        <w:ind w:left="5092" w:hanging="612"/>
      </w:pPr>
      <w:rPr>
        <w:rFonts w:hint="default"/>
      </w:rPr>
    </w:lvl>
    <w:lvl w:ilvl="7">
      <w:start w:val="0"/>
      <w:numFmt w:val="bullet"/>
      <w:lvlText w:val="•"/>
      <w:lvlJc w:val="left"/>
      <w:pPr>
        <w:ind w:left="5814" w:hanging="612"/>
      </w:pPr>
      <w:rPr>
        <w:rFonts w:hint="default"/>
      </w:rPr>
    </w:lvl>
    <w:lvl w:ilvl="8">
      <w:start w:val="0"/>
      <w:numFmt w:val="bullet"/>
      <w:lvlText w:val="•"/>
      <w:lvlJc w:val="left"/>
      <w:pPr>
        <w:ind w:left="6536" w:hanging="612"/>
      </w:pPr>
      <w:rPr>
        <w:rFonts w:hint="default"/>
      </w:rPr>
    </w:lvl>
  </w:abstractNum>
  <w:abstractNum w:abstractNumId="12">
    <w:multiLevelType w:val="hybridMultilevel"/>
    <w:lvl w:ilvl="0">
      <w:start w:val="2"/>
      <w:numFmt w:val="decimal"/>
      <w:lvlText w:val="%1"/>
      <w:lvlJc w:val="left"/>
      <w:pPr>
        <w:ind w:left="734" w:hanging="635"/>
        <w:jc w:val="left"/>
      </w:pPr>
      <w:rPr>
        <w:rFonts w:hint="default"/>
      </w:rPr>
    </w:lvl>
    <w:lvl w:ilvl="1">
      <w:start w:val="5"/>
      <w:numFmt w:val="decimal"/>
      <w:lvlText w:val="%1.%2"/>
      <w:lvlJc w:val="left"/>
      <w:pPr>
        <w:ind w:left="734" w:hanging="635"/>
        <w:jc w:val="left"/>
      </w:pPr>
      <w:rPr>
        <w:rFonts w:hint="default" w:ascii="宋体" w:hAnsi="宋体" w:eastAsia="宋体" w:cs="宋体"/>
        <w:b/>
        <w:bCs/>
        <w:spacing w:val="0"/>
        <w:w w:val="98"/>
        <w:sz w:val="20"/>
        <w:szCs w:val="20"/>
      </w:rPr>
    </w:lvl>
    <w:lvl w:ilvl="2">
      <w:start w:val="0"/>
      <w:numFmt w:val="bullet"/>
      <w:lvlText w:val="•"/>
      <w:lvlJc w:val="left"/>
      <w:pPr>
        <w:ind w:left="1030" w:hanging="635"/>
      </w:pPr>
      <w:rPr>
        <w:rFonts w:hint="default"/>
      </w:rPr>
    </w:lvl>
    <w:lvl w:ilvl="3">
      <w:start w:val="0"/>
      <w:numFmt w:val="bullet"/>
      <w:lvlText w:val="•"/>
      <w:lvlJc w:val="left"/>
      <w:pPr>
        <w:ind w:left="1175" w:hanging="635"/>
      </w:pPr>
      <w:rPr>
        <w:rFonts w:hint="default"/>
      </w:rPr>
    </w:lvl>
    <w:lvl w:ilvl="4">
      <w:start w:val="0"/>
      <w:numFmt w:val="bullet"/>
      <w:lvlText w:val="•"/>
      <w:lvlJc w:val="left"/>
      <w:pPr>
        <w:ind w:left="1321" w:hanging="635"/>
      </w:pPr>
      <w:rPr>
        <w:rFonts w:hint="default"/>
      </w:rPr>
    </w:lvl>
    <w:lvl w:ilvl="5">
      <w:start w:val="0"/>
      <w:numFmt w:val="bullet"/>
      <w:lvlText w:val="•"/>
      <w:lvlJc w:val="left"/>
      <w:pPr>
        <w:ind w:left="1466" w:hanging="635"/>
      </w:pPr>
      <w:rPr>
        <w:rFonts w:hint="default"/>
      </w:rPr>
    </w:lvl>
    <w:lvl w:ilvl="6">
      <w:start w:val="0"/>
      <w:numFmt w:val="bullet"/>
      <w:lvlText w:val="•"/>
      <w:lvlJc w:val="left"/>
      <w:pPr>
        <w:ind w:left="1611" w:hanging="635"/>
      </w:pPr>
      <w:rPr>
        <w:rFonts w:hint="default"/>
      </w:rPr>
    </w:lvl>
    <w:lvl w:ilvl="7">
      <w:start w:val="0"/>
      <w:numFmt w:val="bullet"/>
      <w:lvlText w:val="•"/>
      <w:lvlJc w:val="left"/>
      <w:pPr>
        <w:ind w:left="1756" w:hanging="635"/>
      </w:pPr>
      <w:rPr>
        <w:rFonts w:hint="default"/>
      </w:rPr>
    </w:lvl>
    <w:lvl w:ilvl="8">
      <w:start w:val="0"/>
      <w:numFmt w:val="bullet"/>
      <w:lvlText w:val="•"/>
      <w:lvlJc w:val="left"/>
      <w:pPr>
        <w:ind w:left="1902" w:hanging="635"/>
      </w:pPr>
      <w:rPr>
        <w:rFonts w:hint="default"/>
      </w:rPr>
    </w:lvl>
  </w:abstractNum>
  <w:abstractNum w:abstractNumId="11">
    <w:multiLevelType w:val="hybridMultilevel"/>
    <w:lvl w:ilvl="0">
      <w:start w:val="1"/>
      <w:numFmt w:val="decimal"/>
      <w:lvlText w:val="%1）"/>
      <w:lvlJc w:val="left"/>
      <w:pPr>
        <w:ind w:left="788" w:hanging="428"/>
        <w:jc w:val="left"/>
      </w:pPr>
      <w:rPr>
        <w:rFonts w:hint="default" w:ascii="宋体" w:hAnsi="宋体" w:eastAsia="宋体" w:cs="宋体"/>
        <w:b/>
        <w:bCs/>
        <w:spacing w:val="0"/>
        <w:w w:val="98"/>
        <w:sz w:val="20"/>
        <w:szCs w:val="20"/>
      </w:rPr>
    </w:lvl>
    <w:lvl w:ilvl="1">
      <w:start w:val="0"/>
      <w:numFmt w:val="bullet"/>
      <w:lvlText w:val="•"/>
      <w:lvlJc w:val="left"/>
      <w:pPr>
        <w:ind w:left="1495" w:hanging="428"/>
      </w:pPr>
      <w:rPr>
        <w:rFonts w:hint="default"/>
      </w:rPr>
    </w:lvl>
    <w:lvl w:ilvl="2">
      <w:start w:val="0"/>
      <w:numFmt w:val="bullet"/>
      <w:lvlText w:val="•"/>
      <w:lvlJc w:val="left"/>
      <w:pPr>
        <w:ind w:left="2211" w:hanging="428"/>
      </w:pPr>
      <w:rPr>
        <w:rFonts w:hint="default"/>
      </w:rPr>
    </w:lvl>
    <w:lvl w:ilvl="3">
      <w:start w:val="0"/>
      <w:numFmt w:val="bullet"/>
      <w:lvlText w:val="•"/>
      <w:lvlJc w:val="left"/>
      <w:pPr>
        <w:ind w:left="2927" w:hanging="428"/>
      </w:pPr>
      <w:rPr>
        <w:rFonts w:hint="default"/>
      </w:rPr>
    </w:lvl>
    <w:lvl w:ilvl="4">
      <w:start w:val="0"/>
      <w:numFmt w:val="bullet"/>
      <w:lvlText w:val="•"/>
      <w:lvlJc w:val="left"/>
      <w:pPr>
        <w:ind w:left="3643" w:hanging="428"/>
      </w:pPr>
      <w:rPr>
        <w:rFonts w:hint="default"/>
      </w:rPr>
    </w:lvl>
    <w:lvl w:ilvl="5">
      <w:start w:val="0"/>
      <w:numFmt w:val="bullet"/>
      <w:lvlText w:val="•"/>
      <w:lvlJc w:val="left"/>
      <w:pPr>
        <w:ind w:left="4359" w:hanging="428"/>
      </w:pPr>
      <w:rPr>
        <w:rFonts w:hint="default"/>
      </w:rPr>
    </w:lvl>
    <w:lvl w:ilvl="6">
      <w:start w:val="0"/>
      <w:numFmt w:val="bullet"/>
      <w:lvlText w:val="•"/>
      <w:lvlJc w:val="left"/>
      <w:pPr>
        <w:ind w:left="5075" w:hanging="428"/>
      </w:pPr>
      <w:rPr>
        <w:rFonts w:hint="default"/>
      </w:rPr>
    </w:lvl>
    <w:lvl w:ilvl="7">
      <w:start w:val="0"/>
      <w:numFmt w:val="bullet"/>
      <w:lvlText w:val="•"/>
      <w:lvlJc w:val="left"/>
      <w:pPr>
        <w:ind w:left="5791" w:hanging="428"/>
      </w:pPr>
      <w:rPr>
        <w:rFonts w:hint="default"/>
      </w:rPr>
    </w:lvl>
    <w:lvl w:ilvl="8">
      <w:start w:val="0"/>
      <w:numFmt w:val="bullet"/>
      <w:lvlText w:val="•"/>
      <w:lvlJc w:val="left"/>
      <w:pPr>
        <w:ind w:left="6507" w:hanging="428"/>
      </w:pPr>
      <w:rPr>
        <w:rFonts w:hint="default"/>
      </w:rPr>
    </w:lvl>
  </w:abstractNum>
  <w:abstractNum w:abstractNumId="10">
    <w:multiLevelType w:val="hybridMultilevel"/>
    <w:lvl w:ilvl="0">
      <w:start w:val="1"/>
      <w:numFmt w:val="decimal"/>
      <w:lvlText w:val="%1）"/>
      <w:lvlJc w:val="left"/>
      <w:pPr>
        <w:ind w:left="788" w:hanging="428"/>
        <w:jc w:val="left"/>
      </w:pPr>
      <w:rPr>
        <w:rFonts w:hint="default" w:ascii="宋体" w:hAnsi="宋体" w:eastAsia="宋体" w:cs="宋体"/>
        <w:b/>
        <w:bCs/>
        <w:spacing w:val="0"/>
        <w:w w:val="98"/>
        <w:sz w:val="20"/>
        <w:szCs w:val="20"/>
      </w:rPr>
    </w:lvl>
    <w:lvl w:ilvl="1">
      <w:start w:val="0"/>
      <w:numFmt w:val="bullet"/>
      <w:lvlText w:val="•"/>
      <w:lvlJc w:val="left"/>
      <w:pPr>
        <w:ind w:left="1495" w:hanging="428"/>
      </w:pPr>
      <w:rPr>
        <w:rFonts w:hint="default"/>
      </w:rPr>
    </w:lvl>
    <w:lvl w:ilvl="2">
      <w:start w:val="0"/>
      <w:numFmt w:val="bullet"/>
      <w:lvlText w:val="•"/>
      <w:lvlJc w:val="left"/>
      <w:pPr>
        <w:ind w:left="2211" w:hanging="428"/>
      </w:pPr>
      <w:rPr>
        <w:rFonts w:hint="default"/>
      </w:rPr>
    </w:lvl>
    <w:lvl w:ilvl="3">
      <w:start w:val="0"/>
      <w:numFmt w:val="bullet"/>
      <w:lvlText w:val="•"/>
      <w:lvlJc w:val="left"/>
      <w:pPr>
        <w:ind w:left="2927" w:hanging="428"/>
      </w:pPr>
      <w:rPr>
        <w:rFonts w:hint="default"/>
      </w:rPr>
    </w:lvl>
    <w:lvl w:ilvl="4">
      <w:start w:val="0"/>
      <w:numFmt w:val="bullet"/>
      <w:lvlText w:val="•"/>
      <w:lvlJc w:val="left"/>
      <w:pPr>
        <w:ind w:left="3643" w:hanging="428"/>
      </w:pPr>
      <w:rPr>
        <w:rFonts w:hint="default"/>
      </w:rPr>
    </w:lvl>
    <w:lvl w:ilvl="5">
      <w:start w:val="0"/>
      <w:numFmt w:val="bullet"/>
      <w:lvlText w:val="•"/>
      <w:lvlJc w:val="left"/>
      <w:pPr>
        <w:ind w:left="4359" w:hanging="428"/>
      </w:pPr>
      <w:rPr>
        <w:rFonts w:hint="default"/>
      </w:rPr>
    </w:lvl>
    <w:lvl w:ilvl="6">
      <w:start w:val="0"/>
      <w:numFmt w:val="bullet"/>
      <w:lvlText w:val="•"/>
      <w:lvlJc w:val="left"/>
      <w:pPr>
        <w:ind w:left="5075" w:hanging="428"/>
      </w:pPr>
      <w:rPr>
        <w:rFonts w:hint="default"/>
      </w:rPr>
    </w:lvl>
    <w:lvl w:ilvl="7">
      <w:start w:val="0"/>
      <w:numFmt w:val="bullet"/>
      <w:lvlText w:val="•"/>
      <w:lvlJc w:val="left"/>
      <w:pPr>
        <w:ind w:left="5791" w:hanging="428"/>
      </w:pPr>
      <w:rPr>
        <w:rFonts w:hint="default"/>
      </w:rPr>
    </w:lvl>
    <w:lvl w:ilvl="8">
      <w:start w:val="0"/>
      <w:numFmt w:val="bullet"/>
      <w:lvlText w:val="•"/>
      <w:lvlJc w:val="left"/>
      <w:pPr>
        <w:ind w:left="6507" w:hanging="428"/>
      </w:pPr>
      <w:rPr>
        <w:rFonts w:hint="default"/>
      </w:rPr>
    </w:lvl>
  </w:abstractNum>
  <w:abstractNum w:abstractNumId="9">
    <w:multiLevelType w:val="hybridMultilevel"/>
    <w:lvl w:ilvl="0">
      <w:start w:val="1"/>
      <w:numFmt w:val="decimal"/>
      <w:lvlText w:val="(%1)"/>
      <w:lvlJc w:val="left"/>
      <w:pPr>
        <w:ind w:left="530"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20" w:hanging="420"/>
      </w:pPr>
      <w:rPr>
        <w:rFonts w:hint="default"/>
      </w:rPr>
    </w:lvl>
    <w:lvl w:ilvl="3">
      <w:start w:val="0"/>
      <w:numFmt w:val="bullet"/>
      <w:lvlText w:val="•"/>
      <w:lvlJc w:val="left"/>
      <w:pPr>
        <w:ind w:left="2760" w:hanging="420"/>
      </w:pPr>
      <w:rPr>
        <w:rFonts w:hint="default"/>
      </w:rPr>
    </w:lvl>
    <w:lvl w:ilvl="4">
      <w:start w:val="0"/>
      <w:numFmt w:val="bullet"/>
      <w:lvlText w:val="•"/>
      <w:lvlJc w:val="left"/>
      <w:pPr>
        <w:ind w:left="3500" w:hanging="420"/>
      </w:pPr>
      <w:rPr>
        <w:rFonts w:hint="default"/>
      </w:rPr>
    </w:lvl>
    <w:lvl w:ilvl="5">
      <w:start w:val="0"/>
      <w:numFmt w:val="bullet"/>
      <w:lvlText w:val="•"/>
      <w:lvlJc w:val="left"/>
      <w:pPr>
        <w:ind w:left="4240" w:hanging="420"/>
      </w:pPr>
      <w:rPr>
        <w:rFonts w:hint="default"/>
      </w:rPr>
    </w:lvl>
    <w:lvl w:ilvl="6">
      <w:start w:val="0"/>
      <w:numFmt w:val="bullet"/>
      <w:lvlText w:val="•"/>
      <w:lvlJc w:val="left"/>
      <w:pPr>
        <w:ind w:left="4980" w:hanging="420"/>
      </w:pPr>
      <w:rPr>
        <w:rFonts w:hint="default"/>
      </w:rPr>
    </w:lvl>
    <w:lvl w:ilvl="7">
      <w:start w:val="0"/>
      <w:numFmt w:val="bullet"/>
      <w:lvlText w:val="•"/>
      <w:lvlJc w:val="left"/>
      <w:pPr>
        <w:ind w:left="5720" w:hanging="420"/>
      </w:pPr>
      <w:rPr>
        <w:rFonts w:hint="default"/>
      </w:rPr>
    </w:lvl>
    <w:lvl w:ilvl="8">
      <w:start w:val="0"/>
      <w:numFmt w:val="bullet"/>
      <w:lvlText w:val="•"/>
      <w:lvlJc w:val="left"/>
      <w:pPr>
        <w:ind w:left="6460" w:hanging="420"/>
      </w:pPr>
      <w:rPr>
        <w:rFonts w:hint="default"/>
      </w:rPr>
    </w:lvl>
  </w:abstractNum>
  <w:abstractNum w:abstractNumId="8">
    <w:multiLevelType w:val="hybridMultilevel"/>
    <w:lvl w:ilvl="0">
      <w:start w:val="1"/>
      <w:numFmt w:val="decimal"/>
      <w:lvlText w:val="%1."/>
      <w:lvlJc w:val="left"/>
      <w:pPr>
        <w:ind w:left="492" w:hanging="226"/>
        <w:jc w:val="left"/>
      </w:pPr>
      <w:rPr>
        <w:rFonts w:hint="default" w:ascii="宋体" w:hAnsi="宋体" w:eastAsia="宋体" w:cs="宋体"/>
        <w:spacing w:val="0"/>
        <w:w w:val="100"/>
        <w:sz w:val="15"/>
        <w:szCs w:val="15"/>
      </w:rPr>
    </w:lvl>
    <w:lvl w:ilvl="1">
      <w:start w:val="0"/>
      <w:numFmt w:val="bullet"/>
      <w:lvlText w:val="•"/>
      <w:lvlJc w:val="left"/>
      <w:pPr>
        <w:ind w:left="715" w:hanging="226"/>
      </w:pPr>
      <w:rPr>
        <w:rFonts w:hint="default"/>
      </w:rPr>
    </w:lvl>
    <w:lvl w:ilvl="2">
      <w:start w:val="0"/>
      <w:numFmt w:val="bullet"/>
      <w:lvlText w:val="•"/>
      <w:lvlJc w:val="left"/>
      <w:pPr>
        <w:ind w:left="930" w:hanging="226"/>
      </w:pPr>
      <w:rPr>
        <w:rFonts w:hint="default"/>
      </w:rPr>
    </w:lvl>
    <w:lvl w:ilvl="3">
      <w:start w:val="0"/>
      <w:numFmt w:val="bullet"/>
      <w:lvlText w:val="•"/>
      <w:lvlJc w:val="left"/>
      <w:pPr>
        <w:ind w:left="1145" w:hanging="226"/>
      </w:pPr>
      <w:rPr>
        <w:rFonts w:hint="default"/>
      </w:rPr>
    </w:lvl>
    <w:lvl w:ilvl="4">
      <w:start w:val="0"/>
      <w:numFmt w:val="bullet"/>
      <w:lvlText w:val="•"/>
      <w:lvlJc w:val="left"/>
      <w:pPr>
        <w:ind w:left="1360" w:hanging="226"/>
      </w:pPr>
      <w:rPr>
        <w:rFonts w:hint="default"/>
      </w:rPr>
    </w:lvl>
    <w:lvl w:ilvl="5">
      <w:start w:val="0"/>
      <w:numFmt w:val="bullet"/>
      <w:lvlText w:val="•"/>
      <w:lvlJc w:val="left"/>
      <w:pPr>
        <w:ind w:left="1575" w:hanging="226"/>
      </w:pPr>
      <w:rPr>
        <w:rFonts w:hint="default"/>
      </w:rPr>
    </w:lvl>
    <w:lvl w:ilvl="6">
      <w:start w:val="0"/>
      <w:numFmt w:val="bullet"/>
      <w:lvlText w:val="•"/>
      <w:lvlJc w:val="left"/>
      <w:pPr>
        <w:ind w:left="1790" w:hanging="226"/>
      </w:pPr>
      <w:rPr>
        <w:rFonts w:hint="default"/>
      </w:rPr>
    </w:lvl>
    <w:lvl w:ilvl="7">
      <w:start w:val="0"/>
      <w:numFmt w:val="bullet"/>
      <w:lvlText w:val="•"/>
      <w:lvlJc w:val="left"/>
      <w:pPr>
        <w:ind w:left="2005" w:hanging="226"/>
      </w:pPr>
      <w:rPr>
        <w:rFonts w:hint="default"/>
      </w:rPr>
    </w:lvl>
    <w:lvl w:ilvl="8">
      <w:start w:val="0"/>
      <w:numFmt w:val="bullet"/>
      <w:lvlText w:val="•"/>
      <w:lvlJc w:val="left"/>
      <w:pPr>
        <w:ind w:left="2220" w:hanging="226"/>
      </w:pPr>
      <w:rPr>
        <w:rFonts w:hint="default"/>
      </w:rPr>
    </w:lvl>
  </w:abstractNum>
  <w:abstractNum w:abstractNumId="7">
    <w:multiLevelType w:val="hybridMultilevel"/>
    <w:lvl w:ilvl="0">
      <w:start w:val="7"/>
      <w:numFmt w:val="decimal"/>
      <w:lvlText w:val="%1"/>
      <w:lvlJc w:val="left"/>
      <w:pPr>
        <w:ind w:left="569" w:hanging="303"/>
        <w:jc w:val="left"/>
      </w:pPr>
      <w:rPr>
        <w:rFonts w:hint="default"/>
      </w:rPr>
    </w:lvl>
    <w:lvl w:ilvl="1">
      <w:start w:val="4"/>
      <w:numFmt w:val="decimal"/>
      <w:lvlText w:val="%1.%2"/>
      <w:lvlJc w:val="left"/>
      <w:pPr>
        <w:ind w:left="569" w:hanging="303"/>
        <w:jc w:val="left"/>
      </w:pPr>
      <w:rPr>
        <w:rFonts w:hint="default" w:ascii="宋体" w:hAnsi="宋体" w:eastAsia="宋体" w:cs="宋体"/>
        <w:spacing w:val="-2"/>
        <w:w w:val="100"/>
        <w:sz w:val="15"/>
        <w:szCs w:val="15"/>
      </w:rPr>
    </w:lvl>
    <w:lvl w:ilvl="2">
      <w:start w:val="0"/>
      <w:numFmt w:val="bullet"/>
      <w:lvlText w:val="•"/>
      <w:lvlJc w:val="left"/>
      <w:pPr>
        <w:ind w:left="978" w:hanging="303"/>
      </w:pPr>
      <w:rPr>
        <w:rFonts w:hint="default"/>
      </w:rPr>
    </w:lvl>
    <w:lvl w:ilvl="3">
      <w:start w:val="0"/>
      <w:numFmt w:val="bullet"/>
      <w:lvlText w:val="•"/>
      <w:lvlJc w:val="left"/>
      <w:pPr>
        <w:ind w:left="1187" w:hanging="303"/>
      </w:pPr>
      <w:rPr>
        <w:rFonts w:hint="default"/>
      </w:rPr>
    </w:lvl>
    <w:lvl w:ilvl="4">
      <w:start w:val="0"/>
      <w:numFmt w:val="bullet"/>
      <w:lvlText w:val="•"/>
      <w:lvlJc w:val="left"/>
      <w:pPr>
        <w:ind w:left="1396" w:hanging="303"/>
      </w:pPr>
      <w:rPr>
        <w:rFonts w:hint="default"/>
      </w:rPr>
    </w:lvl>
    <w:lvl w:ilvl="5">
      <w:start w:val="0"/>
      <w:numFmt w:val="bullet"/>
      <w:lvlText w:val="•"/>
      <w:lvlJc w:val="left"/>
      <w:pPr>
        <w:ind w:left="1605" w:hanging="303"/>
      </w:pPr>
      <w:rPr>
        <w:rFonts w:hint="default"/>
      </w:rPr>
    </w:lvl>
    <w:lvl w:ilvl="6">
      <w:start w:val="0"/>
      <w:numFmt w:val="bullet"/>
      <w:lvlText w:val="•"/>
      <w:lvlJc w:val="left"/>
      <w:pPr>
        <w:ind w:left="1814" w:hanging="303"/>
      </w:pPr>
      <w:rPr>
        <w:rFonts w:hint="default"/>
      </w:rPr>
    </w:lvl>
    <w:lvl w:ilvl="7">
      <w:start w:val="0"/>
      <w:numFmt w:val="bullet"/>
      <w:lvlText w:val="•"/>
      <w:lvlJc w:val="left"/>
      <w:pPr>
        <w:ind w:left="2023" w:hanging="303"/>
      </w:pPr>
      <w:rPr>
        <w:rFonts w:hint="default"/>
      </w:rPr>
    </w:lvl>
    <w:lvl w:ilvl="8">
      <w:start w:val="0"/>
      <w:numFmt w:val="bullet"/>
      <w:lvlText w:val="•"/>
      <w:lvlJc w:val="left"/>
      <w:pPr>
        <w:ind w:left="2232" w:hanging="303"/>
      </w:pPr>
      <w:rPr>
        <w:rFonts w:hint="default"/>
      </w:rPr>
    </w:lvl>
  </w:abstractNum>
  <w:abstractNum w:abstractNumId="6">
    <w:multiLevelType w:val="hybridMultilevel"/>
    <w:lvl w:ilvl="0">
      <w:start w:val="7"/>
      <w:numFmt w:val="decimal"/>
      <w:lvlText w:val="%1"/>
      <w:lvlJc w:val="left"/>
      <w:pPr>
        <w:ind w:left="611" w:hanging="303"/>
        <w:jc w:val="left"/>
      </w:pPr>
      <w:rPr>
        <w:rFonts w:hint="default"/>
      </w:rPr>
    </w:lvl>
    <w:lvl w:ilvl="1">
      <w:start w:val="1"/>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5">
    <w:multiLevelType w:val="hybridMultilevel"/>
    <w:lvl w:ilvl="0">
      <w:start w:val="4"/>
      <w:numFmt w:val="decimal"/>
      <w:lvlText w:val="%1"/>
      <w:lvlJc w:val="left"/>
      <w:pPr>
        <w:ind w:left="611" w:hanging="303"/>
        <w:jc w:val="left"/>
      </w:pPr>
      <w:rPr>
        <w:rFonts w:hint="default"/>
      </w:rPr>
    </w:lvl>
    <w:lvl w:ilvl="1">
      <w:start w:val="1"/>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4">
    <w:multiLevelType w:val="hybridMultilevel"/>
    <w:lvl w:ilvl="0">
      <w:start w:val="3"/>
      <w:numFmt w:val="decimal"/>
      <w:lvlText w:val="%1"/>
      <w:lvlJc w:val="left"/>
      <w:pPr>
        <w:ind w:left="611" w:hanging="303"/>
        <w:jc w:val="left"/>
      </w:pPr>
      <w:rPr>
        <w:rFonts w:hint="default"/>
      </w:rPr>
    </w:lvl>
    <w:lvl w:ilvl="1">
      <w:start w:val="3"/>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3">
    <w:multiLevelType w:val="hybridMultilevel"/>
    <w:lvl w:ilvl="0">
      <w:start w:val="3"/>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2">
    <w:multiLevelType w:val="hybridMultilevel"/>
    <w:lvl w:ilvl="0">
      <w:start w:val="2"/>
      <w:numFmt w:val="decimal"/>
      <w:lvlText w:val="%1"/>
      <w:lvlJc w:val="left"/>
      <w:pPr>
        <w:ind w:left="564" w:hanging="303"/>
        <w:jc w:val="left"/>
      </w:pPr>
      <w:rPr>
        <w:rFonts w:hint="default"/>
      </w:rPr>
    </w:lvl>
    <w:lvl w:ilvl="1">
      <w:start w:val="1"/>
      <w:numFmt w:val="decimal"/>
      <w:lvlText w:val="%1.%2"/>
      <w:lvlJc w:val="left"/>
      <w:pPr>
        <w:ind w:left="562"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1">
    <w:multiLevelType w:val="hybridMultilevel"/>
    <w:lvl w:ilvl="0">
      <w:start w:val="1"/>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0">
    <w:multiLevelType w:val="hybridMultilevel"/>
    <w:lvl w:ilvl="0">
      <w:start w:val="0"/>
      <w:numFmt w:val="bullet"/>
      <w:lvlText w:val=""/>
      <w:lvlJc w:val="left"/>
      <w:pPr>
        <w:ind w:left="1213" w:hanging="420"/>
      </w:pPr>
      <w:rPr>
        <w:rFonts w:hint="default" w:ascii="Wingdings" w:hAnsi="Wingdings" w:eastAsia="Wingdings" w:cs="Wingdings"/>
        <w:w w:val="99"/>
        <w:sz w:val="20"/>
        <w:szCs w:val="20"/>
      </w:rPr>
    </w:lvl>
    <w:lvl w:ilvl="1">
      <w:start w:val="0"/>
      <w:numFmt w:val="bullet"/>
      <w:lvlText w:val="•"/>
      <w:lvlJc w:val="left"/>
      <w:pPr>
        <w:ind w:left="210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85" w:hanging="420"/>
      </w:pPr>
      <w:rPr>
        <w:rFonts w:hint="default"/>
      </w:rPr>
    </w:lvl>
    <w:lvl w:ilvl="4">
      <w:start w:val="0"/>
      <w:numFmt w:val="bullet"/>
      <w:lvlText w:val="•"/>
      <w:lvlJc w:val="left"/>
      <w:pPr>
        <w:ind w:left="4774"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551" w:hanging="420"/>
      </w:pPr>
      <w:rPr>
        <w:rFonts w:hint="default"/>
      </w:rPr>
    </w:lvl>
    <w:lvl w:ilvl="7">
      <w:start w:val="0"/>
      <w:numFmt w:val="bullet"/>
      <w:lvlText w:val="•"/>
      <w:lvlJc w:val="left"/>
      <w:pPr>
        <w:ind w:left="7440" w:hanging="420"/>
      </w:pPr>
      <w:rPr>
        <w:rFonts w:hint="default"/>
      </w:rPr>
    </w:lvl>
    <w:lvl w:ilvl="8">
      <w:start w:val="0"/>
      <w:numFmt w:val="bullet"/>
      <w:lvlText w:val="•"/>
      <w:lvlJc w:val="left"/>
      <w:pPr>
        <w:ind w:left="8329" w:hanging="420"/>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32"/>
      <w:outlineLvl w:val="1"/>
    </w:pPr>
    <w:rPr>
      <w:rFonts w:ascii="宋体" w:hAnsi="宋体" w:eastAsia="宋体" w:cs="宋体"/>
      <w:b/>
      <w:bCs/>
      <w:sz w:val="24"/>
      <w:szCs w:val="24"/>
    </w:rPr>
  </w:style>
  <w:style w:styleId="Heading2" w:type="paragraph">
    <w:name w:val="Heading 2"/>
    <w:basedOn w:val="Normal"/>
    <w:uiPriority w:val="1"/>
    <w:qFormat/>
    <w:pPr>
      <w:spacing w:before="38"/>
      <w:ind w:left="292"/>
      <w:outlineLvl w:val="2"/>
    </w:pPr>
    <w:rPr>
      <w:rFonts w:ascii="宋体" w:hAnsi="宋体" w:eastAsia="宋体" w:cs="宋体"/>
      <w:b/>
      <w:bCs/>
      <w:sz w:val="20"/>
      <w:szCs w:val="20"/>
    </w:rPr>
  </w:style>
  <w:style w:styleId="ListParagraph" w:type="paragraph">
    <w:name w:val="List Paragraph"/>
    <w:basedOn w:val="Normal"/>
    <w:uiPriority w:val="1"/>
    <w:qFormat/>
    <w:pPr>
      <w:spacing w:before="36"/>
      <w:ind w:left="1213"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中德安联人寿保险有限公司</dc:title>
  <dcterms:created xsi:type="dcterms:W3CDTF">2018-10-19T23:13:06Z</dcterms:created>
  <dcterms:modified xsi:type="dcterms:W3CDTF">2018-10-19T23:13:06Z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Microsoft® Office Word 2007</vt:lpwstr>
  </property>
  <property fmtid="{D5CDD505-2E9C-101B-9397-08002B2CF9AE}" pid="4" name="LastSaved">
    <vt:filetime>2018-10-19T00:00:00Z</vt:filetime>
  </property>
</Properties>
</file>