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4"/>
        <w:ind w:right="217"/>
        <w:jc w:val="right"/>
      </w:pPr>
      <w:r>
        <w:rPr/>
        <w:drawing>
          <wp:anchor distT="0" distB="0" distL="0" distR="0" allowOverlap="1" layoutInCell="1" locked="0" behindDoc="0" simplePos="0" relativeHeight="0">
            <wp:simplePos x="0" y="0"/>
            <wp:positionH relativeFrom="page">
              <wp:posOffset>6187438</wp:posOffset>
            </wp:positionH>
            <wp:positionV relativeFrom="paragraph">
              <wp:posOffset>204262</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交银康联[2017]疾病保险 007 号</w:t>
      </w:r>
    </w:p>
    <w:p>
      <w:pPr>
        <w:pStyle w:val="BodyText"/>
        <w:ind w:right="217"/>
        <w:jc w:val="right"/>
      </w:pPr>
      <w:r>
        <w:rPr/>
        <w:t>请扫描以查询验证条款</w:t>
      </w:r>
    </w:p>
    <w:p>
      <w:pPr>
        <w:spacing w:before="15"/>
        <w:ind w:left="38" w:right="120" w:firstLine="0"/>
        <w:jc w:val="center"/>
        <w:rPr>
          <w:rFonts w:ascii="微软雅黑" w:eastAsia="微软雅黑" w:hint="eastAsia"/>
          <w:b/>
          <w:sz w:val="24"/>
        </w:rPr>
      </w:pPr>
      <w:r>
        <w:rPr/>
        <w:pict>
          <v:line style="position:absolute;mso-position-horizontal-relative:page;mso-position-vertical-relative:paragraph;z-index:-73456" from="49.560001pt,2.836317pt" to="545.640001pt,2.836317pt" stroked="true" strokeweight=".72pt" strokecolor="#000000">
            <v:stroke dashstyle="solid"/>
            <w10:wrap type="none"/>
          </v:line>
        </w:pict>
      </w:r>
      <w:bookmarkStart w:name="交银康联附加交银宝贝优选重大疾病保险条款（2017年5月）" w:id="1"/>
      <w:bookmarkEnd w:id="1"/>
      <w:r>
        <w:rPr/>
      </w:r>
      <w:r>
        <w:rPr>
          <w:rFonts w:ascii="微软雅黑" w:eastAsia="微软雅黑" w:hint="eastAsia"/>
          <w:b/>
          <w:sz w:val="32"/>
        </w:rPr>
        <w:t>交银康联附加交银宝贝优选重大疾病保险条款</w:t>
      </w:r>
      <w:r>
        <w:rPr>
          <w:rFonts w:ascii="微软雅黑" w:eastAsia="微软雅黑" w:hint="eastAsia"/>
          <w:b/>
          <w:sz w:val="32"/>
          <w:vertAlign w:val="subscript"/>
        </w:rPr>
        <w:t>（</w:t>
      </w:r>
      <w:r>
        <w:rPr>
          <w:rFonts w:ascii="微软雅黑" w:eastAsia="微软雅黑" w:hint="eastAsia"/>
          <w:b/>
          <w:sz w:val="32"/>
          <w:vertAlign w:val="baseline"/>
        </w:rPr>
      </w:r>
      <w:r>
        <w:rPr>
          <w:rFonts w:ascii="微软雅黑" w:eastAsia="微软雅黑" w:hint="eastAsia"/>
          <w:b/>
          <w:sz w:val="24"/>
          <w:vertAlign w:val="baseline"/>
        </w:rPr>
        <w:t>2017 年 5 月）</w:t>
      </w:r>
    </w:p>
    <w:p>
      <w:pPr>
        <w:spacing w:before="71"/>
        <w:ind w:left="40" w:right="12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10"/>
        <w:ind w:left="147" w:right="120"/>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78"/>
          <w:w w:val="100"/>
        </w:rPr>
        <w:t>，</w:t>
      </w:r>
      <w:r>
        <w:rPr>
          <w:spacing w:val="-89"/>
          <w:w w:val="100"/>
          <w:position w:val="-7"/>
        </w:rPr>
        <w:t>．</w:t>
      </w:r>
      <w:r>
        <w:rPr>
          <w:spacing w:val="-152"/>
          <w:w w:val="100"/>
        </w:rPr>
        <w:t>对</w:t>
      </w:r>
      <w:r>
        <w:rPr>
          <w:spacing w:val="-118"/>
          <w:w w:val="100"/>
          <w:position w:val="-7"/>
        </w:rPr>
        <w:t>．</w:t>
      </w:r>
      <w:r>
        <w:rPr>
          <w:spacing w:val="-123"/>
          <w:w w:val="100"/>
        </w:rPr>
        <w:t>“</w:t>
      </w:r>
      <w:r>
        <w:rPr>
          <w:spacing w:val="-89"/>
          <w:w w:val="100"/>
          <w:position w:val="-7"/>
        </w:rPr>
        <w:t>．</w:t>
      </w:r>
      <w:r>
        <w:rPr>
          <w:spacing w:val="-152"/>
          <w:w w:val="100"/>
        </w:rPr>
        <w:t>交</w:t>
      </w:r>
      <w:r>
        <w:rPr>
          <w:spacing w:val="-63"/>
          <w:w w:val="100"/>
          <w:position w:val="-7"/>
        </w:rPr>
        <w:t>．</w:t>
      </w:r>
      <w:r>
        <w:rPr>
          <w:spacing w:val="-149"/>
          <w:w w:val="100"/>
        </w:rPr>
        <w:t>银</w:t>
      </w:r>
      <w:r>
        <w:rPr>
          <w:spacing w:val="-63"/>
          <w:w w:val="100"/>
          <w:position w:val="-7"/>
        </w:rPr>
        <w:t>．</w:t>
      </w:r>
      <w:r>
        <w:rPr>
          <w:spacing w:val="-152"/>
          <w:w w:val="100"/>
        </w:rPr>
        <w:t>康</w:t>
      </w:r>
      <w:r>
        <w:rPr>
          <w:spacing w:val="-63"/>
          <w:w w:val="100"/>
          <w:position w:val="-7"/>
        </w:rPr>
        <w:t>．</w:t>
      </w:r>
      <w:r>
        <w:rPr>
          <w:spacing w:val="-149"/>
          <w:w w:val="100"/>
        </w:rPr>
        <w:t>联</w:t>
      </w:r>
      <w:r>
        <w:rPr>
          <w:spacing w:val="-63"/>
          <w:w w:val="100"/>
          <w:position w:val="-7"/>
        </w:rPr>
        <w:t>．</w:t>
      </w:r>
      <w:r>
        <w:rPr>
          <w:spacing w:val="-152"/>
          <w:w w:val="100"/>
        </w:rPr>
        <w:t>附</w:t>
      </w:r>
      <w:r>
        <w:rPr>
          <w:spacing w:val="-63"/>
          <w:w w:val="100"/>
          <w:position w:val="-7"/>
        </w:rPr>
        <w:t>．</w:t>
      </w:r>
      <w:r>
        <w:rPr>
          <w:spacing w:val="-149"/>
          <w:w w:val="100"/>
        </w:rPr>
        <w:t>加</w:t>
      </w:r>
      <w:r>
        <w:rPr>
          <w:spacing w:val="-63"/>
          <w:w w:val="100"/>
          <w:position w:val="-7"/>
        </w:rPr>
        <w:t>．</w:t>
      </w:r>
      <w:r>
        <w:rPr>
          <w:spacing w:val="-152"/>
          <w:w w:val="100"/>
        </w:rPr>
        <w:t>交</w:t>
      </w:r>
      <w:r>
        <w:rPr>
          <w:spacing w:val="-63"/>
          <w:w w:val="100"/>
          <w:position w:val="-7"/>
        </w:rPr>
        <w:t>．</w:t>
      </w:r>
      <w:r>
        <w:rPr>
          <w:spacing w:val="-149"/>
          <w:w w:val="100"/>
        </w:rPr>
        <w:t>银</w:t>
      </w:r>
      <w:r>
        <w:rPr>
          <w:spacing w:val="-63"/>
          <w:w w:val="100"/>
          <w:position w:val="-7"/>
        </w:rPr>
        <w:t>．</w:t>
      </w:r>
      <w:r>
        <w:rPr>
          <w:spacing w:val="-149"/>
          <w:w w:val="100"/>
        </w:rPr>
        <w:t>宝</w:t>
      </w:r>
      <w:r>
        <w:rPr>
          <w:spacing w:val="-63"/>
          <w:w w:val="100"/>
          <w:position w:val="-7"/>
        </w:rPr>
        <w:t>．</w:t>
      </w:r>
      <w:r>
        <w:rPr>
          <w:spacing w:val="-152"/>
          <w:w w:val="100"/>
        </w:rPr>
        <w:t>贝</w:t>
      </w:r>
      <w:r>
        <w:rPr>
          <w:spacing w:val="-63"/>
          <w:w w:val="100"/>
          <w:position w:val="-7"/>
        </w:rPr>
        <w:t>．</w:t>
      </w:r>
      <w:r>
        <w:rPr>
          <w:spacing w:val="-149"/>
          <w:w w:val="100"/>
        </w:rPr>
        <w:t>优</w:t>
      </w:r>
      <w:r>
        <w:rPr>
          <w:spacing w:val="-63"/>
          <w:w w:val="100"/>
          <w:position w:val="-7"/>
        </w:rPr>
        <w:t>．</w:t>
      </w:r>
      <w:r>
        <w:rPr>
          <w:spacing w:val="-152"/>
          <w:w w:val="100"/>
        </w:rPr>
        <w:t>选</w:t>
      </w:r>
      <w:r>
        <w:rPr>
          <w:spacing w:val="-63"/>
          <w:w w:val="100"/>
          <w:position w:val="-7"/>
        </w:rPr>
        <w:t>．</w:t>
      </w:r>
      <w:r>
        <w:rPr>
          <w:spacing w:val="-149"/>
          <w:w w:val="100"/>
        </w:rPr>
        <w:t>重</w:t>
      </w:r>
      <w:r>
        <w:rPr>
          <w:spacing w:val="-63"/>
          <w:w w:val="100"/>
          <w:position w:val="-7"/>
        </w:rPr>
        <w:t>．</w:t>
      </w:r>
      <w:r>
        <w:rPr>
          <w:spacing w:val="-152"/>
          <w:w w:val="100"/>
        </w:rPr>
        <w:t>大</w:t>
      </w:r>
      <w:r>
        <w:rPr>
          <w:spacing w:val="-63"/>
          <w:w w:val="100"/>
          <w:position w:val="-7"/>
        </w:rPr>
        <w:t>．</w:t>
      </w:r>
      <w:r>
        <w:rPr>
          <w:spacing w:val="-149"/>
          <w:w w:val="100"/>
        </w:rPr>
        <w:t>疾</w:t>
      </w:r>
      <w:r>
        <w:rPr>
          <w:spacing w:val="-63"/>
          <w:w w:val="100"/>
          <w:position w:val="-7"/>
        </w:rPr>
        <w:t>．</w:t>
      </w:r>
      <w:r>
        <w:rPr>
          <w:spacing w:val="-152"/>
          <w:w w:val="100"/>
        </w:rPr>
        <w:t>病</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2"/>
          <w:w w:val="100"/>
        </w:rPr>
        <w:t>”</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52"/>
          <w:w w:val="100"/>
        </w:rPr>
        <w:t>为</w:t>
      </w:r>
      <w:r>
        <w:rPr>
          <w:spacing w:val="-63"/>
          <w:w w:val="100"/>
          <w:position w:val="-7"/>
        </w:rPr>
        <w:t>．</w:t>
      </w:r>
      <w:r>
        <w:rPr>
          <w:spacing w:val="-152"/>
          <w:w w:val="100"/>
        </w:rPr>
        <w:t>准</w:t>
      </w:r>
      <w:r>
        <w:rPr>
          <w:spacing w:val="-63"/>
          <w:w w:val="100"/>
          <w:position w:val="-7"/>
        </w:rPr>
        <w:t>．</w:t>
      </w:r>
      <w:r>
        <w:rPr>
          <w:w w:val="100"/>
        </w:rPr>
        <w:t>。</w:t>
      </w:r>
    </w:p>
    <w:p>
      <w:pPr>
        <w:tabs>
          <w:tab w:pos="1315" w:val="left" w:leader="none"/>
        </w:tabs>
        <w:spacing w:before="22"/>
        <w:ind w:left="305"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97" w:val="left" w:leader="none"/>
          <w:tab w:pos="1698" w:val="left" w:leader="none"/>
          <w:tab w:pos="9994" w:val="right" w:leader="dot"/>
        </w:tabs>
        <w:spacing w:line="240" w:lineRule="auto" w:before="26" w:after="0"/>
        <w:ind w:left="169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保障</w:t>
        <w:tab/>
        <w:t>2.4</w:t>
      </w:r>
    </w:p>
    <w:p>
      <w:pPr>
        <w:pStyle w:val="ListParagraph"/>
        <w:numPr>
          <w:ilvl w:val="0"/>
          <w:numId w:val="1"/>
        </w:numPr>
        <w:tabs>
          <w:tab w:pos="1697" w:val="left" w:leader="none"/>
          <w:tab w:pos="1698" w:val="left" w:leader="none"/>
          <w:tab w:pos="9995" w:val="right" w:leader="dot"/>
        </w:tabs>
        <w:spacing w:line="240" w:lineRule="auto" w:before="22" w:after="0"/>
        <w:ind w:left="1697" w:right="0" w:hanging="420"/>
        <w:jc w:val="left"/>
        <w:rPr>
          <w:sz w:val="21"/>
        </w:rPr>
      </w:pPr>
      <w:r>
        <w:rPr>
          <w:sz w:val="21"/>
        </w:rPr>
        <w:t>您有</w:t>
      </w:r>
      <w:r>
        <w:rPr>
          <w:spacing w:val="-3"/>
          <w:sz w:val="21"/>
        </w:rPr>
        <w:t>退</w:t>
      </w:r>
      <w:r>
        <w:rPr>
          <w:sz w:val="21"/>
        </w:rPr>
        <w:t>保</w:t>
      </w:r>
      <w:r>
        <w:rPr>
          <w:spacing w:val="-3"/>
          <w:sz w:val="21"/>
        </w:rPr>
        <w:t>的</w:t>
      </w:r>
      <w:r>
        <w:rPr>
          <w:sz w:val="21"/>
        </w:rPr>
        <w:t>权利</w:t>
        <w:tab/>
        <w:t>6.1</w:t>
      </w:r>
    </w:p>
    <w:p>
      <w:pPr>
        <w:tabs>
          <w:tab w:pos="1315" w:val="left" w:leader="none"/>
        </w:tabs>
        <w:spacing w:before="22"/>
        <w:ind w:left="30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697" w:val="left" w:leader="none"/>
          <w:tab w:pos="1698" w:val="left" w:leader="none"/>
          <w:tab w:pos="9999" w:val="right" w:leader="dot"/>
        </w:tabs>
        <w:spacing w:line="240" w:lineRule="auto" w:before="26" w:after="0"/>
        <w:ind w:left="1697" w:right="0" w:hanging="420"/>
        <w:jc w:val="left"/>
        <w:rPr>
          <w:sz w:val="21"/>
        </w:rPr>
      </w:pPr>
      <w:r>
        <w:rPr>
          <w:sz w:val="21"/>
        </w:rPr>
        <w:t>本附</w:t>
      </w:r>
      <w:r>
        <w:rPr>
          <w:spacing w:val="-3"/>
          <w:sz w:val="21"/>
        </w:rPr>
        <w:t>加</w:t>
      </w:r>
      <w:r>
        <w:rPr>
          <w:sz w:val="21"/>
        </w:rPr>
        <w:t>合</w:t>
      </w:r>
      <w:r>
        <w:rPr>
          <w:spacing w:val="-3"/>
          <w:sz w:val="21"/>
        </w:rPr>
        <w:t>同</w:t>
      </w:r>
      <w:r>
        <w:rPr>
          <w:sz w:val="21"/>
        </w:rPr>
        <w:t>提</w:t>
      </w:r>
      <w:r>
        <w:rPr>
          <w:spacing w:val="-3"/>
          <w:sz w:val="21"/>
        </w:rPr>
        <w:t>供</w:t>
      </w:r>
      <w:r>
        <w:rPr>
          <w:sz w:val="21"/>
        </w:rPr>
        <w:t>的</w:t>
      </w:r>
      <w:r>
        <w:rPr>
          <w:spacing w:val="-3"/>
          <w:sz w:val="21"/>
        </w:rPr>
        <w:t>重</w:t>
      </w:r>
      <w:r>
        <w:rPr>
          <w:sz w:val="21"/>
        </w:rPr>
        <w:t>大</w:t>
      </w:r>
      <w:r>
        <w:rPr>
          <w:spacing w:val="-3"/>
          <w:sz w:val="21"/>
        </w:rPr>
        <w:t>疾</w:t>
      </w:r>
      <w:r>
        <w:rPr>
          <w:sz w:val="21"/>
        </w:rPr>
        <w:t>病保</w:t>
      </w:r>
      <w:r>
        <w:rPr>
          <w:spacing w:val="-3"/>
          <w:sz w:val="21"/>
        </w:rPr>
        <w:t>障</w:t>
      </w:r>
      <w:r>
        <w:rPr>
          <w:sz w:val="21"/>
        </w:rPr>
        <w:t>、</w:t>
      </w:r>
      <w:r>
        <w:rPr>
          <w:spacing w:val="-3"/>
          <w:sz w:val="21"/>
        </w:rPr>
        <w:t>特</w:t>
      </w:r>
      <w:r>
        <w:rPr>
          <w:sz w:val="21"/>
        </w:rPr>
        <w:t>定</w:t>
      </w:r>
      <w:r>
        <w:rPr>
          <w:spacing w:val="-3"/>
          <w:sz w:val="21"/>
        </w:rPr>
        <w:t>疾</w:t>
      </w:r>
      <w:r>
        <w:rPr>
          <w:sz w:val="21"/>
        </w:rPr>
        <w:t>病</w:t>
      </w:r>
      <w:r>
        <w:rPr>
          <w:spacing w:val="-3"/>
          <w:sz w:val="21"/>
        </w:rPr>
        <w:t>保</w:t>
      </w:r>
      <w:r>
        <w:rPr>
          <w:sz w:val="21"/>
        </w:rPr>
        <w:t>障</w:t>
      </w:r>
      <w:r>
        <w:rPr>
          <w:spacing w:val="-3"/>
          <w:sz w:val="21"/>
        </w:rPr>
        <w:t>和</w:t>
      </w:r>
      <w:r>
        <w:rPr>
          <w:sz w:val="21"/>
        </w:rPr>
        <w:t>轻症</w:t>
      </w:r>
      <w:r>
        <w:rPr>
          <w:spacing w:val="-3"/>
          <w:sz w:val="21"/>
        </w:rPr>
        <w:t>疾</w:t>
      </w:r>
      <w:r>
        <w:rPr>
          <w:sz w:val="21"/>
        </w:rPr>
        <w:t>病</w:t>
      </w:r>
      <w:r>
        <w:rPr>
          <w:spacing w:val="-3"/>
          <w:sz w:val="21"/>
        </w:rPr>
        <w:t>保</w:t>
      </w:r>
      <w:r>
        <w:rPr>
          <w:sz w:val="21"/>
        </w:rPr>
        <w:t>障</w:t>
      </w:r>
      <w:r>
        <w:rPr>
          <w:spacing w:val="-3"/>
          <w:sz w:val="21"/>
        </w:rPr>
        <w:t>有</w:t>
      </w:r>
      <w:r>
        <w:rPr>
          <w:sz w:val="21"/>
        </w:rPr>
        <w:t>90</w:t>
      </w:r>
      <w:r>
        <w:rPr>
          <w:spacing w:val="-3"/>
          <w:sz w:val="21"/>
        </w:rPr>
        <w:t>日</w:t>
      </w:r>
      <w:r>
        <w:rPr>
          <w:sz w:val="21"/>
        </w:rPr>
        <w:t>的</w:t>
      </w:r>
      <w:r>
        <w:rPr>
          <w:spacing w:val="-3"/>
          <w:sz w:val="21"/>
        </w:rPr>
        <w:t>等</w:t>
      </w:r>
      <w:r>
        <w:rPr>
          <w:sz w:val="21"/>
        </w:rPr>
        <w:t>待期</w:t>
        <w:tab/>
        <w:t>2.3</w:t>
      </w:r>
    </w:p>
    <w:p>
      <w:pPr>
        <w:pStyle w:val="ListParagraph"/>
        <w:numPr>
          <w:ilvl w:val="0"/>
          <w:numId w:val="1"/>
        </w:numPr>
        <w:tabs>
          <w:tab w:pos="1697" w:val="left" w:leader="none"/>
          <w:tab w:pos="1698" w:val="left" w:leader="none"/>
          <w:tab w:pos="9997" w:val="right" w:leader="dot"/>
        </w:tabs>
        <w:spacing w:line="240" w:lineRule="auto" w:before="22" w:after="0"/>
        <w:ind w:left="1697" w:right="0" w:hanging="419"/>
        <w:jc w:val="left"/>
        <w:rPr>
          <w:sz w:val="21"/>
        </w:rPr>
      </w:pPr>
      <w:r>
        <w:rPr>
          <w:sz w:val="21"/>
        </w:rPr>
        <w:t>有些</w:t>
      </w:r>
      <w:r>
        <w:rPr>
          <w:spacing w:val="-3"/>
          <w:sz w:val="21"/>
        </w:rPr>
        <w:t>情</w:t>
      </w:r>
      <w:r>
        <w:rPr>
          <w:sz w:val="21"/>
        </w:rPr>
        <w:t>况</w:t>
      </w:r>
      <w:r>
        <w:rPr>
          <w:spacing w:val="-3"/>
          <w:sz w:val="21"/>
        </w:rPr>
        <w:t>本</w:t>
      </w:r>
      <w:r>
        <w:rPr>
          <w:sz w:val="21"/>
        </w:rPr>
        <w:t>公</w:t>
      </w:r>
      <w:r>
        <w:rPr>
          <w:spacing w:val="-3"/>
          <w:sz w:val="21"/>
        </w:rPr>
        <w:t>司</w:t>
      </w:r>
      <w:r>
        <w:rPr>
          <w:sz w:val="21"/>
        </w:rPr>
        <w:t>不</w:t>
      </w:r>
      <w:r>
        <w:rPr>
          <w:spacing w:val="-3"/>
          <w:sz w:val="21"/>
        </w:rPr>
        <w:t>承</w:t>
      </w:r>
      <w:r>
        <w:rPr>
          <w:sz w:val="21"/>
        </w:rPr>
        <w:t>担</w:t>
      </w:r>
      <w:r>
        <w:rPr>
          <w:spacing w:val="-3"/>
          <w:sz w:val="21"/>
        </w:rPr>
        <w:t>保</w:t>
      </w:r>
      <w:r>
        <w:rPr>
          <w:sz w:val="21"/>
        </w:rPr>
        <w:t>险责</w:t>
      </w:r>
      <w:r>
        <w:rPr>
          <w:spacing w:val="-3"/>
          <w:sz w:val="21"/>
        </w:rPr>
        <w:t>任</w:t>
      </w:r>
      <w:r>
        <w:rPr>
          <w:sz w:val="21"/>
        </w:rPr>
        <w:t>，</w:t>
      </w:r>
      <w:r>
        <w:rPr>
          <w:spacing w:val="-3"/>
          <w:sz w:val="21"/>
        </w:rPr>
        <w:t>请</w:t>
      </w:r>
      <w:r>
        <w:rPr>
          <w:sz w:val="21"/>
        </w:rPr>
        <w:t>您</w:t>
      </w:r>
      <w:r>
        <w:rPr>
          <w:spacing w:val="-3"/>
          <w:sz w:val="21"/>
        </w:rPr>
        <w:t>仔</w:t>
      </w:r>
      <w:r>
        <w:rPr>
          <w:sz w:val="21"/>
        </w:rPr>
        <w:t>细</w:t>
      </w:r>
      <w:r>
        <w:rPr>
          <w:spacing w:val="-3"/>
          <w:sz w:val="21"/>
        </w:rPr>
        <w:t>阅</w:t>
      </w:r>
      <w:r>
        <w:rPr>
          <w:sz w:val="21"/>
        </w:rPr>
        <w:t>读</w:t>
      </w:r>
      <w:r>
        <w:rPr>
          <w:spacing w:val="-3"/>
          <w:sz w:val="21"/>
        </w:rPr>
        <w:t>责</w:t>
      </w:r>
      <w:r>
        <w:rPr>
          <w:sz w:val="21"/>
        </w:rPr>
        <w:t>任免</w:t>
      </w:r>
      <w:r>
        <w:rPr>
          <w:spacing w:val="-3"/>
          <w:sz w:val="21"/>
        </w:rPr>
        <w:t>除</w:t>
      </w:r>
      <w:r>
        <w:rPr>
          <w:sz w:val="21"/>
        </w:rPr>
        <w:t>条款</w:t>
        <w:tab/>
        <w:t>2.5</w:t>
      </w:r>
    </w:p>
    <w:p>
      <w:pPr>
        <w:pStyle w:val="ListParagraph"/>
        <w:numPr>
          <w:ilvl w:val="0"/>
          <w:numId w:val="1"/>
        </w:numPr>
        <w:tabs>
          <w:tab w:pos="1697" w:val="left" w:leader="none"/>
          <w:tab w:pos="1698" w:val="left" w:leader="none"/>
          <w:tab w:pos="9992" w:val="right" w:leader="dot"/>
        </w:tabs>
        <w:spacing w:line="240" w:lineRule="auto" w:before="22" w:after="0"/>
        <w:ind w:left="1697" w:right="0" w:hanging="41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6.1</w:t>
      </w:r>
    </w:p>
    <w:p>
      <w:pPr>
        <w:pStyle w:val="ListParagraph"/>
        <w:numPr>
          <w:ilvl w:val="0"/>
          <w:numId w:val="1"/>
        </w:numPr>
        <w:tabs>
          <w:tab w:pos="1697" w:val="left" w:leader="none"/>
          <w:tab w:pos="1698" w:val="left" w:leader="none"/>
          <w:tab w:pos="9996" w:val="right" w:leader="dot"/>
        </w:tabs>
        <w:spacing w:line="240" w:lineRule="auto" w:before="22" w:after="0"/>
        <w:ind w:left="1697" w:right="0" w:hanging="420"/>
        <w:jc w:val="left"/>
        <w:rPr>
          <w:sz w:val="21"/>
        </w:rPr>
      </w:pPr>
      <w:r>
        <w:rPr>
          <w:sz w:val="21"/>
        </w:rPr>
        <w:t>主合</w:t>
      </w:r>
      <w:r>
        <w:rPr>
          <w:spacing w:val="-3"/>
          <w:sz w:val="21"/>
        </w:rPr>
        <w:t>同</w:t>
      </w:r>
      <w:r>
        <w:rPr>
          <w:sz w:val="21"/>
        </w:rPr>
        <w:t>的</w:t>
      </w:r>
      <w:r>
        <w:rPr>
          <w:spacing w:val="-3"/>
          <w:sz w:val="21"/>
        </w:rPr>
        <w:t>部</w:t>
      </w:r>
      <w:r>
        <w:rPr>
          <w:sz w:val="21"/>
        </w:rPr>
        <w:t>分</w:t>
      </w:r>
      <w:r>
        <w:rPr>
          <w:spacing w:val="-3"/>
          <w:sz w:val="21"/>
        </w:rPr>
        <w:t>条</w:t>
      </w:r>
      <w:r>
        <w:rPr>
          <w:sz w:val="21"/>
        </w:rPr>
        <w:t>款</w:t>
      </w:r>
      <w:r>
        <w:rPr>
          <w:spacing w:val="-3"/>
          <w:sz w:val="21"/>
        </w:rPr>
        <w:t>适</w:t>
      </w:r>
      <w:r>
        <w:rPr>
          <w:sz w:val="21"/>
        </w:rPr>
        <w:t>用</w:t>
      </w:r>
      <w:r>
        <w:rPr>
          <w:spacing w:val="-3"/>
          <w:sz w:val="21"/>
        </w:rPr>
        <w:t>于</w:t>
      </w:r>
      <w:r>
        <w:rPr>
          <w:sz w:val="21"/>
        </w:rPr>
        <w:t>本附</w:t>
      </w:r>
      <w:r>
        <w:rPr>
          <w:spacing w:val="-3"/>
          <w:sz w:val="21"/>
        </w:rPr>
        <w:t>加</w:t>
      </w:r>
      <w:r>
        <w:rPr>
          <w:sz w:val="21"/>
        </w:rPr>
        <w:t>合</w:t>
      </w:r>
      <w:r>
        <w:rPr>
          <w:spacing w:val="-3"/>
          <w:sz w:val="21"/>
        </w:rPr>
        <w:t>同</w:t>
      </w:r>
      <w:r>
        <w:rPr>
          <w:sz w:val="21"/>
        </w:rPr>
        <w:t>，</w:t>
      </w:r>
      <w:r>
        <w:rPr>
          <w:spacing w:val="-3"/>
          <w:sz w:val="21"/>
        </w:rPr>
        <w:t>请</w:t>
      </w:r>
      <w:r>
        <w:rPr>
          <w:sz w:val="21"/>
        </w:rPr>
        <w:t>您</w:t>
      </w:r>
      <w:r>
        <w:rPr>
          <w:spacing w:val="-3"/>
          <w:sz w:val="21"/>
        </w:rPr>
        <w:t>仔</w:t>
      </w:r>
      <w:r>
        <w:rPr>
          <w:sz w:val="21"/>
        </w:rPr>
        <w:t>细</w:t>
      </w:r>
      <w:r>
        <w:rPr>
          <w:spacing w:val="-3"/>
          <w:sz w:val="21"/>
        </w:rPr>
        <w:t>阅</w:t>
      </w:r>
      <w:r>
        <w:rPr>
          <w:sz w:val="21"/>
        </w:rPr>
        <w:t>读</w:t>
        <w:tab/>
        <w:t>7.2</w:t>
      </w:r>
    </w:p>
    <w:p>
      <w:pPr>
        <w:pStyle w:val="ListParagraph"/>
        <w:numPr>
          <w:ilvl w:val="0"/>
          <w:numId w:val="1"/>
        </w:numPr>
        <w:tabs>
          <w:tab w:pos="1697" w:val="left" w:leader="none"/>
          <w:tab w:pos="1698" w:val="left" w:leader="none"/>
          <w:tab w:pos="9789" w:val="right" w:leader="dot"/>
        </w:tabs>
        <w:spacing w:line="240" w:lineRule="auto" w:before="22" w:after="0"/>
        <w:ind w:left="1697"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8</w:t>
      </w:r>
    </w:p>
    <w:p>
      <w:pPr>
        <w:pStyle w:val="ListParagraph"/>
        <w:numPr>
          <w:ilvl w:val="0"/>
          <w:numId w:val="1"/>
        </w:numPr>
        <w:tabs>
          <w:tab w:pos="1697" w:val="left" w:leader="none"/>
          <w:tab w:pos="1698" w:val="left" w:leader="none"/>
        </w:tabs>
        <w:spacing w:line="240" w:lineRule="auto" w:before="22" w:after="0"/>
        <w:ind w:left="1697" w:right="0" w:hanging="420"/>
        <w:jc w:val="left"/>
        <w:rPr>
          <w:sz w:val="21"/>
        </w:rPr>
      </w:pPr>
      <w:r>
        <w:rPr>
          <w:spacing w:val="-3"/>
          <w:sz w:val="21"/>
        </w:rPr>
        <w:t>本公司对保障范围内的重大疾病做了定义，请您仔细阅读.......................附录一</w:t>
      </w:r>
    </w:p>
    <w:p>
      <w:pPr>
        <w:pStyle w:val="ListParagraph"/>
        <w:numPr>
          <w:ilvl w:val="0"/>
          <w:numId w:val="1"/>
        </w:numPr>
        <w:tabs>
          <w:tab w:pos="1697" w:val="left" w:leader="none"/>
          <w:tab w:pos="1698" w:val="left" w:leader="none"/>
        </w:tabs>
        <w:spacing w:line="240" w:lineRule="auto" w:before="22" w:after="0"/>
        <w:ind w:left="1697" w:right="0" w:hanging="420"/>
        <w:jc w:val="left"/>
        <w:rPr>
          <w:sz w:val="21"/>
        </w:rPr>
      </w:pPr>
      <w:r>
        <w:rPr>
          <w:spacing w:val="-3"/>
          <w:sz w:val="21"/>
        </w:rPr>
        <w:t>本公司对保障范围内的特定疾病做了定义，请您仔细阅读.......................附录二</w:t>
      </w:r>
    </w:p>
    <w:p>
      <w:pPr>
        <w:pStyle w:val="ListParagraph"/>
        <w:numPr>
          <w:ilvl w:val="0"/>
          <w:numId w:val="1"/>
        </w:numPr>
        <w:tabs>
          <w:tab w:pos="1697" w:val="left" w:leader="none"/>
          <w:tab w:pos="1698" w:val="left" w:leader="none"/>
        </w:tabs>
        <w:spacing w:line="240" w:lineRule="auto" w:before="22" w:after="0"/>
        <w:ind w:left="1697" w:right="0" w:hanging="420"/>
        <w:jc w:val="left"/>
        <w:rPr>
          <w:sz w:val="21"/>
        </w:rPr>
      </w:pPr>
      <w:r>
        <w:rPr>
          <w:spacing w:val="-3"/>
          <w:sz w:val="21"/>
        </w:rPr>
        <w:t>本公司对保障范围内的轻症疾病做了定义，请您仔细阅读.......................附录三</w:t>
      </w:r>
    </w:p>
    <w:p>
      <w:pPr>
        <w:tabs>
          <w:tab w:pos="1315" w:val="left" w:leader="none"/>
        </w:tabs>
        <w:spacing w:before="22"/>
        <w:ind w:left="305"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315" w:val="left" w:leader="none"/>
        </w:tabs>
        <w:spacing w:before="25"/>
        <w:ind w:left="305" w:right="0" w:firstLine="0"/>
        <w:jc w:val="left"/>
        <w:rPr>
          <w:b/>
          <w:sz w:val="21"/>
        </w:rPr>
      </w:pPr>
      <w:r>
        <w:rPr/>
        <w:pict>
          <v:rect style="position:absolute;margin-left:77.150002pt;margin-top:24.607691pt;width:459.6pt;height:311.95pt;mso-position-horizontal-relative:page;mso-position-vertical-relative:paragraph;z-index:-73432" filled="false" stroked="true" strokeweight=".75pt" strokecolor="#000000">
            <v:stroke dashstyle="dot"/>
            <w10:wrap type="none"/>
          </v:rect>
        </w:pict>
      </w: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500" w:bottom="280" w:left="880" w:right="800"/>
        </w:sectPr>
      </w:pPr>
    </w:p>
    <w:p>
      <w:pPr>
        <w:spacing w:line="341" w:lineRule="exact" w:before="30"/>
        <w:ind w:left="1119" w:right="0" w:firstLine="0"/>
        <w:jc w:val="left"/>
        <w:rPr>
          <w:rFonts w:ascii="Microsoft JhengHei" w:eastAsia="Microsoft JhengHei" w:hint="eastAsia"/>
          <w:b/>
          <w:sz w:val="21"/>
        </w:rPr>
      </w:pPr>
      <w:r>
        <w:rPr>
          <w:rFonts w:ascii="Microsoft JhengHei" w:eastAsia="Microsoft JhengHei" w:hint="eastAsia"/>
          <w:b/>
          <w:w w:val="95"/>
          <w:sz w:val="21"/>
        </w:rPr>
        <w:t>1．您与本公司订立的合同</w:t>
      </w:r>
    </w:p>
    <w:p>
      <w:pPr>
        <w:pStyle w:val="BodyText"/>
        <w:spacing w:line="204" w:lineRule="exact"/>
        <w:ind w:left="1330"/>
      </w:pPr>
      <w:r>
        <w:rPr/>
        <w:t>1.1 合同构成</w:t>
      </w:r>
    </w:p>
    <w:p>
      <w:pPr>
        <w:spacing w:line="320" w:lineRule="exact" w:before="0"/>
        <w:ind w:left="1119" w:right="0" w:firstLine="0"/>
        <w:jc w:val="left"/>
        <w:rPr>
          <w:rFonts w:ascii="Microsoft JhengHei" w:eastAsia="Microsoft JhengHei" w:hint="eastAsia"/>
          <w:b/>
          <w:sz w:val="21"/>
        </w:rPr>
      </w:pPr>
      <w:r>
        <w:rPr>
          <w:rFonts w:ascii="Microsoft JhengHei" w:eastAsia="Microsoft JhengHei" w:hint="eastAsia"/>
          <w:b/>
          <w:w w:val="95"/>
          <w:sz w:val="21"/>
        </w:rPr>
        <w:t>2．本公司提供的保障</w:t>
      </w:r>
    </w:p>
    <w:p>
      <w:pPr>
        <w:spacing w:line="342" w:lineRule="exact" w:before="28"/>
        <w:ind w:left="370" w:right="0" w:firstLine="0"/>
        <w:jc w:val="left"/>
        <w:rPr>
          <w:rFonts w:ascii="Microsoft JhengHei" w:eastAsia="Microsoft JhengHei" w:hint="eastAsia"/>
          <w:b/>
          <w:sz w:val="21"/>
        </w:rPr>
      </w:pPr>
      <w:r>
        <w:rPr/>
        <w:br w:type="column"/>
      </w:r>
      <w:r>
        <w:rPr>
          <w:rFonts w:ascii="Microsoft JhengHei" w:eastAsia="Microsoft JhengHei" w:hint="eastAsia"/>
          <w:b/>
          <w:w w:val="95"/>
          <w:sz w:val="21"/>
        </w:rPr>
        <w:t>8．释义</w:t>
      </w:r>
    </w:p>
    <w:p>
      <w:pPr>
        <w:pStyle w:val="ListParagraph"/>
        <w:numPr>
          <w:ilvl w:val="1"/>
          <w:numId w:val="2"/>
        </w:numPr>
        <w:tabs>
          <w:tab w:pos="1004" w:val="left" w:leader="none"/>
        </w:tabs>
        <w:spacing w:line="239" w:lineRule="exact" w:before="0" w:after="0"/>
        <w:ind w:left="1003" w:right="0" w:hanging="422"/>
        <w:jc w:val="left"/>
        <w:rPr>
          <w:sz w:val="21"/>
        </w:rPr>
      </w:pPr>
      <w:r>
        <w:rPr>
          <w:spacing w:val="-3"/>
          <w:sz w:val="21"/>
        </w:rPr>
        <w:t>意外伤害事故</w:t>
      </w:r>
    </w:p>
    <w:p>
      <w:pPr>
        <w:pStyle w:val="ListParagraph"/>
        <w:numPr>
          <w:ilvl w:val="1"/>
          <w:numId w:val="2"/>
        </w:numPr>
        <w:tabs>
          <w:tab w:pos="1004" w:val="left" w:leader="none"/>
        </w:tabs>
        <w:spacing w:line="262" w:lineRule="exact" w:before="0" w:after="0"/>
        <w:ind w:left="1003" w:right="0" w:hanging="422"/>
        <w:jc w:val="left"/>
        <w:rPr>
          <w:sz w:val="21"/>
        </w:rPr>
      </w:pPr>
      <w:r>
        <w:rPr>
          <w:spacing w:val="-3"/>
          <w:sz w:val="21"/>
        </w:rPr>
        <w:t>医院</w:t>
      </w:r>
    </w:p>
    <w:p>
      <w:pPr>
        <w:spacing w:after="0" w:line="262" w:lineRule="exact"/>
        <w:jc w:val="left"/>
        <w:rPr>
          <w:sz w:val="21"/>
        </w:rPr>
        <w:sectPr>
          <w:type w:val="continuous"/>
          <w:pgSz w:w="11910" w:h="16840"/>
          <w:pgMar w:top="500" w:bottom="280" w:left="880" w:right="800"/>
          <w:cols w:num="2" w:equalWidth="0">
            <w:col w:w="3546" w:space="40"/>
            <w:col w:w="6644"/>
          </w:cols>
        </w:sectPr>
      </w:pPr>
    </w:p>
    <w:tbl>
      <w:tblPr>
        <w:tblW w:w="0" w:type="auto"/>
        <w:jc w:val="left"/>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1"/>
        <w:gridCol w:w="787"/>
        <w:gridCol w:w="1972"/>
      </w:tblGrid>
      <w:tr>
        <w:trPr>
          <w:trHeight w:val="230" w:hRule="atLeast"/>
        </w:trPr>
        <w:tc>
          <w:tcPr>
            <w:tcW w:w="2731" w:type="dxa"/>
          </w:tcPr>
          <w:p>
            <w:pPr>
              <w:pStyle w:val="TableParagraph"/>
              <w:spacing w:line="210" w:lineRule="exact"/>
              <w:ind w:left="261"/>
              <w:rPr>
                <w:sz w:val="21"/>
              </w:rPr>
            </w:pPr>
            <w:r>
              <w:rPr>
                <w:sz w:val="21"/>
              </w:rPr>
              <w:t>2.1 基本保险金额</w:t>
            </w:r>
          </w:p>
        </w:tc>
        <w:tc>
          <w:tcPr>
            <w:tcW w:w="787" w:type="dxa"/>
          </w:tcPr>
          <w:p>
            <w:pPr>
              <w:pStyle w:val="TableParagraph"/>
              <w:spacing w:line="210" w:lineRule="exact"/>
              <w:ind w:left="367"/>
              <w:rPr>
                <w:sz w:val="21"/>
              </w:rPr>
            </w:pPr>
            <w:r>
              <w:rPr>
                <w:sz w:val="21"/>
              </w:rPr>
              <w:t>8.3</w:t>
            </w:r>
          </w:p>
        </w:tc>
        <w:tc>
          <w:tcPr>
            <w:tcW w:w="1972" w:type="dxa"/>
          </w:tcPr>
          <w:p>
            <w:pPr>
              <w:pStyle w:val="TableParagraph"/>
              <w:spacing w:line="210" w:lineRule="exact"/>
              <w:ind w:left="2"/>
              <w:rPr>
                <w:sz w:val="21"/>
              </w:rPr>
            </w:pPr>
            <w:r>
              <w:rPr>
                <w:sz w:val="21"/>
              </w:rPr>
              <w:t>专科医生</w:t>
            </w:r>
          </w:p>
        </w:tc>
      </w:tr>
      <w:tr>
        <w:trPr>
          <w:trHeight w:val="249" w:hRule="atLeast"/>
        </w:trPr>
        <w:tc>
          <w:tcPr>
            <w:tcW w:w="2731" w:type="dxa"/>
          </w:tcPr>
          <w:p>
            <w:pPr>
              <w:pStyle w:val="TableParagraph"/>
              <w:spacing w:line="230" w:lineRule="exact"/>
              <w:ind w:left="261"/>
              <w:rPr>
                <w:sz w:val="21"/>
              </w:rPr>
            </w:pPr>
            <w:r>
              <w:rPr>
                <w:sz w:val="21"/>
              </w:rPr>
              <w:t>2.2 保险期间</w:t>
            </w:r>
          </w:p>
        </w:tc>
        <w:tc>
          <w:tcPr>
            <w:tcW w:w="787" w:type="dxa"/>
          </w:tcPr>
          <w:p>
            <w:pPr>
              <w:pStyle w:val="TableParagraph"/>
              <w:spacing w:line="230" w:lineRule="exact"/>
              <w:ind w:left="367"/>
              <w:rPr>
                <w:sz w:val="21"/>
              </w:rPr>
            </w:pPr>
            <w:r>
              <w:rPr>
                <w:sz w:val="21"/>
              </w:rPr>
              <w:t>8.4</w:t>
            </w:r>
          </w:p>
        </w:tc>
        <w:tc>
          <w:tcPr>
            <w:tcW w:w="1972" w:type="dxa"/>
          </w:tcPr>
          <w:p>
            <w:pPr>
              <w:pStyle w:val="TableParagraph"/>
              <w:spacing w:line="230" w:lineRule="exact"/>
              <w:ind w:left="2"/>
              <w:rPr>
                <w:sz w:val="21"/>
              </w:rPr>
            </w:pPr>
            <w:r>
              <w:rPr>
                <w:sz w:val="21"/>
              </w:rPr>
              <w:t>初次确诊</w:t>
            </w:r>
          </w:p>
        </w:tc>
      </w:tr>
      <w:tr>
        <w:trPr>
          <w:trHeight w:val="250" w:hRule="atLeast"/>
        </w:trPr>
        <w:tc>
          <w:tcPr>
            <w:tcW w:w="2731" w:type="dxa"/>
          </w:tcPr>
          <w:p>
            <w:pPr>
              <w:pStyle w:val="TableParagraph"/>
              <w:spacing w:line="231" w:lineRule="exact"/>
              <w:ind w:left="261"/>
              <w:rPr>
                <w:sz w:val="21"/>
              </w:rPr>
            </w:pPr>
            <w:r>
              <w:rPr>
                <w:sz w:val="21"/>
              </w:rPr>
              <w:t>2.3 等待期</w:t>
            </w:r>
          </w:p>
        </w:tc>
        <w:tc>
          <w:tcPr>
            <w:tcW w:w="787" w:type="dxa"/>
          </w:tcPr>
          <w:p>
            <w:pPr>
              <w:pStyle w:val="TableParagraph"/>
              <w:spacing w:line="230" w:lineRule="exact"/>
              <w:ind w:left="367"/>
              <w:rPr>
                <w:sz w:val="21"/>
              </w:rPr>
            </w:pPr>
            <w:r>
              <w:rPr>
                <w:sz w:val="21"/>
              </w:rPr>
              <w:t>8.5</w:t>
            </w:r>
          </w:p>
        </w:tc>
        <w:tc>
          <w:tcPr>
            <w:tcW w:w="1972" w:type="dxa"/>
          </w:tcPr>
          <w:p>
            <w:pPr>
              <w:pStyle w:val="TableParagraph"/>
              <w:spacing w:line="230" w:lineRule="exact"/>
              <w:ind w:left="2"/>
              <w:rPr>
                <w:sz w:val="21"/>
              </w:rPr>
            </w:pPr>
            <w:r>
              <w:rPr>
                <w:sz w:val="21"/>
              </w:rPr>
              <w:t>全残</w:t>
            </w:r>
          </w:p>
        </w:tc>
      </w:tr>
      <w:tr>
        <w:trPr>
          <w:trHeight w:val="250" w:hRule="atLeast"/>
        </w:trPr>
        <w:tc>
          <w:tcPr>
            <w:tcW w:w="2731" w:type="dxa"/>
          </w:tcPr>
          <w:p>
            <w:pPr>
              <w:pStyle w:val="TableParagraph"/>
              <w:spacing w:line="231" w:lineRule="exact"/>
              <w:ind w:left="261"/>
              <w:rPr>
                <w:sz w:val="21"/>
              </w:rPr>
            </w:pPr>
            <w:r>
              <w:rPr>
                <w:sz w:val="21"/>
              </w:rPr>
              <w:t>2.4 保险责任</w:t>
            </w:r>
          </w:p>
        </w:tc>
        <w:tc>
          <w:tcPr>
            <w:tcW w:w="787" w:type="dxa"/>
          </w:tcPr>
          <w:p>
            <w:pPr>
              <w:pStyle w:val="TableParagraph"/>
              <w:spacing w:line="229" w:lineRule="exact"/>
              <w:ind w:left="367"/>
              <w:rPr>
                <w:sz w:val="21"/>
              </w:rPr>
            </w:pPr>
            <w:r>
              <w:rPr>
                <w:sz w:val="21"/>
              </w:rPr>
              <w:t>8.6</w:t>
            </w:r>
          </w:p>
        </w:tc>
        <w:tc>
          <w:tcPr>
            <w:tcW w:w="1972" w:type="dxa"/>
          </w:tcPr>
          <w:p>
            <w:pPr>
              <w:pStyle w:val="TableParagraph"/>
              <w:spacing w:line="229" w:lineRule="exact"/>
              <w:ind w:left="4"/>
              <w:rPr>
                <w:sz w:val="21"/>
              </w:rPr>
            </w:pPr>
            <w:r>
              <w:rPr>
                <w:sz w:val="21"/>
              </w:rPr>
              <w:t>感染艾滋病病毒或患</w:t>
            </w:r>
          </w:p>
        </w:tc>
      </w:tr>
      <w:tr>
        <w:trPr>
          <w:trHeight w:val="249" w:hRule="atLeast"/>
        </w:trPr>
        <w:tc>
          <w:tcPr>
            <w:tcW w:w="2731" w:type="dxa"/>
          </w:tcPr>
          <w:p>
            <w:pPr>
              <w:pStyle w:val="TableParagraph"/>
              <w:spacing w:line="230" w:lineRule="exact"/>
              <w:ind w:left="261"/>
              <w:rPr>
                <w:sz w:val="21"/>
              </w:rPr>
            </w:pPr>
            <w:r>
              <w:rPr>
                <w:sz w:val="21"/>
              </w:rPr>
              <w:t>2.5 责任免除</w:t>
            </w:r>
          </w:p>
        </w:tc>
        <w:tc>
          <w:tcPr>
            <w:tcW w:w="787" w:type="dxa"/>
          </w:tcPr>
          <w:p>
            <w:pPr>
              <w:pStyle w:val="TableParagraph"/>
              <w:rPr>
                <w:rFonts w:ascii="Times New Roman"/>
                <w:sz w:val="18"/>
              </w:rPr>
            </w:pPr>
          </w:p>
        </w:tc>
        <w:tc>
          <w:tcPr>
            <w:tcW w:w="1972" w:type="dxa"/>
          </w:tcPr>
          <w:p>
            <w:pPr>
              <w:pStyle w:val="TableParagraph"/>
              <w:spacing w:line="230" w:lineRule="exact"/>
              <w:ind w:left="-1"/>
              <w:rPr>
                <w:sz w:val="21"/>
              </w:rPr>
            </w:pPr>
            <w:r>
              <w:rPr>
                <w:sz w:val="21"/>
              </w:rPr>
              <w:t>艾滋病</w:t>
            </w:r>
          </w:p>
        </w:tc>
      </w:tr>
      <w:tr>
        <w:trPr>
          <w:trHeight w:val="249" w:hRule="atLeast"/>
        </w:trPr>
        <w:tc>
          <w:tcPr>
            <w:tcW w:w="2731" w:type="dxa"/>
          </w:tcPr>
          <w:p>
            <w:pPr>
              <w:pStyle w:val="TableParagraph"/>
              <w:spacing w:line="230" w:lineRule="exact"/>
              <w:ind w:left="50"/>
              <w:rPr>
                <w:rFonts w:ascii="Microsoft JhengHei" w:eastAsia="Microsoft JhengHei" w:hint="eastAsia"/>
                <w:b/>
                <w:sz w:val="21"/>
              </w:rPr>
            </w:pPr>
            <w:r>
              <w:rPr>
                <w:rFonts w:ascii="Microsoft JhengHei" w:eastAsia="Microsoft JhengHei" w:hint="eastAsia"/>
                <w:b/>
                <w:w w:val="95"/>
                <w:sz w:val="21"/>
              </w:rPr>
              <w:t>3．保险金的申请</w:t>
            </w:r>
          </w:p>
        </w:tc>
        <w:tc>
          <w:tcPr>
            <w:tcW w:w="787" w:type="dxa"/>
          </w:tcPr>
          <w:p>
            <w:pPr>
              <w:pStyle w:val="TableParagraph"/>
              <w:spacing w:line="230" w:lineRule="exact"/>
              <w:ind w:left="366"/>
              <w:rPr>
                <w:sz w:val="21"/>
              </w:rPr>
            </w:pPr>
            <w:r>
              <w:rPr>
                <w:sz w:val="21"/>
              </w:rPr>
              <w:t>8.7</w:t>
            </w:r>
          </w:p>
        </w:tc>
        <w:tc>
          <w:tcPr>
            <w:tcW w:w="1972" w:type="dxa"/>
          </w:tcPr>
          <w:p>
            <w:pPr>
              <w:pStyle w:val="TableParagraph"/>
              <w:spacing w:line="230" w:lineRule="exact"/>
              <w:ind w:left="2"/>
              <w:rPr>
                <w:sz w:val="21"/>
              </w:rPr>
            </w:pPr>
            <w:r>
              <w:rPr>
                <w:sz w:val="21"/>
              </w:rPr>
              <w:t>遗传性疾病</w:t>
            </w:r>
          </w:p>
        </w:tc>
      </w:tr>
      <w:tr>
        <w:trPr>
          <w:trHeight w:val="249" w:hRule="atLeast"/>
        </w:trPr>
        <w:tc>
          <w:tcPr>
            <w:tcW w:w="2731" w:type="dxa"/>
          </w:tcPr>
          <w:p>
            <w:pPr>
              <w:pStyle w:val="TableParagraph"/>
              <w:spacing w:line="230" w:lineRule="exact"/>
              <w:ind w:left="261"/>
              <w:rPr>
                <w:sz w:val="21"/>
              </w:rPr>
            </w:pPr>
            <w:r>
              <w:rPr>
                <w:sz w:val="21"/>
              </w:rPr>
              <w:t>3.1 受益人</w:t>
            </w:r>
          </w:p>
        </w:tc>
        <w:tc>
          <w:tcPr>
            <w:tcW w:w="787" w:type="dxa"/>
          </w:tcPr>
          <w:p>
            <w:pPr>
              <w:pStyle w:val="TableParagraph"/>
              <w:spacing w:line="230" w:lineRule="exact"/>
              <w:ind w:left="366"/>
              <w:rPr>
                <w:sz w:val="21"/>
              </w:rPr>
            </w:pPr>
            <w:r>
              <w:rPr>
                <w:sz w:val="21"/>
              </w:rPr>
              <w:t>8.8</w:t>
            </w:r>
          </w:p>
        </w:tc>
        <w:tc>
          <w:tcPr>
            <w:tcW w:w="1972" w:type="dxa"/>
          </w:tcPr>
          <w:p>
            <w:pPr>
              <w:pStyle w:val="TableParagraph"/>
              <w:spacing w:line="230" w:lineRule="exact"/>
              <w:ind w:left="4"/>
              <w:rPr>
                <w:sz w:val="21"/>
              </w:rPr>
            </w:pPr>
            <w:r>
              <w:rPr>
                <w:sz w:val="21"/>
              </w:rPr>
              <w:t>先天性畸形、变形或</w:t>
            </w:r>
          </w:p>
        </w:tc>
      </w:tr>
      <w:tr>
        <w:trPr>
          <w:trHeight w:val="249" w:hRule="atLeast"/>
        </w:trPr>
        <w:tc>
          <w:tcPr>
            <w:tcW w:w="2731" w:type="dxa"/>
          </w:tcPr>
          <w:p>
            <w:pPr>
              <w:pStyle w:val="TableParagraph"/>
              <w:spacing w:line="230" w:lineRule="exact"/>
              <w:ind w:left="261"/>
              <w:rPr>
                <w:sz w:val="21"/>
              </w:rPr>
            </w:pPr>
            <w:r>
              <w:rPr>
                <w:sz w:val="21"/>
              </w:rPr>
              <w:t>3.2 保险金申请</w:t>
            </w:r>
          </w:p>
        </w:tc>
        <w:tc>
          <w:tcPr>
            <w:tcW w:w="787" w:type="dxa"/>
          </w:tcPr>
          <w:p>
            <w:pPr>
              <w:pStyle w:val="TableParagraph"/>
              <w:rPr>
                <w:rFonts w:ascii="Times New Roman"/>
                <w:sz w:val="18"/>
              </w:rPr>
            </w:pPr>
          </w:p>
        </w:tc>
        <w:tc>
          <w:tcPr>
            <w:tcW w:w="1972" w:type="dxa"/>
          </w:tcPr>
          <w:p>
            <w:pPr>
              <w:pStyle w:val="TableParagraph"/>
              <w:spacing w:line="230" w:lineRule="exact"/>
              <w:ind w:left="-1"/>
              <w:rPr>
                <w:sz w:val="21"/>
              </w:rPr>
            </w:pPr>
            <w:r>
              <w:rPr>
                <w:sz w:val="21"/>
              </w:rPr>
              <w:t>染色体异常</w:t>
            </w:r>
          </w:p>
        </w:tc>
      </w:tr>
      <w:tr>
        <w:trPr>
          <w:trHeight w:val="250" w:hRule="atLeast"/>
        </w:trPr>
        <w:tc>
          <w:tcPr>
            <w:tcW w:w="2731" w:type="dxa"/>
          </w:tcPr>
          <w:p>
            <w:pPr>
              <w:pStyle w:val="TableParagraph"/>
              <w:spacing w:line="231" w:lineRule="exact"/>
              <w:ind w:left="261"/>
              <w:rPr>
                <w:sz w:val="21"/>
              </w:rPr>
            </w:pPr>
            <w:r>
              <w:rPr>
                <w:sz w:val="21"/>
              </w:rPr>
              <w:t>3.3 诉讼时效</w:t>
            </w:r>
          </w:p>
        </w:tc>
        <w:tc>
          <w:tcPr>
            <w:tcW w:w="787" w:type="dxa"/>
          </w:tcPr>
          <w:p>
            <w:pPr>
              <w:pStyle w:val="TableParagraph"/>
              <w:spacing w:line="230" w:lineRule="exact"/>
              <w:ind w:left="366"/>
              <w:rPr>
                <w:sz w:val="21"/>
              </w:rPr>
            </w:pPr>
            <w:r>
              <w:rPr>
                <w:sz w:val="21"/>
              </w:rPr>
              <w:t>8.9</w:t>
            </w:r>
          </w:p>
        </w:tc>
        <w:tc>
          <w:tcPr>
            <w:tcW w:w="1972" w:type="dxa"/>
          </w:tcPr>
          <w:p>
            <w:pPr>
              <w:pStyle w:val="TableParagraph"/>
              <w:spacing w:line="230" w:lineRule="exact"/>
              <w:ind w:left="2"/>
              <w:rPr>
                <w:sz w:val="21"/>
              </w:rPr>
            </w:pPr>
            <w:r>
              <w:rPr>
                <w:sz w:val="21"/>
              </w:rPr>
              <w:t>非处方药</w:t>
            </w:r>
          </w:p>
        </w:tc>
      </w:tr>
      <w:tr>
        <w:trPr>
          <w:trHeight w:val="250" w:hRule="atLeast"/>
        </w:trPr>
        <w:tc>
          <w:tcPr>
            <w:tcW w:w="2731" w:type="dxa"/>
          </w:tcPr>
          <w:p>
            <w:pPr>
              <w:pStyle w:val="TableParagraph"/>
              <w:spacing w:line="231" w:lineRule="exact"/>
              <w:ind w:left="50"/>
              <w:rPr>
                <w:rFonts w:ascii="Microsoft JhengHei" w:eastAsia="Microsoft JhengHei" w:hint="eastAsia"/>
                <w:b/>
                <w:sz w:val="21"/>
              </w:rPr>
            </w:pPr>
            <w:r>
              <w:rPr>
                <w:rFonts w:ascii="Microsoft JhengHei" w:eastAsia="Microsoft JhengHei" w:hint="eastAsia"/>
                <w:b/>
                <w:w w:val="95"/>
                <w:sz w:val="21"/>
              </w:rPr>
              <w:t>4．现金价值权益</w:t>
            </w:r>
          </w:p>
        </w:tc>
        <w:tc>
          <w:tcPr>
            <w:tcW w:w="787" w:type="dxa"/>
          </w:tcPr>
          <w:p>
            <w:pPr>
              <w:pStyle w:val="TableParagraph"/>
              <w:spacing w:line="229" w:lineRule="exact"/>
              <w:ind w:right="-15"/>
              <w:jc w:val="right"/>
              <w:rPr>
                <w:sz w:val="21"/>
              </w:rPr>
            </w:pPr>
            <w:r>
              <w:rPr>
                <w:sz w:val="21"/>
              </w:rPr>
              <w:t>8.10</w:t>
            </w:r>
          </w:p>
        </w:tc>
        <w:tc>
          <w:tcPr>
            <w:tcW w:w="1972" w:type="dxa"/>
          </w:tcPr>
          <w:p>
            <w:pPr>
              <w:pStyle w:val="TableParagraph"/>
              <w:spacing w:line="229" w:lineRule="exact"/>
              <w:ind w:left="105"/>
              <w:rPr>
                <w:sz w:val="21"/>
              </w:rPr>
            </w:pPr>
            <w:r>
              <w:rPr>
                <w:sz w:val="21"/>
              </w:rPr>
              <w:t>猝死</w:t>
            </w:r>
          </w:p>
        </w:tc>
      </w:tr>
      <w:tr>
        <w:trPr>
          <w:trHeight w:val="249" w:hRule="atLeast"/>
        </w:trPr>
        <w:tc>
          <w:tcPr>
            <w:tcW w:w="2731" w:type="dxa"/>
          </w:tcPr>
          <w:p>
            <w:pPr>
              <w:pStyle w:val="TableParagraph"/>
              <w:spacing w:line="230" w:lineRule="exact"/>
              <w:ind w:left="261"/>
              <w:rPr>
                <w:sz w:val="21"/>
              </w:rPr>
            </w:pPr>
            <w:r>
              <w:rPr>
                <w:sz w:val="21"/>
              </w:rPr>
              <w:t>4.1 现金价值</w:t>
            </w:r>
          </w:p>
        </w:tc>
        <w:tc>
          <w:tcPr>
            <w:tcW w:w="787" w:type="dxa"/>
          </w:tcPr>
          <w:p>
            <w:pPr>
              <w:pStyle w:val="TableParagraph"/>
              <w:spacing w:line="230" w:lineRule="exact"/>
              <w:ind w:right="-15"/>
              <w:jc w:val="right"/>
              <w:rPr>
                <w:sz w:val="21"/>
              </w:rPr>
            </w:pPr>
            <w:r>
              <w:rPr>
                <w:sz w:val="21"/>
              </w:rPr>
              <w:t>8.11</w:t>
            </w:r>
          </w:p>
        </w:tc>
        <w:tc>
          <w:tcPr>
            <w:tcW w:w="1972" w:type="dxa"/>
          </w:tcPr>
          <w:p>
            <w:pPr>
              <w:pStyle w:val="TableParagraph"/>
              <w:spacing w:line="230" w:lineRule="exact"/>
              <w:ind w:left="105"/>
              <w:rPr>
                <w:sz w:val="21"/>
              </w:rPr>
            </w:pPr>
            <w:r>
              <w:rPr>
                <w:sz w:val="21"/>
              </w:rPr>
              <w:t>潜水</w:t>
            </w:r>
          </w:p>
        </w:tc>
      </w:tr>
      <w:tr>
        <w:trPr>
          <w:trHeight w:val="249" w:hRule="atLeast"/>
        </w:trPr>
        <w:tc>
          <w:tcPr>
            <w:tcW w:w="2731" w:type="dxa"/>
          </w:tcPr>
          <w:p>
            <w:pPr>
              <w:pStyle w:val="TableParagraph"/>
              <w:spacing w:line="230" w:lineRule="exact"/>
              <w:ind w:left="50"/>
              <w:rPr>
                <w:rFonts w:ascii="Microsoft JhengHei" w:eastAsia="Microsoft JhengHei" w:hint="eastAsia"/>
                <w:b/>
                <w:sz w:val="21"/>
              </w:rPr>
            </w:pPr>
            <w:r>
              <w:rPr>
                <w:rFonts w:ascii="Microsoft JhengHei" w:eastAsia="Microsoft JhengHei" w:hint="eastAsia"/>
                <w:b/>
                <w:w w:val="95"/>
                <w:sz w:val="21"/>
              </w:rPr>
              <w:t>5．合同效力的中止及恢复</w:t>
            </w:r>
          </w:p>
        </w:tc>
        <w:tc>
          <w:tcPr>
            <w:tcW w:w="787" w:type="dxa"/>
          </w:tcPr>
          <w:p>
            <w:pPr>
              <w:pStyle w:val="TableParagraph"/>
              <w:spacing w:line="230" w:lineRule="exact"/>
              <w:ind w:right="-15"/>
              <w:jc w:val="right"/>
              <w:rPr>
                <w:sz w:val="21"/>
              </w:rPr>
            </w:pPr>
            <w:r>
              <w:rPr>
                <w:sz w:val="21"/>
              </w:rPr>
              <w:t>8.12</w:t>
            </w:r>
          </w:p>
        </w:tc>
        <w:tc>
          <w:tcPr>
            <w:tcW w:w="1972" w:type="dxa"/>
          </w:tcPr>
          <w:p>
            <w:pPr>
              <w:pStyle w:val="TableParagraph"/>
              <w:spacing w:line="230" w:lineRule="exact"/>
              <w:ind w:left="105"/>
              <w:rPr>
                <w:sz w:val="21"/>
              </w:rPr>
            </w:pPr>
            <w:r>
              <w:rPr>
                <w:sz w:val="21"/>
              </w:rPr>
              <w:t>攀岩</w:t>
            </w:r>
          </w:p>
        </w:tc>
      </w:tr>
      <w:tr>
        <w:trPr>
          <w:trHeight w:val="249" w:hRule="atLeast"/>
        </w:trPr>
        <w:tc>
          <w:tcPr>
            <w:tcW w:w="2731" w:type="dxa"/>
          </w:tcPr>
          <w:p>
            <w:pPr>
              <w:pStyle w:val="TableParagraph"/>
              <w:spacing w:line="230" w:lineRule="exact"/>
              <w:ind w:left="261"/>
              <w:rPr>
                <w:sz w:val="21"/>
              </w:rPr>
            </w:pPr>
            <w:r>
              <w:rPr>
                <w:sz w:val="21"/>
              </w:rPr>
              <w:t>5.1 效力中止</w:t>
            </w:r>
          </w:p>
        </w:tc>
        <w:tc>
          <w:tcPr>
            <w:tcW w:w="787" w:type="dxa"/>
          </w:tcPr>
          <w:p>
            <w:pPr>
              <w:pStyle w:val="TableParagraph"/>
              <w:spacing w:line="230" w:lineRule="exact"/>
              <w:ind w:right="-15"/>
              <w:jc w:val="right"/>
              <w:rPr>
                <w:sz w:val="21"/>
              </w:rPr>
            </w:pPr>
            <w:r>
              <w:rPr>
                <w:sz w:val="21"/>
              </w:rPr>
              <w:t>8.13</w:t>
            </w:r>
          </w:p>
        </w:tc>
        <w:tc>
          <w:tcPr>
            <w:tcW w:w="1972" w:type="dxa"/>
          </w:tcPr>
          <w:p>
            <w:pPr>
              <w:pStyle w:val="TableParagraph"/>
              <w:spacing w:line="230" w:lineRule="exact"/>
              <w:ind w:left="106"/>
              <w:rPr>
                <w:sz w:val="21"/>
              </w:rPr>
            </w:pPr>
            <w:r>
              <w:rPr>
                <w:sz w:val="21"/>
              </w:rPr>
              <w:t>探险</w:t>
            </w:r>
          </w:p>
        </w:tc>
      </w:tr>
      <w:tr>
        <w:trPr>
          <w:trHeight w:val="249" w:hRule="atLeast"/>
        </w:trPr>
        <w:tc>
          <w:tcPr>
            <w:tcW w:w="2731" w:type="dxa"/>
          </w:tcPr>
          <w:p>
            <w:pPr>
              <w:pStyle w:val="TableParagraph"/>
              <w:spacing w:line="230" w:lineRule="exact"/>
              <w:ind w:left="261"/>
              <w:rPr>
                <w:sz w:val="21"/>
              </w:rPr>
            </w:pPr>
            <w:r>
              <w:rPr>
                <w:sz w:val="21"/>
              </w:rPr>
              <w:t>5.2 效力恢复</w:t>
            </w:r>
          </w:p>
        </w:tc>
        <w:tc>
          <w:tcPr>
            <w:tcW w:w="787" w:type="dxa"/>
          </w:tcPr>
          <w:p>
            <w:pPr>
              <w:pStyle w:val="TableParagraph"/>
              <w:spacing w:line="230" w:lineRule="exact"/>
              <w:ind w:right="-15"/>
              <w:jc w:val="right"/>
              <w:rPr>
                <w:sz w:val="21"/>
              </w:rPr>
            </w:pPr>
            <w:r>
              <w:rPr>
                <w:sz w:val="21"/>
              </w:rPr>
              <w:t>8.14</w:t>
            </w:r>
          </w:p>
        </w:tc>
        <w:tc>
          <w:tcPr>
            <w:tcW w:w="1972" w:type="dxa"/>
          </w:tcPr>
          <w:p>
            <w:pPr>
              <w:pStyle w:val="TableParagraph"/>
              <w:spacing w:line="230" w:lineRule="exact"/>
              <w:ind w:left="106"/>
              <w:rPr>
                <w:sz w:val="21"/>
              </w:rPr>
            </w:pPr>
            <w:r>
              <w:rPr>
                <w:sz w:val="21"/>
              </w:rPr>
              <w:t>武术比赛</w:t>
            </w:r>
          </w:p>
        </w:tc>
      </w:tr>
      <w:tr>
        <w:trPr>
          <w:trHeight w:val="250" w:hRule="atLeast"/>
        </w:trPr>
        <w:tc>
          <w:tcPr>
            <w:tcW w:w="2731" w:type="dxa"/>
          </w:tcPr>
          <w:p>
            <w:pPr>
              <w:pStyle w:val="TableParagraph"/>
              <w:spacing w:line="231" w:lineRule="exact"/>
              <w:ind w:left="50"/>
              <w:rPr>
                <w:rFonts w:ascii="Microsoft JhengHei" w:eastAsia="Microsoft JhengHei" w:hint="eastAsia"/>
                <w:b/>
                <w:sz w:val="21"/>
              </w:rPr>
            </w:pPr>
            <w:r>
              <w:rPr>
                <w:rFonts w:ascii="Microsoft JhengHei" w:eastAsia="Microsoft JhengHei" w:hint="eastAsia"/>
                <w:b/>
                <w:w w:val="95"/>
                <w:sz w:val="21"/>
              </w:rPr>
              <w:t>6．合同解除</w:t>
            </w:r>
          </w:p>
        </w:tc>
        <w:tc>
          <w:tcPr>
            <w:tcW w:w="787" w:type="dxa"/>
          </w:tcPr>
          <w:p>
            <w:pPr>
              <w:pStyle w:val="TableParagraph"/>
              <w:spacing w:line="230" w:lineRule="exact"/>
              <w:ind w:right="-15"/>
              <w:jc w:val="right"/>
              <w:rPr>
                <w:sz w:val="21"/>
              </w:rPr>
            </w:pPr>
            <w:r>
              <w:rPr>
                <w:sz w:val="21"/>
              </w:rPr>
              <w:t>8.15</w:t>
            </w:r>
          </w:p>
        </w:tc>
        <w:tc>
          <w:tcPr>
            <w:tcW w:w="1972" w:type="dxa"/>
          </w:tcPr>
          <w:p>
            <w:pPr>
              <w:pStyle w:val="TableParagraph"/>
              <w:spacing w:line="230" w:lineRule="exact"/>
              <w:ind w:left="106"/>
              <w:rPr>
                <w:sz w:val="21"/>
              </w:rPr>
            </w:pPr>
            <w:r>
              <w:rPr>
                <w:sz w:val="21"/>
              </w:rPr>
              <w:t>特技表演</w:t>
            </w:r>
          </w:p>
        </w:tc>
      </w:tr>
      <w:tr>
        <w:trPr>
          <w:trHeight w:val="250" w:hRule="atLeast"/>
        </w:trPr>
        <w:tc>
          <w:tcPr>
            <w:tcW w:w="2731" w:type="dxa"/>
          </w:tcPr>
          <w:p>
            <w:pPr>
              <w:pStyle w:val="TableParagraph"/>
              <w:spacing w:line="231" w:lineRule="exact"/>
              <w:ind w:left="261"/>
              <w:rPr>
                <w:sz w:val="21"/>
              </w:rPr>
            </w:pPr>
            <w:r>
              <w:rPr>
                <w:sz w:val="21"/>
              </w:rPr>
              <w:t>6.1 您解除合同的手续及</w:t>
            </w:r>
          </w:p>
        </w:tc>
        <w:tc>
          <w:tcPr>
            <w:tcW w:w="787" w:type="dxa"/>
          </w:tcPr>
          <w:p>
            <w:pPr>
              <w:pStyle w:val="TableParagraph"/>
              <w:spacing w:line="229" w:lineRule="exact"/>
              <w:ind w:right="-15"/>
              <w:jc w:val="right"/>
              <w:rPr>
                <w:sz w:val="21"/>
              </w:rPr>
            </w:pPr>
            <w:r>
              <w:rPr>
                <w:sz w:val="21"/>
              </w:rPr>
              <w:t>8.16</w:t>
            </w:r>
          </w:p>
        </w:tc>
        <w:tc>
          <w:tcPr>
            <w:tcW w:w="1972" w:type="dxa"/>
          </w:tcPr>
          <w:p>
            <w:pPr>
              <w:pStyle w:val="TableParagraph"/>
              <w:spacing w:line="229" w:lineRule="exact"/>
              <w:ind w:left="106"/>
              <w:rPr>
                <w:sz w:val="21"/>
              </w:rPr>
            </w:pPr>
            <w:r>
              <w:rPr>
                <w:sz w:val="21"/>
              </w:rPr>
              <w:t>适用主合同释义</w:t>
            </w:r>
          </w:p>
        </w:tc>
      </w:tr>
      <w:tr>
        <w:trPr>
          <w:trHeight w:val="249" w:hRule="atLeast"/>
        </w:trPr>
        <w:tc>
          <w:tcPr>
            <w:tcW w:w="2731" w:type="dxa"/>
          </w:tcPr>
          <w:p>
            <w:pPr>
              <w:pStyle w:val="TableParagraph"/>
              <w:spacing w:line="230" w:lineRule="exact"/>
              <w:ind w:left="681"/>
              <w:rPr>
                <w:sz w:val="21"/>
              </w:rPr>
            </w:pPr>
            <w:r>
              <w:rPr>
                <w:sz w:val="21"/>
              </w:rPr>
              <w:t>风险</w:t>
            </w:r>
          </w:p>
        </w:tc>
        <w:tc>
          <w:tcPr>
            <w:tcW w:w="787" w:type="dxa"/>
          </w:tcPr>
          <w:p>
            <w:pPr>
              <w:pStyle w:val="TableParagraph"/>
              <w:spacing w:line="230" w:lineRule="exact"/>
              <w:ind w:right="-15"/>
              <w:jc w:val="right"/>
              <w:rPr>
                <w:rFonts w:ascii="Microsoft JhengHei" w:eastAsia="Microsoft JhengHei" w:hint="eastAsia"/>
                <w:b/>
                <w:sz w:val="21"/>
              </w:rPr>
            </w:pPr>
            <w:r>
              <w:rPr>
                <w:rFonts w:ascii="Microsoft JhengHei" w:eastAsia="Microsoft JhengHei" w:hint="eastAsia"/>
                <w:b/>
                <w:sz w:val="21"/>
              </w:rPr>
              <w:t>附录一</w:t>
            </w:r>
          </w:p>
        </w:tc>
        <w:tc>
          <w:tcPr>
            <w:tcW w:w="1972" w:type="dxa"/>
          </w:tcPr>
          <w:p>
            <w:pPr>
              <w:pStyle w:val="TableParagraph"/>
              <w:spacing w:line="230" w:lineRule="exact"/>
              <w:ind w:left="107"/>
              <w:rPr>
                <w:rFonts w:ascii="Microsoft JhengHei" w:eastAsia="Microsoft JhengHei" w:hint="eastAsia"/>
                <w:b/>
                <w:sz w:val="21"/>
              </w:rPr>
            </w:pPr>
            <w:r>
              <w:rPr>
                <w:rFonts w:ascii="Microsoft JhengHei" w:eastAsia="Microsoft JhengHei" w:hint="eastAsia"/>
                <w:b/>
                <w:sz w:val="21"/>
              </w:rPr>
              <w:t>重大疾病列表</w:t>
            </w:r>
          </w:p>
        </w:tc>
      </w:tr>
      <w:tr>
        <w:trPr>
          <w:trHeight w:val="248" w:hRule="atLeast"/>
        </w:trPr>
        <w:tc>
          <w:tcPr>
            <w:tcW w:w="2731" w:type="dxa"/>
          </w:tcPr>
          <w:p>
            <w:pPr>
              <w:pStyle w:val="TableParagraph"/>
              <w:spacing w:line="228" w:lineRule="exact"/>
              <w:ind w:left="50"/>
              <w:rPr>
                <w:rFonts w:ascii="Microsoft JhengHei" w:eastAsia="Microsoft JhengHei" w:hint="eastAsia"/>
                <w:b/>
                <w:sz w:val="21"/>
              </w:rPr>
            </w:pPr>
            <w:r>
              <w:rPr>
                <w:rFonts w:ascii="Microsoft JhengHei" w:eastAsia="Microsoft JhengHei" w:hint="eastAsia"/>
                <w:b/>
                <w:w w:val="95"/>
                <w:sz w:val="21"/>
              </w:rPr>
              <w:t>7．其他需要关注的事项</w:t>
            </w:r>
          </w:p>
        </w:tc>
        <w:tc>
          <w:tcPr>
            <w:tcW w:w="787" w:type="dxa"/>
          </w:tcPr>
          <w:p>
            <w:pPr>
              <w:pStyle w:val="TableParagraph"/>
              <w:spacing w:line="228" w:lineRule="exact"/>
              <w:ind w:right="-15"/>
              <w:jc w:val="right"/>
              <w:rPr>
                <w:rFonts w:ascii="Microsoft JhengHei" w:eastAsia="Microsoft JhengHei" w:hint="eastAsia"/>
                <w:b/>
                <w:sz w:val="21"/>
              </w:rPr>
            </w:pPr>
            <w:r>
              <w:rPr>
                <w:rFonts w:ascii="Microsoft JhengHei" w:eastAsia="Microsoft JhengHei" w:hint="eastAsia"/>
                <w:b/>
                <w:sz w:val="21"/>
              </w:rPr>
              <w:t>附录二</w:t>
            </w:r>
          </w:p>
        </w:tc>
        <w:tc>
          <w:tcPr>
            <w:tcW w:w="1972" w:type="dxa"/>
          </w:tcPr>
          <w:p>
            <w:pPr>
              <w:pStyle w:val="TableParagraph"/>
              <w:spacing w:line="228" w:lineRule="exact"/>
              <w:ind w:left="107"/>
              <w:rPr>
                <w:rFonts w:ascii="Microsoft JhengHei" w:eastAsia="Microsoft JhengHei" w:hint="eastAsia"/>
                <w:b/>
                <w:sz w:val="21"/>
              </w:rPr>
            </w:pPr>
            <w:r>
              <w:rPr>
                <w:rFonts w:ascii="Microsoft JhengHei" w:eastAsia="Microsoft JhengHei" w:hint="eastAsia"/>
                <w:b/>
                <w:sz w:val="21"/>
              </w:rPr>
              <w:t>特定疾病列表</w:t>
            </w:r>
          </w:p>
        </w:tc>
      </w:tr>
      <w:tr>
        <w:trPr>
          <w:trHeight w:val="249" w:hRule="atLeast"/>
        </w:trPr>
        <w:tc>
          <w:tcPr>
            <w:tcW w:w="2731" w:type="dxa"/>
          </w:tcPr>
          <w:p>
            <w:pPr>
              <w:pStyle w:val="TableParagraph"/>
              <w:spacing w:line="230" w:lineRule="exact"/>
              <w:ind w:left="261"/>
              <w:rPr>
                <w:sz w:val="21"/>
              </w:rPr>
            </w:pPr>
            <w:r>
              <w:rPr>
                <w:sz w:val="21"/>
              </w:rPr>
              <w:t>7.1 效力终止</w:t>
            </w:r>
          </w:p>
        </w:tc>
        <w:tc>
          <w:tcPr>
            <w:tcW w:w="787" w:type="dxa"/>
          </w:tcPr>
          <w:p>
            <w:pPr>
              <w:pStyle w:val="TableParagraph"/>
              <w:spacing w:line="230" w:lineRule="exact"/>
              <w:ind w:right="-15"/>
              <w:jc w:val="right"/>
              <w:rPr>
                <w:rFonts w:ascii="Microsoft JhengHei" w:eastAsia="Microsoft JhengHei" w:hint="eastAsia"/>
                <w:b/>
                <w:sz w:val="21"/>
              </w:rPr>
            </w:pPr>
            <w:r>
              <w:rPr>
                <w:rFonts w:ascii="Microsoft JhengHei" w:eastAsia="Microsoft JhengHei" w:hint="eastAsia"/>
                <w:b/>
                <w:sz w:val="21"/>
              </w:rPr>
              <w:t>附录三</w:t>
            </w:r>
          </w:p>
        </w:tc>
        <w:tc>
          <w:tcPr>
            <w:tcW w:w="1972" w:type="dxa"/>
          </w:tcPr>
          <w:p>
            <w:pPr>
              <w:pStyle w:val="TableParagraph"/>
              <w:spacing w:line="230" w:lineRule="exact"/>
              <w:ind w:left="107"/>
              <w:rPr>
                <w:rFonts w:ascii="Microsoft JhengHei" w:eastAsia="Microsoft JhengHei" w:hint="eastAsia"/>
                <w:b/>
                <w:sz w:val="21"/>
              </w:rPr>
            </w:pPr>
            <w:r>
              <w:rPr>
                <w:rFonts w:ascii="Microsoft JhengHei" w:eastAsia="Microsoft JhengHei" w:hint="eastAsia"/>
                <w:b/>
                <w:sz w:val="21"/>
              </w:rPr>
              <w:t>轻症疾病列表</w:t>
            </w:r>
          </w:p>
        </w:tc>
      </w:tr>
      <w:tr>
        <w:trPr>
          <w:trHeight w:val="229" w:hRule="atLeast"/>
        </w:trPr>
        <w:tc>
          <w:tcPr>
            <w:tcW w:w="2731" w:type="dxa"/>
          </w:tcPr>
          <w:p>
            <w:pPr>
              <w:pStyle w:val="TableParagraph"/>
              <w:spacing w:line="209" w:lineRule="exact"/>
              <w:ind w:left="261"/>
              <w:rPr>
                <w:sz w:val="21"/>
              </w:rPr>
            </w:pPr>
            <w:r>
              <w:rPr>
                <w:sz w:val="21"/>
              </w:rPr>
              <w:t>7.2 适用主合同条款</w:t>
            </w:r>
          </w:p>
        </w:tc>
        <w:tc>
          <w:tcPr>
            <w:tcW w:w="787" w:type="dxa"/>
          </w:tcPr>
          <w:p>
            <w:pPr>
              <w:pStyle w:val="TableParagraph"/>
              <w:rPr>
                <w:rFonts w:ascii="Times New Roman"/>
                <w:sz w:val="16"/>
              </w:rPr>
            </w:pPr>
          </w:p>
        </w:tc>
        <w:tc>
          <w:tcPr>
            <w:tcW w:w="1972" w:type="dxa"/>
          </w:tcPr>
          <w:p>
            <w:pPr>
              <w:pStyle w:val="TableParagraph"/>
              <w:rPr>
                <w:rFonts w:ascii="Times New Roman"/>
                <w:sz w:val="16"/>
              </w:rPr>
            </w:pPr>
          </w:p>
        </w:tc>
      </w:tr>
    </w:tbl>
    <w:p>
      <w:pPr>
        <w:spacing w:after="0"/>
        <w:rPr>
          <w:rFonts w:ascii="Times New Roman"/>
          <w:sz w:val="16"/>
        </w:rPr>
        <w:sectPr>
          <w:type w:val="continuous"/>
          <w:pgSz w:w="11910" w:h="16840"/>
          <w:pgMar w:top="500" w:bottom="280" w:left="880" w:right="800"/>
        </w:sectPr>
      </w:pPr>
    </w:p>
    <w:p>
      <w:pPr>
        <w:spacing w:line="478" w:lineRule="exact" w:before="0"/>
        <w:ind w:left="3229" w:right="0" w:firstLine="0"/>
        <w:jc w:val="left"/>
        <w:rPr>
          <w:rFonts w:ascii="微软雅黑" w:eastAsia="微软雅黑" w:hint="eastAsia"/>
          <w:b/>
          <w:sz w:val="32"/>
        </w:rPr>
      </w:pPr>
      <w:bookmarkStart w:name="交银康联人寿保险有限公司" w:id="2"/>
      <w:bookmarkEnd w:id="2"/>
      <w:r>
        <w:rPr/>
      </w:r>
      <w:r>
        <w:rPr>
          <w:rFonts w:ascii="微软雅黑" w:eastAsia="微软雅黑" w:hint="eastAsia"/>
          <w:b/>
          <w:sz w:val="32"/>
        </w:rPr>
        <w:t>交银康联人寿保险有限公司</w:t>
      </w:r>
    </w:p>
    <w:p>
      <w:pPr>
        <w:spacing w:before="71"/>
        <w:ind w:left="1004" w:right="0" w:firstLine="0"/>
        <w:jc w:val="left"/>
        <w:rPr>
          <w:rFonts w:ascii="微软雅黑" w:eastAsia="微软雅黑" w:hint="eastAsia"/>
          <w:b/>
          <w:sz w:val="24"/>
        </w:rPr>
      </w:pPr>
      <w:bookmarkStart w:name="交银康联附加交银宝贝优选重大疾病保险条款（2017年5月）" w:id="3"/>
      <w:bookmarkEnd w:id="3"/>
      <w:r>
        <w:rPr/>
      </w:r>
      <w:r>
        <w:rPr>
          <w:rFonts w:ascii="微软雅黑" w:eastAsia="微软雅黑" w:hint="eastAsia"/>
          <w:b/>
          <w:sz w:val="32"/>
        </w:rPr>
        <w:t>交银康联附加交银宝贝优选重大疾病保险条款</w:t>
      </w:r>
      <w:r>
        <w:rPr>
          <w:rFonts w:ascii="微软雅黑" w:eastAsia="微软雅黑" w:hint="eastAsia"/>
          <w:b/>
          <w:sz w:val="32"/>
          <w:vertAlign w:val="subscript"/>
        </w:rPr>
        <w:t>（</w:t>
      </w:r>
      <w:r>
        <w:rPr>
          <w:rFonts w:ascii="微软雅黑" w:eastAsia="微软雅黑" w:hint="eastAsia"/>
          <w:b/>
          <w:sz w:val="32"/>
          <w:vertAlign w:val="baseline"/>
        </w:rPr>
      </w:r>
      <w:r>
        <w:rPr>
          <w:rFonts w:ascii="微软雅黑" w:eastAsia="微软雅黑" w:hint="eastAsia"/>
          <w:b/>
          <w:sz w:val="24"/>
          <w:vertAlign w:val="baseline"/>
        </w:rPr>
        <w:t>2017 年 5 月）</w:t>
      </w:r>
    </w:p>
    <w:p>
      <w:pPr>
        <w:pStyle w:val="BodyText"/>
        <w:spacing w:line="273" w:lineRule="auto" w:before="107"/>
        <w:ind w:left="220" w:right="313" w:hanging="1"/>
      </w:pPr>
      <w:r>
        <w:rPr>
          <w:spacing w:val="-7"/>
          <w:w w:val="100"/>
        </w:rPr>
        <w:t>在本条款中，“您”指投保人，“本公司”指交银康联人寿保险有限公司，“本附加合同”指您与本公司之</w:t>
      </w:r>
      <w:r>
        <w:rPr>
          <w:spacing w:val="-3"/>
        </w:rPr>
        <w:t>间订立的“交银康联附加交银宝贝优选重大疾病保险合同”。</w:t>
      </w:r>
    </w:p>
    <w:p>
      <w:pPr>
        <w:pStyle w:val="BodyText"/>
        <w:rPr>
          <w:sz w:val="20"/>
        </w:rPr>
      </w:pPr>
    </w:p>
    <w:p>
      <w:pPr>
        <w:pStyle w:val="BodyText"/>
        <w:spacing w:before="1"/>
        <w:rPr>
          <w:sz w:val="2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8"/>
        <w:gridCol w:w="1865"/>
        <w:gridCol w:w="7428"/>
      </w:tblGrid>
      <w:tr>
        <w:trPr>
          <w:trHeight w:val="522" w:hRule="atLeast"/>
        </w:trPr>
        <w:tc>
          <w:tcPr>
            <w:tcW w:w="798"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293" w:type="dxa"/>
            <w:gridSpan w:val="2"/>
            <w:tcBorders>
              <w:bottom w:val="single" w:sz="8" w:space="0" w:color="000000"/>
            </w:tcBorders>
          </w:tcPr>
          <w:p>
            <w:pPr>
              <w:pStyle w:val="TableParagraph"/>
              <w:spacing w:before="14"/>
              <w:ind w:left="161"/>
              <w:rPr>
                <w:b/>
                <w:sz w:val="24"/>
              </w:rPr>
            </w:pPr>
            <w:r>
              <w:rPr>
                <w:b/>
                <w:w w:val="95"/>
                <w:sz w:val="24"/>
              </w:rPr>
              <w:t>您与本公司订立的合同</w:t>
            </w:r>
          </w:p>
        </w:tc>
      </w:tr>
      <w:tr>
        <w:trPr>
          <w:trHeight w:val="1281" w:hRule="atLeast"/>
        </w:trPr>
        <w:tc>
          <w:tcPr>
            <w:tcW w:w="798" w:type="dxa"/>
            <w:tcBorders>
              <w:top w:val="single" w:sz="8" w:space="0" w:color="000000"/>
            </w:tcBorders>
          </w:tcPr>
          <w:p>
            <w:pPr>
              <w:pStyle w:val="TableParagraph"/>
              <w:spacing w:before="10"/>
              <w:rPr>
                <w:sz w:val="14"/>
              </w:rPr>
            </w:pPr>
          </w:p>
          <w:p>
            <w:pPr>
              <w:pStyle w:val="TableParagraph"/>
              <w:ind w:left="107"/>
              <w:rPr>
                <w:b/>
                <w:sz w:val="21"/>
              </w:rPr>
            </w:pPr>
            <w:r>
              <w:rPr>
                <w:b/>
                <w:sz w:val="21"/>
              </w:rPr>
              <w:t>1.1</w:t>
            </w:r>
          </w:p>
        </w:tc>
        <w:tc>
          <w:tcPr>
            <w:tcW w:w="1865" w:type="dxa"/>
            <w:tcBorders>
              <w:top w:val="single" w:sz="8" w:space="0" w:color="000000"/>
            </w:tcBorders>
          </w:tcPr>
          <w:p>
            <w:pPr>
              <w:pStyle w:val="TableParagraph"/>
              <w:spacing w:before="10"/>
              <w:rPr>
                <w:sz w:val="14"/>
              </w:rPr>
            </w:pPr>
          </w:p>
          <w:p>
            <w:pPr>
              <w:pStyle w:val="TableParagraph"/>
              <w:ind w:left="161"/>
              <w:rPr>
                <w:b/>
                <w:sz w:val="21"/>
              </w:rPr>
            </w:pPr>
            <w:r>
              <w:rPr>
                <w:b/>
                <w:sz w:val="21"/>
              </w:rPr>
              <w:t>合同构成</w:t>
            </w:r>
          </w:p>
        </w:tc>
        <w:tc>
          <w:tcPr>
            <w:tcW w:w="7428" w:type="dxa"/>
            <w:tcBorders>
              <w:top w:val="single" w:sz="8" w:space="0" w:color="000000"/>
            </w:tcBorders>
          </w:tcPr>
          <w:p>
            <w:pPr>
              <w:pStyle w:val="TableParagraph"/>
              <w:spacing w:before="10"/>
              <w:rPr>
                <w:sz w:val="14"/>
              </w:rPr>
            </w:pPr>
          </w:p>
          <w:p>
            <w:pPr>
              <w:pStyle w:val="TableParagraph"/>
              <w:spacing w:line="273" w:lineRule="auto"/>
              <w:ind w:left="228"/>
              <w:rPr>
                <w:sz w:val="21"/>
              </w:rPr>
            </w:pPr>
            <w:r>
              <w:rPr>
                <w:spacing w:val="-5"/>
                <w:sz w:val="21"/>
              </w:rPr>
              <w:t>本附加合同是您与本公司约定保险权利义务关系的协议，包括本保险条款、保</w:t>
            </w:r>
            <w:r>
              <w:rPr>
                <w:spacing w:val="-16"/>
                <w:sz w:val="21"/>
              </w:rPr>
              <w:t>险单或其他保险凭证、投保单、与保险合同有关的投保文件、合法有效的声明、</w:t>
            </w:r>
            <w:r>
              <w:rPr>
                <w:spacing w:val="-7"/>
                <w:sz w:val="21"/>
              </w:rPr>
              <w:t>批注、批单及其他您与本公司共同认可的书面协议。</w:t>
            </w:r>
          </w:p>
        </w:tc>
      </w:tr>
      <w:tr>
        <w:trPr>
          <w:trHeight w:val="711" w:hRule="atLeast"/>
        </w:trPr>
        <w:tc>
          <w:tcPr>
            <w:tcW w:w="798" w:type="dxa"/>
            <w:tcBorders>
              <w:bottom w:val="single" w:sz="8" w:space="0" w:color="000000"/>
            </w:tcBorders>
          </w:tcPr>
          <w:p>
            <w:pPr>
              <w:pStyle w:val="TableParagraph"/>
              <w:spacing w:before="152"/>
              <w:ind w:left="107"/>
              <w:rPr>
                <w:rFonts w:ascii="Arial" w:hAnsi="Arial"/>
                <w:b/>
                <w:sz w:val="40"/>
              </w:rPr>
            </w:pPr>
            <w:r>
              <w:rPr>
                <w:rFonts w:ascii="Arial" w:hAnsi="Arial"/>
                <w:b/>
                <w:w w:val="119"/>
                <w:sz w:val="40"/>
              </w:rPr>
              <w:t></w:t>
            </w:r>
          </w:p>
        </w:tc>
        <w:tc>
          <w:tcPr>
            <w:tcW w:w="9293" w:type="dxa"/>
            <w:gridSpan w:val="2"/>
            <w:tcBorders>
              <w:bottom w:val="single" w:sz="8" w:space="0" w:color="000000"/>
            </w:tcBorders>
          </w:tcPr>
          <w:p>
            <w:pPr>
              <w:pStyle w:val="TableParagraph"/>
              <w:spacing w:before="204"/>
              <w:ind w:left="161"/>
              <w:rPr>
                <w:b/>
                <w:sz w:val="24"/>
              </w:rPr>
            </w:pPr>
            <w:r>
              <w:rPr>
                <w:b/>
                <w:w w:val="95"/>
                <w:sz w:val="24"/>
              </w:rPr>
              <w:t>本公司提供的保障</w:t>
            </w:r>
          </w:p>
        </w:tc>
      </w:tr>
      <w:tr>
        <w:trPr>
          <w:trHeight w:val="1526" w:hRule="atLeast"/>
        </w:trPr>
        <w:tc>
          <w:tcPr>
            <w:tcW w:w="798" w:type="dxa"/>
            <w:tcBorders>
              <w:top w:val="single" w:sz="8" w:space="0" w:color="000000"/>
            </w:tcBorders>
          </w:tcPr>
          <w:p>
            <w:pPr>
              <w:pStyle w:val="TableParagraph"/>
              <w:spacing w:before="143"/>
              <w:ind w:left="107"/>
              <w:rPr>
                <w:b/>
                <w:sz w:val="21"/>
              </w:rPr>
            </w:pPr>
            <w:r>
              <w:rPr>
                <w:b/>
                <w:sz w:val="21"/>
              </w:rPr>
              <w:t>2.1</w:t>
            </w:r>
          </w:p>
        </w:tc>
        <w:tc>
          <w:tcPr>
            <w:tcW w:w="1865" w:type="dxa"/>
            <w:tcBorders>
              <w:top w:val="single" w:sz="8" w:space="0" w:color="000000"/>
            </w:tcBorders>
          </w:tcPr>
          <w:p>
            <w:pPr>
              <w:pStyle w:val="TableParagraph"/>
              <w:spacing w:before="143"/>
              <w:ind w:left="161"/>
              <w:rPr>
                <w:b/>
                <w:sz w:val="21"/>
              </w:rPr>
            </w:pPr>
            <w:r>
              <w:rPr>
                <w:b/>
                <w:sz w:val="21"/>
              </w:rPr>
              <w:t>基本保险金额</w:t>
            </w:r>
          </w:p>
        </w:tc>
        <w:tc>
          <w:tcPr>
            <w:tcW w:w="7428" w:type="dxa"/>
            <w:tcBorders>
              <w:top w:val="single" w:sz="8" w:space="0" w:color="000000"/>
            </w:tcBorders>
          </w:tcPr>
          <w:p>
            <w:pPr>
              <w:pStyle w:val="TableParagraph"/>
              <w:spacing w:line="273" w:lineRule="auto" w:before="143"/>
              <w:ind w:left="229" w:right="42" w:hanging="1"/>
              <w:rPr>
                <w:sz w:val="21"/>
              </w:rPr>
            </w:pPr>
            <w:r>
              <w:rPr>
                <w:sz w:val="21"/>
              </w:rPr>
              <w:t>本附加合同各项保险责任对应的基本保险金额由您在投保时与本公司约定，为本附加合同保险费的计算基础，并载明于保险单或批注上。</w:t>
            </w:r>
          </w:p>
          <w:p>
            <w:pPr>
              <w:pStyle w:val="TableParagraph"/>
              <w:spacing w:line="273" w:lineRule="auto" w:before="7"/>
              <w:ind w:left="229" w:right="43" w:hanging="1"/>
              <w:rPr>
                <w:sz w:val="21"/>
              </w:rPr>
            </w:pPr>
            <w:r>
              <w:rPr>
                <w:sz w:val="21"/>
              </w:rPr>
              <w:t>特定疾病保险金基本保险金额最高不超过重大疾病保险金基本保险金额；轻症疾病保险金基本保险金额最高不超过重大疾病保险金基本保险金额的 </w:t>
            </w:r>
            <w:r>
              <w:rPr>
                <w:rFonts w:ascii="Times New Roman" w:eastAsia="Times New Roman"/>
                <w:sz w:val="21"/>
              </w:rPr>
              <w:t>20%</w:t>
            </w:r>
            <w:r>
              <w:rPr>
                <w:sz w:val="21"/>
              </w:rPr>
              <w:t>。</w:t>
            </w:r>
          </w:p>
        </w:tc>
      </w:tr>
      <w:tr>
        <w:trPr>
          <w:trHeight w:val="839" w:hRule="atLeast"/>
        </w:trPr>
        <w:tc>
          <w:tcPr>
            <w:tcW w:w="798" w:type="dxa"/>
          </w:tcPr>
          <w:p>
            <w:pPr>
              <w:pStyle w:val="TableParagraph"/>
              <w:spacing w:before="92"/>
              <w:ind w:left="107"/>
              <w:rPr>
                <w:b/>
                <w:sz w:val="21"/>
              </w:rPr>
            </w:pPr>
            <w:r>
              <w:rPr>
                <w:b/>
                <w:sz w:val="21"/>
              </w:rPr>
              <w:t>2.2</w:t>
            </w:r>
          </w:p>
        </w:tc>
        <w:tc>
          <w:tcPr>
            <w:tcW w:w="1865" w:type="dxa"/>
          </w:tcPr>
          <w:p>
            <w:pPr>
              <w:pStyle w:val="TableParagraph"/>
              <w:spacing w:before="92"/>
              <w:ind w:left="161"/>
              <w:rPr>
                <w:b/>
                <w:sz w:val="21"/>
              </w:rPr>
            </w:pPr>
            <w:r>
              <w:rPr>
                <w:b/>
                <w:sz w:val="21"/>
              </w:rPr>
              <w:t>保险期间</w:t>
            </w:r>
          </w:p>
        </w:tc>
        <w:tc>
          <w:tcPr>
            <w:tcW w:w="7428" w:type="dxa"/>
          </w:tcPr>
          <w:p>
            <w:pPr>
              <w:pStyle w:val="TableParagraph"/>
              <w:spacing w:line="273" w:lineRule="auto" w:before="92"/>
              <w:ind w:left="228" w:right="157"/>
              <w:rPr>
                <w:sz w:val="21"/>
              </w:rPr>
            </w:pPr>
            <w:r>
              <w:rPr>
                <w:spacing w:val="-5"/>
                <w:sz w:val="21"/>
              </w:rPr>
              <w:t>本附加合同的保险期间自本附加合同生效日次日零时起至被保险人年满 </w:t>
            </w:r>
            <w:r>
              <w:rPr>
                <w:sz w:val="21"/>
              </w:rPr>
              <w:t>36 </w:t>
            </w:r>
            <w:r>
              <w:rPr>
                <w:b/>
                <w:sz w:val="21"/>
              </w:rPr>
              <w:t>周岁</w:t>
            </w:r>
            <w:r>
              <w:rPr>
                <w:sz w:val="21"/>
              </w:rPr>
              <w:t>（</w:t>
            </w:r>
            <w:r>
              <w:rPr>
                <w:spacing w:val="-3"/>
                <w:sz w:val="21"/>
              </w:rPr>
              <w:t>见主合同释义）后的首个</w:t>
            </w:r>
            <w:r>
              <w:rPr>
                <w:b/>
                <w:sz w:val="21"/>
              </w:rPr>
              <w:t>保险合同周年日</w:t>
            </w:r>
            <w:r>
              <w:rPr>
                <w:spacing w:val="-3"/>
                <w:sz w:val="21"/>
              </w:rPr>
              <w:t>（见主合同释义</w:t>
            </w:r>
            <w:r>
              <w:rPr>
                <w:sz w:val="21"/>
              </w:rPr>
              <w:t>）24</w:t>
            </w:r>
            <w:r>
              <w:rPr>
                <w:spacing w:val="-8"/>
                <w:sz w:val="21"/>
              </w:rPr>
              <w:t> 时止。</w:t>
            </w:r>
          </w:p>
        </w:tc>
      </w:tr>
      <w:tr>
        <w:trPr>
          <w:trHeight w:val="854" w:hRule="atLeast"/>
        </w:trPr>
        <w:tc>
          <w:tcPr>
            <w:tcW w:w="798" w:type="dxa"/>
          </w:tcPr>
          <w:p>
            <w:pPr>
              <w:pStyle w:val="TableParagraph"/>
              <w:spacing w:before="102"/>
              <w:ind w:left="107"/>
              <w:rPr>
                <w:b/>
                <w:sz w:val="21"/>
              </w:rPr>
            </w:pPr>
            <w:r>
              <w:rPr>
                <w:b/>
                <w:sz w:val="21"/>
              </w:rPr>
              <w:t>2.3</w:t>
            </w:r>
          </w:p>
        </w:tc>
        <w:tc>
          <w:tcPr>
            <w:tcW w:w="1865" w:type="dxa"/>
          </w:tcPr>
          <w:p>
            <w:pPr>
              <w:pStyle w:val="TableParagraph"/>
              <w:spacing w:before="102"/>
              <w:ind w:left="161"/>
              <w:rPr>
                <w:b/>
                <w:sz w:val="21"/>
              </w:rPr>
            </w:pPr>
            <w:r>
              <w:rPr>
                <w:b/>
                <w:sz w:val="21"/>
              </w:rPr>
              <w:t>等待期</w:t>
            </w:r>
          </w:p>
        </w:tc>
        <w:tc>
          <w:tcPr>
            <w:tcW w:w="7428" w:type="dxa"/>
          </w:tcPr>
          <w:p>
            <w:pPr>
              <w:pStyle w:val="TableParagraph"/>
              <w:spacing w:before="102"/>
              <w:ind w:left="228"/>
              <w:rPr>
                <w:rFonts w:ascii="Times New Roman" w:eastAsia="Times New Roman"/>
                <w:sz w:val="21"/>
              </w:rPr>
            </w:pPr>
            <w:r>
              <w:rPr>
                <w:spacing w:val="-6"/>
                <w:sz w:val="21"/>
              </w:rPr>
              <w:t>本附加合同的等待期为本附加合同生效日或最后复效日</w:t>
            </w:r>
            <w:r>
              <w:rPr>
                <w:sz w:val="21"/>
              </w:rPr>
              <w:t>（</w:t>
            </w:r>
            <w:r>
              <w:rPr>
                <w:spacing w:val="-3"/>
                <w:sz w:val="21"/>
              </w:rPr>
              <w:t>以较迟者为准</w:t>
            </w:r>
            <w:r>
              <w:rPr>
                <w:spacing w:val="-51"/>
                <w:sz w:val="21"/>
              </w:rPr>
              <w:t>）</w:t>
            </w:r>
            <w:r>
              <w:rPr>
                <w:spacing w:val="-8"/>
                <w:sz w:val="21"/>
              </w:rPr>
              <w:t>起 </w:t>
            </w:r>
            <w:r>
              <w:rPr>
                <w:rFonts w:ascii="Times New Roman" w:eastAsia="Times New Roman"/>
                <w:spacing w:val="-3"/>
                <w:sz w:val="21"/>
              </w:rPr>
              <w:t>90</w:t>
            </w:r>
          </w:p>
          <w:p>
            <w:pPr>
              <w:pStyle w:val="TableParagraph"/>
              <w:spacing w:before="20"/>
              <w:ind w:left="228"/>
              <w:rPr>
                <w:sz w:val="21"/>
              </w:rPr>
            </w:pPr>
            <w:r>
              <w:rPr>
                <w:sz w:val="21"/>
              </w:rPr>
              <w:t>日。</w:t>
            </w:r>
          </w:p>
        </w:tc>
      </w:tr>
      <w:tr>
        <w:trPr>
          <w:trHeight w:val="1498" w:hRule="atLeast"/>
        </w:trPr>
        <w:tc>
          <w:tcPr>
            <w:tcW w:w="798" w:type="dxa"/>
          </w:tcPr>
          <w:p>
            <w:pPr>
              <w:pStyle w:val="TableParagraph"/>
              <w:spacing w:before="100"/>
              <w:ind w:left="107"/>
              <w:rPr>
                <w:b/>
                <w:sz w:val="21"/>
              </w:rPr>
            </w:pPr>
            <w:r>
              <w:rPr>
                <w:b/>
                <w:sz w:val="21"/>
              </w:rPr>
              <w:t>2.4</w:t>
            </w:r>
          </w:p>
        </w:tc>
        <w:tc>
          <w:tcPr>
            <w:tcW w:w="1865" w:type="dxa"/>
          </w:tcPr>
          <w:p>
            <w:pPr>
              <w:pStyle w:val="TableParagraph"/>
              <w:spacing w:before="100"/>
              <w:ind w:left="161"/>
              <w:rPr>
                <w:b/>
                <w:sz w:val="21"/>
              </w:rPr>
            </w:pPr>
            <w:r>
              <w:rPr>
                <w:b/>
                <w:sz w:val="21"/>
              </w:rPr>
              <w:t>保险责任</w:t>
            </w:r>
          </w:p>
        </w:tc>
        <w:tc>
          <w:tcPr>
            <w:tcW w:w="7428" w:type="dxa"/>
          </w:tcPr>
          <w:p>
            <w:pPr>
              <w:pStyle w:val="TableParagraph"/>
              <w:spacing w:line="278" w:lineRule="auto" w:before="124"/>
              <w:ind w:left="229" w:right="46" w:hanging="6"/>
              <w:rPr>
                <w:sz w:val="21"/>
              </w:rPr>
            </w:pPr>
            <w:r>
              <w:rPr>
                <w:sz w:val="21"/>
              </w:rPr>
              <w:t>除重大疾病保险金责任和豁免保险费责任为必选保险责任外，您可与本公司约定选择投保下列一项或两项可选保险责任，并载明于保险单或批注上：</w:t>
            </w:r>
          </w:p>
          <w:p>
            <w:pPr>
              <w:pStyle w:val="TableParagraph"/>
              <w:spacing w:before="12"/>
              <w:ind w:left="228"/>
              <w:rPr>
                <w:sz w:val="21"/>
              </w:rPr>
            </w:pPr>
            <w:r>
              <w:rPr>
                <w:sz w:val="21"/>
              </w:rPr>
              <w:t>（1）特定疾病保险金责任；</w:t>
            </w:r>
          </w:p>
          <w:p>
            <w:pPr>
              <w:pStyle w:val="TableParagraph"/>
              <w:spacing w:before="20"/>
              <w:ind w:left="228"/>
              <w:rPr>
                <w:sz w:val="21"/>
              </w:rPr>
            </w:pPr>
            <w:r>
              <w:rPr>
                <w:sz w:val="21"/>
              </w:rPr>
              <w:t>（2）轻症疾病保险金责任。</w:t>
            </w:r>
          </w:p>
        </w:tc>
      </w:tr>
      <w:tr>
        <w:trPr>
          <w:trHeight w:val="854" w:hRule="atLeast"/>
        </w:trPr>
        <w:tc>
          <w:tcPr>
            <w:tcW w:w="798" w:type="dxa"/>
          </w:tcPr>
          <w:p>
            <w:pPr>
              <w:pStyle w:val="TableParagraph"/>
              <w:rPr>
                <w:rFonts w:ascii="Times New Roman"/>
                <w:sz w:val="20"/>
              </w:rPr>
            </w:pPr>
          </w:p>
        </w:tc>
        <w:tc>
          <w:tcPr>
            <w:tcW w:w="1865" w:type="dxa"/>
          </w:tcPr>
          <w:p>
            <w:pPr>
              <w:pStyle w:val="TableParagraph"/>
              <w:rPr>
                <w:rFonts w:ascii="Times New Roman"/>
                <w:sz w:val="20"/>
              </w:rPr>
            </w:pPr>
          </w:p>
        </w:tc>
        <w:tc>
          <w:tcPr>
            <w:tcW w:w="7428" w:type="dxa"/>
          </w:tcPr>
          <w:p>
            <w:pPr>
              <w:pStyle w:val="TableParagraph"/>
              <w:spacing w:line="273" w:lineRule="auto" w:before="99"/>
              <w:ind w:left="228" w:right="56"/>
              <w:rPr>
                <w:sz w:val="21"/>
              </w:rPr>
            </w:pPr>
            <w:r>
              <w:rPr>
                <w:sz w:val="21"/>
              </w:rPr>
              <w:t>在本附加合同保险期间内，且本附加合同有效的前提下，本公司承担下列保险责任：</w:t>
            </w:r>
          </w:p>
        </w:tc>
      </w:tr>
      <w:tr>
        <w:trPr>
          <w:trHeight w:val="2726" w:hRule="atLeast"/>
        </w:trPr>
        <w:tc>
          <w:tcPr>
            <w:tcW w:w="798" w:type="dxa"/>
          </w:tcPr>
          <w:p>
            <w:pPr>
              <w:pStyle w:val="TableParagraph"/>
              <w:spacing w:before="104"/>
              <w:ind w:left="107"/>
              <w:rPr>
                <w:b/>
                <w:sz w:val="21"/>
              </w:rPr>
            </w:pPr>
            <w:r>
              <w:rPr>
                <w:b/>
                <w:sz w:val="21"/>
              </w:rPr>
              <w:t>2.4.1</w:t>
            </w:r>
          </w:p>
        </w:tc>
        <w:tc>
          <w:tcPr>
            <w:tcW w:w="1865" w:type="dxa"/>
          </w:tcPr>
          <w:p>
            <w:pPr>
              <w:pStyle w:val="TableParagraph"/>
              <w:spacing w:before="104"/>
              <w:ind w:left="161"/>
              <w:rPr>
                <w:b/>
                <w:sz w:val="21"/>
              </w:rPr>
            </w:pPr>
            <w:r>
              <w:rPr>
                <w:b/>
                <w:sz w:val="21"/>
              </w:rPr>
              <w:t>重大疾病保险金</w:t>
            </w:r>
          </w:p>
        </w:tc>
        <w:tc>
          <w:tcPr>
            <w:tcW w:w="7428" w:type="dxa"/>
          </w:tcPr>
          <w:p>
            <w:pPr>
              <w:pStyle w:val="TableParagraph"/>
              <w:spacing w:line="273" w:lineRule="auto" w:before="104"/>
              <w:ind w:left="228" w:right="104"/>
              <w:jc w:val="both"/>
              <w:rPr>
                <w:sz w:val="21"/>
              </w:rPr>
            </w:pPr>
            <w:r>
              <w:rPr>
                <w:spacing w:val="-3"/>
                <w:sz w:val="21"/>
              </w:rPr>
              <w:t>如果被保险人于等待期内非因</w:t>
            </w:r>
            <w:r>
              <w:rPr>
                <w:b/>
                <w:spacing w:val="-3"/>
                <w:sz w:val="21"/>
              </w:rPr>
              <w:t>意外伤害事故</w:t>
            </w:r>
            <w:r>
              <w:rPr>
                <w:spacing w:val="-3"/>
                <w:sz w:val="21"/>
              </w:rPr>
              <w:t>（</w:t>
            </w:r>
            <w:r>
              <w:rPr>
                <w:spacing w:val="-2"/>
                <w:sz w:val="21"/>
              </w:rPr>
              <w:t>见释义</w:t>
            </w:r>
            <w:r>
              <w:rPr>
                <w:spacing w:val="-15"/>
                <w:sz w:val="21"/>
              </w:rPr>
              <w:t>）</w:t>
            </w:r>
            <w:r>
              <w:rPr>
                <w:spacing w:val="-3"/>
                <w:sz w:val="21"/>
              </w:rPr>
              <w:t>经</w:t>
            </w:r>
            <w:r>
              <w:rPr>
                <w:b/>
                <w:spacing w:val="-8"/>
                <w:sz w:val="21"/>
              </w:rPr>
              <w:t>医院</w:t>
            </w:r>
            <w:r>
              <w:rPr>
                <w:spacing w:val="-3"/>
                <w:sz w:val="21"/>
              </w:rPr>
              <w:t>（</w:t>
            </w:r>
            <w:r>
              <w:rPr>
                <w:spacing w:val="-2"/>
                <w:sz w:val="21"/>
              </w:rPr>
              <w:t>见释义</w:t>
            </w:r>
            <w:r>
              <w:rPr>
                <w:spacing w:val="-17"/>
                <w:sz w:val="21"/>
              </w:rPr>
              <w:t>）</w:t>
            </w:r>
            <w:r>
              <w:rPr>
                <w:spacing w:val="-3"/>
                <w:sz w:val="21"/>
              </w:rPr>
              <w:t>的</w:t>
            </w:r>
            <w:r>
              <w:rPr>
                <w:b/>
                <w:sz w:val="21"/>
              </w:rPr>
              <w:t>专</w:t>
            </w:r>
            <w:r>
              <w:rPr>
                <w:b/>
                <w:spacing w:val="-4"/>
                <w:sz w:val="21"/>
              </w:rPr>
              <w:t>科医生</w:t>
            </w:r>
            <w:r>
              <w:rPr>
                <w:sz w:val="21"/>
              </w:rPr>
              <w:t>（</w:t>
            </w:r>
            <w:r>
              <w:rPr>
                <w:spacing w:val="-2"/>
                <w:sz w:val="21"/>
              </w:rPr>
              <w:t>见释义</w:t>
            </w:r>
            <w:r>
              <w:rPr>
                <w:spacing w:val="-15"/>
                <w:sz w:val="21"/>
              </w:rPr>
              <w:t>）</w:t>
            </w:r>
            <w:r>
              <w:rPr>
                <w:b/>
                <w:spacing w:val="-4"/>
                <w:sz w:val="21"/>
              </w:rPr>
              <w:t>初次确诊</w:t>
            </w:r>
            <w:r>
              <w:rPr>
                <w:spacing w:val="-3"/>
                <w:sz w:val="21"/>
              </w:rPr>
              <w:t>（</w:t>
            </w:r>
            <w:r>
              <w:rPr>
                <w:spacing w:val="-2"/>
                <w:sz w:val="21"/>
              </w:rPr>
              <w:t>见释义</w:t>
            </w:r>
            <w:r>
              <w:rPr>
                <w:spacing w:val="-13"/>
                <w:sz w:val="21"/>
              </w:rPr>
              <w:t>）</w:t>
            </w:r>
            <w:r>
              <w:rPr>
                <w:spacing w:val="-4"/>
                <w:sz w:val="21"/>
              </w:rPr>
              <w:t>患上本附加合同重大疾病列表</w:t>
            </w:r>
            <w:r>
              <w:rPr>
                <w:spacing w:val="-3"/>
                <w:sz w:val="21"/>
              </w:rPr>
              <w:t>（详见附</w:t>
            </w:r>
            <w:r>
              <w:rPr>
                <w:sz w:val="21"/>
              </w:rPr>
              <w:t>录一</w:t>
            </w:r>
            <w:r>
              <w:rPr>
                <w:spacing w:val="-20"/>
                <w:sz w:val="21"/>
              </w:rPr>
              <w:t>）</w:t>
            </w:r>
            <w:r>
              <w:rPr>
                <w:spacing w:val="-5"/>
                <w:sz w:val="21"/>
              </w:rPr>
              <w:t>内所界定的任何一种重大疾病，本附加合同终止，本公司给付本附加合</w:t>
            </w:r>
            <w:r>
              <w:rPr>
                <w:spacing w:val="-4"/>
                <w:sz w:val="21"/>
              </w:rPr>
              <w:t>同的累计已交保险费。</w:t>
            </w:r>
          </w:p>
          <w:p>
            <w:pPr>
              <w:pStyle w:val="TableParagraph"/>
              <w:spacing w:line="273" w:lineRule="auto" w:before="7"/>
              <w:ind w:left="228" w:right="35"/>
              <w:rPr>
                <w:sz w:val="21"/>
              </w:rPr>
            </w:pPr>
            <w:r>
              <w:rPr>
                <w:sz w:val="21"/>
              </w:rPr>
              <w:t>如果被保险人因</w:t>
            </w:r>
            <w:r>
              <w:rPr>
                <w:b/>
                <w:sz w:val="21"/>
              </w:rPr>
              <w:t>意外伤害事故</w:t>
            </w:r>
            <w:r>
              <w:rPr>
                <w:sz w:val="21"/>
              </w:rPr>
              <w:t>或于等待期后经</w:t>
            </w:r>
            <w:r>
              <w:rPr>
                <w:b/>
                <w:sz w:val="21"/>
              </w:rPr>
              <w:t>医院</w:t>
            </w:r>
            <w:r>
              <w:rPr>
                <w:sz w:val="21"/>
              </w:rPr>
              <w:t>的</w:t>
            </w:r>
            <w:r>
              <w:rPr>
                <w:b/>
                <w:sz w:val="21"/>
              </w:rPr>
              <w:t>专科医生初次确诊</w:t>
            </w:r>
            <w:r>
              <w:rPr>
                <w:sz w:val="21"/>
              </w:rPr>
              <w:t>患上本附加合同重大疾病列表内所界定的任何一种重大疾病，本附加合同终止，本公司按照重大疾病保险金基本保险金额给付重大疾病保险金。</w:t>
            </w:r>
          </w:p>
          <w:p>
            <w:pPr>
              <w:pStyle w:val="TableParagraph"/>
              <w:spacing w:before="7"/>
              <w:ind w:left="228"/>
              <w:rPr>
                <w:rFonts w:ascii="黑体" w:eastAsia="黑体" w:hint="eastAsia"/>
                <w:sz w:val="21"/>
              </w:rPr>
            </w:pPr>
            <w:r>
              <w:rPr>
                <w:rFonts w:ascii="黑体" w:eastAsia="黑体" w:hint="eastAsia"/>
                <w:sz w:val="21"/>
              </w:rPr>
              <w:t>本附加合同的重大疾病保险金给付责任以一次为限。</w:t>
            </w:r>
          </w:p>
        </w:tc>
      </w:tr>
      <w:tr>
        <w:trPr>
          <w:trHeight w:val="998" w:hRule="atLeast"/>
        </w:trPr>
        <w:tc>
          <w:tcPr>
            <w:tcW w:w="798" w:type="dxa"/>
          </w:tcPr>
          <w:p>
            <w:pPr>
              <w:pStyle w:val="TableParagraph"/>
              <w:spacing w:before="99"/>
              <w:ind w:left="107"/>
              <w:rPr>
                <w:b/>
                <w:sz w:val="21"/>
              </w:rPr>
            </w:pPr>
            <w:r>
              <w:rPr>
                <w:b/>
                <w:sz w:val="21"/>
              </w:rPr>
              <w:t>2.4.2</w:t>
            </w:r>
          </w:p>
        </w:tc>
        <w:tc>
          <w:tcPr>
            <w:tcW w:w="1865" w:type="dxa"/>
          </w:tcPr>
          <w:p>
            <w:pPr>
              <w:pStyle w:val="TableParagraph"/>
              <w:spacing w:before="99"/>
              <w:ind w:left="161"/>
              <w:rPr>
                <w:b/>
                <w:sz w:val="21"/>
              </w:rPr>
            </w:pPr>
            <w:r>
              <w:rPr>
                <w:b/>
                <w:sz w:val="21"/>
              </w:rPr>
              <w:t>特定疾病保险金</w:t>
            </w:r>
          </w:p>
        </w:tc>
        <w:tc>
          <w:tcPr>
            <w:tcW w:w="7428" w:type="dxa"/>
          </w:tcPr>
          <w:p>
            <w:pPr>
              <w:pStyle w:val="TableParagraph"/>
              <w:spacing w:line="310" w:lineRule="atLeast" w:before="64"/>
              <w:ind w:left="228" w:right="36"/>
              <w:rPr>
                <w:sz w:val="21"/>
              </w:rPr>
            </w:pPr>
            <w:r>
              <w:rPr>
                <w:sz w:val="21"/>
              </w:rPr>
              <w:t>如果被保险人因</w:t>
            </w:r>
            <w:r>
              <w:rPr>
                <w:b/>
                <w:sz w:val="21"/>
              </w:rPr>
              <w:t>意外伤害事故</w:t>
            </w:r>
            <w:r>
              <w:rPr>
                <w:sz w:val="21"/>
              </w:rPr>
              <w:t>或于等待期后经</w:t>
            </w:r>
            <w:r>
              <w:rPr>
                <w:b/>
                <w:sz w:val="21"/>
              </w:rPr>
              <w:t>医院</w:t>
            </w:r>
            <w:r>
              <w:rPr>
                <w:sz w:val="21"/>
              </w:rPr>
              <w:t>的</w:t>
            </w:r>
            <w:r>
              <w:rPr>
                <w:b/>
                <w:sz w:val="21"/>
              </w:rPr>
              <w:t>专科医生初次确诊</w:t>
            </w:r>
            <w:r>
              <w:rPr>
                <w:sz w:val="21"/>
              </w:rPr>
              <w:t>患上本附加合同特定疾病列表（详见附录二）内所界定的任何一种疾病，本项责任终止，本公司按照特定疾病保险金基本保险金额给付特定疾病保险金。</w:t>
            </w:r>
          </w:p>
        </w:tc>
      </w:tr>
    </w:tbl>
    <w:p>
      <w:pPr>
        <w:spacing w:after="0" w:line="310" w:lineRule="atLeast"/>
        <w:rPr>
          <w:sz w:val="21"/>
        </w:rPr>
        <w:sectPr>
          <w:pgSz w:w="11910" w:h="16840"/>
          <w:pgMar w:top="1140" w:bottom="280" w:left="80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1867"/>
        <w:gridCol w:w="7624"/>
      </w:tblGrid>
      <w:tr>
        <w:trPr>
          <w:trHeight w:val="375" w:hRule="atLeast"/>
        </w:trPr>
        <w:tc>
          <w:tcPr>
            <w:tcW w:w="890" w:type="dxa"/>
          </w:tcPr>
          <w:p>
            <w:pPr>
              <w:pStyle w:val="TableParagraph"/>
              <w:rPr>
                <w:rFonts w:ascii="Times New Roman"/>
                <w:sz w:val="20"/>
              </w:rPr>
            </w:pPr>
          </w:p>
        </w:tc>
        <w:tc>
          <w:tcPr>
            <w:tcW w:w="1867" w:type="dxa"/>
          </w:tcPr>
          <w:p>
            <w:pPr>
              <w:pStyle w:val="TableParagraph"/>
              <w:rPr>
                <w:rFonts w:ascii="Times New Roman"/>
                <w:sz w:val="20"/>
              </w:rPr>
            </w:pPr>
          </w:p>
        </w:tc>
        <w:tc>
          <w:tcPr>
            <w:tcW w:w="7624" w:type="dxa"/>
          </w:tcPr>
          <w:p>
            <w:pPr>
              <w:pStyle w:val="TableParagraph"/>
              <w:spacing w:line="211" w:lineRule="exact"/>
              <w:ind w:left="226"/>
              <w:rPr>
                <w:rFonts w:ascii="黑体" w:eastAsia="黑体" w:hint="eastAsia"/>
                <w:sz w:val="21"/>
              </w:rPr>
            </w:pPr>
            <w:r>
              <w:rPr>
                <w:rFonts w:ascii="黑体" w:eastAsia="黑体" w:hint="eastAsia"/>
                <w:sz w:val="21"/>
              </w:rPr>
              <w:t>本公司对本附加合同的特定疾病保险金给付责任以一次为限。</w:t>
            </w:r>
          </w:p>
        </w:tc>
      </w:tr>
      <w:tr>
        <w:trPr>
          <w:trHeight w:val="2099" w:hRule="atLeast"/>
        </w:trPr>
        <w:tc>
          <w:tcPr>
            <w:tcW w:w="890" w:type="dxa"/>
          </w:tcPr>
          <w:p>
            <w:pPr>
              <w:pStyle w:val="TableParagraph"/>
              <w:spacing w:before="100"/>
              <w:ind w:left="200"/>
              <w:rPr>
                <w:b/>
                <w:sz w:val="21"/>
              </w:rPr>
            </w:pPr>
            <w:r>
              <w:rPr>
                <w:b/>
                <w:sz w:val="21"/>
              </w:rPr>
              <w:t>2.4.3</w:t>
            </w:r>
          </w:p>
        </w:tc>
        <w:tc>
          <w:tcPr>
            <w:tcW w:w="1867" w:type="dxa"/>
          </w:tcPr>
          <w:p>
            <w:pPr>
              <w:pStyle w:val="TableParagraph"/>
              <w:spacing w:before="100"/>
              <w:ind w:left="161"/>
              <w:rPr>
                <w:b/>
                <w:sz w:val="21"/>
              </w:rPr>
            </w:pPr>
            <w:r>
              <w:rPr>
                <w:b/>
                <w:sz w:val="21"/>
              </w:rPr>
              <w:t>轻症疾病保险金</w:t>
            </w:r>
          </w:p>
        </w:tc>
        <w:tc>
          <w:tcPr>
            <w:tcW w:w="7624" w:type="dxa"/>
          </w:tcPr>
          <w:p>
            <w:pPr>
              <w:pStyle w:val="TableParagraph"/>
              <w:spacing w:line="273" w:lineRule="auto" w:before="100"/>
              <w:ind w:left="226" w:right="234"/>
              <w:rPr>
                <w:sz w:val="21"/>
              </w:rPr>
            </w:pPr>
            <w:r>
              <w:rPr>
                <w:sz w:val="21"/>
              </w:rPr>
              <w:t>如果被保险人因</w:t>
            </w:r>
            <w:r>
              <w:rPr>
                <w:b/>
                <w:sz w:val="21"/>
              </w:rPr>
              <w:t>意外伤害事故</w:t>
            </w:r>
            <w:r>
              <w:rPr>
                <w:sz w:val="21"/>
              </w:rPr>
              <w:t>或于等待期后经</w:t>
            </w:r>
            <w:r>
              <w:rPr>
                <w:b/>
                <w:sz w:val="21"/>
              </w:rPr>
              <w:t>医院</w:t>
            </w:r>
            <w:r>
              <w:rPr>
                <w:sz w:val="21"/>
              </w:rPr>
              <w:t>的</w:t>
            </w:r>
            <w:r>
              <w:rPr>
                <w:b/>
                <w:sz w:val="21"/>
              </w:rPr>
              <w:t>专科医生初次确诊</w:t>
            </w:r>
            <w:r>
              <w:rPr>
                <w:sz w:val="21"/>
              </w:rPr>
              <w:t>患上本附加合同轻症疾病列表（详见附录三）内所界定的任何一种疾病，本项责任终止，本公司按照轻症疾病保险金基本保险金额给付轻症疾病保险金。</w:t>
            </w:r>
          </w:p>
          <w:p>
            <w:pPr>
              <w:pStyle w:val="TableParagraph"/>
              <w:spacing w:before="7"/>
              <w:ind w:left="226"/>
              <w:rPr>
                <w:rFonts w:ascii="黑体" w:eastAsia="黑体" w:hint="eastAsia"/>
                <w:sz w:val="21"/>
              </w:rPr>
            </w:pPr>
            <w:r>
              <w:rPr>
                <w:rFonts w:ascii="黑体" w:eastAsia="黑体" w:hint="eastAsia"/>
                <w:sz w:val="21"/>
              </w:rPr>
              <w:t>本附加合同的轻症疾病保险金给付责任以一次为限。</w:t>
            </w:r>
          </w:p>
          <w:p>
            <w:pPr>
              <w:pStyle w:val="TableParagraph"/>
              <w:spacing w:line="273" w:lineRule="auto" w:before="37"/>
              <w:ind w:left="226" w:right="241"/>
              <w:rPr>
                <w:rFonts w:ascii="黑体" w:eastAsia="黑体" w:hint="eastAsia"/>
                <w:sz w:val="21"/>
              </w:rPr>
            </w:pPr>
            <w:r>
              <w:rPr>
                <w:rFonts w:ascii="黑体" w:eastAsia="黑体" w:hint="eastAsia"/>
                <w:sz w:val="21"/>
              </w:rPr>
              <w:t>如果被保险人确诊时同时符合轻症疾病和重大疾病定义的，本公司仅给付重大疾病保险金，而不予给付轻症疾病保险金。</w:t>
            </w:r>
          </w:p>
        </w:tc>
      </w:tr>
      <w:tr>
        <w:trPr>
          <w:trHeight w:val="2410" w:hRule="atLeast"/>
        </w:trPr>
        <w:tc>
          <w:tcPr>
            <w:tcW w:w="890" w:type="dxa"/>
          </w:tcPr>
          <w:p>
            <w:pPr>
              <w:pStyle w:val="TableParagraph"/>
              <w:spacing w:before="100"/>
              <w:ind w:left="200"/>
              <w:rPr>
                <w:b/>
                <w:sz w:val="21"/>
              </w:rPr>
            </w:pPr>
            <w:r>
              <w:rPr>
                <w:b/>
                <w:sz w:val="21"/>
              </w:rPr>
              <w:t>2.4.4</w:t>
            </w:r>
          </w:p>
        </w:tc>
        <w:tc>
          <w:tcPr>
            <w:tcW w:w="1867" w:type="dxa"/>
          </w:tcPr>
          <w:p>
            <w:pPr>
              <w:pStyle w:val="TableParagraph"/>
              <w:spacing w:before="100"/>
              <w:ind w:left="161"/>
              <w:rPr>
                <w:b/>
                <w:sz w:val="21"/>
              </w:rPr>
            </w:pPr>
            <w:r>
              <w:rPr>
                <w:b/>
                <w:sz w:val="21"/>
              </w:rPr>
              <w:t>豁免保险费</w:t>
            </w:r>
          </w:p>
        </w:tc>
        <w:tc>
          <w:tcPr>
            <w:tcW w:w="7624" w:type="dxa"/>
          </w:tcPr>
          <w:p>
            <w:pPr>
              <w:pStyle w:val="TableParagraph"/>
              <w:spacing w:line="273" w:lineRule="auto" w:before="100"/>
              <w:ind w:left="226" w:right="302"/>
              <w:jc w:val="both"/>
              <w:rPr>
                <w:sz w:val="21"/>
              </w:rPr>
            </w:pPr>
            <w:r>
              <w:rPr>
                <w:spacing w:val="-9"/>
                <w:sz w:val="21"/>
              </w:rPr>
              <w:t>除另有约定外，如果投保人在本附加合同交费期间内发生</w:t>
            </w:r>
            <w:r>
              <w:rPr>
                <w:b/>
                <w:sz w:val="21"/>
              </w:rPr>
              <w:t>意外伤害事故</w:t>
            </w:r>
            <w:r>
              <w:rPr>
                <w:spacing w:val="-3"/>
                <w:sz w:val="21"/>
              </w:rPr>
              <w:t>并自该</w:t>
            </w:r>
            <w:r>
              <w:rPr>
                <w:spacing w:val="-8"/>
                <w:sz w:val="21"/>
              </w:rPr>
              <w:t>事故发生之日起 </w:t>
            </w:r>
            <w:r>
              <w:rPr>
                <w:sz w:val="21"/>
              </w:rPr>
              <w:t>180</w:t>
            </w:r>
            <w:r>
              <w:rPr>
                <w:spacing w:val="-8"/>
                <w:sz w:val="21"/>
              </w:rPr>
              <w:t> 日内因该事故导致本附加合同所界定的</w:t>
            </w:r>
            <w:r>
              <w:rPr>
                <w:b/>
                <w:spacing w:val="-14"/>
                <w:sz w:val="21"/>
              </w:rPr>
              <w:t>全残</w:t>
            </w:r>
            <w:r>
              <w:rPr>
                <w:sz w:val="21"/>
              </w:rPr>
              <w:t>（</w:t>
            </w:r>
            <w:r>
              <w:rPr>
                <w:spacing w:val="-3"/>
                <w:sz w:val="21"/>
              </w:rPr>
              <w:t>见释义</w:t>
            </w:r>
            <w:r>
              <w:rPr>
                <w:spacing w:val="-29"/>
                <w:sz w:val="21"/>
              </w:rPr>
              <w:t>）</w:t>
            </w:r>
            <w:r>
              <w:rPr>
                <w:sz w:val="21"/>
              </w:rPr>
              <w:t>或</w:t>
            </w:r>
            <w:r>
              <w:rPr>
                <w:spacing w:val="-7"/>
                <w:sz w:val="21"/>
              </w:rPr>
              <w:t>身故，且投保人发生</w:t>
            </w:r>
            <w:r>
              <w:rPr>
                <w:b/>
                <w:sz w:val="21"/>
              </w:rPr>
              <w:t>全残</w:t>
            </w:r>
            <w:r>
              <w:rPr>
                <w:spacing w:val="-5"/>
                <w:sz w:val="21"/>
              </w:rPr>
              <w:t>或身故时未满六十五周岁，本公司自其</w:t>
            </w:r>
            <w:r>
              <w:rPr>
                <w:b/>
                <w:sz w:val="21"/>
              </w:rPr>
              <w:t>全残</w:t>
            </w:r>
            <w:r>
              <w:rPr>
                <w:spacing w:val="-3"/>
                <w:sz w:val="21"/>
              </w:rPr>
              <w:t>或身故后</w:t>
            </w:r>
            <w:r>
              <w:rPr>
                <w:spacing w:val="-2"/>
                <w:sz w:val="21"/>
              </w:rPr>
              <w:t>的首个</w:t>
            </w:r>
            <w:r>
              <w:rPr>
                <w:b/>
                <w:spacing w:val="-1"/>
                <w:sz w:val="21"/>
              </w:rPr>
              <w:t>保险合同周年日</w:t>
            </w:r>
            <w:r>
              <w:rPr>
                <w:spacing w:val="-3"/>
                <w:sz w:val="21"/>
              </w:rPr>
              <w:t>开始，豁免本附加合同余下各期的保险费。</w:t>
            </w:r>
          </w:p>
          <w:p>
            <w:pPr>
              <w:pStyle w:val="TableParagraph"/>
              <w:spacing w:before="7"/>
              <w:ind w:left="226"/>
              <w:rPr>
                <w:rFonts w:ascii="黑体" w:eastAsia="黑体" w:hint="eastAsia"/>
                <w:sz w:val="21"/>
              </w:rPr>
            </w:pPr>
            <w:r>
              <w:rPr>
                <w:rFonts w:ascii="黑体" w:eastAsia="黑体" w:hint="eastAsia"/>
                <w:sz w:val="21"/>
              </w:rPr>
              <w:t>在交费期间内变更投保人的，本公司不予豁免保险费。</w:t>
            </w:r>
          </w:p>
          <w:p>
            <w:pPr>
              <w:pStyle w:val="TableParagraph"/>
              <w:spacing w:line="273" w:lineRule="auto" w:before="37"/>
              <w:ind w:left="226" w:right="305"/>
              <w:jc w:val="both"/>
              <w:rPr>
                <w:rFonts w:ascii="黑体" w:eastAsia="黑体" w:hint="eastAsia"/>
                <w:sz w:val="21"/>
              </w:rPr>
            </w:pPr>
            <w:r>
              <w:rPr>
                <w:rFonts w:ascii="黑体" w:eastAsia="黑体" w:hint="eastAsia"/>
                <w:spacing w:val="-9"/>
                <w:sz w:val="21"/>
              </w:rPr>
              <w:t>保险费豁免期间，本公司不接受本附加合同的各项责任对应的基本保险金额及</w:t>
            </w:r>
            <w:r>
              <w:rPr>
                <w:rFonts w:ascii="黑体" w:eastAsia="黑体" w:hint="eastAsia"/>
                <w:spacing w:val="-3"/>
                <w:sz w:val="21"/>
              </w:rPr>
              <w:t>交费方式变更的申请。</w:t>
            </w:r>
          </w:p>
        </w:tc>
      </w:tr>
      <w:tr>
        <w:trPr>
          <w:trHeight w:val="4282" w:hRule="atLeast"/>
        </w:trPr>
        <w:tc>
          <w:tcPr>
            <w:tcW w:w="890" w:type="dxa"/>
          </w:tcPr>
          <w:p>
            <w:pPr>
              <w:pStyle w:val="TableParagraph"/>
              <w:spacing w:before="99"/>
              <w:ind w:left="200"/>
              <w:rPr>
                <w:b/>
                <w:sz w:val="21"/>
              </w:rPr>
            </w:pPr>
            <w:r>
              <w:rPr>
                <w:b/>
                <w:sz w:val="21"/>
              </w:rPr>
              <w:t>2.5</w:t>
            </w:r>
          </w:p>
        </w:tc>
        <w:tc>
          <w:tcPr>
            <w:tcW w:w="1867" w:type="dxa"/>
          </w:tcPr>
          <w:p>
            <w:pPr>
              <w:pStyle w:val="TableParagraph"/>
              <w:spacing w:before="99"/>
              <w:ind w:left="161"/>
              <w:rPr>
                <w:b/>
                <w:sz w:val="21"/>
              </w:rPr>
            </w:pPr>
            <w:r>
              <w:rPr>
                <w:b/>
                <w:sz w:val="21"/>
              </w:rPr>
              <w:t>责任免除</w:t>
            </w:r>
          </w:p>
        </w:tc>
        <w:tc>
          <w:tcPr>
            <w:tcW w:w="7624" w:type="dxa"/>
          </w:tcPr>
          <w:p>
            <w:pPr>
              <w:pStyle w:val="TableParagraph"/>
              <w:spacing w:line="273" w:lineRule="auto" w:before="99"/>
              <w:ind w:left="227" w:right="242"/>
              <w:rPr>
                <w:rFonts w:ascii="黑体" w:eastAsia="黑体" w:hint="eastAsia"/>
                <w:sz w:val="21"/>
              </w:rPr>
            </w:pPr>
            <w:r>
              <w:rPr>
                <w:rFonts w:ascii="黑体" w:eastAsia="黑体" w:hint="eastAsia"/>
                <w:sz w:val="21"/>
              </w:rPr>
              <w:t>因下列情形之一，导致被保险人发Th本附加合同重大疾病列表、特定疾病列表或轻症疾病列表内界定的疾病的，本公司不承担给付保险金的责任：</w:t>
            </w:r>
          </w:p>
          <w:p>
            <w:pPr>
              <w:pStyle w:val="TableParagraph"/>
              <w:spacing w:before="7"/>
              <w:ind w:left="227"/>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227"/>
              <w:rPr>
                <w:rFonts w:ascii="黑体" w:eastAsia="黑体" w:hint="eastAsia"/>
                <w:sz w:val="21"/>
              </w:rPr>
            </w:pPr>
            <w:r>
              <w:rPr>
                <w:rFonts w:ascii="黑体" w:eastAsia="黑体" w:hint="eastAsia"/>
                <w:sz w:val="21"/>
              </w:rPr>
              <w:t>（2）被保险人故意犯罪或者抗拒依法采取的刑事强制措施；</w:t>
            </w:r>
          </w:p>
          <w:p>
            <w:pPr>
              <w:pStyle w:val="TableParagraph"/>
              <w:spacing w:before="37"/>
              <w:ind w:left="226"/>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3"/>
                <w:w w:val="100"/>
                <w:sz w:val="21"/>
              </w:rPr>
              <w:t>见主合同释义</w:t>
            </w:r>
            <w:r>
              <w:rPr>
                <w:rFonts w:ascii="黑体" w:eastAsia="黑体" w:hint="eastAsia"/>
                <w:spacing w:val="-109"/>
                <w:w w:val="100"/>
                <w:sz w:val="21"/>
              </w:rPr>
              <w:t>）</w:t>
            </w:r>
            <w:r>
              <w:rPr>
                <w:rFonts w:ascii="黑体" w:eastAsia="黑体" w:hint="eastAsia"/>
                <w:w w:val="100"/>
                <w:sz w:val="21"/>
              </w:rPr>
              <w:t>；</w:t>
            </w:r>
          </w:p>
          <w:p>
            <w:pPr>
              <w:pStyle w:val="TableParagraph"/>
              <w:spacing w:line="273" w:lineRule="auto" w:before="36"/>
              <w:ind w:left="731" w:right="197" w:hanging="505"/>
              <w:rPr>
                <w:rFonts w:ascii="黑体" w:eastAsia="黑体" w:hint="eastAsia"/>
                <w:sz w:val="21"/>
              </w:rPr>
            </w:pPr>
            <w:r>
              <w:rPr>
                <w:rFonts w:ascii="黑体" w:eastAsia="黑体" w:hint="eastAsia"/>
                <w:spacing w:val="-6"/>
                <w:sz w:val="21"/>
              </w:rPr>
              <w:t>（4）</w:t>
            </w:r>
            <w:r>
              <w:rPr>
                <w:rFonts w:ascii="黑体" w:eastAsia="黑体" w:hint="eastAsia"/>
                <w:spacing w:val="-3"/>
                <w:sz w:val="21"/>
              </w:rPr>
              <w:t>被保险人</w:t>
            </w:r>
            <w:r>
              <w:rPr>
                <w:rFonts w:ascii="黑体" w:eastAsia="黑体" w:hint="eastAsia"/>
                <w:b/>
                <w:spacing w:val="-4"/>
                <w:sz w:val="21"/>
              </w:rPr>
              <w:t>酒后驾驶</w:t>
            </w:r>
            <w:r>
              <w:rPr>
                <w:rFonts w:ascii="黑体" w:eastAsia="黑体" w:hint="eastAsia"/>
                <w:spacing w:val="-3"/>
                <w:sz w:val="21"/>
              </w:rPr>
              <w:t>（</w:t>
            </w:r>
            <w:r>
              <w:rPr>
                <w:rFonts w:ascii="黑体" w:eastAsia="黑体" w:hint="eastAsia"/>
                <w:spacing w:val="-2"/>
                <w:sz w:val="21"/>
              </w:rPr>
              <w:t>见主合同释义</w:t>
            </w:r>
            <w:r>
              <w:rPr>
                <w:rFonts w:ascii="黑体" w:eastAsia="黑体" w:hint="eastAsia"/>
                <w:spacing w:val="-109"/>
                <w:sz w:val="21"/>
              </w:rPr>
              <w:t>）</w:t>
            </w:r>
            <w:r>
              <w:rPr>
                <w:rFonts w:ascii="黑体" w:eastAsia="黑体" w:hint="eastAsia"/>
                <w:spacing w:val="-17"/>
                <w:sz w:val="21"/>
              </w:rPr>
              <w:t>、</w:t>
            </w:r>
            <w:r>
              <w:rPr>
                <w:rFonts w:ascii="黑体" w:eastAsia="黑体" w:hint="eastAsia"/>
                <w:b/>
                <w:spacing w:val="-3"/>
                <w:sz w:val="21"/>
              </w:rPr>
              <w:t>无合法有效驾驶证驾驶</w:t>
            </w:r>
            <w:r>
              <w:rPr>
                <w:rFonts w:ascii="黑体" w:eastAsia="黑体" w:hint="eastAsia"/>
                <w:spacing w:val="-3"/>
                <w:sz w:val="21"/>
              </w:rPr>
              <w:t>（见主合同</w:t>
            </w:r>
            <w:r>
              <w:rPr>
                <w:rFonts w:ascii="黑体" w:eastAsia="黑体" w:hint="eastAsia"/>
                <w:w w:val="100"/>
                <w:sz w:val="21"/>
              </w:rPr>
              <w:t>释义</w:t>
            </w:r>
            <w:r>
              <w:rPr>
                <w:rFonts w:ascii="黑体" w:eastAsia="黑体" w:hint="eastAsia"/>
                <w:spacing w:val="-106"/>
                <w:w w:val="100"/>
                <w:sz w:val="21"/>
              </w:rPr>
              <w:t>）</w:t>
            </w:r>
            <w:r>
              <w:rPr>
                <w:rFonts w:ascii="黑体" w:eastAsia="黑体" w:hint="eastAsia"/>
                <w:spacing w:val="-18"/>
                <w:w w:val="100"/>
                <w:sz w:val="21"/>
              </w:rPr>
              <w:t>，或驾驶</w:t>
            </w:r>
            <w:r>
              <w:rPr>
                <w:rFonts w:ascii="黑体" w:eastAsia="黑体" w:hint="eastAsia"/>
                <w:b/>
                <w:spacing w:val="-11"/>
                <w:w w:val="100"/>
                <w:sz w:val="21"/>
              </w:rPr>
              <w:t>无有效行驶证</w:t>
            </w:r>
            <w:r>
              <w:rPr>
                <w:rFonts w:ascii="黑体" w:eastAsia="黑体" w:hint="eastAsia"/>
                <w:spacing w:val="-3"/>
                <w:w w:val="100"/>
                <w:sz w:val="21"/>
              </w:rPr>
              <w:t>（见主合同释义</w:t>
            </w:r>
            <w:r>
              <w:rPr>
                <w:rFonts w:ascii="黑体" w:eastAsia="黑体" w:hint="eastAsia"/>
                <w:spacing w:val="-66"/>
                <w:w w:val="100"/>
                <w:sz w:val="21"/>
              </w:rPr>
              <w:t>）</w:t>
            </w:r>
            <w:r>
              <w:rPr>
                <w:rFonts w:ascii="黑体" w:eastAsia="黑体" w:hint="eastAsia"/>
                <w:spacing w:val="-3"/>
                <w:w w:val="100"/>
                <w:sz w:val="21"/>
              </w:rPr>
              <w:t>的</w:t>
            </w:r>
            <w:r>
              <w:rPr>
                <w:rFonts w:ascii="黑体" w:eastAsia="黑体" w:hint="eastAsia"/>
                <w:b/>
                <w:spacing w:val="-20"/>
                <w:w w:val="100"/>
                <w:sz w:val="21"/>
              </w:rPr>
              <w:t>机动车</w:t>
            </w:r>
            <w:r>
              <w:rPr>
                <w:rFonts w:ascii="黑体" w:eastAsia="黑体" w:hint="eastAsia"/>
                <w:spacing w:val="-3"/>
                <w:w w:val="100"/>
                <w:sz w:val="21"/>
              </w:rPr>
              <w:t>（见主合同释义</w:t>
            </w:r>
            <w:r>
              <w:rPr>
                <w:rFonts w:ascii="黑体" w:eastAsia="黑体" w:hint="eastAsia"/>
                <w:spacing w:val="-106"/>
                <w:w w:val="100"/>
                <w:sz w:val="21"/>
              </w:rPr>
              <w:t>）</w:t>
            </w:r>
            <w:r>
              <w:rPr>
                <w:rFonts w:ascii="黑体" w:eastAsia="黑体" w:hint="eastAsia"/>
                <w:w w:val="100"/>
                <w:sz w:val="21"/>
              </w:rPr>
              <w:t>；</w:t>
            </w:r>
          </w:p>
          <w:p>
            <w:pPr>
              <w:pStyle w:val="TableParagraph"/>
              <w:spacing w:before="7"/>
              <w:ind w:left="226"/>
              <w:rPr>
                <w:rFonts w:ascii="黑体" w:eastAsia="黑体" w:hint="eastAsia"/>
                <w:sz w:val="21"/>
              </w:rPr>
            </w:pPr>
            <w:r>
              <w:rPr>
                <w:rFonts w:ascii="黑体" w:eastAsia="黑体" w:hint="eastAsia"/>
                <w:sz w:val="21"/>
              </w:rPr>
              <w:t>（5）战争、军事冲突、暴乱或武装叛乱；</w:t>
            </w:r>
          </w:p>
          <w:p>
            <w:pPr>
              <w:pStyle w:val="TableParagraph"/>
              <w:spacing w:before="37"/>
              <w:ind w:left="226"/>
              <w:rPr>
                <w:rFonts w:ascii="黑体" w:eastAsia="黑体" w:hint="eastAsia"/>
                <w:sz w:val="21"/>
              </w:rPr>
            </w:pPr>
            <w:r>
              <w:rPr>
                <w:rFonts w:ascii="黑体" w:eastAsia="黑体" w:hint="eastAsia"/>
                <w:sz w:val="21"/>
              </w:rPr>
              <w:t>（6）核爆炸、核辐射或核污染；</w:t>
            </w:r>
          </w:p>
          <w:p>
            <w:pPr>
              <w:pStyle w:val="TableParagraph"/>
              <w:spacing w:line="273" w:lineRule="auto" w:before="37"/>
              <w:ind w:left="731" w:right="300" w:hanging="504"/>
              <w:rPr>
                <w:rFonts w:ascii="黑体" w:hAnsi="黑体" w:eastAsia="黑体" w:hint="eastAsia"/>
                <w:sz w:val="21"/>
              </w:rPr>
            </w:pPr>
            <w:r>
              <w:rPr>
                <w:rFonts w:ascii="黑体" w:hAnsi="黑体" w:eastAsia="黑体" w:hint="eastAsia"/>
                <w:spacing w:val="-24"/>
                <w:sz w:val="21"/>
              </w:rPr>
              <w:t>（7）</w:t>
            </w:r>
            <w:r>
              <w:rPr>
                <w:rFonts w:ascii="黑体" w:hAnsi="黑体" w:eastAsia="黑体" w:hint="eastAsia"/>
                <w:spacing w:val="-3"/>
                <w:sz w:val="21"/>
              </w:rPr>
              <w:t>被保险人</w:t>
            </w:r>
            <w:r>
              <w:rPr>
                <w:rFonts w:ascii="黑体" w:hAnsi="黑体" w:eastAsia="黑体" w:hint="eastAsia"/>
                <w:b/>
                <w:spacing w:val="-7"/>
                <w:sz w:val="21"/>
              </w:rPr>
              <w:t>感染艾滋病病毒或患艾滋病</w:t>
            </w:r>
            <w:r>
              <w:rPr>
                <w:rFonts w:ascii="黑体" w:hAnsi="黑体" w:eastAsia="黑体" w:hint="eastAsia"/>
                <w:spacing w:val="-3"/>
                <w:sz w:val="21"/>
              </w:rPr>
              <w:t>（</w:t>
            </w:r>
            <w:r>
              <w:rPr>
                <w:rFonts w:ascii="黑体" w:hAnsi="黑体" w:eastAsia="黑体" w:hint="eastAsia"/>
                <w:spacing w:val="-2"/>
                <w:sz w:val="21"/>
              </w:rPr>
              <w:t>见释义</w:t>
            </w:r>
            <w:r>
              <w:rPr>
                <w:rFonts w:ascii="黑体" w:hAnsi="黑体" w:eastAsia="黑体" w:hint="eastAsia"/>
                <w:spacing w:val="-89"/>
                <w:sz w:val="21"/>
              </w:rPr>
              <w:t>）</w:t>
            </w:r>
            <w:r>
              <w:rPr>
                <w:rFonts w:ascii="黑体" w:hAnsi="黑体" w:eastAsia="黑体" w:hint="eastAsia"/>
                <w:spacing w:val="-18"/>
                <w:sz w:val="21"/>
              </w:rPr>
              <w:t>，但对重大疾病列表内“经</w:t>
            </w:r>
            <w:r>
              <w:rPr>
                <w:rFonts w:ascii="黑体" w:hAnsi="黑体" w:eastAsia="黑体" w:hint="eastAsia"/>
                <w:spacing w:val="-7"/>
                <w:sz w:val="21"/>
              </w:rPr>
              <w:t>输血导致的人类免疫缺陷病毒感染”本公司仍负重大疾病保险金的给付责任；</w:t>
            </w:r>
          </w:p>
          <w:p>
            <w:pPr>
              <w:pStyle w:val="TableParagraph"/>
              <w:spacing w:before="7"/>
              <w:ind w:left="226"/>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（见释义</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106"/>
                <w:w w:val="100"/>
                <w:sz w:val="21"/>
              </w:rPr>
              <w:t>）</w:t>
            </w:r>
            <w:r>
              <w:rPr>
                <w:rFonts w:ascii="黑体" w:eastAsia="黑体" w:hint="eastAsia"/>
                <w:w w:val="100"/>
                <w:sz w:val="21"/>
              </w:rPr>
              <w:t>。</w:t>
            </w:r>
          </w:p>
        </w:tc>
      </w:tr>
      <w:tr>
        <w:trPr>
          <w:trHeight w:val="5055" w:hRule="atLeast"/>
        </w:trPr>
        <w:tc>
          <w:tcPr>
            <w:tcW w:w="890" w:type="dxa"/>
          </w:tcPr>
          <w:p>
            <w:pPr>
              <w:pStyle w:val="TableParagraph"/>
              <w:rPr>
                <w:rFonts w:ascii="Times New Roman"/>
                <w:sz w:val="20"/>
              </w:rPr>
            </w:pPr>
          </w:p>
        </w:tc>
        <w:tc>
          <w:tcPr>
            <w:tcW w:w="1867" w:type="dxa"/>
          </w:tcPr>
          <w:p>
            <w:pPr>
              <w:pStyle w:val="TableParagraph"/>
              <w:rPr>
                <w:rFonts w:ascii="Times New Roman"/>
                <w:sz w:val="20"/>
              </w:rPr>
            </w:pPr>
          </w:p>
        </w:tc>
        <w:tc>
          <w:tcPr>
            <w:tcW w:w="7624" w:type="dxa"/>
          </w:tcPr>
          <w:p>
            <w:pPr>
              <w:pStyle w:val="TableParagraph"/>
              <w:spacing w:before="100"/>
              <w:ind w:left="226"/>
              <w:rPr>
                <w:rFonts w:ascii="黑体" w:eastAsia="黑体" w:hint="eastAsia"/>
                <w:sz w:val="21"/>
              </w:rPr>
            </w:pPr>
            <w:r>
              <w:rPr>
                <w:rFonts w:ascii="黑体" w:eastAsia="黑体" w:hint="eastAsia"/>
                <w:sz w:val="21"/>
              </w:rPr>
              <w:t>因下列情形之一导致投保人</w:t>
            </w:r>
            <w:r>
              <w:rPr>
                <w:rFonts w:ascii="黑体" w:eastAsia="黑体" w:hint="eastAsia"/>
                <w:b/>
                <w:sz w:val="21"/>
              </w:rPr>
              <w:t>全残</w:t>
            </w:r>
            <w:r>
              <w:rPr>
                <w:rFonts w:ascii="黑体" w:eastAsia="黑体" w:hint="eastAsia"/>
                <w:sz w:val="21"/>
              </w:rPr>
              <w:t>或身故的，本公司不承担豁免保险费的责任；</w:t>
            </w:r>
          </w:p>
          <w:p>
            <w:pPr>
              <w:pStyle w:val="TableParagraph"/>
              <w:spacing w:before="36"/>
              <w:ind w:left="226"/>
              <w:rPr>
                <w:rFonts w:ascii="黑体" w:eastAsia="黑体" w:hint="eastAsia"/>
                <w:sz w:val="21"/>
              </w:rPr>
            </w:pPr>
            <w:r>
              <w:rPr>
                <w:rFonts w:ascii="黑体" w:eastAsia="黑体" w:hint="eastAsia"/>
                <w:sz w:val="21"/>
              </w:rPr>
              <w:t>（1）投保人斗殴、酗酒，故意犯罪或者抗拒依法采取的刑事强制措施；</w:t>
            </w:r>
          </w:p>
          <w:p>
            <w:pPr>
              <w:pStyle w:val="TableParagraph"/>
              <w:spacing w:before="36"/>
              <w:ind w:left="226"/>
              <w:rPr>
                <w:rFonts w:ascii="黑体" w:eastAsia="黑体" w:hint="eastAsia"/>
                <w:sz w:val="21"/>
              </w:rPr>
            </w:pPr>
            <w:r>
              <w:rPr>
                <w:rFonts w:ascii="黑体" w:eastAsia="黑体" w:hint="eastAsia"/>
                <w:sz w:val="21"/>
              </w:rPr>
              <w:t>（2）投保人故意自伤或自杀，但投保人自杀时为无民事行为能力人的除外；</w:t>
            </w:r>
          </w:p>
          <w:p>
            <w:pPr>
              <w:pStyle w:val="TableParagraph"/>
              <w:spacing w:before="36"/>
              <w:ind w:left="226"/>
              <w:rPr>
                <w:rFonts w:ascii="黑体" w:eastAsia="黑体" w:hint="eastAsia"/>
                <w:sz w:val="21"/>
              </w:rPr>
            </w:pPr>
            <w:r>
              <w:rPr>
                <w:rFonts w:ascii="黑体" w:eastAsia="黑体" w:hint="eastAsia"/>
                <w:sz w:val="21"/>
              </w:rPr>
              <w:t>（3）投保人主动吸食或注射</w:t>
            </w:r>
            <w:r>
              <w:rPr>
                <w:rFonts w:ascii="黑体" w:eastAsia="黑体" w:hint="eastAsia"/>
                <w:b/>
                <w:sz w:val="21"/>
              </w:rPr>
              <w:t>毒品</w:t>
            </w:r>
            <w:r>
              <w:rPr>
                <w:rFonts w:ascii="黑体" w:eastAsia="黑体" w:hint="eastAsia"/>
                <w:sz w:val="21"/>
              </w:rPr>
              <w:t>；</w:t>
            </w:r>
          </w:p>
          <w:p>
            <w:pPr>
              <w:pStyle w:val="TableParagraph"/>
              <w:spacing w:line="273" w:lineRule="auto" w:before="36"/>
              <w:ind w:left="731" w:right="340" w:hanging="504"/>
              <w:rPr>
                <w:rFonts w:ascii="黑体" w:eastAsia="黑体" w:hint="eastAsia"/>
                <w:sz w:val="21"/>
              </w:rPr>
            </w:pPr>
            <w:r>
              <w:rPr>
                <w:rFonts w:ascii="黑体" w:eastAsia="黑体" w:hint="eastAsia"/>
                <w:sz w:val="21"/>
              </w:rPr>
              <w:t>（4）投保人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pStyle w:val="TableParagraph"/>
              <w:spacing w:before="7"/>
              <w:ind w:left="226"/>
              <w:rPr>
                <w:rFonts w:ascii="黑体" w:eastAsia="黑体" w:hint="eastAsia"/>
                <w:sz w:val="21"/>
              </w:rPr>
            </w:pPr>
            <w:r>
              <w:rPr>
                <w:rFonts w:ascii="黑体" w:eastAsia="黑体" w:hint="eastAsia"/>
                <w:spacing w:val="-1"/>
                <w:sz w:val="21"/>
              </w:rPr>
              <w:t>（5）</w:t>
            </w:r>
            <w:r>
              <w:rPr>
                <w:rFonts w:ascii="黑体" w:eastAsia="黑体" w:hint="eastAsia"/>
                <w:spacing w:val="-3"/>
                <w:sz w:val="21"/>
              </w:rPr>
              <w:t>投保人因妊娠</w:t>
            </w:r>
            <w:r>
              <w:rPr>
                <w:rFonts w:ascii="黑体" w:eastAsia="黑体" w:hint="eastAsia"/>
                <w:sz w:val="21"/>
              </w:rPr>
              <w:t>（</w:t>
            </w:r>
            <w:r>
              <w:rPr>
                <w:rFonts w:ascii="黑体" w:eastAsia="黑体" w:hint="eastAsia"/>
                <w:spacing w:val="-2"/>
                <w:sz w:val="21"/>
              </w:rPr>
              <w:t>含宫外孕</w:t>
            </w:r>
            <w:r>
              <w:rPr>
                <w:rFonts w:ascii="黑体" w:eastAsia="黑体" w:hint="eastAsia"/>
                <w:spacing w:val="-108"/>
                <w:sz w:val="21"/>
              </w:rPr>
              <w:t>）</w:t>
            </w:r>
            <w:r>
              <w:rPr>
                <w:rFonts w:ascii="黑体" w:eastAsia="黑体" w:hint="eastAsia"/>
                <w:spacing w:val="-3"/>
                <w:sz w:val="21"/>
              </w:rPr>
              <w:t>、流产、分娩</w:t>
            </w:r>
            <w:r>
              <w:rPr>
                <w:rFonts w:ascii="黑体" w:eastAsia="黑体" w:hint="eastAsia"/>
                <w:sz w:val="21"/>
              </w:rPr>
              <w:t>（</w:t>
            </w:r>
            <w:r>
              <w:rPr>
                <w:rFonts w:ascii="黑体" w:eastAsia="黑体" w:hint="eastAsia"/>
                <w:spacing w:val="-2"/>
                <w:sz w:val="21"/>
              </w:rPr>
              <w:t>含剖腹产</w:t>
            </w:r>
            <w:r>
              <w:rPr>
                <w:rFonts w:ascii="黑体" w:eastAsia="黑体" w:hint="eastAsia"/>
                <w:spacing w:val="-3"/>
                <w:sz w:val="21"/>
              </w:rPr>
              <w:t>）导致的伤害；</w:t>
            </w:r>
          </w:p>
          <w:p>
            <w:pPr>
              <w:pStyle w:val="TableParagraph"/>
              <w:spacing w:line="273" w:lineRule="auto" w:before="37"/>
              <w:ind w:left="730" w:right="354" w:hanging="504"/>
              <w:rPr>
                <w:rFonts w:ascii="黑体" w:eastAsia="黑体" w:hint="eastAsia"/>
                <w:sz w:val="21"/>
              </w:rPr>
            </w:pPr>
            <w:r>
              <w:rPr>
                <w:rFonts w:ascii="黑体" w:eastAsia="黑体" w:hint="eastAsia"/>
                <w:sz w:val="21"/>
              </w:rPr>
              <w:t>（6）</w:t>
            </w:r>
            <w:r>
              <w:rPr>
                <w:rFonts w:ascii="黑体" w:eastAsia="黑体" w:hint="eastAsia"/>
                <w:spacing w:val="-3"/>
                <w:sz w:val="21"/>
              </w:rPr>
              <w:t>投保人因精神和行为障碍（以世界卫</w:t>
            </w:r>
            <w:r>
              <w:rPr>
                <w:rFonts w:ascii="黑体" w:eastAsia="黑体" w:hint="eastAsia"/>
                <w:sz w:val="21"/>
              </w:rPr>
              <w:t>Th</w:t>
            </w:r>
            <w:r>
              <w:rPr>
                <w:rFonts w:ascii="黑体" w:eastAsia="黑体" w:hint="eastAsia"/>
                <w:spacing w:val="-3"/>
                <w:sz w:val="21"/>
              </w:rPr>
              <w:t>组织颁布的《疾病和有关健康问</w:t>
            </w:r>
            <w:r>
              <w:rPr>
                <w:rFonts w:ascii="黑体" w:eastAsia="黑体" w:hint="eastAsia"/>
                <w:spacing w:val="-3"/>
                <w:w w:val="100"/>
                <w:sz w:val="21"/>
              </w:rPr>
              <w:t>题的国际统计分类（</w:t>
            </w:r>
            <w:r>
              <w:rPr>
                <w:rFonts w:ascii="黑体" w:eastAsia="黑体" w:hint="eastAsia"/>
                <w:w w:val="100"/>
                <w:sz w:val="21"/>
              </w:rPr>
              <w:t>ICD</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06"/>
                <w:w w:val="100"/>
                <w:sz w:val="21"/>
              </w:rPr>
              <w:t>）</w:t>
            </w:r>
            <w:r>
              <w:rPr>
                <w:rFonts w:ascii="黑体" w:eastAsia="黑体" w:hint="eastAsia"/>
                <w:spacing w:val="-2"/>
                <w:w w:val="100"/>
                <w:sz w:val="21"/>
              </w:rPr>
              <w:t>》为准</w:t>
            </w:r>
            <w:r>
              <w:rPr>
                <w:rFonts w:ascii="黑体" w:eastAsia="黑体" w:hint="eastAsia"/>
                <w:spacing w:val="-3"/>
                <w:w w:val="100"/>
                <w:sz w:val="21"/>
              </w:rPr>
              <w:t>）导致的伤害；</w:t>
            </w:r>
          </w:p>
          <w:p>
            <w:pPr>
              <w:pStyle w:val="TableParagraph"/>
              <w:spacing w:line="273" w:lineRule="auto" w:before="8"/>
              <w:ind w:left="731" w:right="355" w:hanging="504"/>
              <w:rPr>
                <w:rFonts w:ascii="黑体" w:eastAsia="黑体" w:hint="eastAsia"/>
                <w:sz w:val="21"/>
              </w:rPr>
            </w:pPr>
            <w:r>
              <w:rPr>
                <w:rFonts w:ascii="黑体" w:eastAsia="黑体" w:hint="eastAsia"/>
                <w:sz w:val="21"/>
              </w:rPr>
              <w:t>（7）投保人未遵医嘱，私自使用药物，但按药物使用说明的规定使用</w:t>
            </w:r>
            <w:r>
              <w:rPr>
                <w:rFonts w:ascii="黑体" w:eastAsia="黑体" w:hint="eastAsia"/>
                <w:b/>
                <w:sz w:val="21"/>
              </w:rPr>
              <w:t>非处方药</w:t>
            </w:r>
            <w:r>
              <w:rPr>
                <w:rFonts w:ascii="黑体" w:eastAsia="黑体" w:hint="eastAsia"/>
                <w:sz w:val="21"/>
              </w:rPr>
              <w:t>（见释义）不在此限；</w:t>
            </w:r>
          </w:p>
          <w:p>
            <w:pPr>
              <w:pStyle w:val="TableParagraph"/>
              <w:spacing w:line="273" w:lineRule="auto" w:before="8"/>
              <w:ind w:left="731" w:right="304" w:hanging="505"/>
              <w:rPr>
                <w:rFonts w:ascii="黑体" w:eastAsia="黑体" w:hint="eastAsia"/>
                <w:sz w:val="21"/>
              </w:rPr>
            </w:pPr>
            <w:r>
              <w:rPr>
                <w:rFonts w:ascii="黑体" w:eastAsia="黑体" w:hint="eastAsia"/>
                <w:spacing w:val="-6"/>
                <w:sz w:val="21"/>
              </w:rPr>
              <w:t>（8）</w:t>
            </w:r>
            <w:r>
              <w:rPr>
                <w:rFonts w:ascii="黑体" w:eastAsia="黑体" w:hint="eastAsia"/>
                <w:b/>
                <w:spacing w:val="-6"/>
                <w:sz w:val="21"/>
              </w:rPr>
              <w:t>猝死</w:t>
            </w:r>
            <w:r>
              <w:rPr>
                <w:rFonts w:ascii="黑体" w:eastAsia="黑体" w:hint="eastAsia"/>
                <w:sz w:val="21"/>
              </w:rPr>
              <w:t>（</w:t>
            </w:r>
            <w:r>
              <w:rPr>
                <w:rFonts w:ascii="黑体" w:eastAsia="黑体" w:hint="eastAsia"/>
                <w:spacing w:val="-3"/>
                <w:sz w:val="21"/>
              </w:rPr>
              <w:t>见释义</w:t>
            </w:r>
            <w:r>
              <w:rPr>
                <w:rFonts w:ascii="黑体" w:eastAsia="黑体" w:hint="eastAsia"/>
                <w:spacing w:val="-106"/>
                <w:sz w:val="21"/>
              </w:rPr>
              <w:t>）</w:t>
            </w:r>
            <w:r>
              <w:rPr>
                <w:rFonts w:ascii="黑体" w:eastAsia="黑体" w:hint="eastAsia"/>
                <w:spacing w:val="-7"/>
                <w:sz w:val="21"/>
              </w:rPr>
              <w:t>、细菌或者病毒感染</w:t>
            </w:r>
            <w:r>
              <w:rPr>
                <w:rFonts w:ascii="黑体" w:eastAsia="黑体" w:hint="eastAsia"/>
                <w:spacing w:val="-3"/>
                <w:sz w:val="21"/>
              </w:rPr>
              <w:t>（因意外伤害导致的伤口发</w:t>
            </w:r>
            <w:r>
              <w:rPr>
                <w:rFonts w:ascii="黑体" w:eastAsia="黑体" w:hint="eastAsia"/>
                <w:sz w:val="21"/>
              </w:rPr>
              <w:t>Th</w:t>
            </w:r>
            <w:r>
              <w:rPr>
                <w:rFonts w:ascii="黑体" w:eastAsia="黑体" w:hint="eastAsia"/>
                <w:spacing w:val="-3"/>
                <w:sz w:val="21"/>
              </w:rPr>
              <w:t>感染者</w:t>
            </w:r>
            <w:r>
              <w:rPr>
                <w:rFonts w:ascii="黑体" w:eastAsia="黑体" w:hint="eastAsia"/>
                <w:w w:val="100"/>
                <w:sz w:val="21"/>
              </w:rPr>
              <w:t>除外</w:t>
            </w:r>
            <w:r>
              <w:rPr>
                <w:rFonts w:ascii="黑体" w:eastAsia="黑体" w:hint="eastAsia"/>
                <w:spacing w:val="-108"/>
                <w:w w:val="100"/>
                <w:sz w:val="21"/>
              </w:rPr>
              <w:t>）</w:t>
            </w:r>
            <w:r>
              <w:rPr>
                <w:rFonts w:ascii="黑体" w:eastAsia="黑体" w:hint="eastAsia"/>
                <w:w w:val="100"/>
                <w:sz w:val="21"/>
              </w:rPr>
              <w:t>；</w:t>
            </w:r>
          </w:p>
          <w:p>
            <w:pPr>
              <w:pStyle w:val="TableParagraph"/>
              <w:spacing w:line="312" w:lineRule="exact" w:before="3"/>
              <w:ind w:left="730" w:right="352" w:hanging="504"/>
              <w:jc w:val="both"/>
              <w:rPr>
                <w:rFonts w:ascii="黑体" w:eastAsia="黑体" w:hint="eastAsia"/>
                <w:sz w:val="21"/>
              </w:rPr>
            </w:pPr>
            <w:r>
              <w:rPr>
                <w:rFonts w:ascii="黑体" w:eastAsia="黑体" w:hint="eastAsia"/>
                <w:sz w:val="21"/>
              </w:rPr>
              <w:t>（9）</w:t>
            </w:r>
            <w:r>
              <w:rPr>
                <w:rFonts w:ascii="黑体" w:eastAsia="黑体" w:hint="eastAsia"/>
                <w:spacing w:val="-3"/>
                <w:sz w:val="21"/>
              </w:rPr>
              <w:t>投保人参加</w:t>
            </w:r>
            <w:r>
              <w:rPr>
                <w:rFonts w:ascii="黑体" w:eastAsia="黑体" w:hint="eastAsia"/>
                <w:b/>
                <w:sz w:val="21"/>
              </w:rPr>
              <w:t>潜水</w:t>
            </w:r>
            <w:r>
              <w:rPr>
                <w:rFonts w:ascii="黑体" w:eastAsia="黑体" w:hint="eastAsia"/>
                <w:spacing w:val="-3"/>
                <w:sz w:val="21"/>
              </w:rPr>
              <w:t>（</w:t>
            </w:r>
            <w:r>
              <w:rPr>
                <w:rFonts w:ascii="黑体" w:eastAsia="黑体" w:hint="eastAsia"/>
                <w:spacing w:val="-2"/>
                <w:sz w:val="21"/>
              </w:rPr>
              <w:t>见释义</w:t>
            </w:r>
            <w:r>
              <w:rPr>
                <w:rFonts w:ascii="黑体" w:eastAsia="黑体" w:hint="eastAsia"/>
                <w:spacing w:val="-108"/>
                <w:sz w:val="21"/>
              </w:rPr>
              <w:t>）</w:t>
            </w:r>
            <w:r>
              <w:rPr>
                <w:rFonts w:ascii="黑体" w:eastAsia="黑体" w:hint="eastAsia"/>
                <w:spacing w:val="-3"/>
                <w:sz w:val="21"/>
              </w:rPr>
              <w:t>、跳伞、</w:t>
            </w:r>
            <w:r>
              <w:rPr>
                <w:rFonts w:ascii="黑体" w:eastAsia="黑体" w:hint="eastAsia"/>
                <w:b/>
                <w:sz w:val="21"/>
              </w:rPr>
              <w:t>攀岩</w:t>
            </w:r>
            <w:r>
              <w:rPr>
                <w:rFonts w:ascii="黑体" w:eastAsia="黑体" w:hint="eastAsia"/>
                <w:sz w:val="21"/>
              </w:rPr>
              <w:t>（</w:t>
            </w:r>
            <w:r>
              <w:rPr>
                <w:rFonts w:ascii="黑体" w:eastAsia="黑体" w:hint="eastAsia"/>
                <w:spacing w:val="-2"/>
                <w:sz w:val="21"/>
              </w:rPr>
              <w:t>见释义</w:t>
            </w:r>
            <w:r>
              <w:rPr>
                <w:rFonts w:ascii="黑体" w:eastAsia="黑体" w:hint="eastAsia"/>
                <w:spacing w:val="-106"/>
                <w:sz w:val="21"/>
              </w:rPr>
              <w:t>）</w:t>
            </w:r>
            <w:r>
              <w:rPr>
                <w:rFonts w:ascii="黑体" w:eastAsia="黑体" w:hint="eastAsia"/>
                <w:spacing w:val="-3"/>
                <w:sz w:val="21"/>
              </w:rPr>
              <w:t>、驾驶滑翔机或滑翔伞、</w:t>
            </w:r>
            <w:r>
              <w:rPr>
                <w:rFonts w:ascii="黑体" w:eastAsia="黑体" w:hint="eastAsia"/>
                <w:b/>
                <w:sz w:val="21"/>
              </w:rPr>
              <w:t>探险</w:t>
            </w:r>
            <w:r>
              <w:rPr>
                <w:rFonts w:ascii="黑体" w:eastAsia="黑体" w:hint="eastAsia"/>
                <w:sz w:val="21"/>
              </w:rPr>
              <w:t>（</w:t>
            </w:r>
            <w:r>
              <w:rPr>
                <w:rFonts w:ascii="黑体" w:eastAsia="黑体" w:hint="eastAsia"/>
                <w:spacing w:val="-3"/>
                <w:sz w:val="21"/>
              </w:rPr>
              <w:t>见释义</w:t>
            </w:r>
            <w:r>
              <w:rPr>
                <w:rFonts w:ascii="黑体" w:eastAsia="黑体" w:hint="eastAsia"/>
                <w:spacing w:val="-106"/>
                <w:sz w:val="21"/>
              </w:rPr>
              <w:t>）</w:t>
            </w:r>
            <w:r>
              <w:rPr>
                <w:rFonts w:ascii="黑体" w:eastAsia="黑体" w:hint="eastAsia"/>
                <w:spacing w:val="-3"/>
                <w:sz w:val="21"/>
              </w:rPr>
              <w:t>、摔跤比赛、</w:t>
            </w:r>
            <w:r>
              <w:rPr>
                <w:rFonts w:ascii="黑体" w:eastAsia="黑体" w:hint="eastAsia"/>
                <w:b/>
                <w:sz w:val="21"/>
              </w:rPr>
              <w:t>武术比赛</w:t>
            </w:r>
            <w:r>
              <w:rPr>
                <w:rFonts w:ascii="黑体" w:eastAsia="黑体" w:hint="eastAsia"/>
                <w:spacing w:val="-3"/>
                <w:sz w:val="21"/>
              </w:rPr>
              <w:t>（</w:t>
            </w:r>
            <w:r>
              <w:rPr>
                <w:rFonts w:ascii="黑体" w:eastAsia="黑体" w:hint="eastAsia"/>
                <w:spacing w:val="-2"/>
                <w:sz w:val="21"/>
              </w:rPr>
              <w:t>见释义</w:t>
            </w:r>
            <w:r>
              <w:rPr>
                <w:rFonts w:ascii="黑体" w:eastAsia="黑体" w:hint="eastAsia"/>
                <w:spacing w:val="-108"/>
                <w:sz w:val="21"/>
              </w:rPr>
              <w:t>）</w:t>
            </w:r>
            <w:r>
              <w:rPr>
                <w:rFonts w:ascii="黑体" w:eastAsia="黑体" w:hint="eastAsia"/>
                <w:spacing w:val="-3"/>
                <w:sz w:val="21"/>
              </w:rPr>
              <w:t>、</w:t>
            </w:r>
            <w:r>
              <w:rPr>
                <w:rFonts w:ascii="黑体" w:eastAsia="黑体" w:hint="eastAsia"/>
                <w:b/>
                <w:sz w:val="21"/>
              </w:rPr>
              <w:t>特技表演</w:t>
            </w:r>
            <w:r>
              <w:rPr>
                <w:rFonts w:ascii="黑体" w:eastAsia="黑体" w:hint="eastAsia"/>
                <w:sz w:val="21"/>
              </w:rPr>
              <w:t>（</w:t>
            </w:r>
            <w:r>
              <w:rPr>
                <w:rFonts w:ascii="黑体" w:eastAsia="黑体" w:hint="eastAsia"/>
                <w:spacing w:val="-3"/>
                <w:sz w:val="21"/>
              </w:rPr>
              <w:t>见释</w:t>
            </w:r>
            <w:r>
              <w:rPr>
                <w:rFonts w:ascii="黑体" w:eastAsia="黑体" w:hint="eastAsia"/>
                <w:sz w:val="21"/>
              </w:rPr>
              <w:t>义</w:t>
            </w:r>
            <w:r>
              <w:rPr>
                <w:rFonts w:ascii="黑体" w:eastAsia="黑体" w:hint="eastAsia"/>
                <w:spacing w:val="-106"/>
                <w:sz w:val="21"/>
              </w:rPr>
              <w:t>）</w:t>
            </w:r>
            <w:r>
              <w:rPr>
                <w:rFonts w:ascii="黑体" w:eastAsia="黑体" w:hint="eastAsia"/>
                <w:spacing w:val="-3"/>
                <w:sz w:val="21"/>
              </w:rPr>
              <w:t>、赛马、赛车等高风险运动；</w:t>
            </w:r>
          </w:p>
        </w:tc>
      </w:tr>
    </w:tbl>
    <w:p>
      <w:pPr>
        <w:spacing w:after="0" w:line="312" w:lineRule="exact"/>
        <w:jc w:val="both"/>
        <w:rPr>
          <w:rFonts w:ascii="黑体" w:eastAsia="黑体" w:hint="eastAsia"/>
          <w:sz w:val="21"/>
        </w:rPr>
        <w:sectPr>
          <w:pgSz w:w="11910" w:h="16840"/>
          <w:pgMar w:top="1160" w:bottom="280" w:left="72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1972"/>
        <w:gridCol w:w="7318"/>
      </w:tblGrid>
      <w:tr>
        <w:trPr>
          <w:trHeight w:val="1020" w:hRule="atLeast"/>
        </w:trPr>
        <w:tc>
          <w:tcPr>
            <w:tcW w:w="812" w:type="dxa"/>
          </w:tcPr>
          <w:p>
            <w:pPr>
              <w:pStyle w:val="TableParagraph"/>
              <w:rPr>
                <w:rFonts w:ascii="Times New Roman"/>
                <w:sz w:val="20"/>
              </w:rPr>
            </w:pPr>
          </w:p>
        </w:tc>
        <w:tc>
          <w:tcPr>
            <w:tcW w:w="1972" w:type="dxa"/>
          </w:tcPr>
          <w:p>
            <w:pPr>
              <w:pStyle w:val="TableParagraph"/>
              <w:rPr>
                <w:rFonts w:ascii="Times New Roman"/>
                <w:sz w:val="20"/>
              </w:rPr>
            </w:pPr>
          </w:p>
        </w:tc>
        <w:tc>
          <w:tcPr>
            <w:tcW w:w="7318" w:type="dxa"/>
          </w:tcPr>
          <w:p>
            <w:pPr>
              <w:pStyle w:val="TableParagraph"/>
              <w:spacing w:line="211" w:lineRule="exact"/>
              <w:ind w:left="122"/>
              <w:rPr>
                <w:rFonts w:ascii="黑体" w:eastAsia="黑体" w:hint="eastAsia"/>
                <w:sz w:val="21"/>
              </w:rPr>
            </w:pPr>
            <w:r>
              <w:rPr>
                <w:rFonts w:ascii="黑体" w:eastAsia="黑体" w:hint="eastAsia"/>
                <w:sz w:val="21"/>
              </w:rPr>
              <w:t>（10）投保人非因意外事故导致的下落不明而被宣告死亡；</w:t>
            </w:r>
          </w:p>
          <w:p>
            <w:pPr>
              <w:pStyle w:val="TableParagraph"/>
              <w:spacing w:before="37"/>
              <w:ind w:left="122"/>
              <w:rPr>
                <w:rFonts w:ascii="黑体" w:eastAsia="黑体" w:hint="eastAsia"/>
                <w:sz w:val="21"/>
              </w:rPr>
            </w:pPr>
            <w:r>
              <w:rPr>
                <w:rFonts w:ascii="黑体" w:eastAsia="黑体" w:hint="eastAsia"/>
                <w:sz w:val="21"/>
              </w:rPr>
              <w:t>（11）战争、军事冲突、暴乱或武装叛乱；</w:t>
            </w:r>
          </w:p>
          <w:p>
            <w:pPr>
              <w:pStyle w:val="TableParagraph"/>
              <w:spacing w:before="15"/>
              <w:ind w:left="122"/>
              <w:rPr>
                <w:rFonts w:ascii="黑体" w:eastAsia="黑体" w:hint="eastAsia"/>
                <w:sz w:val="21"/>
              </w:rPr>
            </w:pPr>
            <w:r>
              <w:rPr>
                <w:rFonts w:ascii="黑体" w:eastAsia="黑体" w:hint="eastAsia"/>
                <w:sz w:val="21"/>
              </w:rPr>
              <w:t>（12）核爆炸、核辐射或核污染。</w:t>
            </w:r>
          </w:p>
        </w:tc>
      </w:tr>
      <w:tr>
        <w:trPr>
          <w:trHeight w:val="729" w:hRule="atLeast"/>
        </w:trPr>
        <w:tc>
          <w:tcPr>
            <w:tcW w:w="812" w:type="dxa"/>
            <w:tcBorders>
              <w:bottom w:val="single" w:sz="8" w:space="0" w:color="000000"/>
            </w:tcBorders>
          </w:tcPr>
          <w:p>
            <w:pPr>
              <w:pStyle w:val="TableParagraph"/>
              <w:spacing w:before="170"/>
              <w:ind w:left="122"/>
              <w:rPr>
                <w:rFonts w:ascii="Arial" w:hAnsi="Arial"/>
                <w:b/>
                <w:sz w:val="40"/>
              </w:rPr>
            </w:pPr>
            <w:r>
              <w:rPr>
                <w:rFonts w:ascii="Arial" w:hAnsi="Arial"/>
                <w:b/>
                <w:w w:val="119"/>
                <w:sz w:val="40"/>
              </w:rPr>
              <w:t></w:t>
            </w:r>
          </w:p>
        </w:tc>
        <w:tc>
          <w:tcPr>
            <w:tcW w:w="1972" w:type="dxa"/>
            <w:tcBorders>
              <w:bottom w:val="single" w:sz="8" w:space="0" w:color="000000"/>
            </w:tcBorders>
          </w:tcPr>
          <w:p>
            <w:pPr>
              <w:pStyle w:val="TableParagraph"/>
              <w:spacing w:before="12"/>
              <w:rPr>
                <w:sz w:val="16"/>
              </w:rPr>
            </w:pPr>
          </w:p>
          <w:p>
            <w:pPr>
              <w:pStyle w:val="TableParagraph"/>
              <w:ind w:left="162"/>
              <w:rPr>
                <w:b/>
                <w:sz w:val="24"/>
              </w:rPr>
            </w:pPr>
            <w:r>
              <w:rPr>
                <w:b/>
                <w:w w:val="95"/>
                <w:sz w:val="24"/>
              </w:rPr>
              <w:t>保险金的申请</w:t>
            </w:r>
          </w:p>
        </w:tc>
        <w:tc>
          <w:tcPr>
            <w:tcW w:w="7318" w:type="dxa"/>
            <w:tcBorders>
              <w:bottom w:val="single" w:sz="8" w:space="0" w:color="000000"/>
            </w:tcBorders>
          </w:tcPr>
          <w:p>
            <w:pPr>
              <w:pStyle w:val="TableParagraph"/>
              <w:rPr>
                <w:rFonts w:ascii="Times New Roman"/>
                <w:sz w:val="20"/>
              </w:rPr>
            </w:pPr>
          </w:p>
        </w:tc>
      </w:tr>
      <w:tr>
        <w:trPr>
          <w:trHeight w:val="946" w:hRule="atLeast"/>
        </w:trPr>
        <w:tc>
          <w:tcPr>
            <w:tcW w:w="812" w:type="dxa"/>
            <w:tcBorders>
              <w:top w:val="single" w:sz="8" w:space="0" w:color="000000"/>
            </w:tcBorders>
          </w:tcPr>
          <w:p>
            <w:pPr>
              <w:pStyle w:val="TableParagraph"/>
              <w:spacing w:before="12"/>
              <w:rPr>
                <w:sz w:val="14"/>
              </w:rPr>
            </w:pPr>
          </w:p>
          <w:p>
            <w:pPr>
              <w:pStyle w:val="TableParagraph"/>
              <w:ind w:left="122"/>
              <w:rPr>
                <w:b/>
                <w:sz w:val="21"/>
              </w:rPr>
            </w:pPr>
            <w:r>
              <w:rPr>
                <w:b/>
                <w:sz w:val="21"/>
              </w:rPr>
              <w:t>3.1</w:t>
            </w:r>
          </w:p>
        </w:tc>
        <w:tc>
          <w:tcPr>
            <w:tcW w:w="1972" w:type="dxa"/>
            <w:tcBorders>
              <w:top w:val="single" w:sz="8" w:space="0" w:color="000000"/>
            </w:tcBorders>
          </w:tcPr>
          <w:p>
            <w:pPr>
              <w:pStyle w:val="TableParagraph"/>
              <w:spacing w:before="12"/>
              <w:rPr>
                <w:sz w:val="14"/>
              </w:rPr>
            </w:pPr>
          </w:p>
          <w:p>
            <w:pPr>
              <w:pStyle w:val="TableParagraph"/>
              <w:ind w:left="162"/>
              <w:rPr>
                <w:b/>
                <w:sz w:val="21"/>
              </w:rPr>
            </w:pPr>
            <w:r>
              <w:rPr>
                <w:b/>
                <w:sz w:val="21"/>
              </w:rPr>
              <w:t>受益人</w:t>
            </w:r>
          </w:p>
        </w:tc>
        <w:tc>
          <w:tcPr>
            <w:tcW w:w="7318" w:type="dxa"/>
            <w:tcBorders>
              <w:top w:val="single" w:sz="8" w:space="0" w:color="000000"/>
            </w:tcBorders>
          </w:tcPr>
          <w:p>
            <w:pPr>
              <w:pStyle w:val="TableParagraph"/>
              <w:spacing w:before="12"/>
              <w:rPr>
                <w:sz w:val="14"/>
              </w:rPr>
            </w:pPr>
          </w:p>
          <w:p>
            <w:pPr>
              <w:pStyle w:val="TableParagraph"/>
              <w:spacing w:line="273" w:lineRule="auto"/>
              <w:ind w:left="122" w:right="103"/>
              <w:rPr>
                <w:sz w:val="21"/>
              </w:rPr>
            </w:pPr>
            <w:r>
              <w:rPr>
                <w:spacing w:val="-7"/>
                <w:sz w:val="21"/>
              </w:rPr>
              <w:t>除另有约定外，重大疾病保险金、特定疾病保险金、轻症疾病保险金的受益人</w:t>
            </w:r>
            <w:r>
              <w:rPr>
                <w:spacing w:val="-3"/>
                <w:sz w:val="21"/>
              </w:rPr>
              <w:t>均为被保险人本人。</w:t>
            </w:r>
          </w:p>
        </w:tc>
      </w:tr>
      <w:tr>
        <w:trPr>
          <w:trHeight w:val="538" w:hRule="atLeast"/>
        </w:trPr>
        <w:tc>
          <w:tcPr>
            <w:tcW w:w="812" w:type="dxa"/>
          </w:tcPr>
          <w:p>
            <w:pPr>
              <w:pStyle w:val="TableParagraph"/>
              <w:spacing w:before="99"/>
              <w:ind w:left="122"/>
              <w:rPr>
                <w:b/>
                <w:sz w:val="21"/>
              </w:rPr>
            </w:pPr>
            <w:r>
              <w:rPr>
                <w:b/>
                <w:sz w:val="21"/>
              </w:rPr>
              <w:t>3.2</w:t>
            </w:r>
          </w:p>
        </w:tc>
        <w:tc>
          <w:tcPr>
            <w:tcW w:w="1972" w:type="dxa"/>
          </w:tcPr>
          <w:p>
            <w:pPr>
              <w:pStyle w:val="TableParagraph"/>
              <w:spacing w:before="99"/>
              <w:ind w:left="162"/>
              <w:rPr>
                <w:b/>
                <w:sz w:val="21"/>
              </w:rPr>
            </w:pPr>
            <w:r>
              <w:rPr>
                <w:b/>
                <w:sz w:val="21"/>
              </w:rPr>
              <w:t>保险金申请</w:t>
            </w:r>
          </w:p>
        </w:tc>
        <w:tc>
          <w:tcPr>
            <w:tcW w:w="7318" w:type="dxa"/>
          </w:tcPr>
          <w:p>
            <w:pPr>
              <w:pStyle w:val="TableParagraph"/>
              <w:spacing w:before="99"/>
              <w:ind w:left="122"/>
              <w:rPr>
                <w:sz w:val="21"/>
              </w:rPr>
            </w:pPr>
            <w:r>
              <w:rPr>
                <w:sz w:val="21"/>
              </w:rPr>
              <w:t>在申请保险金时，请按照下列方式办理：</w:t>
            </w:r>
          </w:p>
        </w:tc>
      </w:tr>
      <w:tr>
        <w:trPr>
          <w:trHeight w:val="2723" w:hRule="atLeast"/>
        </w:trPr>
        <w:tc>
          <w:tcPr>
            <w:tcW w:w="812" w:type="dxa"/>
          </w:tcPr>
          <w:p>
            <w:pPr>
              <w:pStyle w:val="TableParagraph"/>
              <w:spacing w:before="100"/>
              <w:ind w:left="122"/>
              <w:rPr>
                <w:b/>
                <w:sz w:val="21"/>
              </w:rPr>
            </w:pPr>
            <w:r>
              <w:rPr>
                <w:b/>
                <w:sz w:val="21"/>
              </w:rPr>
              <w:t>3.2.1</w:t>
            </w:r>
          </w:p>
        </w:tc>
        <w:tc>
          <w:tcPr>
            <w:tcW w:w="1972" w:type="dxa"/>
          </w:tcPr>
          <w:p>
            <w:pPr>
              <w:pStyle w:val="TableParagraph"/>
              <w:spacing w:line="273" w:lineRule="auto" w:before="100"/>
              <w:ind w:left="162" w:right="119"/>
              <w:rPr>
                <w:b/>
                <w:sz w:val="21"/>
              </w:rPr>
            </w:pPr>
            <w:r>
              <w:rPr>
                <w:b/>
                <w:sz w:val="21"/>
              </w:rPr>
              <w:t>重大疾病保险金/ 特定疾病保险金/ 轻症疾病保险金申请</w:t>
            </w:r>
          </w:p>
        </w:tc>
        <w:tc>
          <w:tcPr>
            <w:tcW w:w="7318" w:type="dxa"/>
          </w:tcPr>
          <w:p>
            <w:pPr>
              <w:pStyle w:val="TableParagraph"/>
              <w:spacing w:line="273" w:lineRule="auto" w:before="100"/>
              <w:ind w:left="122" w:right="102"/>
              <w:rPr>
                <w:sz w:val="21"/>
              </w:rPr>
            </w:pPr>
            <w:r>
              <w:rPr>
                <w:spacing w:val="-7"/>
                <w:sz w:val="21"/>
              </w:rPr>
              <w:t>在申请保险金时，受益人作为申请人填写保险金给付申请书，并须提供下列证</w:t>
            </w:r>
            <w:r>
              <w:rPr>
                <w:spacing w:val="-1"/>
                <w:sz w:val="21"/>
              </w:rPr>
              <w:t>明和资料：</w:t>
            </w:r>
          </w:p>
          <w:p>
            <w:pPr>
              <w:pStyle w:val="TableParagraph"/>
              <w:spacing w:before="7"/>
              <w:ind w:left="122"/>
              <w:rPr>
                <w:sz w:val="21"/>
              </w:rPr>
            </w:pPr>
            <w:r>
              <w:rPr>
                <w:sz w:val="21"/>
              </w:rPr>
              <w:t>（1）保险合同；</w:t>
            </w:r>
          </w:p>
          <w:p>
            <w:pPr>
              <w:pStyle w:val="TableParagraph"/>
              <w:spacing w:before="37"/>
              <w:ind w:left="122"/>
              <w:rPr>
                <w:sz w:val="21"/>
              </w:rPr>
            </w:pPr>
            <w:r>
              <w:rPr>
                <w:w w:val="100"/>
                <w:sz w:val="21"/>
              </w:rPr>
              <w:t>（2</w:t>
            </w:r>
            <w:r>
              <w:rPr>
                <w:spacing w:val="-3"/>
                <w:w w:val="100"/>
                <w:sz w:val="21"/>
              </w:rPr>
              <w:t>）受益人的</w:t>
            </w:r>
            <w:r>
              <w:rPr>
                <w:b/>
                <w:spacing w:val="-1"/>
                <w:w w:val="100"/>
                <w:sz w:val="21"/>
              </w:rPr>
              <w:t>有效身份证明</w:t>
            </w:r>
            <w:r>
              <w:rPr>
                <w:w w:val="100"/>
                <w:sz w:val="21"/>
              </w:rPr>
              <w:t>（</w:t>
            </w:r>
            <w:r>
              <w:rPr>
                <w:spacing w:val="-3"/>
                <w:w w:val="100"/>
                <w:sz w:val="21"/>
              </w:rPr>
              <w:t>见主合同释义</w:t>
            </w:r>
            <w:r>
              <w:rPr>
                <w:spacing w:val="-106"/>
                <w:w w:val="100"/>
                <w:sz w:val="21"/>
              </w:rPr>
              <w:t>）</w:t>
            </w:r>
            <w:r>
              <w:rPr>
                <w:w w:val="100"/>
                <w:sz w:val="21"/>
              </w:rPr>
              <w:t>；</w:t>
            </w:r>
          </w:p>
          <w:p>
            <w:pPr>
              <w:pStyle w:val="TableParagraph"/>
              <w:spacing w:line="273" w:lineRule="auto" w:before="37"/>
              <w:ind w:left="640" w:right="134" w:hanging="504"/>
              <w:rPr>
                <w:sz w:val="21"/>
              </w:rPr>
            </w:pPr>
            <w:r>
              <w:rPr>
                <w:sz w:val="21"/>
              </w:rPr>
              <w:t>（3）本公司认可</w:t>
            </w:r>
            <w:r>
              <w:rPr>
                <w:b/>
                <w:sz w:val="21"/>
              </w:rPr>
              <w:t>医院</w:t>
            </w:r>
            <w:r>
              <w:rPr>
                <w:sz w:val="21"/>
              </w:rPr>
              <w:t>的</w:t>
            </w:r>
            <w:r>
              <w:rPr>
                <w:b/>
                <w:sz w:val="21"/>
              </w:rPr>
              <w:t>专科医生</w:t>
            </w:r>
            <w:r>
              <w:rPr>
                <w:sz w:val="21"/>
              </w:rPr>
              <w:t>出具的附有被保险人病历、病理、血液及其他科学方法检验报告的诊断证明文件；</w:t>
            </w:r>
          </w:p>
          <w:p>
            <w:pPr>
              <w:pStyle w:val="TableParagraph"/>
              <w:spacing w:before="8"/>
              <w:ind w:left="122"/>
              <w:rPr>
                <w:sz w:val="21"/>
              </w:rPr>
            </w:pPr>
            <w:r>
              <w:rPr>
                <w:sz w:val="21"/>
              </w:rPr>
              <w:t>（4）所能提供的与确认保险事故的性质、原因等有关的其他证明和资料；</w:t>
            </w:r>
          </w:p>
          <w:p>
            <w:pPr>
              <w:pStyle w:val="TableParagraph"/>
              <w:spacing w:before="37"/>
              <w:ind w:left="122"/>
              <w:rPr>
                <w:sz w:val="21"/>
              </w:rPr>
            </w:pPr>
            <w:r>
              <w:rPr>
                <w:sz w:val="21"/>
              </w:rPr>
              <w:t>（5）本公司需要的其他有关文件和资料。</w:t>
            </w:r>
          </w:p>
        </w:tc>
      </w:tr>
      <w:tr>
        <w:trPr>
          <w:trHeight w:val="3346" w:hRule="atLeast"/>
        </w:trPr>
        <w:tc>
          <w:tcPr>
            <w:tcW w:w="812" w:type="dxa"/>
          </w:tcPr>
          <w:p>
            <w:pPr>
              <w:pStyle w:val="TableParagraph"/>
              <w:spacing w:before="100"/>
              <w:ind w:left="122"/>
              <w:rPr>
                <w:b/>
                <w:sz w:val="21"/>
              </w:rPr>
            </w:pPr>
            <w:r>
              <w:rPr>
                <w:b/>
                <w:sz w:val="21"/>
              </w:rPr>
              <w:t>3.2.2</w:t>
            </w:r>
          </w:p>
        </w:tc>
        <w:tc>
          <w:tcPr>
            <w:tcW w:w="1972" w:type="dxa"/>
          </w:tcPr>
          <w:p>
            <w:pPr>
              <w:pStyle w:val="TableParagraph"/>
              <w:spacing w:before="100"/>
              <w:ind w:left="162"/>
              <w:rPr>
                <w:b/>
                <w:sz w:val="21"/>
              </w:rPr>
            </w:pPr>
            <w:r>
              <w:rPr>
                <w:b/>
                <w:sz w:val="21"/>
              </w:rPr>
              <w:t>豁免保险费申请</w:t>
            </w:r>
          </w:p>
        </w:tc>
        <w:tc>
          <w:tcPr>
            <w:tcW w:w="7318" w:type="dxa"/>
          </w:tcPr>
          <w:p>
            <w:pPr>
              <w:pStyle w:val="TableParagraph"/>
              <w:spacing w:line="273" w:lineRule="auto" w:before="100"/>
              <w:ind w:left="122" w:right="153"/>
              <w:rPr>
                <w:sz w:val="21"/>
              </w:rPr>
            </w:pPr>
            <w:r>
              <w:rPr>
                <w:sz w:val="21"/>
              </w:rPr>
              <w:t>1、如果因投保人意外身故申请豁免保险费的，被保险人作为申请人填写保险金给付申请书，并须提供下列证明和资料：</w:t>
            </w:r>
          </w:p>
          <w:p>
            <w:pPr>
              <w:pStyle w:val="TableParagraph"/>
              <w:spacing w:before="7"/>
              <w:ind w:left="122"/>
              <w:rPr>
                <w:sz w:val="21"/>
              </w:rPr>
            </w:pPr>
            <w:r>
              <w:rPr>
                <w:sz w:val="21"/>
              </w:rPr>
              <w:t>（1）保险合同；</w:t>
            </w:r>
          </w:p>
          <w:p>
            <w:pPr>
              <w:pStyle w:val="TableParagraph"/>
              <w:spacing w:before="37"/>
              <w:ind w:left="122"/>
              <w:rPr>
                <w:sz w:val="21"/>
              </w:rPr>
            </w:pPr>
            <w:r>
              <w:rPr>
                <w:sz w:val="21"/>
              </w:rPr>
              <w:t>（2）申请人的</w:t>
            </w:r>
            <w:r>
              <w:rPr>
                <w:b/>
                <w:sz w:val="21"/>
              </w:rPr>
              <w:t>有效身份证明</w:t>
            </w:r>
            <w:r>
              <w:rPr>
                <w:sz w:val="21"/>
              </w:rPr>
              <w:t>；</w:t>
            </w:r>
          </w:p>
          <w:p>
            <w:pPr>
              <w:pStyle w:val="TableParagraph"/>
              <w:spacing w:before="37"/>
              <w:ind w:left="122"/>
              <w:rPr>
                <w:sz w:val="21"/>
              </w:rPr>
            </w:pPr>
            <w:r>
              <w:rPr>
                <w:sz w:val="21"/>
              </w:rPr>
              <w:t>（3）投保人的户籍注销证明；</w:t>
            </w:r>
          </w:p>
          <w:p>
            <w:pPr>
              <w:pStyle w:val="TableParagraph"/>
              <w:spacing w:line="273" w:lineRule="auto" w:before="37"/>
              <w:ind w:left="626" w:right="153" w:hanging="505"/>
              <w:rPr>
                <w:sz w:val="21"/>
              </w:rPr>
            </w:pPr>
            <w:r>
              <w:rPr>
                <w:sz w:val="21"/>
              </w:rPr>
              <w:t>（4）国家卫生行政部门认可的医疗机构、公安部门或其他相关机构出具的投保人的死亡证明；</w:t>
            </w:r>
          </w:p>
          <w:p>
            <w:pPr>
              <w:pStyle w:val="TableParagraph"/>
              <w:spacing w:before="7"/>
              <w:ind w:left="122"/>
              <w:rPr>
                <w:sz w:val="21"/>
              </w:rPr>
            </w:pPr>
            <w:r>
              <w:rPr>
                <w:sz w:val="21"/>
              </w:rPr>
              <w:t>（5）如投保人为宣告死亡，须提供法院出具的宣告死亡判决书；</w:t>
            </w:r>
          </w:p>
          <w:p>
            <w:pPr>
              <w:pStyle w:val="TableParagraph"/>
              <w:spacing w:before="36"/>
              <w:ind w:left="123"/>
              <w:rPr>
                <w:sz w:val="21"/>
              </w:rPr>
            </w:pPr>
            <w:r>
              <w:rPr>
                <w:sz w:val="21"/>
              </w:rPr>
              <w:t>（6）所能提供的与确认保险事故的性质、原因等有关的其他证明和资料；</w:t>
            </w:r>
          </w:p>
          <w:p>
            <w:pPr>
              <w:pStyle w:val="TableParagraph"/>
              <w:spacing w:before="36"/>
              <w:ind w:left="123"/>
              <w:rPr>
                <w:sz w:val="21"/>
              </w:rPr>
            </w:pPr>
            <w:r>
              <w:rPr>
                <w:sz w:val="21"/>
              </w:rPr>
              <w:t>（7）本公司需要的其他有关文件和资料。</w:t>
            </w:r>
          </w:p>
        </w:tc>
      </w:tr>
      <w:tr>
        <w:trPr>
          <w:trHeight w:val="2722" w:hRule="atLeast"/>
        </w:trPr>
        <w:tc>
          <w:tcPr>
            <w:tcW w:w="812" w:type="dxa"/>
          </w:tcPr>
          <w:p>
            <w:pPr>
              <w:pStyle w:val="TableParagraph"/>
              <w:rPr>
                <w:rFonts w:ascii="Times New Roman"/>
                <w:sz w:val="20"/>
              </w:rPr>
            </w:pPr>
          </w:p>
        </w:tc>
        <w:tc>
          <w:tcPr>
            <w:tcW w:w="1972" w:type="dxa"/>
          </w:tcPr>
          <w:p>
            <w:pPr>
              <w:pStyle w:val="TableParagraph"/>
              <w:rPr>
                <w:rFonts w:ascii="Times New Roman"/>
                <w:sz w:val="20"/>
              </w:rPr>
            </w:pPr>
          </w:p>
        </w:tc>
        <w:tc>
          <w:tcPr>
            <w:tcW w:w="7318" w:type="dxa"/>
          </w:tcPr>
          <w:p>
            <w:pPr>
              <w:pStyle w:val="TableParagraph"/>
              <w:spacing w:line="273" w:lineRule="auto" w:before="99"/>
              <w:ind w:left="122" w:right="151" w:hanging="1"/>
              <w:rPr>
                <w:sz w:val="21"/>
              </w:rPr>
            </w:pPr>
            <w:r>
              <w:rPr>
                <w:sz w:val="21"/>
              </w:rPr>
              <w:t>2、如果因投保人意外</w:t>
            </w:r>
            <w:r>
              <w:rPr>
                <w:b/>
                <w:sz w:val="21"/>
              </w:rPr>
              <w:t>全残</w:t>
            </w:r>
            <w:r>
              <w:rPr>
                <w:sz w:val="21"/>
              </w:rPr>
              <w:t>申请豁免保险费的，投保人作为申请人填写保险金给付申请书，并须提供下列证明和资料：</w:t>
            </w:r>
          </w:p>
          <w:p>
            <w:pPr>
              <w:pStyle w:val="TableParagraph"/>
              <w:spacing w:before="7"/>
              <w:ind w:left="122"/>
              <w:rPr>
                <w:sz w:val="21"/>
              </w:rPr>
            </w:pPr>
            <w:r>
              <w:rPr>
                <w:sz w:val="21"/>
              </w:rPr>
              <w:t>（1）保险合同；</w:t>
            </w:r>
          </w:p>
          <w:p>
            <w:pPr>
              <w:pStyle w:val="TableParagraph"/>
              <w:spacing w:before="37"/>
              <w:ind w:left="122"/>
              <w:rPr>
                <w:sz w:val="21"/>
              </w:rPr>
            </w:pPr>
            <w:r>
              <w:rPr>
                <w:sz w:val="21"/>
              </w:rPr>
              <w:t>（2）申请人的</w:t>
            </w:r>
            <w:r>
              <w:rPr>
                <w:b/>
                <w:sz w:val="21"/>
              </w:rPr>
              <w:t>有效身份证明</w:t>
            </w:r>
            <w:r>
              <w:rPr>
                <w:sz w:val="21"/>
              </w:rPr>
              <w:t>；</w:t>
            </w:r>
          </w:p>
          <w:p>
            <w:pPr>
              <w:pStyle w:val="TableParagraph"/>
              <w:spacing w:line="273" w:lineRule="auto" w:before="37"/>
              <w:ind w:left="626" w:right="154" w:hanging="505"/>
              <w:rPr>
                <w:sz w:val="21"/>
              </w:rPr>
            </w:pPr>
            <w:r>
              <w:rPr>
                <w:sz w:val="21"/>
              </w:rPr>
              <w:t>（3）双方认可的司法鉴定机构或二级及以上公立医院出具的投保人残疾鉴定证明文件；</w:t>
            </w:r>
          </w:p>
          <w:p>
            <w:pPr>
              <w:pStyle w:val="TableParagraph"/>
              <w:spacing w:before="7"/>
              <w:ind w:left="122"/>
              <w:rPr>
                <w:sz w:val="21"/>
              </w:rPr>
            </w:pPr>
            <w:r>
              <w:rPr>
                <w:sz w:val="21"/>
              </w:rPr>
              <w:t>（4）所能提供的与确认保险事故的性质、原因等有关的其他证明和资料；</w:t>
            </w:r>
          </w:p>
          <w:p>
            <w:pPr>
              <w:pStyle w:val="TableParagraph"/>
              <w:spacing w:before="36"/>
              <w:ind w:left="122"/>
              <w:rPr>
                <w:sz w:val="21"/>
              </w:rPr>
            </w:pPr>
            <w:r>
              <w:rPr>
                <w:sz w:val="21"/>
              </w:rPr>
              <w:t>（5）本公司需要的其他有关文件和资料。</w:t>
            </w:r>
          </w:p>
        </w:tc>
      </w:tr>
      <w:tr>
        <w:trPr>
          <w:trHeight w:val="850" w:hRule="atLeast"/>
        </w:trPr>
        <w:tc>
          <w:tcPr>
            <w:tcW w:w="812" w:type="dxa"/>
          </w:tcPr>
          <w:p>
            <w:pPr>
              <w:pStyle w:val="TableParagraph"/>
              <w:rPr>
                <w:rFonts w:ascii="Times New Roman"/>
                <w:sz w:val="20"/>
              </w:rPr>
            </w:pPr>
          </w:p>
        </w:tc>
        <w:tc>
          <w:tcPr>
            <w:tcW w:w="1972" w:type="dxa"/>
          </w:tcPr>
          <w:p>
            <w:pPr>
              <w:pStyle w:val="TableParagraph"/>
              <w:rPr>
                <w:rFonts w:ascii="Times New Roman"/>
                <w:sz w:val="20"/>
              </w:rPr>
            </w:pPr>
          </w:p>
        </w:tc>
        <w:tc>
          <w:tcPr>
            <w:tcW w:w="7318" w:type="dxa"/>
          </w:tcPr>
          <w:p>
            <w:pPr>
              <w:pStyle w:val="TableParagraph"/>
              <w:spacing w:line="273" w:lineRule="auto" w:before="100"/>
              <w:ind w:left="122" w:right="54"/>
              <w:rPr>
                <w:sz w:val="21"/>
              </w:rPr>
            </w:pPr>
            <w:r>
              <w:rPr>
                <w:sz w:val="21"/>
              </w:rPr>
              <w:t>以上保险金申请的证明和资料不完整的，本公司将及时一次性通知申请人补充提供有关的证明和资料。</w:t>
            </w:r>
          </w:p>
        </w:tc>
      </w:tr>
      <w:tr>
        <w:trPr>
          <w:trHeight w:val="879" w:hRule="atLeast"/>
        </w:trPr>
        <w:tc>
          <w:tcPr>
            <w:tcW w:w="812" w:type="dxa"/>
          </w:tcPr>
          <w:p>
            <w:pPr>
              <w:pStyle w:val="TableParagraph"/>
              <w:spacing w:before="99"/>
              <w:ind w:left="122"/>
              <w:rPr>
                <w:b/>
                <w:sz w:val="21"/>
              </w:rPr>
            </w:pPr>
            <w:r>
              <w:rPr>
                <w:b/>
                <w:sz w:val="21"/>
              </w:rPr>
              <w:t>3.3</w:t>
            </w:r>
          </w:p>
        </w:tc>
        <w:tc>
          <w:tcPr>
            <w:tcW w:w="1972" w:type="dxa"/>
          </w:tcPr>
          <w:p>
            <w:pPr>
              <w:pStyle w:val="TableParagraph"/>
              <w:spacing w:before="99"/>
              <w:ind w:left="162"/>
              <w:rPr>
                <w:b/>
                <w:sz w:val="21"/>
              </w:rPr>
            </w:pPr>
            <w:r>
              <w:rPr>
                <w:b/>
                <w:sz w:val="21"/>
              </w:rPr>
              <w:t>诉讼时效</w:t>
            </w:r>
          </w:p>
        </w:tc>
        <w:tc>
          <w:tcPr>
            <w:tcW w:w="7318" w:type="dxa"/>
          </w:tcPr>
          <w:p>
            <w:pPr>
              <w:pStyle w:val="TableParagraph"/>
              <w:spacing w:line="273" w:lineRule="auto" w:before="99"/>
              <w:ind w:left="122" w:right="103"/>
              <w:rPr>
                <w:sz w:val="21"/>
              </w:rPr>
            </w:pPr>
            <w:r>
              <w:rPr>
                <w:spacing w:val="-5"/>
                <w:sz w:val="21"/>
              </w:rPr>
              <w:t>受益人向本公司请求给付本附加合同保险金的诉讼时效期间为 </w:t>
            </w:r>
            <w:r>
              <w:rPr>
                <w:sz w:val="21"/>
              </w:rPr>
              <w:t>2</w:t>
            </w:r>
            <w:r>
              <w:rPr>
                <w:spacing w:val="-16"/>
                <w:sz w:val="21"/>
              </w:rPr>
              <w:t> 年，自其知道</w:t>
            </w:r>
            <w:r>
              <w:rPr>
                <w:spacing w:val="-3"/>
                <w:sz w:val="21"/>
              </w:rPr>
              <w:t>或者应当知道保险事故发生之日起计算。</w:t>
            </w:r>
          </w:p>
        </w:tc>
      </w:tr>
      <w:tr>
        <w:trPr>
          <w:trHeight w:val="715" w:hRule="atLeast"/>
        </w:trPr>
        <w:tc>
          <w:tcPr>
            <w:tcW w:w="812" w:type="dxa"/>
            <w:tcBorders>
              <w:bottom w:val="single" w:sz="8" w:space="0" w:color="000000"/>
            </w:tcBorders>
          </w:tcPr>
          <w:p>
            <w:pPr>
              <w:pStyle w:val="TableParagraph"/>
              <w:spacing w:before="155"/>
              <w:ind w:left="122"/>
              <w:rPr>
                <w:rFonts w:ascii="Arial" w:hAnsi="Arial"/>
                <w:b/>
                <w:sz w:val="40"/>
              </w:rPr>
            </w:pPr>
            <w:r>
              <w:rPr>
                <w:rFonts w:ascii="Arial" w:hAnsi="Arial"/>
                <w:b/>
                <w:w w:val="119"/>
                <w:sz w:val="40"/>
              </w:rPr>
              <w:t></w:t>
            </w:r>
          </w:p>
        </w:tc>
        <w:tc>
          <w:tcPr>
            <w:tcW w:w="1972" w:type="dxa"/>
            <w:tcBorders>
              <w:bottom w:val="single" w:sz="8" w:space="0" w:color="000000"/>
            </w:tcBorders>
          </w:tcPr>
          <w:p>
            <w:pPr>
              <w:pStyle w:val="TableParagraph"/>
              <w:spacing w:before="207"/>
              <w:ind w:left="162"/>
              <w:rPr>
                <w:b/>
                <w:sz w:val="24"/>
              </w:rPr>
            </w:pPr>
            <w:r>
              <w:rPr>
                <w:b/>
                <w:w w:val="95"/>
                <w:sz w:val="24"/>
              </w:rPr>
              <w:t>现金价值权益</w:t>
            </w:r>
          </w:p>
        </w:tc>
        <w:tc>
          <w:tcPr>
            <w:tcW w:w="7318" w:type="dxa"/>
            <w:tcBorders>
              <w:bottom w:val="single" w:sz="8" w:space="0" w:color="000000"/>
            </w:tcBorders>
          </w:tcPr>
          <w:p>
            <w:pPr>
              <w:pStyle w:val="TableParagraph"/>
              <w:rPr>
                <w:rFonts w:ascii="Times New Roman"/>
                <w:sz w:val="20"/>
              </w:rPr>
            </w:pPr>
          </w:p>
        </w:tc>
      </w:tr>
    </w:tbl>
    <w:p>
      <w:pPr>
        <w:spacing w:after="0"/>
        <w:rPr>
          <w:rFonts w:ascii="Times New Roman"/>
          <w:sz w:val="20"/>
        </w:rPr>
        <w:sectPr>
          <w:pgSz w:w="11910" w:h="16840"/>
          <w:pgMar w:top="1160" w:bottom="280" w:left="78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1"/>
        <w:gridCol w:w="2058"/>
        <w:gridCol w:w="7319"/>
      </w:tblGrid>
      <w:tr>
        <w:trPr>
          <w:trHeight w:val="660" w:hRule="atLeast"/>
        </w:trPr>
        <w:tc>
          <w:tcPr>
            <w:tcW w:w="721" w:type="dxa"/>
            <w:tcBorders>
              <w:top w:val="single" w:sz="8" w:space="0" w:color="000000"/>
            </w:tcBorders>
          </w:tcPr>
          <w:p>
            <w:pPr>
              <w:pStyle w:val="TableParagraph"/>
              <w:spacing w:before="7"/>
              <w:rPr>
                <w:sz w:val="14"/>
              </w:rPr>
            </w:pPr>
          </w:p>
          <w:p>
            <w:pPr>
              <w:pStyle w:val="TableParagraph"/>
              <w:ind w:left="116"/>
              <w:rPr>
                <w:b/>
                <w:sz w:val="21"/>
              </w:rPr>
            </w:pPr>
            <w:r>
              <w:rPr>
                <w:b/>
                <w:sz w:val="21"/>
              </w:rPr>
              <w:t>4.1</w:t>
            </w:r>
          </w:p>
        </w:tc>
        <w:tc>
          <w:tcPr>
            <w:tcW w:w="2058" w:type="dxa"/>
            <w:tcBorders>
              <w:top w:val="single" w:sz="8" w:space="0" w:color="000000"/>
            </w:tcBorders>
          </w:tcPr>
          <w:p>
            <w:pPr>
              <w:pStyle w:val="TableParagraph"/>
              <w:spacing w:before="7"/>
              <w:rPr>
                <w:sz w:val="14"/>
              </w:rPr>
            </w:pPr>
          </w:p>
          <w:p>
            <w:pPr>
              <w:pStyle w:val="TableParagraph"/>
              <w:ind w:left="247"/>
              <w:rPr>
                <w:b/>
                <w:sz w:val="21"/>
              </w:rPr>
            </w:pPr>
            <w:r>
              <w:rPr>
                <w:b/>
                <w:sz w:val="21"/>
              </w:rPr>
              <w:t>现金价值</w:t>
            </w:r>
          </w:p>
        </w:tc>
        <w:tc>
          <w:tcPr>
            <w:tcW w:w="7319" w:type="dxa"/>
            <w:tcBorders>
              <w:top w:val="single" w:sz="8" w:space="0" w:color="000000"/>
            </w:tcBorders>
          </w:tcPr>
          <w:p>
            <w:pPr>
              <w:pStyle w:val="TableParagraph"/>
              <w:spacing w:before="7"/>
              <w:rPr>
                <w:sz w:val="14"/>
              </w:rPr>
            </w:pPr>
          </w:p>
          <w:p>
            <w:pPr>
              <w:pStyle w:val="TableParagraph"/>
              <w:ind w:left="121"/>
              <w:rPr>
                <w:sz w:val="21"/>
              </w:rPr>
            </w:pPr>
            <w:r>
              <w:rPr>
                <w:sz w:val="21"/>
              </w:rPr>
              <w:t>本附加合同的现金价值会在保险单或批注上载明。</w:t>
            </w:r>
          </w:p>
        </w:tc>
      </w:tr>
      <w:tr>
        <w:trPr>
          <w:trHeight w:val="711" w:hRule="atLeast"/>
        </w:trPr>
        <w:tc>
          <w:tcPr>
            <w:tcW w:w="721" w:type="dxa"/>
            <w:tcBorders>
              <w:bottom w:val="single" w:sz="8" w:space="0" w:color="000000"/>
            </w:tcBorders>
          </w:tcPr>
          <w:p>
            <w:pPr>
              <w:pStyle w:val="TableParagraph"/>
              <w:spacing w:before="146"/>
              <w:ind w:left="116"/>
              <w:rPr>
                <w:rFonts w:ascii="Arial" w:hAnsi="Arial"/>
                <w:b/>
                <w:sz w:val="40"/>
              </w:rPr>
            </w:pPr>
            <w:r>
              <w:rPr>
                <w:rFonts w:ascii="Arial" w:hAnsi="Arial"/>
                <w:b/>
                <w:w w:val="119"/>
                <w:sz w:val="40"/>
              </w:rPr>
              <w:t></w:t>
            </w:r>
          </w:p>
        </w:tc>
        <w:tc>
          <w:tcPr>
            <w:tcW w:w="9377" w:type="dxa"/>
            <w:gridSpan w:val="2"/>
            <w:tcBorders>
              <w:bottom w:val="single" w:sz="8" w:space="0" w:color="000000"/>
            </w:tcBorders>
          </w:tcPr>
          <w:p>
            <w:pPr>
              <w:pStyle w:val="TableParagraph"/>
              <w:spacing w:before="198"/>
              <w:ind w:left="247"/>
              <w:rPr>
                <w:b/>
                <w:sz w:val="24"/>
              </w:rPr>
            </w:pPr>
            <w:r>
              <w:rPr>
                <w:b/>
                <w:w w:val="95"/>
                <w:sz w:val="24"/>
              </w:rPr>
              <w:t>合同效力的中止及恢复</w:t>
            </w:r>
          </w:p>
        </w:tc>
      </w:tr>
      <w:tr>
        <w:trPr>
          <w:trHeight w:val="946" w:hRule="atLeast"/>
        </w:trPr>
        <w:tc>
          <w:tcPr>
            <w:tcW w:w="721" w:type="dxa"/>
            <w:tcBorders>
              <w:top w:val="single" w:sz="8" w:space="0" w:color="000000"/>
            </w:tcBorders>
          </w:tcPr>
          <w:p>
            <w:pPr>
              <w:pStyle w:val="TableParagraph"/>
              <w:spacing w:before="4"/>
              <w:rPr>
                <w:sz w:val="14"/>
              </w:rPr>
            </w:pPr>
          </w:p>
          <w:p>
            <w:pPr>
              <w:pStyle w:val="TableParagraph"/>
              <w:ind w:left="116"/>
              <w:rPr>
                <w:b/>
                <w:sz w:val="21"/>
              </w:rPr>
            </w:pPr>
            <w:r>
              <w:rPr>
                <w:b/>
                <w:sz w:val="21"/>
              </w:rPr>
              <w:t>5.1</w:t>
            </w:r>
          </w:p>
        </w:tc>
        <w:tc>
          <w:tcPr>
            <w:tcW w:w="2058" w:type="dxa"/>
            <w:tcBorders>
              <w:top w:val="single" w:sz="8" w:space="0" w:color="000000"/>
            </w:tcBorders>
          </w:tcPr>
          <w:p>
            <w:pPr>
              <w:pStyle w:val="TableParagraph"/>
              <w:spacing w:before="4"/>
              <w:rPr>
                <w:sz w:val="14"/>
              </w:rPr>
            </w:pPr>
          </w:p>
          <w:p>
            <w:pPr>
              <w:pStyle w:val="TableParagraph"/>
              <w:ind w:left="247"/>
              <w:rPr>
                <w:b/>
                <w:sz w:val="21"/>
              </w:rPr>
            </w:pPr>
            <w:r>
              <w:rPr>
                <w:b/>
                <w:sz w:val="21"/>
              </w:rPr>
              <w:t>效力中止</w:t>
            </w:r>
          </w:p>
        </w:tc>
        <w:tc>
          <w:tcPr>
            <w:tcW w:w="7319" w:type="dxa"/>
            <w:tcBorders>
              <w:top w:val="single" w:sz="8" w:space="0" w:color="000000"/>
            </w:tcBorders>
          </w:tcPr>
          <w:p>
            <w:pPr>
              <w:pStyle w:val="TableParagraph"/>
              <w:spacing w:before="4"/>
              <w:rPr>
                <w:sz w:val="14"/>
              </w:rPr>
            </w:pPr>
          </w:p>
          <w:p>
            <w:pPr>
              <w:pStyle w:val="TableParagraph"/>
              <w:spacing w:line="273" w:lineRule="auto"/>
              <w:ind w:left="121" w:right="258"/>
              <w:rPr>
                <w:sz w:val="21"/>
              </w:rPr>
            </w:pPr>
            <w:r>
              <w:rPr>
                <w:sz w:val="21"/>
              </w:rPr>
              <w:t>除主合同或本附加合同另有约定外，本附加合同效力的中止与主合同一致。在本附加合同效力中止期间，本公司不承担保险责任。</w:t>
            </w:r>
          </w:p>
        </w:tc>
      </w:tr>
      <w:tr>
        <w:trPr>
          <w:trHeight w:val="564" w:hRule="atLeast"/>
        </w:trPr>
        <w:tc>
          <w:tcPr>
            <w:tcW w:w="721" w:type="dxa"/>
          </w:tcPr>
          <w:p>
            <w:pPr>
              <w:pStyle w:val="TableParagraph"/>
              <w:spacing w:before="96"/>
              <w:ind w:left="116"/>
              <w:rPr>
                <w:b/>
                <w:sz w:val="21"/>
              </w:rPr>
            </w:pPr>
            <w:r>
              <w:rPr>
                <w:b/>
                <w:sz w:val="21"/>
              </w:rPr>
              <w:t>5.2</w:t>
            </w:r>
          </w:p>
        </w:tc>
        <w:tc>
          <w:tcPr>
            <w:tcW w:w="2058" w:type="dxa"/>
          </w:tcPr>
          <w:p>
            <w:pPr>
              <w:pStyle w:val="TableParagraph"/>
              <w:spacing w:before="96"/>
              <w:ind w:left="247"/>
              <w:rPr>
                <w:b/>
                <w:sz w:val="21"/>
              </w:rPr>
            </w:pPr>
            <w:r>
              <w:rPr>
                <w:b/>
                <w:sz w:val="21"/>
              </w:rPr>
              <w:t>效力恢复</w:t>
            </w:r>
          </w:p>
        </w:tc>
        <w:tc>
          <w:tcPr>
            <w:tcW w:w="7319" w:type="dxa"/>
          </w:tcPr>
          <w:p>
            <w:pPr>
              <w:pStyle w:val="TableParagraph"/>
              <w:spacing w:before="96"/>
              <w:ind w:left="121"/>
              <w:rPr>
                <w:sz w:val="21"/>
              </w:rPr>
            </w:pPr>
            <w:r>
              <w:rPr>
                <w:sz w:val="21"/>
              </w:rPr>
              <w:t>除主合同或本附加合同另有约定外，本附加合同效力的恢复与主合同一致。</w:t>
            </w:r>
          </w:p>
        </w:tc>
      </w:tr>
      <w:tr>
        <w:trPr>
          <w:trHeight w:val="710" w:hRule="atLeast"/>
        </w:trPr>
        <w:tc>
          <w:tcPr>
            <w:tcW w:w="721" w:type="dxa"/>
            <w:tcBorders>
              <w:bottom w:val="single" w:sz="8" w:space="0" w:color="000000"/>
            </w:tcBorders>
          </w:tcPr>
          <w:p>
            <w:pPr>
              <w:pStyle w:val="TableParagraph"/>
              <w:spacing w:before="145"/>
              <w:ind w:left="116"/>
              <w:rPr>
                <w:rFonts w:ascii="Arial" w:hAnsi="Arial"/>
                <w:b/>
                <w:sz w:val="40"/>
              </w:rPr>
            </w:pPr>
            <w:r>
              <w:rPr>
                <w:rFonts w:ascii="Arial" w:hAnsi="Arial"/>
                <w:b/>
                <w:w w:val="119"/>
                <w:sz w:val="40"/>
              </w:rPr>
              <w:t></w:t>
            </w:r>
          </w:p>
        </w:tc>
        <w:tc>
          <w:tcPr>
            <w:tcW w:w="2058" w:type="dxa"/>
            <w:tcBorders>
              <w:bottom w:val="single" w:sz="8" w:space="0" w:color="000000"/>
            </w:tcBorders>
          </w:tcPr>
          <w:p>
            <w:pPr>
              <w:pStyle w:val="TableParagraph"/>
              <w:spacing w:before="197"/>
              <w:ind w:left="247"/>
              <w:rPr>
                <w:b/>
                <w:sz w:val="24"/>
              </w:rPr>
            </w:pPr>
            <w:r>
              <w:rPr>
                <w:b/>
                <w:sz w:val="24"/>
              </w:rPr>
              <w:t>合同解除</w:t>
            </w:r>
          </w:p>
        </w:tc>
        <w:tc>
          <w:tcPr>
            <w:tcW w:w="7319" w:type="dxa"/>
            <w:tcBorders>
              <w:bottom w:val="single" w:sz="8" w:space="0" w:color="000000"/>
            </w:tcBorders>
          </w:tcPr>
          <w:p>
            <w:pPr>
              <w:pStyle w:val="TableParagraph"/>
              <w:rPr>
                <w:rFonts w:ascii="Times New Roman"/>
                <w:sz w:val="20"/>
              </w:rPr>
            </w:pPr>
          </w:p>
        </w:tc>
      </w:tr>
      <w:tr>
        <w:trPr>
          <w:trHeight w:val="2531" w:hRule="atLeast"/>
        </w:trPr>
        <w:tc>
          <w:tcPr>
            <w:tcW w:w="721" w:type="dxa"/>
            <w:tcBorders>
              <w:top w:val="single" w:sz="8" w:space="0" w:color="000000"/>
            </w:tcBorders>
          </w:tcPr>
          <w:p>
            <w:pPr>
              <w:pStyle w:val="TableParagraph"/>
              <w:spacing w:before="7"/>
              <w:rPr>
                <w:sz w:val="14"/>
              </w:rPr>
            </w:pPr>
          </w:p>
          <w:p>
            <w:pPr>
              <w:pStyle w:val="TableParagraph"/>
              <w:ind w:left="116"/>
              <w:rPr>
                <w:b/>
                <w:sz w:val="21"/>
              </w:rPr>
            </w:pPr>
            <w:r>
              <w:rPr>
                <w:b/>
                <w:sz w:val="21"/>
              </w:rPr>
              <w:t>6.1</w:t>
            </w:r>
          </w:p>
        </w:tc>
        <w:tc>
          <w:tcPr>
            <w:tcW w:w="2058" w:type="dxa"/>
            <w:tcBorders>
              <w:top w:val="single" w:sz="8" w:space="0" w:color="000000"/>
            </w:tcBorders>
          </w:tcPr>
          <w:p>
            <w:pPr>
              <w:pStyle w:val="TableParagraph"/>
              <w:spacing w:before="7"/>
              <w:rPr>
                <w:sz w:val="14"/>
              </w:rPr>
            </w:pPr>
          </w:p>
          <w:p>
            <w:pPr>
              <w:pStyle w:val="TableParagraph"/>
              <w:spacing w:line="273" w:lineRule="auto"/>
              <w:ind w:left="247" w:right="119"/>
              <w:rPr>
                <w:b/>
                <w:sz w:val="21"/>
              </w:rPr>
            </w:pPr>
            <w:r>
              <w:rPr>
                <w:b/>
                <w:sz w:val="21"/>
              </w:rPr>
              <w:t>您解除合同的手续及风险</w:t>
            </w:r>
          </w:p>
        </w:tc>
        <w:tc>
          <w:tcPr>
            <w:tcW w:w="7319" w:type="dxa"/>
            <w:tcBorders>
              <w:top w:val="single" w:sz="8" w:space="0" w:color="000000"/>
            </w:tcBorders>
          </w:tcPr>
          <w:p>
            <w:pPr>
              <w:pStyle w:val="TableParagraph"/>
              <w:spacing w:before="7"/>
              <w:rPr>
                <w:sz w:val="14"/>
              </w:rPr>
            </w:pPr>
          </w:p>
          <w:p>
            <w:pPr>
              <w:pStyle w:val="TableParagraph"/>
              <w:spacing w:line="273" w:lineRule="auto"/>
              <w:ind w:left="120" w:right="55"/>
              <w:rPr>
                <w:sz w:val="21"/>
              </w:rPr>
            </w:pPr>
            <w:r>
              <w:rPr>
                <w:sz w:val="21"/>
              </w:rPr>
              <w:t>如您在犹豫期后申请解除本附加合同，请填写解除合同申请书并向本公司提供下列资料：</w:t>
            </w:r>
          </w:p>
          <w:p>
            <w:pPr>
              <w:pStyle w:val="TableParagraph"/>
              <w:spacing w:before="7"/>
              <w:ind w:left="120"/>
              <w:rPr>
                <w:sz w:val="21"/>
              </w:rPr>
            </w:pPr>
            <w:r>
              <w:rPr>
                <w:sz w:val="21"/>
              </w:rPr>
              <w:t>（1）保险合同；</w:t>
            </w:r>
          </w:p>
          <w:p>
            <w:pPr>
              <w:pStyle w:val="TableParagraph"/>
              <w:spacing w:before="36"/>
              <w:ind w:left="121"/>
              <w:rPr>
                <w:sz w:val="21"/>
              </w:rPr>
            </w:pPr>
            <w:r>
              <w:rPr>
                <w:sz w:val="21"/>
              </w:rPr>
              <w:t>（2）您的</w:t>
            </w:r>
            <w:r>
              <w:rPr>
                <w:b/>
                <w:sz w:val="21"/>
              </w:rPr>
              <w:t>有效身份证明</w:t>
            </w:r>
            <w:r>
              <w:rPr>
                <w:sz w:val="21"/>
              </w:rPr>
              <w:t>。</w:t>
            </w:r>
          </w:p>
          <w:p>
            <w:pPr>
              <w:pStyle w:val="TableParagraph"/>
              <w:spacing w:line="273" w:lineRule="auto" w:before="36"/>
              <w:ind w:left="121" w:right="105"/>
              <w:rPr>
                <w:rFonts w:ascii="黑体" w:eastAsia="黑体" w:hint="eastAsia"/>
                <w:sz w:val="21"/>
              </w:rPr>
            </w:pPr>
            <w:r>
              <w:rPr>
                <w:rFonts w:ascii="黑体" w:eastAsia="黑体" w:hint="eastAsia"/>
                <w:spacing w:val="-6"/>
                <w:sz w:val="21"/>
              </w:rPr>
              <w:t>自本公司收到解除合同申请书之日起，本附加合同终止。本公司自收到解除合</w:t>
            </w:r>
            <w:r>
              <w:rPr>
                <w:rFonts w:ascii="黑体" w:eastAsia="黑体" w:hint="eastAsia"/>
                <w:spacing w:val="-8"/>
                <w:sz w:val="21"/>
              </w:rPr>
              <w:t>同申请书之日起 </w:t>
            </w:r>
            <w:r>
              <w:rPr>
                <w:rFonts w:ascii="黑体" w:eastAsia="黑体" w:hint="eastAsia"/>
                <w:sz w:val="21"/>
              </w:rPr>
              <w:t>30</w:t>
            </w:r>
            <w:r>
              <w:rPr>
                <w:rFonts w:ascii="黑体" w:eastAsia="黑体" w:hint="eastAsia"/>
                <w:spacing w:val="-8"/>
                <w:sz w:val="21"/>
              </w:rPr>
              <w:t> 日内向您退还本附加合同的现金价值。</w:t>
            </w:r>
          </w:p>
          <w:p>
            <w:pPr>
              <w:pStyle w:val="TableParagraph"/>
              <w:spacing w:before="7"/>
              <w:ind w:left="121"/>
              <w:rPr>
                <w:rFonts w:ascii="黑体" w:eastAsia="黑体" w:hint="eastAsia"/>
                <w:sz w:val="21"/>
              </w:rPr>
            </w:pPr>
            <w:r>
              <w:rPr>
                <w:rFonts w:ascii="黑体" w:eastAsia="黑体" w:hint="eastAsia"/>
                <w:sz w:val="21"/>
              </w:rPr>
              <w:t>您在犹豫期后解除合同会遭受一定损失。</w:t>
            </w:r>
          </w:p>
        </w:tc>
      </w:tr>
      <w:tr>
        <w:trPr>
          <w:trHeight w:val="710" w:hRule="atLeast"/>
        </w:trPr>
        <w:tc>
          <w:tcPr>
            <w:tcW w:w="721" w:type="dxa"/>
            <w:tcBorders>
              <w:bottom w:val="single" w:sz="8" w:space="0" w:color="000000"/>
            </w:tcBorders>
          </w:tcPr>
          <w:p>
            <w:pPr>
              <w:pStyle w:val="TableParagraph"/>
              <w:spacing w:before="145"/>
              <w:ind w:left="116"/>
              <w:rPr>
                <w:rFonts w:ascii="Arial" w:hAnsi="Arial"/>
                <w:b/>
                <w:sz w:val="40"/>
              </w:rPr>
            </w:pPr>
            <w:r>
              <w:rPr>
                <w:rFonts w:ascii="Arial" w:hAnsi="Arial"/>
                <w:b/>
                <w:w w:val="119"/>
                <w:sz w:val="40"/>
              </w:rPr>
              <w:t></w:t>
            </w:r>
          </w:p>
        </w:tc>
        <w:tc>
          <w:tcPr>
            <w:tcW w:w="9377" w:type="dxa"/>
            <w:gridSpan w:val="2"/>
            <w:tcBorders>
              <w:bottom w:val="single" w:sz="8" w:space="0" w:color="000000"/>
            </w:tcBorders>
          </w:tcPr>
          <w:p>
            <w:pPr>
              <w:pStyle w:val="TableParagraph"/>
              <w:spacing w:before="197"/>
              <w:ind w:left="247"/>
              <w:rPr>
                <w:b/>
                <w:sz w:val="24"/>
              </w:rPr>
            </w:pPr>
            <w:r>
              <w:rPr>
                <w:b/>
                <w:w w:val="95"/>
                <w:sz w:val="24"/>
              </w:rPr>
              <w:t>其他需要关注的事项</w:t>
            </w:r>
          </w:p>
        </w:tc>
      </w:tr>
      <w:tr>
        <w:trPr>
          <w:trHeight w:val="1571" w:hRule="atLeast"/>
        </w:trPr>
        <w:tc>
          <w:tcPr>
            <w:tcW w:w="721" w:type="dxa"/>
            <w:tcBorders>
              <w:top w:val="single" w:sz="8" w:space="0" w:color="000000"/>
            </w:tcBorders>
          </w:tcPr>
          <w:p>
            <w:pPr>
              <w:pStyle w:val="TableParagraph"/>
              <w:spacing w:before="7"/>
              <w:rPr>
                <w:sz w:val="14"/>
              </w:rPr>
            </w:pPr>
          </w:p>
          <w:p>
            <w:pPr>
              <w:pStyle w:val="TableParagraph"/>
              <w:ind w:left="116"/>
              <w:rPr>
                <w:b/>
                <w:sz w:val="21"/>
              </w:rPr>
            </w:pPr>
            <w:r>
              <w:rPr>
                <w:b/>
                <w:sz w:val="21"/>
              </w:rPr>
              <w:t>7.1</w:t>
            </w:r>
          </w:p>
        </w:tc>
        <w:tc>
          <w:tcPr>
            <w:tcW w:w="2058" w:type="dxa"/>
            <w:tcBorders>
              <w:top w:val="single" w:sz="8" w:space="0" w:color="000000"/>
            </w:tcBorders>
          </w:tcPr>
          <w:p>
            <w:pPr>
              <w:pStyle w:val="TableParagraph"/>
              <w:spacing w:before="7"/>
              <w:rPr>
                <w:sz w:val="14"/>
              </w:rPr>
            </w:pPr>
          </w:p>
          <w:p>
            <w:pPr>
              <w:pStyle w:val="TableParagraph"/>
              <w:ind w:left="247"/>
              <w:rPr>
                <w:b/>
                <w:sz w:val="21"/>
              </w:rPr>
            </w:pPr>
            <w:r>
              <w:rPr>
                <w:b/>
                <w:sz w:val="21"/>
              </w:rPr>
              <w:t>效力终止</w:t>
            </w:r>
          </w:p>
        </w:tc>
        <w:tc>
          <w:tcPr>
            <w:tcW w:w="7319" w:type="dxa"/>
            <w:tcBorders>
              <w:top w:val="single" w:sz="8" w:space="0" w:color="000000"/>
            </w:tcBorders>
          </w:tcPr>
          <w:p>
            <w:pPr>
              <w:pStyle w:val="TableParagraph"/>
              <w:spacing w:before="7"/>
              <w:rPr>
                <w:sz w:val="14"/>
              </w:rPr>
            </w:pPr>
          </w:p>
          <w:p>
            <w:pPr>
              <w:pStyle w:val="TableParagraph"/>
              <w:spacing w:line="273" w:lineRule="auto"/>
              <w:ind w:left="121" w:right="52"/>
              <w:rPr>
                <w:sz w:val="21"/>
              </w:rPr>
            </w:pPr>
            <w:r>
              <w:rPr>
                <w:sz w:val="21"/>
              </w:rPr>
              <w:t>除主合同或本附加合同另有约定外，本附加合同的效力在主合同撤销、解除、期满、终止或变更为减额交清保险时自动终止。</w:t>
            </w:r>
          </w:p>
          <w:p>
            <w:pPr>
              <w:pStyle w:val="TableParagraph"/>
              <w:spacing w:line="273" w:lineRule="auto" w:before="7"/>
              <w:ind w:left="121" w:right="105"/>
              <w:rPr>
                <w:sz w:val="21"/>
              </w:rPr>
            </w:pPr>
            <w:r>
              <w:rPr>
                <w:spacing w:val="-8"/>
                <w:sz w:val="21"/>
              </w:rPr>
              <w:t>因主合同解除、终止或变更为减额交清保险时导致本附加合同终止的，本公司</w:t>
            </w:r>
            <w:r>
              <w:rPr>
                <w:spacing w:val="-3"/>
                <w:sz w:val="21"/>
              </w:rPr>
              <w:t>向您退还本附加合同的现金价值。</w:t>
            </w:r>
          </w:p>
        </w:tc>
      </w:tr>
      <w:tr>
        <w:trPr>
          <w:trHeight w:val="5243" w:hRule="atLeast"/>
        </w:trPr>
        <w:tc>
          <w:tcPr>
            <w:tcW w:w="721" w:type="dxa"/>
          </w:tcPr>
          <w:p>
            <w:pPr>
              <w:pStyle w:val="TableParagraph"/>
              <w:spacing w:before="95"/>
              <w:ind w:left="116"/>
              <w:rPr>
                <w:b/>
                <w:sz w:val="21"/>
              </w:rPr>
            </w:pPr>
            <w:r>
              <w:rPr>
                <w:b/>
                <w:sz w:val="21"/>
              </w:rPr>
              <w:t>7.2</w:t>
            </w:r>
          </w:p>
        </w:tc>
        <w:tc>
          <w:tcPr>
            <w:tcW w:w="2058" w:type="dxa"/>
          </w:tcPr>
          <w:p>
            <w:pPr>
              <w:pStyle w:val="TableParagraph"/>
              <w:spacing w:before="95"/>
              <w:ind w:left="247"/>
              <w:rPr>
                <w:b/>
                <w:sz w:val="21"/>
              </w:rPr>
            </w:pPr>
            <w:r>
              <w:rPr>
                <w:b/>
                <w:sz w:val="21"/>
              </w:rPr>
              <w:t>适用主合同条款</w:t>
            </w:r>
          </w:p>
        </w:tc>
        <w:tc>
          <w:tcPr>
            <w:tcW w:w="7319" w:type="dxa"/>
          </w:tcPr>
          <w:p>
            <w:pPr>
              <w:pStyle w:val="TableParagraph"/>
              <w:spacing w:before="95"/>
              <w:ind w:left="121"/>
              <w:rPr>
                <w:sz w:val="21"/>
              </w:rPr>
            </w:pPr>
            <w:r>
              <w:rPr>
                <w:sz w:val="21"/>
              </w:rPr>
              <w:t>主合同订立的下列各项条款适用于本附加合同：</w:t>
            </w:r>
          </w:p>
          <w:p>
            <w:pPr>
              <w:pStyle w:val="TableParagraph"/>
              <w:spacing w:before="37"/>
              <w:ind w:left="121"/>
              <w:rPr>
                <w:sz w:val="21"/>
              </w:rPr>
            </w:pPr>
            <w:r>
              <w:rPr>
                <w:sz w:val="21"/>
              </w:rPr>
              <w:t>（1）合同成立与生效</w:t>
            </w:r>
          </w:p>
          <w:p>
            <w:pPr>
              <w:pStyle w:val="TableParagraph"/>
              <w:spacing w:before="37"/>
              <w:ind w:left="121"/>
              <w:rPr>
                <w:sz w:val="21"/>
              </w:rPr>
            </w:pPr>
            <w:r>
              <w:rPr>
                <w:sz w:val="21"/>
              </w:rPr>
              <w:t>（2）犹豫期</w:t>
            </w:r>
          </w:p>
          <w:p>
            <w:pPr>
              <w:pStyle w:val="TableParagraph"/>
              <w:spacing w:before="37"/>
              <w:ind w:left="121"/>
              <w:rPr>
                <w:sz w:val="21"/>
              </w:rPr>
            </w:pPr>
            <w:r>
              <w:rPr>
                <w:sz w:val="21"/>
              </w:rPr>
              <w:t>（3）保险事故通知</w:t>
            </w:r>
          </w:p>
          <w:p>
            <w:pPr>
              <w:pStyle w:val="TableParagraph"/>
              <w:spacing w:before="37"/>
              <w:ind w:left="121"/>
              <w:rPr>
                <w:sz w:val="21"/>
              </w:rPr>
            </w:pPr>
            <w:r>
              <w:rPr>
                <w:sz w:val="21"/>
              </w:rPr>
              <w:t>（4）保险金给付</w:t>
            </w:r>
          </w:p>
          <w:p>
            <w:pPr>
              <w:pStyle w:val="TableParagraph"/>
              <w:spacing w:before="37"/>
              <w:ind w:left="121"/>
              <w:rPr>
                <w:sz w:val="21"/>
              </w:rPr>
            </w:pPr>
            <w:r>
              <w:rPr>
                <w:sz w:val="21"/>
              </w:rPr>
              <w:t>（5）保险费的交纳</w:t>
            </w:r>
          </w:p>
          <w:p>
            <w:pPr>
              <w:pStyle w:val="TableParagraph"/>
              <w:spacing w:before="37"/>
              <w:ind w:left="121"/>
              <w:rPr>
                <w:sz w:val="21"/>
              </w:rPr>
            </w:pPr>
            <w:r>
              <w:rPr>
                <w:sz w:val="21"/>
              </w:rPr>
              <w:t>（6）宽限期</w:t>
            </w:r>
          </w:p>
          <w:p>
            <w:pPr>
              <w:pStyle w:val="TableParagraph"/>
              <w:spacing w:before="37"/>
              <w:ind w:left="121"/>
              <w:rPr>
                <w:sz w:val="21"/>
              </w:rPr>
            </w:pPr>
            <w:r>
              <w:rPr>
                <w:sz w:val="21"/>
              </w:rPr>
              <w:t>（7）保单贷款</w:t>
            </w:r>
          </w:p>
          <w:p>
            <w:pPr>
              <w:pStyle w:val="TableParagraph"/>
              <w:spacing w:before="37"/>
              <w:ind w:left="121"/>
              <w:rPr>
                <w:sz w:val="21"/>
              </w:rPr>
            </w:pPr>
            <w:r>
              <w:rPr>
                <w:sz w:val="21"/>
              </w:rPr>
              <w:t>（8）保险费自动垫交</w:t>
            </w:r>
          </w:p>
          <w:p>
            <w:pPr>
              <w:pStyle w:val="TableParagraph"/>
              <w:spacing w:before="37"/>
              <w:ind w:left="121"/>
              <w:rPr>
                <w:sz w:val="21"/>
              </w:rPr>
            </w:pPr>
            <w:r>
              <w:rPr>
                <w:sz w:val="21"/>
              </w:rPr>
              <w:t>（9）明确说明与如实告知</w:t>
            </w:r>
          </w:p>
          <w:p>
            <w:pPr>
              <w:pStyle w:val="TableParagraph"/>
              <w:spacing w:before="37"/>
              <w:ind w:left="121"/>
              <w:rPr>
                <w:sz w:val="21"/>
              </w:rPr>
            </w:pPr>
            <w:r>
              <w:rPr>
                <w:sz w:val="21"/>
              </w:rPr>
              <w:t>（10）本公司合同解除权的限制</w:t>
            </w:r>
          </w:p>
          <w:p>
            <w:pPr>
              <w:pStyle w:val="TableParagraph"/>
              <w:spacing w:before="37"/>
              <w:ind w:left="121"/>
              <w:rPr>
                <w:sz w:val="21"/>
              </w:rPr>
            </w:pPr>
            <w:r>
              <w:rPr>
                <w:sz w:val="21"/>
              </w:rPr>
              <w:t>（11）年龄性别错误</w:t>
            </w:r>
          </w:p>
          <w:p>
            <w:pPr>
              <w:pStyle w:val="TableParagraph"/>
              <w:spacing w:before="37"/>
              <w:ind w:left="121"/>
              <w:rPr>
                <w:sz w:val="21"/>
              </w:rPr>
            </w:pPr>
            <w:r>
              <w:rPr>
                <w:sz w:val="21"/>
              </w:rPr>
              <w:t>（12）未还款项</w:t>
            </w:r>
          </w:p>
          <w:p>
            <w:pPr>
              <w:pStyle w:val="TableParagraph"/>
              <w:spacing w:before="37"/>
              <w:ind w:left="121"/>
              <w:rPr>
                <w:sz w:val="21"/>
              </w:rPr>
            </w:pPr>
            <w:r>
              <w:rPr>
                <w:sz w:val="21"/>
              </w:rPr>
              <w:t>（13）合同内容变更</w:t>
            </w:r>
          </w:p>
          <w:p>
            <w:pPr>
              <w:pStyle w:val="TableParagraph"/>
              <w:spacing w:before="37"/>
              <w:ind w:left="121"/>
              <w:rPr>
                <w:sz w:val="21"/>
              </w:rPr>
            </w:pPr>
            <w:r>
              <w:rPr>
                <w:sz w:val="21"/>
              </w:rPr>
              <w:t>（14）争议处理</w:t>
            </w:r>
          </w:p>
          <w:p>
            <w:pPr>
              <w:pStyle w:val="TableParagraph"/>
              <w:spacing w:before="37"/>
              <w:ind w:left="121"/>
              <w:rPr>
                <w:sz w:val="21"/>
              </w:rPr>
            </w:pPr>
            <w:r>
              <w:rPr>
                <w:sz w:val="21"/>
              </w:rPr>
              <w:t>如果本附加合同的条款与主合同不一致，则以本附加合同的条款为准。</w:t>
            </w:r>
          </w:p>
        </w:tc>
      </w:tr>
      <w:tr>
        <w:trPr>
          <w:trHeight w:val="710" w:hRule="atLeast"/>
        </w:trPr>
        <w:tc>
          <w:tcPr>
            <w:tcW w:w="721" w:type="dxa"/>
            <w:tcBorders>
              <w:bottom w:val="single" w:sz="8" w:space="0" w:color="000000"/>
            </w:tcBorders>
          </w:tcPr>
          <w:p>
            <w:pPr>
              <w:pStyle w:val="TableParagraph"/>
              <w:spacing w:before="145"/>
              <w:ind w:left="116"/>
              <w:rPr>
                <w:rFonts w:ascii="Arial" w:hAnsi="Arial"/>
                <w:b/>
                <w:sz w:val="40"/>
              </w:rPr>
            </w:pPr>
            <w:r>
              <w:rPr>
                <w:rFonts w:ascii="Arial" w:hAnsi="Arial"/>
                <w:b/>
                <w:w w:val="119"/>
                <w:sz w:val="40"/>
              </w:rPr>
              <w:t></w:t>
            </w:r>
          </w:p>
        </w:tc>
        <w:tc>
          <w:tcPr>
            <w:tcW w:w="2058" w:type="dxa"/>
            <w:tcBorders>
              <w:bottom w:val="single" w:sz="8" w:space="0" w:color="000000"/>
            </w:tcBorders>
          </w:tcPr>
          <w:p>
            <w:pPr>
              <w:pStyle w:val="TableParagraph"/>
              <w:spacing w:before="197"/>
              <w:ind w:left="247"/>
              <w:rPr>
                <w:b/>
                <w:sz w:val="24"/>
              </w:rPr>
            </w:pPr>
            <w:r>
              <w:rPr>
                <w:b/>
                <w:sz w:val="24"/>
              </w:rPr>
              <w:t>释义</w:t>
            </w:r>
          </w:p>
        </w:tc>
        <w:tc>
          <w:tcPr>
            <w:tcW w:w="7319" w:type="dxa"/>
            <w:tcBorders>
              <w:bottom w:val="single" w:sz="8" w:space="0" w:color="000000"/>
            </w:tcBorders>
          </w:tcPr>
          <w:p>
            <w:pPr>
              <w:pStyle w:val="TableParagraph"/>
              <w:rPr>
                <w:rFonts w:ascii="Times New Roman"/>
                <w:sz w:val="20"/>
              </w:rPr>
            </w:pPr>
          </w:p>
        </w:tc>
      </w:tr>
    </w:tbl>
    <w:p>
      <w:pPr>
        <w:spacing w:after="0"/>
        <w:rPr>
          <w:rFonts w:ascii="Times New Roman"/>
          <w:sz w:val="20"/>
        </w:rPr>
        <w:sectPr>
          <w:pgSz w:w="11910" w:h="16840"/>
          <w:pgMar w:top="1120" w:bottom="280" w:left="80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2078"/>
        <w:gridCol w:w="7520"/>
      </w:tblGrid>
      <w:tr>
        <w:trPr>
          <w:trHeight w:val="374" w:hRule="atLeast"/>
        </w:trPr>
        <w:tc>
          <w:tcPr>
            <w:tcW w:w="784" w:type="dxa"/>
          </w:tcPr>
          <w:p>
            <w:pPr>
              <w:pStyle w:val="TableParagraph"/>
              <w:spacing w:line="206" w:lineRule="exact"/>
              <w:ind w:left="180" w:right="245"/>
              <w:jc w:val="center"/>
              <w:rPr>
                <w:b/>
                <w:sz w:val="21"/>
              </w:rPr>
            </w:pPr>
            <w:r>
              <w:rPr>
                <w:b/>
                <w:sz w:val="21"/>
              </w:rPr>
              <w:t>8.1</w:t>
            </w:r>
          </w:p>
        </w:tc>
        <w:tc>
          <w:tcPr>
            <w:tcW w:w="2078" w:type="dxa"/>
          </w:tcPr>
          <w:p>
            <w:pPr>
              <w:pStyle w:val="TableParagraph"/>
              <w:spacing w:line="206" w:lineRule="exact"/>
              <w:ind w:left="267"/>
              <w:rPr>
                <w:b/>
                <w:sz w:val="21"/>
              </w:rPr>
            </w:pPr>
            <w:r>
              <w:rPr>
                <w:b/>
                <w:sz w:val="21"/>
              </w:rPr>
              <w:t>意外伤害事故</w:t>
            </w:r>
          </w:p>
        </w:tc>
        <w:tc>
          <w:tcPr>
            <w:tcW w:w="7520" w:type="dxa"/>
          </w:tcPr>
          <w:p>
            <w:pPr>
              <w:pStyle w:val="TableParagraph"/>
              <w:spacing w:line="206" w:lineRule="exact"/>
              <w:ind w:left="121"/>
              <w:rPr>
                <w:sz w:val="21"/>
              </w:rPr>
            </w:pPr>
            <w:r>
              <w:rPr>
                <w:sz w:val="21"/>
              </w:rPr>
              <w:t>指外来的、突发的、 非本意的、非疾病的直接致使身体受到伤害的客观事件。</w:t>
            </w:r>
          </w:p>
        </w:tc>
      </w:tr>
      <w:tr>
        <w:trPr>
          <w:trHeight w:val="850" w:hRule="atLeast"/>
        </w:trPr>
        <w:tc>
          <w:tcPr>
            <w:tcW w:w="784" w:type="dxa"/>
          </w:tcPr>
          <w:p>
            <w:pPr>
              <w:pStyle w:val="TableParagraph"/>
              <w:spacing w:before="94"/>
              <w:ind w:left="180" w:right="245"/>
              <w:jc w:val="center"/>
              <w:rPr>
                <w:b/>
                <w:sz w:val="21"/>
              </w:rPr>
            </w:pPr>
            <w:r>
              <w:rPr>
                <w:b/>
                <w:sz w:val="21"/>
              </w:rPr>
              <w:t>8.2</w:t>
            </w:r>
          </w:p>
        </w:tc>
        <w:tc>
          <w:tcPr>
            <w:tcW w:w="2078" w:type="dxa"/>
          </w:tcPr>
          <w:p>
            <w:pPr>
              <w:pStyle w:val="TableParagraph"/>
              <w:spacing w:before="94"/>
              <w:ind w:left="267"/>
              <w:rPr>
                <w:b/>
                <w:sz w:val="21"/>
              </w:rPr>
            </w:pPr>
            <w:r>
              <w:rPr>
                <w:b/>
                <w:sz w:val="21"/>
              </w:rPr>
              <w:t>医院</w:t>
            </w:r>
          </w:p>
        </w:tc>
        <w:tc>
          <w:tcPr>
            <w:tcW w:w="7520" w:type="dxa"/>
          </w:tcPr>
          <w:p>
            <w:pPr>
              <w:pStyle w:val="TableParagraph"/>
              <w:spacing w:line="273" w:lineRule="auto" w:before="94"/>
              <w:ind w:left="121" w:right="197"/>
              <w:rPr>
                <w:sz w:val="21"/>
              </w:rPr>
            </w:pPr>
            <w:r>
              <w:rPr>
                <w:spacing w:val="-5"/>
                <w:sz w:val="21"/>
              </w:rPr>
              <w:t>指国家卫生行政管理部门医院等级分类中的二级或二级以上的公立医院，但不</w:t>
            </w:r>
            <w:r>
              <w:rPr>
                <w:spacing w:val="-15"/>
                <w:sz w:val="21"/>
              </w:rPr>
              <w:t>包括主要提供门诊、康复、护理、疗养、戒酒、戒毒或相类似服务之医疗机构。</w:t>
            </w:r>
          </w:p>
        </w:tc>
      </w:tr>
      <w:tr>
        <w:trPr>
          <w:trHeight w:val="2410" w:hRule="atLeast"/>
        </w:trPr>
        <w:tc>
          <w:tcPr>
            <w:tcW w:w="784" w:type="dxa"/>
          </w:tcPr>
          <w:p>
            <w:pPr>
              <w:pStyle w:val="TableParagraph"/>
              <w:spacing w:before="95"/>
              <w:ind w:left="180" w:right="245"/>
              <w:jc w:val="center"/>
              <w:rPr>
                <w:b/>
                <w:sz w:val="21"/>
              </w:rPr>
            </w:pPr>
            <w:r>
              <w:rPr>
                <w:b/>
                <w:sz w:val="21"/>
              </w:rPr>
              <w:t>8.3</w:t>
            </w:r>
          </w:p>
        </w:tc>
        <w:tc>
          <w:tcPr>
            <w:tcW w:w="2078" w:type="dxa"/>
          </w:tcPr>
          <w:p>
            <w:pPr>
              <w:pStyle w:val="TableParagraph"/>
              <w:spacing w:before="95"/>
              <w:ind w:left="267"/>
              <w:rPr>
                <w:b/>
                <w:sz w:val="21"/>
              </w:rPr>
            </w:pPr>
            <w:r>
              <w:rPr>
                <w:b/>
                <w:sz w:val="21"/>
              </w:rPr>
              <w:t>专科医生</w:t>
            </w:r>
          </w:p>
        </w:tc>
        <w:tc>
          <w:tcPr>
            <w:tcW w:w="7520" w:type="dxa"/>
          </w:tcPr>
          <w:p>
            <w:pPr>
              <w:pStyle w:val="TableParagraph"/>
              <w:spacing w:before="95"/>
              <w:ind w:left="121"/>
              <w:rPr>
                <w:sz w:val="21"/>
              </w:rPr>
            </w:pPr>
            <w:r>
              <w:rPr>
                <w:sz w:val="21"/>
              </w:rPr>
              <w:t>专科医生应当同时满足以下三项资格条件：</w:t>
            </w:r>
          </w:p>
          <w:p>
            <w:pPr>
              <w:pStyle w:val="TableParagraph"/>
              <w:spacing w:before="37"/>
              <w:ind w:left="121"/>
              <w:rPr>
                <w:sz w:val="21"/>
              </w:rPr>
            </w:pPr>
            <w:r>
              <w:rPr>
                <w:sz w:val="21"/>
              </w:rPr>
              <w:t>（1）具有有效的中华人民共和国《医师资格证书》；</w:t>
            </w:r>
          </w:p>
          <w:p>
            <w:pPr>
              <w:pStyle w:val="TableParagraph"/>
              <w:spacing w:line="273" w:lineRule="auto" w:before="37"/>
              <w:ind w:left="647" w:right="303" w:hanging="526"/>
              <w:rPr>
                <w:sz w:val="21"/>
              </w:rPr>
            </w:pPr>
            <w:r>
              <w:rPr>
                <w:spacing w:val="-7"/>
                <w:sz w:val="21"/>
              </w:rPr>
              <w:t>（2）</w:t>
            </w:r>
            <w:r>
              <w:rPr>
                <w:spacing w:val="-12"/>
                <w:sz w:val="21"/>
              </w:rPr>
              <w:t>具有有效的中华人民共和国《医师执业证书》，并按期到相关部门登记注册；</w:t>
            </w:r>
          </w:p>
          <w:p>
            <w:pPr>
              <w:pStyle w:val="TableParagraph"/>
              <w:spacing w:line="273" w:lineRule="auto" w:before="7"/>
              <w:ind w:left="647" w:right="355" w:hanging="526"/>
              <w:rPr>
                <w:sz w:val="21"/>
              </w:rPr>
            </w:pPr>
            <w:r>
              <w:rPr>
                <w:sz w:val="21"/>
              </w:rPr>
              <w:t>（3）具有有效的中华人民共和国主治医师或主治医师以上职称的《医师职称证书》；</w:t>
            </w:r>
          </w:p>
          <w:p>
            <w:pPr>
              <w:pStyle w:val="TableParagraph"/>
              <w:spacing w:before="7"/>
              <w:ind w:left="121"/>
              <w:rPr>
                <w:sz w:val="21"/>
              </w:rPr>
            </w:pPr>
            <w:r>
              <w:rPr>
                <w:sz w:val="21"/>
              </w:rPr>
              <w:t>专科医生不包括被保险人本人及其直系亲属。</w:t>
            </w:r>
          </w:p>
        </w:tc>
      </w:tr>
      <w:tr>
        <w:trPr>
          <w:trHeight w:val="850" w:hRule="atLeast"/>
        </w:trPr>
        <w:tc>
          <w:tcPr>
            <w:tcW w:w="784" w:type="dxa"/>
          </w:tcPr>
          <w:p>
            <w:pPr>
              <w:pStyle w:val="TableParagraph"/>
              <w:spacing w:before="94"/>
              <w:ind w:left="180" w:right="245"/>
              <w:jc w:val="center"/>
              <w:rPr>
                <w:b/>
                <w:sz w:val="21"/>
              </w:rPr>
            </w:pPr>
            <w:r>
              <w:rPr>
                <w:b/>
                <w:sz w:val="21"/>
              </w:rPr>
              <w:t>8.4</w:t>
            </w:r>
          </w:p>
        </w:tc>
        <w:tc>
          <w:tcPr>
            <w:tcW w:w="2078" w:type="dxa"/>
          </w:tcPr>
          <w:p>
            <w:pPr>
              <w:pStyle w:val="TableParagraph"/>
              <w:spacing w:before="94"/>
              <w:ind w:left="267"/>
              <w:rPr>
                <w:b/>
                <w:sz w:val="21"/>
              </w:rPr>
            </w:pPr>
            <w:r>
              <w:rPr>
                <w:b/>
                <w:sz w:val="21"/>
              </w:rPr>
              <w:t>初次确诊</w:t>
            </w:r>
          </w:p>
        </w:tc>
        <w:tc>
          <w:tcPr>
            <w:tcW w:w="7520" w:type="dxa"/>
          </w:tcPr>
          <w:p>
            <w:pPr>
              <w:pStyle w:val="TableParagraph"/>
              <w:spacing w:line="273" w:lineRule="auto" w:before="94"/>
              <w:ind w:left="121" w:right="254"/>
              <w:rPr>
                <w:sz w:val="21"/>
              </w:rPr>
            </w:pPr>
            <w:r>
              <w:rPr>
                <w:spacing w:val="-3"/>
                <w:sz w:val="21"/>
              </w:rPr>
              <w:t>指被保险人自出生之日起第一次被明确诊断患有本附加合同所界定的某种疾 病，而不是指自等待期后的第一次被明确诊断患有本附加合同所界定的疾病。</w:t>
            </w:r>
          </w:p>
        </w:tc>
      </w:tr>
      <w:tr>
        <w:trPr>
          <w:trHeight w:val="7400" w:hRule="atLeast"/>
        </w:trPr>
        <w:tc>
          <w:tcPr>
            <w:tcW w:w="784" w:type="dxa"/>
          </w:tcPr>
          <w:p>
            <w:pPr>
              <w:pStyle w:val="TableParagraph"/>
              <w:spacing w:before="95"/>
              <w:ind w:left="180" w:right="245"/>
              <w:jc w:val="center"/>
              <w:rPr>
                <w:b/>
                <w:sz w:val="21"/>
              </w:rPr>
            </w:pPr>
            <w:r>
              <w:rPr>
                <w:b/>
                <w:sz w:val="21"/>
              </w:rPr>
              <w:t>8.5</w:t>
            </w:r>
          </w:p>
        </w:tc>
        <w:tc>
          <w:tcPr>
            <w:tcW w:w="2078" w:type="dxa"/>
          </w:tcPr>
          <w:p>
            <w:pPr>
              <w:pStyle w:val="TableParagraph"/>
              <w:spacing w:before="95"/>
              <w:ind w:left="267"/>
              <w:rPr>
                <w:b/>
                <w:sz w:val="21"/>
              </w:rPr>
            </w:pPr>
            <w:r>
              <w:rPr>
                <w:b/>
                <w:sz w:val="21"/>
              </w:rPr>
              <w:t>全残</w:t>
            </w:r>
          </w:p>
        </w:tc>
        <w:tc>
          <w:tcPr>
            <w:tcW w:w="7520" w:type="dxa"/>
          </w:tcPr>
          <w:p>
            <w:pPr>
              <w:pStyle w:val="TableParagraph"/>
              <w:spacing w:before="95"/>
              <w:ind w:left="121"/>
              <w:rPr>
                <w:sz w:val="21"/>
              </w:rPr>
            </w:pPr>
            <w:r>
              <w:rPr>
                <w:sz w:val="21"/>
              </w:rPr>
              <w:t>指具有下列情况之一项或多项者：</w:t>
            </w:r>
          </w:p>
          <w:p>
            <w:pPr>
              <w:pStyle w:val="TableParagraph"/>
              <w:spacing w:before="37"/>
              <w:ind w:left="121"/>
              <w:rPr>
                <w:sz w:val="21"/>
              </w:rPr>
            </w:pPr>
            <w:r>
              <w:rPr>
                <w:w w:val="100"/>
                <w:sz w:val="21"/>
              </w:rPr>
              <w:t>（</w:t>
            </w:r>
            <w:r>
              <w:rPr>
                <w:rFonts w:ascii="Times New Roman" w:eastAsia="Times New Roman"/>
                <w:w w:val="100"/>
                <w:sz w:val="21"/>
              </w:rPr>
              <w:t>1</w:t>
            </w:r>
            <w:r>
              <w:rPr>
                <w:spacing w:val="-3"/>
                <w:w w:val="100"/>
                <w:sz w:val="21"/>
              </w:rPr>
              <w:t>）</w:t>
            </w:r>
            <w:r>
              <w:rPr>
                <w:spacing w:val="-14"/>
                <w:w w:val="100"/>
                <w:sz w:val="21"/>
              </w:rPr>
              <w:t>双目永久完全失明的；</w:t>
            </w:r>
            <w:r>
              <w:rPr>
                <w:w w:val="100"/>
                <w:sz w:val="21"/>
              </w:rPr>
              <w:t>（注</w:t>
            </w:r>
            <w:r>
              <w:rPr>
                <w:spacing w:val="-55"/>
                <w:sz w:val="21"/>
              </w:rPr>
              <w:t> </w:t>
            </w:r>
            <w:r>
              <w:rPr>
                <w:rFonts w:ascii="Times New Roman" w:eastAsia="Times New Roman"/>
                <w:w w:val="100"/>
                <w:sz w:val="21"/>
              </w:rPr>
              <w:t>1</w:t>
            </w:r>
            <w:r>
              <w:rPr>
                <w:w w:val="100"/>
                <w:sz w:val="21"/>
              </w:rPr>
              <w:t>）</w:t>
            </w:r>
          </w:p>
          <w:p>
            <w:pPr>
              <w:pStyle w:val="TableParagraph"/>
              <w:spacing w:before="21"/>
              <w:ind w:left="122"/>
              <w:rPr>
                <w:sz w:val="21"/>
              </w:rPr>
            </w:pPr>
            <w:r>
              <w:rPr>
                <w:sz w:val="21"/>
              </w:rPr>
              <w:t>（</w:t>
            </w:r>
            <w:r>
              <w:rPr>
                <w:rFonts w:ascii="Times New Roman" w:eastAsia="Times New Roman"/>
                <w:sz w:val="21"/>
              </w:rPr>
              <w:t>2</w:t>
            </w:r>
            <w:r>
              <w:rPr>
                <w:sz w:val="21"/>
              </w:rPr>
              <w:t>）两上肢腕关节以上或两下肢踝关节以上缺失的；</w:t>
            </w:r>
          </w:p>
          <w:p>
            <w:pPr>
              <w:pStyle w:val="TableParagraph"/>
              <w:spacing w:before="21"/>
              <w:ind w:left="122"/>
              <w:rPr>
                <w:sz w:val="21"/>
              </w:rPr>
            </w:pPr>
            <w:r>
              <w:rPr>
                <w:sz w:val="21"/>
              </w:rPr>
              <w:t>（</w:t>
            </w:r>
            <w:r>
              <w:rPr>
                <w:rFonts w:ascii="Times New Roman" w:eastAsia="Times New Roman"/>
                <w:sz w:val="21"/>
              </w:rPr>
              <w:t>3</w:t>
            </w:r>
            <w:r>
              <w:rPr>
                <w:sz w:val="21"/>
              </w:rPr>
              <w:t>）一上肢腕关节以上及一下肢踝关节以上缺失的；</w:t>
            </w:r>
          </w:p>
          <w:p>
            <w:pPr>
              <w:pStyle w:val="TableParagraph"/>
              <w:spacing w:before="21"/>
              <w:ind w:left="122"/>
              <w:rPr>
                <w:sz w:val="21"/>
              </w:rPr>
            </w:pPr>
            <w:r>
              <w:rPr>
                <w:sz w:val="21"/>
              </w:rPr>
              <w:t>（</w:t>
            </w:r>
            <w:r>
              <w:rPr>
                <w:rFonts w:ascii="Times New Roman" w:eastAsia="Times New Roman"/>
                <w:sz w:val="21"/>
              </w:rPr>
              <w:t>4</w:t>
            </w:r>
            <w:r>
              <w:rPr>
                <w:sz w:val="21"/>
              </w:rPr>
              <w:t>）一目永久完全失明及一上肢腕关节以上缺失的；</w:t>
            </w:r>
          </w:p>
          <w:p>
            <w:pPr>
              <w:pStyle w:val="TableParagraph"/>
              <w:spacing w:before="21"/>
              <w:ind w:left="122"/>
              <w:rPr>
                <w:sz w:val="21"/>
              </w:rPr>
            </w:pPr>
            <w:r>
              <w:rPr>
                <w:sz w:val="21"/>
              </w:rPr>
              <w:t>（</w:t>
            </w:r>
            <w:r>
              <w:rPr>
                <w:rFonts w:ascii="Times New Roman" w:eastAsia="Times New Roman"/>
                <w:sz w:val="21"/>
              </w:rPr>
              <w:t>5</w:t>
            </w:r>
            <w:r>
              <w:rPr>
                <w:sz w:val="21"/>
              </w:rPr>
              <w:t>）一目永久完全失明及一下肢踝关节以上缺失的；</w:t>
            </w:r>
          </w:p>
          <w:p>
            <w:pPr>
              <w:pStyle w:val="TableParagraph"/>
              <w:spacing w:before="21"/>
              <w:ind w:left="122"/>
              <w:rPr>
                <w:sz w:val="21"/>
              </w:rPr>
            </w:pPr>
            <w:r>
              <w:rPr>
                <w:w w:val="100"/>
                <w:sz w:val="21"/>
              </w:rPr>
              <w:t>（</w:t>
            </w:r>
            <w:r>
              <w:rPr>
                <w:rFonts w:ascii="Times New Roman" w:eastAsia="Times New Roman"/>
                <w:w w:val="100"/>
                <w:sz w:val="21"/>
              </w:rPr>
              <w:t>6</w:t>
            </w:r>
            <w:r>
              <w:rPr>
                <w:spacing w:val="-3"/>
                <w:w w:val="100"/>
                <w:sz w:val="21"/>
              </w:rPr>
              <w:t>）</w:t>
            </w:r>
            <w:r>
              <w:rPr>
                <w:spacing w:val="-11"/>
                <w:w w:val="100"/>
                <w:sz w:val="21"/>
              </w:rPr>
              <w:t>四肢关节机能永久完全丧失的；</w:t>
            </w:r>
            <w:r>
              <w:rPr>
                <w:w w:val="100"/>
                <w:sz w:val="21"/>
              </w:rPr>
              <w:t>（注</w:t>
            </w:r>
            <w:r>
              <w:rPr>
                <w:spacing w:val="-56"/>
                <w:sz w:val="21"/>
              </w:rPr>
              <w:t> </w:t>
            </w:r>
            <w:r>
              <w:rPr>
                <w:rFonts w:ascii="Times New Roman" w:eastAsia="Times New Roman"/>
                <w:w w:val="100"/>
                <w:sz w:val="21"/>
              </w:rPr>
              <w:t>2</w:t>
            </w:r>
            <w:r>
              <w:rPr>
                <w:w w:val="100"/>
                <w:sz w:val="21"/>
              </w:rPr>
              <w:t>）</w:t>
            </w:r>
          </w:p>
          <w:p>
            <w:pPr>
              <w:pStyle w:val="TableParagraph"/>
              <w:spacing w:before="21"/>
              <w:ind w:left="122"/>
              <w:rPr>
                <w:sz w:val="21"/>
              </w:rPr>
            </w:pPr>
            <w:r>
              <w:rPr>
                <w:w w:val="100"/>
                <w:sz w:val="21"/>
              </w:rPr>
              <w:t>（</w:t>
            </w:r>
            <w:r>
              <w:rPr>
                <w:rFonts w:ascii="Times New Roman" w:eastAsia="Times New Roman"/>
                <w:w w:val="100"/>
                <w:sz w:val="21"/>
              </w:rPr>
              <w:t>7</w:t>
            </w:r>
            <w:r>
              <w:rPr>
                <w:spacing w:val="-3"/>
                <w:w w:val="100"/>
                <w:sz w:val="21"/>
              </w:rPr>
              <w:t>）</w:t>
            </w:r>
            <w:r>
              <w:rPr>
                <w:spacing w:val="-10"/>
                <w:w w:val="100"/>
                <w:sz w:val="21"/>
              </w:rPr>
              <w:t>咀嚼、吞咽机能永久完全丧失的；</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w w:val="100"/>
                <w:sz w:val="21"/>
              </w:rPr>
              <w:t>）</w:t>
            </w:r>
          </w:p>
          <w:p>
            <w:pPr>
              <w:pStyle w:val="TableParagraph"/>
              <w:spacing w:line="256" w:lineRule="auto" w:before="21"/>
              <w:ind w:left="626" w:right="355" w:hanging="505"/>
              <w:rPr>
                <w:sz w:val="21"/>
              </w:rPr>
            </w:pPr>
            <w:r>
              <w:rPr>
                <w:sz w:val="21"/>
              </w:rPr>
              <w:t>（</w:t>
            </w:r>
            <w:r>
              <w:rPr>
                <w:rFonts w:ascii="Times New Roman" w:eastAsia="Times New Roman"/>
                <w:sz w:val="21"/>
              </w:rPr>
              <w:t>8</w:t>
            </w:r>
            <w:r>
              <w:rPr>
                <w:sz w:val="21"/>
              </w:rPr>
              <w:t>）中枢神经系统机能或胸、腹部脏器机能极度障碍，终身不能从事任何工作，为维持生命必要的日常生活活动，全须他人扶助的。（注 </w:t>
            </w:r>
            <w:r>
              <w:rPr>
                <w:rFonts w:ascii="Times New Roman" w:eastAsia="Times New Roman"/>
                <w:sz w:val="21"/>
              </w:rPr>
              <w:t>4</w:t>
            </w:r>
            <w:r>
              <w:rPr>
                <w:sz w:val="21"/>
              </w:rPr>
              <w:t>）</w:t>
            </w:r>
          </w:p>
          <w:p>
            <w:pPr>
              <w:pStyle w:val="TableParagraph"/>
              <w:spacing w:before="4"/>
              <w:ind w:left="122"/>
              <w:rPr>
                <w:sz w:val="21"/>
              </w:rPr>
            </w:pPr>
            <w:r>
              <w:rPr>
                <w:sz w:val="21"/>
              </w:rPr>
              <w:t>注：</w:t>
            </w:r>
          </w:p>
          <w:p>
            <w:pPr>
              <w:pStyle w:val="TableParagraph"/>
              <w:spacing w:line="256" w:lineRule="auto" w:before="36"/>
              <w:ind w:left="626" w:right="354" w:hanging="505"/>
              <w:jc w:val="both"/>
              <w:rPr>
                <w:sz w:val="21"/>
              </w:rPr>
            </w:pPr>
            <w:r>
              <w:rPr>
                <w:sz w:val="21"/>
              </w:rPr>
              <w:t>（</w:t>
            </w:r>
            <w:r>
              <w:rPr>
                <w:rFonts w:ascii="Times New Roman" w:eastAsia="Times New Roman"/>
                <w:sz w:val="21"/>
              </w:rPr>
              <w:t>1</w:t>
            </w:r>
            <w:r>
              <w:rPr>
                <w:sz w:val="21"/>
              </w:rPr>
              <w:t>）</w:t>
            </w:r>
            <w:r>
              <w:rPr>
                <w:spacing w:val="-3"/>
                <w:sz w:val="21"/>
              </w:rPr>
              <w:t>失明包括眼球缺失或摘除，或不能辨别明暗，或仅能辨别眼前手动者， </w:t>
            </w:r>
            <w:r>
              <w:rPr>
                <w:spacing w:val="-6"/>
                <w:sz w:val="21"/>
              </w:rPr>
              <w:t>最佳矫正视力低于国际标准视力表 </w:t>
            </w:r>
            <w:r>
              <w:rPr>
                <w:rFonts w:ascii="Times New Roman" w:eastAsia="Times New Roman"/>
                <w:sz w:val="21"/>
              </w:rPr>
              <w:t>0.02</w:t>
            </w:r>
            <w:r>
              <w:rPr>
                <w:spacing w:val="-8"/>
                <w:sz w:val="21"/>
              </w:rPr>
              <w:t>，或视野半径小于 </w:t>
            </w:r>
            <w:r>
              <w:rPr>
                <w:rFonts w:ascii="Times New Roman" w:eastAsia="Times New Roman"/>
                <w:sz w:val="21"/>
              </w:rPr>
              <w:t>5 </w:t>
            </w:r>
            <w:r>
              <w:rPr>
                <w:spacing w:val="-3"/>
                <w:sz w:val="21"/>
              </w:rPr>
              <w:t>度，并由本公司认可的眼科医师出具医疗诊断证明。</w:t>
            </w:r>
          </w:p>
          <w:p>
            <w:pPr>
              <w:pStyle w:val="TableParagraph"/>
              <w:spacing w:line="256" w:lineRule="auto" w:before="22"/>
              <w:ind w:left="627" w:right="354" w:hanging="505"/>
              <w:rPr>
                <w:sz w:val="21"/>
              </w:rPr>
            </w:pPr>
            <w:r>
              <w:rPr>
                <w:sz w:val="21"/>
              </w:rPr>
              <w:t>（</w:t>
            </w:r>
            <w:r>
              <w:rPr>
                <w:rFonts w:ascii="Times New Roman" w:eastAsia="Times New Roman"/>
                <w:sz w:val="21"/>
              </w:rPr>
              <w:t>2</w:t>
            </w:r>
            <w:r>
              <w:rPr>
                <w:sz w:val="21"/>
              </w:rPr>
              <w:t>）关节机能的丧失是指关节永久完全僵硬、或麻痹、或关节不能随意识活动。</w:t>
            </w:r>
          </w:p>
          <w:p>
            <w:pPr>
              <w:pStyle w:val="TableParagraph"/>
              <w:spacing w:line="256" w:lineRule="auto" w:before="22"/>
              <w:ind w:left="627" w:right="198" w:hanging="504"/>
              <w:rPr>
                <w:sz w:val="21"/>
              </w:rPr>
            </w:pPr>
            <w:r>
              <w:rPr>
                <w:spacing w:val="-10"/>
                <w:sz w:val="21"/>
              </w:rPr>
              <w:t>（</w:t>
            </w:r>
            <w:r>
              <w:rPr>
                <w:rFonts w:ascii="Times New Roman" w:eastAsia="Times New Roman"/>
                <w:spacing w:val="-10"/>
                <w:sz w:val="21"/>
              </w:rPr>
              <w:t>3</w:t>
            </w:r>
            <w:r>
              <w:rPr>
                <w:spacing w:val="-10"/>
                <w:sz w:val="21"/>
              </w:rPr>
              <w:t>）</w:t>
            </w:r>
            <w:r>
              <w:rPr>
                <w:spacing w:val="-7"/>
                <w:sz w:val="21"/>
              </w:rPr>
              <w:t>咀嚼、吞咽机能的丧失是指由于牙齿以外的原因引起的器质或功能障碍， </w:t>
            </w:r>
            <w:r>
              <w:rPr>
                <w:spacing w:val="-3"/>
                <w:sz w:val="21"/>
              </w:rPr>
              <w:t>以致不能作咀嚼、吞咽运动，除流质食物外不能摄取或吞咽的状态。</w:t>
            </w:r>
          </w:p>
          <w:p>
            <w:pPr>
              <w:pStyle w:val="TableParagraph"/>
              <w:spacing w:line="264" w:lineRule="auto" w:before="22"/>
              <w:ind w:left="627" w:right="354" w:hanging="505"/>
              <w:jc w:val="both"/>
              <w:rPr>
                <w:sz w:val="21"/>
              </w:rPr>
            </w:pPr>
            <w:r>
              <w:rPr>
                <w:sz w:val="21"/>
              </w:rPr>
              <w:t>（</w:t>
            </w:r>
            <w:r>
              <w:rPr>
                <w:rFonts w:ascii="Times New Roman" w:eastAsia="Times New Roman"/>
                <w:sz w:val="21"/>
              </w:rPr>
              <w:t>4</w:t>
            </w:r>
            <w:r>
              <w:rPr>
                <w:sz w:val="21"/>
              </w:rPr>
              <w:t>）为维持生命必要之日常生活活动，全需他人扶助是指食物摄取、大小便始末、穿脱衣服、起居、步行、入浴等，皆不能自己为之，需要他人帮助。</w:t>
            </w:r>
          </w:p>
          <w:p>
            <w:pPr>
              <w:pStyle w:val="TableParagraph"/>
              <w:spacing w:line="273" w:lineRule="auto" w:before="16"/>
              <w:ind w:left="123" w:right="240"/>
              <w:rPr>
                <w:sz w:val="21"/>
              </w:rPr>
            </w:pPr>
            <w:r>
              <w:rPr>
                <w:sz w:val="21"/>
              </w:rPr>
              <w:t>永久完全丧失是指自以上情况发生之日起经过一百八十天的治疗后，机能仍然完全丧失，但眼球摘除等明显无法恢复之情况，不在此限。</w:t>
            </w:r>
          </w:p>
        </w:tc>
      </w:tr>
      <w:tr>
        <w:trPr>
          <w:trHeight w:val="1790" w:hRule="atLeast"/>
        </w:trPr>
        <w:tc>
          <w:tcPr>
            <w:tcW w:w="784" w:type="dxa"/>
          </w:tcPr>
          <w:p>
            <w:pPr>
              <w:pStyle w:val="TableParagraph"/>
              <w:spacing w:before="99"/>
              <w:ind w:left="180" w:right="245"/>
              <w:jc w:val="center"/>
              <w:rPr>
                <w:b/>
                <w:sz w:val="21"/>
              </w:rPr>
            </w:pPr>
            <w:r>
              <w:rPr>
                <w:b/>
                <w:sz w:val="21"/>
              </w:rPr>
              <w:t>8.6</w:t>
            </w:r>
          </w:p>
        </w:tc>
        <w:tc>
          <w:tcPr>
            <w:tcW w:w="2078" w:type="dxa"/>
          </w:tcPr>
          <w:p>
            <w:pPr>
              <w:pStyle w:val="TableParagraph"/>
              <w:spacing w:line="273" w:lineRule="auto" w:before="99"/>
              <w:ind w:left="267" w:right="118"/>
              <w:rPr>
                <w:b/>
                <w:sz w:val="21"/>
              </w:rPr>
            </w:pPr>
            <w:r>
              <w:rPr>
                <w:b/>
                <w:sz w:val="21"/>
              </w:rPr>
              <w:t>感染艾滋病病毒或患艾滋病</w:t>
            </w:r>
          </w:p>
        </w:tc>
        <w:tc>
          <w:tcPr>
            <w:tcW w:w="7520" w:type="dxa"/>
          </w:tcPr>
          <w:p>
            <w:pPr>
              <w:pStyle w:val="TableParagraph"/>
              <w:spacing w:line="256" w:lineRule="auto" w:before="99"/>
              <w:ind w:left="121" w:right="306"/>
              <w:jc w:val="both"/>
              <w:rPr>
                <w:sz w:val="21"/>
              </w:rPr>
            </w:pPr>
            <w:r>
              <w:rPr>
                <w:spacing w:val="-6"/>
                <w:sz w:val="21"/>
              </w:rPr>
              <w:t>艾滋病病毒指人类免疫缺陷病毒，英文缩写为 </w:t>
            </w:r>
            <w:r>
              <w:rPr>
                <w:rFonts w:ascii="Times New Roman" w:eastAsia="Times New Roman"/>
                <w:spacing w:val="-2"/>
                <w:sz w:val="21"/>
              </w:rPr>
              <w:t>HIV</w:t>
            </w:r>
            <w:r>
              <w:rPr>
                <w:spacing w:val="-7"/>
                <w:sz w:val="21"/>
              </w:rPr>
              <w:t>。艾滋病指人类免疫缺陷病</w:t>
            </w:r>
            <w:r>
              <w:rPr>
                <w:spacing w:val="-1"/>
                <w:sz w:val="21"/>
              </w:rPr>
              <w:t>毒引起的获得性免疫缺陷综合征，英文缩写为</w:t>
            </w:r>
            <w:r>
              <w:rPr>
                <w:rFonts w:ascii="Times New Roman" w:eastAsia="Times New Roman"/>
                <w:sz w:val="21"/>
              </w:rPr>
              <w:t>AIDS</w:t>
            </w:r>
            <w:r>
              <w:rPr>
                <w:sz w:val="21"/>
              </w:rPr>
              <w:t>。</w:t>
            </w:r>
          </w:p>
          <w:p>
            <w:pPr>
              <w:pStyle w:val="TableParagraph"/>
              <w:spacing w:line="273" w:lineRule="auto" w:before="5"/>
              <w:ind w:left="121" w:right="303"/>
              <w:jc w:val="both"/>
              <w:rPr>
                <w:sz w:val="21"/>
              </w:rPr>
            </w:pPr>
            <w:r>
              <w:rPr>
                <w:spacing w:val="-5"/>
                <w:sz w:val="21"/>
              </w:rPr>
              <w:t>在人体血液或其他样本中检测到艾滋病病毒或其抗体呈阳性，没有出现临床症</w:t>
            </w:r>
            <w:r>
              <w:rPr>
                <w:spacing w:val="-9"/>
                <w:sz w:val="21"/>
              </w:rPr>
              <w:t>状或体征的，为感染艾滋病病毒；如果同时出现了明显临床症状或体征的，为</w:t>
            </w:r>
            <w:r>
              <w:rPr>
                <w:spacing w:val="-5"/>
                <w:sz w:val="21"/>
              </w:rPr>
              <w:t>患艾滋病。</w:t>
            </w:r>
          </w:p>
        </w:tc>
      </w:tr>
      <w:tr>
        <w:trPr>
          <w:trHeight w:val="374" w:hRule="atLeast"/>
        </w:trPr>
        <w:tc>
          <w:tcPr>
            <w:tcW w:w="784" w:type="dxa"/>
          </w:tcPr>
          <w:p>
            <w:pPr>
              <w:pStyle w:val="TableParagraph"/>
              <w:spacing w:line="260" w:lineRule="exact" w:before="94"/>
              <w:ind w:left="180" w:right="245"/>
              <w:jc w:val="center"/>
              <w:rPr>
                <w:b/>
                <w:sz w:val="21"/>
              </w:rPr>
            </w:pPr>
            <w:r>
              <w:rPr>
                <w:b/>
                <w:sz w:val="21"/>
              </w:rPr>
              <w:t>8.7</w:t>
            </w:r>
          </w:p>
        </w:tc>
        <w:tc>
          <w:tcPr>
            <w:tcW w:w="2078" w:type="dxa"/>
          </w:tcPr>
          <w:p>
            <w:pPr>
              <w:pStyle w:val="TableParagraph"/>
              <w:spacing w:line="260" w:lineRule="exact" w:before="94"/>
              <w:ind w:left="267"/>
              <w:rPr>
                <w:b/>
                <w:sz w:val="21"/>
              </w:rPr>
            </w:pPr>
            <w:r>
              <w:rPr>
                <w:b/>
                <w:sz w:val="21"/>
              </w:rPr>
              <w:t>遗传性疾病</w:t>
            </w:r>
          </w:p>
        </w:tc>
        <w:tc>
          <w:tcPr>
            <w:tcW w:w="7520" w:type="dxa"/>
          </w:tcPr>
          <w:p>
            <w:pPr>
              <w:pStyle w:val="TableParagraph"/>
              <w:spacing w:line="260" w:lineRule="exact" w:before="94"/>
              <w:ind w:left="121"/>
              <w:rPr>
                <w:sz w:val="21"/>
              </w:rPr>
            </w:pPr>
            <w:r>
              <w:rPr>
                <w:sz w:val="21"/>
              </w:rPr>
              <w:t>指生殖细胞或受精卵的遗传物质（染色体和基因）发生突变或畸变所引起的疾</w:t>
            </w:r>
          </w:p>
        </w:tc>
      </w:tr>
    </w:tbl>
    <w:p>
      <w:pPr>
        <w:spacing w:after="0" w:line="260" w:lineRule="exact"/>
        <w:rPr>
          <w:sz w:val="21"/>
        </w:rPr>
        <w:sectPr>
          <w:pgSz w:w="11910" w:h="16840"/>
          <w:pgMar w:top="1380" w:bottom="280" w:left="72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2025"/>
        <w:gridCol w:w="7518"/>
      </w:tblGrid>
      <w:tr>
        <w:trPr>
          <w:trHeight w:val="375" w:hRule="atLeast"/>
        </w:trPr>
        <w:tc>
          <w:tcPr>
            <w:tcW w:w="837" w:type="dxa"/>
          </w:tcPr>
          <w:p>
            <w:pPr>
              <w:pStyle w:val="TableParagraph"/>
              <w:rPr>
                <w:rFonts w:ascii="Times New Roman"/>
                <w:sz w:val="20"/>
              </w:rPr>
            </w:pPr>
          </w:p>
        </w:tc>
        <w:tc>
          <w:tcPr>
            <w:tcW w:w="2025" w:type="dxa"/>
          </w:tcPr>
          <w:p>
            <w:pPr>
              <w:pStyle w:val="TableParagraph"/>
              <w:rPr>
                <w:rFonts w:ascii="Times New Roman"/>
                <w:sz w:val="20"/>
              </w:rPr>
            </w:pPr>
          </w:p>
        </w:tc>
        <w:tc>
          <w:tcPr>
            <w:tcW w:w="7518" w:type="dxa"/>
          </w:tcPr>
          <w:p>
            <w:pPr>
              <w:pStyle w:val="TableParagraph"/>
              <w:spacing w:line="211" w:lineRule="exact"/>
              <w:ind w:left="121"/>
              <w:rPr>
                <w:sz w:val="21"/>
              </w:rPr>
            </w:pPr>
            <w:r>
              <w:rPr>
                <w:sz w:val="21"/>
              </w:rPr>
              <w:t>病，通常具有由亲代传至后代的垂直传递的特征。</w:t>
            </w:r>
          </w:p>
        </w:tc>
      </w:tr>
      <w:tr>
        <w:trPr>
          <w:trHeight w:val="1163" w:hRule="atLeast"/>
        </w:trPr>
        <w:tc>
          <w:tcPr>
            <w:tcW w:w="837" w:type="dxa"/>
          </w:tcPr>
          <w:p>
            <w:pPr>
              <w:pStyle w:val="TableParagraph"/>
              <w:spacing w:before="100"/>
              <w:ind w:left="74" w:right="192"/>
              <w:jc w:val="center"/>
              <w:rPr>
                <w:b/>
                <w:sz w:val="21"/>
              </w:rPr>
            </w:pPr>
            <w:r>
              <w:rPr>
                <w:b/>
                <w:sz w:val="21"/>
              </w:rPr>
              <w:t>8.8</w:t>
            </w:r>
          </w:p>
        </w:tc>
        <w:tc>
          <w:tcPr>
            <w:tcW w:w="2025" w:type="dxa"/>
          </w:tcPr>
          <w:p>
            <w:pPr>
              <w:pStyle w:val="TableParagraph"/>
              <w:spacing w:line="273" w:lineRule="auto" w:before="100"/>
              <w:ind w:left="215" w:right="118"/>
              <w:rPr>
                <w:b/>
                <w:sz w:val="21"/>
              </w:rPr>
            </w:pPr>
            <w:r>
              <w:rPr>
                <w:b/>
                <w:sz w:val="21"/>
              </w:rPr>
              <w:t>先天性畸形、变形或染色体异常</w:t>
            </w:r>
          </w:p>
        </w:tc>
        <w:tc>
          <w:tcPr>
            <w:tcW w:w="7518" w:type="dxa"/>
          </w:tcPr>
          <w:p>
            <w:pPr>
              <w:pStyle w:val="TableParagraph"/>
              <w:spacing w:line="273" w:lineRule="auto" w:before="100"/>
              <w:ind w:left="121" w:right="196"/>
              <w:rPr>
                <w:sz w:val="21"/>
              </w:rPr>
            </w:pPr>
            <w:r>
              <w:rPr>
                <w:spacing w:val="-6"/>
                <w:sz w:val="21"/>
              </w:rPr>
              <w:t>指被保险人出生时就具有的畸形、变形或染色体异常。先天性畸形、变形和染</w:t>
            </w:r>
            <w:r>
              <w:rPr>
                <w:spacing w:val="-5"/>
                <w:sz w:val="21"/>
              </w:rPr>
              <w:t>色体异常依照世界卫生组织《疾病和有关健康问题的国际统计分类</w:t>
            </w:r>
            <w:r>
              <w:rPr>
                <w:spacing w:val="-132"/>
                <w:sz w:val="21"/>
              </w:rPr>
              <w:t>》</w:t>
            </w:r>
            <w:r>
              <w:rPr>
                <w:sz w:val="21"/>
              </w:rPr>
              <w:t>（ICD-10） 确定。</w:t>
            </w:r>
          </w:p>
        </w:tc>
      </w:tr>
      <w:tr>
        <w:trPr>
          <w:trHeight w:val="850" w:hRule="atLeast"/>
        </w:trPr>
        <w:tc>
          <w:tcPr>
            <w:tcW w:w="837" w:type="dxa"/>
          </w:tcPr>
          <w:p>
            <w:pPr>
              <w:pStyle w:val="TableParagraph"/>
              <w:spacing w:before="100"/>
              <w:ind w:left="74" w:right="192"/>
              <w:jc w:val="center"/>
              <w:rPr>
                <w:b/>
                <w:sz w:val="21"/>
              </w:rPr>
            </w:pPr>
            <w:r>
              <w:rPr>
                <w:b/>
                <w:sz w:val="21"/>
              </w:rPr>
              <w:t>8.9</w:t>
            </w:r>
          </w:p>
        </w:tc>
        <w:tc>
          <w:tcPr>
            <w:tcW w:w="2025" w:type="dxa"/>
          </w:tcPr>
          <w:p>
            <w:pPr>
              <w:pStyle w:val="TableParagraph"/>
              <w:spacing w:before="100"/>
              <w:ind w:left="215"/>
              <w:rPr>
                <w:b/>
                <w:sz w:val="21"/>
              </w:rPr>
            </w:pPr>
            <w:r>
              <w:rPr>
                <w:b/>
                <w:sz w:val="21"/>
              </w:rPr>
              <w:t>非处方药</w:t>
            </w:r>
          </w:p>
        </w:tc>
        <w:tc>
          <w:tcPr>
            <w:tcW w:w="7518" w:type="dxa"/>
          </w:tcPr>
          <w:p>
            <w:pPr>
              <w:pStyle w:val="TableParagraph"/>
              <w:spacing w:line="273" w:lineRule="auto" w:before="100"/>
              <w:ind w:left="121" w:right="303"/>
              <w:rPr>
                <w:sz w:val="21"/>
              </w:rPr>
            </w:pPr>
            <w:r>
              <w:rPr>
                <w:spacing w:val="-7"/>
                <w:sz w:val="21"/>
              </w:rPr>
              <w:t>指在使用药品当时，由国务院药品监督管理部门公布的，不需要凭执业医师或</w:t>
            </w:r>
            <w:r>
              <w:rPr>
                <w:spacing w:val="-3"/>
                <w:sz w:val="21"/>
              </w:rPr>
              <w:t>执业助理医师处方，消费者可以自行判断、购买和使用的药品。</w:t>
            </w:r>
          </w:p>
        </w:tc>
      </w:tr>
      <w:tr>
        <w:trPr>
          <w:trHeight w:val="1162" w:hRule="atLeast"/>
        </w:trPr>
        <w:tc>
          <w:tcPr>
            <w:tcW w:w="837" w:type="dxa"/>
          </w:tcPr>
          <w:p>
            <w:pPr>
              <w:pStyle w:val="TableParagraph"/>
              <w:spacing w:before="99"/>
              <w:ind w:left="180" w:right="192"/>
              <w:jc w:val="center"/>
              <w:rPr>
                <w:b/>
                <w:sz w:val="21"/>
              </w:rPr>
            </w:pPr>
            <w:r>
              <w:rPr>
                <w:b/>
                <w:sz w:val="21"/>
              </w:rPr>
              <w:t>8.10</w:t>
            </w:r>
          </w:p>
        </w:tc>
        <w:tc>
          <w:tcPr>
            <w:tcW w:w="2025" w:type="dxa"/>
          </w:tcPr>
          <w:p>
            <w:pPr>
              <w:pStyle w:val="TableParagraph"/>
              <w:spacing w:before="99"/>
              <w:ind w:left="215"/>
              <w:rPr>
                <w:b/>
                <w:sz w:val="21"/>
              </w:rPr>
            </w:pPr>
            <w:r>
              <w:rPr>
                <w:b/>
                <w:sz w:val="21"/>
              </w:rPr>
              <w:t>猝死</w:t>
            </w:r>
          </w:p>
        </w:tc>
        <w:tc>
          <w:tcPr>
            <w:tcW w:w="7518" w:type="dxa"/>
          </w:tcPr>
          <w:p>
            <w:pPr>
              <w:pStyle w:val="TableParagraph"/>
              <w:spacing w:line="273" w:lineRule="auto" w:before="99"/>
              <w:ind w:left="121" w:right="304"/>
              <w:jc w:val="both"/>
              <w:rPr>
                <w:sz w:val="21"/>
              </w:rPr>
            </w:pPr>
            <w:r>
              <w:rPr>
                <w:spacing w:val="-5"/>
                <w:sz w:val="21"/>
              </w:rPr>
              <w:t>指表面健康的人因潜在疾病、机能障碍或者其他原因在出现症状后 </w:t>
            </w:r>
            <w:r>
              <w:rPr>
                <w:sz w:val="21"/>
              </w:rPr>
              <w:t>24</w:t>
            </w:r>
            <w:r>
              <w:rPr>
                <w:spacing w:val="-13"/>
                <w:sz w:val="21"/>
              </w:rPr>
              <w:t> 小时内</w:t>
            </w:r>
            <w:r>
              <w:rPr>
                <w:spacing w:val="-7"/>
                <w:sz w:val="21"/>
              </w:rPr>
              <w:t>发生的非暴力性突然死亡。猝死的认定以国家卫生行政部门认可的医疗机构或</w:t>
            </w:r>
            <w:r>
              <w:rPr>
                <w:spacing w:val="-3"/>
                <w:sz w:val="21"/>
              </w:rPr>
              <w:t>者司法机关的认定为准。</w:t>
            </w:r>
          </w:p>
        </w:tc>
      </w:tr>
      <w:tr>
        <w:trPr>
          <w:trHeight w:val="538" w:hRule="atLeast"/>
        </w:trPr>
        <w:tc>
          <w:tcPr>
            <w:tcW w:w="837" w:type="dxa"/>
          </w:tcPr>
          <w:p>
            <w:pPr>
              <w:pStyle w:val="TableParagraph"/>
              <w:spacing w:before="100"/>
              <w:ind w:left="180" w:right="192"/>
              <w:jc w:val="center"/>
              <w:rPr>
                <w:b/>
                <w:sz w:val="21"/>
              </w:rPr>
            </w:pPr>
            <w:r>
              <w:rPr>
                <w:b/>
                <w:sz w:val="21"/>
              </w:rPr>
              <w:t>8.11</w:t>
            </w:r>
          </w:p>
        </w:tc>
        <w:tc>
          <w:tcPr>
            <w:tcW w:w="2025" w:type="dxa"/>
          </w:tcPr>
          <w:p>
            <w:pPr>
              <w:pStyle w:val="TableParagraph"/>
              <w:spacing w:before="100"/>
              <w:ind w:left="215"/>
              <w:rPr>
                <w:b/>
                <w:sz w:val="21"/>
              </w:rPr>
            </w:pPr>
            <w:r>
              <w:rPr>
                <w:b/>
                <w:sz w:val="21"/>
              </w:rPr>
              <w:t>潜水</w:t>
            </w:r>
          </w:p>
        </w:tc>
        <w:tc>
          <w:tcPr>
            <w:tcW w:w="7518" w:type="dxa"/>
          </w:tcPr>
          <w:p>
            <w:pPr>
              <w:pStyle w:val="TableParagraph"/>
              <w:spacing w:before="100"/>
              <w:ind w:left="121"/>
              <w:rPr>
                <w:sz w:val="21"/>
              </w:rPr>
            </w:pPr>
            <w:r>
              <w:rPr>
                <w:sz w:val="21"/>
              </w:rPr>
              <w:t>指使用辅助呼吸器材在江、河、湖、海、水库、运河等水域进行的水下运动。</w:t>
            </w:r>
          </w:p>
        </w:tc>
      </w:tr>
      <w:tr>
        <w:trPr>
          <w:trHeight w:val="538" w:hRule="atLeast"/>
        </w:trPr>
        <w:tc>
          <w:tcPr>
            <w:tcW w:w="837" w:type="dxa"/>
          </w:tcPr>
          <w:p>
            <w:pPr>
              <w:pStyle w:val="TableParagraph"/>
              <w:spacing w:before="99"/>
              <w:ind w:left="180" w:right="192"/>
              <w:jc w:val="center"/>
              <w:rPr>
                <w:b/>
                <w:sz w:val="21"/>
              </w:rPr>
            </w:pPr>
            <w:r>
              <w:rPr>
                <w:b/>
                <w:sz w:val="21"/>
              </w:rPr>
              <w:t>8.12</w:t>
            </w:r>
          </w:p>
        </w:tc>
        <w:tc>
          <w:tcPr>
            <w:tcW w:w="2025" w:type="dxa"/>
          </w:tcPr>
          <w:p>
            <w:pPr>
              <w:pStyle w:val="TableParagraph"/>
              <w:spacing w:before="99"/>
              <w:ind w:left="215"/>
              <w:rPr>
                <w:b/>
                <w:sz w:val="21"/>
              </w:rPr>
            </w:pPr>
            <w:r>
              <w:rPr>
                <w:b/>
                <w:sz w:val="21"/>
              </w:rPr>
              <w:t>攀岩</w:t>
            </w:r>
          </w:p>
        </w:tc>
        <w:tc>
          <w:tcPr>
            <w:tcW w:w="7518" w:type="dxa"/>
          </w:tcPr>
          <w:p>
            <w:pPr>
              <w:pStyle w:val="TableParagraph"/>
              <w:spacing w:before="99"/>
              <w:ind w:left="121"/>
              <w:rPr>
                <w:sz w:val="21"/>
              </w:rPr>
            </w:pPr>
            <w:r>
              <w:rPr>
                <w:sz w:val="21"/>
              </w:rPr>
              <w:t>指攀登悬崖、楼宇外墙、人造悬崖、冰崖、冰ft等运动。</w:t>
            </w:r>
          </w:p>
        </w:tc>
      </w:tr>
      <w:tr>
        <w:trPr>
          <w:trHeight w:val="1163" w:hRule="atLeast"/>
        </w:trPr>
        <w:tc>
          <w:tcPr>
            <w:tcW w:w="837" w:type="dxa"/>
          </w:tcPr>
          <w:p>
            <w:pPr>
              <w:pStyle w:val="TableParagraph"/>
              <w:spacing w:before="100"/>
              <w:ind w:left="180" w:right="192"/>
              <w:jc w:val="center"/>
              <w:rPr>
                <w:b/>
                <w:sz w:val="21"/>
              </w:rPr>
            </w:pPr>
            <w:r>
              <w:rPr>
                <w:b/>
                <w:sz w:val="21"/>
              </w:rPr>
              <w:t>8.13</w:t>
            </w:r>
          </w:p>
        </w:tc>
        <w:tc>
          <w:tcPr>
            <w:tcW w:w="2025" w:type="dxa"/>
          </w:tcPr>
          <w:p>
            <w:pPr>
              <w:pStyle w:val="TableParagraph"/>
              <w:spacing w:before="100"/>
              <w:ind w:left="215"/>
              <w:rPr>
                <w:b/>
                <w:sz w:val="21"/>
              </w:rPr>
            </w:pPr>
            <w:r>
              <w:rPr>
                <w:b/>
                <w:sz w:val="21"/>
              </w:rPr>
              <w:t>探险</w:t>
            </w:r>
          </w:p>
        </w:tc>
        <w:tc>
          <w:tcPr>
            <w:tcW w:w="7518" w:type="dxa"/>
          </w:tcPr>
          <w:p>
            <w:pPr>
              <w:pStyle w:val="TableParagraph"/>
              <w:spacing w:line="273" w:lineRule="auto" w:before="100"/>
              <w:ind w:left="121" w:right="301"/>
              <w:jc w:val="both"/>
              <w:rPr>
                <w:sz w:val="21"/>
              </w:rPr>
            </w:pPr>
            <w:r>
              <w:rPr>
                <w:spacing w:val="-6"/>
                <w:sz w:val="21"/>
              </w:rPr>
              <w:t>指明知在某种特定的自然条件下有失去生命或使身体受到严重伤害的危险，而</w:t>
            </w:r>
            <w:r>
              <w:rPr>
                <w:spacing w:val="-7"/>
                <w:sz w:val="21"/>
              </w:rPr>
              <w:t>故意使自己置身于其中的行为，如：江河漂流、登</w:t>
            </w:r>
            <w:r>
              <w:rPr>
                <w:sz w:val="21"/>
              </w:rPr>
              <w:t>ft</w:t>
            </w:r>
            <w:r>
              <w:rPr>
                <w:spacing w:val="-5"/>
                <w:sz w:val="21"/>
              </w:rPr>
              <w:t>、徒步穿越沙漠或人迹罕</w:t>
            </w:r>
            <w:r>
              <w:rPr>
                <w:spacing w:val="-3"/>
                <w:sz w:val="21"/>
              </w:rPr>
              <w:t>至的原始森林等活动。</w:t>
            </w:r>
          </w:p>
        </w:tc>
      </w:tr>
      <w:tr>
        <w:trPr>
          <w:trHeight w:val="850" w:hRule="atLeast"/>
        </w:trPr>
        <w:tc>
          <w:tcPr>
            <w:tcW w:w="837" w:type="dxa"/>
          </w:tcPr>
          <w:p>
            <w:pPr>
              <w:pStyle w:val="TableParagraph"/>
              <w:spacing w:before="100"/>
              <w:ind w:left="180" w:right="192"/>
              <w:jc w:val="center"/>
              <w:rPr>
                <w:b/>
                <w:sz w:val="21"/>
              </w:rPr>
            </w:pPr>
            <w:r>
              <w:rPr>
                <w:b/>
                <w:sz w:val="21"/>
              </w:rPr>
              <w:t>8.14</w:t>
            </w:r>
          </w:p>
        </w:tc>
        <w:tc>
          <w:tcPr>
            <w:tcW w:w="2025" w:type="dxa"/>
          </w:tcPr>
          <w:p>
            <w:pPr>
              <w:pStyle w:val="TableParagraph"/>
              <w:spacing w:before="100"/>
              <w:ind w:left="215"/>
              <w:rPr>
                <w:b/>
                <w:sz w:val="21"/>
              </w:rPr>
            </w:pPr>
            <w:r>
              <w:rPr>
                <w:b/>
                <w:sz w:val="21"/>
              </w:rPr>
              <w:t>武术比赛</w:t>
            </w:r>
          </w:p>
        </w:tc>
        <w:tc>
          <w:tcPr>
            <w:tcW w:w="7518" w:type="dxa"/>
          </w:tcPr>
          <w:p>
            <w:pPr>
              <w:pStyle w:val="TableParagraph"/>
              <w:spacing w:line="273" w:lineRule="auto" w:before="100"/>
              <w:ind w:left="121" w:right="303"/>
              <w:rPr>
                <w:sz w:val="21"/>
              </w:rPr>
            </w:pPr>
            <w:r>
              <w:rPr>
                <w:spacing w:val="-7"/>
                <w:sz w:val="21"/>
              </w:rPr>
              <w:t>指两人或两人以上对抗性柔道、空手道、跆拳道、散打、拳击等各种拳术及使</w:t>
            </w:r>
            <w:r>
              <w:rPr>
                <w:spacing w:val="-3"/>
                <w:sz w:val="21"/>
              </w:rPr>
              <w:t>用器械的对抗性比赛。</w:t>
            </w:r>
          </w:p>
        </w:tc>
      </w:tr>
      <w:tr>
        <w:trPr>
          <w:trHeight w:val="538" w:hRule="atLeast"/>
        </w:trPr>
        <w:tc>
          <w:tcPr>
            <w:tcW w:w="837" w:type="dxa"/>
          </w:tcPr>
          <w:p>
            <w:pPr>
              <w:pStyle w:val="TableParagraph"/>
              <w:spacing w:before="99"/>
              <w:ind w:left="180" w:right="192"/>
              <w:jc w:val="center"/>
              <w:rPr>
                <w:b/>
                <w:sz w:val="21"/>
              </w:rPr>
            </w:pPr>
            <w:r>
              <w:rPr>
                <w:b/>
                <w:sz w:val="21"/>
              </w:rPr>
              <w:t>8.15</w:t>
            </w:r>
          </w:p>
        </w:tc>
        <w:tc>
          <w:tcPr>
            <w:tcW w:w="2025" w:type="dxa"/>
          </w:tcPr>
          <w:p>
            <w:pPr>
              <w:pStyle w:val="TableParagraph"/>
              <w:spacing w:before="99"/>
              <w:ind w:left="215"/>
              <w:rPr>
                <w:b/>
                <w:sz w:val="21"/>
              </w:rPr>
            </w:pPr>
            <w:r>
              <w:rPr>
                <w:b/>
                <w:sz w:val="21"/>
              </w:rPr>
              <w:t>特技表演</w:t>
            </w:r>
          </w:p>
        </w:tc>
        <w:tc>
          <w:tcPr>
            <w:tcW w:w="7518" w:type="dxa"/>
          </w:tcPr>
          <w:p>
            <w:pPr>
              <w:pStyle w:val="TableParagraph"/>
              <w:spacing w:before="99"/>
              <w:ind w:left="121"/>
              <w:rPr>
                <w:sz w:val="21"/>
              </w:rPr>
            </w:pPr>
            <w:r>
              <w:rPr>
                <w:sz w:val="21"/>
              </w:rPr>
              <w:t>指进行马术、杂技、驯兽等表演。</w:t>
            </w:r>
          </w:p>
        </w:tc>
      </w:tr>
      <w:tr>
        <w:trPr>
          <w:trHeight w:val="375" w:hRule="atLeast"/>
        </w:trPr>
        <w:tc>
          <w:tcPr>
            <w:tcW w:w="837" w:type="dxa"/>
          </w:tcPr>
          <w:p>
            <w:pPr>
              <w:pStyle w:val="TableParagraph"/>
              <w:spacing w:line="255" w:lineRule="exact" w:before="100"/>
              <w:ind w:left="180" w:right="192"/>
              <w:jc w:val="center"/>
              <w:rPr>
                <w:b/>
                <w:sz w:val="21"/>
              </w:rPr>
            </w:pPr>
            <w:r>
              <w:rPr>
                <w:b/>
                <w:sz w:val="21"/>
              </w:rPr>
              <w:t>8.16</w:t>
            </w:r>
          </w:p>
        </w:tc>
        <w:tc>
          <w:tcPr>
            <w:tcW w:w="2025" w:type="dxa"/>
          </w:tcPr>
          <w:p>
            <w:pPr>
              <w:pStyle w:val="TableParagraph"/>
              <w:spacing w:line="255" w:lineRule="exact" w:before="100"/>
              <w:ind w:left="215"/>
              <w:rPr>
                <w:b/>
                <w:sz w:val="21"/>
              </w:rPr>
            </w:pPr>
            <w:r>
              <w:rPr>
                <w:b/>
                <w:sz w:val="21"/>
              </w:rPr>
              <w:t>适用主合同释义</w:t>
            </w:r>
          </w:p>
        </w:tc>
        <w:tc>
          <w:tcPr>
            <w:tcW w:w="7518" w:type="dxa"/>
          </w:tcPr>
          <w:p>
            <w:pPr>
              <w:pStyle w:val="TableParagraph"/>
              <w:spacing w:line="255" w:lineRule="exact" w:before="100"/>
              <w:ind w:left="121"/>
              <w:rPr>
                <w:sz w:val="21"/>
              </w:rPr>
            </w:pPr>
            <w:r>
              <w:rPr>
                <w:sz w:val="21"/>
              </w:rPr>
              <w:t>本附加合同中其他重要术语的释义请参看主合同释义条款。</w:t>
            </w:r>
          </w:p>
        </w:tc>
      </w:tr>
    </w:tbl>
    <w:p>
      <w:pPr>
        <w:pStyle w:val="BodyText"/>
        <w:spacing w:before="13"/>
        <w:rPr>
          <w:sz w:val="22"/>
        </w:rPr>
      </w:pPr>
    </w:p>
    <w:p>
      <w:pPr>
        <w:pStyle w:val="Heading1"/>
        <w:tabs>
          <w:tab w:pos="1264" w:val="left" w:leader="none"/>
        </w:tabs>
        <w:ind w:left="300"/>
      </w:pPr>
      <w:r>
        <w:rPr/>
        <w:t>附录一</w:t>
        <w:tab/>
      </w:r>
      <w:r>
        <w:rPr>
          <w:w w:val="95"/>
        </w:rPr>
        <w:t>重大疾病列表</w:t>
      </w:r>
    </w:p>
    <w:tbl>
      <w:tblPr>
        <w:tblW w:w="0" w:type="auto"/>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2"/>
        <w:gridCol w:w="7306"/>
      </w:tblGrid>
      <w:tr>
        <w:trPr>
          <w:trHeight w:val="3431" w:hRule="atLeast"/>
        </w:trPr>
        <w:tc>
          <w:tcPr>
            <w:tcW w:w="850" w:type="dxa"/>
          </w:tcPr>
          <w:p>
            <w:pPr>
              <w:pStyle w:val="TableParagraph"/>
              <w:spacing w:line="262" w:lineRule="exact"/>
              <w:ind w:left="107"/>
              <w:rPr>
                <w:b/>
                <w:sz w:val="21"/>
              </w:rPr>
            </w:pPr>
            <w:r>
              <w:rPr>
                <w:b/>
                <w:w w:val="100"/>
                <w:sz w:val="21"/>
              </w:rPr>
              <w:t>一</w:t>
            </w:r>
          </w:p>
        </w:tc>
        <w:tc>
          <w:tcPr>
            <w:tcW w:w="1932" w:type="dxa"/>
          </w:tcPr>
          <w:p>
            <w:pPr>
              <w:pStyle w:val="TableParagraph"/>
              <w:spacing w:line="262" w:lineRule="exact"/>
              <w:ind w:left="107"/>
              <w:rPr>
                <w:b/>
                <w:sz w:val="21"/>
              </w:rPr>
            </w:pPr>
            <w:r>
              <w:rPr>
                <w:b/>
                <w:sz w:val="21"/>
              </w:rPr>
              <w:t>恶性肿瘤</w:t>
            </w:r>
          </w:p>
        </w:tc>
        <w:tc>
          <w:tcPr>
            <w:tcW w:w="7306" w:type="dxa"/>
          </w:tcPr>
          <w:p>
            <w:pPr>
              <w:pStyle w:val="TableParagraph"/>
              <w:spacing w:line="273" w:lineRule="auto"/>
              <w:ind w:left="109" w:right="93"/>
              <w:jc w:val="both"/>
              <w:rPr>
                <w:sz w:val="21"/>
              </w:rPr>
            </w:pPr>
            <w:r>
              <w:rPr>
                <w:spacing w:val="-6"/>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3"/>
                <w:sz w:val="21"/>
              </w:rPr>
              <w:t>诊断，临床诊断属于世界卫生组织《疾病和有关健康问题的国际统计分类》</w:t>
            </w:r>
          </w:p>
          <w:p>
            <w:pPr>
              <w:pStyle w:val="TableParagraph"/>
              <w:spacing w:line="273" w:lineRule="auto" w:before="20"/>
              <w:ind w:left="109" w:right="4450"/>
              <w:rPr>
                <w:sz w:val="21"/>
              </w:rPr>
            </w:pPr>
            <w:r>
              <w:rPr>
                <w:sz w:val="21"/>
              </w:rPr>
              <w:t>（ICD-10）的恶性肿瘤范畴。下列疾病不在保障范围内：</w:t>
            </w:r>
          </w:p>
          <w:p>
            <w:pPr>
              <w:pStyle w:val="TableParagraph"/>
              <w:spacing w:before="7"/>
              <w:ind w:left="109"/>
              <w:jc w:val="both"/>
              <w:rPr>
                <w:sz w:val="21"/>
              </w:rPr>
            </w:pPr>
            <w:r>
              <w:rPr>
                <w:sz w:val="21"/>
              </w:rPr>
              <w:t>（1）原位癌；</w:t>
            </w:r>
          </w:p>
          <w:p>
            <w:pPr>
              <w:pStyle w:val="TableParagraph"/>
              <w:spacing w:before="37"/>
              <w:ind w:left="109"/>
              <w:jc w:val="both"/>
              <w:rPr>
                <w:sz w:val="21"/>
              </w:rPr>
            </w:pPr>
            <w:r>
              <w:rPr>
                <w:sz w:val="21"/>
              </w:rPr>
              <w:t>（2）相当于 Binet 分期方案 A 期程度的慢性淋巴细胞白血病；</w:t>
            </w:r>
          </w:p>
          <w:p>
            <w:pPr>
              <w:pStyle w:val="TableParagraph"/>
              <w:spacing w:before="37"/>
              <w:ind w:left="109"/>
              <w:jc w:val="both"/>
              <w:rPr>
                <w:sz w:val="21"/>
              </w:rPr>
            </w:pPr>
            <w:r>
              <w:rPr>
                <w:sz w:val="21"/>
              </w:rPr>
              <w:t>（3）相当于 Ann Arbor 分期方案 I 期程度的何杰金氏病；</w:t>
            </w:r>
          </w:p>
          <w:p>
            <w:pPr>
              <w:pStyle w:val="TableParagraph"/>
              <w:spacing w:before="37"/>
              <w:ind w:left="109"/>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7"/>
              <w:ind w:left="109"/>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9"/>
              <w:jc w:val="both"/>
              <w:rPr>
                <w:sz w:val="21"/>
              </w:rPr>
            </w:pPr>
            <w:r>
              <w:rPr>
                <w:sz w:val="21"/>
              </w:rPr>
              <w:t>（6）</w:t>
            </w:r>
            <w:r>
              <w:rPr>
                <w:b/>
                <w:sz w:val="21"/>
              </w:rPr>
              <w:t>感染艾滋病病毒或患艾滋病</w:t>
            </w:r>
            <w:r>
              <w:rPr>
                <w:sz w:val="21"/>
              </w:rPr>
              <w:t>期间所患恶性肿瘤。</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185" w:hRule="atLeast"/>
        </w:trPr>
        <w:tc>
          <w:tcPr>
            <w:tcW w:w="850" w:type="dxa"/>
          </w:tcPr>
          <w:p>
            <w:pPr>
              <w:pStyle w:val="TableParagraph"/>
              <w:spacing w:line="265" w:lineRule="exact"/>
              <w:ind w:left="107"/>
              <w:rPr>
                <w:b/>
                <w:sz w:val="21"/>
              </w:rPr>
            </w:pPr>
            <w:r>
              <w:rPr>
                <w:b/>
                <w:w w:val="100"/>
                <w:sz w:val="21"/>
              </w:rPr>
              <w:t>二</w:t>
            </w:r>
          </w:p>
        </w:tc>
        <w:tc>
          <w:tcPr>
            <w:tcW w:w="1932" w:type="dxa"/>
          </w:tcPr>
          <w:p>
            <w:pPr>
              <w:pStyle w:val="TableParagraph"/>
              <w:spacing w:line="265" w:lineRule="exact"/>
              <w:ind w:left="107"/>
              <w:rPr>
                <w:b/>
                <w:sz w:val="21"/>
              </w:rPr>
            </w:pPr>
            <w:r>
              <w:rPr>
                <w:b/>
                <w:sz w:val="21"/>
              </w:rPr>
              <w:t>急性心肌梗塞</w:t>
            </w:r>
          </w:p>
        </w:tc>
        <w:tc>
          <w:tcPr>
            <w:tcW w:w="7306" w:type="dxa"/>
          </w:tcPr>
          <w:p>
            <w:pPr>
              <w:pStyle w:val="TableParagraph"/>
              <w:spacing w:line="273" w:lineRule="auto"/>
              <w:ind w:left="109" w:right="30"/>
              <w:rPr>
                <w:sz w:val="21"/>
              </w:rPr>
            </w:pPr>
            <w:r>
              <w:rPr>
                <w:sz w:val="21"/>
              </w:rPr>
              <w:t>指因冠状动脉阻塞导致的相应区域供血不足造成部分心肌坏死。须满足下列至少三项条件：</w:t>
            </w:r>
          </w:p>
          <w:p>
            <w:pPr>
              <w:pStyle w:val="TableParagraph"/>
              <w:spacing w:before="18"/>
              <w:ind w:left="109"/>
              <w:rPr>
                <w:sz w:val="21"/>
              </w:rPr>
            </w:pPr>
            <w:r>
              <w:rPr>
                <w:sz w:val="21"/>
              </w:rPr>
              <w:t>（1）典型临床表现，例如急性胸痛等；</w:t>
            </w:r>
          </w:p>
          <w:p>
            <w:pPr>
              <w:pStyle w:val="TableParagraph"/>
              <w:spacing w:before="37"/>
              <w:ind w:left="109"/>
              <w:rPr>
                <w:sz w:val="21"/>
              </w:rPr>
            </w:pPr>
            <w:r>
              <w:rPr>
                <w:sz w:val="21"/>
              </w:rPr>
              <w:t>（2）新近的心电图改变提示急性心肌梗塞；</w:t>
            </w:r>
          </w:p>
          <w:p>
            <w:pPr>
              <w:pStyle w:val="TableParagraph"/>
              <w:spacing w:line="273" w:lineRule="auto" w:before="37"/>
              <w:ind w:left="635" w:right="143" w:hanging="526"/>
              <w:rPr>
                <w:sz w:val="21"/>
              </w:rPr>
            </w:pPr>
            <w:r>
              <w:rPr>
                <w:sz w:val="21"/>
              </w:rPr>
              <w:t>（3）心肌酶或肌钙蛋白有诊断意义的升高，或呈符合急性心肌梗塞的动态性变化；</w:t>
            </w:r>
          </w:p>
          <w:p>
            <w:pPr>
              <w:pStyle w:val="TableParagraph"/>
              <w:spacing w:before="8"/>
              <w:ind w:left="109" w:right="-15"/>
              <w:rPr>
                <w:sz w:val="21"/>
              </w:rPr>
            </w:pPr>
            <w:r>
              <w:rPr>
                <w:spacing w:val="-13"/>
                <w:sz w:val="21"/>
              </w:rPr>
              <w:t>（4）</w:t>
            </w:r>
            <w:r>
              <w:rPr>
                <w:spacing w:val="-15"/>
                <w:sz w:val="21"/>
              </w:rPr>
              <w:t>发病 </w:t>
            </w:r>
            <w:r>
              <w:rPr>
                <w:sz w:val="21"/>
              </w:rPr>
              <w:t>90</w:t>
            </w:r>
            <w:r>
              <w:rPr>
                <w:spacing w:val="-14"/>
                <w:sz w:val="21"/>
              </w:rPr>
              <w:t> 天后，经检查证实左心室功能降低，如左心室射血分数低于 </w:t>
            </w:r>
            <w:r>
              <w:rPr>
                <w:sz w:val="21"/>
              </w:rPr>
              <w:t>50%。</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bl>
    <w:p>
      <w:pPr>
        <w:spacing w:after="0"/>
        <w:rPr>
          <w:rFonts w:ascii="Times New Roman"/>
          <w:sz w:val="14"/>
        </w:rPr>
        <w:sectPr>
          <w:pgSz w:w="11910" w:h="16840"/>
          <w:pgMar w:top="1160" w:bottom="280" w:left="720" w:right="60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2"/>
        <w:gridCol w:w="7306"/>
      </w:tblGrid>
      <w:tr>
        <w:trPr>
          <w:trHeight w:val="2185" w:hRule="atLeast"/>
        </w:trPr>
        <w:tc>
          <w:tcPr>
            <w:tcW w:w="850" w:type="dxa"/>
          </w:tcPr>
          <w:p>
            <w:pPr>
              <w:pStyle w:val="TableParagraph"/>
              <w:spacing w:line="259" w:lineRule="exact"/>
              <w:ind w:left="107"/>
              <w:rPr>
                <w:b/>
                <w:sz w:val="21"/>
              </w:rPr>
            </w:pPr>
            <w:r>
              <w:rPr>
                <w:b/>
                <w:w w:val="100"/>
                <w:sz w:val="21"/>
              </w:rPr>
              <w:t>三</w:t>
            </w:r>
          </w:p>
        </w:tc>
        <w:tc>
          <w:tcPr>
            <w:tcW w:w="1932" w:type="dxa"/>
          </w:tcPr>
          <w:p>
            <w:pPr>
              <w:pStyle w:val="TableParagraph"/>
              <w:spacing w:line="259" w:lineRule="exact"/>
              <w:ind w:left="107"/>
              <w:rPr>
                <w:b/>
                <w:sz w:val="21"/>
              </w:rPr>
            </w:pPr>
            <w:r>
              <w:rPr>
                <w:b/>
                <w:sz w:val="21"/>
              </w:rPr>
              <w:t>脑中风后遗症</w:t>
            </w:r>
          </w:p>
        </w:tc>
        <w:tc>
          <w:tcPr>
            <w:tcW w:w="7306" w:type="dxa"/>
          </w:tcPr>
          <w:p>
            <w:pPr>
              <w:pStyle w:val="TableParagraph"/>
              <w:spacing w:line="259" w:lineRule="exact"/>
              <w:ind w:left="109"/>
              <w:rPr>
                <w:sz w:val="21"/>
              </w:rPr>
            </w:pPr>
            <w:r>
              <w:rPr>
                <w:sz w:val="21"/>
              </w:rPr>
              <w:t>指因脑血管的突发病变引起脑血管出血、栓塞或梗塞，并导致神经系统永久性</w:t>
            </w:r>
          </w:p>
          <w:p>
            <w:pPr>
              <w:pStyle w:val="TableParagraph"/>
              <w:spacing w:line="273" w:lineRule="auto" w:before="37"/>
              <w:ind w:left="109" w:right="94"/>
              <w:rPr>
                <w:sz w:val="21"/>
              </w:rPr>
            </w:pPr>
            <w:r>
              <w:rPr>
                <w:spacing w:val="-8"/>
                <w:sz w:val="21"/>
              </w:rPr>
              <w:t>的功能障碍。神经系统永久性的功能障碍，指疾病确诊 </w:t>
            </w:r>
            <w:r>
              <w:rPr>
                <w:sz w:val="21"/>
              </w:rPr>
              <w:t>180</w:t>
            </w:r>
            <w:r>
              <w:rPr>
                <w:spacing w:val="-10"/>
                <w:sz w:val="21"/>
              </w:rPr>
              <w:t> 天后，仍遗留下列</w:t>
            </w:r>
            <w:r>
              <w:rPr>
                <w:spacing w:val="-3"/>
                <w:sz w:val="21"/>
              </w:rPr>
              <w:t>一种或一种以上障碍：</w:t>
            </w:r>
          </w:p>
          <w:p>
            <w:pPr>
              <w:pStyle w:val="TableParagraph"/>
              <w:spacing w:before="7"/>
              <w:ind w:left="109"/>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spacing w:val="-2"/>
                <w:w w:val="100"/>
                <w:sz w:val="21"/>
              </w:rPr>
              <w:t>见注</w:t>
            </w:r>
            <w:r>
              <w:rPr>
                <w:spacing w:val="-53"/>
                <w:sz w:val="21"/>
              </w:rPr>
              <w:t> </w:t>
            </w:r>
            <w:r>
              <w:rPr>
                <w:w w:val="100"/>
                <w:sz w:val="21"/>
              </w:rPr>
              <w:t>2</w:t>
            </w:r>
            <w:r>
              <w:rPr>
                <w:spacing w:val="-106"/>
                <w:w w:val="100"/>
                <w:sz w:val="21"/>
              </w:rPr>
              <w:t>）；</w:t>
            </w:r>
          </w:p>
          <w:p>
            <w:pPr>
              <w:pStyle w:val="TableParagraph"/>
              <w:spacing w:before="36"/>
              <w:ind w:left="109"/>
              <w:rPr>
                <w:sz w:val="21"/>
              </w:rPr>
            </w:pPr>
            <w:r>
              <w:rPr>
                <w:w w:val="100"/>
                <w:sz w:val="21"/>
              </w:rPr>
              <w:t>（2</w:t>
            </w:r>
            <w:r>
              <w:rPr>
                <w:spacing w:val="-3"/>
                <w:w w:val="100"/>
                <w:sz w:val="21"/>
              </w:rPr>
              <w:t>）</w:t>
            </w:r>
            <w:r>
              <w:rPr>
                <w:b/>
                <w:spacing w:val="-2"/>
                <w:w w:val="100"/>
                <w:sz w:val="21"/>
              </w:rPr>
              <w:t>语言能力或咀嚼吞咽能力完全丧失</w:t>
            </w:r>
            <w:r>
              <w:rPr>
                <w:spacing w:val="-3"/>
                <w:w w:val="100"/>
                <w:sz w:val="21"/>
              </w:rPr>
              <w:t>（</w:t>
            </w:r>
            <w:r>
              <w:rPr>
                <w:spacing w:val="-2"/>
                <w:w w:val="100"/>
                <w:sz w:val="21"/>
              </w:rPr>
              <w:t>见注</w:t>
            </w:r>
            <w:r>
              <w:rPr>
                <w:spacing w:val="-53"/>
                <w:sz w:val="21"/>
              </w:rPr>
              <w:t> </w:t>
            </w:r>
            <w:r>
              <w:rPr>
                <w:w w:val="100"/>
                <w:sz w:val="21"/>
              </w:rPr>
              <w:t>3</w:t>
            </w:r>
            <w:r>
              <w:rPr>
                <w:spacing w:val="-106"/>
                <w:w w:val="100"/>
                <w:sz w:val="21"/>
              </w:rPr>
              <w:t>）；</w:t>
            </w:r>
          </w:p>
          <w:p>
            <w:pPr>
              <w:pStyle w:val="TableParagraph"/>
              <w:spacing w:line="273" w:lineRule="auto" w:before="36"/>
              <w:ind w:left="613" w:right="-15" w:hanging="504"/>
              <w:rPr>
                <w:sz w:val="21"/>
              </w:rPr>
            </w:pPr>
            <w:r>
              <w:rPr>
                <w:sz w:val="21"/>
              </w:rPr>
              <w:t>（3）</w:t>
            </w:r>
            <w:r>
              <w:rPr>
                <w:spacing w:val="-3"/>
                <w:sz w:val="21"/>
              </w:rPr>
              <w:t>自主生活能力完全丧失，无法独立完成</w:t>
            </w:r>
            <w:r>
              <w:rPr>
                <w:b/>
                <w:spacing w:val="-1"/>
                <w:sz w:val="21"/>
              </w:rPr>
              <w:t>六项基本日常生活活动</w:t>
            </w:r>
            <w:r>
              <w:rPr>
                <w:spacing w:val="-3"/>
                <w:sz w:val="21"/>
              </w:rPr>
              <w:t>（</w:t>
            </w:r>
            <w:r>
              <w:rPr>
                <w:spacing w:val="-11"/>
                <w:sz w:val="21"/>
              </w:rPr>
              <w:t>见注 </w:t>
            </w:r>
            <w:r>
              <w:rPr>
                <w:sz w:val="21"/>
              </w:rPr>
              <w:t>1） </w:t>
            </w:r>
            <w:r>
              <w:rPr>
                <w:spacing w:val="-3"/>
                <w:sz w:val="21"/>
              </w:rPr>
              <w:t>中的三项或三项以上。</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559" w:hRule="atLeast"/>
        </w:trPr>
        <w:tc>
          <w:tcPr>
            <w:tcW w:w="850" w:type="dxa"/>
          </w:tcPr>
          <w:p>
            <w:pPr>
              <w:pStyle w:val="TableParagraph"/>
              <w:spacing w:line="257" w:lineRule="exact"/>
              <w:ind w:left="107"/>
              <w:rPr>
                <w:b/>
                <w:sz w:val="21"/>
              </w:rPr>
            </w:pPr>
            <w:r>
              <w:rPr>
                <w:b/>
                <w:w w:val="100"/>
                <w:sz w:val="21"/>
              </w:rPr>
              <w:t>四</w:t>
            </w:r>
          </w:p>
        </w:tc>
        <w:tc>
          <w:tcPr>
            <w:tcW w:w="1932" w:type="dxa"/>
          </w:tcPr>
          <w:p>
            <w:pPr>
              <w:pStyle w:val="TableParagraph"/>
              <w:spacing w:line="257" w:lineRule="exact"/>
              <w:ind w:left="107"/>
              <w:rPr>
                <w:b/>
                <w:sz w:val="21"/>
              </w:rPr>
            </w:pPr>
            <w:r>
              <w:rPr>
                <w:b/>
                <w:sz w:val="21"/>
              </w:rPr>
              <w:t>重大器官移植术或</w:t>
            </w:r>
          </w:p>
          <w:p>
            <w:pPr>
              <w:pStyle w:val="TableParagraph"/>
              <w:spacing w:before="37"/>
              <w:ind w:left="107"/>
              <w:rPr>
                <w:b/>
                <w:sz w:val="21"/>
              </w:rPr>
            </w:pPr>
            <w:r>
              <w:rPr>
                <w:b/>
                <w:sz w:val="21"/>
              </w:rPr>
              <w:t>造血干细胞移植术</w:t>
            </w:r>
          </w:p>
        </w:tc>
        <w:tc>
          <w:tcPr>
            <w:tcW w:w="7306" w:type="dxa"/>
          </w:tcPr>
          <w:p>
            <w:pPr>
              <w:pStyle w:val="TableParagraph"/>
              <w:spacing w:line="257" w:lineRule="exact"/>
              <w:ind w:left="109"/>
              <w:rPr>
                <w:sz w:val="21"/>
              </w:rPr>
            </w:pPr>
            <w:r>
              <w:rPr>
                <w:sz w:val="21"/>
              </w:rPr>
              <w:t>重大器官移植术，指因相应器官功能衰竭，已经实施了肾脏、肝脏、心脏或肺</w:t>
            </w:r>
          </w:p>
          <w:p>
            <w:pPr>
              <w:pStyle w:val="TableParagraph"/>
              <w:spacing w:before="37"/>
              <w:ind w:left="109"/>
              <w:rPr>
                <w:sz w:val="21"/>
              </w:rPr>
            </w:pPr>
            <w:r>
              <w:rPr>
                <w:sz w:val="21"/>
              </w:rPr>
              <w:t>脏的异体移植手术。</w:t>
            </w:r>
          </w:p>
          <w:p>
            <w:pPr>
              <w:pStyle w:val="TableParagraph"/>
              <w:spacing w:line="273" w:lineRule="auto" w:before="37"/>
              <w:ind w:left="109" w:right="91"/>
              <w:jc w:val="both"/>
              <w:rPr>
                <w:sz w:val="21"/>
              </w:rPr>
            </w:pPr>
            <w:r>
              <w:rPr>
                <w:spacing w:val="-7"/>
                <w:sz w:val="21"/>
              </w:rPr>
              <w:t>造血干细胞移植术，指因造血功能损害或造血系统恶性肿瘤，已经实施了造血</w:t>
            </w:r>
            <w:r>
              <w:rPr>
                <w:spacing w:val="-12"/>
                <w:sz w:val="21"/>
              </w:rPr>
              <w:t>干细胞</w:t>
            </w:r>
            <w:r>
              <w:rPr>
                <w:sz w:val="21"/>
              </w:rPr>
              <w:t>（</w:t>
            </w:r>
            <w:r>
              <w:rPr>
                <w:spacing w:val="-5"/>
                <w:sz w:val="21"/>
              </w:rPr>
              <w:t>包括骨髓造血干细胞、外周血造血干细胞和脐血造血干细胞</w:t>
            </w:r>
            <w:r>
              <w:rPr>
                <w:spacing w:val="-20"/>
                <w:sz w:val="21"/>
              </w:rPr>
              <w:t>）</w:t>
            </w:r>
            <w:r>
              <w:rPr>
                <w:spacing w:val="-2"/>
                <w:sz w:val="21"/>
              </w:rPr>
              <w:t>的异体</w:t>
            </w:r>
            <w:r>
              <w:rPr>
                <w:spacing w:val="-3"/>
                <w:sz w:val="21"/>
              </w:rPr>
              <w:t>移植手术。</w:t>
            </w:r>
          </w:p>
        </w:tc>
      </w:tr>
      <w:tr>
        <w:trPr>
          <w:trHeight w:val="217"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w w:val="100"/>
                <w:sz w:val="21"/>
              </w:rPr>
              <w:t>五</w:t>
            </w:r>
          </w:p>
        </w:tc>
        <w:tc>
          <w:tcPr>
            <w:tcW w:w="1932" w:type="dxa"/>
          </w:tcPr>
          <w:p>
            <w:pPr>
              <w:pStyle w:val="TableParagraph"/>
              <w:spacing w:line="257" w:lineRule="exact"/>
              <w:ind w:left="107"/>
              <w:rPr>
                <w:b/>
                <w:sz w:val="21"/>
              </w:rPr>
            </w:pPr>
            <w:r>
              <w:rPr>
                <w:b/>
                <w:sz w:val="21"/>
              </w:rPr>
              <w:t>冠状动脉搭桥术</w:t>
            </w:r>
          </w:p>
          <w:p>
            <w:pPr>
              <w:pStyle w:val="TableParagraph"/>
              <w:spacing w:line="273" w:lineRule="auto" w:before="37"/>
              <w:ind w:left="107" w:right="124"/>
              <w:rPr>
                <w:b/>
                <w:sz w:val="21"/>
              </w:rPr>
            </w:pPr>
            <w:r>
              <w:rPr>
                <w:b/>
                <w:sz w:val="21"/>
              </w:rPr>
              <w:t>（或称冠状动脉旁路移植术）</w:t>
            </w:r>
          </w:p>
        </w:tc>
        <w:tc>
          <w:tcPr>
            <w:tcW w:w="7306" w:type="dxa"/>
          </w:tcPr>
          <w:p>
            <w:pPr>
              <w:pStyle w:val="TableParagraph"/>
              <w:spacing w:line="257" w:lineRule="exact"/>
              <w:ind w:left="109"/>
              <w:rPr>
                <w:sz w:val="21"/>
              </w:rPr>
            </w:pPr>
            <w:r>
              <w:rPr>
                <w:sz w:val="21"/>
              </w:rPr>
              <w:t>指为治疗严重的冠心病，实际实施了开胸进行的冠状动脉血管旁路移植的手</w:t>
            </w:r>
          </w:p>
          <w:p>
            <w:pPr>
              <w:pStyle w:val="TableParagraph"/>
              <w:spacing w:before="37"/>
              <w:ind w:left="109"/>
              <w:rPr>
                <w:sz w:val="21"/>
              </w:rPr>
            </w:pPr>
            <w:r>
              <w:rPr>
                <w:sz w:val="21"/>
              </w:rPr>
              <w:t>术。</w:t>
            </w:r>
          </w:p>
          <w:p>
            <w:pPr>
              <w:pStyle w:val="TableParagraph"/>
              <w:spacing w:line="273" w:lineRule="auto" w:before="37"/>
              <w:ind w:left="109" w:right="91"/>
              <w:rPr>
                <w:sz w:val="21"/>
              </w:rPr>
            </w:pPr>
            <w:r>
              <w:rPr>
                <w:spacing w:val="-8"/>
                <w:sz w:val="21"/>
              </w:rPr>
              <w:t>冠状动脉支架植入术、心导管球囊扩张术、激光射频技术及其它非开胸的介入</w:t>
            </w:r>
            <w:r>
              <w:rPr>
                <w:spacing w:val="-5"/>
                <w:sz w:val="21"/>
              </w:rPr>
              <w:t>手术、腔镜手术不在保障范围内。</w:t>
            </w:r>
          </w:p>
        </w:tc>
      </w:tr>
      <w:tr>
        <w:trPr>
          <w:trHeight w:val="218"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935" w:hRule="atLeast"/>
        </w:trPr>
        <w:tc>
          <w:tcPr>
            <w:tcW w:w="850" w:type="dxa"/>
          </w:tcPr>
          <w:p>
            <w:pPr>
              <w:pStyle w:val="TableParagraph"/>
              <w:spacing w:line="257" w:lineRule="exact"/>
              <w:ind w:left="107"/>
              <w:rPr>
                <w:b/>
                <w:sz w:val="21"/>
              </w:rPr>
            </w:pPr>
            <w:r>
              <w:rPr>
                <w:b/>
                <w:w w:val="100"/>
                <w:sz w:val="21"/>
              </w:rPr>
              <w:t>六</w:t>
            </w:r>
          </w:p>
        </w:tc>
        <w:tc>
          <w:tcPr>
            <w:tcW w:w="1932" w:type="dxa"/>
          </w:tcPr>
          <w:p>
            <w:pPr>
              <w:pStyle w:val="TableParagraph"/>
              <w:spacing w:line="257" w:lineRule="exact"/>
              <w:ind w:left="107"/>
              <w:rPr>
                <w:b/>
                <w:sz w:val="21"/>
              </w:rPr>
            </w:pPr>
            <w:r>
              <w:rPr>
                <w:b/>
                <w:sz w:val="21"/>
              </w:rPr>
              <w:t>终末期肾病（或称</w:t>
            </w:r>
          </w:p>
          <w:p>
            <w:pPr>
              <w:pStyle w:val="TableParagraph"/>
              <w:spacing w:line="273" w:lineRule="auto" w:before="37"/>
              <w:ind w:left="107" w:right="124"/>
              <w:rPr>
                <w:b/>
                <w:sz w:val="21"/>
              </w:rPr>
            </w:pPr>
            <w:r>
              <w:rPr>
                <w:b/>
                <w:sz w:val="21"/>
              </w:rPr>
              <w:t>慢性肾功能衰竭尿毒症期）</w:t>
            </w:r>
          </w:p>
        </w:tc>
        <w:tc>
          <w:tcPr>
            <w:tcW w:w="7306" w:type="dxa"/>
          </w:tcPr>
          <w:p>
            <w:pPr>
              <w:pStyle w:val="TableParagraph"/>
              <w:spacing w:line="257" w:lineRule="exact"/>
              <w:ind w:left="109"/>
              <w:rPr>
                <w:sz w:val="21"/>
              </w:rPr>
            </w:pPr>
            <w:r>
              <w:rPr>
                <w:sz w:val="21"/>
              </w:rPr>
              <w:t>指双肾功能慢性不可逆性衰竭，达到尿毒症期，经诊断后已经进行了至少 90</w:t>
            </w:r>
          </w:p>
          <w:p>
            <w:pPr>
              <w:pStyle w:val="TableParagraph"/>
              <w:spacing w:before="37"/>
              <w:ind w:left="109"/>
              <w:rPr>
                <w:sz w:val="21"/>
              </w:rPr>
            </w:pPr>
            <w:r>
              <w:rPr>
                <w:sz w:val="21"/>
              </w:rPr>
              <w:t>天的规律性透析治疗或实施了肾脏移植手术。</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626" w:hRule="atLeast"/>
        </w:trPr>
        <w:tc>
          <w:tcPr>
            <w:tcW w:w="850" w:type="dxa"/>
          </w:tcPr>
          <w:p>
            <w:pPr>
              <w:pStyle w:val="TableParagraph"/>
              <w:spacing w:line="259" w:lineRule="exact"/>
              <w:ind w:left="107"/>
              <w:rPr>
                <w:b/>
                <w:sz w:val="21"/>
              </w:rPr>
            </w:pPr>
            <w:r>
              <w:rPr>
                <w:b/>
                <w:w w:val="100"/>
                <w:sz w:val="21"/>
              </w:rPr>
              <w:t>七</w:t>
            </w:r>
          </w:p>
        </w:tc>
        <w:tc>
          <w:tcPr>
            <w:tcW w:w="1932" w:type="dxa"/>
          </w:tcPr>
          <w:p>
            <w:pPr>
              <w:pStyle w:val="TableParagraph"/>
              <w:spacing w:line="259" w:lineRule="exact"/>
              <w:ind w:left="107"/>
              <w:rPr>
                <w:b/>
                <w:sz w:val="21"/>
              </w:rPr>
            </w:pPr>
            <w:r>
              <w:rPr>
                <w:b/>
                <w:sz w:val="21"/>
              </w:rPr>
              <w:t>多个肢体缺失</w:t>
            </w:r>
          </w:p>
        </w:tc>
        <w:tc>
          <w:tcPr>
            <w:tcW w:w="7306" w:type="dxa"/>
          </w:tcPr>
          <w:p>
            <w:pPr>
              <w:pStyle w:val="TableParagraph"/>
              <w:spacing w:line="259" w:lineRule="exact"/>
              <w:ind w:left="109"/>
              <w:rPr>
                <w:sz w:val="21"/>
              </w:rPr>
            </w:pPr>
            <w:r>
              <w:rPr>
                <w:sz w:val="21"/>
              </w:rPr>
              <w:t>指因疾病或意外伤害导致两个或两个以上肢体自腕关节或踝关节近端（靠近躯</w:t>
            </w:r>
          </w:p>
          <w:p>
            <w:pPr>
              <w:pStyle w:val="TableParagraph"/>
              <w:spacing w:before="37"/>
              <w:ind w:left="109"/>
              <w:rPr>
                <w:sz w:val="21"/>
              </w:rPr>
            </w:pPr>
            <w:r>
              <w:rPr>
                <w:sz w:val="21"/>
              </w:rPr>
              <w:t>干端）以上完全性断离。</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871" w:hRule="atLeast"/>
        </w:trPr>
        <w:tc>
          <w:tcPr>
            <w:tcW w:w="850" w:type="dxa"/>
          </w:tcPr>
          <w:p>
            <w:pPr>
              <w:pStyle w:val="TableParagraph"/>
              <w:spacing w:line="257" w:lineRule="exact"/>
              <w:ind w:left="107"/>
              <w:rPr>
                <w:b/>
                <w:sz w:val="21"/>
              </w:rPr>
            </w:pPr>
            <w:r>
              <w:rPr>
                <w:b/>
                <w:w w:val="100"/>
                <w:sz w:val="21"/>
              </w:rPr>
              <w:t>八</w:t>
            </w:r>
          </w:p>
        </w:tc>
        <w:tc>
          <w:tcPr>
            <w:tcW w:w="1932" w:type="dxa"/>
          </w:tcPr>
          <w:p>
            <w:pPr>
              <w:pStyle w:val="TableParagraph"/>
              <w:spacing w:line="257" w:lineRule="exact"/>
              <w:ind w:left="107"/>
              <w:rPr>
                <w:b/>
                <w:sz w:val="21"/>
              </w:rPr>
            </w:pPr>
            <w:r>
              <w:rPr>
                <w:b/>
                <w:sz w:val="21"/>
              </w:rPr>
              <w:t>急性或亚急性重症</w:t>
            </w:r>
          </w:p>
          <w:p>
            <w:pPr>
              <w:pStyle w:val="TableParagraph"/>
              <w:spacing w:before="37"/>
              <w:ind w:left="107"/>
              <w:rPr>
                <w:b/>
                <w:sz w:val="21"/>
              </w:rPr>
            </w:pPr>
            <w:r>
              <w:rPr>
                <w:b/>
                <w:sz w:val="21"/>
              </w:rPr>
              <w:t>肝炎</w:t>
            </w:r>
          </w:p>
        </w:tc>
        <w:tc>
          <w:tcPr>
            <w:tcW w:w="7306" w:type="dxa"/>
          </w:tcPr>
          <w:p>
            <w:pPr>
              <w:pStyle w:val="TableParagraph"/>
              <w:spacing w:line="257" w:lineRule="exact"/>
              <w:ind w:left="109"/>
              <w:rPr>
                <w:sz w:val="21"/>
              </w:rPr>
            </w:pPr>
            <w:r>
              <w:rPr>
                <w:sz w:val="21"/>
              </w:rPr>
              <w:t>指因肝炎病毒感染引起肝脏组织弥漫性坏死，导致急性肝功能衰竭，且经血清</w:t>
            </w:r>
          </w:p>
          <w:p>
            <w:pPr>
              <w:pStyle w:val="TableParagraph"/>
              <w:spacing w:before="37"/>
              <w:ind w:left="109"/>
              <w:rPr>
                <w:sz w:val="21"/>
              </w:rPr>
            </w:pPr>
            <w:r>
              <w:rPr>
                <w:sz w:val="21"/>
              </w:rPr>
              <w:t>学或病毒学检查证实，并须满足下列全部条件：</w:t>
            </w:r>
          </w:p>
          <w:p>
            <w:pPr>
              <w:pStyle w:val="TableParagraph"/>
              <w:spacing w:before="37"/>
              <w:ind w:left="109"/>
              <w:rPr>
                <w:sz w:val="21"/>
              </w:rPr>
            </w:pPr>
            <w:r>
              <w:rPr>
                <w:sz w:val="21"/>
              </w:rPr>
              <w:t>（1）重度黄疸或黄疸迅速加重；</w:t>
            </w:r>
          </w:p>
          <w:p>
            <w:pPr>
              <w:pStyle w:val="TableParagraph"/>
              <w:spacing w:before="37"/>
              <w:ind w:left="109"/>
              <w:rPr>
                <w:sz w:val="21"/>
              </w:rPr>
            </w:pPr>
            <w:r>
              <w:rPr>
                <w:sz w:val="21"/>
              </w:rPr>
              <w:t>（2）肝性脑病；</w:t>
            </w:r>
          </w:p>
          <w:p>
            <w:pPr>
              <w:pStyle w:val="TableParagraph"/>
              <w:spacing w:before="37"/>
              <w:ind w:left="109"/>
              <w:rPr>
                <w:sz w:val="21"/>
              </w:rPr>
            </w:pPr>
            <w:r>
              <w:rPr>
                <w:sz w:val="21"/>
              </w:rPr>
              <w:t>（3）B 超或其它影像学检查显示肝脏体积急速萎缩；</w:t>
            </w:r>
          </w:p>
          <w:p>
            <w:pPr>
              <w:pStyle w:val="TableParagraph"/>
              <w:spacing w:before="37"/>
              <w:ind w:left="109"/>
              <w:rPr>
                <w:sz w:val="21"/>
              </w:rPr>
            </w:pPr>
            <w:r>
              <w:rPr>
                <w:sz w:val="21"/>
              </w:rPr>
              <w:t>（4）肝功能指标进行性恶化。</w:t>
            </w:r>
          </w:p>
        </w:tc>
      </w:tr>
      <w:tr>
        <w:trPr>
          <w:trHeight w:val="217"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183" w:hRule="atLeast"/>
        </w:trPr>
        <w:tc>
          <w:tcPr>
            <w:tcW w:w="850" w:type="dxa"/>
          </w:tcPr>
          <w:p>
            <w:pPr>
              <w:pStyle w:val="TableParagraph"/>
              <w:spacing w:line="257" w:lineRule="exact"/>
              <w:ind w:left="107"/>
              <w:rPr>
                <w:b/>
                <w:sz w:val="21"/>
              </w:rPr>
            </w:pPr>
            <w:r>
              <w:rPr>
                <w:b/>
                <w:w w:val="100"/>
                <w:sz w:val="21"/>
              </w:rPr>
              <w:t>九</w:t>
            </w:r>
          </w:p>
        </w:tc>
        <w:tc>
          <w:tcPr>
            <w:tcW w:w="1932" w:type="dxa"/>
          </w:tcPr>
          <w:p>
            <w:pPr>
              <w:pStyle w:val="TableParagraph"/>
              <w:spacing w:line="257" w:lineRule="exact"/>
              <w:ind w:left="107"/>
              <w:rPr>
                <w:b/>
                <w:sz w:val="21"/>
              </w:rPr>
            </w:pPr>
            <w:r>
              <w:rPr>
                <w:b/>
                <w:sz w:val="21"/>
              </w:rPr>
              <w:t>良性脑肿瘤</w:t>
            </w:r>
          </w:p>
        </w:tc>
        <w:tc>
          <w:tcPr>
            <w:tcW w:w="7306" w:type="dxa"/>
          </w:tcPr>
          <w:p>
            <w:pPr>
              <w:pStyle w:val="TableParagraph"/>
              <w:spacing w:line="257" w:lineRule="exact"/>
              <w:ind w:left="109"/>
              <w:rPr>
                <w:sz w:val="21"/>
              </w:rPr>
            </w:pPr>
            <w:r>
              <w:rPr>
                <w:sz w:val="21"/>
              </w:rPr>
              <w:t>指脑的良性肿瘤，已经引起颅内压增高，临床表现为视神经乳头水肿、精神症</w:t>
            </w:r>
          </w:p>
          <w:p>
            <w:pPr>
              <w:pStyle w:val="TableParagraph"/>
              <w:spacing w:line="273" w:lineRule="auto" w:before="37"/>
              <w:ind w:left="109" w:right="93"/>
              <w:jc w:val="both"/>
              <w:rPr>
                <w:sz w:val="21"/>
              </w:rPr>
            </w:pPr>
            <w:r>
              <w:rPr>
                <w:spacing w:val="-3"/>
                <w:w w:val="100"/>
                <w:sz w:val="21"/>
              </w:rPr>
              <w:t>状、癫痫及运动感觉障碍等，并危及生命。须由头颅断层扫描</w:t>
            </w:r>
            <w:r>
              <w:rPr>
                <w:w w:val="100"/>
                <w:sz w:val="21"/>
              </w:rPr>
              <w:t>（C</w:t>
            </w:r>
            <w:r>
              <w:rPr>
                <w:spacing w:val="-4"/>
                <w:w w:val="100"/>
                <w:sz w:val="21"/>
              </w:rPr>
              <w:t>T</w:t>
            </w:r>
            <w:r>
              <w:rPr>
                <w:spacing w:val="-106"/>
                <w:w w:val="100"/>
                <w:sz w:val="21"/>
              </w:rPr>
              <w:t>）</w:t>
            </w:r>
            <w:r>
              <w:rPr>
                <w:spacing w:val="-3"/>
                <w:w w:val="100"/>
                <w:sz w:val="21"/>
              </w:rPr>
              <w:t>、核磁共</w:t>
            </w:r>
            <w:r>
              <w:rPr>
                <w:spacing w:val="-5"/>
                <w:sz w:val="21"/>
              </w:rPr>
              <w:t>振检查</w:t>
            </w:r>
            <w:r>
              <w:rPr>
                <w:spacing w:val="-4"/>
                <w:sz w:val="21"/>
              </w:rPr>
              <w:t>（MRI）或正电子发射断层扫描（PET）</w:t>
            </w:r>
            <w:r>
              <w:rPr>
                <w:spacing w:val="-5"/>
                <w:sz w:val="21"/>
              </w:rPr>
              <w:t>等影像学检查证实，并须满足下</w:t>
            </w:r>
            <w:r>
              <w:rPr>
                <w:spacing w:val="-3"/>
                <w:sz w:val="21"/>
              </w:rPr>
              <w:t>列至少一项条件：</w:t>
            </w:r>
          </w:p>
          <w:p>
            <w:pPr>
              <w:pStyle w:val="TableParagraph"/>
              <w:spacing w:before="7"/>
              <w:ind w:left="109"/>
              <w:jc w:val="both"/>
              <w:rPr>
                <w:sz w:val="21"/>
              </w:rPr>
            </w:pPr>
            <w:r>
              <w:rPr>
                <w:sz w:val="21"/>
              </w:rPr>
              <w:t>（1）实际实施了开颅进行的脑肿瘤完全切除或部分切除的手术；</w:t>
            </w:r>
          </w:p>
          <w:p>
            <w:pPr>
              <w:pStyle w:val="TableParagraph"/>
              <w:spacing w:before="36"/>
              <w:ind w:left="109"/>
              <w:jc w:val="both"/>
              <w:rPr>
                <w:sz w:val="21"/>
              </w:rPr>
            </w:pPr>
            <w:r>
              <w:rPr>
                <w:sz w:val="21"/>
              </w:rPr>
              <w:t>（2）实际实施了对脑肿瘤进行的放射治疗。</w:t>
            </w:r>
          </w:p>
          <w:p>
            <w:pPr>
              <w:pStyle w:val="TableParagraph"/>
              <w:spacing w:before="36"/>
              <w:ind w:left="110"/>
              <w:jc w:val="both"/>
              <w:rPr>
                <w:sz w:val="21"/>
              </w:rPr>
            </w:pPr>
            <w:r>
              <w:rPr>
                <w:sz w:val="21"/>
              </w:rPr>
              <w:t>脑垂体瘤、脑囊肿、脑血管性疾病不在保障范围内。</w:t>
            </w:r>
          </w:p>
        </w:tc>
      </w:tr>
      <w:tr>
        <w:trPr>
          <w:trHeight w:val="217"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871" w:hRule="atLeast"/>
        </w:trPr>
        <w:tc>
          <w:tcPr>
            <w:tcW w:w="850" w:type="dxa"/>
          </w:tcPr>
          <w:p>
            <w:pPr>
              <w:pStyle w:val="TableParagraph"/>
              <w:spacing w:line="257" w:lineRule="exact"/>
              <w:ind w:left="107"/>
              <w:rPr>
                <w:b/>
                <w:sz w:val="21"/>
              </w:rPr>
            </w:pPr>
            <w:r>
              <w:rPr>
                <w:b/>
                <w:w w:val="100"/>
                <w:sz w:val="21"/>
              </w:rPr>
              <w:t>十</w:t>
            </w:r>
          </w:p>
        </w:tc>
        <w:tc>
          <w:tcPr>
            <w:tcW w:w="1932" w:type="dxa"/>
          </w:tcPr>
          <w:p>
            <w:pPr>
              <w:pStyle w:val="TableParagraph"/>
              <w:spacing w:line="257" w:lineRule="exact"/>
              <w:ind w:left="107"/>
              <w:rPr>
                <w:b/>
                <w:sz w:val="21"/>
              </w:rPr>
            </w:pPr>
            <w:r>
              <w:rPr>
                <w:b/>
                <w:sz w:val="21"/>
              </w:rPr>
              <w:t>慢性肝功能衰竭失</w:t>
            </w:r>
          </w:p>
          <w:p>
            <w:pPr>
              <w:pStyle w:val="TableParagraph"/>
              <w:spacing w:before="37"/>
              <w:ind w:left="107"/>
              <w:rPr>
                <w:b/>
                <w:sz w:val="21"/>
              </w:rPr>
            </w:pPr>
            <w:r>
              <w:rPr>
                <w:b/>
                <w:sz w:val="21"/>
              </w:rPr>
              <w:t>代偿期</w:t>
            </w:r>
          </w:p>
        </w:tc>
        <w:tc>
          <w:tcPr>
            <w:tcW w:w="7306" w:type="dxa"/>
          </w:tcPr>
          <w:p>
            <w:pPr>
              <w:pStyle w:val="TableParagraph"/>
              <w:spacing w:line="257" w:lineRule="exact"/>
              <w:ind w:left="109"/>
              <w:rPr>
                <w:sz w:val="21"/>
              </w:rPr>
            </w:pPr>
            <w:r>
              <w:rPr>
                <w:sz w:val="21"/>
              </w:rPr>
              <w:t>指因慢性肝脏疾病导致肝功能衰竭。须满足下列全部条件：</w:t>
            </w:r>
          </w:p>
          <w:p>
            <w:pPr>
              <w:pStyle w:val="TableParagraph"/>
              <w:spacing w:before="37"/>
              <w:ind w:left="109"/>
              <w:rPr>
                <w:sz w:val="21"/>
              </w:rPr>
            </w:pPr>
            <w:r>
              <w:rPr>
                <w:sz w:val="21"/>
              </w:rPr>
              <w:t>（1）持续性黄疸；</w:t>
            </w:r>
          </w:p>
          <w:p>
            <w:pPr>
              <w:pStyle w:val="TableParagraph"/>
              <w:spacing w:before="37"/>
              <w:ind w:left="109"/>
              <w:rPr>
                <w:sz w:val="21"/>
              </w:rPr>
            </w:pPr>
            <w:r>
              <w:rPr>
                <w:sz w:val="21"/>
              </w:rPr>
              <w:t>（2）腹水；</w:t>
            </w:r>
          </w:p>
          <w:p>
            <w:pPr>
              <w:pStyle w:val="TableParagraph"/>
              <w:spacing w:before="37"/>
              <w:ind w:left="109"/>
              <w:rPr>
                <w:sz w:val="21"/>
              </w:rPr>
            </w:pPr>
            <w:r>
              <w:rPr>
                <w:sz w:val="21"/>
              </w:rPr>
              <w:t>（3）肝性脑病；</w:t>
            </w:r>
          </w:p>
          <w:p>
            <w:pPr>
              <w:pStyle w:val="TableParagraph"/>
              <w:spacing w:line="273" w:lineRule="auto" w:before="37"/>
              <w:ind w:left="109" w:right="2035"/>
              <w:rPr>
                <w:sz w:val="21"/>
              </w:rPr>
            </w:pPr>
            <w:r>
              <w:rPr>
                <w:sz w:val="21"/>
              </w:rPr>
              <w:t>（4）充血性脾肿大伴脾功能亢进或食管胃底静脉曲张。因酗酒或药物滥用导致的肝功能衰竭不在保障范围内。</w:t>
            </w:r>
          </w:p>
        </w:tc>
      </w:tr>
      <w:tr>
        <w:trPr>
          <w:trHeight w:val="218"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bl>
    <w:p>
      <w:pPr>
        <w:spacing w:after="0"/>
        <w:rPr>
          <w:rFonts w:ascii="Times New Roman"/>
          <w:sz w:val="14"/>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2"/>
        <w:gridCol w:w="7306"/>
      </w:tblGrid>
      <w:tr>
        <w:trPr>
          <w:trHeight w:val="1873" w:hRule="atLeast"/>
        </w:trPr>
        <w:tc>
          <w:tcPr>
            <w:tcW w:w="850" w:type="dxa"/>
          </w:tcPr>
          <w:p>
            <w:pPr>
              <w:pStyle w:val="TableParagraph"/>
              <w:spacing w:line="259" w:lineRule="exact"/>
              <w:ind w:left="107"/>
              <w:rPr>
                <w:b/>
                <w:sz w:val="21"/>
              </w:rPr>
            </w:pPr>
            <w:r>
              <w:rPr>
                <w:b/>
                <w:sz w:val="21"/>
              </w:rPr>
              <w:t>十一</w:t>
            </w:r>
          </w:p>
        </w:tc>
        <w:tc>
          <w:tcPr>
            <w:tcW w:w="1932" w:type="dxa"/>
          </w:tcPr>
          <w:p>
            <w:pPr>
              <w:pStyle w:val="TableParagraph"/>
              <w:spacing w:line="259" w:lineRule="exact"/>
              <w:ind w:left="107"/>
              <w:rPr>
                <w:b/>
                <w:sz w:val="21"/>
              </w:rPr>
            </w:pPr>
            <w:r>
              <w:rPr>
                <w:b/>
                <w:sz w:val="21"/>
              </w:rPr>
              <w:t>脑炎后遗症或脑膜</w:t>
            </w:r>
          </w:p>
          <w:p>
            <w:pPr>
              <w:pStyle w:val="TableParagraph"/>
              <w:spacing w:before="37"/>
              <w:ind w:left="107"/>
              <w:rPr>
                <w:b/>
                <w:sz w:val="21"/>
              </w:rPr>
            </w:pPr>
            <w:r>
              <w:rPr>
                <w:b/>
                <w:sz w:val="21"/>
              </w:rPr>
              <w:t>炎后遗症</w:t>
            </w:r>
          </w:p>
        </w:tc>
        <w:tc>
          <w:tcPr>
            <w:tcW w:w="7306" w:type="dxa"/>
          </w:tcPr>
          <w:p>
            <w:pPr>
              <w:pStyle w:val="TableParagraph"/>
              <w:spacing w:line="259" w:lineRule="exact"/>
              <w:ind w:left="109"/>
              <w:rPr>
                <w:sz w:val="21"/>
              </w:rPr>
            </w:pPr>
            <w:r>
              <w:rPr>
                <w:sz w:val="21"/>
              </w:rPr>
              <w:t>指因患脑炎或脑膜炎导致的神经系统永久性的功能障碍。神经系统永久性的功</w:t>
            </w:r>
          </w:p>
          <w:p>
            <w:pPr>
              <w:pStyle w:val="TableParagraph"/>
              <w:spacing w:before="37"/>
              <w:ind w:left="109"/>
              <w:rPr>
                <w:sz w:val="21"/>
              </w:rPr>
            </w:pPr>
            <w:r>
              <w:rPr>
                <w:sz w:val="21"/>
              </w:rPr>
              <w:t>能障碍，指疾病确诊 180 天后，仍遗留下列一种或一种以上障碍：</w:t>
            </w:r>
          </w:p>
          <w:p>
            <w:pPr>
              <w:pStyle w:val="TableParagraph"/>
              <w:spacing w:before="37"/>
              <w:ind w:left="109"/>
              <w:rPr>
                <w:sz w:val="21"/>
              </w:rPr>
            </w:pPr>
            <w:r>
              <w:rPr>
                <w:sz w:val="21"/>
              </w:rPr>
              <w:t>（1）一肢或一肢以上</w:t>
            </w:r>
            <w:r>
              <w:rPr>
                <w:b/>
                <w:sz w:val="21"/>
              </w:rPr>
              <w:t>肢体机能完全丧失</w:t>
            </w:r>
            <w:r>
              <w:rPr>
                <w:sz w:val="21"/>
              </w:rPr>
              <w:t>；</w:t>
            </w:r>
          </w:p>
          <w:p>
            <w:pPr>
              <w:pStyle w:val="TableParagraph"/>
              <w:spacing w:before="37"/>
              <w:ind w:left="109"/>
              <w:rPr>
                <w:sz w:val="21"/>
              </w:rPr>
            </w:pPr>
            <w:r>
              <w:rPr>
                <w:sz w:val="21"/>
              </w:rPr>
              <w:t>（2）</w:t>
            </w:r>
            <w:r>
              <w:rPr>
                <w:b/>
                <w:sz w:val="21"/>
              </w:rPr>
              <w:t>语言能力或咀嚼吞咽能力完全丧失</w:t>
            </w:r>
            <w:r>
              <w:rPr>
                <w:sz w:val="21"/>
              </w:rPr>
              <w:t>；</w:t>
            </w:r>
          </w:p>
          <w:p>
            <w:pPr>
              <w:pStyle w:val="TableParagraph"/>
              <w:spacing w:line="273" w:lineRule="auto" w:before="37"/>
              <w:ind w:left="635" w:right="137" w:hanging="526"/>
              <w:rPr>
                <w:sz w:val="21"/>
              </w:rPr>
            </w:pPr>
            <w:r>
              <w:rPr>
                <w:sz w:val="21"/>
              </w:rPr>
              <w:t>（3）自主生活能力完全丧失，无法独立完成</w:t>
            </w:r>
            <w:r>
              <w:rPr>
                <w:b/>
                <w:sz w:val="21"/>
              </w:rPr>
              <w:t>六项基本日常生活活动</w:t>
            </w:r>
            <w:r>
              <w:rPr>
                <w:sz w:val="21"/>
              </w:rPr>
              <w:t>中的三项或三项以上。</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十二</w:t>
            </w:r>
          </w:p>
        </w:tc>
        <w:tc>
          <w:tcPr>
            <w:tcW w:w="1932" w:type="dxa"/>
          </w:tcPr>
          <w:p>
            <w:pPr>
              <w:pStyle w:val="TableParagraph"/>
              <w:spacing w:line="257" w:lineRule="exact"/>
              <w:ind w:left="107"/>
              <w:rPr>
                <w:b/>
                <w:sz w:val="21"/>
              </w:rPr>
            </w:pPr>
            <w:r>
              <w:rPr>
                <w:b/>
                <w:sz w:val="21"/>
              </w:rPr>
              <w:t>深度昏迷</w:t>
            </w:r>
          </w:p>
        </w:tc>
        <w:tc>
          <w:tcPr>
            <w:tcW w:w="7306" w:type="dxa"/>
          </w:tcPr>
          <w:p>
            <w:pPr>
              <w:pStyle w:val="TableParagraph"/>
              <w:spacing w:line="257" w:lineRule="exact"/>
              <w:ind w:left="109"/>
              <w:rPr>
                <w:sz w:val="21"/>
              </w:rPr>
            </w:pPr>
            <w:r>
              <w:rPr>
                <w:sz w:val="21"/>
              </w:rPr>
              <w:t>指因疾病或意外伤害导致意识丧失，对外界刺激和体内需求均无反应，昏迷程</w:t>
            </w:r>
          </w:p>
          <w:p>
            <w:pPr>
              <w:pStyle w:val="TableParagraph"/>
              <w:spacing w:line="273" w:lineRule="auto" w:before="37"/>
              <w:ind w:left="109" w:right="94"/>
              <w:rPr>
                <w:sz w:val="21"/>
              </w:rPr>
            </w:pPr>
            <w:r>
              <w:rPr>
                <w:spacing w:val="-3"/>
                <w:sz w:val="21"/>
              </w:rPr>
              <w:t>度按照格拉斯哥昏迷分级</w:t>
            </w:r>
            <w:r>
              <w:rPr>
                <w:sz w:val="21"/>
              </w:rPr>
              <w:t>（Glasgow coma scale）</w:t>
            </w:r>
            <w:r>
              <w:rPr>
                <w:spacing w:val="-15"/>
                <w:sz w:val="21"/>
              </w:rPr>
              <w:t>结果为 </w:t>
            </w:r>
            <w:r>
              <w:rPr>
                <w:sz w:val="21"/>
              </w:rPr>
              <w:t>5</w:t>
            </w:r>
            <w:r>
              <w:rPr>
                <w:spacing w:val="-26"/>
                <w:sz w:val="21"/>
              </w:rPr>
              <w:t> 分或 </w:t>
            </w:r>
            <w:r>
              <w:rPr>
                <w:sz w:val="21"/>
              </w:rPr>
              <w:t>5</w:t>
            </w:r>
            <w:r>
              <w:rPr>
                <w:spacing w:val="-12"/>
                <w:sz w:val="21"/>
              </w:rPr>
              <w:t> 分以下，且</w:t>
            </w:r>
            <w:r>
              <w:rPr>
                <w:spacing w:val="-5"/>
                <w:sz w:val="21"/>
              </w:rPr>
              <w:t>已经持续使用呼吸机及其它生命维持系统 </w:t>
            </w:r>
            <w:r>
              <w:rPr>
                <w:sz w:val="21"/>
              </w:rPr>
              <w:t>96</w:t>
            </w:r>
            <w:r>
              <w:rPr>
                <w:spacing w:val="-9"/>
                <w:sz w:val="21"/>
              </w:rPr>
              <w:t> 小时以上。</w:t>
            </w:r>
          </w:p>
          <w:p>
            <w:pPr>
              <w:pStyle w:val="TableParagraph"/>
              <w:spacing w:before="7"/>
              <w:ind w:left="109"/>
              <w:rPr>
                <w:sz w:val="21"/>
              </w:rPr>
            </w:pPr>
            <w:r>
              <w:rPr>
                <w:sz w:val="21"/>
              </w:rPr>
              <w:t>因酗酒或药物滥用导致的深度昏迷不在保障范围内。</w:t>
            </w:r>
          </w:p>
        </w:tc>
      </w:tr>
      <w:tr>
        <w:trPr>
          <w:trHeight w:val="218"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559" w:hRule="atLeast"/>
        </w:trPr>
        <w:tc>
          <w:tcPr>
            <w:tcW w:w="850" w:type="dxa"/>
          </w:tcPr>
          <w:p>
            <w:pPr>
              <w:pStyle w:val="TableParagraph"/>
              <w:spacing w:line="257" w:lineRule="exact"/>
              <w:ind w:left="107"/>
              <w:rPr>
                <w:b/>
                <w:sz w:val="21"/>
              </w:rPr>
            </w:pPr>
            <w:r>
              <w:rPr>
                <w:b/>
                <w:sz w:val="21"/>
              </w:rPr>
              <w:t>十三</w:t>
            </w:r>
          </w:p>
        </w:tc>
        <w:tc>
          <w:tcPr>
            <w:tcW w:w="1932" w:type="dxa"/>
          </w:tcPr>
          <w:p>
            <w:pPr>
              <w:pStyle w:val="TableParagraph"/>
              <w:spacing w:line="257" w:lineRule="exact"/>
              <w:ind w:left="107"/>
              <w:rPr>
                <w:b/>
                <w:sz w:val="21"/>
              </w:rPr>
            </w:pPr>
            <w:r>
              <w:rPr>
                <w:b/>
                <w:sz w:val="21"/>
              </w:rPr>
              <w:t>双耳失聪</w:t>
            </w:r>
          </w:p>
        </w:tc>
        <w:tc>
          <w:tcPr>
            <w:tcW w:w="7306" w:type="dxa"/>
          </w:tcPr>
          <w:p>
            <w:pPr>
              <w:pStyle w:val="TableParagraph"/>
              <w:spacing w:line="257" w:lineRule="exact"/>
              <w:ind w:left="109" w:right="-15"/>
              <w:rPr>
                <w:sz w:val="21"/>
              </w:rPr>
            </w:pPr>
            <w:r>
              <w:rPr>
                <w:spacing w:val="-3"/>
                <w:sz w:val="21"/>
              </w:rPr>
              <w:t>指因疾病或意外伤害导致双耳听力</w:t>
            </w:r>
            <w:r>
              <w:rPr>
                <w:b/>
                <w:spacing w:val="-8"/>
                <w:sz w:val="21"/>
              </w:rPr>
              <w:t>永久不可逆</w:t>
            </w:r>
            <w:r>
              <w:rPr>
                <w:spacing w:val="-3"/>
                <w:sz w:val="21"/>
              </w:rPr>
              <w:t>（</w:t>
            </w:r>
            <w:r>
              <w:rPr>
                <w:spacing w:val="-15"/>
                <w:sz w:val="21"/>
              </w:rPr>
              <w:t>见注 </w:t>
            </w:r>
            <w:r>
              <w:rPr>
                <w:spacing w:val="-20"/>
                <w:sz w:val="21"/>
              </w:rPr>
              <w:t>4）</w:t>
            </w:r>
            <w:r>
              <w:rPr>
                <w:spacing w:val="-16"/>
                <w:sz w:val="21"/>
              </w:rPr>
              <w:t>性丧失，在 </w:t>
            </w:r>
            <w:r>
              <w:rPr>
                <w:sz w:val="21"/>
              </w:rPr>
              <w:t>500</w:t>
            </w:r>
            <w:r>
              <w:rPr>
                <w:spacing w:val="-13"/>
                <w:sz w:val="21"/>
              </w:rPr>
              <w:t> 赫兹、</w:t>
            </w:r>
          </w:p>
          <w:p>
            <w:pPr>
              <w:pStyle w:val="TableParagraph"/>
              <w:spacing w:line="273" w:lineRule="auto" w:before="37"/>
              <w:ind w:left="109" w:right="-15"/>
              <w:rPr>
                <w:sz w:val="21"/>
              </w:rPr>
            </w:pPr>
            <w:r>
              <w:rPr>
                <w:sz w:val="21"/>
              </w:rPr>
              <w:t>1000</w:t>
            </w:r>
            <w:r>
              <w:rPr>
                <w:spacing w:val="-21"/>
                <w:sz w:val="21"/>
              </w:rPr>
              <w:t> 赫兹和 </w:t>
            </w:r>
            <w:r>
              <w:rPr>
                <w:sz w:val="21"/>
              </w:rPr>
              <w:t>2000</w:t>
            </w:r>
            <w:r>
              <w:rPr>
                <w:spacing w:val="-17"/>
                <w:sz w:val="21"/>
              </w:rPr>
              <w:t> 赫兹语音频率下，平均听阈大于 </w:t>
            </w:r>
            <w:r>
              <w:rPr>
                <w:sz w:val="21"/>
              </w:rPr>
              <w:t>90</w:t>
            </w:r>
            <w:r>
              <w:rPr>
                <w:spacing w:val="-16"/>
                <w:sz w:val="21"/>
              </w:rPr>
              <w:t> 分贝，且经纯音听力测试、</w:t>
            </w:r>
            <w:r>
              <w:rPr>
                <w:spacing w:val="-3"/>
                <w:sz w:val="21"/>
              </w:rPr>
              <w:t>声导抗检测或听觉诱发电位检测等证实。</w:t>
            </w:r>
          </w:p>
          <w:p>
            <w:pPr>
              <w:pStyle w:val="TableParagraph"/>
              <w:spacing w:line="312" w:lineRule="exact" w:before="10"/>
              <w:ind w:left="109" w:right="195"/>
              <w:rPr>
                <w:b/>
                <w:sz w:val="24"/>
              </w:rPr>
            </w:pPr>
            <w:r>
              <w:rPr>
                <w:b/>
                <w:spacing w:val="-5"/>
                <w:sz w:val="24"/>
              </w:rPr>
              <w:t>被保险人申请理赔时年龄必须在 </w:t>
            </w:r>
            <w:r>
              <w:rPr>
                <w:b/>
                <w:sz w:val="24"/>
              </w:rPr>
              <w:t>3</w:t>
            </w:r>
            <w:r>
              <w:rPr>
                <w:b/>
                <w:spacing w:val="-8"/>
                <w:sz w:val="24"/>
              </w:rPr>
              <w:t> 周岁以上，并且提供理赔当时的</w:t>
            </w:r>
            <w:r>
              <w:rPr>
                <w:b/>
                <w:spacing w:val="-8"/>
                <w:w w:val="95"/>
                <w:sz w:val="24"/>
              </w:rPr>
              <w:t>听力丧失诊断及检查证据。</w:t>
            </w:r>
          </w:p>
        </w:tc>
      </w:tr>
      <w:tr>
        <w:trPr>
          <w:trHeight w:val="217"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495" w:hRule="atLeast"/>
        </w:trPr>
        <w:tc>
          <w:tcPr>
            <w:tcW w:w="850" w:type="dxa"/>
          </w:tcPr>
          <w:p>
            <w:pPr>
              <w:pStyle w:val="TableParagraph"/>
              <w:spacing w:line="257" w:lineRule="exact"/>
              <w:ind w:left="107"/>
              <w:rPr>
                <w:b/>
                <w:sz w:val="21"/>
              </w:rPr>
            </w:pPr>
            <w:r>
              <w:rPr>
                <w:b/>
                <w:sz w:val="21"/>
              </w:rPr>
              <w:t>十四</w:t>
            </w:r>
          </w:p>
        </w:tc>
        <w:tc>
          <w:tcPr>
            <w:tcW w:w="1932" w:type="dxa"/>
          </w:tcPr>
          <w:p>
            <w:pPr>
              <w:pStyle w:val="TableParagraph"/>
              <w:spacing w:line="257" w:lineRule="exact"/>
              <w:ind w:left="107"/>
              <w:rPr>
                <w:b/>
                <w:sz w:val="21"/>
              </w:rPr>
            </w:pPr>
            <w:r>
              <w:rPr>
                <w:b/>
                <w:sz w:val="21"/>
              </w:rPr>
              <w:t>双目失明</w:t>
            </w:r>
          </w:p>
        </w:tc>
        <w:tc>
          <w:tcPr>
            <w:tcW w:w="7306" w:type="dxa"/>
          </w:tcPr>
          <w:p>
            <w:pPr>
              <w:pStyle w:val="TableParagraph"/>
              <w:spacing w:line="257" w:lineRule="exact"/>
              <w:ind w:left="109"/>
              <w:rPr>
                <w:sz w:val="21"/>
              </w:rPr>
            </w:pPr>
            <w:r>
              <w:rPr>
                <w:sz w:val="21"/>
              </w:rPr>
              <w:t>指因疾病或意外伤害导致双眼视力</w:t>
            </w:r>
            <w:r>
              <w:rPr>
                <w:b/>
                <w:sz w:val="21"/>
              </w:rPr>
              <w:t>永久不可逆</w:t>
            </w:r>
            <w:r>
              <w:rPr>
                <w:sz w:val="21"/>
              </w:rPr>
              <w:t>性丧失，双眼中较好眼须满足下</w:t>
            </w:r>
          </w:p>
          <w:p>
            <w:pPr>
              <w:pStyle w:val="TableParagraph"/>
              <w:spacing w:before="37"/>
              <w:ind w:left="109"/>
              <w:rPr>
                <w:sz w:val="21"/>
              </w:rPr>
            </w:pPr>
            <w:r>
              <w:rPr>
                <w:sz w:val="21"/>
              </w:rPr>
              <w:t>列至少一项条件：</w:t>
            </w:r>
          </w:p>
          <w:p>
            <w:pPr>
              <w:pStyle w:val="TableParagraph"/>
              <w:spacing w:before="37"/>
              <w:ind w:left="109"/>
              <w:rPr>
                <w:sz w:val="21"/>
              </w:rPr>
            </w:pPr>
            <w:r>
              <w:rPr>
                <w:sz w:val="21"/>
              </w:rPr>
              <w:t>（1）眼球缺失或摘除；</w:t>
            </w:r>
          </w:p>
          <w:p>
            <w:pPr>
              <w:pStyle w:val="TableParagraph"/>
              <w:spacing w:line="273" w:lineRule="auto" w:before="37"/>
              <w:ind w:left="635" w:right="91" w:hanging="526"/>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7"/>
              <w:ind w:left="110"/>
              <w:rPr>
                <w:sz w:val="21"/>
              </w:rPr>
            </w:pPr>
            <w:r>
              <w:rPr>
                <w:sz w:val="21"/>
              </w:rPr>
              <w:t>（3）视野半径小于 5 度。</w:t>
            </w:r>
          </w:p>
          <w:p>
            <w:pPr>
              <w:pStyle w:val="TableParagraph"/>
              <w:spacing w:line="237" w:lineRule="auto" w:before="12"/>
              <w:ind w:left="109" w:right="195"/>
              <w:rPr>
                <w:b/>
                <w:sz w:val="24"/>
              </w:rPr>
            </w:pPr>
            <w:r>
              <w:rPr>
                <w:b/>
                <w:spacing w:val="-5"/>
                <w:sz w:val="24"/>
              </w:rPr>
              <w:t>被保险人申请理赔时年龄必须在 </w:t>
            </w:r>
            <w:r>
              <w:rPr>
                <w:b/>
                <w:sz w:val="24"/>
              </w:rPr>
              <w:t>3</w:t>
            </w:r>
            <w:r>
              <w:rPr>
                <w:b/>
                <w:spacing w:val="-13"/>
                <w:sz w:val="24"/>
              </w:rPr>
              <w:t> 周岁以上</w:t>
            </w:r>
            <w:r>
              <w:rPr>
                <w:b/>
                <w:sz w:val="24"/>
              </w:rPr>
              <w:t>（眼球缺失或摘除的不</w:t>
            </w:r>
            <w:r>
              <w:rPr>
                <w:b/>
                <w:w w:val="99"/>
                <w:sz w:val="24"/>
              </w:rPr>
              <w:t>受此限</w:t>
            </w:r>
            <w:r>
              <w:rPr>
                <w:b/>
                <w:spacing w:val="-118"/>
                <w:w w:val="99"/>
                <w:sz w:val="24"/>
              </w:rPr>
              <w:t>）</w:t>
            </w:r>
            <w:r>
              <w:rPr>
                <w:b/>
                <w:w w:val="99"/>
                <w:sz w:val="24"/>
              </w:rPr>
              <w:t>，并且提供理赔当时的视力丧失诊断及检查证据。</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938" w:hRule="atLeast"/>
        </w:trPr>
        <w:tc>
          <w:tcPr>
            <w:tcW w:w="850" w:type="dxa"/>
          </w:tcPr>
          <w:p>
            <w:pPr>
              <w:pStyle w:val="TableParagraph"/>
              <w:spacing w:line="259" w:lineRule="exact"/>
              <w:ind w:left="107"/>
              <w:rPr>
                <w:b/>
                <w:sz w:val="21"/>
              </w:rPr>
            </w:pPr>
            <w:r>
              <w:rPr>
                <w:b/>
                <w:sz w:val="21"/>
              </w:rPr>
              <w:t>十五</w:t>
            </w:r>
          </w:p>
        </w:tc>
        <w:tc>
          <w:tcPr>
            <w:tcW w:w="1932" w:type="dxa"/>
          </w:tcPr>
          <w:p>
            <w:pPr>
              <w:pStyle w:val="TableParagraph"/>
              <w:spacing w:line="259" w:lineRule="exact"/>
              <w:ind w:left="107"/>
              <w:rPr>
                <w:b/>
                <w:sz w:val="21"/>
              </w:rPr>
            </w:pPr>
            <w:r>
              <w:rPr>
                <w:b/>
                <w:sz w:val="21"/>
              </w:rPr>
              <w:t>瘫痪</w:t>
            </w:r>
          </w:p>
        </w:tc>
        <w:tc>
          <w:tcPr>
            <w:tcW w:w="7306" w:type="dxa"/>
          </w:tcPr>
          <w:p>
            <w:pPr>
              <w:pStyle w:val="TableParagraph"/>
              <w:spacing w:line="259" w:lineRule="exact"/>
              <w:ind w:left="109"/>
              <w:rPr>
                <w:sz w:val="21"/>
              </w:rPr>
            </w:pPr>
            <w:r>
              <w:rPr>
                <w:sz w:val="21"/>
              </w:rPr>
              <w:t>指因疾病或意外伤害导致两肢或两肢以上肢体机能永久完全丧失。肢体机能永</w:t>
            </w:r>
          </w:p>
          <w:p>
            <w:pPr>
              <w:pStyle w:val="TableParagraph"/>
              <w:spacing w:line="273" w:lineRule="auto" w:before="37"/>
              <w:ind w:left="109" w:right="94"/>
              <w:rPr>
                <w:sz w:val="21"/>
              </w:rPr>
            </w:pPr>
            <w:r>
              <w:rPr>
                <w:spacing w:val="-14"/>
                <w:sz w:val="21"/>
              </w:rPr>
              <w:t>久完全丧失，指疾病确诊 </w:t>
            </w:r>
            <w:r>
              <w:rPr>
                <w:sz w:val="21"/>
              </w:rPr>
              <w:t>180</w:t>
            </w:r>
            <w:r>
              <w:rPr>
                <w:spacing w:val="-13"/>
                <w:sz w:val="21"/>
              </w:rPr>
              <w:t> 天后或意外伤害发生 </w:t>
            </w:r>
            <w:r>
              <w:rPr>
                <w:sz w:val="21"/>
              </w:rPr>
              <w:t>180</w:t>
            </w:r>
            <w:r>
              <w:rPr>
                <w:spacing w:val="-24"/>
                <w:sz w:val="21"/>
              </w:rPr>
              <w:t> 天后，每肢</w:t>
            </w:r>
            <w:r>
              <w:rPr>
                <w:b/>
                <w:spacing w:val="-23"/>
                <w:sz w:val="21"/>
              </w:rPr>
              <w:t>三大关节</w:t>
            </w:r>
            <w:r>
              <w:rPr>
                <w:spacing w:val="-3"/>
                <w:sz w:val="21"/>
              </w:rPr>
              <w:t>（见</w:t>
            </w:r>
            <w:r>
              <w:rPr>
                <w:spacing w:val="-14"/>
                <w:sz w:val="21"/>
              </w:rPr>
              <w:t>注 </w:t>
            </w:r>
            <w:r>
              <w:rPr>
                <w:sz w:val="21"/>
              </w:rPr>
              <w:t>5）</w:t>
            </w:r>
            <w:r>
              <w:rPr>
                <w:spacing w:val="-3"/>
                <w:sz w:val="21"/>
              </w:rPr>
              <w:t>中的两大关节仍然完全僵硬，或不能随意识活动。</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311" w:hRule="atLeast"/>
        </w:trPr>
        <w:tc>
          <w:tcPr>
            <w:tcW w:w="850" w:type="dxa"/>
          </w:tcPr>
          <w:p>
            <w:pPr>
              <w:pStyle w:val="TableParagraph"/>
              <w:spacing w:line="257" w:lineRule="exact"/>
              <w:ind w:left="107"/>
              <w:rPr>
                <w:b/>
                <w:sz w:val="21"/>
              </w:rPr>
            </w:pPr>
            <w:r>
              <w:rPr>
                <w:b/>
                <w:sz w:val="21"/>
              </w:rPr>
              <w:t>十六</w:t>
            </w:r>
          </w:p>
        </w:tc>
        <w:tc>
          <w:tcPr>
            <w:tcW w:w="1932" w:type="dxa"/>
          </w:tcPr>
          <w:p>
            <w:pPr>
              <w:pStyle w:val="TableParagraph"/>
              <w:spacing w:line="257" w:lineRule="exact"/>
              <w:ind w:left="107"/>
              <w:rPr>
                <w:b/>
                <w:sz w:val="21"/>
              </w:rPr>
            </w:pPr>
            <w:r>
              <w:rPr>
                <w:b/>
                <w:sz w:val="21"/>
              </w:rPr>
              <w:t>心脏瓣膜手术</w:t>
            </w:r>
          </w:p>
        </w:tc>
        <w:tc>
          <w:tcPr>
            <w:tcW w:w="7306" w:type="dxa"/>
          </w:tcPr>
          <w:p>
            <w:pPr>
              <w:pStyle w:val="TableParagraph"/>
              <w:spacing w:line="257" w:lineRule="exact"/>
              <w:ind w:left="109"/>
              <w:rPr>
                <w:sz w:val="21"/>
              </w:rPr>
            </w:pPr>
            <w:r>
              <w:rPr>
                <w:sz w:val="21"/>
              </w:rPr>
              <w:t>指为治疗心脏瓣膜疾病，实际实施了开胸进行的心脏瓣膜置换或修复的手术。</w:t>
            </w:r>
          </w:p>
        </w:tc>
      </w:tr>
      <w:tr>
        <w:trPr>
          <w:trHeight w:val="217"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495" w:hRule="atLeast"/>
        </w:trPr>
        <w:tc>
          <w:tcPr>
            <w:tcW w:w="850" w:type="dxa"/>
          </w:tcPr>
          <w:p>
            <w:pPr>
              <w:pStyle w:val="TableParagraph"/>
              <w:spacing w:line="257" w:lineRule="exact"/>
              <w:ind w:left="107"/>
              <w:rPr>
                <w:b/>
                <w:sz w:val="21"/>
              </w:rPr>
            </w:pPr>
            <w:r>
              <w:rPr>
                <w:b/>
                <w:sz w:val="21"/>
              </w:rPr>
              <w:t>十七</w:t>
            </w:r>
          </w:p>
        </w:tc>
        <w:tc>
          <w:tcPr>
            <w:tcW w:w="1932" w:type="dxa"/>
          </w:tcPr>
          <w:p>
            <w:pPr>
              <w:pStyle w:val="TableParagraph"/>
              <w:spacing w:line="257" w:lineRule="exact"/>
              <w:ind w:left="107"/>
              <w:rPr>
                <w:b/>
                <w:sz w:val="21"/>
              </w:rPr>
            </w:pPr>
            <w:r>
              <w:rPr>
                <w:b/>
                <w:sz w:val="21"/>
              </w:rPr>
              <w:t>严重脑损伤</w:t>
            </w:r>
          </w:p>
        </w:tc>
        <w:tc>
          <w:tcPr>
            <w:tcW w:w="7306" w:type="dxa"/>
          </w:tcPr>
          <w:p>
            <w:pPr>
              <w:pStyle w:val="TableParagraph"/>
              <w:spacing w:line="257" w:lineRule="exact"/>
              <w:ind w:left="109"/>
              <w:rPr>
                <w:sz w:val="21"/>
              </w:rPr>
            </w:pPr>
            <w:r>
              <w:rPr>
                <w:sz w:val="21"/>
              </w:rPr>
              <w:t>指因头部遭受机械性外力，引起脑重要部位损伤，导致神经系统永久性的功能</w:t>
            </w:r>
          </w:p>
          <w:p>
            <w:pPr>
              <w:pStyle w:val="TableParagraph"/>
              <w:spacing w:before="37"/>
              <w:ind w:left="109"/>
              <w:rPr>
                <w:sz w:val="21"/>
              </w:rPr>
            </w:pPr>
            <w:r>
              <w:rPr>
                <w:spacing w:val="-5"/>
                <w:w w:val="100"/>
                <w:sz w:val="21"/>
              </w:rPr>
              <w:t>障碍。须由头颅断层扫描</w:t>
            </w:r>
            <w:r>
              <w:rPr>
                <w:spacing w:val="-1"/>
                <w:w w:val="100"/>
                <w:sz w:val="21"/>
              </w:rPr>
              <w:t>（</w:t>
            </w:r>
            <w:r>
              <w:rPr>
                <w:w w:val="100"/>
                <w:sz w:val="21"/>
              </w:rPr>
              <w:t>CT</w:t>
            </w:r>
            <w:r>
              <w:rPr>
                <w:spacing w:val="-108"/>
                <w:w w:val="100"/>
                <w:sz w:val="21"/>
              </w:rPr>
              <w:t>）</w:t>
            </w:r>
            <w:r>
              <w:rPr>
                <w:spacing w:val="-7"/>
                <w:w w:val="100"/>
                <w:sz w:val="21"/>
              </w:rPr>
              <w:t>、核磁共振检查</w:t>
            </w:r>
            <w:r>
              <w:rPr>
                <w:w w:val="100"/>
                <w:sz w:val="21"/>
              </w:rPr>
              <w:t>（M</w:t>
            </w:r>
            <w:r>
              <w:rPr>
                <w:spacing w:val="-3"/>
                <w:w w:val="100"/>
                <w:sz w:val="21"/>
              </w:rPr>
              <w:t>R</w:t>
            </w:r>
            <w:r>
              <w:rPr>
                <w:spacing w:val="-1"/>
                <w:w w:val="100"/>
                <w:sz w:val="21"/>
              </w:rPr>
              <w:t>I</w:t>
            </w:r>
            <w:r>
              <w:rPr>
                <w:spacing w:val="-10"/>
                <w:w w:val="100"/>
                <w:sz w:val="21"/>
              </w:rPr>
              <w:t>）</w:t>
            </w:r>
            <w:r>
              <w:rPr>
                <w:spacing w:val="-3"/>
                <w:w w:val="100"/>
                <w:sz w:val="21"/>
              </w:rPr>
              <w:t>或正电子发射断层扫描</w:t>
            </w:r>
          </w:p>
          <w:p>
            <w:pPr>
              <w:pStyle w:val="TableParagraph"/>
              <w:spacing w:line="273" w:lineRule="auto" w:before="37"/>
              <w:ind w:left="109" w:right="-15"/>
              <w:rPr>
                <w:sz w:val="21"/>
              </w:rPr>
            </w:pPr>
            <w:r>
              <w:rPr>
                <w:spacing w:val="-4"/>
                <w:sz w:val="21"/>
              </w:rPr>
              <w:t>（PET）</w:t>
            </w:r>
            <w:r>
              <w:rPr>
                <w:spacing w:val="-8"/>
                <w:sz w:val="21"/>
              </w:rPr>
              <w:t>等影像学检查证实。神经系统永久性的功能障碍，指脑损伤 </w:t>
            </w:r>
            <w:r>
              <w:rPr>
                <w:sz w:val="21"/>
              </w:rPr>
              <w:t>180</w:t>
            </w:r>
            <w:r>
              <w:rPr>
                <w:spacing w:val="-12"/>
                <w:sz w:val="21"/>
              </w:rPr>
              <w:t> 天后， </w:t>
            </w:r>
            <w:r>
              <w:rPr>
                <w:spacing w:val="-3"/>
                <w:sz w:val="21"/>
              </w:rPr>
              <w:t>仍遗留下列一种或一种以上障碍：</w:t>
            </w:r>
          </w:p>
          <w:p>
            <w:pPr>
              <w:pStyle w:val="TableParagraph"/>
              <w:spacing w:before="7"/>
              <w:ind w:left="109"/>
              <w:rPr>
                <w:sz w:val="21"/>
              </w:rPr>
            </w:pPr>
            <w:r>
              <w:rPr>
                <w:sz w:val="21"/>
              </w:rPr>
              <w:t>（1）一肢或一肢以上</w:t>
            </w:r>
            <w:r>
              <w:rPr>
                <w:b/>
                <w:sz w:val="21"/>
              </w:rPr>
              <w:t>肢体机能完全丧失</w:t>
            </w:r>
            <w:r>
              <w:rPr>
                <w:sz w:val="21"/>
              </w:rPr>
              <w:t>；</w:t>
            </w:r>
          </w:p>
          <w:p>
            <w:pPr>
              <w:pStyle w:val="TableParagraph"/>
              <w:spacing w:before="36"/>
              <w:ind w:left="109"/>
              <w:rPr>
                <w:sz w:val="21"/>
              </w:rPr>
            </w:pPr>
            <w:r>
              <w:rPr>
                <w:sz w:val="21"/>
              </w:rPr>
              <w:t>（2）</w:t>
            </w:r>
            <w:r>
              <w:rPr>
                <w:b/>
                <w:sz w:val="21"/>
              </w:rPr>
              <w:t>语言能力或咀嚼吞咽能力完全丧失</w:t>
            </w:r>
            <w:r>
              <w:rPr>
                <w:sz w:val="21"/>
              </w:rPr>
              <w:t>；</w:t>
            </w:r>
          </w:p>
          <w:p>
            <w:pPr>
              <w:pStyle w:val="TableParagraph"/>
              <w:spacing w:line="273" w:lineRule="auto" w:before="36"/>
              <w:ind w:left="635" w:right="137" w:hanging="526"/>
              <w:rPr>
                <w:sz w:val="21"/>
              </w:rPr>
            </w:pPr>
            <w:r>
              <w:rPr>
                <w:sz w:val="21"/>
              </w:rPr>
              <w:t>（3）自主生活能力完全丧失，无法独立完成</w:t>
            </w:r>
            <w:r>
              <w:rPr>
                <w:b/>
                <w:sz w:val="21"/>
              </w:rPr>
              <w:t>六项基本日常生活活动</w:t>
            </w:r>
            <w:r>
              <w:rPr>
                <w:sz w:val="21"/>
              </w:rPr>
              <w:t>中的三项或三项以上。</w:t>
            </w:r>
          </w:p>
        </w:tc>
      </w:tr>
      <w:tr>
        <w:trPr>
          <w:trHeight w:val="218"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十八</w:t>
            </w:r>
          </w:p>
        </w:tc>
        <w:tc>
          <w:tcPr>
            <w:tcW w:w="1932" w:type="dxa"/>
          </w:tcPr>
          <w:p>
            <w:pPr>
              <w:pStyle w:val="TableParagraph"/>
              <w:spacing w:line="257" w:lineRule="exact"/>
              <w:ind w:left="107"/>
              <w:rPr>
                <w:b/>
                <w:sz w:val="21"/>
              </w:rPr>
            </w:pPr>
            <w:r>
              <w:rPr>
                <w:b/>
                <w:sz w:val="21"/>
              </w:rPr>
              <w:t>严重Ⅲ度烧伤</w:t>
            </w:r>
          </w:p>
        </w:tc>
        <w:tc>
          <w:tcPr>
            <w:tcW w:w="7306" w:type="dxa"/>
          </w:tcPr>
          <w:p>
            <w:pPr>
              <w:pStyle w:val="TableParagraph"/>
              <w:spacing w:line="257" w:lineRule="exact"/>
              <w:ind w:left="109" w:right="-15"/>
              <w:rPr>
                <w:sz w:val="21"/>
              </w:rPr>
            </w:pPr>
            <w:r>
              <w:rPr>
                <w:spacing w:val="-11"/>
                <w:sz w:val="21"/>
              </w:rPr>
              <w:t>指烧伤程度为Ⅲ度，且Ⅲ度烧伤的面积达到全身体表面积的 </w:t>
            </w:r>
            <w:r>
              <w:rPr>
                <w:sz w:val="21"/>
              </w:rPr>
              <w:t>20</w:t>
            </w:r>
            <w:r>
              <w:rPr>
                <w:spacing w:val="-13"/>
                <w:sz w:val="21"/>
              </w:rPr>
              <w:t>％或 </w:t>
            </w:r>
            <w:r>
              <w:rPr>
                <w:sz w:val="21"/>
              </w:rPr>
              <w:t>20</w:t>
            </w:r>
            <w:r>
              <w:rPr>
                <w:spacing w:val="-3"/>
                <w:sz w:val="21"/>
              </w:rPr>
              <w:t>％以上。</w:t>
            </w:r>
          </w:p>
          <w:p>
            <w:pPr>
              <w:pStyle w:val="TableParagraph"/>
              <w:spacing w:before="37"/>
              <w:ind w:left="109"/>
              <w:rPr>
                <w:sz w:val="21"/>
              </w:rPr>
            </w:pPr>
            <w:r>
              <w:rPr>
                <w:sz w:val="21"/>
              </w:rPr>
              <w:t>体表面积根据《中国新九分法》计算。</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938" w:hRule="atLeast"/>
        </w:trPr>
        <w:tc>
          <w:tcPr>
            <w:tcW w:w="850" w:type="dxa"/>
          </w:tcPr>
          <w:p>
            <w:pPr>
              <w:pStyle w:val="TableParagraph"/>
              <w:spacing w:line="259" w:lineRule="exact"/>
              <w:ind w:left="107"/>
              <w:rPr>
                <w:b/>
                <w:sz w:val="21"/>
              </w:rPr>
            </w:pPr>
            <w:r>
              <w:rPr>
                <w:b/>
                <w:sz w:val="21"/>
              </w:rPr>
              <w:t>十九</w:t>
            </w:r>
          </w:p>
        </w:tc>
        <w:tc>
          <w:tcPr>
            <w:tcW w:w="1932" w:type="dxa"/>
          </w:tcPr>
          <w:p>
            <w:pPr>
              <w:pStyle w:val="TableParagraph"/>
              <w:spacing w:line="259" w:lineRule="exact"/>
              <w:ind w:left="107"/>
              <w:rPr>
                <w:b/>
                <w:sz w:val="21"/>
              </w:rPr>
            </w:pPr>
            <w:r>
              <w:rPr>
                <w:b/>
                <w:sz w:val="21"/>
              </w:rPr>
              <w:t>严重原发性肺动脉</w:t>
            </w:r>
          </w:p>
          <w:p>
            <w:pPr>
              <w:pStyle w:val="TableParagraph"/>
              <w:spacing w:before="37"/>
              <w:ind w:left="107"/>
              <w:rPr>
                <w:b/>
                <w:sz w:val="21"/>
              </w:rPr>
            </w:pPr>
            <w:r>
              <w:rPr>
                <w:b/>
                <w:sz w:val="21"/>
              </w:rPr>
              <w:t>高压</w:t>
            </w:r>
          </w:p>
        </w:tc>
        <w:tc>
          <w:tcPr>
            <w:tcW w:w="7306" w:type="dxa"/>
          </w:tcPr>
          <w:p>
            <w:pPr>
              <w:pStyle w:val="TableParagraph"/>
              <w:spacing w:line="259" w:lineRule="exact"/>
              <w:ind w:left="109"/>
              <w:rPr>
                <w:sz w:val="21"/>
              </w:rPr>
            </w:pPr>
            <w:r>
              <w:rPr>
                <w:sz w:val="21"/>
              </w:rPr>
              <w:t>指不明原因的肺动脉压力持续性增高，进行性发展而导致的慢性疾病，已经造</w:t>
            </w:r>
          </w:p>
          <w:p>
            <w:pPr>
              <w:pStyle w:val="TableParagraph"/>
              <w:spacing w:line="273" w:lineRule="auto" w:before="37"/>
              <w:ind w:left="109" w:right="93"/>
              <w:rPr>
                <w:sz w:val="21"/>
              </w:rPr>
            </w:pPr>
            <w:r>
              <w:rPr>
                <w:spacing w:val="-3"/>
                <w:sz w:val="21"/>
              </w:rPr>
              <w:t>成</w:t>
            </w:r>
            <w:r>
              <w:rPr>
                <w:b/>
                <w:sz w:val="21"/>
              </w:rPr>
              <w:t>永久不可逆</w:t>
            </w:r>
            <w:r>
              <w:rPr>
                <w:spacing w:val="-8"/>
                <w:sz w:val="21"/>
              </w:rPr>
              <w:t>性的体力活动能力受限，达到美国纽约心脏病学会心功能状态分</w:t>
            </w:r>
            <w:r>
              <w:rPr>
                <w:spacing w:val="-24"/>
                <w:sz w:val="21"/>
              </w:rPr>
              <w:t>级 </w:t>
            </w:r>
            <w:r>
              <w:rPr>
                <w:sz w:val="21"/>
              </w:rPr>
              <w:t>IV</w:t>
            </w:r>
            <w:r>
              <w:rPr>
                <w:spacing w:val="-11"/>
                <w:sz w:val="21"/>
              </w:rPr>
              <w:t> 级，且静息状态下肺动脉平均压超过 </w:t>
            </w:r>
            <w:r>
              <w:rPr>
                <w:sz w:val="21"/>
              </w:rPr>
              <w:t>30mmHg。</w:t>
            </w:r>
          </w:p>
        </w:tc>
      </w:tr>
    </w:tbl>
    <w:p>
      <w:pPr>
        <w:spacing w:after="0" w:line="273" w:lineRule="auto"/>
        <w:rPr>
          <w:sz w:val="21"/>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2"/>
        <w:gridCol w:w="7306"/>
      </w:tblGrid>
      <w:tr>
        <w:trPr>
          <w:trHeight w:val="217"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二十</w:t>
            </w:r>
          </w:p>
        </w:tc>
        <w:tc>
          <w:tcPr>
            <w:tcW w:w="1932" w:type="dxa"/>
          </w:tcPr>
          <w:p>
            <w:pPr>
              <w:pStyle w:val="TableParagraph"/>
              <w:spacing w:line="257" w:lineRule="exact"/>
              <w:ind w:left="107"/>
              <w:rPr>
                <w:b/>
                <w:sz w:val="21"/>
              </w:rPr>
            </w:pPr>
            <w:r>
              <w:rPr>
                <w:b/>
                <w:sz w:val="21"/>
              </w:rPr>
              <w:t>严重运动神经元病</w:t>
            </w:r>
          </w:p>
        </w:tc>
        <w:tc>
          <w:tcPr>
            <w:tcW w:w="7306" w:type="dxa"/>
          </w:tcPr>
          <w:p>
            <w:pPr>
              <w:pStyle w:val="TableParagraph"/>
              <w:spacing w:line="257" w:lineRule="exact"/>
              <w:ind w:left="109"/>
              <w:rPr>
                <w:sz w:val="21"/>
              </w:rPr>
            </w:pPr>
            <w:r>
              <w:rPr>
                <w:sz w:val="21"/>
              </w:rPr>
              <w:t>是一组中枢神经系统运动神经元的进行性变性疾病，包括进行性脊肌萎缩症、</w:t>
            </w:r>
          </w:p>
          <w:p>
            <w:pPr>
              <w:pStyle w:val="TableParagraph"/>
              <w:spacing w:line="273" w:lineRule="auto" w:before="37"/>
              <w:ind w:left="109" w:right="91"/>
              <w:jc w:val="both"/>
              <w:rPr>
                <w:sz w:val="21"/>
              </w:rPr>
            </w:pPr>
            <w:r>
              <w:rPr>
                <w:spacing w:val="-7"/>
                <w:sz w:val="21"/>
              </w:rPr>
              <w:t>进行性延髓麻痹症、原发性侧索硬化症、肌萎缩性侧索硬化症。须满足自主生</w:t>
            </w:r>
            <w:r>
              <w:rPr>
                <w:spacing w:val="-11"/>
                <w:sz w:val="21"/>
              </w:rPr>
              <w:t>活能力完全丧失，无法独立完成</w:t>
            </w:r>
            <w:r>
              <w:rPr>
                <w:b/>
                <w:spacing w:val="-2"/>
                <w:sz w:val="21"/>
              </w:rPr>
              <w:t>六项基本日常生活活动</w:t>
            </w:r>
            <w:r>
              <w:rPr>
                <w:spacing w:val="-3"/>
                <w:sz w:val="21"/>
              </w:rPr>
              <w:t>中的三项或三项以上的</w:t>
            </w:r>
            <w:r>
              <w:rPr>
                <w:sz w:val="21"/>
              </w:rPr>
              <w:t>条件。</w:t>
            </w:r>
          </w:p>
        </w:tc>
      </w:tr>
      <w:tr>
        <w:trPr>
          <w:trHeight w:val="217"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559" w:hRule="atLeast"/>
        </w:trPr>
        <w:tc>
          <w:tcPr>
            <w:tcW w:w="850" w:type="dxa"/>
          </w:tcPr>
          <w:p>
            <w:pPr>
              <w:pStyle w:val="TableParagraph"/>
              <w:spacing w:line="257" w:lineRule="exact"/>
              <w:ind w:left="107"/>
              <w:rPr>
                <w:b/>
                <w:sz w:val="21"/>
              </w:rPr>
            </w:pPr>
            <w:r>
              <w:rPr>
                <w:b/>
                <w:sz w:val="21"/>
              </w:rPr>
              <w:t>二十一</w:t>
            </w:r>
          </w:p>
        </w:tc>
        <w:tc>
          <w:tcPr>
            <w:tcW w:w="1932" w:type="dxa"/>
          </w:tcPr>
          <w:p>
            <w:pPr>
              <w:pStyle w:val="TableParagraph"/>
              <w:spacing w:line="257" w:lineRule="exact"/>
              <w:ind w:left="107"/>
              <w:rPr>
                <w:b/>
                <w:sz w:val="21"/>
              </w:rPr>
            </w:pPr>
            <w:r>
              <w:rPr>
                <w:b/>
                <w:sz w:val="21"/>
              </w:rPr>
              <w:t>语言能力丧失</w:t>
            </w:r>
          </w:p>
        </w:tc>
        <w:tc>
          <w:tcPr>
            <w:tcW w:w="7306" w:type="dxa"/>
          </w:tcPr>
          <w:p>
            <w:pPr>
              <w:pStyle w:val="TableParagraph"/>
              <w:spacing w:line="257" w:lineRule="exact"/>
              <w:ind w:left="109"/>
              <w:rPr>
                <w:sz w:val="21"/>
              </w:rPr>
            </w:pPr>
            <w:r>
              <w:rPr>
                <w:sz w:val="21"/>
              </w:rPr>
              <w:t>指因疾病或意外伤害导致完全丧失语言能力，经过积极治疗至少 12 个月（声</w:t>
            </w:r>
          </w:p>
          <w:p>
            <w:pPr>
              <w:pStyle w:val="TableParagraph"/>
              <w:spacing w:line="273" w:lineRule="auto" w:before="37"/>
              <w:ind w:left="110" w:right="1403"/>
              <w:rPr>
                <w:sz w:val="21"/>
              </w:rPr>
            </w:pPr>
            <w:r>
              <w:rPr>
                <w:spacing w:val="-3"/>
                <w:w w:val="100"/>
                <w:sz w:val="21"/>
              </w:rPr>
              <w:t>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p>
            <w:pPr>
              <w:pStyle w:val="TableParagraph"/>
              <w:spacing w:line="312" w:lineRule="exact" w:before="10"/>
              <w:ind w:left="109" w:right="195"/>
              <w:rPr>
                <w:b/>
                <w:sz w:val="24"/>
              </w:rPr>
            </w:pPr>
            <w:r>
              <w:rPr>
                <w:b/>
                <w:spacing w:val="-5"/>
                <w:sz w:val="24"/>
              </w:rPr>
              <w:t>被保险人申请理赔时年龄必须在 </w:t>
            </w:r>
            <w:r>
              <w:rPr>
                <w:b/>
                <w:sz w:val="24"/>
              </w:rPr>
              <w:t>3</w:t>
            </w:r>
            <w:r>
              <w:rPr>
                <w:b/>
                <w:spacing w:val="-8"/>
                <w:sz w:val="24"/>
              </w:rPr>
              <w:t> 周岁以上，并且提供理赔当时的</w:t>
            </w:r>
            <w:r>
              <w:rPr>
                <w:b/>
                <w:spacing w:val="-8"/>
                <w:w w:val="95"/>
                <w:sz w:val="24"/>
              </w:rPr>
              <w:t>语言能力丧失诊断及检查证据。</w:t>
            </w:r>
          </w:p>
        </w:tc>
      </w:tr>
      <w:tr>
        <w:trPr>
          <w:trHeight w:val="217"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183" w:hRule="atLeast"/>
        </w:trPr>
        <w:tc>
          <w:tcPr>
            <w:tcW w:w="850" w:type="dxa"/>
          </w:tcPr>
          <w:p>
            <w:pPr>
              <w:pStyle w:val="TableParagraph"/>
              <w:spacing w:line="257" w:lineRule="exact"/>
              <w:ind w:left="107"/>
              <w:rPr>
                <w:b/>
                <w:sz w:val="21"/>
              </w:rPr>
            </w:pPr>
            <w:r>
              <w:rPr>
                <w:b/>
                <w:sz w:val="21"/>
              </w:rPr>
              <w:t>二十二</w:t>
            </w:r>
          </w:p>
        </w:tc>
        <w:tc>
          <w:tcPr>
            <w:tcW w:w="1932" w:type="dxa"/>
          </w:tcPr>
          <w:p>
            <w:pPr>
              <w:pStyle w:val="TableParagraph"/>
              <w:spacing w:line="257" w:lineRule="exact"/>
              <w:ind w:left="107"/>
              <w:rPr>
                <w:b/>
                <w:sz w:val="21"/>
              </w:rPr>
            </w:pPr>
            <w:r>
              <w:rPr>
                <w:b/>
                <w:sz w:val="21"/>
              </w:rPr>
              <w:t>重型再生障碍性贫</w:t>
            </w:r>
          </w:p>
          <w:p>
            <w:pPr>
              <w:pStyle w:val="TableParagraph"/>
              <w:spacing w:before="37"/>
              <w:ind w:left="107"/>
              <w:rPr>
                <w:b/>
                <w:sz w:val="21"/>
              </w:rPr>
            </w:pPr>
            <w:r>
              <w:rPr>
                <w:b/>
                <w:w w:val="100"/>
                <w:sz w:val="21"/>
              </w:rPr>
              <w:t>血</w:t>
            </w:r>
          </w:p>
        </w:tc>
        <w:tc>
          <w:tcPr>
            <w:tcW w:w="7306" w:type="dxa"/>
          </w:tcPr>
          <w:p>
            <w:pPr>
              <w:pStyle w:val="TableParagraph"/>
              <w:spacing w:line="257" w:lineRule="exact"/>
              <w:ind w:left="109"/>
              <w:rPr>
                <w:sz w:val="21"/>
              </w:rPr>
            </w:pPr>
            <w:r>
              <w:rPr>
                <w:sz w:val="21"/>
              </w:rPr>
              <w:t>指因骨髓造血功能慢性持续性衰竭导致的贫血、中性粒细胞减少及血小板减</w:t>
            </w:r>
          </w:p>
          <w:p>
            <w:pPr>
              <w:pStyle w:val="TableParagraph"/>
              <w:spacing w:before="37"/>
              <w:ind w:left="109"/>
              <w:rPr>
                <w:sz w:val="21"/>
              </w:rPr>
            </w:pPr>
            <w:r>
              <w:rPr>
                <w:sz w:val="21"/>
              </w:rPr>
              <w:t>少。须满足下列全部条件：</w:t>
            </w:r>
          </w:p>
          <w:p>
            <w:pPr>
              <w:pStyle w:val="TableParagraph"/>
              <w:spacing w:before="37"/>
              <w:ind w:left="109"/>
              <w:rPr>
                <w:sz w:val="21"/>
              </w:rPr>
            </w:pPr>
            <w:r>
              <w:rPr>
                <w:sz w:val="21"/>
              </w:rPr>
              <w:t>（1）骨髓穿刺检查或骨髓活检结果支持诊断；</w:t>
            </w:r>
          </w:p>
          <w:p>
            <w:pPr>
              <w:pStyle w:val="TableParagraph"/>
              <w:spacing w:before="37"/>
              <w:ind w:left="109"/>
              <w:rPr>
                <w:sz w:val="21"/>
              </w:rPr>
            </w:pPr>
            <w:r>
              <w:rPr>
                <w:sz w:val="21"/>
              </w:rPr>
              <w:t>（2）外周血象须具备以下三项条件：</w:t>
            </w:r>
          </w:p>
          <w:p>
            <w:pPr>
              <w:pStyle w:val="TableParagraph"/>
              <w:spacing w:before="37"/>
              <w:ind w:left="529"/>
              <w:rPr>
                <w:sz w:val="21"/>
              </w:rPr>
            </w:pPr>
            <w:r>
              <w:rPr>
                <w:sz w:val="21"/>
              </w:rPr>
              <w:t>① 中性粒细胞绝对值≤0.5×10</w:t>
            </w:r>
            <w:r>
              <w:rPr>
                <w:position w:val="11"/>
                <w:sz w:val="11"/>
              </w:rPr>
              <w:t>9</w:t>
            </w:r>
            <w:r>
              <w:rPr>
                <w:sz w:val="21"/>
              </w:rPr>
              <w:t>/L；</w:t>
            </w:r>
          </w:p>
          <w:p>
            <w:pPr>
              <w:pStyle w:val="TableParagraph"/>
              <w:spacing w:before="37"/>
              <w:ind w:left="529"/>
              <w:rPr>
                <w:sz w:val="21"/>
              </w:rPr>
            </w:pPr>
            <w:r>
              <w:rPr>
                <w:sz w:val="21"/>
              </w:rPr>
              <w:t>② 网织红细胞＜1%；</w:t>
            </w:r>
          </w:p>
          <w:p>
            <w:pPr>
              <w:pStyle w:val="TableParagraph"/>
              <w:spacing w:before="37"/>
              <w:ind w:left="532"/>
              <w:rPr>
                <w:sz w:val="21"/>
              </w:rPr>
            </w:pPr>
            <w:r>
              <w:rPr>
                <w:sz w:val="21"/>
              </w:rPr>
              <w:t>③ 血小板绝对值≤20×10</w:t>
            </w:r>
            <w:r>
              <w:rPr>
                <w:position w:val="11"/>
                <w:sz w:val="11"/>
              </w:rPr>
              <w:t>9</w:t>
            </w:r>
            <w:r>
              <w:rPr>
                <w:sz w:val="21"/>
              </w:rPr>
              <w:t>/L。</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二十三</w:t>
            </w:r>
          </w:p>
        </w:tc>
        <w:tc>
          <w:tcPr>
            <w:tcW w:w="1932" w:type="dxa"/>
          </w:tcPr>
          <w:p>
            <w:pPr>
              <w:pStyle w:val="TableParagraph"/>
              <w:spacing w:line="257" w:lineRule="exact"/>
              <w:ind w:left="107"/>
              <w:rPr>
                <w:b/>
                <w:sz w:val="21"/>
              </w:rPr>
            </w:pPr>
            <w:r>
              <w:rPr>
                <w:b/>
                <w:sz w:val="21"/>
              </w:rPr>
              <w:t>主动脉手术</w:t>
            </w:r>
          </w:p>
        </w:tc>
        <w:tc>
          <w:tcPr>
            <w:tcW w:w="7306" w:type="dxa"/>
          </w:tcPr>
          <w:p>
            <w:pPr>
              <w:pStyle w:val="TableParagraph"/>
              <w:spacing w:line="257" w:lineRule="exact"/>
              <w:ind w:left="109"/>
              <w:rPr>
                <w:sz w:val="21"/>
              </w:rPr>
            </w:pPr>
            <w:r>
              <w:rPr>
                <w:sz w:val="21"/>
              </w:rPr>
              <w:t>指为治疗主动脉疾病，实际实施了开胸或开腹进行的切除、置换、修补病损主</w:t>
            </w:r>
          </w:p>
          <w:p>
            <w:pPr>
              <w:pStyle w:val="TableParagraph"/>
              <w:spacing w:line="273" w:lineRule="auto" w:before="37"/>
              <w:ind w:left="109" w:right="91"/>
              <w:rPr>
                <w:sz w:val="21"/>
              </w:rPr>
            </w:pPr>
            <w:r>
              <w:rPr>
                <w:spacing w:val="-7"/>
                <w:sz w:val="21"/>
              </w:rPr>
              <w:t>动脉血管的手术。主动脉指胸主动脉和腹主动脉，不包括胸主动脉和腹主动脉</w:t>
            </w:r>
            <w:r>
              <w:rPr>
                <w:spacing w:val="-5"/>
                <w:sz w:val="21"/>
              </w:rPr>
              <w:t>的分支血管。</w:t>
            </w:r>
          </w:p>
          <w:p>
            <w:pPr>
              <w:pStyle w:val="TableParagraph"/>
              <w:spacing w:before="7"/>
              <w:ind w:left="109"/>
              <w:rPr>
                <w:sz w:val="21"/>
              </w:rPr>
            </w:pPr>
            <w:r>
              <w:rPr>
                <w:sz w:val="21"/>
              </w:rPr>
              <w:t>动脉内血管成形术不在保障范围内。</w:t>
            </w:r>
          </w:p>
        </w:tc>
      </w:tr>
      <w:tr>
        <w:trPr>
          <w:trHeight w:val="217"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623" w:hRule="atLeast"/>
        </w:trPr>
        <w:tc>
          <w:tcPr>
            <w:tcW w:w="850" w:type="dxa"/>
          </w:tcPr>
          <w:p>
            <w:pPr>
              <w:pStyle w:val="TableParagraph"/>
              <w:rPr>
                <w:rFonts w:ascii="Times New Roman"/>
                <w:sz w:val="20"/>
              </w:rPr>
            </w:pPr>
          </w:p>
        </w:tc>
        <w:tc>
          <w:tcPr>
            <w:tcW w:w="1932" w:type="dxa"/>
          </w:tcPr>
          <w:p>
            <w:pPr>
              <w:pStyle w:val="TableParagraph"/>
              <w:rPr>
                <w:rFonts w:ascii="Times New Roman"/>
                <w:sz w:val="20"/>
              </w:rPr>
            </w:pPr>
          </w:p>
        </w:tc>
        <w:tc>
          <w:tcPr>
            <w:tcW w:w="7306" w:type="dxa"/>
          </w:tcPr>
          <w:p>
            <w:pPr>
              <w:pStyle w:val="TableParagraph"/>
              <w:spacing w:line="257" w:lineRule="exact"/>
              <w:ind w:left="109"/>
              <w:rPr>
                <w:b/>
                <w:sz w:val="21"/>
              </w:rPr>
            </w:pPr>
            <w:r>
              <w:rPr>
                <w:b/>
                <w:sz w:val="21"/>
              </w:rPr>
              <w:t>以上 23 种重大疾病的定义采用中国保险行业协会制定的《重大疾病保险的疾</w:t>
            </w:r>
          </w:p>
          <w:p>
            <w:pPr>
              <w:pStyle w:val="TableParagraph"/>
              <w:spacing w:before="37"/>
              <w:ind w:left="109"/>
              <w:rPr>
                <w:b/>
                <w:sz w:val="21"/>
              </w:rPr>
            </w:pPr>
            <w:r>
              <w:rPr>
                <w:b/>
                <w:sz w:val="21"/>
              </w:rPr>
              <w:t>病定义使用规范》中的定义。</w:t>
            </w:r>
          </w:p>
        </w:tc>
      </w:tr>
      <w:tr>
        <w:trPr>
          <w:trHeight w:val="217"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559" w:hRule="atLeast"/>
        </w:trPr>
        <w:tc>
          <w:tcPr>
            <w:tcW w:w="850" w:type="dxa"/>
          </w:tcPr>
          <w:p>
            <w:pPr>
              <w:pStyle w:val="TableParagraph"/>
              <w:spacing w:line="257" w:lineRule="exact"/>
              <w:ind w:left="107"/>
              <w:rPr>
                <w:b/>
                <w:sz w:val="21"/>
              </w:rPr>
            </w:pPr>
            <w:r>
              <w:rPr>
                <w:b/>
                <w:sz w:val="21"/>
              </w:rPr>
              <w:t>二十四</w:t>
            </w:r>
          </w:p>
        </w:tc>
        <w:tc>
          <w:tcPr>
            <w:tcW w:w="1932" w:type="dxa"/>
          </w:tcPr>
          <w:p>
            <w:pPr>
              <w:pStyle w:val="TableParagraph"/>
              <w:spacing w:line="257" w:lineRule="exact"/>
              <w:ind w:left="107"/>
              <w:rPr>
                <w:b/>
                <w:sz w:val="21"/>
              </w:rPr>
            </w:pPr>
            <w:r>
              <w:rPr>
                <w:b/>
                <w:sz w:val="21"/>
              </w:rPr>
              <w:t>严重多发性硬化</w:t>
            </w:r>
          </w:p>
        </w:tc>
        <w:tc>
          <w:tcPr>
            <w:tcW w:w="7306" w:type="dxa"/>
          </w:tcPr>
          <w:p>
            <w:pPr>
              <w:pStyle w:val="TableParagraph"/>
              <w:spacing w:line="257" w:lineRule="exact"/>
              <w:ind w:left="109"/>
              <w:rPr>
                <w:sz w:val="21"/>
              </w:rPr>
            </w:pPr>
            <w:r>
              <w:rPr>
                <w:sz w:val="21"/>
              </w:rPr>
              <w:t>多发性硬化为中枢神经系统白质多灶性脱髓鞘病变，病变有时累及灰质。多发</w:t>
            </w:r>
          </w:p>
          <w:p>
            <w:pPr>
              <w:pStyle w:val="TableParagraph"/>
              <w:spacing w:line="273" w:lineRule="auto" w:before="37"/>
              <w:ind w:left="109" w:right="92"/>
              <w:rPr>
                <w:sz w:val="21"/>
              </w:rPr>
            </w:pPr>
            <w:r>
              <w:rPr>
                <w:spacing w:val="-9"/>
                <w:sz w:val="21"/>
              </w:rPr>
              <w:t>性硬化必须明确诊断，并且已经造成神经系统功能损害导致被保险人</w:t>
            </w:r>
            <w:r>
              <w:rPr>
                <w:b/>
                <w:sz w:val="21"/>
              </w:rPr>
              <w:t>永久不可逆</w:t>
            </w:r>
            <w:r>
              <w:rPr>
                <w:spacing w:val="-3"/>
                <w:sz w:val="21"/>
              </w:rPr>
              <w:t>性的无法独立完成下列基本日常生活活动：</w:t>
            </w:r>
          </w:p>
          <w:p>
            <w:pPr>
              <w:pStyle w:val="TableParagraph"/>
              <w:spacing w:before="7"/>
              <w:ind w:left="109"/>
              <w:rPr>
                <w:sz w:val="21"/>
              </w:rPr>
            </w:pPr>
            <w:r>
              <w:rPr>
                <w:sz w:val="21"/>
              </w:rPr>
              <w:t>（1）移动：自己从一个房间移动到另一个房间；或者</w:t>
            </w:r>
          </w:p>
          <w:p>
            <w:pPr>
              <w:pStyle w:val="TableParagraph"/>
              <w:spacing w:before="36"/>
              <w:ind w:left="109"/>
              <w:rPr>
                <w:sz w:val="21"/>
              </w:rPr>
            </w:pPr>
            <w:r>
              <w:rPr>
                <w:sz w:val="21"/>
              </w:rPr>
              <w:t>（2）进食：自己从已准备好的碗或碟中取食物放入口中。</w:t>
            </w:r>
          </w:p>
        </w:tc>
      </w:tr>
      <w:tr>
        <w:trPr>
          <w:trHeight w:val="218"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二十五</w:t>
            </w:r>
          </w:p>
        </w:tc>
        <w:tc>
          <w:tcPr>
            <w:tcW w:w="1932" w:type="dxa"/>
          </w:tcPr>
          <w:p>
            <w:pPr>
              <w:pStyle w:val="TableParagraph"/>
              <w:spacing w:line="257" w:lineRule="exact"/>
              <w:ind w:left="107"/>
              <w:rPr>
                <w:b/>
                <w:sz w:val="21"/>
              </w:rPr>
            </w:pPr>
            <w:r>
              <w:rPr>
                <w:b/>
                <w:sz w:val="21"/>
              </w:rPr>
              <w:t>严重冠心病</w:t>
            </w:r>
          </w:p>
        </w:tc>
        <w:tc>
          <w:tcPr>
            <w:tcW w:w="7306" w:type="dxa"/>
          </w:tcPr>
          <w:p>
            <w:pPr>
              <w:pStyle w:val="TableParagraph"/>
              <w:spacing w:line="257" w:lineRule="exact"/>
              <w:ind w:left="109"/>
              <w:rPr>
                <w:sz w:val="21"/>
              </w:rPr>
            </w:pPr>
            <w:r>
              <w:rPr>
                <w:sz w:val="21"/>
              </w:rPr>
              <w:t>指经心脏科</w:t>
            </w:r>
            <w:r>
              <w:rPr>
                <w:b/>
                <w:sz w:val="21"/>
              </w:rPr>
              <w:t>专科医生</w:t>
            </w:r>
            <w:r>
              <w:rPr>
                <w:sz w:val="21"/>
              </w:rPr>
              <w:t>根据冠状动脉造影检查结果确诊的三支主要血管（左冠状</w:t>
            </w:r>
          </w:p>
          <w:p>
            <w:pPr>
              <w:pStyle w:val="TableParagraph"/>
              <w:spacing w:line="273" w:lineRule="auto" w:before="37"/>
              <w:ind w:left="109" w:right="41"/>
              <w:jc w:val="both"/>
              <w:rPr>
                <w:sz w:val="21"/>
              </w:rPr>
            </w:pPr>
            <w:r>
              <w:rPr>
                <w:spacing w:val="-13"/>
                <w:sz w:val="21"/>
              </w:rPr>
              <w:t>动脉主干和右冠状动脉，或前降支、左旋支和右冠状动脉</w:t>
            </w:r>
            <w:r>
              <w:rPr>
                <w:spacing w:val="-68"/>
                <w:sz w:val="21"/>
              </w:rPr>
              <w:t>）</w:t>
            </w:r>
            <w:r>
              <w:rPr>
                <w:spacing w:val="-12"/>
                <w:sz w:val="21"/>
              </w:rPr>
              <w:t>严重狭窄性病变</w:t>
            </w:r>
            <w:r>
              <w:rPr>
                <w:spacing w:val="-3"/>
                <w:sz w:val="21"/>
              </w:rPr>
              <w:t>（至</w:t>
            </w:r>
            <w:r>
              <w:rPr>
                <w:spacing w:val="-6"/>
                <w:sz w:val="21"/>
              </w:rPr>
              <w:t>少一支血管管腔直径减少 </w:t>
            </w:r>
            <w:r>
              <w:rPr>
                <w:sz w:val="21"/>
              </w:rPr>
              <w:t>75％</w:t>
            </w:r>
            <w:r>
              <w:rPr>
                <w:spacing w:val="-5"/>
                <w:sz w:val="21"/>
              </w:rPr>
              <w:t>以上和其他两支血管管腔直径减少 </w:t>
            </w:r>
            <w:r>
              <w:rPr>
                <w:spacing w:val="-3"/>
                <w:sz w:val="21"/>
              </w:rPr>
              <w:t>60</w:t>
            </w:r>
            <w:r>
              <w:rPr>
                <w:spacing w:val="-2"/>
                <w:sz w:val="21"/>
              </w:rPr>
              <w:t>％以上</w:t>
            </w:r>
            <w:r>
              <w:rPr>
                <w:spacing w:val="-108"/>
                <w:sz w:val="21"/>
              </w:rPr>
              <w:t>）</w:t>
            </w:r>
            <w:r>
              <w:rPr>
                <w:sz w:val="21"/>
              </w:rPr>
              <w:t>。</w:t>
            </w:r>
            <w:r>
              <w:rPr>
                <w:spacing w:val="-3"/>
                <w:sz w:val="21"/>
              </w:rPr>
              <w:t>前降支、左旋支及右冠状动脉的分支血管的狭窄不作为本保障的衡量指标。</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二十六</w:t>
            </w:r>
          </w:p>
        </w:tc>
        <w:tc>
          <w:tcPr>
            <w:tcW w:w="1932" w:type="dxa"/>
          </w:tcPr>
          <w:p>
            <w:pPr>
              <w:pStyle w:val="TableParagraph"/>
              <w:spacing w:line="257" w:lineRule="exact"/>
              <w:ind w:left="107"/>
              <w:rPr>
                <w:b/>
                <w:sz w:val="21"/>
              </w:rPr>
            </w:pPr>
            <w:r>
              <w:rPr>
                <w:b/>
                <w:sz w:val="21"/>
              </w:rPr>
              <w:t>严重心肌炎</w:t>
            </w:r>
          </w:p>
        </w:tc>
        <w:tc>
          <w:tcPr>
            <w:tcW w:w="7306" w:type="dxa"/>
          </w:tcPr>
          <w:p>
            <w:pPr>
              <w:pStyle w:val="TableParagraph"/>
              <w:spacing w:line="257" w:lineRule="exact"/>
              <w:ind w:left="109"/>
              <w:rPr>
                <w:sz w:val="21"/>
              </w:rPr>
            </w:pPr>
            <w:r>
              <w:rPr>
                <w:sz w:val="21"/>
              </w:rPr>
              <w:t>指心肌局限性或弥漫性的急性或慢性炎症病变，导致心脏功能障碍，达到纽约</w:t>
            </w:r>
          </w:p>
          <w:p>
            <w:pPr>
              <w:pStyle w:val="TableParagraph"/>
              <w:spacing w:before="37"/>
              <w:ind w:left="109"/>
              <w:rPr>
                <w:sz w:val="21"/>
              </w:rPr>
            </w:pPr>
            <w:r>
              <w:rPr>
                <w:sz w:val="21"/>
              </w:rPr>
              <w:t>心脏病学会心功能分级状态分级 IV 级，且持续至少 90 天。</w:t>
            </w:r>
          </w:p>
        </w:tc>
      </w:tr>
      <w:tr>
        <w:trPr>
          <w:trHeight w:val="217"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871" w:hRule="atLeast"/>
        </w:trPr>
        <w:tc>
          <w:tcPr>
            <w:tcW w:w="850" w:type="dxa"/>
          </w:tcPr>
          <w:p>
            <w:pPr>
              <w:pStyle w:val="TableParagraph"/>
              <w:spacing w:line="257" w:lineRule="exact"/>
              <w:ind w:left="107"/>
              <w:rPr>
                <w:b/>
                <w:sz w:val="21"/>
              </w:rPr>
            </w:pPr>
            <w:r>
              <w:rPr>
                <w:b/>
                <w:sz w:val="21"/>
              </w:rPr>
              <w:t>二十七</w:t>
            </w:r>
          </w:p>
        </w:tc>
        <w:tc>
          <w:tcPr>
            <w:tcW w:w="1932" w:type="dxa"/>
          </w:tcPr>
          <w:p>
            <w:pPr>
              <w:pStyle w:val="TableParagraph"/>
              <w:spacing w:line="257" w:lineRule="exact"/>
              <w:ind w:left="107"/>
              <w:rPr>
                <w:b/>
                <w:sz w:val="21"/>
              </w:rPr>
            </w:pPr>
            <w:r>
              <w:rPr>
                <w:b/>
                <w:sz w:val="21"/>
              </w:rPr>
              <w:t>系统性红斑狼疮－</w:t>
            </w:r>
          </w:p>
          <w:p>
            <w:pPr>
              <w:pStyle w:val="TableParagraph"/>
              <w:spacing w:line="273" w:lineRule="auto" w:before="37"/>
              <w:ind w:left="107" w:right="175"/>
              <w:rPr>
                <w:b/>
                <w:sz w:val="21"/>
              </w:rPr>
            </w:pPr>
            <w:r>
              <w:rPr>
                <w:b/>
                <w:sz w:val="21"/>
              </w:rPr>
              <w:t>III</w:t>
            </w:r>
            <w:r>
              <w:rPr>
                <w:b/>
                <w:spacing w:val="-27"/>
                <w:sz w:val="21"/>
              </w:rPr>
              <w:t> 型或 </w:t>
            </w:r>
            <w:r>
              <w:rPr>
                <w:b/>
                <w:sz w:val="21"/>
              </w:rPr>
              <w:t>III</w:t>
            </w:r>
            <w:r>
              <w:rPr>
                <w:b/>
                <w:spacing w:val="-18"/>
                <w:sz w:val="21"/>
              </w:rPr>
              <w:t> 型以上狼疮性肾炎</w:t>
            </w:r>
          </w:p>
        </w:tc>
        <w:tc>
          <w:tcPr>
            <w:tcW w:w="7306" w:type="dxa"/>
          </w:tcPr>
          <w:p>
            <w:pPr>
              <w:pStyle w:val="TableParagraph"/>
              <w:spacing w:line="257" w:lineRule="exact"/>
              <w:ind w:left="109"/>
              <w:rPr>
                <w:sz w:val="21"/>
              </w:rPr>
            </w:pPr>
            <w:r>
              <w:rPr>
                <w:sz w:val="21"/>
              </w:rPr>
              <w:t>系统性红斑狼疮是由多种因素引起，累及多系统的自身免疫性疾病。其特点是</w:t>
            </w:r>
          </w:p>
          <w:p>
            <w:pPr>
              <w:pStyle w:val="TableParagraph"/>
              <w:spacing w:before="37"/>
              <w:ind w:left="109"/>
              <w:rPr>
                <w:sz w:val="21"/>
              </w:rPr>
            </w:pPr>
            <w:r>
              <w:rPr>
                <w:sz w:val="21"/>
              </w:rPr>
              <w:t>生成自身抗体对抗多种自身抗原。多见于育龄妇女。</w:t>
            </w:r>
          </w:p>
          <w:p>
            <w:pPr>
              <w:pStyle w:val="TableParagraph"/>
              <w:spacing w:line="273" w:lineRule="auto" w:before="37"/>
              <w:ind w:left="109" w:right="-15"/>
              <w:rPr>
                <w:sz w:val="21"/>
              </w:rPr>
            </w:pPr>
            <w:r>
              <w:rPr>
                <w:spacing w:val="-3"/>
                <w:sz w:val="21"/>
              </w:rPr>
              <w:t>本保单所指的系统性红斑狼疮仅限于累及肾脏</w:t>
            </w:r>
            <w:r>
              <w:rPr>
                <w:sz w:val="21"/>
              </w:rPr>
              <w:t>（</w:t>
            </w:r>
            <w:r>
              <w:rPr>
                <w:spacing w:val="-7"/>
                <w:sz w:val="21"/>
              </w:rPr>
              <w:t>经肾脏活检确认的，符合 </w:t>
            </w:r>
            <w:r>
              <w:rPr>
                <w:spacing w:val="-3"/>
                <w:sz w:val="21"/>
              </w:rPr>
              <w:t>WHO </w:t>
            </w:r>
            <w:r>
              <w:rPr>
                <w:spacing w:val="-9"/>
                <w:sz w:val="21"/>
              </w:rPr>
              <w:t>诊断标准定义 </w:t>
            </w:r>
            <w:r>
              <w:rPr>
                <w:sz w:val="21"/>
              </w:rPr>
              <w:t>III</w:t>
            </w:r>
            <w:r>
              <w:rPr>
                <w:spacing w:val="-26"/>
                <w:sz w:val="21"/>
              </w:rPr>
              <w:t> 型或 </w:t>
            </w:r>
            <w:r>
              <w:rPr>
                <w:sz w:val="21"/>
              </w:rPr>
              <w:t>III</w:t>
            </w:r>
            <w:r>
              <w:rPr>
                <w:spacing w:val="-8"/>
                <w:sz w:val="21"/>
              </w:rPr>
              <w:t> 型以上狼疮性肾炎</w:t>
            </w:r>
            <w:r>
              <w:rPr>
                <w:spacing w:val="-27"/>
                <w:sz w:val="21"/>
              </w:rPr>
              <w:t>）</w:t>
            </w:r>
            <w:r>
              <w:rPr>
                <w:spacing w:val="-6"/>
                <w:sz w:val="21"/>
              </w:rPr>
              <w:t>的系统性红斑狼疮。其他类型</w:t>
            </w:r>
            <w:r>
              <w:rPr>
                <w:spacing w:val="-15"/>
                <w:sz w:val="21"/>
              </w:rPr>
              <w:t>的红斑性狼疮，如盘状狼疮、仅累及血液及关节的狼疮不在本保单保障范围內。</w:t>
            </w:r>
            <w:r>
              <w:rPr>
                <w:spacing w:val="-3"/>
                <w:sz w:val="21"/>
              </w:rPr>
              <w:t>本病必须由免疫和风湿科</w:t>
            </w:r>
            <w:r>
              <w:rPr>
                <w:b/>
                <w:sz w:val="21"/>
              </w:rPr>
              <w:t>专科医生</w:t>
            </w:r>
            <w:r>
              <w:rPr>
                <w:spacing w:val="-2"/>
                <w:sz w:val="21"/>
              </w:rPr>
              <w:t>确诊。</w:t>
            </w:r>
          </w:p>
        </w:tc>
      </w:tr>
    </w:tbl>
    <w:p>
      <w:pPr>
        <w:spacing w:after="0" w:line="273" w:lineRule="auto"/>
        <w:rPr>
          <w:sz w:val="21"/>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2"/>
        <w:gridCol w:w="7306"/>
      </w:tblGrid>
      <w:tr>
        <w:trPr>
          <w:trHeight w:val="2185" w:hRule="atLeast"/>
        </w:trPr>
        <w:tc>
          <w:tcPr>
            <w:tcW w:w="850" w:type="dxa"/>
          </w:tcPr>
          <w:p>
            <w:pPr>
              <w:pStyle w:val="TableParagraph"/>
              <w:rPr>
                <w:rFonts w:ascii="Times New Roman"/>
                <w:sz w:val="20"/>
              </w:rPr>
            </w:pPr>
          </w:p>
        </w:tc>
        <w:tc>
          <w:tcPr>
            <w:tcW w:w="1932" w:type="dxa"/>
          </w:tcPr>
          <w:p>
            <w:pPr>
              <w:pStyle w:val="TableParagraph"/>
              <w:rPr>
                <w:rFonts w:ascii="Times New Roman"/>
                <w:sz w:val="20"/>
              </w:rPr>
            </w:pPr>
          </w:p>
        </w:tc>
        <w:tc>
          <w:tcPr>
            <w:tcW w:w="7306" w:type="dxa"/>
          </w:tcPr>
          <w:p>
            <w:pPr>
              <w:pStyle w:val="TableParagraph"/>
              <w:spacing w:line="259" w:lineRule="exact"/>
              <w:ind w:left="109"/>
              <w:rPr>
                <w:sz w:val="21"/>
              </w:rPr>
            </w:pPr>
            <w:r>
              <w:rPr>
                <w:sz w:val="21"/>
              </w:rPr>
              <w:t>世界卫生组织（WHO） 狼疮型肾炎分型：</w:t>
            </w:r>
          </w:p>
          <w:p>
            <w:pPr>
              <w:pStyle w:val="TableParagraph"/>
              <w:numPr>
                <w:ilvl w:val="0"/>
                <w:numId w:val="3"/>
              </w:numPr>
              <w:tabs>
                <w:tab w:pos="269" w:val="left" w:leader="none"/>
                <w:tab w:pos="2212" w:val="left" w:leader="none"/>
              </w:tabs>
              <w:spacing w:line="240" w:lineRule="auto" w:before="37" w:after="0"/>
              <w:ind w:left="268" w:right="0" w:hanging="158"/>
              <w:jc w:val="left"/>
              <w:rPr>
                <w:sz w:val="21"/>
              </w:rPr>
            </w:pPr>
            <w:r>
              <w:rPr>
                <w:sz w:val="21"/>
              </w:rPr>
              <w:t>型</w:t>
              <w:tab/>
            </w:r>
            <w:r>
              <w:rPr>
                <w:spacing w:val="-3"/>
                <w:sz w:val="21"/>
              </w:rPr>
              <w:t>微</w:t>
            </w:r>
            <w:r>
              <w:rPr>
                <w:sz w:val="21"/>
              </w:rPr>
              <w:t>小</w:t>
            </w:r>
            <w:r>
              <w:rPr>
                <w:spacing w:val="-3"/>
                <w:sz w:val="21"/>
              </w:rPr>
              <w:t>病型</w:t>
            </w:r>
          </w:p>
          <w:p>
            <w:pPr>
              <w:pStyle w:val="TableParagraph"/>
              <w:numPr>
                <w:ilvl w:val="0"/>
                <w:numId w:val="3"/>
              </w:numPr>
              <w:tabs>
                <w:tab w:pos="375" w:val="left" w:leader="none"/>
                <w:tab w:pos="2212" w:val="left" w:leader="none"/>
              </w:tabs>
              <w:spacing w:line="240" w:lineRule="auto" w:before="37" w:after="0"/>
              <w:ind w:left="374" w:right="0" w:hanging="264"/>
              <w:jc w:val="left"/>
              <w:rPr>
                <w:sz w:val="21"/>
              </w:rPr>
            </w:pPr>
            <w:r>
              <w:rPr>
                <w:sz w:val="21"/>
              </w:rPr>
              <w:t>型</w:t>
              <w:tab/>
            </w:r>
            <w:r>
              <w:rPr>
                <w:spacing w:val="-3"/>
                <w:sz w:val="21"/>
              </w:rPr>
              <w:t>系</w:t>
            </w:r>
            <w:r>
              <w:rPr>
                <w:sz w:val="21"/>
              </w:rPr>
              <w:t>膜</w:t>
            </w:r>
            <w:r>
              <w:rPr>
                <w:spacing w:val="-3"/>
                <w:sz w:val="21"/>
              </w:rPr>
              <w:t>病</w:t>
            </w:r>
            <w:r>
              <w:rPr>
                <w:sz w:val="21"/>
              </w:rPr>
              <w:t>变型</w:t>
            </w:r>
          </w:p>
          <w:p>
            <w:pPr>
              <w:pStyle w:val="TableParagraph"/>
              <w:numPr>
                <w:ilvl w:val="0"/>
                <w:numId w:val="3"/>
              </w:numPr>
              <w:tabs>
                <w:tab w:pos="480" w:val="left" w:leader="none"/>
                <w:tab w:pos="2212" w:val="left" w:leader="none"/>
              </w:tabs>
              <w:spacing w:line="240" w:lineRule="auto" w:before="37" w:after="0"/>
              <w:ind w:left="479" w:right="0" w:hanging="369"/>
              <w:jc w:val="left"/>
              <w:rPr>
                <w:sz w:val="21"/>
              </w:rPr>
            </w:pPr>
            <w:r>
              <w:rPr>
                <w:sz w:val="21"/>
              </w:rPr>
              <w:t>型</w:t>
              <w:tab/>
            </w:r>
            <w:r>
              <w:rPr>
                <w:spacing w:val="-3"/>
                <w:sz w:val="21"/>
              </w:rPr>
              <w:t>局</w:t>
            </w:r>
            <w:r>
              <w:rPr>
                <w:sz w:val="21"/>
              </w:rPr>
              <w:t>灶</w:t>
            </w:r>
            <w:r>
              <w:rPr>
                <w:spacing w:val="-3"/>
                <w:sz w:val="21"/>
              </w:rPr>
              <w:t>及</w:t>
            </w:r>
            <w:r>
              <w:rPr>
                <w:sz w:val="21"/>
              </w:rPr>
              <w:t>节</w:t>
            </w:r>
            <w:r>
              <w:rPr>
                <w:spacing w:val="-3"/>
                <w:sz w:val="21"/>
              </w:rPr>
              <w:t>段</w:t>
            </w:r>
            <w:r>
              <w:rPr>
                <w:sz w:val="21"/>
              </w:rPr>
              <w:t>增</w:t>
            </w:r>
            <w:r>
              <w:rPr>
                <w:spacing w:val="-3"/>
                <w:sz w:val="21"/>
              </w:rPr>
              <w:t>生型</w:t>
            </w:r>
          </w:p>
          <w:p>
            <w:pPr>
              <w:pStyle w:val="TableParagraph"/>
              <w:numPr>
                <w:ilvl w:val="0"/>
                <w:numId w:val="3"/>
              </w:numPr>
              <w:tabs>
                <w:tab w:pos="375" w:val="left" w:leader="none"/>
                <w:tab w:pos="2213" w:val="left" w:leader="none"/>
              </w:tabs>
              <w:spacing w:line="240" w:lineRule="auto" w:before="37" w:after="0"/>
              <w:ind w:left="374" w:right="0" w:hanging="264"/>
              <w:jc w:val="left"/>
              <w:rPr>
                <w:sz w:val="21"/>
              </w:rPr>
            </w:pPr>
            <w:r>
              <w:rPr>
                <w:sz w:val="21"/>
              </w:rPr>
              <w:t>型</w:t>
              <w:tab/>
            </w:r>
            <w:r>
              <w:rPr>
                <w:spacing w:val="-3"/>
                <w:sz w:val="21"/>
              </w:rPr>
              <w:t>弥</w:t>
            </w:r>
            <w:r>
              <w:rPr>
                <w:sz w:val="21"/>
              </w:rPr>
              <w:t>漫</w:t>
            </w:r>
            <w:r>
              <w:rPr>
                <w:spacing w:val="-3"/>
                <w:sz w:val="21"/>
              </w:rPr>
              <w:t>增</w:t>
            </w:r>
            <w:r>
              <w:rPr>
                <w:sz w:val="21"/>
              </w:rPr>
              <w:t>生型</w:t>
            </w:r>
          </w:p>
          <w:p>
            <w:pPr>
              <w:pStyle w:val="TableParagraph"/>
              <w:numPr>
                <w:ilvl w:val="0"/>
                <w:numId w:val="3"/>
              </w:numPr>
              <w:tabs>
                <w:tab w:pos="270" w:val="left" w:leader="none"/>
                <w:tab w:pos="2213" w:val="left" w:leader="none"/>
              </w:tabs>
              <w:spacing w:line="240" w:lineRule="auto" w:before="37" w:after="0"/>
              <w:ind w:left="269" w:right="0" w:hanging="159"/>
              <w:jc w:val="left"/>
              <w:rPr>
                <w:sz w:val="21"/>
              </w:rPr>
            </w:pPr>
            <w:r>
              <w:rPr>
                <w:sz w:val="21"/>
              </w:rPr>
              <w:t>型</w:t>
              <w:tab/>
            </w:r>
            <w:r>
              <w:rPr>
                <w:spacing w:val="-3"/>
                <w:sz w:val="21"/>
              </w:rPr>
              <w:t>膜型</w:t>
            </w:r>
          </w:p>
          <w:p>
            <w:pPr>
              <w:pStyle w:val="TableParagraph"/>
              <w:numPr>
                <w:ilvl w:val="0"/>
                <w:numId w:val="3"/>
              </w:numPr>
              <w:tabs>
                <w:tab w:pos="374" w:val="left" w:leader="none"/>
                <w:tab w:pos="2212" w:val="left" w:leader="none"/>
              </w:tabs>
              <w:spacing w:line="240" w:lineRule="auto" w:before="37" w:after="0"/>
              <w:ind w:left="373" w:right="0" w:hanging="264"/>
              <w:jc w:val="left"/>
              <w:rPr>
                <w:sz w:val="21"/>
              </w:rPr>
            </w:pPr>
            <w:r>
              <w:rPr>
                <w:sz w:val="21"/>
              </w:rPr>
              <w:t>型</w:t>
              <w:tab/>
            </w:r>
            <w:r>
              <w:rPr>
                <w:spacing w:val="-3"/>
                <w:sz w:val="21"/>
              </w:rPr>
              <w:t>肾</w:t>
            </w:r>
            <w:r>
              <w:rPr>
                <w:sz w:val="21"/>
              </w:rPr>
              <w:t>小</w:t>
            </w:r>
            <w:r>
              <w:rPr>
                <w:spacing w:val="-3"/>
                <w:sz w:val="21"/>
              </w:rPr>
              <w:t>球</w:t>
            </w:r>
            <w:r>
              <w:rPr>
                <w:sz w:val="21"/>
              </w:rPr>
              <w:t>硬</w:t>
            </w:r>
            <w:r>
              <w:rPr>
                <w:spacing w:val="-3"/>
                <w:sz w:val="21"/>
              </w:rPr>
              <w:t>化型</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183" w:hRule="atLeast"/>
        </w:trPr>
        <w:tc>
          <w:tcPr>
            <w:tcW w:w="850" w:type="dxa"/>
          </w:tcPr>
          <w:p>
            <w:pPr>
              <w:pStyle w:val="TableParagraph"/>
              <w:spacing w:line="257" w:lineRule="exact"/>
              <w:ind w:left="107"/>
              <w:rPr>
                <w:b/>
                <w:sz w:val="21"/>
              </w:rPr>
            </w:pPr>
            <w:r>
              <w:rPr>
                <w:b/>
                <w:sz w:val="21"/>
              </w:rPr>
              <w:t>二十八</w:t>
            </w:r>
          </w:p>
        </w:tc>
        <w:tc>
          <w:tcPr>
            <w:tcW w:w="1932" w:type="dxa"/>
          </w:tcPr>
          <w:p>
            <w:pPr>
              <w:pStyle w:val="TableParagraph"/>
              <w:spacing w:line="257" w:lineRule="exact"/>
              <w:ind w:left="107"/>
              <w:rPr>
                <w:b/>
                <w:sz w:val="21"/>
              </w:rPr>
            </w:pPr>
            <w:r>
              <w:rPr>
                <w:b/>
                <w:sz w:val="21"/>
              </w:rPr>
              <w:t>经输血导致的人类</w:t>
            </w:r>
          </w:p>
          <w:p>
            <w:pPr>
              <w:pStyle w:val="TableParagraph"/>
              <w:spacing w:before="37"/>
              <w:ind w:left="107"/>
              <w:rPr>
                <w:b/>
                <w:sz w:val="21"/>
              </w:rPr>
            </w:pPr>
            <w:r>
              <w:rPr>
                <w:b/>
                <w:sz w:val="21"/>
              </w:rPr>
              <w:t>免疫缺陷病毒感染</w:t>
            </w:r>
          </w:p>
        </w:tc>
        <w:tc>
          <w:tcPr>
            <w:tcW w:w="7306" w:type="dxa"/>
          </w:tcPr>
          <w:p>
            <w:pPr>
              <w:pStyle w:val="TableParagraph"/>
              <w:spacing w:line="257" w:lineRule="exact"/>
              <w:ind w:left="109"/>
              <w:rPr>
                <w:sz w:val="21"/>
              </w:rPr>
            </w:pPr>
            <w:r>
              <w:rPr>
                <w:sz w:val="21"/>
              </w:rPr>
              <w:t>被保险人感染上人类免疫缺陷病毒（HIV）并且满足下列全部条件：</w:t>
            </w:r>
          </w:p>
          <w:p>
            <w:pPr>
              <w:pStyle w:val="TableParagraph"/>
              <w:spacing w:line="273" w:lineRule="auto" w:before="37"/>
              <w:ind w:left="613" w:right="144" w:hanging="504"/>
              <w:rPr>
                <w:sz w:val="21"/>
              </w:rPr>
            </w:pPr>
            <w:r>
              <w:rPr>
                <w:sz w:val="21"/>
              </w:rPr>
              <w:t>（1）造成感染的输血事件发生在本附加合同生效日或最后复效日（以较迟者为准）之后；</w:t>
            </w:r>
          </w:p>
          <w:p>
            <w:pPr>
              <w:pStyle w:val="TableParagraph"/>
              <w:spacing w:line="273" w:lineRule="auto" w:before="7"/>
              <w:ind w:left="613" w:right="144" w:hanging="505"/>
              <w:rPr>
                <w:sz w:val="21"/>
              </w:rPr>
            </w:pPr>
            <w:r>
              <w:rPr>
                <w:sz w:val="21"/>
              </w:rPr>
              <w:t>（2）提供输血治疗的输血中心或</w:t>
            </w:r>
            <w:r>
              <w:rPr>
                <w:b/>
                <w:sz w:val="21"/>
              </w:rPr>
              <w:t>医院</w:t>
            </w:r>
            <w:r>
              <w:rPr>
                <w:sz w:val="21"/>
              </w:rPr>
              <w:t>出具该项输血感染属医疗责任事故的报告，或者法院终审裁定为医疗责任；</w:t>
            </w:r>
          </w:p>
          <w:p>
            <w:pPr>
              <w:pStyle w:val="TableParagraph"/>
              <w:spacing w:before="7"/>
              <w:ind w:left="109"/>
              <w:rPr>
                <w:sz w:val="21"/>
              </w:rPr>
            </w:pPr>
            <w:r>
              <w:rPr>
                <w:sz w:val="21"/>
              </w:rPr>
              <w:t>（3）提供输血治疗的输血中心或</w:t>
            </w:r>
            <w:r>
              <w:rPr>
                <w:b/>
                <w:sz w:val="21"/>
              </w:rPr>
              <w:t>医院</w:t>
            </w:r>
            <w:r>
              <w:rPr>
                <w:sz w:val="21"/>
              </w:rPr>
              <w:t>必须拥有合法经营执照；</w:t>
            </w:r>
          </w:p>
          <w:p>
            <w:pPr>
              <w:pStyle w:val="TableParagraph"/>
              <w:spacing w:before="37"/>
              <w:ind w:left="109"/>
              <w:rPr>
                <w:sz w:val="21"/>
              </w:rPr>
            </w:pPr>
            <w:r>
              <w:rPr>
                <w:sz w:val="21"/>
              </w:rPr>
              <w:t>（4）受感染的被保险人不是血友病患者。</w:t>
            </w:r>
          </w:p>
        </w:tc>
      </w:tr>
      <w:tr>
        <w:trPr>
          <w:trHeight w:val="217"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559" w:hRule="atLeast"/>
        </w:trPr>
        <w:tc>
          <w:tcPr>
            <w:tcW w:w="850" w:type="dxa"/>
          </w:tcPr>
          <w:p>
            <w:pPr>
              <w:pStyle w:val="TableParagraph"/>
              <w:spacing w:line="257" w:lineRule="exact"/>
              <w:ind w:left="107"/>
              <w:rPr>
                <w:b/>
                <w:sz w:val="21"/>
              </w:rPr>
            </w:pPr>
            <w:r>
              <w:rPr>
                <w:b/>
                <w:sz w:val="21"/>
              </w:rPr>
              <w:t>二十九</w:t>
            </w:r>
          </w:p>
        </w:tc>
        <w:tc>
          <w:tcPr>
            <w:tcW w:w="1932" w:type="dxa"/>
          </w:tcPr>
          <w:p>
            <w:pPr>
              <w:pStyle w:val="TableParagraph"/>
              <w:spacing w:line="257" w:lineRule="exact"/>
              <w:ind w:left="107"/>
              <w:rPr>
                <w:b/>
                <w:sz w:val="21"/>
              </w:rPr>
            </w:pPr>
            <w:r>
              <w:rPr>
                <w:b/>
                <w:sz w:val="21"/>
              </w:rPr>
              <w:t>脊髓灰质炎</w:t>
            </w:r>
          </w:p>
        </w:tc>
        <w:tc>
          <w:tcPr>
            <w:tcW w:w="7306" w:type="dxa"/>
          </w:tcPr>
          <w:p>
            <w:pPr>
              <w:pStyle w:val="TableParagraph"/>
              <w:spacing w:line="257" w:lineRule="exact"/>
              <w:ind w:left="109"/>
              <w:rPr>
                <w:sz w:val="21"/>
              </w:rPr>
            </w:pPr>
            <w:r>
              <w:rPr>
                <w:sz w:val="21"/>
              </w:rPr>
              <w:t>脊髓灰质炎是由于脊髓灰质炎病毒感染所致的瘫痪性疾病，临床表现为运动功</w:t>
            </w:r>
          </w:p>
          <w:p>
            <w:pPr>
              <w:pStyle w:val="TableParagraph"/>
              <w:spacing w:line="273" w:lineRule="auto" w:before="37"/>
              <w:ind w:left="109" w:right="89"/>
              <w:rPr>
                <w:sz w:val="21"/>
              </w:rPr>
            </w:pPr>
            <w:r>
              <w:rPr>
                <w:spacing w:val="-7"/>
                <w:sz w:val="21"/>
              </w:rPr>
              <w:t>能损害或呼吸无力。脊髓灰质炎必须明确诊断。本保单仅对脊髓灰质炎造成的</w:t>
            </w:r>
            <w:r>
              <w:rPr>
                <w:spacing w:val="-3"/>
                <w:sz w:val="21"/>
              </w:rPr>
              <w:t>神经系统功能损害导致被保险人一肢或一肢以上肢体机能永久完全丧失的情</w:t>
            </w:r>
            <w:r>
              <w:rPr>
                <w:spacing w:val="-9"/>
                <w:sz w:val="21"/>
              </w:rPr>
              <w:t>况予以理赔。肢体机能永久完全丧失，指疾病确诊 </w:t>
            </w:r>
            <w:r>
              <w:rPr>
                <w:sz w:val="21"/>
              </w:rPr>
              <w:t>180</w:t>
            </w:r>
            <w:r>
              <w:rPr>
                <w:spacing w:val="-12"/>
                <w:sz w:val="21"/>
              </w:rPr>
              <w:t> 天后，每肢</w:t>
            </w:r>
            <w:r>
              <w:rPr>
                <w:b/>
                <w:sz w:val="21"/>
              </w:rPr>
              <w:t>三大关节</w:t>
            </w:r>
            <w:r>
              <w:rPr>
                <w:sz w:val="21"/>
              </w:rPr>
              <w:t>中</w:t>
            </w:r>
            <w:r>
              <w:rPr>
                <w:spacing w:val="-3"/>
                <w:sz w:val="21"/>
              </w:rPr>
              <w:t>的两大关节仍然完全僵硬，或不能随意识活动。</w:t>
            </w:r>
          </w:p>
        </w:tc>
      </w:tr>
      <w:tr>
        <w:trPr>
          <w:trHeight w:val="218"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871" w:hRule="atLeast"/>
        </w:trPr>
        <w:tc>
          <w:tcPr>
            <w:tcW w:w="850" w:type="dxa"/>
          </w:tcPr>
          <w:p>
            <w:pPr>
              <w:pStyle w:val="TableParagraph"/>
              <w:spacing w:line="257" w:lineRule="exact"/>
              <w:ind w:left="107"/>
              <w:rPr>
                <w:b/>
                <w:sz w:val="21"/>
              </w:rPr>
            </w:pPr>
            <w:r>
              <w:rPr>
                <w:b/>
                <w:sz w:val="21"/>
              </w:rPr>
              <w:t>三十</w:t>
            </w:r>
          </w:p>
        </w:tc>
        <w:tc>
          <w:tcPr>
            <w:tcW w:w="1932" w:type="dxa"/>
          </w:tcPr>
          <w:p>
            <w:pPr>
              <w:pStyle w:val="TableParagraph"/>
              <w:spacing w:line="257" w:lineRule="exact"/>
              <w:ind w:left="107"/>
              <w:rPr>
                <w:b/>
                <w:sz w:val="21"/>
              </w:rPr>
            </w:pPr>
            <w:r>
              <w:rPr>
                <w:b/>
                <w:sz w:val="21"/>
              </w:rPr>
              <w:t>全身性重症肌无力</w:t>
            </w:r>
          </w:p>
        </w:tc>
        <w:tc>
          <w:tcPr>
            <w:tcW w:w="7306" w:type="dxa"/>
          </w:tcPr>
          <w:p>
            <w:pPr>
              <w:pStyle w:val="TableParagraph"/>
              <w:spacing w:line="257" w:lineRule="exact"/>
              <w:ind w:left="109"/>
              <w:rPr>
                <w:sz w:val="21"/>
              </w:rPr>
            </w:pPr>
            <w:r>
              <w:rPr>
                <w:sz w:val="21"/>
              </w:rPr>
              <w:t>重症肌无力是一种神经肌肉接头传递障碍所致的疾病，表现为局部或全身骨骼</w:t>
            </w:r>
          </w:p>
          <w:p>
            <w:pPr>
              <w:pStyle w:val="TableParagraph"/>
              <w:spacing w:line="273" w:lineRule="auto" w:before="37"/>
              <w:ind w:left="109" w:right="41"/>
              <w:rPr>
                <w:sz w:val="21"/>
              </w:rPr>
            </w:pPr>
            <w:r>
              <w:rPr>
                <w:sz w:val="21"/>
              </w:rPr>
              <w:t>肌（特别是眼外肌）极易疲劳。疾病可以累及呼吸肌、上肢或下肢的近端肌群或全身肌肉，必须满足下列全部条件：</w:t>
            </w:r>
          </w:p>
          <w:p>
            <w:pPr>
              <w:pStyle w:val="TableParagraph"/>
              <w:spacing w:before="7"/>
              <w:ind w:left="109"/>
              <w:rPr>
                <w:sz w:val="21"/>
              </w:rPr>
            </w:pPr>
            <w:r>
              <w:rPr>
                <w:sz w:val="21"/>
              </w:rPr>
              <w:t>（1）经药物治疗和胸腺切除治疗一年以上仍无法控制病情；</w:t>
            </w:r>
          </w:p>
          <w:p>
            <w:pPr>
              <w:pStyle w:val="TableParagraph"/>
              <w:spacing w:line="273" w:lineRule="auto" w:before="36"/>
              <w:ind w:left="613" w:right="137" w:hanging="504"/>
              <w:rPr>
                <w:sz w:val="21"/>
              </w:rPr>
            </w:pPr>
            <w:r>
              <w:rPr>
                <w:sz w:val="21"/>
              </w:rPr>
              <w:t>（2）自主生活能力完全丧失，无法独立完成</w:t>
            </w:r>
            <w:r>
              <w:rPr>
                <w:b/>
                <w:sz w:val="21"/>
              </w:rPr>
              <w:t>六项基本日常生活活动</w:t>
            </w:r>
            <w:r>
              <w:rPr>
                <w:sz w:val="21"/>
              </w:rPr>
              <w:t>中的三项或三项以上。</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497" w:hRule="atLeast"/>
        </w:trPr>
        <w:tc>
          <w:tcPr>
            <w:tcW w:w="850" w:type="dxa"/>
          </w:tcPr>
          <w:p>
            <w:pPr>
              <w:pStyle w:val="TableParagraph"/>
              <w:spacing w:line="259" w:lineRule="exact"/>
              <w:ind w:left="107"/>
              <w:rPr>
                <w:b/>
                <w:sz w:val="21"/>
              </w:rPr>
            </w:pPr>
            <w:r>
              <w:rPr>
                <w:b/>
                <w:sz w:val="21"/>
              </w:rPr>
              <w:t>三十一</w:t>
            </w:r>
          </w:p>
        </w:tc>
        <w:tc>
          <w:tcPr>
            <w:tcW w:w="1932" w:type="dxa"/>
          </w:tcPr>
          <w:p>
            <w:pPr>
              <w:pStyle w:val="TableParagraph"/>
              <w:spacing w:line="259" w:lineRule="exact"/>
              <w:ind w:left="107"/>
              <w:rPr>
                <w:b/>
                <w:sz w:val="21"/>
              </w:rPr>
            </w:pPr>
            <w:r>
              <w:rPr>
                <w:b/>
                <w:sz w:val="21"/>
              </w:rPr>
              <w:t>严重 1 型糖尿病</w:t>
            </w:r>
          </w:p>
        </w:tc>
        <w:tc>
          <w:tcPr>
            <w:tcW w:w="7306" w:type="dxa"/>
          </w:tcPr>
          <w:p>
            <w:pPr>
              <w:pStyle w:val="TableParagraph"/>
              <w:spacing w:line="259" w:lineRule="exact"/>
              <w:ind w:left="109"/>
              <w:rPr>
                <w:sz w:val="21"/>
              </w:rPr>
            </w:pPr>
            <w:r>
              <w:rPr>
                <w:sz w:val="21"/>
              </w:rPr>
              <w:t>严重1 型糖尿病的特征为由于胰岛素分泌绝对不足引起严重胰岛素缺乏导致慢</w:t>
            </w:r>
          </w:p>
          <w:p>
            <w:pPr>
              <w:pStyle w:val="TableParagraph"/>
              <w:spacing w:line="273" w:lineRule="auto" w:before="37"/>
              <w:ind w:left="109" w:right="94"/>
              <w:jc w:val="both"/>
              <w:rPr>
                <w:sz w:val="21"/>
              </w:rPr>
            </w:pPr>
            <w:r>
              <w:rPr>
                <w:spacing w:val="-3"/>
                <w:sz w:val="21"/>
              </w:rPr>
              <w:t>性血糖升高， 需要依赖外源性胰岛素进行机体的葡萄糖代谢和维持生命。被</w:t>
            </w:r>
            <w:r>
              <w:rPr>
                <w:spacing w:val="-9"/>
                <w:sz w:val="21"/>
              </w:rPr>
              <w:t>保险人的严重 </w:t>
            </w:r>
            <w:r>
              <w:rPr>
                <w:sz w:val="21"/>
              </w:rPr>
              <w:t>1</w:t>
            </w:r>
            <w:r>
              <w:rPr>
                <w:spacing w:val="-6"/>
                <w:sz w:val="21"/>
              </w:rPr>
              <w:t> 型糖尿病必须明确诊断，而且有血胰岛素测定及血</w:t>
            </w:r>
            <w:r>
              <w:rPr>
                <w:sz w:val="21"/>
              </w:rPr>
              <w:t>C</w:t>
            </w:r>
            <w:r>
              <w:rPr>
                <w:spacing w:val="-20"/>
                <w:sz w:val="21"/>
              </w:rPr>
              <w:t> 肽或尿 </w:t>
            </w:r>
            <w:r>
              <w:rPr>
                <w:sz w:val="21"/>
              </w:rPr>
              <w:t>C </w:t>
            </w:r>
            <w:r>
              <w:rPr>
                <w:spacing w:val="-3"/>
                <w:sz w:val="21"/>
              </w:rPr>
              <w:t>肽测定结果支持诊断，并且满足下列全部条件：</w:t>
            </w:r>
          </w:p>
          <w:p>
            <w:pPr>
              <w:pStyle w:val="TableParagraph"/>
              <w:spacing w:before="7"/>
              <w:ind w:left="109"/>
              <w:jc w:val="both"/>
              <w:rPr>
                <w:sz w:val="21"/>
              </w:rPr>
            </w:pPr>
            <w:r>
              <w:rPr>
                <w:sz w:val="21"/>
              </w:rPr>
              <w:t>（1）已经持续性地接受外源性胰岛素注射治疗连续 180 天以上；</w:t>
            </w:r>
          </w:p>
          <w:p>
            <w:pPr>
              <w:pStyle w:val="TableParagraph"/>
              <w:spacing w:before="36"/>
              <w:ind w:left="109"/>
              <w:jc w:val="both"/>
              <w:rPr>
                <w:sz w:val="21"/>
              </w:rPr>
            </w:pPr>
            <w:r>
              <w:rPr>
                <w:sz w:val="21"/>
              </w:rPr>
              <w:t>（2）因需要已经接受了下列治疗：</w:t>
            </w:r>
          </w:p>
          <w:p>
            <w:pPr>
              <w:pStyle w:val="TableParagraph"/>
              <w:spacing w:before="36"/>
              <w:ind w:left="529"/>
              <w:rPr>
                <w:sz w:val="21"/>
              </w:rPr>
            </w:pPr>
            <w:r>
              <w:rPr>
                <w:sz w:val="21"/>
              </w:rPr>
              <w:t>① 因严重心律失常植入了心脏起搏器；或</w:t>
            </w:r>
          </w:p>
          <w:p>
            <w:pPr>
              <w:pStyle w:val="TableParagraph"/>
              <w:spacing w:before="36"/>
              <w:ind w:left="529"/>
              <w:rPr>
                <w:sz w:val="21"/>
              </w:rPr>
            </w:pPr>
            <w:r>
              <w:rPr>
                <w:sz w:val="21"/>
              </w:rPr>
              <w:t>② 因坏疽自跖趾关节或以上切除了一趾或多趾。</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三十二</w:t>
            </w:r>
          </w:p>
        </w:tc>
        <w:tc>
          <w:tcPr>
            <w:tcW w:w="1932" w:type="dxa"/>
          </w:tcPr>
          <w:p>
            <w:pPr>
              <w:pStyle w:val="TableParagraph"/>
              <w:spacing w:line="257" w:lineRule="exact"/>
              <w:ind w:left="107"/>
              <w:rPr>
                <w:b/>
                <w:sz w:val="21"/>
              </w:rPr>
            </w:pPr>
            <w:r>
              <w:rPr>
                <w:b/>
                <w:sz w:val="21"/>
              </w:rPr>
              <w:t>植物人状态</w:t>
            </w:r>
          </w:p>
        </w:tc>
        <w:tc>
          <w:tcPr>
            <w:tcW w:w="7306" w:type="dxa"/>
          </w:tcPr>
          <w:p>
            <w:pPr>
              <w:pStyle w:val="TableParagraph"/>
              <w:spacing w:line="257" w:lineRule="exact"/>
              <w:ind w:left="109"/>
              <w:rPr>
                <w:sz w:val="21"/>
              </w:rPr>
            </w:pPr>
            <w:r>
              <w:rPr>
                <w:sz w:val="21"/>
              </w:rPr>
              <w:t>植物人状态系指由于严重颅脑外伤造成大脑严重损害导致完全永久性的对自</w:t>
            </w:r>
          </w:p>
          <w:p>
            <w:pPr>
              <w:pStyle w:val="TableParagraph"/>
              <w:spacing w:line="273" w:lineRule="auto" w:before="37"/>
              <w:ind w:left="109" w:right="91"/>
              <w:jc w:val="both"/>
              <w:rPr>
                <w:sz w:val="21"/>
              </w:rPr>
            </w:pPr>
            <w:r>
              <w:rPr>
                <w:spacing w:val="-6"/>
                <w:sz w:val="21"/>
              </w:rPr>
              <w:t>身和环境的意识丧失和中枢神经系统功能丧失，仅残存植物神经功能的疾病状</w:t>
            </w:r>
            <w:r>
              <w:rPr>
                <w:spacing w:val="-8"/>
                <w:sz w:val="21"/>
              </w:rPr>
              <w:t>态。诊断必须明确并且具有严重颅脑外伤和脑损害的证据。植物人状态必须持</w:t>
            </w:r>
            <w:r>
              <w:rPr>
                <w:spacing w:val="-27"/>
                <w:sz w:val="21"/>
              </w:rPr>
              <w:t>续 </w:t>
            </w:r>
            <w:r>
              <w:rPr>
                <w:sz w:val="21"/>
              </w:rPr>
              <w:t>30</w:t>
            </w:r>
            <w:r>
              <w:rPr>
                <w:spacing w:val="-8"/>
                <w:sz w:val="21"/>
              </w:rPr>
              <w:t> 天以上方可申请理赔。</w:t>
            </w:r>
          </w:p>
        </w:tc>
      </w:tr>
      <w:tr>
        <w:trPr>
          <w:trHeight w:val="217"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559" w:hRule="atLeast"/>
        </w:trPr>
        <w:tc>
          <w:tcPr>
            <w:tcW w:w="850" w:type="dxa"/>
          </w:tcPr>
          <w:p>
            <w:pPr>
              <w:pStyle w:val="TableParagraph"/>
              <w:spacing w:line="257" w:lineRule="exact"/>
              <w:ind w:left="107"/>
              <w:rPr>
                <w:b/>
                <w:sz w:val="21"/>
              </w:rPr>
            </w:pPr>
            <w:r>
              <w:rPr>
                <w:b/>
                <w:sz w:val="21"/>
              </w:rPr>
              <w:t>三十三</w:t>
            </w:r>
          </w:p>
        </w:tc>
        <w:tc>
          <w:tcPr>
            <w:tcW w:w="1932" w:type="dxa"/>
          </w:tcPr>
          <w:p>
            <w:pPr>
              <w:pStyle w:val="TableParagraph"/>
              <w:spacing w:line="257" w:lineRule="exact"/>
              <w:ind w:left="107"/>
              <w:rPr>
                <w:b/>
                <w:sz w:val="21"/>
              </w:rPr>
            </w:pPr>
            <w:r>
              <w:rPr>
                <w:b/>
                <w:sz w:val="21"/>
              </w:rPr>
              <w:t>肾髓质囊性病</w:t>
            </w:r>
          </w:p>
        </w:tc>
        <w:tc>
          <w:tcPr>
            <w:tcW w:w="7306" w:type="dxa"/>
          </w:tcPr>
          <w:p>
            <w:pPr>
              <w:pStyle w:val="TableParagraph"/>
              <w:spacing w:line="257" w:lineRule="exact"/>
              <w:ind w:left="109"/>
              <w:rPr>
                <w:sz w:val="21"/>
              </w:rPr>
            </w:pPr>
            <w:r>
              <w:rPr>
                <w:sz w:val="21"/>
              </w:rPr>
              <w:t>肾髓质囊性病的诊断须同时符合下列要求：</w:t>
            </w:r>
          </w:p>
          <w:p>
            <w:pPr>
              <w:pStyle w:val="TableParagraph"/>
              <w:spacing w:before="37"/>
              <w:ind w:left="109"/>
              <w:rPr>
                <w:sz w:val="21"/>
              </w:rPr>
            </w:pPr>
            <w:r>
              <w:rPr>
                <w:sz w:val="21"/>
              </w:rPr>
              <w:t>（1）肾髓质有囊肿、肾小管萎缩及间质纤维化等病理改变；</w:t>
            </w:r>
          </w:p>
          <w:p>
            <w:pPr>
              <w:pStyle w:val="TableParagraph"/>
              <w:spacing w:before="37"/>
              <w:ind w:left="109"/>
              <w:rPr>
                <w:sz w:val="21"/>
              </w:rPr>
            </w:pPr>
            <w:r>
              <w:rPr>
                <w:sz w:val="21"/>
              </w:rPr>
              <w:t>（2）贫血、多尿及肾功能衰竭等临床表现；</w:t>
            </w:r>
          </w:p>
          <w:p>
            <w:pPr>
              <w:pStyle w:val="TableParagraph"/>
              <w:spacing w:before="37"/>
              <w:ind w:left="109"/>
              <w:rPr>
                <w:sz w:val="21"/>
              </w:rPr>
            </w:pPr>
            <w:r>
              <w:rPr>
                <w:sz w:val="21"/>
              </w:rPr>
              <w:t>（3）诊断须由肾组织活检确定。</w:t>
            </w:r>
          </w:p>
          <w:p>
            <w:pPr>
              <w:pStyle w:val="TableParagraph"/>
              <w:spacing w:before="37"/>
              <w:ind w:left="109"/>
              <w:rPr>
                <w:b/>
                <w:sz w:val="21"/>
              </w:rPr>
            </w:pPr>
            <w:r>
              <w:rPr>
                <w:b/>
                <w:sz w:val="21"/>
              </w:rPr>
              <w:t>本项疾病责任不受本附加合同责任免除中“遗传性疾病，先天性畸形、变形或</w:t>
            </w:r>
          </w:p>
        </w:tc>
      </w:tr>
    </w:tbl>
    <w:p>
      <w:pPr>
        <w:spacing w:after="0"/>
        <w:rPr>
          <w:sz w:val="21"/>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2"/>
        <w:gridCol w:w="7306"/>
      </w:tblGrid>
      <w:tr>
        <w:trPr>
          <w:trHeight w:val="313" w:hRule="atLeast"/>
        </w:trPr>
        <w:tc>
          <w:tcPr>
            <w:tcW w:w="850" w:type="dxa"/>
          </w:tcPr>
          <w:p>
            <w:pPr>
              <w:pStyle w:val="TableParagraph"/>
              <w:rPr>
                <w:rFonts w:ascii="Times New Roman"/>
                <w:sz w:val="20"/>
              </w:rPr>
            </w:pPr>
          </w:p>
        </w:tc>
        <w:tc>
          <w:tcPr>
            <w:tcW w:w="1932" w:type="dxa"/>
          </w:tcPr>
          <w:p>
            <w:pPr>
              <w:pStyle w:val="TableParagraph"/>
              <w:rPr>
                <w:rFonts w:ascii="Times New Roman"/>
                <w:sz w:val="20"/>
              </w:rPr>
            </w:pPr>
          </w:p>
        </w:tc>
        <w:tc>
          <w:tcPr>
            <w:tcW w:w="7306" w:type="dxa"/>
          </w:tcPr>
          <w:p>
            <w:pPr>
              <w:pStyle w:val="TableParagraph"/>
              <w:spacing w:line="259" w:lineRule="exact"/>
              <w:ind w:left="109"/>
              <w:rPr>
                <w:b/>
                <w:sz w:val="21"/>
              </w:rPr>
            </w:pPr>
            <w:r>
              <w:rPr>
                <w:b/>
                <w:sz w:val="21"/>
              </w:rPr>
              <w:t>染色体异常”的限制。</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935" w:hRule="atLeast"/>
        </w:trPr>
        <w:tc>
          <w:tcPr>
            <w:tcW w:w="850" w:type="dxa"/>
          </w:tcPr>
          <w:p>
            <w:pPr>
              <w:pStyle w:val="TableParagraph"/>
              <w:spacing w:line="257" w:lineRule="exact"/>
              <w:ind w:left="107"/>
              <w:rPr>
                <w:b/>
                <w:sz w:val="21"/>
              </w:rPr>
            </w:pPr>
            <w:r>
              <w:rPr>
                <w:b/>
                <w:sz w:val="21"/>
              </w:rPr>
              <w:t>三十四</w:t>
            </w:r>
          </w:p>
        </w:tc>
        <w:tc>
          <w:tcPr>
            <w:tcW w:w="1932" w:type="dxa"/>
          </w:tcPr>
          <w:p>
            <w:pPr>
              <w:pStyle w:val="TableParagraph"/>
              <w:spacing w:line="257" w:lineRule="exact"/>
              <w:ind w:left="107"/>
              <w:rPr>
                <w:b/>
                <w:sz w:val="21"/>
              </w:rPr>
            </w:pPr>
            <w:r>
              <w:rPr>
                <w:b/>
                <w:sz w:val="21"/>
              </w:rPr>
              <w:t>原发性心肌病</w:t>
            </w:r>
          </w:p>
        </w:tc>
        <w:tc>
          <w:tcPr>
            <w:tcW w:w="7306" w:type="dxa"/>
          </w:tcPr>
          <w:p>
            <w:pPr>
              <w:pStyle w:val="TableParagraph"/>
              <w:spacing w:line="257" w:lineRule="exact"/>
              <w:ind w:left="109"/>
              <w:rPr>
                <w:sz w:val="21"/>
              </w:rPr>
            </w:pPr>
            <w:r>
              <w:rPr>
                <w:sz w:val="21"/>
              </w:rPr>
              <w:t>指因原发性心肌病导致慢性心功能损害造成</w:t>
            </w:r>
            <w:r>
              <w:rPr>
                <w:b/>
                <w:sz w:val="21"/>
              </w:rPr>
              <w:t>永久不可逆</w:t>
            </w:r>
            <w:r>
              <w:rPr>
                <w:sz w:val="21"/>
              </w:rPr>
              <w:t>性的心功能衰竭。心功</w:t>
            </w:r>
          </w:p>
          <w:p>
            <w:pPr>
              <w:pStyle w:val="TableParagraph"/>
              <w:spacing w:before="37"/>
              <w:ind w:left="109"/>
              <w:rPr>
                <w:sz w:val="21"/>
              </w:rPr>
            </w:pPr>
            <w:r>
              <w:rPr>
                <w:sz w:val="21"/>
              </w:rPr>
              <w:t>能衰竭程度达到纽约心脏病学会心功能分级状态分级 IV 级。</w:t>
            </w:r>
          </w:p>
          <w:p>
            <w:pPr>
              <w:pStyle w:val="TableParagraph"/>
              <w:spacing w:before="37"/>
              <w:ind w:left="109"/>
              <w:rPr>
                <w:b/>
                <w:sz w:val="21"/>
              </w:rPr>
            </w:pPr>
            <w:r>
              <w:rPr>
                <w:b/>
                <w:sz w:val="21"/>
              </w:rPr>
              <w:t>此疾病须由卫生行政部门认定的三级以上（含三级）医院确诊。</w:t>
            </w:r>
          </w:p>
        </w:tc>
      </w:tr>
      <w:tr>
        <w:trPr>
          <w:trHeight w:val="218"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871" w:hRule="atLeast"/>
        </w:trPr>
        <w:tc>
          <w:tcPr>
            <w:tcW w:w="850" w:type="dxa"/>
          </w:tcPr>
          <w:p>
            <w:pPr>
              <w:pStyle w:val="TableParagraph"/>
              <w:spacing w:line="257" w:lineRule="exact"/>
              <w:ind w:left="107"/>
              <w:rPr>
                <w:b/>
                <w:sz w:val="21"/>
              </w:rPr>
            </w:pPr>
            <w:r>
              <w:rPr>
                <w:b/>
                <w:sz w:val="21"/>
              </w:rPr>
              <w:t>三十五</w:t>
            </w:r>
          </w:p>
        </w:tc>
        <w:tc>
          <w:tcPr>
            <w:tcW w:w="1932" w:type="dxa"/>
          </w:tcPr>
          <w:p>
            <w:pPr>
              <w:pStyle w:val="TableParagraph"/>
              <w:spacing w:line="257" w:lineRule="exact"/>
              <w:ind w:left="107"/>
              <w:rPr>
                <w:b/>
                <w:sz w:val="21"/>
              </w:rPr>
            </w:pPr>
            <w:r>
              <w:rPr>
                <w:b/>
                <w:sz w:val="21"/>
              </w:rPr>
              <w:t>坏死性筋膜炎</w:t>
            </w:r>
          </w:p>
        </w:tc>
        <w:tc>
          <w:tcPr>
            <w:tcW w:w="7306" w:type="dxa"/>
          </w:tcPr>
          <w:p>
            <w:pPr>
              <w:pStyle w:val="TableParagraph"/>
              <w:spacing w:line="257" w:lineRule="exact"/>
              <w:ind w:left="109"/>
              <w:rPr>
                <w:sz w:val="21"/>
              </w:rPr>
            </w:pPr>
            <w:r>
              <w:rPr>
                <w:sz w:val="21"/>
              </w:rPr>
              <w:t>是一种由细菌侵入皮下组织和筋膜引起的急性坏死性软组织感染，可伴有毒血</w:t>
            </w:r>
          </w:p>
          <w:p>
            <w:pPr>
              <w:pStyle w:val="TableParagraph"/>
              <w:spacing w:line="273" w:lineRule="auto" w:before="37"/>
              <w:ind w:left="109" w:right="95"/>
              <w:rPr>
                <w:sz w:val="21"/>
              </w:rPr>
            </w:pPr>
            <w:r>
              <w:rPr>
                <w:spacing w:val="-8"/>
                <w:sz w:val="21"/>
              </w:rPr>
              <w:t>症、败血症、中毒性休克、弥漫性血管内凝血及多器官衰竭。必须满足以下所</w:t>
            </w:r>
            <w:r>
              <w:rPr>
                <w:spacing w:val="-1"/>
                <w:sz w:val="21"/>
              </w:rPr>
              <w:t>有条件：</w:t>
            </w:r>
          </w:p>
          <w:p>
            <w:pPr>
              <w:pStyle w:val="TableParagraph"/>
              <w:spacing w:before="7"/>
              <w:ind w:left="109"/>
              <w:rPr>
                <w:sz w:val="21"/>
              </w:rPr>
            </w:pPr>
            <w:r>
              <w:rPr>
                <w:sz w:val="21"/>
              </w:rPr>
              <w:t>（1）细菌培养和临床表现符合坏死性筋膜炎诊断标准；</w:t>
            </w:r>
          </w:p>
          <w:p>
            <w:pPr>
              <w:pStyle w:val="TableParagraph"/>
              <w:spacing w:before="36"/>
              <w:ind w:left="109"/>
              <w:rPr>
                <w:sz w:val="21"/>
              </w:rPr>
            </w:pPr>
            <w:r>
              <w:rPr>
                <w:sz w:val="21"/>
              </w:rPr>
              <w:t>（2）病情迅速恶化，有脓毒血症表现；</w:t>
            </w:r>
          </w:p>
          <w:p>
            <w:pPr>
              <w:pStyle w:val="TableParagraph"/>
              <w:spacing w:before="36"/>
              <w:ind w:left="109"/>
              <w:rPr>
                <w:sz w:val="21"/>
              </w:rPr>
            </w:pPr>
            <w:r>
              <w:rPr>
                <w:spacing w:val="-1"/>
                <w:sz w:val="21"/>
              </w:rPr>
              <w:t>（3）</w:t>
            </w:r>
            <w:r>
              <w:rPr>
                <w:spacing w:val="-3"/>
                <w:sz w:val="21"/>
              </w:rPr>
              <w:t>受感染肢体被截肢（自腕关节或踝关节近端</w:t>
            </w:r>
            <w:r>
              <w:rPr>
                <w:spacing w:val="-108"/>
                <w:sz w:val="21"/>
              </w:rPr>
              <w:t>）</w:t>
            </w:r>
            <w:r>
              <w:rPr>
                <w:sz w:val="21"/>
              </w:rPr>
              <w:t>。</w:t>
            </w:r>
          </w:p>
        </w:tc>
      </w:tr>
      <w:tr>
        <w:trPr>
          <w:trHeight w:val="218"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807" w:hRule="atLeast"/>
        </w:trPr>
        <w:tc>
          <w:tcPr>
            <w:tcW w:w="850" w:type="dxa"/>
          </w:tcPr>
          <w:p>
            <w:pPr>
              <w:pStyle w:val="TableParagraph"/>
              <w:spacing w:line="257" w:lineRule="exact"/>
              <w:ind w:left="107"/>
              <w:rPr>
                <w:b/>
                <w:sz w:val="21"/>
              </w:rPr>
            </w:pPr>
            <w:r>
              <w:rPr>
                <w:b/>
                <w:sz w:val="21"/>
              </w:rPr>
              <w:t>三十六</w:t>
            </w:r>
          </w:p>
        </w:tc>
        <w:tc>
          <w:tcPr>
            <w:tcW w:w="1932" w:type="dxa"/>
          </w:tcPr>
          <w:p>
            <w:pPr>
              <w:pStyle w:val="TableParagraph"/>
              <w:spacing w:line="257" w:lineRule="exact"/>
              <w:ind w:left="107"/>
              <w:rPr>
                <w:b/>
                <w:sz w:val="21"/>
              </w:rPr>
            </w:pPr>
            <w:r>
              <w:rPr>
                <w:b/>
                <w:sz w:val="21"/>
              </w:rPr>
              <w:t>肌营养不良症</w:t>
            </w:r>
          </w:p>
        </w:tc>
        <w:tc>
          <w:tcPr>
            <w:tcW w:w="7306" w:type="dxa"/>
          </w:tcPr>
          <w:p>
            <w:pPr>
              <w:pStyle w:val="TableParagraph"/>
              <w:spacing w:line="257" w:lineRule="exact"/>
              <w:ind w:left="109"/>
              <w:rPr>
                <w:sz w:val="21"/>
              </w:rPr>
            </w:pPr>
            <w:r>
              <w:rPr>
                <w:sz w:val="21"/>
              </w:rPr>
              <w:t>指一组遗传性肌肉变性病变, 临床特征为与神经系统无关的骨骼肌肉对称地</w:t>
            </w:r>
          </w:p>
          <w:p>
            <w:pPr>
              <w:pStyle w:val="TableParagraph"/>
              <w:spacing w:before="37"/>
              <w:ind w:left="109"/>
              <w:rPr>
                <w:sz w:val="21"/>
              </w:rPr>
            </w:pPr>
            <w:r>
              <w:rPr>
                <w:sz w:val="21"/>
              </w:rPr>
              <w:t>进行性无力和萎缩。其诊断需满足下列全部条件：</w:t>
            </w:r>
          </w:p>
          <w:p>
            <w:pPr>
              <w:pStyle w:val="TableParagraph"/>
              <w:spacing w:before="37"/>
              <w:ind w:left="109"/>
              <w:rPr>
                <w:sz w:val="21"/>
              </w:rPr>
            </w:pPr>
            <w:r>
              <w:rPr>
                <w:sz w:val="21"/>
              </w:rPr>
              <w:t>（1）肌电图显示典型肌营养不良症的阳性改变；</w:t>
            </w:r>
          </w:p>
          <w:p>
            <w:pPr>
              <w:pStyle w:val="TableParagraph"/>
              <w:spacing w:line="273" w:lineRule="auto" w:before="37"/>
              <w:ind w:left="635" w:right="30" w:hanging="526"/>
              <w:rPr>
                <w:sz w:val="21"/>
              </w:rPr>
            </w:pPr>
            <w:r>
              <w:rPr>
                <w:sz w:val="21"/>
              </w:rPr>
              <w:t>（2）肌肉活检的病理学诊断符合肌营养不良症的肌肉细胞变性\坏死等阳性改变；</w:t>
            </w:r>
          </w:p>
          <w:p>
            <w:pPr>
              <w:pStyle w:val="TableParagraph"/>
              <w:spacing w:line="273" w:lineRule="auto" w:before="8"/>
              <w:ind w:left="635" w:right="137" w:hanging="526"/>
              <w:rPr>
                <w:sz w:val="21"/>
              </w:rPr>
            </w:pPr>
            <w:r>
              <w:rPr>
                <w:sz w:val="21"/>
              </w:rPr>
              <w:t>（3）已导致被保险人持续超过三个月无法独立完成</w:t>
            </w:r>
            <w:r>
              <w:rPr>
                <w:b/>
                <w:sz w:val="21"/>
              </w:rPr>
              <w:t>六项基本日常生活活动</w:t>
            </w:r>
            <w:r>
              <w:rPr>
                <w:sz w:val="21"/>
              </w:rPr>
              <w:t>中的三项获三项以上。</w:t>
            </w:r>
          </w:p>
          <w:p>
            <w:pPr>
              <w:pStyle w:val="TableParagraph"/>
              <w:spacing w:line="273" w:lineRule="auto" w:before="8"/>
              <w:ind w:left="109" w:right="18"/>
              <w:rPr>
                <w:b/>
                <w:sz w:val="21"/>
              </w:rPr>
            </w:pPr>
            <w:r>
              <w:rPr>
                <w:b/>
                <w:sz w:val="21"/>
              </w:rPr>
              <w:t>本项疾病责任不受本附加合同责任免除中“遗传性疾病，先天性畸形、变形或染色体异常”的限制。</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937" w:hRule="atLeast"/>
        </w:trPr>
        <w:tc>
          <w:tcPr>
            <w:tcW w:w="850" w:type="dxa"/>
          </w:tcPr>
          <w:p>
            <w:pPr>
              <w:pStyle w:val="TableParagraph"/>
              <w:spacing w:line="259" w:lineRule="exact"/>
              <w:ind w:left="107"/>
              <w:rPr>
                <w:b/>
                <w:sz w:val="21"/>
              </w:rPr>
            </w:pPr>
            <w:r>
              <w:rPr>
                <w:b/>
                <w:sz w:val="21"/>
              </w:rPr>
              <w:t>三十七</w:t>
            </w:r>
          </w:p>
        </w:tc>
        <w:tc>
          <w:tcPr>
            <w:tcW w:w="1932" w:type="dxa"/>
          </w:tcPr>
          <w:p>
            <w:pPr>
              <w:pStyle w:val="TableParagraph"/>
              <w:spacing w:line="259" w:lineRule="exact"/>
              <w:ind w:left="107"/>
              <w:rPr>
                <w:b/>
                <w:sz w:val="21"/>
              </w:rPr>
            </w:pPr>
            <w:r>
              <w:rPr>
                <w:b/>
                <w:sz w:val="21"/>
              </w:rPr>
              <w:t>严重克隆病</w:t>
            </w:r>
          </w:p>
        </w:tc>
        <w:tc>
          <w:tcPr>
            <w:tcW w:w="7306" w:type="dxa"/>
          </w:tcPr>
          <w:p>
            <w:pPr>
              <w:pStyle w:val="TableParagraph"/>
              <w:spacing w:line="259" w:lineRule="exact"/>
              <w:ind w:left="109"/>
              <w:rPr>
                <w:sz w:val="21"/>
              </w:rPr>
            </w:pPr>
            <w:r>
              <w:rPr>
                <w:sz w:val="21"/>
              </w:rPr>
              <w:t>克隆病是一种慢性肉芽肿性肠炎，具有特征性的克隆病病理组织学变化。诊断</w:t>
            </w:r>
          </w:p>
          <w:p>
            <w:pPr>
              <w:pStyle w:val="TableParagraph"/>
              <w:spacing w:line="273" w:lineRule="auto" w:before="37"/>
              <w:ind w:left="109" w:right="93"/>
              <w:rPr>
                <w:sz w:val="21"/>
              </w:rPr>
            </w:pPr>
            <w:r>
              <w:rPr>
                <w:spacing w:val="-7"/>
                <w:sz w:val="21"/>
              </w:rPr>
              <w:t>必须由病理检查结果证实。被保险人所患的克隆病必须已经造成瘘管形成并伴</w:t>
            </w:r>
            <w:r>
              <w:rPr>
                <w:spacing w:val="-3"/>
                <w:sz w:val="21"/>
              </w:rPr>
              <w:t>有肠梗阻或肠穿孔。</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871" w:hRule="atLeast"/>
        </w:trPr>
        <w:tc>
          <w:tcPr>
            <w:tcW w:w="850" w:type="dxa"/>
          </w:tcPr>
          <w:p>
            <w:pPr>
              <w:pStyle w:val="TableParagraph"/>
              <w:spacing w:line="257" w:lineRule="exact"/>
              <w:ind w:left="107"/>
              <w:rPr>
                <w:b/>
                <w:sz w:val="21"/>
              </w:rPr>
            </w:pPr>
            <w:r>
              <w:rPr>
                <w:b/>
                <w:sz w:val="21"/>
              </w:rPr>
              <w:t>三十八</w:t>
            </w:r>
          </w:p>
        </w:tc>
        <w:tc>
          <w:tcPr>
            <w:tcW w:w="1932" w:type="dxa"/>
          </w:tcPr>
          <w:p>
            <w:pPr>
              <w:pStyle w:val="TableParagraph"/>
              <w:spacing w:line="257" w:lineRule="exact"/>
              <w:ind w:left="107"/>
              <w:rPr>
                <w:b/>
                <w:sz w:val="21"/>
              </w:rPr>
            </w:pPr>
            <w:r>
              <w:rPr>
                <w:b/>
                <w:sz w:val="21"/>
              </w:rPr>
              <w:t>严重哮喘</w:t>
            </w:r>
          </w:p>
        </w:tc>
        <w:tc>
          <w:tcPr>
            <w:tcW w:w="7306" w:type="dxa"/>
          </w:tcPr>
          <w:p>
            <w:pPr>
              <w:pStyle w:val="TableParagraph"/>
              <w:spacing w:line="257" w:lineRule="exact"/>
              <w:ind w:left="109"/>
              <w:rPr>
                <w:sz w:val="21"/>
              </w:rPr>
            </w:pPr>
            <w:r>
              <w:rPr>
                <w:sz w:val="21"/>
              </w:rPr>
              <w:t>被保险人必须在过去两年内曾发生哮喘持续状态，并满足以下标准中的两项或</w:t>
            </w:r>
          </w:p>
          <w:p>
            <w:pPr>
              <w:pStyle w:val="TableParagraph"/>
              <w:spacing w:before="37"/>
              <w:ind w:left="109"/>
              <w:rPr>
                <w:sz w:val="21"/>
              </w:rPr>
            </w:pPr>
            <w:r>
              <w:rPr>
                <w:sz w:val="21"/>
              </w:rPr>
              <w:t>两项以上标准：</w:t>
            </w:r>
          </w:p>
          <w:p>
            <w:pPr>
              <w:pStyle w:val="TableParagraph"/>
              <w:spacing w:before="37"/>
              <w:ind w:left="109"/>
              <w:rPr>
                <w:sz w:val="21"/>
              </w:rPr>
            </w:pPr>
            <w:r>
              <w:rPr>
                <w:sz w:val="21"/>
              </w:rPr>
              <w:t>（1）运动耐受力永久并持续地减少并且轻微的运动能引起气促；</w:t>
            </w:r>
          </w:p>
          <w:p>
            <w:pPr>
              <w:pStyle w:val="TableParagraph"/>
              <w:spacing w:before="37"/>
              <w:ind w:left="109"/>
              <w:rPr>
                <w:sz w:val="21"/>
              </w:rPr>
            </w:pPr>
            <w:r>
              <w:rPr>
                <w:sz w:val="21"/>
              </w:rPr>
              <w:t>（2）长期胸腔过渡膨胀而导致胸腔畸形；</w:t>
            </w:r>
          </w:p>
          <w:p>
            <w:pPr>
              <w:pStyle w:val="TableParagraph"/>
              <w:spacing w:before="37"/>
              <w:ind w:left="109"/>
              <w:rPr>
                <w:sz w:val="21"/>
              </w:rPr>
            </w:pPr>
            <w:r>
              <w:rPr>
                <w:sz w:val="21"/>
              </w:rPr>
              <w:t>（3）在家及在静息状态下需要吸氧；</w:t>
            </w:r>
          </w:p>
          <w:p>
            <w:pPr>
              <w:pStyle w:val="TableParagraph"/>
              <w:spacing w:before="37"/>
              <w:ind w:left="109"/>
              <w:rPr>
                <w:sz w:val="21"/>
              </w:rPr>
            </w:pPr>
            <w:r>
              <w:rPr>
                <w:sz w:val="21"/>
              </w:rPr>
              <w:t>（4）</w:t>
            </w:r>
            <w:r>
              <w:rPr>
                <w:spacing w:val="-3"/>
                <w:sz w:val="21"/>
              </w:rPr>
              <w:t>持续的每天服用类固醇药物</w:t>
            </w:r>
            <w:r>
              <w:rPr>
                <w:sz w:val="21"/>
              </w:rPr>
              <w:t>（</w:t>
            </w:r>
            <w:r>
              <w:rPr>
                <w:spacing w:val="-11"/>
                <w:sz w:val="21"/>
              </w:rPr>
              <w:t>至少持续 </w:t>
            </w:r>
            <w:r>
              <w:rPr>
                <w:sz w:val="21"/>
              </w:rPr>
              <w:t>6</w:t>
            </w:r>
            <w:r>
              <w:rPr>
                <w:spacing w:val="-10"/>
                <w:sz w:val="21"/>
              </w:rPr>
              <w:t> 个月以上</w:t>
            </w:r>
            <w:r>
              <w:rPr>
                <w:spacing w:val="-108"/>
                <w:sz w:val="21"/>
              </w:rPr>
              <w:t>）</w:t>
            </w:r>
            <w:r>
              <w:rPr>
                <w:sz w:val="21"/>
              </w:rPr>
              <w:t>。</w:t>
            </w:r>
          </w:p>
        </w:tc>
      </w:tr>
      <w:tr>
        <w:trPr>
          <w:trHeight w:val="218"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三十九</w:t>
            </w:r>
          </w:p>
        </w:tc>
        <w:tc>
          <w:tcPr>
            <w:tcW w:w="1932" w:type="dxa"/>
          </w:tcPr>
          <w:p>
            <w:pPr>
              <w:pStyle w:val="TableParagraph"/>
              <w:spacing w:line="257" w:lineRule="exact"/>
              <w:ind w:left="107"/>
              <w:rPr>
                <w:b/>
                <w:sz w:val="21"/>
              </w:rPr>
            </w:pPr>
            <w:r>
              <w:rPr>
                <w:b/>
                <w:sz w:val="21"/>
              </w:rPr>
              <w:t>严重溃疡性结肠炎</w:t>
            </w:r>
          </w:p>
        </w:tc>
        <w:tc>
          <w:tcPr>
            <w:tcW w:w="7306" w:type="dxa"/>
          </w:tcPr>
          <w:p>
            <w:pPr>
              <w:pStyle w:val="TableParagraph"/>
              <w:spacing w:line="257" w:lineRule="exact"/>
              <w:ind w:left="109"/>
              <w:rPr>
                <w:sz w:val="21"/>
              </w:rPr>
            </w:pPr>
            <w:r>
              <w:rPr>
                <w:sz w:val="21"/>
              </w:rPr>
              <w:t>指伴有致命性电解质紊乱的急性暴发性溃疡性结肠炎，病变累及全结肠，表现</w:t>
            </w:r>
          </w:p>
          <w:p>
            <w:pPr>
              <w:pStyle w:val="TableParagraph"/>
              <w:spacing w:line="273" w:lineRule="auto" w:before="37"/>
              <w:ind w:left="109" w:right="91"/>
              <w:jc w:val="both"/>
              <w:rPr>
                <w:sz w:val="21"/>
              </w:rPr>
            </w:pPr>
            <w:r>
              <w:rPr>
                <w:spacing w:val="-6"/>
                <w:sz w:val="21"/>
              </w:rPr>
              <w:t>为严重的血便和系统性症状体征，治疗通常采取全结肠切除和回肠造瘘术。溃</w:t>
            </w:r>
            <w:r>
              <w:rPr>
                <w:spacing w:val="-7"/>
                <w:sz w:val="21"/>
              </w:rPr>
              <w:t>疡性结肠炎必须根据组织病理学特点诊断，并且被保险人已经接受了结肠切除</w:t>
            </w:r>
            <w:r>
              <w:rPr>
                <w:spacing w:val="-2"/>
                <w:sz w:val="21"/>
              </w:rPr>
              <w:t>和回肠造瘘术。</w:t>
            </w:r>
          </w:p>
        </w:tc>
      </w:tr>
      <w:tr>
        <w:trPr>
          <w:trHeight w:val="218"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183" w:hRule="atLeast"/>
        </w:trPr>
        <w:tc>
          <w:tcPr>
            <w:tcW w:w="850" w:type="dxa"/>
          </w:tcPr>
          <w:p>
            <w:pPr>
              <w:pStyle w:val="TableParagraph"/>
              <w:spacing w:line="257" w:lineRule="exact"/>
              <w:ind w:left="107"/>
              <w:rPr>
                <w:b/>
                <w:sz w:val="21"/>
              </w:rPr>
            </w:pPr>
            <w:r>
              <w:rPr>
                <w:b/>
                <w:sz w:val="21"/>
              </w:rPr>
              <w:t>四十</w:t>
            </w:r>
          </w:p>
        </w:tc>
        <w:tc>
          <w:tcPr>
            <w:tcW w:w="1932" w:type="dxa"/>
          </w:tcPr>
          <w:p>
            <w:pPr>
              <w:pStyle w:val="TableParagraph"/>
              <w:spacing w:line="257" w:lineRule="exact"/>
              <w:ind w:left="107"/>
              <w:rPr>
                <w:b/>
                <w:sz w:val="21"/>
              </w:rPr>
            </w:pPr>
            <w:r>
              <w:rPr>
                <w:b/>
                <w:sz w:val="21"/>
              </w:rPr>
              <w:t>原发性硬化性胆管</w:t>
            </w:r>
          </w:p>
          <w:p>
            <w:pPr>
              <w:pStyle w:val="TableParagraph"/>
              <w:spacing w:before="37"/>
              <w:ind w:left="107"/>
              <w:rPr>
                <w:b/>
                <w:sz w:val="21"/>
              </w:rPr>
            </w:pPr>
            <w:r>
              <w:rPr>
                <w:b/>
                <w:w w:val="100"/>
                <w:sz w:val="21"/>
              </w:rPr>
              <w:t>炎</w:t>
            </w:r>
          </w:p>
        </w:tc>
        <w:tc>
          <w:tcPr>
            <w:tcW w:w="7306" w:type="dxa"/>
          </w:tcPr>
          <w:p>
            <w:pPr>
              <w:pStyle w:val="TableParagraph"/>
              <w:spacing w:line="257" w:lineRule="exact"/>
              <w:ind w:left="109"/>
              <w:rPr>
                <w:sz w:val="21"/>
              </w:rPr>
            </w:pPr>
            <w:r>
              <w:rPr>
                <w:sz w:val="21"/>
              </w:rPr>
              <w:t>指一种胆汁淤积综合征，其特征是肝内、肝外胆道因纤维化性炎症逐渐狭窄，</w:t>
            </w:r>
          </w:p>
          <w:p>
            <w:pPr>
              <w:pStyle w:val="TableParagraph"/>
              <w:spacing w:line="273" w:lineRule="auto" w:before="37"/>
              <w:ind w:left="109" w:right="44"/>
              <w:rPr>
                <w:sz w:val="21"/>
              </w:rPr>
            </w:pPr>
            <w:r>
              <w:rPr>
                <w:sz w:val="21"/>
              </w:rPr>
              <w:t>并最终导致完全阻塞而发展为肝硬化。本病须经内镜逆行胰胆管造影等影像学检查证实，并须满足下列全部条件：</w:t>
            </w:r>
          </w:p>
          <w:p>
            <w:pPr>
              <w:pStyle w:val="TableParagraph"/>
              <w:spacing w:before="7"/>
              <w:ind w:left="109"/>
              <w:rPr>
                <w:sz w:val="21"/>
              </w:rPr>
            </w:pPr>
            <w:r>
              <w:rPr>
                <w:sz w:val="21"/>
              </w:rPr>
              <w:t>（1）总胆红素和直接胆红素同时升高，血清 ALP&gt;200U/L；</w:t>
            </w:r>
          </w:p>
          <w:p>
            <w:pPr>
              <w:pStyle w:val="TableParagraph"/>
              <w:spacing w:before="36"/>
              <w:ind w:left="110"/>
              <w:rPr>
                <w:sz w:val="21"/>
              </w:rPr>
            </w:pPr>
            <w:r>
              <w:rPr>
                <w:sz w:val="21"/>
              </w:rPr>
              <w:t>（2）持续性黄疸病史；</w:t>
            </w:r>
          </w:p>
          <w:p>
            <w:pPr>
              <w:pStyle w:val="TableParagraph"/>
              <w:spacing w:before="36"/>
              <w:ind w:left="110"/>
              <w:rPr>
                <w:sz w:val="21"/>
              </w:rPr>
            </w:pPr>
            <w:r>
              <w:rPr>
                <w:sz w:val="21"/>
              </w:rPr>
              <w:t>（3）出现胆汁性肝硬化或门脉高压。</w:t>
            </w:r>
          </w:p>
          <w:p>
            <w:pPr>
              <w:pStyle w:val="TableParagraph"/>
              <w:spacing w:before="36"/>
              <w:ind w:left="109"/>
              <w:rPr>
                <w:b/>
                <w:sz w:val="21"/>
              </w:rPr>
            </w:pPr>
            <w:r>
              <w:rPr>
                <w:b/>
                <w:sz w:val="21"/>
              </w:rPr>
              <w:t>因肿瘤或胆管损伤等继发性的硬化性胆管炎不在保障范围内。</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313" w:hRule="atLeast"/>
        </w:trPr>
        <w:tc>
          <w:tcPr>
            <w:tcW w:w="850" w:type="dxa"/>
          </w:tcPr>
          <w:p>
            <w:pPr>
              <w:pStyle w:val="TableParagraph"/>
              <w:spacing w:line="259" w:lineRule="exact"/>
              <w:ind w:left="107"/>
              <w:rPr>
                <w:b/>
                <w:sz w:val="21"/>
              </w:rPr>
            </w:pPr>
            <w:r>
              <w:rPr>
                <w:b/>
                <w:sz w:val="21"/>
              </w:rPr>
              <w:t>四十一</w:t>
            </w:r>
          </w:p>
        </w:tc>
        <w:tc>
          <w:tcPr>
            <w:tcW w:w="1932" w:type="dxa"/>
          </w:tcPr>
          <w:p>
            <w:pPr>
              <w:pStyle w:val="TableParagraph"/>
              <w:spacing w:line="259" w:lineRule="exact"/>
              <w:ind w:left="107"/>
              <w:rPr>
                <w:b/>
                <w:sz w:val="21"/>
              </w:rPr>
            </w:pPr>
            <w:r>
              <w:rPr>
                <w:b/>
                <w:sz w:val="21"/>
              </w:rPr>
              <w:t>急性坏死性胰腺炎</w:t>
            </w:r>
          </w:p>
        </w:tc>
        <w:tc>
          <w:tcPr>
            <w:tcW w:w="7306" w:type="dxa"/>
          </w:tcPr>
          <w:p>
            <w:pPr>
              <w:pStyle w:val="TableParagraph"/>
              <w:spacing w:line="259" w:lineRule="exact"/>
              <w:ind w:left="109"/>
              <w:rPr>
                <w:sz w:val="21"/>
              </w:rPr>
            </w:pPr>
            <w:r>
              <w:rPr>
                <w:sz w:val="21"/>
              </w:rPr>
              <w:t>指由专科医生确诊为急性出血坏死性胰腺炎，并已经接受了外科手术治疗，以</w:t>
            </w:r>
          </w:p>
        </w:tc>
      </w:tr>
    </w:tbl>
    <w:p>
      <w:pPr>
        <w:spacing w:after="0" w:line="259" w:lineRule="exact"/>
        <w:rPr>
          <w:sz w:val="21"/>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2"/>
        <w:gridCol w:w="7306"/>
      </w:tblGrid>
      <w:tr>
        <w:trPr>
          <w:trHeight w:val="625" w:hRule="atLeast"/>
        </w:trPr>
        <w:tc>
          <w:tcPr>
            <w:tcW w:w="850" w:type="dxa"/>
          </w:tcPr>
          <w:p>
            <w:pPr>
              <w:pStyle w:val="TableParagraph"/>
              <w:rPr>
                <w:rFonts w:ascii="Times New Roman"/>
                <w:sz w:val="20"/>
              </w:rPr>
            </w:pPr>
          </w:p>
        </w:tc>
        <w:tc>
          <w:tcPr>
            <w:tcW w:w="1932" w:type="dxa"/>
          </w:tcPr>
          <w:p>
            <w:pPr>
              <w:pStyle w:val="TableParagraph"/>
              <w:rPr>
                <w:rFonts w:ascii="Times New Roman"/>
                <w:sz w:val="20"/>
              </w:rPr>
            </w:pPr>
          </w:p>
        </w:tc>
        <w:tc>
          <w:tcPr>
            <w:tcW w:w="7306" w:type="dxa"/>
          </w:tcPr>
          <w:p>
            <w:pPr>
              <w:pStyle w:val="TableParagraph"/>
              <w:spacing w:line="259" w:lineRule="exact"/>
              <w:ind w:left="109"/>
              <w:rPr>
                <w:sz w:val="21"/>
              </w:rPr>
            </w:pPr>
            <w:r>
              <w:rPr>
                <w:sz w:val="21"/>
              </w:rPr>
              <w:t>进行坏死组织清除、坏死病灶切除或胰腺切除。</w:t>
            </w:r>
          </w:p>
          <w:p>
            <w:pPr>
              <w:pStyle w:val="TableParagraph"/>
              <w:spacing w:before="37"/>
              <w:ind w:left="109"/>
              <w:rPr>
                <w:b/>
                <w:sz w:val="21"/>
              </w:rPr>
            </w:pPr>
            <w:r>
              <w:rPr>
                <w:b/>
                <w:sz w:val="21"/>
              </w:rPr>
              <w:t>因饮酒所致的急性出血坏死性胰腺炎不在保障范围内。</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495" w:hRule="atLeast"/>
        </w:trPr>
        <w:tc>
          <w:tcPr>
            <w:tcW w:w="850" w:type="dxa"/>
          </w:tcPr>
          <w:p>
            <w:pPr>
              <w:pStyle w:val="TableParagraph"/>
              <w:spacing w:line="257" w:lineRule="exact"/>
              <w:ind w:right="96"/>
              <w:jc w:val="right"/>
              <w:rPr>
                <w:b/>
                <w:sz w:val="21"/>
              </w:rPr>
            </w:pPr>
            <w:r>
              <w:rPr>
                <w:b/>
                <w:sz w:val="21"/>
              </w:rPr>
              <w:t>四十二</w:t>
            </w:r>
          </w:p>
        </w:tc>
        <w:tc>
          <w:tcPr>
            <w:tcW w:w="1932" w:type="dxa"/>
          </w:tcPr>
          <w:p>
            <w:pPr>
              <w:pStyle w:val="TableParagraph"/>
              <w:spacing w:line="257" w:lineRule="exact"/>
              <w:ind w:left="107"/>
              <w:rPr>
                <w:b/>
                <w:sz w:val="21"/>
              </w:rPr>
            </w:pPr>
            <w:r>
              <w:rPr>
                <w:b/>
                <w:sz w:val="21"/>
              </w:rPr>
              <w:t>肝豆状核变性（或</w:t>
            </w:r>
          </w:p>
          <w:p>
            <w:pPr>
              <w:pStyle w:val="TableParagraph"/>
              <w:spacing w:before="37"/>
              <w:ind w:left="107"/>
              <w:rPr>
                <w:b/>
                <w:sz w:val="21"/>
              </w:rPr>
            </w:pPr>
            <w:r>
              <w:rPr>
                <w:b/>
                <w:sz w:val="21"/>
              </w:rPr>
              <w:t>称 Wilson 病）</w:t>
            </w:r>
          </w:p>
        </w:tc>
        <w:tc>
          <w:tcPr>
            <w:tcW w:w="7306" w:type="dxa"/>
          </w:tcPr>
          <w:p>
            <w:pPr>
              <w:pStyle w:val="TableParagraph"/>
              <w:spacing w:line="257" w:lineRule="exact"/>
              <w:ind w:left="109"/>
              <w:rPr>
                <w:sz w:val="21"/>
              </w:rPr>
            </w:pPr>
            <w:r>
              <w:rPr>
                <w:sz w:val="21"/>
              </w:rPr>
              <w:t>指一种常染色体隐性遗传的铜代谢缺陷病，以不同程度的肝细胞损害、脑退行</w:t>
            </w:r>
          </w:p>
          <w:p>
            <w:pPr>
              <w:pStyle w:val="TableParagraph"/>
              <w:spacing w:before="37"/>
              <w:ind w:left="109"/>
              <w:rPr>
                <w:sz w:val="21"/>
              </w:rPr>
            </w:pPr>
            <w:r>
              <w:rPr>
                <w:sz w:val="21"/>
              </w:rPr>
              <w:t>性病变和角膜边缘有铜盐沉着环为其临床特征，并须满足下列全部条件：</w:t>
            </w:r>
          </w:p>
          <w:p>
            <w:pPr>
              <w:pStyle w:val="TableParagraph"/>
              <w:spacing w:before="37"/>
              <w:ind w:left="109"/>
              <w:rPr>
                <w:sz w:val="21"/>
              </w:rPr>
            </w:pPr>
            <w:r>
              <w:rPr>
                <w:sz w:val="21"/>
              </w:rPr>
              <w:t>（1）典型症状；</w:t>
            </w:r>
          </w:p>
          <w:p>
            <w:pPr>
              <w:pStyle w:val="TableParagraph"/>
              <w:spacing w:before="37"/>
              <w:ind w:left="109"/>
              <w:rPr>
                <w:sz w:val="21"/>
              </w:rPr>
            </w:pPr>
            <w:r>
              <w:rPr>
                <w:sz w:val="21"/>
              </w:rPr>
              <w:t>（2）</w:t>
            </w:r>
            <w:r>
              <w:rPr>
                <w:spacing w:val="-3"/>
                <w:sz w:val="21"/>
              </w:rPr>
              <w:t>角膜色素环</w:t>
            </w:r>
            <w:r>
              <w:rPr>
                <w:sz w:val="21"/>
              </w:rPr>
              <w:t>（K-F</w:t>
            </w:r>
            <w:r>
              <w:rPr>
                <w:spacing w:val="-25"/>
                <w:sz w:val="21"/>
              </w:rPr>
              <w:t> 环</w:t>
            </w:r>
            <w:r>
              <w:rPr>
                <w:spacing w:val="-106"/>
                <w:sz w:val="21"/>
              </w:rPr>
              <w:t>）；</w:t>
            </w:r>
          </w:p>
          <w:p>
            <w:pPr>
              <w:pStyle w:val="TableParagraph"/>
              <w:spacing w:before="37"/>
              <w:ind w:left="110"/>
              <w:rPr>
                <w:sz w:val="21"/>
              </w:rPr>
            </w:pPr>
            <w:r>
              <w:rPr>
                <w:sz w:val="21"/>
              </w:rPr>
              <w:t>（3）血清铜和血清铜蓝蛋白降低，尿铜增加；</w:t>
            </w:r>
          </w:p>
          <w:p>
            <w:pPr>
              <w:pStyle w:val="TableParagraph"/>
              <w:spacing w:before="37"/>
              <w:ind w:left="110"/>
              <w:rPr>
                <w:sz w:val="21"/>
              </w:rPr>
            </w:pPr>
            <w:r>
              <w:rPr>
                <w:sz w:val="21"/>
              </w:rPr>
              <w:t>（4）经皮做肝脏活检来定量分析肝脏铜的含量。</w:t>
            </w:r>
          </w:p>
          <w:p>
            <w:pPr>
              <w:pStyle w:val="TableParagraph"/>
              <w:spacing w:line="273" w:lineRule="auto" w:before="37"/>
              <w:ind w:left="109" w:right="18"/>
              <w:rPr>
                <w:b/>
                <w:sz w:val="21"/>
              </w:rPr>
            </w:pPr>
            <w:r>
              <w:rPr>
                <w:b/>
                <w:sz w:val="21"/>
              </w:rPr>
              <w:t>本项疾病责任不受本附加合同责任免除中“遗传性疾病，先天性畸形、变形或染色体异常”的限制。</w:t>
            </w:r>
          </w:p>
        </w:tc>
      </w:tr>
      <w:tr>
        <w:trPr>
          <w:trHeight w:val="218"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3743" w:hRule="atLeast"/>
        </w:trPr>
        <w:tc>
          <w:tcPr>
            <w:tcW w:w="850" w:type="dxa"/>
          </w:tcPr>
          <w:p>
            <w:pPr>
              <w:pStyle w:val="TableParagraph"/>
              <w:spacing w:line="257" w:lineRule="exact"/>
              <w:ind w:right="96"/>
              <w:jc w:val="right"/>
              <w:rPr>
                <w:b/>
                <w:sz w:val="21"/>
              </w:rPr>
            </w:pPr>
            <w:r>
              <w:rPr>
                <w:b/>
                <w:sz w:val="21"/>
              </w:rPr>
              <w:t>四十三</w:t>
            </w:r>
          </w:p>
        </w:tc>
        <w:tc>
          <w:tcPr>
            <w:tcW w:w="1932" w:type="dxa"/>
          </w:tcPr>
          <w:p>
            <w:pPr>
              <w:pStyle w:val="TableParagraph"/>
              <w:spacing w:line="257" w:lineRule="exact"/>
              <w:ind w:left="107"/>
              <w:rPr>
                <w:b/>
                <w:sz w:val="21"/>
              </w:rPr>
            </w:pPr>
            <w:r>
              <w:rPr>
                <w:b/>
                <w:sz w:val="21"/>
              </w:rPr>
              <w:t>特发性慢性肾上腺</w:t>
            </w:r>
          </w:p>
          <w:p>
            <w:pPr>
              <w:pStyle w:val="TableParagraph"/>
              <w:spacing w:before="37"/>
              <w:ind w:left="107"/>
              <w:rPr>
                <w:b/>
                <w:sz w:val="21"/>
              </w:rPr>
            </w:pPr>
            <w:r>
              <w:rPr>
                <w:b/>
                <w:sz w:val="21"/>
              </w:rPr>
              <w:t>皮质功能减退</w:t>
            </w:r>
          </w:p>
        </w:tc>
        <w:tc>
          <w:tcPr>
            <w:tcW w:w="7306" w:type="dxa"/>
          </w:tcPr>
          <w:p>
            <w:pPr>
              <w:pStyle w:val="TableParagraph"/>
              <w:spacing w:line="257" w:lineRule="exact"/>
              <w:ind w:left="109"/>
              <w:rPr>
                <w:sz w:val="21"/>
              </w:rPr>
            </w:pPr>
            <w:r>
              <w:rPr>
                <w:sz w:val="21"/>
              </w:rPr>
              <w:t>指自身免疫性肾上腺炎（既往称：特发性肾上腺皮质萎缩）导致肾上腺萎缩和</w:t>
            </w:r>
          </w:p>
          <w:p>
            <w:pPr>
              <w:pStyle w:val="TableParagraph"/>
              <w:spacing w:before="37"/>
              <w:ind w:left="109"/>
              <w:rPr>
                <w:sz w:val="21"/>
              </w:rPr>
            </w:pPr>
            <w:r>
              <w:rPr>
                <w:sz w:val="21"/>
              </w:rPr>
              <w:t>慢性肾上腺皮质功能减退。须满足下列全部条件：</w:t>
            </w:r>
          </w:p>
          <w:p>
            <w:pPr>
              <w:pStyle w:val="TableParagraph"/>
              <w:spacing w:before="37"/>
              <w:ind w:left="109"/>
              <w:rPr>
                <w:sz w:val="21"/>
              </w:rPr>
            </w:pPr>
            <w:r>
              <w:rPr>
                <w:sz w:val="21"/>
              </w:rPr>
              <w:t>（1）  明确诊断，符合所有以下诊断标准；</w:t>
            </w:r>
          </w:p>
          <w:p>
            <w:pPr>
              <w:pStyle w:val="TableParagraph"/>
              <w:tabs>
                <w:tab w:pos="1249" w:val="left" w:leader="none"/>
              </w:tabs>
              <w:spacing w:before="37"/>
              <w:ind w:left="829"/>
              <w:rPr>
                <w:sz w:val="21"/>
              </w:rPr>
            </w:pPr>
            <w:r>
              <w:rPr>
                <w:sz w:val="21"/>
              </w:rPr>
              <w:t>①</w:t>
              <w:tab/>
            </w:r>
            <w:r>
              <w:rPr>
                <w:spacing w:val="-3"/>
                <w:sz w:val="21"/>
              </w:rPr>
              <w:t>血浆促肾上腺皮质激素</w:t>
            </w:r>
            <w:r>
              <w:rPr>
                <w:sz w:val="21"/>
              </w:rPr>
              <w:t>（ACTH)</w:t>
            </w:r>
            <w:r>
              <w:rPr>
                <w:spacing w:val="-1"/>
                <w:sz w:val="21"/>
              </w:rPr>
              <w:t>水平测定大于 </w:t>
            </w:r>
            <w:r>
              <w:rPr>
                <w:sz w:val="21"/>
              </w:rPr>
              <w:t>100pg/ml；</w:t>
            </w:r>
          </w:p>
          <w:p>
            <w:pPr>
              <w:pStyle w:val="TableParagraph"/>
              <w:tabs>
                <w:tab w:pos="1249" w:val="left" w:leader="none"/>
              </w:tabs>
              <w:spacing w:line="273" w:lineRule="auto" w:before="37"/>
              <w:ind w:left="1250" w:right="91" w:hanging="421"/>
              <w:rPr>
                <w:sz w:val="21"/>
              </w:rPr>
            </w:pPr>
            <w:r>
              <w:rPr>
                <w:sz w:val="21"/>
              </w:rPr>
              <w:t>②</w:t>
              <w:tab/>
            </w:r>
            <w:r>
              <w:rPr>
                <w:spacing w:val="-7"/>
                <w:sz w:val="21"/>
              </w:rPr>
              <w:t>血浆和尿游离皮质醇及尿 </w:t>
            </w:r>
            <w:r>
              <w:rPr>
                <w:sz w:val="21"/>
              </w:rPr>
              <w:t>17</w:t>
            </w:r>
            <w:r>
              <w:rPr>
                <w:spacing w:val="-8"/>
                <w:sz w:val="21"/>
              </w:rPr>
              <w:t> 羟皮质类固醇、</w:t>
            </w:r>
            <w:r>
              <w:rPr>
                <w:sz w:val="21"/>
              </w:rPr>
              <w:t>17</w:t>
            </w:r>
            <w:r>
              <w:rPr>
                <w:spacing w:val="-8"/>
                <w:sz w:val="21"/>
              </w:rPr>
              <w:t> 酮皮质类固醇测</w:t>
            </w:r>
            <w:r>
              <w:rPr>
                <w:spacing w:val="-10"/>
                <w:sz w:val="21"/>
              </w:rPr>
              <w:t>定、血浆肾素活性、血管紧张素 </w:t>
            </w:r>
            <w:r>
              <w:rPr>
                <w:sz w:val="21"/>
              </w:rPr>
              <w:t>II</w:t>
            </w:r>
            <w:r>
              <w:rPr>
                <w:spacing w:val="-9"/>
                <w:sz w:val="21"/>
              </w:rPr>
              <w:t> 和醛固酮测定，显示为原发性</w:t>
            </w:r>
            <w:r>
              <w:rPr>
                <w:spacing w:val="-5"/>
                <w:sz w:val="21"/>
              </w:rPr>
              <w:t>肾上腺皮质功能减退症；</w:t>
            </w:r>
          </w:p>
          <w:p>
            <w:pPr>
              <w:pStyle w:val="TableParagraph"/>
              <w:tabs>
                <w:tab w:pos="1250" w:val="left" w:leader="none"/>
              </w:tabs>
              <w:spacing w:line="273" w:lineRule="auto" w:before="7"/>
              <w:ind w:left="1250" w:right="91" w:hanging="421"/>
              <w:rPr>
                <w:sz w:val="21"/>
              </w:rPr>
            </w:pPr>
            <w:r>
              <w:rPr>
                <w:sz w:val="21"/>
              </w:rPr>
              <w:t>③</w:t>
              <w:tab/>
            </w:r>
            <w:r>
              <w:rPr>
                <w:spacing w:val="-8"/>
                <w:sz w:val="21"/>
              </w:rPr>
              <w:t>促肾上腺皮质激素</w:t>
            </w:r>
            <w:r>
              <w:rPr>
                <w:spacing w:val="-1"/>
                <w:sz w:val="21"/>
              </w:rPr>
              <w:t>（ACTH</w:t>
            </w:r>
            <w:r>
              <w:rPr>
                <w:spacing w:val="-3"/>
                <w:sz w:val="21"/>
              </w:rPr>
              <w:t>)刺激试验显示为原发性肾上腺皮质功能 </w:t>
            </w:r>
            <w:r>
              <w:rPr>
                <w:spacing w:val="-1"/>
                <w:sz w:val="21"/>
              </w:rPr>
              <w:t>减退症。</w:t>
            </w:r>
          </w:p>
          <w:p>
            <w:pPr>
              <w:pStyle w:val="TableParagraph"/>
              <w:spacing w:before="7"/>
              <w:ind w:left="110"/>
              <w:rPr>
                <w:sz w:val="21"/>
              </w:rPr>
            </w:pPr>
            <w:r>
              <w:rPr>
                <w:sz w:val="21"/>
              </w:rPr>
              <w:t>（2）已经采用皮质类固醇替代治疗 180 天以上。</w:t>
            </w:r>
          </w:p>
          <w:p>
            <w:pPr>
              <w:pStyle w:val="TableParagraph"/>
              <w:spacing w:line="273" w:lineRule="auto" w:before="37"/>
              <w:ind w:left="109" w:right="94"/>
              <w:rPr>
                <w:b/>
                <w:sz w:val="21"/>
              </w:rPr>
            </w:pPr>
            <w:r>
              <w:rPr>
                <w:b/>
                <w:spacing w:val="-2"/>
                <w:sz w:val="21"/>
              </w:rPr>
              <w:t>肾上腺结核、</w:t>
            </w:r>
            <w:r>
              <w:rPr>
                <w:b/>
                <w:sz w:val="21"/>
              </w:rPr>
              <w:t>HIV</w:t>
            </w:r>
            <w:r>
              <w:rPr>
                <w:b/>
                <w:spacing w:val="-10"/>
                <w:sz w:val="21"/>
              </w:rPr>
              <w:t> 感染或艾滋病、感染、肿瘤所致的原发性肾上腺皮质功能减</w:t>
            </w:r>
            <w:r>
              <w:rPr>
                <w:b/>
                <w:spacing w:val="-9"/>
                <w:sz w:val="21"/>
              </w:rPr>
              <w:t>退和继发性肾上腺皮质功能减退不在保障范围内。</w:t>
            </w:r>
          </w:p>
        </w:tc>
      </w:tr>
      <w:tr>
        <w:trPr>
          <w:trHeight w:val="218"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623" w:hRule="atLeast"/>
        </w:trPr>
        <w:tc>
          <w:tcPr>
            <w:tcW w:w="850" w:type="dxa"/>
          </w:tcPr>
          <w:p>
            <w:pPr>
              <w:pStyle w:val="TableParagraph"/>
              <w:spacing w:line="257" w:lineRule="exact"/>
              <w:ind w:right="96"/>
              <w:jc w:val="right"/>
              <w:rPr>
                <w:b/>
                <w:sz w:val="21"/>
              </w:rPr>
            </w:pPr>
            <w:r>
              <w:rPr>
                <w:b/>
                <w:sz w:val="21"/>
              </w:rPr>
              <w:t>四十四</w:t>
            </w:r>
          </w:p>
        </w:tc>
        <w:tc>
          <w:tcPr>
            <w:tcW w:w="1932" w:type="dxa"/>
          </w:tcPr>
          <w:p>
            <w:pPr>
              <w:pStyle w:val="TableParagraph"/>
              <w:spacing w:line="257" w:lineRule="exact"/>
              <w:ind w:left="107"/>
              <w:rPr>
                <w:b/>
                <w:sz w:val="21"/>
              </w:rPr>
            </w:pPr>
            <w:r>
              <w:rPr>
                <w:b/>
                <w:sz w:val="21"/>
              </w:rPr>
              <w:t>侵蚀性葡萄胎（或</w:t>
            </w:r>
          </w:p>
          <w:p>
            <w:pPr>
              <w:pStyle w:val="TableParagraph"/>
              <w:spacing w:before="37"/>
              <w:ind w:left="107"/>
              <w:rPr>
                <w:b/>
                <w:sz w:val="21"/>
              </w:rPr>
            </w:pPr>
            <w:r>
              <w:rPr>
                <w:b/>
                <w:sz w:val="21"/>
              </w:rPr>
              <w:t>称恶性葡萄胎）</w:t>
            </w:r>
          </w:p>
        </w:tc>
        <w:tc>
          <w:tcPr>
            <w:tcW w:w="7306" w:type="dxa"/>
          </w:tcPr>
          <w:p>
            <w:pPr>
              <w:pStyle w:val="TableParagraph"/>
              <w:spacing w:line="257" w:lineRule="exact"/>
              <w:ind w:left="109"/>
              <w:rPr>
                <w:sz w:val="21"/>
              </w:rPr>
            </w:pPr>
            <w:r>
              <w:rPr>
                <w:sz w:val="21"/>
              </w:rPr>
              <w:t>该类疾病是指异常增生的绒毛组织浸润性生长侵入子宫肌层或转移至其他器</w:t>
            </w:r>
          </w:p>
          <w:p>
            <w:pPr>
              <w:pStyle w:val="TableParagraph"/>
              <w:spacing w:before="37"/>
              <w:ind w:left="109"/>
              <w:rPr>
                <w:sz w:val="21"/>
              </w:rPr>
            </w:pPr>
            <w:r>
              <w:rPr>
                <w:sz w:val="21"/>
              </w:rPr>
              <w:t>官或组织的葡萄胎，并已经进行化疗或手术治疗的。</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874" w:hRule="atLeast"/>
        </w:trPr>
        <w:tc>
          <w:tcPr>
            <w:tcW w:w="850" w:type="dxa"/>
          </w:tcPr>
          <w:p>
            <w:pPr>
              <w:pStyle w:val="TableParagraph"/>
              <w:spacing w:line="259" w:lineRule="exact"/>
              <w:ind w:right="96"/>
              <w:jc w:val="right"/>
              <w:rPr>
                <w:b/>
                <w:sz w:val="21"/>
              </w:rPr>
            </w:pPr>
            <w:r>
              <w:rPr>
                <w:b/>
                <w:sz w:val="21"/>
              </w:rPr>
              <w:t>四十五</w:t>
            </w:r>
          </w:p>
        </w:tc>
        <w:tc>
          <w:tcPr>
            <w:tcW w:w="1932" w:type="dxa"/>
          </w:tcPr>
          <w:p>
            <w:pPr>
              <w:pStyle w:val="TableParagraph"/>
              <w:spacing w:line="259" w:lineRule="exact"/>
              <w:ind w:left="107"/>
              <w:rPr>
                <w:b/>
                <w:sz w:val="21"/>
              </w:rPr>
            </w:pPr>
            <w:r>
              <w:rPr>
                <w:b/>
                <w:sz w:val="21"/>
              </w:rPr>
              <w:t>非阿尔茨海默病所</w:t>
            </w:r>
          </w:p>
          <w:p>
            <w:pPr>
              <w:pStyle w:val="TableParagraph"/>
              <w:spacing w:before="37"/>
              <w:ind w:left="107"/>
              <w:rPr>
                <w:b/>
                <w:sz w:val="21"/>
              </w:rPr>
            </w:pPr>
            <w:r>
              <w:rPr>
                <w:b/>
                <w:sz w:val="21"/>
              </w:rPr>
              <w:t>致严重痴呆</w:t>
            </w:r>
          </w:p>
        </w:tc>
        <w:tc>
          <w:tcPr>
            <w:tcW w:w="7306" w:type="dxa"/>
          </w:tcPr>
          <w:p>
            <w:pPr>
              <w:pStyle w:val="TableParagraph"/>
              <w:spacing w:line="259" w:lineRule="exact"/>
              <w:ind w:left="109"/>
              <w:rPr>
                <w:sz w:val="21"/>
              </w:rPr>
            </w:pPr>
            <w:r>
              <w:rPr>
                <w:sz w:val="21"/>
              </w:rPr>
              <w:t>指因阿尔茨海默病以外的脑的器质性疾病造成脑功能衰竭导致</w:t>
            </w:r>
            <w:r>
              <w:rPr>
                <w:b/>
                <w:sz w:val="21"/>
              </w:rPr>
              <w:t>永久不可逆</w:t>
            </w:r>
            <w:r>
              <w:rPr>
                <w:sz w:val="21"/>
              </w:rPr>
              <w:t>性</w:t>
            </w:r>
          </w:p>
          <w:p>
            <w:pPr>
              <w:pStyle w:val="TableParagraph"/>
              <w:spacing w:line="273" w:lineRule="auto" w:before="37"/>
              <w:ind w:left="109" w:right="-29"/>
              <w:rPr>
                <w:sz w:val="21"/>
              </w:rPr>
            </w:pPr>
            <w:r>
              <w:rPr>
                <w:spacing w:val="-7"/>
                <w:sz w:val="21"/>
              </w:rPr>
              <w:t>的严重痴呆，临床表现为明显的认知能力障碍、行为异常和社交能力减退。被</w:t>
            </w:r>
            <w:r>
              <w:rPr>
                <w:spacing w:val="-9"/>
                <w:sz w:val="21"/>
              </w:rPr>
              <w:t>保险人自主生活能力完全丧失，无法独立完成</w:t>
            </w:r>
            <w:r>
              <w:rPr>
                <w:b/>
                <w:sz w:val="21"/>
              </w:rPr>
              <w:t>六项基本日常生活活动</w:t>
            </w:r>
            <w:r>
              <w:rPr>
                <w:spacing w:val="-3"/>
                <w:sz w:val="21"/>
              </w:rPr>
              <w:t>中的三项</w:t>
            </w:r>
            <w:r>
              <w:rPr>
                <w:spacing w:val="-14"/>
                <w:sz w:val="21"/>
              </w:rPr>
              <w:t>或三项以上，日常生活必须持续受到他人监护。导致痴呆的疾病必须明确诊断， </w:t>
            </w:r>
            <w:r>
              <w:rPr>
                <w:spacing w:val="-7"/>
                <w:sz w:val="21"/>
              </w:rPr>
              <w:t>并且有完整的临床、实验室和影像学检查结果证实。</w:t>
            </w:r>
          </w:p>
          <w:p>
            <w:pPr>
              <w:pStyle w:val="TableParagraph"/>
              <w:spacing w:before="7"/>
              <w:ind w:left="109"/>
              <w:rPr>
                <w:b/>
                <w:sz w:val="21"/>
              </w:rPr>
            </w:pPr>
            <w:r>
              <w:rPr>
                <w:b/>
                <w:sz w:val="21"/>
              </w:rPr>
              <w:t>神经官能症，精神疾病及酒精中毒所致脑损害不在保障范围内。</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3746" w:hRule="atLeast"/>
        </w:trPr>
        <w:tc>
          <w:tcPr>
            <w:tcW w:w="850" w:type="dxa"/>
          </w:tcPr>
          <w:p>
            <w:pPr>
              <w:pStyle w:val="TableParagraph"/>
              <w:spacing w:line="257" w:lineRule="exact"/>
              <w:ind w:right="96"/>
              <w:jc w:val="right"/>
              <w:rPr>
                <w:b/>
                <w:sz w:val="21"/>
              </w:rPr>
            </w:pPr>
            <w:r>
              <w:rPr>
                <w:b/>
                <w:sz w:val="21"/>
              </w:rPr>
              <w:t>四十六</w:t>
            </w:r>
          </w:p>
        </w:tc>
        <w:tc>
          <w:tcPr>
            <w:tcW w:w="1932" w:type="dxa"/>
          </w:tcPr>
          <w:p>
            <w:pPr>
              <w:pStyle w:val="TableParagraph"/>
              <w:spacing w:line="257" w:lineRule="exact"/>
              <w:ind w:left="107"/>
              <w:rPr>
                <w:b/>
                <w:sz w:val="21"/>
              </w:rPr>
            </w:pPr>
            <w:r>
              <w:rPr>
                <w:b/>
                <w:sz w:val="21"/>
              </w:rPr>
              <w:t>严重类风湿性关节</w:t>
            </w:r>
          </w:p>
          <w:p>
            <w:pPr>
              <w:pStyle w:val="TableParagraph"/>
              <w:spacing w:before="37"/>
              <w:ind w:left="107"/>
              <w:rPr>
                <w:b/>
                <w:sz w:val="21"/>
              </w:rPr>
            </w:pPr>
            <w:r>
              <w:rPr>
                <w:b/>
                <w:w w:val="100"/>
                <w:sz w:val="21"/>
              </w:rPr>
              <w:t>炎</w:t>
            </w:r>
          </w:p>
        </w:tc>
        <w:tc>
          <w:tcPr>
            <w:tcW w:w="7306" w:type="dxa"/>
          </w:tcPr>
          <w:p>
            <w:pPr>
              <w:pStyle w:val="TableParagraph"/>
              <w:spacing w:line="257" w:lineRule="exact"/>
              <w:ind w:left="109"/>
              <w:rPr>
                <w:sz w:val="21"/>
              </w:rPr>
            </w:pPr>
            <w:r>
              <w:rPr>
                <w:sz w:val="21"/>
              </w:rPr>
              <w:t>指广泛分布的慢性进行性多关节病变，表现为关节严重变形，侵犯至少三个主</w:t>
            </w:r>
          </w:p>
          <w:p>
            <w:pPr>
              <w:pStyle w:val="TableParagraph"/>
              <w:spacing w:line="273" w:lineRule="auto" w:before="37"/>
              <w:ind w:left="109" w:right="91"/>
              <w:rPr>
                <w:sz w:val="21"/>
              </w:rPr>
            </w:pPr>
            <w:r>
              <w:rPr>
                <w:spacing w:val="-4"/>
                <w:sz w:val="21"/>
              </w:rPr>
              <w:t>要关节</w:t>
            </w:r>
            <w:r>
              <w:rPr>
                <w:sz w:val="21"/>
              </w:rPr>
              <w:t>（</w:t>
            </w:r>
            <w:r>
              <w:rPr>
                <w:spacing w:val="-8"/>
                <w:sz w:val="21"/>
              </w:rPr>
              <w:t>腕关节、肘关节、肩关节、踝关节、膝关节、髋关节</w:t>
            </w:r>
            <w:r>
              <w:rPr>
                <w:spacing w:val="-10"/>
                <w:sz w:val="21"/>
              </w:rPr>
              <w:t>）</w:t>
            </w:r>
            <w:r>
              <w:rPr>
                <w:spacing w:val="-4"/>
                <w:sz w:val="21"/>
              </w:rPr>
              <w:t>或关节组</w:t>
            </w:r>
            <w:r>
              <w:rPr>
                <w:spacing w:val="-3"/>
                <w:sz w:val="21"/>
              </w:rPr>
              <w:t>（</w:t>
            </w:r>
            <w:r>
              <w:rPr>
                <w:sz w:val="21"/>
              </w:rPr>
              <w:t>如</w:t>
            </w:r>
            <w:r>
              <w:rPr>
                <w:spacing w:val="-3"/>
                <w:sz w:val="21"/>
              </w:rPr>
              <w:t>手的多个指间、掌指关节，足的多个足趾、跖趾关节等</w:t>
            </w:r>
            <w:r>
              <w:rPr>
                <w:spacing w:val="-108"/>
                <w:sz w:val="21"/>
              </w:rPr>
              <w:t>）</w:t>
            </w:r>
            <w:r>
              <w:rPr>
                <w:spacing w:val="-3"/>
                <w:sz w:val="21"/>
              </w:rPr>
              <w:t>。类风湿性关节炎须明确诊断，并已达到类风湿性关节炎功能活动分级</w:t>
            </w:r>
            <w:r>
              <w:rPr>
                <w:sz w:val="21"/>
              </w:rPr>
              <w:t>（注）IV</w:t>
            </w:r>
            <w:r>
              <w:rPr>
                <w:spacing w:val="-17"/>
                <w:sz w:val="21"/>
              </w:rPr>
              <w:t> 级的</w:t>
            </w:r>
            <w:r>
              <w:rPr>
                <w:b/>
                <w:sz w:val="21"/>
              </w:rPr>
              <w:t>永久不可逆</w:t>
            </w:r>
            <w:r>
              <w:rPr>
                <w:spacing w:val="-3"/>
                <w:sz w:val="21"/>
              </w:rPr>
              <w:t>性关节功能障碍，且须满足下列全部条件：</w:t>
            </w:r>
          </w:p>
          <w:p>
            <w:pPr>
              <w:pStyle w:val="TableParagraph"/>
              <w:spacing w:before="7"/>
              <w:ind w:left="109"/>
              <w:rPr>
                <w:sz w:val="21"/>
              </w:rPr>
            </w:pPr>
            <w:r>
              <w:rPr>
                <w:sz w:val="21"/>
              </w:rPr>
              <w:t>（1）晨僵；</w:t>
            </w:r>
          </w:p>
          <w:p>
            <w:pPr>
              <w:pStyle w:val="TableParagraph"/>
              <w:spacing w:before="36"/>
              <w:ind w:left="109"/>
              <w:rPr>
                <w:sz w:val="21"/>
              </w:rPr>
            </w:pPr>
            <w:r>
              <w:rPr>
                <w:sz w:val="21"/>
              </w:rPr>
              <w:t>（2）对称性关节炎；</w:t>
            </w:r>
          </w:p>
          <w:p>
            <w:pPr>
              <w:pStyle w:val="TableParagraph"/>
              <w:spacing w:before="36"/>
              <w:ind w:left="109"/>
              <w:rPr>
                <w:sz w:val="21"/>
              </w:rPr>
            </w:pPr>
            <w:r>
              <w:rPr>
                <w:sz w:val="21"/>
              </w:rPr>
              <w:t>（3）类风湿性皮下结节；</w:t>
            </w:r>
          </w:p>
          <w:p>
            <w:pPr>
              <w:pStyle w:val="TableParagraph"/>
              <w:spacing w:before="36"/>
              <w:ind w:left="109"/>
              <w:rPr>
                <w:sz w:val="21"/>
              </w:rPr>
            </w:pPr>
            <w:r>
              <w:rPr>
                <w:sz w:val="21"/>
              </w:rPr>
              <w:t>（4）类风湿因子滴度升高；</w:t>
            </w:r>
          </w:p>
          <w:p>
            <w:pPr>
              <w:pStyle w:val="TableParagraph"/>
              <w:spacing w:line="273" w:lineRule="auto" w:before="36"/>
              <w:ind w:left="109" w:right="1813"/>
              <w:rPr>
                <w:sz w:val="21"/>
              </w:rPr>
            </w:pPr>
            <w:r>
              <w:rPr>
                <w:sz w:val="21"/>
              </w:rPr>
              <w:t>（5）X 线显示严重的关节（软骨和骨）破坏和关节畸形。注：类风湿性关节炎功能活动分级：</w:t>
            </w:r>
          </w:p>
          <w:p>
            <w:pPr>
              <w:pStyle w:val="TableParagraph"/>
              <w:spacing w:before="7"/>
              <w:ind w:left="109"/>
              <w:rPr>
                <w:sz w:val="21"/>
              </w:rPr>
            </w:pPr>
            <w:r>
              <w:rPr>
                <w:sz w:val="21"/>
              </w:rPr>
              <w:t>Ⅰ级：关节功能完整，一般活动无障碍。</w:t>
            </w:r>
          </w:p>
        </w:tc>
      </w:tr>
    </w:tbl>
    <w:p>
      <w:pPr>
        <w:spacing w:after="0"/>
        <w:rPr>
          <w:sz w:val="21"/>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2"/>
        <w:gridCol w:w="7306"/>
      </w:tblGrid>
      <w:tr>
        <w:trPr>
          <w:trHeight w:val="937" w:hRule="atLeast"/>
        </w:trPr>
        <w:tc>
          <w:tcPr>
            <w:tcW w:w="850" w:type="dxa"/>
          </w:tcPr>
          <w:p>
            <w:pPr>
              <w:pStyle w:val="TableParagraph"/>
              <w:rPr>
                <w:rFonts w:ascii="Times New Roman"/>
                <w:sz w:val="20"/>
              </w:rPr>
            </w:pPr>
          </w:p>
        </w:tc>
        <w:tc>
          <w:tcPr>
            <w:tcW w:w="1932" w:type="dxa"/>
          </w:tcPr>
          <w:p>
            <w:pPr>
              <w:pStyle w:val="TableParagraph"/>
              <w:rPr>
                <w:rFonts w:ascii="Times New Roman"/>
                <w:sz w:val="20"/>
              </w:rPr>
            </w:pPr>
          </w:p>
        </w:tc>
        <w:tc>
          <w:tcPr>
            <w:tcW w:w="7306" w:type="dxa"/>
          </w:tcPr>
          <w:p>
            <w:pPr>
              <w:pStyle w:val="TableParagraph"/>
              <w:spacing w:line="259" w:lineRule="exact"/>
              <w:ind w:left="109"/>
              <w:rPr>
                <w:sz w:val="21"/>
              </w:rPr>
            </w:pPr>
            <w:r>
              <w:rPr>
                <w:sz w:val="21"/>
              </w:rPr>
              <w:t>Ⅱ级：有关节不适或障碍，但尚能完成一半活动。</w:t>
            </w:r>
          </w:p>
          <w:p>
            <w:pPr>
              <w:pStyle w:val="TableParagraph"/>
              <w:spacing w:before="37"/>
              <w:ind w:left="109"/>
              <w:rPr>
                <w:sz w:val="21"/>
              </w:rPr>
            </w:pPr>
            <w:r>
              <w:rPr>
                <w:sz w:val="21"/>
              </w:rPr>
              <w:t>Ⅲ级：功能活动明显受限，但大部分生活可自理。</w:t>
            </w:r>
          </w:p>
          <w:p>
            <w:pPr>
              <w:pStyle w:val="TableParagraph"/>
              <w:spacing w:before="37"/>
              <w:ind w:left="109"/>
              <w:rPr>
                <w:sz w:val="21"/>
              </w:rPr>
            </w:pPr>
            <w:r>
              <w:rPr>
                <w:sz w:val="21"/>
              </w:rPr>
              <w:t>Ⅳ级：生活不能自理或卧床。</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935" w:hRule="atLeast"/>
        </w:trPr>
        <w:tc>
          <w:tcPr>
            <w:tcW w:w="850" w:type="dxa"/>
          </w:tcPr>
          <w:p>
            <w:pPr>
              <w:pStyle w:val="TableParagraph"/>
              <w:spacing w:line="257" w:lineRule="exact"/>
              <w:ind w:left="107"/>
              <w:rPr>
                <w:b/>
                <w:sz w:val="21"/>
              </w:rPr>
            </w:pPr>
            <w:r>
              <w:rPr>
                <w:b/>
                <w:sz w:val="21"/>
              </w:rPr>
              <w:t>四十七</w:t>
            </w:r>
          </w:p>
        </w:tc>
        <w:tc>
          <w:tcPr>
            <w:tcW w:w="1932" w:type="dxa"/>
          </w:tcPr>
          <w:p>
            <w:pPr>
              <w:pStyle w:val="TableParagraph"/>
              <w:spacing w:line="257" w:lineRule="exact"/>
              <w:ind w:left="107"/>
              <w:rPr>
                <w:b/>
                <w:sz w:val="21"/>
              </w:rPr>
            </w:pPr>
            <w:r>
              <w:rPr>
                <w:b/>
                <w:sz w:val="21"/>
              </w:rPr>
              <w:t>胰腺移植</w:t>
            </w:r>
          </w:p>
        </w:tc>
        <w:tc>
          <w:tcPr>
            <w:tcW w:w="7306" w:type="dxa"/>
          </w:tcPr>
          <w:p>
            <w:pPr>
              <w:pStyle w:val="TableParagraph"/>
              <w:spacing w:line="257" w:lineRule="exact"/>
              <w:ind w:left="109"/>
              <w:rPr>
                <w:sz w:val="21"/>
              </w:rPr>
            </w:pPr>
            <w:r>
              <w:rPr>
                <w:sz w:val="21"/>
              </w:rPr>
              <w:t>指因胰腺功能衰竭，已经实施了在全身麻醉下进行的胰腺的异体器官移植手</w:t>
            </w:r>
          </w:p>
          <w:p>
            <w:pPr>
              <w:pStyle w:val="TableParagraph"/>
              <w:spacing w:before="37"/>
              <w:ind w:left="109"/>
              <w:rPr>
                <w:sz w:val="21"/>
              </w:rPr>
            </w:pPr>
            <w:r>
              <w:rPr>
                <w:sz w:val="21"/>
              </w:rPr>
              <w:t>术。</w:t>
            </w:r>
          </w:p>
          <w:p>
            <w:pPr>
              <w:pStyle w:val="TableParagraph"/>
              <w:spacing w:before="37"/>
              <w:ind w:left="109"/>
              <w:rPr>
                <w:b/>
                <w:sz w:val="21"/>
              </w:rPr>
            </w:pPr>
            <w:r>
              <w:rPr>
                <w:b/>
                <w:sz w:val="21"/>
              </w:rPr>
              <w:t>单纯胰岛移植、部分胰腺组织或细胞的移植不在保障范围内。</w:t>
            </w:r>
          </w:p>
        </w:tc>
      </w:tr>
      <w:tr>
        <w:trPr>
          <w:trHeight w:val="217"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935" w:hRule="atLeast"/>
        </w:trPr>
        <w:tc>
          <w:tcPr>
            <w:tcW w:w="850" w:type="dxa"/>
          </w:tcPr>
          <w:p>
            <w:pPr>
              <w:pStyle w:val="TableParagraph"/>
              <w:spacing w:line="257" w:lineRule="exact"/>
              <w:ind w:left="107"/>
              <w:rPr>
                <w:b/>
                <w:sz w:val="21"/>
              </w:rPr>
            </w:pPr>
            <w:r>
              <w:rPr>
                <w:b/>
                <w:sz w:val="21"/>
              </w:rPr>
              <w:t>四十八</w:t>
            </w:r>
          </w:p>
        </w:tc>
        <w:tc>
          <w:tcPr>
            <w:tcW w:w="1932" w:type="dxa"/>
          </w:tcPr>
          <w:p>
            <w:pPr>
              <w:pStyle w:val="TableParagraph"/>
              <w:spacing w:line="257" w:lineRule="exact"/>
              <w:ind w:left="107"/>
              <w:rPr>
                <w:b/>
                <w:sz w:val="21"/>
              </w:rPr>
            </w:pPr>
            <w:r>
              <w:rPr>
                <w:b/>
                <w:sz w:val="21"/>
              </w:rPr>
              <w:t>埃博拉病毒感染</w:t>
            </w:r>
          </w:p>
        </w:tc>
        <w:tc>
          <w:tcPr>
            <w:tcW w:w="7306" w:type="dxa"/>
          </w:tcPr>
          <w:p>
            <w:pPr>
              <w:pStyle w:val="TableParagraph"/>
              <w:spacing w:line="257" w:lineRule="exact"/>
              <w:ind w:left="109"/>
              <w:rPr>
                <w:sz w:val="21"/>
              </w:rPr>
            </w:pPr>
            <w:r>
              <w:rPr>
                <w:sz w:val="21"/>
              </w:rPr>
              <w:t>指埃博拉病毒感染导致的烈性传染病，并须满足下列全部条件：</w:t>
            </w:r>
          </w:p>
          <w:p>
            <w:pPr>
              <w:pStyle w:val="TableParagraph"/>
              <w:spacing w:before="37"/>
              <w:ind w:left="109"/>
              <w:rPr>
                <w:sz w:val="21"/>
              </w:rPr>
            </w:pPr>
            <w:r>
              <w:rPr>
                <w:sz w:val="21"/>
              </w:rPr>
              <w:t>（1）实验室检查证实埃博拉病毒的存在；</w:t>
            </w:r>
          </w:p>
          <w:p>
            <w:pPr>
              <w:pStyle w:val="TableParagraph"/>
              <w:spacing w:before="37"/>
              <w:ind w:left="109"/>
              <w:rPr>
                <w:sz w:val="21"/>
              </w:rPr>
            </w:pPr>
            <w:r>
              <w:rPr>
                <w:sz w:val="21"/>
              </w:rPr>
              <w:t>（2）从发病开始有超过 30 天的进行性感染症状。</w:t>
            </w:r>
          </w:p>
        </w:tc>
      </w:tr>
      <w:tr>
        <w:trPr>
          <w:trHeight w:val="217"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四十九</w:t>
            </w:r>
          </w:p>
        </w:tc>
        <w:tc>
          <w:tcPr>
            <w:tcW w:w="1932" w:type="dxa"/>
          </w:tcPr>
          <w:p>
            <w:pPr>
              <w:pStyle w:val="TableParagraph"/>
              <w:spacing w:line="257" w:lineRule="exact"/>
              <w:ind w:left="107"/>
              <w:rPr>
                <w:b/>
                <w:sz w:val="21"/>
              </w:rPr>
            </w:pPr>
            <w:r>
              <w:rPr>
                <w:b/>
                <w:sz w:val="21"/>
              </w:rPr>
              <w:t>破裂脑动脉瘤夹闭</w:t>
            </w:r>
          </w:p>
          <w:p>
            <w:pPr>
              <w:pStyle w:val="TableParagraph"/>
              <w:spacing w:before="37"/>
              <w:ind w:left="107"/>
              <w:rPr>
                <w:b/>
                <w:sz w:val="21"/>
              </w:rPr>
            </w:pPr>
            <w:r>
              <w:rPr>
                <w:b/>
                <w:sz w:val="21"/>
              </w:rPr>
              <w:t>手术</w:t>
            </w:r>
          </w:p>
        </w:tc>
        <w:tc>
          <w:tcPr>
            <w:tcW w:w="7306" w:type="dxa"/>
          </w:tcPr>
          <w:p>
            <w:pPr>
              <w:pStyle w:val="TableParagraph"/>
              <w:spacing w:line="257" w:lineRule="exact"/>
              <w:ind w:left="109"/>
              <w:rPr>
                <w:sz w:val="21"/>
              </w:rPr>
            </w:pPr>
            <w:r>
              <w:rPr>
                <w:sz w:val="21"/>
              </w:rPr>
              <w:t>指因脑动脉瘤破裂造成蛛网膜下腔出血，被保险人实际接受了在全麻下进行的</w:t>
            </w:r>
          </w:p>
          <w:p>
            <w:pPr>
              <w:pStyle w:val="TableParagraph"/>
              <w:spacing w:before="37"/>
              <w:ind w:left="109"/>
              <w:rPr>
                <w:sz w:val="21"/>
              </w:rPr>
            </w:pPr>
            <w:r>
              <w:rPr>
                <w:sz w:val="21"/>
              </w:rPr>
              <w:t>开颅动脉瘤夹闭手术。</w:t>
            </w:r>
          </w:p>
          <w:p>
            <w:pPr>
              <w:pStyle w:val="TableParagraph"/>
              <w:spacing w:line="273" w:lineRule="auto" w:before="37"/>
              <w:ind w:left="109" w:right="94"/>
              <w:rPr>
                <w:b/>
                <w:sz w:val="21"/>
              </w:rPr>
            </w:pPr>
            <w:r>
              <w:rPr>
                <w:b/>
                <w:spacing w:val="-4"/>
                <w:sz w:val="21"/>
              </w:rPr>
              <w:t>脑动脉瘤</w:t>
            </w:r>
            <w:r>
              <w:rPr>
                <w:b/>
                <w:sz w:val="21"/>
              </w:rPr>
              <w:t>（</w:t>
            </w:r>
            <w:r>
              <w:rPr>
                <w:b/>
                <w:spacing w:val="-2"/>
                <w:sz w:val="21"/>
              </w:rPr>
              <w:t>未破裂</w:t>
            </w:r>
            <w:r>
              <w:rPr>
                <w:b/>
                <w:spacing w:val="-15"/>
                <w:sz w:val="21"/>
              </w:rPr>
              <w:t>）</w:t>
            </w:r>
            <w:r>
              <w:rPr>
                <w:b/>
                <w:spacing w:val="-7"/>
                <w:sz w:val="21"/>
              </w:rPr>
              <w:t>预防性手术、颅骨打孔手术、动脉瘤栓塞手术、血管内手术及其他颅脑手术不在保障范围内。</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937" w:hRule="atLeast"/>
        </w:trPr>
        <w:tc>
          <w:tcPr>
            <w:tcW w:w="850" w:type="dxa"/>
          </w:tcPr>
          <w:p>
            <w:pPr>
              <w:pStyle w:val="TableParagraph"/>
              <w:spacing w:line="259" w:lineRule="exact"/>
              <w:ind w:left="107"/>
              <w:rPr>
                <w:b/>
                <w:sz w:val="21"/>
              </w:rPr>
            </w:pPr>
            <w:r>
              <w:rPr>
                <w:b/>
                <w:sz w:val="21"/>
              </w:rPr>
              <w:t>五十</w:t>
            </w:r>
          </w:p>
        </w:tc>
        <w:tc>
          <w:tcPr>
            <w:tcW w:w="1932" w:type="dxa"/>
          </w:tcPr>
          <w:p>
            <w:pPr>
              <w:pStyle w:val="TableParagraph"/>
              <w:spacing w:line="259" w:lineRule="exact"/>
              <w:ind w:left="107"/>
              <w:rPr>
                <w:b/>
                <w:sz w:val="21"/>
              </w:rPr>
            </w:pPr>
            <w:r>
              <w:rPr>
                <w:b/>
                <w:sz w:val="21"/>
              </w:rPr>
              <w:t>丝虫病所致象皮肿</w:t>
            </w:r>
          </w:p>
        </w:tc>
        <w:tc>
          <w:tcPr>
            <w:tcW w:w="7306" w:type="dxa"/>
          </w:tcPr>
          <w:p>
            <w:pPr>
              <w:pStyle w:val="TableParagraph"/>
              <w:spacing w:line="259" w:lineRule="exact"/>
              <w:ind w:left="109"/>
              <w:rPr>
                <w:sz w:val="21"/>
              </w:rPr>
            </w:pPr>
            <w:r>
              <w:rPr>
                <w:sz w:val="21"/>
              </w:rPr>
              <w:t>指末期丝虫病，按国际淋巴学会分级为三度淋巴液肿，其临床表现为肢体非凹</w:t>
            </w:r>
          </w:p>
          <w:p>
            <w:pPr>
              <w:pStyle w:val="TableParagraph"/>
              <w:spacing w:line="273" w:lineRule="auto" w:before="37"/>
              <w:ind w:left="109" w:right="91"/>
              <w:rPr>
                <w:sz w:val="21"/>
              </w:rPr>
            </w:pPr>
            <w:r>
              <w:rPr>
                <w:spacing w:val="-8"/>
                <w:sz w:val="21"/>
              </w:rPr>
              <w:t>陷性水肿伴畸形增大、硬皮症和疣状增生。此病症须经专科医生根据临床表现</w:t>
            </w:r>
            <w:r>
              <w:rPr>
                <w:spacing w:val="-5"/>
                <w:sz w:val="21"/>
              </w:rPr>
              <w:t>和微丝蚴的化验结果确诊。</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五十一</w:t>
            </w:r>
          </w:p>
        </w:tc>
        <w:tc>
          <w:tcPr>
            <w:tcW w:w="1932" w:type="dxa"/>
          </w:tcPr>
          <w:p>
            <w:pPr>
              <w:pStyle w:val="TableParagraph"/>
              <w:spacing w:line="257" w:lineRule="exact"/>
              <w:ind w:left="107"/>
              <w:rPr>
                <w:b/>
                <w:sz w:val="21"/>
              </w:rPr>
            </w:pPr>
            <w:r>
              <w:rPr>
                <w:b/>
                <w:sz w:val="21"/>
              </w:rPr>
              <w:t>嗜铬细胞瘤</w:t>
            </w:r>
          </w:p>
        </w:tc>
        <w:tc>
          <w:tcPr>
            <w:tcW w:w="7306" w:type="dxa"/>
          </w:tcPr>
          <w:p>
            <w:pPr>
              <w:pStyle w:val="TableParagraph"/>
              <w:spacing w:line="272" w:lineRule="exact"/>
              <w:ind w:left="109"/>
              <w:rPr>
                <w:sz w:val="21"/>
              </w:rPr>
            </w:pPr>
            <w:r>
              <w:rPr>
                <w:sz w:val="21"/>
              </w:rPr>
              <w:t>是指肾上腺或嗜铬外组织出现神经内分泌肿瘤，并分</w:t>
            </w:r>
            <w:r>
              <w:rPr>
                <w:rFonts w:ascii="Times New Roman" w:eastAsia="Times New Roman"/>
                <w:w w:val="110"/>
                <w:sz w:val="21"/>
              </w:rPr>
              <w:t>泌</w:t>
            </w:r>
            <w:r>
              <w:rPr>
                <w:sz w:val="21"/>
              </w:rPr>
              <w:t>过多的儿茶酚胺类，需</w:t>
            </w:r>
          </w:p>
          <w:p>
            <w:pPr>
              <w:pStyle w:val="TableParagraph"/>
              <w:spacing w:before="21"/>
              <w:ind w:left="109"/>
              <w:rPr>
                <w:sz w:val="21"/>
              </w:rPr>
            </w:pPr>
            <w:r>
              <w:rPr>
                <w:sz w:val="21"/>
              </w:rPr>
              <w:t>要确实进</w:t>
            </w:r>
            <w:r>
              <w:rPr>
                <w:rFonts w:ascii="Times New Roman" w:eastAsia="Times New Roman"/>
                <w:w w:val="110"/>
                <w:sz w:val="21"/>
              </w:rPr>
              <w:t>行</w:t>
            </w:r>
            <w:r>
              <w:rPr>
                <w:sz w:val="21"/>
              </w:rPr>
              <w:t>手术以切除肿瘤。嗜铬细胞瘤的诊断必须由内分泌专科医生确定。</w:t>
            </w:r>
          </w:p>
        </w:tc>
      </w:tr>
      <w:tr>
        <w:trPr>
          <w:trHeight w:val="217"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807" w:hRule="atLeast"/>
        </w:trPr>
        <w:tc>
          <w:tcPr>
            <w:tcW w:w="850" w:type="dxa"/>
          </w:tcPr>
          <w:p>
            <w:pPr>
              <w:pStyle w:val="TableParagraph"/>
              <w:spacing w:line="257" w:lineRule="exact"/>
              <w:ind w:left="107"/>
              <w:rPr>
                <w:b/>
                <w:sz w:val="21"/>
              </w:rPr>
            </w:pPr>
            <w:r>
              <w:rPr>
                <w:b/>
                <w:sz w:val="21"/>
              </w:rPr>
              <w:t>五十二</w:t>
            </w:r>
          </w:p>
        </w:tc>
        <w:tc>
          <w:tcPr>
            <w:tcW w:w="1932" w:type="dxa"/>
          </w:tcPr>
          <w:p>
            <w:pPr>
              <w:pStyle w:val="TableParagraph"/>
              <w:spacing w:line="257" w:lineRule="exact"/>
              <w:ind w:left="107"/>
              <w:rPr>
                <w:b/>
                <w:sz w:val="21"/>
              </w:rPr>
            </w:pPr>
            <w:r>
              <w:rPr>
                <w:b/>
                <w:sz w:val="21"/>
              </w:rPr>
              <w:t>系统性硬化病（硬</w:t>
            </w:r>
          </w:p>
          <w:p>
            <w:pPr>
              <w:pStyle w:val="TableParagraph"/>
              <w:spacing w:before="37"/>
              <w:ind w:left="107"/>
              <w:rPr>
                <w:b/>
                <w:sz w:val="21"/>
              </w:rPr>
            </w:pPr>
            <w:r>
              <w:rPr>
                <w:b/>
                <w:sz w:val="21"/>
              </w:rPr>
              <w:t>皮病）</w:t>
            </w:r>
          </w:p>
        </w:tc>
        <w:tc>
          <w:tcPr>
            <w:tcW w:w="7306" w:type="dxa"/>
          </w:tcPr>
          <w:p>
            <w:pPr>
              <w:pStyle w:val="TableParagraph"/>
              <w:spacing w:line="257" w:lineRule="exact"/>
              <w:ind w:left="109"/>
              <w:rPr>
                <w:sz w:val="21"/>
              </w:rPr>
            </w:pPr>
            <w:r>
              <w:rPr>
                <w:sz w:val="21"/>
              </w:rPr>
              <w:t>指一种以局限性或弥漫性皮肤增厚和皮肤\血管\内脏器官异常纤维化为特征</w:t>
            </w:r>
          </w:p>
          <w:p>
            <w:pPr>
              <w:pStyle w:val="TableParagraph"/>
              <w:spacing w:line="273" w:lineRule="auto" w:before="37"/>
              <w:ind w:left="109" w:right="144"/>
              <w:rPr>
                <w:sz w:val="21"/>
              </w:rPr>
            </w:pPr>
            <w:r>
              <w:rPr>
                <w:sz w:val="21"/>
              </w:rPr>
              <w:t>的结缔组织病。本病须经专科医师明确诊断,并须满足下列至少一项为条件： 肺脏：肺部病变进而发展为肺间质纤维化和肺动脉高压；</w:t>
            </w:r>
          </w:p>
          <w:p>
            <w:pPr>
              <w:pStyle w:val="TableParagraph"/>
              <w:spacing w:line="273" w:lineRule="auto" w:before="7"/>
              <w:ind w:left="109" w:right="1193"/>
              <w:rPr>
                <w:sz w:val="21"/>
              </w:rPr>
            </w:pPr>
            <w:r>
              <w:rPr>
                <w:spacing w:val="-5"/>
                <w:sz w:val="21"/>
              </w:rPr>
              <w:t>心脏：心功能受酸达到美国纽约心脏学会心功能状态分级 </w:t>
            </w:r>
            <w:r>
              <w:rPr>
                <w:sz w:val="21"/>
              </w:rPr>
              <w:t>IV</w:t>
            </w:r>
            <w:r>
              <w:rPr>
                <w:spacing w:val="-14"/>
                <w:sz w:val="21"/>
              </w:rPr>
              <w:t> 级； </w:t>
            </w:r>
            <w:r>
              <w:rPr>
                <w:spacing w:val="-7"/>
                <w:sz w:val="21"/>
              </w:rPr>
              <w:t>肾脏：肾脏受酸导致双肾功能慢性不可逆衰竭,达到尿毒症期。 </w:t>
            </w:r>
            <w:r>
              <w:rPr>
                <w:spacing w:val="-5"/>
                <w:sz w:val="21"/>
              </w:rPr>
              <w:t>下列疾病不在本险种保障范围内：</w:t>
            </w:r>
          </w:p>
          <w:p>
            <w:pPr>
              <w:pStyle w:val="TableParagraph"/>
              <w:spacing w:before="7"/>
              <w:ind w:left="109"/>
              <w:rPr>
                <w:sz w:val="21"/>
              </w:rPr>
            </w:pPr>
            <w:r>
              <w:rPr>
                <w:sz w:val="21"/>
              </w:rPr>
              <w:t>（1）局部性硬皮病（如:带状硬皮病\硬斑病)；</w:t>
            </w:r>
          </w:p>
          <w:p>
            <w:pPr>
              <w:pStyle w:val="TableParagraph"/>
              <w:spacing w:before="37"/>
              <w:ind w:left="109"/>
              <w:rPr>
                <w:sz w:val="21"/>
              </w:rPr>
            </w:pPr>
            <w:r>
              <w:rPr>
                <w:sz w:val="21"/>
              </w:rPr>
              <w:t>（2）嗜酸性粒细胞性筋膜炎；</w:t>
            </w:r>
          </w:p>
          <w:p>
            <w:pPr>
              <w:pStyle w:val="TableParagraph"/>
              <w:spacing w:before="37"/>
              <w:ind w:left="109"/>
              <w:rPr>
                <w:sz w:val="21"/>
              </w:rPr>
            </w:pPr>
            <w:r>
              <w:rPr>
                <w:sz w:val="21"/>
              </w:rPr>
              <w:t>（3）CREST 综合征。</w:t>
            </w:r>
          </w:p>
        </w:tc>
      </w:tr>
      <w:tr>
        <w:trPr>
          <w:trHeight w:val="217"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183" w:hRule="atLeast"/>
        </w:trPr>
        <w:tc>
          <w:tcPr>
            <w:tcW w:w="850" w:type="dxa"/>
          </w:tcPr>
          <w:p>
            <w:pPr>
              <w:pStyle w:val="TableParagraph"/>
              <w:spacing w:line="257" w:lineRule="exact"/>
              <w:ind w:left="107"/>
              <w:rPr>
                <w:b/>
                <w:sz w:val="21"/>
              </w:rPr>
            </w:pPr>
            <w:r>
              <w:rPr>
                <w:b/>
                <w:sz w:val="21"/>
              </w:rPr>
              <w:t>五十三</w:t>
            </w:r>
          </w:p>
        </w:tc>
        <w:tc>
          <w:tcPr>
            <w:tcW w:w="1932" w:type="dxa"/>
          </w:tcPr>
          <w:p>
            <w:pPr>
              <w:pStyle w:val="TableParagraph"/>
              <w:spacing w:line="257" w:lineRule="exact"/>
              <w:ind w:left="107"/>
              <w:rPr>
                <w:b/>
                <w:sz w:val="21"/>
              </w:rPr>
            </w:pPr>
            <w:r>
              <w:rPr>
                <w:b/>
                <w:sz w:val="21"/>
              </w:rPr>
              <w:t>疯牛病</w:t>
            </w:r>
          </w:p>
        </w:tc>
        <w:tc>
          <w:tcPr>
            <w:tcW w:w="7306" w:type="dxa"/>
          </w:tcPr>
          <w:p>
            <w:pPr>
              <w:pStyle w:val="TableParagraph"/>
              <w:spacing w:line="257" w:lineRule="exact"/>
              <w:ind w:left="109"/>
              <w:rPr>
                <w:sz w:val="21"/>
              </w:rPr>
            </w:pPr>
            <w:r>
              <w:rPr>
                <w:sz w:val="21"/>
              </w:rPr>
              <w:t>神经系统疾病及致命的成胶质状脑病，并有以下症状：</w:t>
            </w:r>
          </w:p>
          <w:p>
            <w:pPr>
              <w:pStyle w:val="TableParagraph"/>
              <w:spacing w:before="37"/>
              <w:ind w:left="109"/>
              <w:rPr>
                <w:sz w:val="21"/>
              </w:rPr>
            </w:pPr>
            <w:r>
              <w:rPr>
                <w:sz w:val="21"/>
              </w:rPr>
              <w:t>（1）不能控制的肌肉痉挛及震颤；</w:t>
            </w:r>
          </w:p>
          <w:p>
            <w:pPr>
              <w:pStyle w:val="TableParagraph"/>
              <w:spacing w:before="37"/>
              <w:ind w:left="109"/>
              <w:rPr>
                <w:sz w:val="21"/>
              </w:rPr>
            </w:pPr>
            <w:r>
              <w:rPr>
                <w:sz w:val="21"/>
              </w:rPr>
              <w:t>（2）逐渐痴呆；</w:t>
            </w:r>
          </w:p>
          <w:p>
            <w:pPr>
              <w:pStyle w:val="TableParagraph"/>
              <w:spacing w:before="37"/>
              <w:ind w:left="109"/>
              <w:rPr>
                <w:sz w:val="21"/>
              </w:rPr>
            </w:pPr>
            <w:r>
              <w:rPr>
                <w:sz w:val="21"/>
              </w:rPr>
              <w:t>（3）小脑功能不良，共济失调；</w:t>
            </w:r>
          </w:p>
          <w:p>
            <w:pPr>
              <w:pStyle w:val="TableParagraph"/>
              <w:spacing w:before="37"/>
              <w:ind w:left="109"/>
              <w:rPr>
                <w:sz w:val="21"/>
              </w:rPr>
            </w:pPr>
            <w:r>
              <w:rPr>
                <w:sz w:val="21"/>
              </w:rPr>
              <w:t>（4）手足徐动症；</w:t>
            </w:r>
          </w:p>
          <w:p>
            <w:pPr>
              <w:pStyle w:val="TableParagraph"/>
              <w:spacing w:line="273" w:lineRule="auto" w:before="37"/>
              <w:ind w:left="109" w:right="91"/>
              <w:rPr>
                <w:sz w:val="21"/>
              </w:rPr>
            </w:pPr>
            <w:r>
              <w:rPr>
                <w:spacing w:val="-6"/>
                <w:sz w:val="21"/>
              </w:rPr>
              <w:t>诊断必须由神经科专科医生基于以下检查报告作出：脑电图、脑脊液报告、电</w:t>
            </w:r>
            <w:r>
              <w:rPr>
                <w:spacing w:val="-4"/>
                <w:w w:val="100"/>
                <w:sz w:val="21"/>
              </w:rPr>
              <w:t>脑断层扫描</w:t>
            </w:r>
            <w:r>
              <w:rPr>
                <w:w w:val="100"/>
                <w:sz w:val="21"/>
              </w:rPr>
              <w:t>（C</w:t>
            </w:r>
            <w:r>
              <w:rPr>
                <w:spacing w:val="-3"/>
                <w:w w:val="100"/>
                <w:sz w:val="21"/>
              </w:rPr>
              <w:t>T</w:t>
            </w:r>
            <w:r>
              <w:rPr>
                <w:w w:val="100"/>
                <w:sz w:val="21"/>
              </w:rPr>
              <w:t>）</w:t>
            </w:r>
            <w:r>
              <w:rPr>
                <w:spacing w:val="-3"/>
                <w:w w:val="100"/>
                <w:sz w:val="21"/>
              </w:rPr>
              <w:t>及核磁共振（</w:t>
            </w:r>
            <w:r>
              <w:rPr>
                <w:w w:val="100"/>
                <w:sz w:val="21"/>
              </w:rPr>
              <w:t>MRI</w:t>
            </w:r>
            <w:r>
              <w:rPr>
                <w:spacing w:val="-108"/>
                <w:w w:val="100"/>
                <w:sz w:val="21"/>
              </w:rPr>
              <w:t>）。</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250" w:hRule="atLeast"/>
        </w:trPr>
        <w:tc>
          <w:tcPr>
            <w:tcW w:w="850" w:type="dxa"/>
          </w:tcPr>
          <w:p>
            <w:pPr>
              <w:pStyle w:val="TableParagraph"/>
              <w:spacing w:line="259" w:lineRule="exact"/>
              <w:ind w:left="107"/>
              <w:rPr>
                <w:b/>
                <w:sz w:val="21"/>
              </w:rPr>
            </w:pPr>
            <w:r>
              <w:rPr>
                <w:b/>
                <w:sz w:val="21"/>
              </w:rPr>
              <w:t>五十四</w:t>
            </w:r>
          </w:p>
        </w:tc>
        <w:tc>
          <w:tcPr>
            <w:tcW w:w="1932" w:type="dxa"/>
          </w:tcPr>
          <w:p>
            <w:pPr>
              <w:pStyle w:val="TableParagraph"/>
              <w:spacing w:line="259" w:lineRule="exact"/>
              <w:ind w:left="107"/>
              <w:rPr>
                <w:b/>
                <w:sz w:val="21"/>
              </w:rPr>
            </w:pPr>
            <w:r>
              <w:rPr>
                <w:b/>
                <w:sz w:val="21"/>
              </w:rPr>
              <w:t>严重幼年型类风湿</w:t>
            </w:r>
          </w:p>
          <w:p>
            <w:pPr>
              <w:pStyle w:val="TableParagraph"/>
              <w:spacing w:before="37"/>
              <w:ind w:left="107"/>
              <w:rPr>
                <w:b/>
                <w:sz w:val="21"/>
              </w:rPr>
            </w:pPr>
            <w:r>
              <w:rPr>
                <w:b/>
                <w:sz w:val="21"/>
              </w:rPr>
              <w:t>性关节炎</w:t>
            </w:r>
          </w:p>
        </w:tc>
        <w:tc>
          <w:tcPr>
            <w:tcW w:w="7306" w:type="dxa"/>
          </w:tcPr>
          <w:p>
            <w:pPr>
              <w:pStyle w:val="TableParagraph"/>
              <w:spacing w:line="259" w:lineRule="exact"/>
              <w:ind w:left="109"/>
              <w:rPr>
                <w:sz w:val="21"/>
              </w:rPr>
            </w:pPr>
            <w:r>
              <w:rPr>
                <w:sz w:val="21"/>
              </w:rPr>
              <w:t>指为了治疗幼年型类风湿关节炎，实际实施了膝关节或髋关节置换手术。</w:t>
            </w:r>
          </w:p>
          <w:p>
            <w:pPr>
              <w:pStyle w:val="TableParagraph"/>
              <w:spacing w:line="273" w:lineRule="auto" w:before="37"/>
              <w:ind w:left="109" w:right="30"/>
              <w:rPr>
                <w:sz w:val="21"/>
              </w:rPr>
            </w:pPr>
            <w:r>
              <w:rPr>
                <w:sz w:val="21"/>
              </w:rPr>
              <w:t>幼年型类风湿关节炎是一种儿童期发病的慢性关节炎，其特点为在高热和系统性病征出现数月后发生关节炎。</w:t>
            </w:r>
          </w:p>
          <w:p>
            <w:pPr>
              <w:pStyle w:val="TableParagraph"/>
              <w:spacing w:before="7"/>
              <w:ind w:left="109"/>
              <w:rPr>
                <w:b/>
                <w:sz w:val="21"/>
              </w:rPr>
            </w:pPr>
            <w:r>
              <w:rPr>
                <w:b/>
                <w:sz w:val="21"/>
              </w:rPr>
              <w:t>被保险人疾病诊断时年龄必须在年满十八周岁之前。</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313" w:hRule="atLeast"/>
        </w:trPr>
        <w:tc>
          <w:tcPr>
            <w:tcW w:w="850" w:type="dxa"/>
          </w:tcPr>
          <w:p>
            <w:pPr>
              <w:pStyle w:val="TableParagraph"/>
              <w:spacing w:line="257" w:lineRule="exact"/>
              <w:ind w:left="107"/>
              <w:rPr>
                <w:b/>
                <w:sz w:val="21"/>
              </w:rPr>
            </w:pPr>
            <w:r>
              <w:rPr>
                <w:b/>
                <w:sz w:val="21"/>
              </w:rPr>
              <w:t>五十五</w:t>
            </w:r>
          </w:p>
        </w:tc>
        <w:tc>
          <w:tcPr>
            <w:tcW w:w="1932" w:type="dxa"/>
          </w:tcPr>
          <w:p>
            <w:pPr>
              <w:pStyle w:val="TableParagraph"/>
              <w:spacing w:line="257" w:lineRule="exact"/>
              <w:ind w:left="107"/>
              <w:rPr>
                <w:b/>
                <w:sz w:val="21"/>
              </w:rPr>
            </w:pPr>
            <w:r>
              <w:rPr>
                <w:b/>
                <w:sz w:val="21"/>
              </w:rPr>
              <w:t>溶血性链球菌引起</w:t>
            </w:r>
          </w:p>
        </w:tc>
        <w:tc>
          <w:tcPr>
            <w:tcW w:w="7306" w:type="dxa"/>
          </w:tcPr>
          <w:p>
            <w:pPr>
              <w:pStyle w:val="TableParagraph"/>
              <w:spacing w:line="257" w:lineRule="exact"/>
              <w:ind w:left="109"/>
              <w:rPr>
                <w:sz w:val="21"/>
              </w:rPr>
            </w:pPr>
            <w:r>
              <w:rPr>
                <w:sz w:val="21"/>
              </w:rPr>
              <w:t>躯干或肢体的浅筋膜或涉及肌肉的深筋膜感染，呈暴发性进展，必须即刻手术</w:t>
            </w:r>
          </w:p>
        </w:tc>
      </w:tr>
    </w:tbl>
    <w:p>
      <w:pPr>
        <w:spacing w:after="0" w:line="257" w:lineRule="exact"/>
        <w:rPr>
          <w:sz w:val="21"/>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2"/>
        <w:gridCol w:w="7306"/>
      </w:tblGrid>
      <w:tr>
        <w:trPr>
          <w:trHeight w:val="625" w:hRule="atLeast"/>
        </w:trPr>
        <w:tc>
          <w:tcPr>
            <w:tcW w:w="850" w:type="dxa"/>
          </w:tcPr>
          <w:p>
            <w:pPr>
              <w:pStyle w:val="TableParagraph"/>
              <w:rPr>
                <w:rFonts w:ascii="Times New Roman"/>
                <w:sz w:val="20"/>
              </w:rPr>
            </w:pPr>
          </w:p>
        </w:tc>
        <w:tc>
          <w:tcPr>
            <w:tcW w:w="1932" w:type="dxa"/>
          </w:tcPr>
          <w:p>
            <w:pPr>
              <w:pStyle w:val="TableParagraph"/>
              <w:spacing w:line="259" w:lineRule="exact"/>
              <w:ind w:left="107"/>
              <w:rPr>
                <w:b/>
                <w:sz w:val="21"/>
              </w:rPr>
            </w:pPr>
            <w:r>
              <w:rPr>
                <w:b/>
                <w:sz w:val="21"/>
              </w:rPr>
              <w:t>的坏疽</w:t>
            </w:r>
          </w:p>
        </w:tc>
        <w:tc>
          <w:tcPr>
            <w:tcW w:w="7306" w:type="dxa"/>
          </w:tcPr>
          <w:p>
            <w:pPr>
              <w:pStyle w:val="TableParagraph"/>
              <w:spacing w:line="259" w:lineRule="exact"/>
              <w:ind w:left="109"/>
              <w:rPr>
                <w:sz w:val="21"/>
              </w:rPr>
            </w:pPr>
            <w:r>
              <w:rPr>
                <w:sz w:val="21"/>
              </w:rPr>
              <w:t>清创。须在外科手术后进行组织培养证实溶血性链球菌坏疽并由专科医生确</w:t>
            </w:r>
          </w:p>
          <w:p>
            <w:pPr>
              <w:pStyle w:val="TableParagraph"/>
              <w:spacing w:before="37"/>
              <w:ind w:left="109"/>
              <w:rPr>
                <w:sz w:val="21"/>
              </w:rPr>
            </w:pPr>
            <w:r>
              <w:rPr>
                <w:sz w:val="21"/>
              </w:rPr>
              <w:t>诊。</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935" w:hRule="atLeast"/>
        </w:trPr>
        <w:tc>
          <w:tcPr>
            <w:tcW w:w="850" w:type="dxa"/>
          </w:tcPr>
          <w:p>
            <w:pPr>
              <w:pStyle w:val="TableParagraph"/>
              <w:spacing w:line="257" w:lineRule="exact"/>
              <w:ind w:left="107"/>
              <w:rPr>
                <w:b/>
                <w:sz w:val="21"/>
              </w:rPr>
            </w:pPr>
            <w:r>
              <w:rPr>
                <w:b/>
                <w:sz w:val="21"/>
              </w:rPr>
              <w:t>五十六</w:t>
            </w:r>
          </w:p>
        </w:tc>
        <w:tc>
          <w:tcPr>
            <w:tcW w:w="1932" w:type="dxa"/>
          </w:tcPr>
          <w:p>
            <w:pPr>
              <w:pStyle w:val="TableParagraph"/>
              <w:spacing w:line="257" w:lineRule="exact"/>
              <w:ind w:left="107"/>
              <w:rPr>
                <w:b/>
                <w:sz w:val="21"/>
              </w:rPr>
            </w:pPr>
            <w:r>
              <w:rPr>
                <w:b/>
                <w:sz w:val="21"/>
              </w:rPr>
              <w:t>严重肠道疾病并发</w:t>
            </w:r>
          </w:p>
          <w:p>
            <w:pPr>
              <w:pStyle w:val="TableParagraph"/>
              <w:spacing w:before="37"/>
              <w:ind w:left="107"/>
              <w:rPr>
                <w:b/>
                <w:sz w:val="21"/>
              </w:rPr>
            </w:pPr>
            <w:r>
              <w:rPr>
                <w:b/>
                <w:w w:val="100"/>
                <w:sz w:val="21"/>
              </w:rPr>
              <w:t>症</w:t>
            </w:r>
          </w:p>
        </w:tc>
        <w:tc>
          <w:tcPr>
            <w:tcW w:w="7306" w:type="dxa"/>
          </w:tcPr>
          <w:p>
            <w:pPr>
              <w:pStyle w:val="TableParagraph"/>
              <w:spacing w:line="257" w:lineRule="exact"/>
              <w:ind w:left="109"/>
              <w:rPr>
                <w:sz w:val="21"/>
              </w:rPr>
            </w:pPr>
            <w:r>
              <w:rPr>
                <w:sz w:val="21"/>
              </w:rPr>
              <w:t>严重肠道疾病或外伤导致小肠损害并发症，本疾病须满足以下所有条件：</w:t>
            </w:r>
          </w:p>
          <w:p>
            <w:pPr>
              <w:pStyle w:val="TableParagraph"/>
              <w:spacing w:before="37"/>
              <w:ind w:left="109"/>
              <w:rPr>
                <w:sz w:val="21"/>
              </w:rPr>
            </w:pPr>
            <w:r>
              <w:rPr>
                <w:sz w:val="21"/>
              </w:rPr>
              <w:t>（1）至少切除了三分之二小肠；</w:t>
            </w:r>
          </w:p>
          <w:p>
            <w:pPr>
              <w:pStyle w:val="TableParagraph"/>
              <w:spacing w:before="37"/>
              <w:ind w:left="109"/>
              <w:rPr>
                <w:sz w:val="21"/>
              </w:rPr>
            </w:pPr>
            <w:r>
              <w:rPr>
                <w:sz w:val="21"/>
              </w:rPr>
              <w:t>（2）完全肠外营养支持三个月以上。</w:t>
            </w:r>
          </w:p>
        </w:tc>
      </w:tr>
      <w:tr>
        <w:trPr>
          <w:trHeight w:val="217"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495" w:hRule="atLeast"/>
        </w:trPr>
        <w:tc>
          <w:tcPr>
            <w:tcW w:w="850" w:type="dxa"/>
          </w:tcPr>
          <w:p>
            <w:pPr>
              <w:pStyle w:val="TableParagraph"/>
              <w:spacing w:line="257" w:lineRule="exact"/>
              <w:ind w:left="107"/>
              <w:rPr>
                <w:b/>
                <w:sz w:val="21"/>
              </w:rPr>
            </w:pPr>
            <w:r>
              <w:rPr>
                <w:b/>
                <w:sz w:val="21"/>
              </w:rPr>
              <w:t>五十七</w:t>
            </w:r>
          </w:p>
        </w:tc>
        <w:tc>
          <w:tcPr>
            <w:tcW w:w="1932" w:type="dxa"/>
          </w:tcPr>
          <w:p>
            <w:pPr>
              <w:pStyle w:val="TableParagraph"/>
              <w:spacing w:line="257" w:lineRule="exact"/>
              <w:ind w:left="107"/>
              <w:rPr>
                <w:b/>
                <w:sz w:val="21"/>
              </w:rPr>
            </w:pPr>
            <w:r>
              <w:rPr>
                <w:b/>
                <w:sz w:val="21"/>
              </w:rPr>
              <w:t>瑞氏综合症</w:t>
            </w:r>
          </w:p>
        </w:tc>
        <w:tc>
          <w:tcPr>
            <w:tcW w:w="7306" w:type="dxa"/>
          </w:tcPr>
          <w:p>
            <w:pPr>
              <w:pStyle w:val="TableParagraph"/>
              <w:spacing w:line="257" w:lineRule="exact"/>
              <w:ind w:left="109"/>
              <w:rPr>
                <w:sz w:val="21"/>
              </w:rPr>
            </w:pPr>
            <w:r>
              <w:rPr>
                <w:sz w:val="21"/>
              </w:rPr>
              <w:t>瑞氏综合症是线粒体功能障碍性疾病。导致脂肪代谢障碍，引起短链脂肪酸、</w:t>
            </w:r>
          </w:p>
          <w:p>
            <w:pPr>
              <w:pStyle w:val="TableParagraph"/>
              <w:spacing w:line="273" w:lineRule="auto" w:before="37"/>
              <w:ind w:left="109" w:right="93"/>
              <w:rPr>
                <w:sz w:val="21"/>
              </w:rPr>
            </w:pPr>
            <w:r>
              <w:rPr>
                <w:spacing w:val="-8"/>
                <w:sz w:val="21"/>
              </w:rPr>
              <w:t>血氨升高，造成脑水肿。主要临床表现为急性发热、反复呕吐、惊厥及意识障</w:t>
            </w:r>
            <w:r>
              <w:rPr>
                <w:spacing w:val="-1"/>
                <w:sz w:val="21"/>
              </w:rPr>
              <w:t>碍等等。</w:t>
            </w:r>
          </w:p>
          <w:p>
            <w:pPr>
              <w:pStyle w:val="TableParagraph"/>
              <w:spacing w:line="273" w:lineRule="auto" w:before="7"/>
              <w:ind w:left="109" w:right="40"/>
              <w:rPr>
                <w:sz w:val="21"/>
              </w:rPr>
            </w:pPr>
            <w:r>
              <w:rPr>
                <w:sz w:val="21"/>
              </w:rPr>
              <w:t>肝脏活检是确诊的重要手段。瑞氏综合征需由三级医院的儿科专科医生确诊， 并符合下列所有条件：</w:t>
            </w:r>
          </w:p>
          <w:p>
            <w:pPr>
              <w:pStyle w:val="TableParagraph"/>
              <w:spacing w:before="7"/>
              <w:ind w:left="109"/>
              <w:rPr>
                <w:sz w:val="21"/>
              </w:rPr>
            </w:pPr>
            <w:r>
              <w:rPr>
                <w:sz w:val="21"/>
              </w:rPr>
              <w:t>（1）有脑水肿和颅内压升高的脑脊液检查和影像学检查证据；</w:t>
            </w:r>
          </w:p>
          <w:p>
            <w:pPr>
              <w:pStyle w:val="TableParagraph"/>
              <w:spacing w:before="37"/>
              <w:ind w:left="109"/>
              <w:rPr>
                <w:sz w:val="21"/>
              </w:rPr>
            </w:pPr>
            <w:r>
              <w:rPr>
                <w:sz w:val="21"/>
              </w:rPr>
              <w:t>（2）血氨超过正常值的 3 倍；</w:t>
            </w:r>
          </w:p>
          <w:p>
            <w:pPr>
              <w:pStyle w:val="TableParagraph"/>
              <w:spacing w:before="37"/>
              <w:ind w:left="110"/>
              <w:rPr>
                <w:sz w:val="21"/>
              </w:rPr>
            </w:pPr>
            <w:r>
              <w:rPr>
                <w:sz w:val="21"/>
              </w:rPr>
              <w:t>（3）临床出现昏迷，病程至少达到疾病分期第 3 期。</w:t>
            </w:r>
          </w:p>
        </w:tc>
      </w:tr>
      <w:tr>
        <w:trPr>
          <w:trHeight w:val="218"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559" w:hRule="atLeast"/>
        </w:trPr>
        <w:tc>
          <w:tcPr>
            <w:tcW w:w="850" w:type="dxa"/>
          </w:tcPr>
          <w:p>
            <w:pPr>
              <w:pStyle w:val="TableParagraph"/>
              <w:spacing w:line="257" w:lineRule="exact"/>
              <w:ind w:left="107"/>
              <w:rPr>
                <w:b/>
                <w:sz w:val="21"/>
              </w:rPr>
            </w:pPr>
            <w:r>
              <w:rPr>
                <w:b/>
                <w:sz w:val="21"/>
              </w:rPr>
              <w:t>五十八</w:t>
            </w:r>
          </w:p>
        </w:tc>
        <w:tc>
          <w:tcPr>
            <w:tcW w:w="1932" w:type="dxa"/>
          </w:tcPr>
          <w:p>
            <w:pPr>
              <w:pStyle w:val="TableParagraph"/>
              <w:spacing w:line="257" w:lineRule="exact"/>
              <w:ind w:left="107"/>
              <w:rPr>
                <w:b/>
                <w:sz w:val="21"/>
              </w:rPr>
            </w:pPr>
            <w:r>
              <w:rPr>
                <w:b/>
                <w:sz w:val="21"/>
              </w:rPr>
              <w:t>严重川崎病</w:t>
            </w:r>
          </w:p>
        </w:tc>
        <w:tc>
          <w:tcPr>
            <w:tcW w:w="7306" w:type="dxa"/>
          </w:tcPr>
          <w:p>
            <w:pPr>
              <w:pStyle w:val="TableParagraph"/>
              <w:spacing w:line="257" w:lineRule="exact"/>
              <w:ind w:left="109"/>
              <w:rPr>
                <w:sz w:val="21"/>
              </w:rPr>
            </w:pPr>
            <w:r>
              <w:rPr>
                <w:sz w:val="21"/>
              </w:rPr>
              <w:t>是一种血管炎综合征，临床表现为急性发热，皮肤粘膜病损和淋巴结肿大。本</w:t>
            </w:r>
          </w:p>
          <w:p>
            <w:pPr>
              <w:pStyle w:val="TableParagraph"/>
              <w:spacing w:line="273" w:lineRule="auto" w:before="37"/>
              <w:ind w:left="109" w:right="44"/>
              <w:rPr>
                <w:sz w:val="21"/>
              </w:rPr>
            </w:pPr>
            <w:r>
              <w:rPr>
                <w:sz w:val="21"/>
              </w:rPr>
              <w:t>病须经专科医生明确诊断，同时须由血管造影或超声心动图检查证实，满足下列至少一项条件：</w:t>
            </w:r>
          </w:p>
          <w:p>
            <w:pPr>
              <w:pStyle w:val="TableParagraph"/>
              <w:spacing w:before="7"/>
              <w:ind w:left="109"/>
              <w:rPr>
                <w:sz w:val="21"/>
              </w:rPr>
            </w:pPr>
            <w:r>
              <w:rPr>
                <w:sz w:val="21"/>
              </w:rPr>
              <w:t>（1）伴有冠状动脉瘤，且冠状动脉瘤于最初急性发病后持续至少 180 天；</w:t>
            </w:r>
          </w:p>
          <w:p>
            <w:pPr>
              <w:pStyle w:val="TableParagraph"/>
              <w:spacing w:before="36"/>
              <w:ind w:left="109"/>
              <w:rPr>
                <w:sz w:val="21"/>
              </w:rPr>
            </w:pPr>
            <w:r>
              <w:rPr>
                <w:sz w:val="21"/>
              </w:rPr>
              <w:t>（2）伴有冠状动脉瘤，且实际接受了对冠状动脉瘤进行的手术治疗。</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498" w:hRule="atLeast"/>
        </w:trPr>
        <w:tc>
          <w:tcPr>
            <w:tcW w:w="850" w:type="dxa"/>
          </w:tcPr>
          <w:p>
            <w:pPr>
              <w:pStyle w:val="TableParagraph"/>
              <w:spacing w:line="259" w:lineRule="exact"/>
              <w:ind w:left="107"/>
              <w:rPr>
                <w:b/>
                <w:sz w:val="21"/>
              </w:rPr>
            </w:pPr>
            <w:r>
              <w:rPr>
                <w:b/>
                <w:sz w:val="21"/>
              </w:rPr>
              <w:t>五十九</w:t>
            </w:r>
          </w:p>
        </w:tc>
        <w:tc>
          <w:tcPr>
            <w:tcW w:w="1932" w:type="dxa"/>
          </w:tcPr>
          <w:p>
            <w:pPr>
              <w:pStyle w:val="TableParagraph"/>
              <w:spacing w:line="259" w:lineRule="exact"/>
              <w:ind w:left="107"/>
              <w:rPr>
                <w:b/>
                <w:sz w:val="21"/>
              </w:rPr>
            </w:pPr>
            <w:r>
              <w:rPr>
                <w:b/>
                <w:sz w:val="21"/>
              </w:rPr>
              <w:t>重症手足口病</w:t>
            </w:r>
          </w:p>
        </w:tc>
        <w:tc>
          <w:tcPr>
            <w:tcW w:w="7306" w:type="dxa"/>
          </w:tcPr>
          <w:p>
            <w:pPr>
              <w:pStyle w:val="TableParagraph"/>
              <w:spacing w:line="259" w:lineRule="exact"/>
              <w:ind w:left="109" w:right="-29"/>
              <w:rPr>
                <w:sz w:val="21"/>
              </w:rPr>
            </w:pPr>
            <w:r>
              <w:rPr>
                <w:spacing w:val="-12"/>
                <w:sz w:val="21"/>
              </w:rPr>
              <w:t>由肠道病毒引起的急性传染病，主要症状表现为手、足、口腔等部位的斑丘疹、</w:t>
            </w:r>
          </w:p>
          <w:p>
            <w:pPr>
              <w:pStyle w:val="TableParagraph"/>
              <w:spacing w:line="273" w:lineRule="auto" w:before="37"/>
              <w:ind w:left="109" w:right="93"/>
              <w:rPr>
                <w:sz w:val="21"/>
              </w:rPr>
            </w:pPr>
            <w:r>
              <w:rPr>
                <w:spacing w:val="-8"/>
                <w:sz w:val="21"/>
              </w:rPr>
              <w:t>疱疹。经我们认可的医疗机构的专科医生确诊为患有手足口病，并伴有下列三</w:t>
            </w:r>
            <w:r>
              <w:rPr>
                <w:spacing w:val="-3"/>
                <w:sz w:val="21"/>
              </w:rPr>
              <w:t>项中的任意一项并发症：</w:t>
            </w:r>
          </w:p>
          <w:p>
            <w:pPr>
              <w:pStyle w:val="TableParagraph"/>
              <w:spacing w:line="273" w:lineRule="auto" w:before="7"/>
              <w:ind w:left="109" w:right="143"/>
              <w:rPr>
                <w:sz w:val="21"/>
              </w:rPr>
            </w:pPr>
            <w:r>
              <w:rPr>
                <w:sz w:val="21"/>
              </w:rPr>
              <w:t>（1）有脑膜炎或脑炎并发症，且导致意识障碍或瘫痪的临床表现及实验室检查证据；</w:t>
            </w:r>
          </w:p>
          <w:p>
            <w:pPr>
              <w:pStyle w:val="TableParagraph"/>
              <w:spacing w:before="7"/>
              <w:ind w:left="109" w:right="-15"/>
              <w:rPr>
                <w:sz w:val="21"/>
              </w:rPr>
            </w:pPr>
            <w:r>
              <w:rPr>
                <w:spacing w:val="-10"/>
                <w:sz w:val="21"/>
              </w:rPr>
              <w:t>（2）</w:t>
            </w:r>
            <w:r>
              <w:rPr>
                <w:spacing w:val="-6"/>
                <w:sz w:val="21"/>
              </w:rPr>
              <w:t>有肺炎或肺水肿并发症，且导致呼吸衰竭的临床表现及实验室检查证据；</w:t>
            </w:r>
          </w:p>
          <w:p>
            <w:pPr>
              <w:pStyle w:val="TableParagraph"/>
              <w:spacing w:line="273" w:lineRule="auto" w:before="37"/>
              <w:ind w:left="109" w:right="143"/>
              <w:rPr>
                <w:sz w:val="21"/>
              </w:rPr>
            </w:pPr>
            <w:r>
              <w:rPr>
                <w:sz w:val="21"/>
              </w:rPr>
              <w:t>（3）有心肌炎并发症，且导致心脏扩大或心力衰竭的临床表现及实验室检查证。</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559" w:hRule="atLeast"/>
        </w:trPr>
        <w:tc>
          <w:tcPr>
            <w:tcW w:w="850" w:type="dxa"/>
          </w:tcPr>
          <w:p>
            <w:pPr>
              <w:pStyle w:val="TableParagraph"/>
              <w:spacing w:line="257" w:lineRule="exact"/>
              <w:ind w:left="107"/>
              <w:rPr>
                <w:b/>
                <w:sz w:val="21"/>
              </w:rPr>
            </w:pPr>
            <w:r>
              <w:rPr>
                <w:b/>
                <w:sz w:val="21"/>
              </w:rPr>
              <w:t>六十</w:t>
            </w:r>
          </w:p>
        </w:tc>
        <w:tc>
          <w:tcPr>
            <w:tcW w:w="1932" w:type="dxa"/>
          </w:tcPr>
          <w:p>
            <w:pPr>
              <w:pStyle w:val="TableParagraph"/>
              <w:spacing w:line="257" w:lineRule="exact"/>
              <w:ind w:left="107"/>
              <w:rPr>
                <w:b/>
                <w:sz w:val="21"/>
              </w:rPr>
            </w:pPr>
            <w:r>
              <w:rPr>
                <w:b/>
                <w:sz w:val="21"/>
              </w:rPr>
              <w:t>严重癫痫</w:t>
            </w:r>
          </w:p>
        </w:tc>
        <w:tc>
          <w:tcPr>
            <w:tcW w:w="7306" w:type="dxa"/>
          </w:tcPr>
          <w:p>
            <w:pPr>
              <w:pStyle w:val="TableParagraph"/>
              <w:spacing w:line="257" w:lineRule="exact"/>
              <w:ind w:left="109"/>
              <w:rPr>
                <w:sz w:val="21"/>
              </w:rPr>
            </w:pPr>
            <w:r>
              <w:rPr>
                <w:sz w:val="21"/>
              </w:rPr>
              <w:t>本病的诊断须由神经科或儿科专科医生根据典型临床症状和脑电图及 MRI、</w:t>
            </w:r>
          </w:p>
          <w:p>
            <w:pPr>
              <w:pStyle w:val="TableParagraph"/>
              <w:spacing w:line="273" w:lineRule="auto" w:before="37"/>
              <w:ind w:left="109" w:right="94"/>
              <w:rPr>
                <w:sz w:val="21"/>
              </w:rPr>
            </w:pPr>
            <w:r>
              <w:rPr>
                <w:sz w:val="21"/>
              </w:rPr>
              <w:t>PET、CT</w:t>
            </w:r>
            <w:r>
              <w:rPr>
                <w:spacing w:val="-10"/>
                <w:sz w:val="21"/>
              </w:rPr>
              <w:t> 等影相学检查做出。理赔时必须提供 </w:t>
            </w:r>
            <w:r>
              <w:rPr>
                <w:sz w:val="21"/>
              </w:rPr>
              <w:t>6</w:t>
            </w:r>
            <w:r>
              <w:rPr>
                <w:spacing w:val="-8"/>
                <w:sz w:val="21"/>
              </w:rPr>
              <w:t> 个月以上的相关病历记录证明</w:t>
            </w:r>
            <w:r>
              <w:rPr>
                <w:spacing w:val="-3"/>
                <w:sz w:val="21"/>
              </w:rPr>
              <w:t>被保险人存在经抗癫痫药物治疗无效而反复发作的强直阵挛性发作或癫痫大发作，且已行神经外科手术以治疗反复发作的癫痫。</w:t>
            </w:r>
          </w:p>
          <w:p>
            <w:pPr>
              <w:pStyle w:val="TableParagraph"/>
              <w:spacing w:before="8"/>
              <w:ind w:left="109" w:right="-15"/>
              <w:rPr>
                <w:b/>
                <w:sz w:val="21"/>
              </w:rPr>
            </w:pPr>
            <w:r>
              <w:rPr>
                <w:b/>
                <w:spacing w:val="-7"/>
                <w:sz w:val="21"/>
              </w:rPr>
              <w:t>发热性惊厥以及没有全身性发作的失神发作</w:t>
            </w:r>
            <w:r>
              <w:rPr>
                <w:b/>
                <w:sz w:val="21"/>
              </w:rPr>
              <w:t>（</w:t>
            </w:r>
            <w:r>
              <w:rPr>
                <w:b/>
                <w:spacing w:val="-1"/>
                <w:sz w:val="21"/>
              </w:rPr>
              <w:t>癫痫小发作</w:t>
            </w:r>
            <w:r>
              <w:rPr>
                <w:b/>
                <w:spacing w:val="-92"/>
                <w:sz w:val="21"/>
              </w:rPr>
              <w:t>）</w:t>
            </w:r>
            <w:r>
              <w:rPr>
                <w:b/>
                <w:spacing w:val="-1"/>
                <w:sz w:val="21"/>
              </w:rPr>
              <w:t>不在本保障范围内。</w:t>
            </w:r>
          </w:p>
        </w:tc>
      </w:tr>
      <w:tr>
        <w:trPr>
          <w:trHeight w:val="218"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183" w:hRule="atLeast"/>
        </w:trPr>
        <w:tc>
          <w:tcPr>
            <w:tcW w:w="850" w:type="dxa"/>
          </w:tcPr>
          <w:p>
            <w:pPr>
              <w:pStyle w:val="TableParagraph"/>
              <w:spacing w:line="257" w:lineRule="exact"/>
              <w:ind w:left="107"/>
              <w:rPr>
                <w:b/>
                <w:sz w:val="21"/>
              </w:rPr>
            </w:pPr>
            <w:r>
              <w:rPr>
                <w:b/>
                <w:sz w:val="21"/>
              </w:rPr>
              <w:t>注 1</w:t>
            </w:r>
          </w:p>
        </w:tc>
        <w:tc>
          <w:tcPr>
            <w:tcW w:w="1932" w:type="dxa"/>
          </w:tcPr>
          <w:p>
            <w:pPr>
              <w:pStyle w:val="TableParagraph"/>
              <w:spacing w:line="257" w:lineRule="exact"/>
              <w:ind w:left="107"/>
              <w:rPr>
                <w:b/>
                <w:sz w:val="21"/>
              </w:rPr>
            </w:pPr>
            <w:r>
              <w:rPr>
                <w:b/>
                <w:sz w:val="21"/>
              </w:rPr>
              <w:t>六项基本日常生活</w:t>
            </w:r>
          </w:p>
          <w:p>
            <w:pPr>
              <w:pStyle w:val="TableParagraph"/>
              <w:spacing w:before="37"/>
              <w:ind w:left="107"/>
              <w:rPr>
                <w:b/>
                <w:sz w:val="21"/>
              </w:rPr>
            </w:pPr>
            <w:r>
              <w:rPr>
                <w:b/>
                <w:sz w:val="21"/>
              </w:rPr>
              <w:t>活动</w:t>
            </w:r>
          </w:p>
        </w:tc>
        <w:tc>
          <w:tcPr>
            <w:tcW w:w="7306" w:type="dxa"/>
          </w:tcPr>
          <w:p>
            <w:pPr>
              <w:pStyle w:val="TableParagraph"/>
              <w:spacing w:line="272" w:lineRule="exact"/>
              <w:ind w:left="109"/>
              <w:rPr>
                <w:sz w:val="21"/>
              </w:rPr>
            </w:pPr>
            <w:r>
              <w:rPr>
                <w:sz w:val="21"/>
              </w:rPr>
              <w:t>适用于年龄 </w:t>
            </w:r>
            <w:r>
              <w:rPr>
                <w:rFonts w:ascii="Times New Roman" w:eastAsia="Times New Roman"/>
                <w:sz w:val="21"/>
              </w:rPr>
              <w:t>4 </w:t>
            </w:r>
            <w:r>
              <w:rPr>
                <w:sz w:val="21"/>
              </w:rPr>
              <w:t>周岁以上被保险人，包括：</w:t>
            </w:r>
          </w:p>
          <w:p>
            <w:pPr>
              <w:pStyle w:val="TableParagraph"/>
              <w:spacing w:before="21"/>
              <w:ind w:left="109"/>
              <w:rPr>
                <w:sz w:val="21"/>
              </w:rPr>
            </w:pPr>
            <w:r>
              <w:rPr>
                <w:sz w:val="21"/>
              </w:rPr>
              <w:t>（1）穿衣：自己能够穿衣及脱衣；</w:t>
            </w:r>
          </w:p>
          <w:p>
            <w:pPr>
              <w:pStyle w:val="TableParagraph"/>
              <w:spacing w:before="37"/>
              <w:ind w:left="109"/>
              <w:rPr>
                <w:sz w:val="21"/>
              </w:rPr>
            </w:pPr>
            <w:r>
              <w:rPr>
                <w:sz w:val="21"/>
              </w:rPr>
              <w:t>（2）移动：自己从一个房间到另一个房间；</w:t>
            </w:r>
          </w:p>
          <w:p>
            <w:pPr>
              <w:pStyle w:val="TableParagraph"/>
              <w:spacing w:before="37"/>
              <w:ind w:left="109"/>
              <w:rPr>
                <w:sz w:val="21"/>
              </w:rPr>
            </w:pPr>
            <w:r>
              <w:rPr>
                <w:sz w:val="21"/>
              </w:rPr>
              <w:t>（3）行动：自己上下床或上下轮椅；</w:t>
            </w:r>
          </w:p>
          <w:p>
            <w:pPr>
              <w:pStyle w:val="TableParagraph"/>
              <w:spacing w:before="37"/>
              <w:ind w:left="109"/>
              <w:rPr>
                <w:sz w:val="21"/>
              </w:rPr>
            </w:pPr>
            <w:r>
              <w:rPr>
                <w:sz w:val="21"/>
              </w:rPr>
              <w:t>（4）如厕：自己控制进行大小便；</w:t>
            </w:r>
          </w:p>
          <w:p>
            <w:pPr>
              <w:pStyle w:val="TableParagraph"/>
              <w:spacing w:before="37"/>
              <w:ind w:left="109"/>
              <w:rPr>
                <w:sz w:val="21"/>
              </w:rPr>
            </w:pPr>
            <w:r>
              <w:rPr>
                <w:sz w:val="21"/>
              </w:rPr>
              <w:t>（5）进食：自己从已准备好的碗或碟中取食物放入口中；</w:t>
            </w:r>
          </w:p>
          <w:p>
            <w:pPr>
              <w:pStyle w:val="TableParagraph"/>
              <w:spacing w:before="37"/>
              <w:ind w:left="109"/>
              <w:rPr>
                <w:sz w:val="21"/>
              </w:rPr>
            </w:pPr>
            <w:r>
              <w:rPr>
                <w:sz w:val="21"/>
              </w:rPr>
              <w:t>（6）洗澡：自己进行淋浴或盆浴。</w:t>
            </w:r>
          </w:p>
        </w:tc>
      </w:tr>
      <w:tr>
        <w:trPr>
          <w:trHeight w:val="218"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注 2</w:t>
            </w:r>
          </w:p>
        </w:tc>
        <w:tc>
          <w:tcPr>
            <w:tcW w:w="1932" w:type="dxa"/>
          </w:tcPr>
          <w:p>
            <w:pPr>
              <w:pStyle w:val="TableParagraph"/>
              <w:spacing w:line="257" w:lineRule="exact"/>
              <w:ind w:left="107"/>
              <w:rPr>
                <w:b/>
                <w:sz w:val="21"/>
              </w:rPr>
            </w:pPr>
            <w:r>
              <w:rPr>
                <w:b/>
                <w:sz w:val="21"/>
              </w:rPr>
              <w:t>肢体机能完全丧失</w:t>
            </w:r>
          </w:p>
        </w:tc>
        <w:tc>
          <w:tcPr>
            <w:tcW w:w="7306" w:type="dxa"/>
          </w:tcPr>
          <w:p>
            <w:pPr>
              <w:pStyle w:val="TableParagraph"/>
              <w:spacing w:line="257" w:lineRule="exact"/>
              <w:ind w:left="109"/>
              <w:rPr>
                <w:sz w:val="21"/>
              </w:rPr>
            </w:pPr>
            <w:r>
              <w:rPr>
                <w:sz w:val="21"/>
              </w:rPr>
              <w:t>指肢体的</w:t>
            </w:r>
            <w:r>
              <w:rPr>
                <w:b/>
                <w:sz w:val="21"/>
              </w:rPr>
              <w:t>三大关节</w:t>
            </w:r>
            <w:r>
              <w:rPr>
                <w:sz w:val="21"/>
              </w:rPr>
              <w:t>中的两大关节僵硬，或不能随意识活动。肢体是指包括肩关</w:t>
            </w:r>
          </w:p>
          <w:p>
            <w:pPr>
              <w:pStyle w:val="TableParagraph"/>
              <w:spacing w:before="37"/>
              <w:ind w:left="109"/>
              <w:rPr>
                <w:sz w:val="21"/>
              </w:rPr>
            </w:pPr>
            <w:r>
              <w:rPr>
                <w:sz w:val="21"/>
              </w:rPr>
              <w:t>节的整个上肢或包括髋关节的整个下肢。</w:t>
            </w:r>
          </w:p>
        </w:tc>
      </w:tr>
      <w:tr>
        <w:trPr>
          <w:trHeight w:val="218"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bl>
    <w:p>
      <w:pPr>
        <w:spacing w:after="0"/>
        <w:rPr>
          <w:rFonts w:ascii="Times New Roman"/>
          <w:sz w:val="14"/>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2"/>
        <w:gridCol w:w="7306"/>
      </w:tblGrid>
      <w:tr>
        <w:trPr>
          <w:trHeight w:val="1250" w:hRule="atLeast"/>
        </w:trPr>
        <w:tc>
          <w:tcPr>
            <w:tcW w:w="850" w:type="dxa"/>
          </w:tcPr>
          <w:p>
            <w:pPr>
              <w:pStyle w:val="TableParagraph"/>
              <w:spacing w:line="259" w:lineRule="exact"/>
              <w:ind w:left="107"/>
              <w:rPr>
                <w:b/>
                <w:sz w:val="21"/>
              </w:rPr>
            </w:pPr>
            <w:r>
              <w:rPr>
                <w:b/>
                <w:sz w:val="21"/>
              </w:rPr>
              <w:t>注 3</w:t>
            </w:r>
          </w:p>
        </w:tc>
        <w:tc>
          <w:tcPr>
            <w:tcW w:w="1932" w:type="dxa"/>
          </w:tcPr>
          <w:p>
            <w:pPr>
              <w:pStyle w:val="TableParagraph"/>
              <w:spacing w:line="259" w:lineRule="exact"/>
              <w:ind w:left="107"/>
              <w:rPr>
                <w:b/>
                <w:sz w:val="21"/>
              </w:rPr>
            </w:pPr>
            <w:r>
              <w:rPr>
                <w:b/>
                <w:sz w:val="21"/>
              </w:rPr>
              <w:t>语言能力或咀嚼吞</w:t>
            </w:r>
          </w:p>
          <w:p>
            <w:pPr>
              <w:pStyle w:val="TableParagraph"/>
              <w:spacing w:before="37"/>
              <w:ind w:left="107"/>
              <w:rPr>
                <w:b/>
                <w:sz w:val="21"/>
              </w:rPr>
            </w:pPr>
            <w:r>
              <w:rPr>
                <w:b/>
                <w:sz w:val="21"/>
              </w:rPr>
              <w:t>咽能力完全丧失</w:t>
            </w:r>
          </w:p>
        </w:tc>
        <w:tc>
          <w:tcPr>
            <w:tcW w:w="7306" w:type="dxa"/>
          </w:tcPr>
          <w:p>
            <w:pPr>
              <w:pStyle w:val="TableParagraph"/>
              <w:spacing w:line="259" w:lineRule="exact"/>
              <w:ind w:left="109"/>
              <w:rPr>
                <w:sz w:val="21"/>
              </w:rPr>
            </w:pPr>
            <w:r>
              <w:rPr>
                <w:sz w:val="21"/>
              </w:rPr>
              <w:t>语言能力完全丧失，指无法发出四种语音（包括口唇音、齿舌音、口盖音和喉</w:t>
            </w:r>
          </w:p>
          <w:p>
            <w:pPr>
              <w:pStyle w:val="TableParagraph"/>
              <w:spacing w:line="273" w:lineRule="auto" w:before="37"/>
              <w:ind w:left="109" w:right="-15"/>
              <w:rPr>
                <w:sz w:val="21"/>
              </w:rPr>
            </w:pPr>
            <w:r>
              <w:rPr>
                <w:sz w:val="21"/>
              </w:rPr>
              <w:t>头音</w:t>
            </w:r>
            <w:r>
              <w:rPr>
                <w:spacing w:val="-56"/>
                <w:sz w:val="21"/>
              </w:rPr>
              <w:t>）</w:t>
            </w:r>
            <w:r>
              <w:rPr>
                <w:spacing w:val="-13"/>
                <w:sz w:val="21"/>
              </w:rPr>
              <w:t>中的任何三种、或声带全部切除，或因大脑语言中枢受伤害而患失语症。</w:t>
            </w:r>
            <w:r>
              <w:rPr>
                <w:spacing w:val="-9"/>
                <w:sz w:val="21"/>
              </w:rPr>
              <w:t>咀嚼吞咽能力完全丧失，指因牙齿以外的原因导致器质障碍或机能障碍，以致</w:t>
            </w:r>
            <w:r>
              <w:rPr>
                <w:spacing w:val="-5"/>
                <w:sz w:val="21"/>
              </w:rPr>
              <w:t>不能作咀嚼吞咽运动，除流质食物外不能摄取或吞咽的状态。</w:t>
            </w:r>
          </w:p>
        </w:tc>
      </w:tr>
      <w:tr>
        <w:trPr>
          <w:trHeight w:val="215"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注 4</w:t>
            </w:r>
          </w:p>
        </w:tc>
        <w:tc>
          <w:tcPr>
            <w:tcW w:w="1932" w:type="dxa"/>
          </w:tcPr>
          <w:p>
            <w:pPr>
              <w:pStyle w:val="TableParagraph"/>
              <w:spacing w:line="257" w:lineRule="exact"/>
              <w:ind w:left="107"/>
              <w:rPr>
                <w:b/>
                <w:sz w:val="21"/>
              </w:rPr>
            </w:pPr>
            <w:r>
              <w:rPr>
                <w:b/>
                <w:sz w:val="21"/>
              </w:rPr>
              <w:t>永久不可逆</w:t>
            </w:r>
          </w:p>
        </w:tc>
        <w:tc>
          <w:tcPr>
            <w:tcW w:w="7306" w:type="dxa"/>
          </w:tcPr>
          <w:p>
            <w:pPr>
              <w:pStyle w:val="TableParagraph"/>
              <w:spacing w:line="272" w:lineRule="exact"/>
              <w:ind w:left="109"/>
              <w:rPr>
                <w:sz w:val="21"/>
              </w:rPr>
            </w:pPr>
            <w:r>
              <w:rPr>
                <w:spacing w:val="-7"/>
                <w:sz w:val="21"/>
              </w:rPr>
              <w:t>指自疾病确诊或意外伤害发生之日起，经过积极治疗 </w:t>
            </w:r>
            <w:r>
              <w:rPr>
                <w:rFonts w:ascii="Times New Roman" w:eastAsia="Times New Roman"/>
                <w:sz w:val="21"/>
              </w:rPr>
              <w:t>180 </w:t>
            </w:r>
            <w:r>
              <w:rPr>
                <w:spacing w:val="-7"/>
                <w:sz w:val="21"/>
              </w:rPr>
              <w:t>天后，仍无法通过现</w:t>
            </w:r>
          </w:p>
          <w:p>
            <w:pPr>
              <w:pStyle w:val="TableParagraph"/>
              <w:spacing w:before="21"/>
              <w:ind w:left="109"/>
              <w:rPr>
                <w:sz w:val="21"/>
              </w:rPr>
            </w:pPr>
            <w:r>
              <w:rPr>
                <w:sz w:val="21"/>
              </w:rPr>
              <w:t>有医疗手段恢复。</w:t>
            </w:r>
          </w:p>
        </w:tc>
      </w:tr>
      <w:tr>
        <w:trPr>
          <w:trHeight w:val="217" w:hRule="atLeast"/>
        </w:trPr>
        <w:tc>
          <w:tcPr>
            <w:tcW w:w="850"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注 5</w:t>
            </w:r>
          </w:p>
        </w:tc>
        <w:tc>
          <w:tcPr>
            <w:tcW w:w="1932" w:type="dxa"/>
          </w:tcPr>
          <w:p>
            <w:pPr>
              <w:pStyle w:val="TableParagraph"/>
              <w:spacing w:line="257" w:lineRule="exact"/>
              <w:ind w:left="107"/>
              <w:rPr>
                <w:b/>
                <w:sz w:val="21"/>
              </w:rPr>
            </w:pPr>
            <w:r>
              <w:rPr>
                <w:b/>
                <w:sz w:val="21"/>
              </w:rPr>
              <w:t>三大关节</w:t>
            </w:r>
          </w:p>
        </w:tc>
        <w:tc>
          <w:tcPr>
            <w:tcW w:w="7306" w:type="dxa"/>
          </w:tcPr>
          <w:p>
            <w:pPr>
              <w:pStyle w:val="TableParagraph"/>
              <w:spacing w:line="257" w:lineRule="exact"/>
              <w:ind w:left="109"/>
              <w:rPr>
                <w:sz w:val="21"/>
              </w:rPr>
            </w:pPr>
            <w:r>
              <w:rPr>
                <w:sz w:val="21"/>
              </w:rPr>
              <w:t>上肢三大关节系指肩关节、肘关节和腕关节；</w:t>
            </w:r>
          </w:p>
          <w:p>
            <w:pPr>
              <w:pStyle w:val="TableParagraph"/>
              <w:spacing w:before="37"/>
              <w:ind w:left="109"/>
              <w:rPr>
                <w:sz w:val="21"/>
              </w:rPr>
            </w:pPr>
            <w:r>
              <w:rPr>
                <w:sz w:val="21"/>
              </w:rPr>
              <w:t>下肢三大关节系指髋关节、膝关节和踝关节。</w:t>
            </w:r>
          </w:p>
        </w:tc>
      </w:tr>
    </w:tbl>
    <w:p>
      <w:pPr>
        <w:pStyle w:val="BodyText"/>
        <w:spacing w:before="4"/>
        <w:rPr>
          <w:b/>
          <w:sz w:val="18"/>
        </w:rPr>
      </w:pPr>
    </w:p>
    <w:p>
      <w:pPr>
        <w:tabs>
          <w:tab w:pos="1184" w:val="left" w:leader="none"/>
        </w:tabs>
        <w:spacing w:before="26" w:after="38"/>
        <w:ind w:left="220" w:right="0" w:firstLine="0"/>
        <w:jc w:val="left"/>
        <w:rPr>
          <w:b/>
          <w:sz w:val="24"/>
        </w:rPr>
      </w:pPr>
      <w:r>
        <w:rPr>
          <w:b/>
          <w:sz w:val="24"/>
        </w:rPr>
        <w:t>附录二</w:t>
        <w:tab/>
      </w:r>
      <w:r>
        <w:rPr>
          <w:b/>
          <w:w w:val="95"/>
          <w:sz w:val="24"/>
        </w:rPr>
        <w:t>特定疾病列表</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2"/>
        <w:gridCol w:w="7306"/>
      </w:tblGrid>
      <w:tr>
        <w:trPr>
          <w:trHeight w:val="1871" w:hRule="atLeast"/>
        </w:trPr>
        <w:tc>
          <w:tcPr>
            <w:tcW w:w="852" w:type="dxa"/>
          </w:tcPr>
          <w:p>
            <w:pPr>
              <w:pStyle w:val="TableParagraph"/>
              <w:spacing w:line="262" w:lineRule="exact"/>
              <w:ind w:left="107"/>
              <w:rPr>
                <w:b/>
                <w:sz w:val="21"/>
              </w:rPr>
            </w:pPr>
            <w:r>
              <w:rPr>
                <w:b/>
                <w:w w:val="100"/>
                <w:sz w:val="21"/>
              </w:rPr>
              <w:t>一</w:t>
            </w:r>
          </w:p>
        </w:tc>
        <w:tc>
          <w:tcPr>
            <w:tcW w:w="1932" w:type="dxa"/>
          </w:tcPr>
          <w:p>
            <w:pPr>
              <w:pStyle w:val="TableParagraph"/>
              <w:spacing w:line="262" w:lineRule="exact"/>
              <w:ind w:left="107"/>
              <w:rPr>
                <w:b/>
                <w:sz w:val="21"/>
              </w:rPr>
            </w:pPr>
            <w:r>
              <w:rPr>
                <w:b/>
                <w:sz w:val="21"/>
              </w:rPr>
              <w:t>白血病</w:t>
            </w:r>
          </w:p>
        </w:tc>
        <w:tc>
          <w:tcPr>
            <w:tcW w:w="7306" w:type="dxa"/>
          </w:tcPr>
          <w:p>
            <w:pPr>
              <w:pStyle w:val="TableParagraph"/>
              <w:spacing w:line="273" w:lineRule="auto"/>
              <w:ind w:left="107" w:right="93"/>
              <w:jc w:val="both"/>
              <w:rPr>
                <w:sz w:val="21"/>
              </w:rPr>
            </w:pPr>
            <w:r>
              <w:rPr>
                <w:spacing w:val="-7"/>
                <w:sz w:val="21"/>
              </w:rPr>
              <w:t>是一种造血系统的恶性肿瘤，其主要表现为白血病细胞在骨髓或其他造血组织</w:t>
            </w:r>
            <w:r>
              <w:rPr>
                <w:spacing w:val="-8"/>
                <w:sz w:val="21"/>
              </w:rPr>
              <w:t>中进行性、失控制的异常增生，并浸润至其他组织与器官，使正常血细胞生成</w:t>
            </w:r>
            <w:r>
              <w:rPr>
                <w:spacing w:val="-5"/>
                <w:sz w:val="21"/>
              </w:rPr>
              <w:t>减少，周围白细胞有质和量的变化，产生相应临床表现。</w:t>
            </w:r>
          </w:p>
          <w:p>
            <w:pPr>
              <w:pStyle w:val="TableParagraph"/>
              <w:spacing w:line="273" w:lineRule="auto" w:before="20"/>
              <w:ind w:left="107" w:right="249"/>
              <w:rPr>
                <w:sz w:val="21"/>
              </w:rPr>
            </w:pPr>
            <w:r>
              <w:rPr>
                <w:sz w:val="21"/>
              </w:rPr>
              <w:t>被保险人所患白血病必须根据骨髓的活组织检查和周围血象由专科医生（儿科、血液科或肿瘤科）确诊。</w:t>
            </w:r>
          </w:p>
          <w:p>
            <w:pPr>
              <w:pStyle w:val="TableParagraph"/>
              <w:spacing w:before="7"/>
              <w:ind w:left="107"/>
              <w:jc w:val="both"/>
              <w:rPr>
                <w:b/>
                <w:sz w:val="21"/>
              </w:rPr>
            </w:pPr>
            <w:r>
              <w:rPr>
                <w:b/>
                <w:sz w:val="21"/>
              </w:rPr>
              <w:t>下列白血病除外：相当于 Binet 分期方案 A 期程度的慢性淋巴细胞白血病。</w:t>
            </w:r>
          </w:p>
        </w:tc>
      </w:tr>
      <w:tr>
        <w:trPr>
          <w:trHeight w:val="217"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871" w:hRule="atLeast"/>
        </w:trPr>
        <w:tc>
          <w:tcPr>
            <w:tcW w:w="852" w:type="dxa"/>
          </w:tcPr>
          <w:p>
            <w:pPr>
              <w:pStyle w:val="TableParagraph"/>
              <w:spacing w:line="262" w:lineRule="exact"/>
              <w:ind w:left="107"/>
              <w:rPr>
                <w:b/>
                <w:sz w:val="21"/>
              </w:rPr>
            </w:pPr>
            <w:r>
              <w:rPr>
                <w:b/>
                <w:w w:val="100"/>
                <w:sz w:val="21"/>
              </w:rPr>
              <w:t>二</w:t>
            </w:r>
          </w:p>
        </w:tc>
        <w:tc>
          <w:tcPr>
            <w:tcW w:w="1932" w:type="dxa"/>
          </w:tcPr>
          <w:p>
            <w:pPr>
              <w:pStyle w:val="TableParagraph"/>
              <w:spacing w:line="273" w:lineRule="auto"/>
              <w:ind w:left="107" w:right="122"/>
              <w:rPr>
                <w:b/>
                <w:sz w:val="21"/>
              </w:rPr>
            </w:pPr>
            <w:r>
              <w:rPr>
                <w:b/>
                <w:sz w:val="21"/>
              </w:rPr>
              <w:t>脑炎后遗症或脑膜炎后遗症</w:t>
            </w:r>
          </w:p>
        </w:tc>
        <w:tc>
          <w:tcPr>
            <w:tcW w:w="7306" w:type="dxa"/>
          </w:tcPr>
          <w:p>
            <w:pPr>
              <w:pStyle w:val="TableParagraph"/>
              <w:spacing w:line="273" w:lineRule="auto"/>
              <w:ind w:left="107" w:right="32"/>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20"/>
              <w:ind w:left="107"/>
              <w:rPr>
                <w:sz w:val="21"/>
              </w:rPr>
            </w:pPr>
            <w:r>
              <w:rPr>
                <w:sz w:val="21"/>
              </w:rPr>
              <w:t>（1）一肢或一肢以上</w:t>
            </w:r>
            <w:r>
              <w:rPr>
                <w:b/>
                <w:sz w:val="21"/>
              </w:rPr>
              <w:t>肢体机能完全丧失</w:t>
            </w:r>
            <w:r>
              <w:rPr>
                <w:sz w:val="21"/>
              </w:rPr>
              <w:t>；</w:t>
            </w:r>
          </w:p>
          <w:p>
            <w:pPr>
              <w:pStyle w:val="TableParagraph"/>
              <w:spacing w:before="36"/>
              <w:ind w:left="107"/>
              <w:rPr>
                <w:sz w:val="21"/>
              </w:rPr>
            </w:pPr>
            <w:r>
              <w:rPr>
                <w:sz w:val="21"/>
              </w:rPr>
              <w:t>（2）</w:t>
            </w:r>
            <w:r>
              <w:rPr>
                <w:b/>
                <w:sz w:val="21"/>
              </w:rPr>
              <w:t>语言能力或咀嚼吞咽能力完全丧失</w:t>
            </w:r>
            <w:r>
              <w:rPr>
                <w:sz w:val="21"/>
              </w:rPr>
              <w:t>；</w:t>
            </w:r>
          </w:p>
          <w:p>
            <w:pPr>
              <w:pStyle w:val="TableParagraph"/>
              <w:spacing w:line="273" w:lineRule="auto" w:before="36"/>
              <w:ind w:left="107" w:right="139" w:hanging="1"/>
              <w:rPr>
                <w:sz w:val="21"/>
              </w:rPr>
            </w:pPr>
            <w:r>
              <w:rPr>
                <w:sz w:val="21"/>
              </w:rPr>
              <w:t>（3）自主生活能力完全丧失，无法独立完成</w:t>
            </w:r>
            <w:r>
              <w:rPr>
                <w:b/>
                <w:sz w:val="21"/>
              </w:rPr>
              <w:t>六项基本日常生活活动</w:t>
            </w:r>
            <w:r>
              <w:rPr>
                <w:sz w:val="21"/>
              </w:rPr>
              <w:t>中的三项或三项以上。</w:t>
            </w:r>
          </w:p>
        </w:tc>
      </w:tr>
      <w:tr>
        <w:trPr>
          <w:trHeight w:val="217"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495" w:hRule="atLeast"/>
        </w:trPr>
        <w:tc>
          <w:tcPr>
            <w:tcW w:w="852" w:type="dxa"/>
          </w:tcPr>
          <w:p>
            <w:pPr>
              <w:pStyle w:val="TableParagraph"/>
              <w:spacing w:line="262" w:lineRule="exact"/>
              <w:ind w:left="107"/>
              <w:rPr>
                <w:b/>
                <w:sz w:val="21"/>
              </w:rPr>
            </w:pPr>
            <w:r>
              <w:rPr>
                <w:b/>
                <w:w w:val="100"/>
                <w:sz w:val="21"/>
              </w:rPr>
              <w:t>三</w:t>
            </w:r>
          </w:p>
        </w:tc>
        <w:tc>
          <w:tcPr>
            <w:tcW w:w="1932" w:type="dxa"/>
          </w:tcPr>
          <w:p>
            <w:pPr>
              <w:pStyle w:val="TableParagraph"/>
              <w:spacing w:line="262" w:lineRule="exact"/>
              <w:ind w:left="107"/>
              <w:rPr>
                <w:b/>
                <w:sz w:val="21"/>
              </w:rPr>
            </w:pPr>
            <w:r>
              <w:rPr>
                <w:b/>
                <w:sz w:val="21"/>
              </w:rPr>
              <w:t>双目失明</w:t>
            </w:r>
          </w:p>
        </w:tc>
        <w:tc>
          <w:tcPr>
            <w:tcW w:w="7306" w:type="dxa"/>
          </w:tcPr>
          <w:p>
            <w:pPr>
              <w:pStyle w:val="TableParagraph"/>
              <w:spacing w:line="273" w:lineRule="auto"/>
              <w:ind w:left="107" w:right="30" w:hanging="1"/>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20"/>
              <w:ind w:left="107"/>
              <w:rPr>
                <w:sz w:val="21"/>
              </w:rPr>
            </w:pPr>
            <w:r>
              <w:rPr>
                <w:sz w:val="21"/>
              </w:rPr>
              <w:t>（1）眼球缺失或摘除；</w:t>
            </w:r>
          </w:p>
          <w:p>
            <w:pPr>
              <w:pStyle w:val="TableParagraph"/>
              <w:spacing w:line="273" w:lineRule="auto" w:before="36"/>
              <w:ind w:left="108" w:right="93" w:hanging="1"/>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7"/>
              <w:ind w:left="108"/>
              <w:rPr>
                <w:sz w:val="21"/>
              </w:rPr>
            </w:pPr>
            <w:r>
              <w:rPr>
                <w:sz w:val="21"/>
              </w:rPr>
              <w:t>（3）视野半径小于 5 度。</w:t>
            </w:r>
          </w:p>
          <w:p>
            <w:pPr>
              <w:pStyle w:val="TableParagraph"/>
              <w:spacing w:line="273" w:lineRule="auto" w:before="37"/>
              <w:ind w:left="107" w:right="120"/>
              <w:rPr>
                <w:b/>
                <w:sz w:val="21"/>
              </w:rPr>
            </w:pPr>
            <w:r>
              <w:rPr>
                <w:b/>
                <w:spacing w:val="-2"/>
                <w:w w:val="100"/>
                <w:sz w:val="21"/>
              </w:rPr>
              <w:t>被保险人申请理赔时年龄必须在</w:t>
            </w:r>
            <w:r>
              <w:rPr>
                <w:b/>
                <w:spacing w:val="-54"/>
                <w:sz w:val="21"/>
              </w:rPr>
              <w:t> </w:t>
            </w:r>
            <w:r>
              <w:rPr>
                <w:b/>
                <w:w w:val="99"/>
                <w:sz w:val="21"/>
              </w:rPr>
              <w:t>3</w:t>
            </w:r>
            <w:r>
              <w:rPr>
                <w:b/>
                <w:spacing w:val="-54"/>
                <w:sz w:val="21"/>
              </w:rPr>
              <w:t> </w:t>
            </w:r>
            <w:r>
              <w:rPr>
                <w:b/>
                <w:w w:val="100"/>
                <w:sz w:val="21"/>
              </w:rPr>
              <w:t>周岁以上（</w:t>
            </w:r>
            <w:r>
              <w:rPr>
                <w:b/>
                <w:spacing w:val="-3"/>
                <w:w w:val="100"/>
                <w:sz w:val="21"/>
              </w:rPr>
              <w:t>眼球缺失或摘除的不受此限</w:t>
            </w:r>
            <w:r>
              <w:rPr>
                <w:b/>
                <w:spacing w:val="-106"/>
                <w:w w:val="100"/>
                <w:sz w:val="21"/>
              </w:rPr>
              <w:t>）</w:t>
            </w:r>
            <w:r>
              <w:rPr>
                <w:b/>
                <w:w w:val="100"/>
                <w:sz w:val="21"/>
              </w:rPr>
              <w:t>，</w:t>
            </w:r>
            <w:r>
              <w:rPr>
                <w:b/>
                <w:spacing w:val="-3"/>
                <w:sz w:val="21"/>
              </w:rPr>
              <w:t>并且提供理赔当时的视力丧失诊断及检查证据。</w:t>
            </w:r>
          </w:p>
        </w:tc>
      </w:tr>
      <w:tr>
        <w:trPr>
          <w:trHeight w:val="217"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623" w:hRule="atLeast"/>
        </w:trPr>
        <w:tc>
          <w:tcPr>
            <w:tcW w:w="852" w:type="dxa"/>
          </w:tcPr>
          <w:p>
            <w:pPr>
              <w:pStyle w:val="TableParagraph"/>
              <w:spacing w:line="262" w:lineRule="exact"/>
              <w:ind w:left="107"/>
              <w:rPr>
                <w:b/>
                <w:sz w:val="21"/>
              </w:rPr>
            </w:pPr>
            <w:r>
              <w:rPr>
                <w:b/>
                <w:w w:val="100"/>
                <w:sz w:val="21"/>
              </w:rPr>
              <w:t>四</w:t>
            </w:r>
          </w:p>
        </w:tc>
        <w:tc>
          <w:tcPr>
            <w:tcW w:w="1932" w:type="dxa"/>
          </w:tcPr>
          <w:p>
            <w:pPr>
              <w:pStyle w:val="TableParagraph"/>
              <w:spacing w:line="262" w:lineRule="exact"/>
              <w:ind w:left="107"/>
              <w:rPr>
                <w:b/>
                <w:sz w:val="21"/>
              </w:rPr>
            </w:pPr>
            <w:r>
              <w:rPr>
                <w:b/>
                <w:sz w:val="21"/>
              </w:rPr>
              <w:t>严重Ⅲ度烧伤</w:t>
            </w:r>
          </w:p>
        </w:tc>
        <w:tc>
          <w:tcPr>
            <w:tcW w:w="7306" w:type="dxa"/>
          </w:tcPr>
          <w:p>
            <w:pPr>
              <w:pStyle w:val="TableParagraph"/>
              <w:spacing w:line="273" w:lineRule="auto"/>
              <w:ind w:left="107" w:right="-15"/>
              <w:rPr>
                <w:sz w:val="21"/>
              </w:rPr>
            </w:pPr>
            <w:r>
              <w:rPr>
                <w:spacing w:val="-11"/>
                <w:sz w:val="21"/>
              </w:rPr>
              <w:t>指烧伤程度为Ⅲ度，且Ⅲ度烧伤的面积达到全身体表面积的 </w:t>
            </w:r>
            <w:r>
              <w:rPr>
                <w:sz w:val="21"/>
              </w:rPr>
              <w:t>20</w:t>
            </w:r>
            <w:r>
              <w:rPr>
                <w:spacing w:val="-14"/>
                <w:sz w:val="21"/>
              </w:rPr>
              <w:t>％或 </w:t>
            </w:r>
            <w:r>
              <w:rPr>
                <w:sz w:val="21"/>
              </w:rPr>
              <w:t>20</w:t>
            </w:r>
            <w:r>
              <w:rPr>
                <w:spacing w:val="-3"/>
                <w:sz w:val="21"/>
              </w:rPr>
              <w:t>％以上。体表面积根据《中国新九分法》计算。</w:t>
            </w:r>
          </w:p>
        </w:tc>
      </w:tr>
      <w:tr>
        <w:trPr>
          <w:trHeight w:val="215"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559" w:hRule="atLeast"/>
        </w:trPr>
        <w:tc>
          <w:tcPr>
            <w:tcW w:w="852" w:type="dxa"/>
          </w:tcPr>
          <w:p>
            <w:pPr>
              <w:pStyle w:val="TableParagraph"/>
              <w:spacing w:line="262" w:lineRule="exact"/>
              <w:ind w:left="107"/>
              <w:rPr>
                <w:b/>
                <w:sz w:val="21"/>
              </w:rPr>
            </w:pPr>
            <w:r>
              <w:rPr>
                <w:b/>
                <w:w w:val="100"/>
                <w:sz w:val="21"/>
              </w:rPr>
              <w:t>五</w:t>
            </w:r>
          </w:p>
        </w:tc>
        <w:tc>
          <w:tcPr>
            <w:tcW w:w="1932" w:type="dxa"/>
          </w:tcPr>
          <w:p>
            <w:pPr>
              <w:pStyle w:val="TableParagraph"/>
              <w:spacing w:line="262" w:lineRule="exact"/>
              <w:ind w:left="107"/>
              <w:rPr>
                <w:b/>
                <w:sz w:val="21"/>
              </w:rPr>
            </w:pPr>
            <w:r>
              <w:rPr>
                <w:b/>
                <w:sz w:val="21"/>
              </w:rPr>
              <w:t>脊髓灰质炎</w:t>
            </w:r>
          </w:p>
        </w:tc>
        <w:tc>
          <w:tcPr>
            <w:tcW w:w="7306" w:type="dxa"/>
          </w:tcPr>
          <w:p>
            <w:pPr>
              <w:pStyle w:val="TableParagraph"/>
              <w:spacing w:line="273" w:lineRule="auto"/>
              <w:ind w:left="107" w:right="91"/>
              <w:rPr>
                <w:sz w:val="21"/>
              </w:rPr>
            </w:pPr>
            <w:r>
              <w:rPr>
                <w:spacing w:val="-5"/>
                <w:sz w:val="21"/>
              </w:rPr>
              <w:t>脊髓灰质炎是由于脊髓灰质炎病毒感染所致的瘫痪性疾病，临床表现为运动功</w:t>
            </w:r>
            <w:r>
              <w:rPr>
                <w:spacing w:val="-7"/>
                <w:sz w:val="21"/>
              </w:rPr>
              <w:t>能损害或呼吸无力。脊髓灰质炎必须明确诊断。本保单仅对脊髓灰质炎造成的</w:t>
            </w:r>
            <w:r>
              <w:rPr>
                <w:spacing w:val="-3"/>
                <w:sz w:val="21"/>
              </w:rPr>
              <w:t>神经系统功能损害导致被保险人一肢或一肢以上肢体机能永久完全丧失的情</w:t>
            </w:r>
            <w:r>
              <w:rPr>
                <w:spacing w:val="-9"/>
                <w:sz w:val="21"/>
              </w:rPr>
              <w:t>况予以理赔。肢体机能永久完全丧失，指疾病确诊 </w:t>
            </w:r>
            <w:r>
              <w:rPr>
                <w:sz w:val="21"/>
              </w:rPr>
              <w:t>180</w:t>
            </w:r>
            <w:r>
              <w:rPr>
                <w:spacing w:val="-12"/>
                <w:sz w:val="21"/>
              </w:rPr>
              <w:t> 天后，每肢</w:t>
            </w:r>
            <w:r>
              <w:rPr>
                <w:b/>
                <w:sz w:val="21"/>
              </w:rPr>
              <w:t>三大关节</w:t>
            </w:r>
            <w:r>
              <w:rPr>
                <w:sz w:val="21"/>
              </w:rPr>
              <w:t>中</w:t>
            </w:r>
            <w:r>
              <w:rPr>
                <w:spacing w:val="-3"/>
                <w:sz w:val="21"/>
              </w:rPr>
              <w:t>的两大关节仍然完全僵硬，或不能随意识活动。</w:t>
            </w:r>
          </w:p>
        </w:tc>
      </w:tr>
      <w:tr>
        <w:trPr>
          <w:trHeight w:val="217"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247" w:hRule="atLeast"/>
        </w:trPr>
        <w:tc>
          <w:tcPr>
            <w:tcW w:w="852" w:type="dxa"/>
          </w:tcPr>
          <w:p>
            <w:pPr>
              <w:pStyle w:val="TableParagraph"/>
              <w:spacing w:line="262" w:lineRule="exact"/>
              <w:ind w:left="107"/>
              <w:rPr>
                <w:b/>
                <w:sz w:val="21"/>
              </w:rPr>
            </w:pPr>
            <w:r>
              <w:rPr>
                <w:b/>
                <w:w w:val="100"/>
                <w:sz w:val="21"/>
              </w:rPr>
              <w:t>六</w:t>
            </w:r>
          </w:p>
        </w:tc>
        <w:tc>
          <w:tcPr>
            <w:tcW w:w="1932" w:type="dxa"/>
          </w:tcPr>
          <w:p>
            <w:pPr>
              <w:pStyle w:val="TableParagraph"/>
              <w:spacing w:line="262" w:lineRule="exact"/>
              <w:ind w:left="107"/>
              <w:rPr>
                <w:b/>
                <w:sz w:val="21"/>
              </w:rPr>
            </w:pPr>
            <w:r>
              <w:rPr>
                <w:b/>
                <w:sz w:val="21"/>
              </w:rPr>
              <w:t>严重哮喘</w:t>
            </w:r>
          </w:p>
        </w:tc>
        <w:tc>
          <w:tcPr>
            <w:tcW w:w="7306" w:type="dxa"/>
          </w:tcPr>
          <w:p>
            <w:pPr>
              <w:pStyle w:val="TableParagraph"/>
              <w:spacing w:line="273" w:lineRule="auto"/>
              <w:ind w:left="107" w:right="47"/>
              <w:rPr>
                <w:sz w:val="21"/>
              </w:rPr>
            </w:pPr>
            <w:r>
              <w:rPr>
                <w:sz w:val="21"/>
              </w:rPr>
              <w:t>被保险人必须在过去两年内曾发生哮喘持续状态，并满足以下标准中的两项或两项以上标准：</w:t>
            </w:r>
          </w:p>
          <w:p>
            <w:pPr>
              <w:pStyle w:val="TableParagraph"/>
              <w:spacing w:before="20"/>
              <w:ind w:left="107"/>
              <w:rPr>
                <w:sz w:val="21"/>
              </w:rPr>
            </w:pPr>
            <w:r>
              <w:rPr>
                <w:sz w:val="21"/>
              </w:rPr>
              <w:t>（1）运动耐受力永久并持续地减少并且轻微的运动能引起气促；</w:t>
            </w:r>
          </w:p>
          <w:p>
            <w:pPr>
              <w:pStyle w:val="TableParagraph"/>
              <w:spacing w:before="36"/>
              <w:ind w:left="107"/>
              <w:rPr>
                <w:sz w:val="21"/>
              </w:rPr>
            </w:pPr>
            <w:r>
              <w:rPr>
                <w:sz w:val="21"/>
              </w:rPr>
              <w:t>（2）长期胸腔过渡膨胀而导致胸腔畸形；</w:t>
            </w:r>
          </w:p>
        </w:tc>
      </w:tr>
    </w:tbl>
    <w:p>
      <w:pPr>
        <w:spacing w:after="0"/>
        <w:rPr>
          <w:sz w:val="21"/>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2"/>
        <w:gridCol w:w="7306"/>
      </w:tblGrid>
      <w:tr>
        <w:trPr>
          <w:trHeight w:val="625" w:hRule="atLeast"/>
        </w:trPr>
        <w:tc>
          <w:tcPr>
            <w:tcW w:w="852" w:type="dxa"/>
          </w:tcPr>
          <w:p>
            <w:pPr>
              <w:pStyle w:val="TableParagraph"/>
              <w:rPr>
                <w:rFonts w:ascii="Times New Roman"/>
                <w:sz w:val="20"/>
              </w:rPr>
            </w:pPr>
          </w:p>
        </w:tc>
        <w:tc>
          <w:tcPr>
            <w:tcW w:w="1932" w:type="dxa"/>
          </w:tcPr>
          <w:p>
            <w:pPr>
              <w:pStyle w:val="TableParagraph"/>
              <w:rPr>
                <w:rFonts w:ascii="Times New Roman"/>
                <w:sz w:val="20"/>
              </w:rPr>
            </w:pPr>
          </w:p>
        </w:tc>
        <w:tc>
          <w:tcPr>
            <w:tcW w:w="7306" w:type="dxa"/>
          </w:tcPr>
          <w:p>
            <w:pPr>
              <w:pStyle w:val="TableParagraph"/>
              <w:spacing w:line="259" w:lineRule="exact"/>
              <w:ind w:left="107"/>
              <w:rPr>
                <w:sz w:val="21"/>
              </w:rPr>
            </w:pPr>
            <w:r>
              <w:rPr>
                <w:sz w:val="21"/>
              </w:rPr>
              <w:t>（3）在家及在静息状态下需要吸氧；</w:t>
            </w:r>
          </w:p>
          <w:p>
            <w:pPr>
              <w:pStyle w:val="TableParagraph"/>
              <w:spacing w:before="37"/>
              <w:ind w:left="107"/>
              <w:rPr>
                <w:sz w:val="21"/>
              </w:rPr>
            </w:pPr>
            <w:r>
              <w:rPr>
                <w:sz w:val="21"/>
              </w:rPr>
              <w:t>（4）</w:t>
            </w:r>
            <w:r>
              <w:rPr>
                <w:spacing w:val="-3"/>
                <w:sz w:val="21"/>
              </w:rPr>
              <w:t>持续的每天服用类固醇药物</w:t>
            </w:r>
            <w:r>
              <w:rPr>
                <w:sz w:val="21"/>
              </w:rPr>
              <w:t>（</w:t>
            </w:r>
            <w:r>
              <w:rPr>
                <w:spacing w:val="-11"/>
                <w:sz w:val="21"/>
              </w:rPr>
              <w:t>至少持续 </w:t>
            </w:r>
            <w:r>
              <w:rPr>
                <w:sz w:val="21"/>
              </w:rPr>
              <w:t>6</w:t>
            </w:r>
            <w:r>
              <w:rPr>
                <w:spacing w:val="-10"/>
                <w:sz w:val="21"/>
              </w:rPr>
              <w:t> 个月以上</w:t>
            </w:r>
            <w:r>
              <w:rPr>
                <w:spacing w:val="-108"/>
                <w:sz w:val="21"/>
              </w:rPr>
              <w:t>）</w:t>
            </w:r>
            <w:r>
              <w:rPr>
                <w:sz w:val="21"/>
              </w:rPr>
              <w:t>。</w:t>
            </w:r>
          </w:p>
        </w:tc>
      </w:tr>
      <w:tr>
        <w:trPr>
          <w:trHeight w:val="215"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247" w:hRule="atLeast"/>
        </w:trPr>
        <w:tc>
          <w:tcPr>
            <w:tcW w:w="852" w:type="dxa"/>
          </w:tcPr>
          <w:p>
            <w:pPr>
              <w:pStyle w:val="TableParagraph"/>
              <w:spacing w:line="257" w:lineRule="exact"/>
              <w:ind w:left="107"/>
              <w:rPr>
                <w:b/>
                <w:sz w:val="21"/>
              </w:rPr>
            </w:pPr>
            <w:r>
              <w:rPr>
                <w:b/>
                <w:w w:val="100"/>
                <w:sz w:val="21"/>
              </w:rPr>
              <w:t>七</w:t>
            </w:r>
          </w:p>
        </w:tc>
        <w:tc>
          <w:tcPr>
            <w:tcW w:w="1932" w:type="dxa"/>
          </w:tcPr>
          <w:p>
            <w:pPr>
              <w:pStyle w:val="TableParagraph"/>
              <w:spacing w:line="257" w:lineRule="exact"/>
              <w:ind w:left="107"/>
              <w:rPr>
                <w:b/>
                <w:sz w:val="21"/>
              </w:rPr>
            </w:pPr>
            <w:r>
              <w:rPr>
                <w:b/>
                <w:sz w:val="21"/>
              </w:rPr>
              <w:t>严重幼年型类风湿</w:t>
            </w:r>
          </w:p>
          <w:p>
            <w:pPr>
              <w:pStyle w:val="TableParagraph"/>
              <w:spacing w:before="37"/>
              <w:ind w:left="107"/>
              <w:rPr>
                <w:b/>
                <w:sz w:val="21"/>
              </w:rPr>
            </w:pPr>
            <w:r>
              <w:rPr>
                <w:b/>
                <w:sz w:val="21"/>
              </w:rPr>
              <w:t>性关节炎</w:t>
            </w:r>
          </w:p>
        </w:tc>
        <w:tc>
          <w:tcPr>
            <w:tcW w:w="7306" w:type="dxa"/>
          </w:tcPr>
          <w:p>
            <w:pPr>
              <w:pStyle w:val="TableParagraph"/>
              <w:spacing w:line="257" w:lineRule="exact"/>
              <w:ind w:left="107"/>
              <w:rPr>
                <w:sz w:val="21"/>
              </w:rPr>
            </w:pPr>
            <w:r>
              <w:rPr>
                <w:sz w:val="21"/>
              </w:rPr>
              <w:t>指为了治疗幼年型类风湿关节炎，实际实施了膝关节或髋关节置换手术。</w:t>
            </w:r>
          </w:p>
          <w:p>
            <w:pPr>
              <w:pStyle w:val="TableParagraph"/>
              <w:spacing w:line="273" w:lineRule="auto" w:before="37"/>
              <w:ind w:left="107" w:right="32"/>
              <w:rPr>
                <w:sz w:val="21"/>
              </w:rPr>
            </w:pPr>
            <w:r>
              <w:rPr>
                <w:sz w:val="21"/>
              </w:rPr>
              <w:t>幼年型类风湿关节炎是一种儿童期发病的慢性关节炎，其特点为在高热和系统性病征出现数月后发生关节炎。</w:t>
            </w:r>
          </w:p>
          <w:p>
            <w:pPr>
              <w:pStyle w:val="TableParagraph"/>
              <w:spacing w:before="7"/>
              <w:ind w:left="107"/>
              <w:rPr>
                <w:sz w:val="21"/>
              </w:rPr>
            </w:pPr>
            <w:r>
              <w:rPr>
                <w:sz w:val="21"/>
              </w:rPr>
              <w:t>被保险人疾病诊断时年龄必须在年满十八周岁之前。</w:t>
            </w:r>
          </w:p>
        </w:tc>
      </w:tr>
      <w:tr>
        <w:trPr>
          <w:trHeight w:val="217"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935" w:hRule="atLeast"/>
        </w:trPr>
        <w:tc>
          <w:tcPr>
            <w:tcW w:w="852" w:type="dxa"/>
          </w:tcPr>
          <w:p>
            <w:pPr>
              <w:pStyle w:val="TableParagraph"/>
              <w:spacing w:line="257" w:lineRule="exact"/>
              <w:ind w:left="107"/>
              <w:rPr>
                <w:b/>
                <w:sz w:val="21"/>
              </w:rPr>
            </w:pPr>
            <w:r>
              <w:rPr>
                <w:b/>
                <w:w w:val="100"/>
                <w:sz w:val="21"/>
              </w:rPr>
              <w:t>八</w:t>
            </w:r>
          </w:p>
        </w:tc>
        <w:tc>
          <w:tcPr>
            <w:tcW w:w="1932" w:type="dxa"/>
          </w:tcPr>
          <w:p>
            <w:pPr>
              <w:pStyle w:val="TableParagraph"/>
              <w:spacing w:line="257" w:lineRule="exact"/>
              <w:ind w:left="107"/>
              <w:rPr>
                <w:b/>
                <w:sz w:val="21"/>
              </w:rPr>
            </w:pPr>
            <w:r>
              <w:rPr>
                <w:b/>
                <w:sz w:val="21"/>
              </w:rPr>
              <w:t>严重肠道疾病并发</w:t>
            </w:r>
          </w:p>
          <w:p>
            <w:pPr>
              <w:pStyle w:val="TableParagraph"/>
              <w:spacing w:before="37"/>
              <w:ind w:left="107"/>
              <w:rPr>
                <w:b/>
                <w:sz w:val="21"/>
              </w:rPr>
            </w:pPr>
            <w:r>
              <w:rPr>
                <w:b/>
                <w:w w:val="100"/>
                <w:sz w:val="21"/>
              </w:rPr>
              <w:t>症</w:t>
            </w:r>
          </w:p>
        </w:tc>
        <w:tc>
          <w:tcPr>
            <w:tcW w:w="7306" w:type="dxa"/>
          </w:tcPr>
          <w:p>
            <w:pPr>
              <w:pStyle w:val="TableParagraph"/>
              <w:spacing w:line="257" w:lineRule="exact"/>
              <w:ind w:left="107"/>
              <w:rPr>
                <w:sz w:val="21"/>
              </w:rPr>
            </w:pPr>
            <w:r>
              <w:rPr>
                <w:sz w:val="21"/>
              </w:rPr>
              <w:t>严重肠道疾病或外伤导致小肠损害并发症，本疾病须满足以下所有条件：</w:t>
            </w:r>
          </w:p>
          <w:p>
            <w:pPr>
              <w:pStyle w:val="TableParagraph"/>
              <w:spacing w:before="37"/>
              <w:ind w:left="107"/>
              <w:rPr>
                <w:sz w:val="21"/>
              </w:rPr>
            </w:pPr>
            <w:r>
              <w:rPr>
                <w:sz w:val="21"/>
              </w:rPr>
              <w:t>（1）至少切除了三分之二小肠；</w:t>
            </w:r>
          </w:p>
          <w:p>
            <w:pPr>
              <w:pStyle w:val="TableParagraph"/>
              <w:spacing w:before="37"/>
              <w:ind w:left="107"/>
              <w:rPr>
                <w:sz w:val="21"/>
              </w:rPr>
            </w:pPr>
            <w:r>
              <w:rPr>
                <w:sz w:val="21"/>
              </w:rPr>
              <w:t>（2）完全肠外营养支持三个月以上。</w:t>
            </w:r>
          </w:p>
        </w:tc>
      </w:tr>
      <w:tr>
        <w:trPr>
          <w:trHeight w:val="217"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495" w:hRule="atLeast"/>
        </w:trPr>
        <w:tc>
          <w:tcPr>
            <w:tcW w:w="852" w:type="dxa"/>
          </w:tcPr>
          <w:p>
            <w:pPr>
              <w:pStyle w:val="TableParagraph"/>
              <w:spacing w:line="257" w:lineRule="exact"/>
              <w:ind w:left="107"/>
              <w:rPr>
                <w:b/>
                <w:sz w:val="21"/>
              </w:rPr>
            </w:pPr>
            <w:r>
              <w:rPr>
                <w:b/>
                <w:w w:val="100"/>
                <w:sz w:val="21"/>
              </w:rPr>
              <w:t>九</w:t>
            </w:r>
          </w:p>
        </w:tc>
        <w:tc>
          <w:tcPr>
            <w:tcW w:w="1932" w:type="dxa"/>
          </w:tcPr>
          <w:p>
            <w:pPr>
              <w:pStyle w:val="TableParagraph"/>
              <w:spacing w:line="257" w:lineRule="exact"/>
              <w:ind w:left="107"/>
              <w:rPr>
                <w:b/>
                <w:sz w:val="21"/>
              </w:rPr>
            </w:pPr>
            <w:r>
              <w:rPr>
                <w:b/>
                <w:sz w:val="21"/>
              </w:rPr>
              <w:t>瑞氏综合症</w:t>
            </w:r>
          </w:p>
        </w:tc>
        <w:tc>
          <w:tcPr>
            <w:tcW w:w="7306" w:type="dxa"/>
          </w:tcPr>
          <w:p>
            <w:pPr>
              <w:pStyle w:val="TableParagraph"/>
              <w:spacing w:line="257" w:lineRule="exact"/>
              <w:ind w:left="107"/>
              <w:rPr>
                <w:sz w:val="21"/>
              </w:rPr>
            </w:pPr>
            <w:r>
              <w:rPr>
                <w:sz w:val="21"/>
              </w:rPr>
              <w:t>瑞氏综合症是线粒体功能障碍性疾病。导致脂肪代谢障碍，引起短链脂肪酸、</w:t>
            </w:r>
          </w:p>
          <w:p>
            <w:pPr>
              <w:pStyle w:val="TableParagraph"/>
              <w:spacing w:line="273" w:lineRule="auto" w:before="37"/>
              <w:ind w:left="107" w:right="95"/>
              <w:rPr>
                <w:sz w:val="21"/>
              </w:rPr>
            </w:pPr>
            <w:r>
              <w:rPr>
                <w:spacing w:val="-8"/>
                <w:sz w:val="21"/>
              </w:rPr>
              <w:t>血氨升高，造成脑水肿。主要临床表现为急性发热、反复呕吐、惊厥及意识障</w:t>
            </w:r>
            <w:r>
              <w:rPr>
                <w:spacing w:val="-1"/>
                <w:sz w:val="21"/>
              </w:rPr>
              <w:t>碍等等。</w:t>
            </w:r>
          </w:p>
          <w:p>
            <w:pPr>
              <w:pStyle w:val="TableParagraph"/>
              <w:spacing w:line="273" w:lineRule="auto" w:before="7"/>
              <w:ind w:left="107" w:right="42"/>
              <w:rPr>
                <w:sz w:val="21"/>
              </w:rPr>
            </w:pPr>
            <w:r>
              <w:rPr>
                <w:sz w:val="21"/>
              </w:rPr>
              <w:t>肝脏活检是确诊的重要手段。瑞氏综合征需由三级医院的儿科专科医生确诊， 并符合下列所有条件：</w:t>
            </w:r>
          </w:p>
          <w:p>
            <w:pPr>
              <w:pStyle w:val="TableParagraph"/>
              <w:spacing w:before="7"/>
              <w:ind w:left="107"/>
              <w:rPr>
                <w:sz w:val="21"/>
              </w:rPr>
            </w:pPr>
            <w:r>
              <w:rPr>
                <w:sz w:val="21"/>
              </w:rPr>
              <w:t>（1）有脑水肿和颅内压升高的脑脊液检查和影像学检查证据；</w:t>
            </w:r>
          </w:p>
          <w:p>
            <w:pPr>
              <w:pStyle w:val="TableParagraph"/>
              <w:spacing w:before="37"/>
              <w:ind w:left="107"/>
              <w:rPr>
                <w:sz w:val="21"/>
              </w:rPr>
            </w:pPr>
            <w:r>
              <w:rPr>
                <w:sz w:val="21"/>
              </w:rPr>
              <w:t>（2）血氨超过正常值的 3 倍；</w:t>
            </w:r>
          </w:p>
          <w:p>
            <w:pPr>
              <w:pStyle w:val="TableParagraph"/>
              <w:spacing w:before="37"/>
              <w:ind w:left="108"/>
              <w:rPr>
                <w:sz w:val="21"/>
              </w:rPr>
            </w:pPr>
            <w:r>
              <w:rPr>
                <w:sz w:val="21"/>
              </w:rPr>
              <w:t>（3）临床出现昏迷，病程至少达到疾病分期第 3 期。</w:t>
            </w:r>
          </w:p>
        </w:tc>
      </w:tr>
      <w:tr>
        <w:trPr>
          <w:trHeight w:val="215"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561" w:hRule="atLeast"/>
        </w:trPr>
        <w:tc>
          <w:tcPr>
            <w:tcW w:w="852" w:type="dxa"/>
          </w:tcPr>
          <w:p>
            <w:pPr>
              <w:pStyle w:val="TableParagraph"/>
              <w:spacing w:line="259" w:lineRule="exact"/>
              <w:ind w:left="107"/>
              <w:rPr>
                <w:b/>
                <w:sz w:val="21"/>
              </w:rPr>
            </w:pPr>
            <w:r>
              <w:rPr>
                <w:b/>
                <w:w w:val="100"/>
                <w:sz w:val="21"/>
              </w:rPr>
              <w:t>十</w:t>
            </w:r>
          </w:p>
        </w:tc>
        <w:tc>
          <w:tcPr>
            <w:tcW w:w="1932" w:type="dxa"/>
          </w:tcPr>
          <w:p>
            <w:pPr>
              <w:pStyle w:val="TableParagraph"/>
              <w:spacing w:line="259" w:lineRule="exact"/>
              <w:ind w:left="107"/>
              <w:rPr>
                <w:b/>
                <w:sz w:val="21"/>
              </w:rPr>
            </w:pPr>
            <w:r>
              <w:rPr>
                <w:b/>
                <w:sz w:val="21"/>
              </w:rPr>
              <w:t>严重川崎病</w:t>
            </w:r>
          </w:p>
        </w:tc>
        <w:tc>
          <w:tcPr>
            <w:tcW w:w="7306" w:type="dxa"/>
          </w:tcPr>
          <w:p>
            <w:pPr>
              <w:pStyle w:val="TableParagraph"/>
              <w:spacing w:line="259" w:lineRule="exact"/>
              <w:ind w:left="107"/>
              <w:rPr>
                <w:sz w:val="21"/>
              </w:rPr>
            </w:pPr>
            <w:r>
              <w:rPr>
                <w:sz w:val="21"/>
              </w:rPr>
              <w:t>是一种血管炎综合征，临床表现为急性发热，皮肤粘膜病损和淋巴结肿大。本</w:t>
            </w:r>
          </w:p>
          <w:p>
            <w:pPr>
              <w:pStyle w:val="TableParagraph"/>
              <w:spacing w:line="273" w:lineRule="auto" w:before="37"/>
              <w:ind w:left="107" w:right="46"/>
              <w:rPr>
                <w:sz w:val="21"/>
              </w:rPr>
            </w:pPr>
            <w:r>
              <w:rPr>
                <w:sz w:val="21"/>
              </w:rPr>
              <w:t>病须经专科医生明确诊断，同时须由血管造影或超声心动图检查证实，满足下列至少一项条件：</w:t>
            </w:r>
          </w:p>
          <w:p>
            <w:pPr>
              <w:pStyle w:val="TableParagraph"/>
              <w:spacing w:before="7"/>
              <w:ind w:left="107"/>
              <w:rPr>
                <w:sz w:val="21"/>
              </w:rPr>
            </w:pPr>
            <w:r>
              <w:rPr>
                <w:sz w:val="21"/>
              </w:rPr>
              <w:t>（1）伴有冠状动脉瘤，且冠状动脉瘤于最初急性发病后持续至少 180 天；</w:t>
            </w:r>
          </w:p>
          <w:p>
            <w:pPr>
              <w:pStyle w:val="TableParagraph"/>
              <w:spacing w:before="36"/>
              <w:ind w:left="107"/>
              <w:rPr>
                <w:sz w:val="21"/>
              </w:rPr>
            </w:pPr>
            <w:r>
              <w:rPr>
                <w:sz w:val="21"/>
              </w:rPr>
              <w:t>（2）伴有冠状动脉瘤，且实际接受了对冠状动脉瘤进行的手术治疗。</w:t>
            </w:r>
          </w:p>
        </w:tc>
      </w:tr>
      <w:tr>
        <w:trPr>
          <w:trHeight w:val="215"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495" w:hRule="atLeast"/>
        </w:trPr>
        <w:tc>
          <w:tcPr>
            <w:tcW w:w="852" w:type="dxa"/>
          </w:tcPr>
          <w:p>
            <w:pPr>
              <w:pStyle w:val="TableParagraph"/>
              <w:spacing w:line="257" w:lineRule="exact"/>
              <w:ind w:left="107"/>
              <w:rPr>
                <w:b/>
                <w:sz w:val="21"/>
              </w:rPr>
            </w:pPr>
            <w:r>
              <w:rPr>
                <w:b/>
                <w:sz w:val="21"/>
              </w:rPr>
              <w:t>十一</w:t>
            </w:r>
          </w:p>
        </w:tc>
        <w:tc>
          <w:tcPr>
            <w:tcW w:w="1932" w:type="dxa"/>
          </w:tcPr>
          <w:p>
            <w:pPr>
              <w:pStyle w:val="TableParagraph"/>
              <w:spacing w:line="257" w:lineRule="exact"/>
              <w:ind w:left="107"/>
              <w:rPr>
                <w:b/>
                <w:sz w:val="21"/>
              </w:rPr>
            </w:pPr>
            <w:r>
              <w:rPr>
                <w:b/>
                <w:sz w:val="21"/>
              </w:rPr>
              <w:t>重症手足口病</w:t>
            </w:r>
          </w:p>
        </w:tc>
        <w:tc>
          <w:tcPr>
            <w:tcW w:w="7306" w:type="dxa"/>
          </w:tcPr>
          <w:p>
            <w:pPr>
              <w:pStyle w:val="TableParagraph"/>
              <w:spacing w:line="257" w:lineRule="exact"/>
              <w:ind w:left="107" w:right="-15"/>
              <w:rPr>
                <w:sz w:val="21"/>
              </w:rPr>
            </w:pPr>
            <w:r>
              <w:rPr>
                <w:spacing w:val="-12"/>
                <w:sz w:val="21"/>
              </w:rPr>
              <w:t>由肠道病毒引起的急性传染病，主要症状表现为手、足、口腔等部位的斑丘疹、</w:t>
            </w:r>
          </w:p>
          <w:p>
            <w:pPr>
              <w:pStyle w:val="TableParagraph"/>
              <w:spacing w:line="273" w:lineRule="auto" w:before="37"/>
              <w:ind w:left="107" w:right="95"/>
              <w:rPr>
                <w:sz w:val="21"/>
              </w:rPr>
            </w:pPr>
            <w:r>
              <w:rPr>
                <w:spacing w:val="-8"/>
                <w:sz w:val="21"/>
              </w:rPr>
              <w:t>疱疹。经我们认可的医疗机构的专科医生确诊为患有手足口病，并伴有下列三</w:t>
            </w:r>
            <w:r>
              <w:rPr>
                <w:spacing w:val="-3"/>
                <w:sz w:val="21"/>
              </w:rPr>
              <w:t>项中的任意一项并发症：</w:t>
            </w:r>
          </w:p>
          <w:p>
            <w:pPr>
              <w:pStyle w:val="TableParagraph"/>
              <w:spacing w:line="273" w:lineRule="auto" w:before="7"/>
              <w:ind w:left="107" w:right="145"/>
              <w:rPr>
                <w:sz w:val="21"/>
              </w:rPr>
            </w:pPr>
            <w:r>
              <w:rPr>
                <w:sz w:val="21"/>
              </w:rPr>
              <w:t>（1）有脑膜炎或脑炎并发症，且导致意识障碍或瘫痪的临床表现及实验室检查证据；</w:t>
            </w:r>
          </w:p>
          <w:p>
            <w:pPr>
              <w:pStyle w:val="TableParagraph"/>
              <w:spacing w:before="7"/>
              <w:ind w:left="107" w:right="-15"/>
              <w:rPr>
                <w:sz w:val="21"/>
              </w:rPr>
            </w:pPr>
            <w:r>
              <w:rPr>
                <w:spacing w:val="-10"/>
                <w:sz w:val="21"/>
              </w:rPr>
              <w:t>（2）</w:t>
            </w:r>
            <w:r>
              <w:rPr>
                <w:spacing w:val="-6"/>
                <w:sz w:val="21"/>
              </w:rPr>
              <w:t>有肺炎或肺水肿并发症，且导致呼吸衰竭的临床表现及实验室检查证据；</w:t>
            </w:r>
          </w:p>
          <w:p>
            <w:pPr>
              <w:pStyle w:val="TableParagraph"/>
              <w:spacing w:line="273" w:lineRule="auto" w:before="37"/>
              <w:ind w:left="107" w:right="145"/>
              <w:rPr>
                <w:sz w:val="21"/>
              </w:rPr>
            </w:pPr>
            <w:r>
              <w:rPr>
                <w:sz w:val="21"/>
              </w:rPr>
              <w:t>（3）有心肌炎并发症，且导致心脏扩大或心力衰竭的临床表现及实验室检查证。</w:t>
            </w:r>
          </w:p>
        </w:tc>
      </w:tr>
      <w:tr>
        <w:trPr>
          <w:trHeight w:val="217"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559" w:hRule="atLeast"/>
        </w:trPr>
        <w:tc>
          <w:tcPr>
            <w:tcW w:w="852" w:type="dxa"/>
          </w:tcPr>
          <w:p>
            <w:pPr>
              <w:pStyle w:val="TableParagraph"/>
              <w:spacing w:line="257" w:lineRule="exact"/>
              <w:ind w:left="107"/>
              <w:rPr>
                <w:b/>
                <w:sz w:val="21"/>
              </w:rPr>
            </w:pPr>
            <w:r>
              <w:rPr>
                <w:b/>
                <w:sz w:val="21"/>
              </w:rPr>
              <w:t>十二</w:t>
            </w:r>
          </w:p>
        </w:tc>
        <w:tc>
          <w:tcPr>
            <w:tcW w:w="1932" w:type="dxa"/>
          </w:tcPr>
          <w:p>
            <w:pPr>
              <w:pStyle w:val="TableParagraph"/>
              <w:spacing w:line="257" w:lineRule="exact"/>
              <w:ind w:left="107"/>
              <w:rPr>
                <w:b/>
                <w:sz w:val="21"/>
              </w:rPr>
            </w:pPr>
            <w:r>
              <w:rPr>
                <w:b/>
                <w:sz w:val="21"/>
              </w:rPr>
              <w:t>严重癫痫</w:t>
            </w:r>
          </w:p>
        </w:tc>
        <w:tc>
          <w:tcPr>
            <w:tcW w:w="7306" w:type="dxa"/>
          </w:tcPr>
          <w:p>
            <w:pPr>
              <w:pStyle w:val="TableParagraph"/>
              <w:spacing w:line="257" w:lineRule="exact"/>
              <w:ind w:left="107"/>
              <w:rPr>
                <w:sz w:val="21"/>
              </w:rPr>
            </w:pPr>
            <w:r>
              <w:rPr>
                <w:sz w:val="21"/>
              </w:rPr>
              <w:t>本病的诊断须由神经科或儿科专科医生根据典型临床症状和脑电图及 MRI、</w:t>
            </w:r>
          </w:p>
          <w:p>
            <w:pPr>
              <w:pStyle w:val="TableParagraph"/>
              <w:spacing w:line="273" w:lineRule="auto" w:before="37"/>
              <w:ind w:left="107" w:right="96"/>
              <w:rPr>
                <w:sz w:val="21"/>
              </w:rPr>
            </w:pPr>
            <w:r>
              <w:rPr>
                <w:sz w:val="21"/>
              </w:rPr>
              <w:t>PET、CT</w:t>
            </w:r>
            <w:r>
              <w:rPr>
                <w:spacing w:val="-10"/>
                <w:sz w:val="21"/>
              </w:rPr>
              <w:t> 等影相学检查做出。理赔时必须提供 </w:t>
            </w:r>
            <w:r>
              <w:rPr>
                <w:sz w:val="21"/>
              </w:rPr>
              <w:t>6</w:t>
            </w:r>
            <w:r>
              <w:rPr>
                <w:spacing w:val="-8"/>
                <w:sz w:val="21"/>
              </w:rPr>
              <w:t> 个月以上的相关病历记录证明</w:t>
            </w:r>
            <w:r>
              <w:rPr>
                <w:spacing w:val="-3"/>
                <w:sz w:val="21"/>
              </w:rPr>
              <w:t>被保险人存在经抗癫痫药物治疗无效而反复发作的强直阵挛性发作或癫痫大发作，且已行神经外科手术以治疗反复发作的癫痫。</w:t>
            </w:r>
          </w:p>
          <w:p>
            <w:pPr>
              <w:pStyle w:val="TableParagraph"/>
              <w:spacing w:before="8"/>
              <w:ind w:left="107" w:right="-15"/>
              <w:rPr>
                <w:b/>
                <w:sz w:val="21"/>
              </w:rPr>
            </w:pPr>
            <w:r>
              <w:rPr>
                <w:b/>
                <w:spacing w:val="-7"/>
                <w:sz w:val="21"/>
              </w:rPr>
              <w:t>发热性惊厥以及没有全身性发作的失神发作</w:t>
            </w:r>
            <w:r>
              <w:rPr>
                <w:b/>
                <w:sz w:val="21"/>
              </w:rPr>
              <w:t>（</w:t>
            </w:r>
            <w:r>
              <w:rPr>
                <w:b/>
                <w:spacing w:val="-1"/>
                <w:sz w:val="21"/>
              </w:rPr>
              <w:t>癫痫小发作</w:t>
            </w:r>
            <w:r>
              <w:rPr>
                <w:b/>
                <w:spacing w:val="-92"/>
                <w:sz w:val="21"/>
              </w:rPr>
              <w:t>）</w:t>
            </w:r>
            <w:r>
              <w:rPr>
                <w:b/>
                <w:spacing w:val="-1"/>
                <w:sz w:val="21"/>
              </w:rPr>
              <w:t>不在本保障范围内。</w:t>
            </w:r>
          </w:p>
        </w:tc>
      </w:tr>
    </w:tbl>
    <w:p>
      <w:pPr>
        <w:pStyle w:val="BodyText"/>
        <w:spacing w:before="4"/>
        <w:rPr>
          <w:b/>
          <w:sz w:val="18"/>
        </w:rPr>
      </w:pPr>
    </w:p>
    <w:p>
      <w:pPr>
        <w:tabs>
          <w:tab w:pos="1184" w:val="left" w:leader="none"/>
        </w:tabs>
        <w:spacing w:before="26" w:after="38"/>
        <w:ind w:left="220" w:right="0" w:firstLine="0"/>
        <w:jc w:val="left"/>
        <w:rPr>
          <w:b/>
          <w:sz w:val="24"/>
        </w:rPr>
      </w:pPr>
      <w:r>
        <w:rPr>
          <w:b/>
          <w:sz w:val="24"/>
        </w:rPr>
        <w:t>附录三</w:t>
        <w:tab/>
      </w:r>
      <w:r>
        <w:rPr>
          <w:b/>
          <w:w w:val="95"/>
          <w:sz w:val="24"/>
        </w:rPr>
        <w:t>轻症疾病列表</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2"/>
        <w:gridCol w:w="7306"/>
      </w:tblGrid>
      <w:tr>
        <w:trPr>
          <w:trHeight w:val="1562" w:hRule="atLeast"/>
        </w:trPr>
        <w:tc>
          <w:tcPr>
            <w:tcW w:w="852" w:type="dxa"/>
          </w:tcPr>
          <w:p>
            <w:pPr>
              <w:pStyle w:val="TableParagraph"/>
              <w:spacing w:line="262" w:lineRule="exact"/>
              <w:ind w:left="107"/>
              <w:rPr>
                <w:b/>
                <w:sz w:val="21"/>
              </w:rPr>
            </w:pPr>
            <w:r>
              <w:rPr>
                <w:b/>
                <w:w w:val="100"/>
                <w:sz w:val="21"/>
              </w:rPr>
              <w:t>一</w:t>
            </w:r>
          </w:p>
        </w:tc>
        <w:tc>
          <w:tcPr>
            <w:tcW w:w="1932" w:type="dxa"/>
          </w:tcPr>
          <w:p>
            <w:pPr>
              <w:pStyle w:val="TableParagraph"/>
              <w:spacing w:line="273" w:lineRule="auto"/>
              <w:ind w:left="107" w:right="122"/>
              <w:rPr>
                <w:b/>
                <w:sz w:val="21"/>
              </w:rPr>
            </w:pPr>
            <w:r>
              <w:rPr>
                <w:b/>
                <w:sz w:val="21"/>
              </w:rPr>
              <w:t>非危及生命的（极早期的）恶性病变</w:t>
            </w:r>
          </w:p>
        </w:tc>
        <w:tc>
          <w:tcPr>
            <w:tcW w:w="7306" w:type="dxa"/>
          </w:tcPr>
          <w:p>
            <w:pPr>
              <w:pStyle w:val="TableParagraph"/>
              <w:spacing w:line="262" w:lineRule="exact"/>
              <w:ind w:left="107"/>
              <w:rPr>
                <w:sz w:val="21"/>
              </w:rPr>
            </w:pPr>
            <w:r>
              <w:rPr>
                <w:sz w:val="21"/>
              </w:rPr>
              <w:t>指经组织病理学检查被明确诊断为下列恶性病变，并且接受了相应的治疗。</w:t>
            </w:r>
          </w:p>
          <w:p>
            <w:pPr>
              <w:pStyle w:val="TableParagraph"/>
              <w:spacing w:before="37"/>
              <w:ind w:left="108"/>
              <w:rPr>
                <w:sz w:val="21"/>
              </w:rPr>
            </w:pPr>
            <w:r>
              <w:rPr>
                <w:sz w:val="21"/>
              </w:rPr>
              <w:t>（1）原位癌；</w:t>
            </w:r>
          </w:p>
          <w:p>
            <w:pPr>
              <w:pStyle w:val="TableParagraph"/>
              <w:spacing w:before="37"/>
              <w:ind w:left="108"/>
              <w:rPr>
                <w:sz w:val="21"/>
              </w:rPr>
            </w:pPr>
            <w:r>
              <w:rPr>
                <w:sz w:val="21"/>
              </w:rPr>
              <w:t>（2）相当于 Binet 分期方案 A 期程度的慢性淋巴细胞白血病；</w:t>
            </w:r>
          </w:p>
          <w:p>
            <w:pPr>
              <w:pStyle w:val="TableParagraph"/>
              <w:spacing w:before="37"/>
              <w:ind w:left="107"/>
              <w:rPr>
                <w:sz w:val="21"/>
              </w:rPr>
            </w:pPr>
            <w:r>
              <w:rPr>
                <w:sz w:val="21"/>
              </w:rPr>
              <w:t>（3）相当于 Ann Arbor 分期方案 I 期程度的何杰金氏病；</w:t>
            </w:r>
          </w:p>
          <w:p>
            <w:pPr>
              <w:pStyle w:val="TableParagraph"/>
              <w:spacing w:before="37"/>
              <w:ind w:left="107"/>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bl>
    <w:p>
      <w:pPr>
        <w:spacing w:after="0"/>
        <w:rPr>
          <w:sz w:val="21"/>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2"/>
        <w:gridCol w:w="7306"/>
      </w:tblGrid>
      <w:tr>
        <w:trPr>
          <w:trHeight w:val="937" w:hRule="atLeast"/>
        </w:trPr>
        <w:tc>
          <w:tcPr>
            <w:tcW w:w="852" w:type="dxa"/>
          </w:tcPr>
          <w:p>
            <w:pPr>
              <w:pStyle w:val="TableParagraph"/>
              <w:rPr>
                <w:rFonts w:ascii="Times New Roman"/>
                <w:sz w:val="20"/>
              </w:rPr>
            </w:pPr>
          </w:p>
        </w:tc>
        <w:tc>
          <w:tcPr>
            <w:tcW w:w="1932" w:type="dxa"/>
          </w:tcPr>
          <w:p>
            <w:pPr>
              <w:pStyle w:val="TableParagraph"/>
              <w:rPr>
                <w:rFonts w:ascii="Times New Roman"/>
                <w:sz w:val="20"/>
              </w:rPr>
            </w:pPr>
          </w:p>
        </w:tc>
        <w:tc>
          <w:tcPr>
            <w:tcW w:w="7306" w:type="dxa"/>
          </w:tcPr>
          <w:p>
            <w:pPr>
              <w:pStyle w:val="TableParagraph"/>
              <w:spacing w:line="259" w:lineRule="exact"/>
              <w:ind w:left="107"/>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期或者更轻分期的前列腺癌。</w:t>
            </w:r>
          </w:p>
          <w:p>
            <w:pPr>
              <w:pStyle w:val="TableParagraph"/>
              <w:spacing w:line="273" w:lineRule="auto" w:before="37"/>
              <w:ind w:left="107" w:right="228"/>
              <w:rPr>
                <w:b/>
                <w:sz w:val="21"/>
              </w:rPr>
            </w:pPr>
            <w:r>
              <w:rPr>
                <w:b/>
                <w:sz w:val="21"/>
              </w:rPr>
              <w:t>感染艾滋病毒或者患艾滋病期间所患极早期恶性肿瘤或者恶性病变不在保障范围之内。</w:t>
            </w:r>
          </w:p>
        </w:tc>
      </w:tr>
      <w:tr>
        <w:trPr>
          <w:trHeight w:val="215"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495" w:hRule="atLeast"/>
        </w:trPr>
        <w:tc>
          <w:tcPr>
            <w:tcW w:w="852" w:type="dxa"/>
          </w:tcPr>
          <w:p>
            <w:pPr>
              <w:pStyle w:val="TableParagraph"/>
              <w:spacing w:line="257" w:lineRule="exact"/>
              <w:ind w:left="107"/>
              <w:rPr>
                <w:b/>
                <w:sz w:val="21"/>
              </w:rPr>
            </w:pPr>
            <w:r>
              <w:rPr>
                <w:b/>
                <w:w w:val="100"/>
                <w:sz w:val="21"/>
              </w:rPr>
              <w:t>二</w:t>
            </w:r>
          </w:p>
        </w:tc>
        <w:tc>
          <w:tcPr>
            <w:tcW w:w="1932" w:type="dxa"/>
          </w:tcPr>
          <w:p>
            <w:pPr>
              <w:pStyle w:val="TableParagraph"/>
              <w:spacing w:line="257" w:lineRule="exact"/>
              <w:ind w:left="107"/>
              <w:rPr>
                <w:b/>
                <w:sz w:val="21"/>
              </w:rPr>
            </w:pPr>
            <w:r>
              <w:rPr>
                <w:b/>
                <w:sz w:val="21"/>
              </w:rPr>
              <w:t>轻微脑中风后遗症</w:t>
            </w:r>
          </w:p>
        </w:tc>
        <w:tc>
          <w:tcPr>
            <w:tcW w:w="7306" w:type="dxa"/>
          </w:tcPr>
          <w:p>
            <w:pPr>
              <w:pStyle w:val="TableParagraph"/>
              <w:spacing w:line="257" w:lineRule="exact"/>
              <w:ind w:left="107"/>
              <w:rPr>
                <w:sz w:val="21"/>
              </w:rPr>
            </w:pPr>
            <w:r>
              <w:rPr>
                <w:sz w:val="21"/>
              </w:rPr>
              <w:t>指被保险人实际发生了脑血管的突发病变并出现神经系统功能障碍表现，头颅</w:t>
            </w:r>
          </w:p>
          <w:p>
            <w:pPr>
              <w:pStyle w:val="TableParagraph"/>
              <w:spacing w:line="273" w:lineRule="auto" w:before="37"/>
              <w:ind w:left="107" w:right="93"/>
              <w:jc w:val="both"/>
              <w:rPr>
                <w:sz w:val="21"/>
              </w:rPr>
            </w:pPr>
            <w:r>
              <w:rPr>
                <w:spacing w:val="-4"/>
                <w:w w:val="100"/>
                <w:sz w:val="21"/>
              </w:rPr>
              <w:t>断层扫描</w:t>
            </w:r>
            <w:r>
              <w:rPr>
                <w:w w:val="100"/>
                <w:sz w:val="21"/>
              </w:rPr>
              <w:t>（CT</w:t>
            </w:r>
            <w:r>
              <w:rPr>
                <w:spacing w:val="-108"/>
                <w:w w:val="100"/>
                <w:sz w:val="21"/>
              </w:rPr>
              <w:t>）</w:t>
            </w:r>
            <w:r>
              <w:rPr>
                <w:spacing w:val="-7"/>
                <w:w w:val="100"/>
                <w:sz w:val="21"/>
              </w:rPr>
              <w:t>、核磁共振检查</w:t>
            </w:r>
            <w:r>
              <w:rPr>
                <w:w w:val="100"/>
                <w:sz w:val="21"/>
              </w:rPr>
              <w:t>（MR</w:t>
            </w:r>
            <w:r>
              <w:rPr>
                <w:spacing w:val="-3"/>
                <w:w w:val="100"/>
                <w:sz w:val="21"/>
              </w:rPr>
              <w:t>I</w:t>
            </w:r>
            <w:r>
              <w:rPr>
                <w:spacing w:val="-13"/>
                <w:w w:val="100"/>
                <w:sz w:val="21"/>
              </w:rPr>
              <w:t>）</w:t>
            </w:r>
            <w:r>
              <w:rPr>
                <w:spacing w:val="-4"/>
                <w:w w:val="100"/>
                <w:sz w:val="21"/>
              </w:rPr>
              <w:t>等影像学检查证实存在对应病灶，确诊</w:t>
            </w:r>
            <w:r>
              <w:rPr>
                <w:spacing w:val="-9"/>
                <w:sz w:val="21"/>
              </w:rPr>
              <w:t>为脑出血、脑栓塞或者脑梗塞，在确诊 </w:t>
            </w:r>
            <w:r>
              <w:rPr>
                <w:sz w:val="21"/>
              </w:rPr>
              <w:t>180</w:t>
            </w:r>
            <w:r>
              <w:rPr>
                <w:spacing w:val="-9"/>
                <w:sz w:val="21"/>
              </w:rPr>
              <w:t> 天后遗留神经系统功能障碍，但未</w:t>
            </w:r>
            <w:r>
              <w:rPr>
                <w:spacing w:val="-8"/>
                <w:sz w:val="21"/>
              </w:rPr>
              <w:t>达到重大疾病“脑中风后遗症”的标准。遗留的神经系统功能障碍须满足下列</w:t>
            </w:r>
            <w:r>
              <w:rPr>
                <w:spacing w:val="-5"/>
                <w:sz w:val="21"/>
              </w:rPr>
              <w:t>一种或者一种以上障碍：</w:t>
            </w:r>
          </w:p>
          <w:p>
            <w:pPr>
              <w:pStyle w:val="TableParagraph"/>
              <w:spacing w:before="7"/>
              <w:ind w:left="107" w:right="-15"/>
              <w:rPr>
                <w:sz w:val="21"/>
              </w:rPr>
            </w:pPr>
            <w:r>
              <w:rPr>
                <w:spacing w:val="-27"/>
                <w:sz w:val="21"/>
              </w:rPr>
              <w:t>（1）</w:t>
            </w:r>
            <w:r>
              <w:rPr>
                <w:spacing w:val="-8"/>
                <w:sz w:val="21"/>
              </w:rPr>
              <w:t>一肢或者一肢以上肢体机能部分丧失，其肢体肌力为Ⅲ级,或者小于Ⅲ级；</w:t>
            </w:r>
          </w:p>
          <w:p>
            <w:pPr>
              <w:pStyle w:val="TableParagraph"/>
              <w:spacing w:line="273" w:lineRule="auto" w:before="36"/>
              <w:ind w:left="107" w:right="139" w:hanging="1"/>
              <w:jc w:val="both"/>
              <w:rPr>
                <w:sz w:val="21"/>
              </w:rPr>
            </w:pPr>
            <w:r>
              <w:rPr>
                <w:sz w:val="21"/>
              </w:rPr>
              <w:t>（2）自主生活能力部分丧失，无法独立完成</w:t>
            </w:r>
            <w:r>
              <w:rPr>
                <w:b/>
                <w:sz w:val="21"/>
              </w:rPr>
              <w:t>六项基本日常生活活动</w:t>
            </w:r>
            <w:r>
              <w:rPr>
                <w:sz w:val="21"/>
              </w:rPr>
              <w:t>中的两项或者两项以上。</w:t>
            </w:r>
          </w:p>
        </w:tc>
      </w:tr>
      <w:tr>
        <w:trPr>
          <w:trHeight w:val="217"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247" w:hRule="atLeast"/>
        </w:trPr>
        <w:tc>
          <w:tcPr>
            <w:tcW w:w="852" w:type="dxa"/>
          </w:tcPr>
          <w:p>
            <w:pPr>
              <w:pStyle w:val="TableParagraph"/>
              <w:spacing w:line="257" w:lineRule="exact"/>
              <w:ind w:left="107"/>
              <w:rPr>
                <w:b/>
                <w:sz w:val="21"/>
              </w:rPr>
            </w:pPr>
            <w:r>
              <w:rPr>
                <w:b/>
                <w:w w:val="100"/>
                <w:sz w:val="21"/>
              </w:rPr>
              <w:t>三</w:t>
            </w:r>
          </w:p>
        </w:tc>
        <w:tc>
          <w:tcPr>
            <w:tcW w:w="1932" w:type="dxa"/>
          </w:tcPr>
          <w:p>
            <w:pPr>
              <w:pStyle w:val="TableParagraph"/>
              <w:spacing w:line="257" w:lineRule="exact"/>
              <w:ind w:left="107"/>
              <w:rPr>
                <w:b/>
                <w:sz w:val="21"/>
              </w:rPr>
            </w:pPr>
            <w:r>
              <w:rPr>
                <w:b/>
                <w:sz w:val="21"/>
              </w:rPr>
              <w:t>微创冠状动脉搭桥</w:t>
            </w:r>
          </w:p>
          <w:p>
            <w:pPr>
              <w:pStyle w:val="TableParagraph"/>
              <w:spacing w:before="37"/>
              <w:ind w:left="107"/>
              <w:rPr>
                <w:b/>
                <w:sz w:val="21"/>
              </w:rPr>
            </w:pPr>
            <w:r>
              <w:rPr>
                <w:b/>
                <w:w w:val="100"/>
                <w:sz w:val="21"/>
              </w:rPr>
              <w:t>术</w:t>
            </w:r>
          </w:p>
        </w:tc>
        <w:tc>
          <w:tcPr>
            <w:tcW w:w="7306" w:type="dxa"/>
          </w:tcPr>
          <w:p>
            <w:pPr>
              <w:pStyle w:val="TableParagraph"/>
              <w:spacing w:line="257" w:lineRule="exact"/>
              <w:ind w:left="107"/>
              <w:rPr>
                <w:sz w:val="21"/>
              </w:rPr>
            </w:pPr>
            <w:r>
              <w:rPr>
                <w:spacing w:val="-3"/>
                <w:w w:val="100"/>
                <w:sz w:val="21"/>
              </w:rPr>
              <w:t>指确实透过微型的胸壁锁孔</w:t>
            </w:r>
            <w:r>
              <w:rPr>
                <w:w w:val="100"/>
                <w:sz w:val="21"/>
              </w:rPr>
              <w:t>（</w:t>
            </w:r>
            <w:r>
              <w:rPr>
                <w:spacing w:val="-3"/>
                <w:w w:val="100"/>
                <w:sz w:val="21"/>
              </w:rPr>
              <w:t>于肋骨之间开一个细小的切口</w:t>
            </w:r>
            <w:r>
              <w:rPr>
                <w:spacing w:val="-108"/>
                <w:w w:val="100"/>
                <w:sz w:val="21"/>
              </w:rPr>
              <w:t>）</w:t>
            </w:r>
            <w:r>
              <w:rPr>
                <w:spacing w:val="-3"/>
                <w:w w:val="100"/>
                <w:sz w:val="21"/>
              </w:rPr>
              <w:t>，进行非体外循</w:t>
            </w:r>
          </w:p>
          <w:p>
            <w:pPr>
              <w:pStyle w:val="TableParagraph"/>
              <w:spacing w:line="273" w:lineRule="auto" w:before="37"/>
              <w:ind w:left="107" w:right="93"/>
              <w:jc w:val="both"/>
              <w:rPr>
                <w:sz w:val="21"/>
              </w:rPr>
            </w:pPr>
            <w:r>
              <w:rPr>
                <w:spacing w:val="-6"/>
                <w:sz w:val="21"/>
              </w:rPr>
              <w:t>环下的冠状动脉搭桥手术，以矫正一条或以上冠状动脉狭窄或闭塞。微创进行</w:t>
            </w:r>
            <w:r>
              <w:rPr>
                <w:spacing w:val="-7"/>
                <w:sz w:val="21"/>
              </w:rPr>
              <w:t>直接的冠状动脉搭桥手术亦可称“锁孔”式冠状动脉手术。有关程序为医疗所</w:t>
            </w:r>
            <w:r>
              <w:rPr>
                <w:spacing w:val="-5"/>
                <w:sz w:val="21"/>
              </w:rPr>
              <w:t>需及由本公司认可医院的心脏专科医生进行。</w:t>
            </w:r>
          </w:p>
        </w:tc>
      </w:tr>
      <w:tr>
        <w:trPr>
          <w:trHeight w:val="217"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623" w:hRule="atLeast"/>
        </w:trPr>
        <w:tc>
          <w:tcPr>
            <w:tcW w:w="852" w:type="dxa"/>
          </w:tcPr>
          <w:p>
            <w:pPr>
              <w:pStyle w:val="TableParagraph"/>
              <w:spacing w:line="257" w:lineRule="exact"/>
              <w:ind w:left="107"/>
              <w:rPr>
                <w:b/>
                <w:sz w:val="21"/>
              </w:rPr>
            </w:pPr>
            <w:r>
              <w:rPr>
                <w:b/>
                <w:w w:val="100"/>
                <w:sz w:val="21"/>
              </w:rPr>
              <w:t>四</w:t>
            </w:r>
          </w:p>
        </w:tc>
        <w:tc>
          <w:tcPr>
            <w:tcW w:w="1932" w:type="dxa"/>
          </w:tcPr>
          <w:p>
            <w:pPr>
              <w:pStyle w:val="TableParagraph"/>
              <w:spacing w:line="257" w:lineRule="exact"/>
              <w:ind w:left="107"/>
              <w:rPr>
                <w:b/>
                <w:sz w:val="21"/>
              </w:rPr>
            </w:pPr>
            <w:r>
              <w:rPr>
                <w:b/>
                <w:sz w:val="21"/>
              </w:rPr>
              <w:t>冠状动脉介入手术</w:t>
            </w:r>
          </w:p>
          <w:p>
            <w:pPr>
              <w:pStyle w:val="TableParagraph"/>
              <w:spacing w:before="37"/>
              <w:ind w:left="107"/>
              <w:rPr>
                <w:b/>
                <w:sz w:val="21"/>
              </w:rPr>
            </w:pPr>
            <w:r>
              <w:rPr>
                <w:b/>
                <w:sz w:val="21"/>
              </w:rPr>
              <w:t>（非开胸手术）</w:t>
            </w:r>
          </w:p>
        </w:tc>
        <w:tc>
          <w:tcPr>
            <w:tcW w:w="7306" w:type="dxa"/>
          </w:tcPr>
          <w:p>
            <w:pPr>
              <w:pStyle w:val="TableParagraph"/>
              <w:spacing w:line="257" w:lineRule="exact"/>
              <w:ind w:left="107"/>
              <w:rPr>
                <w:sz w:val="21"/>
              </w:rPr>
            </w:pPr>
            <w:r>
              <w:rPr>
                <w:sz w:val="21"/>
              </w:rPr>
              <w:t>为了治疗明显的冠状动脉狭窄性疾病，首次实际实施了冠状动脉球囊扩张成形</w:t>
            </w:r>
          </w:p>
          <w:p>
            <w:pPr>
              <w:pStyle w:val="TableParagraph"/>
              <w:spacing w:before="37"/>
              <w:ind w:left="107" w:right="-15"/>
              <w:rPr>
                <w:sz w:val="21"/>
              </w:rPr>
            </w:pPr>
            <w:r>
              <w:rPr>
                <w:spacing w:val="-15"/>
                <w:sz w:val="21"/>
              </w:rPr>
              <w:t>术、冠状动脉支架植入术、冠状动脉粥肿斑块切除术或者激光冠状动脉成形术。</w:t>
            </w:r>
          </w:p>
        </w:tc>
      </w:tr>
      <w:tr>
        <w:trPr>
          <w:trHeight w:val="215"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250" w:hRule="atLeast"/>
        </w:trPr>
        <w:tc>
          <w:tcPr>
            <w:tcW w:w="852" w:type="dxa"/>
          </w:tcPr>
          <w:p>
            <w:pPr>
              <w:pStyle w:val="TableParagraph"/>
              <w:spacing w:line="259" w:lineRule="exact"/>
              <w:ind w:left="107"/>
              <w:rPr>
                <w:b/>
                <w:sz w:val="21"/>
              </w:rPr>
            </w:pPr>
            <w:r>
              <w:rPr>
                <w:b/>
                <w:w w:val="100"/>
                <w:sz w:val="21"/>
              </w:rPr>
              <w:t>五</w:t>
            </w:r>
          </w:p>
        </w:tc>
        <w:tc>
          <w:tcPr>
            <w:tcW w:w="1932" w:type="dxa"/>
          </w:tcPr>
          <w:p>
            <w:pPr>
              <w:pStyle w:val="TableParagraph"/>
              <w:spacing w:line="259" w:lineRule="exact"/>
              <w:ind w:left="107"/>
              <w:rPr>
                <w:b/>
                <w:sz w:val="21"/>
              </w:rPr>
            </w:pPr>
            <w:r>
              <w:rPr>
                <w:b/>
                <w:sz w:val="21"/>
              </w:rPr>
              <w:t>不典型心肌梗塞</w:t>
            </w:r>
          </w:p>
        </w:tc>
        <w:tc>
          <w:tcPr>
            <w:tcW w:w="7306" w:type="dxa"/>
          </w:tcPr>
          <w:p>
            <w:pPr>
              <w:pStyle w:val="TableParagraph"/>
              <w:spacing w:line="259" w:lineRule="exact"/>
              <w:ind w:left="107"/>
              <w:rPr>
                <w:sz w:val="21"/>
              </w:rPr>
            </w:pPr>
            <w:r>
              <w:rPr>
                <w:sz w:val="21"/>
              </w:rPr>
              <w:t>指被临床诊断为急性心肌梗塞并接受了急性心肌梗塞治疗虽然未达到重大疾</w:t>
            </w:r>
          </w:p>
          <w:p>
            <w:pPr>
              <w:pStyle w:val="TableParagraph"/>
              <w:spacing w:before="37"/>
              <w:ind w:left="107"/>
              <w:rPr>
                <w:sz w:val="21"/>
              </w:rPr>
            </w:pPr>
            <w:r>
              <w:rPr>
                <w:sz w:val="21"/>
              </w:rPr>
              <w:t>病“急性心肌梗塞”的给付标准，但满足下列全部条件：</w:t>
            </w:r>
          </w:p>
          <w:p>
            <w:pPr>
              <w:pStyle w:val="TableParagraph"/>
              <w:spacing w:before="37"/>
              <w:ind w:left="107"/>
              <w:rPr>
                <w:sz w:val="21"/>
              </w:rPr>
            </w:pPr>
            <w:r>
              <w:rPr>
                <w:sz w:val="21"/>
              </w:rPr>
              <w:t>（1）肌钙蛋白有诊断意义的升高；</w:t>
            </w:r>
          </w:p>
          <w:p>
            <w:pPr>
              <w:pStyle w:val="TableParagraph"/>
              <w:spacing w:before="37"/>
              <w:ind w:left="107"/>
              <w:rPr>
                <w:sz w:val="21"/>
              </w:rPr>
            </w:pPr>
            <w:r>
              <w:rPr>
                <w:sz w:val="21"/>
              </w:rPr>
              <w:t>（2）心电图有损伤性的 ST 段改变但未出现病理 Q 波。</w:t>
            </w:r>
          </w:p>
        </w:tc>
      </w:tr>
      <w:tr>
        <w:trPr>
          <w:trHeight w:val="215"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871" w:hRule="atLeast"/>
        </w:trPr>
        <w:tc>
          <w:tcPr>
            <w:tcW w:w="852" w:type="dxa"/>
          </w:tcPr>
          <w:p>
            <w:pPr>
              <w:pStyle w:val="TableParagraph"/>
              <w:spacing w:line="257" w:lineRule="exact"/>
              <w:ind w:left="107"/>
              <w:rPr>
                <w:b/>
                <w:sz w:val="21"/>
              </w:rPr>
            </w:pPr>
            <w:r>
              <w:rPr>
                <w:b/>
                <w:w w:val="100"/>
                <w:sz w:val="21"/>
              </w:rPr>
              <w:t>六</w:t>
            </w:r>
          </w:p>
        </w:tc>
        <w:tc>
          <w:tcPr>
            <w:tcW w:w="1932" w:type="dxa"/>
          </w:tcPr>
          <w:p>
            <w:pPr>
              <w:pStyle w:val="TableParagraph"/>
              <w:spacing w:line="257" w:lineRule="exact"/>
              <w:ind w:left="107"/>
              <w:rPr>
                <w:b/>
                <w:sz w:val="21"/>
              </w:rPr>
            </w:pPr>
            <w:r>
              <w:rPr>
                <w:b/>
                <w:sz w:val="21"/>
              </w:rPr>
              <w:t>慢性肾功能衰竭</w:t>
            </w:r>
          </w:p>
        </w:tc>
        <w:tc>
          <w:tcPr>
            <w:tcW w:w="7306" w:type="dxa"/>
          </w:tcPr>
          <w:p>
            <w:pPr>
              <w:pStyle w:val="TableParagraph"/>
              <w:spacing w:line="257" w:lineRule="exact"/>
              <w:ind w:left="107"/>
              <w:rPr>
                <w:sz w:val="21"/>
              </w:rPr>
            </w:pPr>
            <w:r>
              <w:rPr>
                <w:sz w:val="21"/>
              </w:rPr>
              <w:t>指被保险人因双肾功能慢性不可逆性损害达到肾功能衰竭期，但未达到重大疾</w:t>
            </w:r>
          </w:p>
          <w:p>
            <w:pPr>
              <w:pStyle w:val="TableParagraph"/>
              <w:spacing w:line="273" w:lineRule="auto" w:before="37"/>
              <w:ind w:left="107" w:right="145"/>
              <w:rPr>
                <w:sz w:val="21"/>
              </w:rPr>
            </w:pPr>
            <w:r>
              <w:rPr>
                <w:spacing w:val="-3"/>
                <w:w w:val="100"/>
                <w:sz w:val="21"/>
              </w:rPr>
              <w:t>病“终末期肾病</w:t>
            </w:r>
            <w:r>
              <w:rPr>
                <w:w w:val="100"/>
                <w:sz w:val="21"/>
              </w:rPr>
              <w:t>（</w:t>
            </w:r>
            <w:r>
              <w:rPr>
                <w:spacing w:val="-3"/>
                <w:w w:val="100"/>
                <w:sz w:val="21"/>
              </w:rPr>
              <w:t>或称慢性肾功能衰竭尿毒症期</w:t>
            </w:r>
            <w:r>
              <w:rPr>
                <w:spacing w:val="-108"/>
                <w:w w:val="100"/>
                <w:sz w:val="21"/>
              </w:rPr>
              <w:t>）</w:t>
            </w:r>
            <w:r>
              <w:rPr>
                <w:spacing w:val="-3"/>
                <w:w w:val="100"/>
                <w:sz w:val="21"/>
              </w:rPr>
              <w:t>”的标准。诊断必须满足所</w:t>
            </w:r>
            <w:r>
              <w:rPr>
                <w:spacing w:val="-3"/>
                <w:sz w:val="21"/>
              </w:rPr>
              <w:t>有以下标准。</w:t>
            </w:r>
          </w:p>
          <w:p>
            <w:pPr>
              <w:pStyle w:val="TableParagraph"/>
              <w:spacing w:before="7"/>
              <w:ind w:left="107"/>
              <w:rPr>
                <w:sz w:val="21"/>
              </w:rPr>
            </w:pPr>
            <w:r>
              <w:rPr>
                <w:sz w:val="21"/>
              </w:rPr>
              <w:t>（1） GFR &lt; 25%；</w:t>
            </w:r>
          </w:p>
          <w:p>
            <w:pPr>
              <w:pStyle w:val="TableParagraph"/>
              <w:numPr>
                <w:ilvl w:val="0"/>
                <w:numId w:val="4"/>
              </w:numPr>
              <w:tabs>
                <w:tab w:pos="740" w:val="left" w:leader="none"/>
              </w:tabs>
              <w:spacing w:line="240" w:lineRule="auto" w:before="36" w:after="0"/>
              <w:ind w:left="739" w:right="0" w:hanging="632"/>
              <w:jc w:val="left"/>
              <w:rPr>
                <w:sz w:val="21"/>
              </w:rPr>
            </w:pPr>
            <w:r>
              <w:rPr>
                <w:sz w:val="21"/>
              </w:rPr>
              <w:t>Scr&gt;</w:t>
            </w:r>
            <w:r>
              <w:rPr>
                <w:spacing w:val="-1"/>
                <w:sz w:val="21"/>
              </w:rPr>
              <w:t> </w:t>
            </w:r>
            <w:r>
              <w:rPr>
                <w:sz w:val="21"/>
              </w:rPr>
              <w:t>5mg/dl</w:t>
            </w:r>
            <w:r>
              <w:rPr>
                <w:spacing w:val="-19"/>
                <w:sz w:val="21"/>
              </w:rPr>
              <w:t> 或&gt;</w:t>
            </w:r>
            <w:r>
              <w:rPr>
                <w:sz w:val="21"/>
              </w:rPr>
              <w:t>442umol/L；</w:t>
            </w:r>
          </w:p>
          <w:p>
            <w:pPr>
              <w:pStyle w:val="TableParagraph"/>
              <w:numPr>
                <w:ilvl w:val="0"/>
                <w:numId w:val="4"/>
              </w:numPr>
              <w:tabs>
                <w:tab w:pos="740" w:val="left" w:leader="none"/>
              </w:tabs>
              <w:spacing w:line="240" w:lineRule="auto" w:before="36" w:after="0"/>
              <w:ind w:left="739" w:right="0" w:hanging="631"/>
              <w:jc w:val="left"/>
              <w:rPr>
                <w:sz w:val="21"/>
              </w:rPr>
            </w:pPr>
            <w:r>
              <w:rPr>
                <w:spacing w:val="-18"/>
                <w:sz w:val="21"/>
              </w:rPr>
              <w:t>持续 </w:t>
            </w:r>
            <w:r>
              <w:rPr>
                <w:sz w:val="21"/>
              </w:rPr>
              <w:t>180</w:t>
            </w:r>
            <w:r>
              <w:rPr>
                <w:spacing w:val="-18"/>
                <w:sz w:val="21"/>
              </w:rPr>
              <w:t> 天。</w:t>
            </w:r>
          </w:p>
        </w:tc>
      </w:tr>
      <w:tr>
        <w:trPr>
          <w:trHeight w:val="217"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247" w:hRule="atLeast"/>
        </w:trPr>
        <w:tc>
          <w:tcPr>
            <w:tcW w:w="852" w:type="dxa"/>
          </w:tcPr>
          <w:p>
            <w:pPr>
              <w:pStyle w:val="TableParagraph"/>
              <w:spacing w:line="257" w:lineRule="exact"/>
              <w:ind w:left="107"/>
              <w:rPr>
                <w:b/>
                <w:sz w:val="21"/>
              </w:rPr>
            </w:pPr>
            <w:r>
              <w:rPr>
                <w:b/>
                <w:w w:val="100"/>
                <w:sz w:val="21"/>
              </w:rPr>
              <w:t>七</w:t>
            </w:r>
          </w:p>
        </w:tc>
        <w:tc>
          <w:tcPr>
            <w:tcW w:w="1932" w:type="dxa"/>
          </w:tcPr>
          <w:p>
            <w:pPr>
              <w:pStyle w:val="TableParagraph"/>
              <w:spacing w:line="257" w:lineRule="exact"/>
              <w:ind w:left="107"/>
              <w:rPr>
                <w:b/>
                <w:sz w:val="21"/>
              </w:rPr>
            </w:pPr>
            <w:r>
              <w:rPr>
                <w:b/>
                <w:sz w:val="21"/>
              </w:rPr>
              <w:t>单个肢体缺失</w:t>
            </w:r>
          </w:p>
        </w:tc>
        <w:tc>
          <w:tcPr>
            <w:tcW w:w="7306" w:type="dxa"/>
          </w:tcPr>
          <w:p>
            <w:pPr>
              <w:pStyle w:val="TableParagraph"/>
              <w:spacing w:line="257" w:lineRule="exact"/>
              <w:ind w:left="107"/>
              <w:rPr>
                <w:sz w:val="21"/>
              </w:rPr>
            </w:pPr>
            <w:r>
              <w:rPr>
                <w:sz w:val="21"/>
              </w:rPr>
              <w:t>指一个肢体自腕关节或踝关节近端（靠近躯干端）以上完全性断离，但未达到</w:t>
            </w:r>
          </w:p>
          <w:p>
            <w:pPr>
              <w:pStyle w:val="TableParagraph"/>
              <w:spacing w:before="37"/>
              <w:ind w:left="107"/>
              <w:rPr>
                <w:sz w:val="21"/>
              </w:rPr>
            </w:pPr>
            <w:r>
              <w:rPr>
                <w:sz w:val="21"/>
              </w:rPr>
              <w:t>重大疾病“多个肢体缺失”的标准。</w:t>
            </w:r>
          </w:p>
          <w:p>
            <w:pPr>
              <w:pStyle w:val="TableParagraph"/>
              <w:spacing w:line="273" w:lineRule="auto" w:before="37"/>
              <w:ind w:left="107" w:right="96"/>
              <w:rPr>
                <w:b/>
                <w:sz w:val="21"/>
              </w:rPr>
            </w:pPr>
            <w:r>
              <w:rPr>
                <w:b/>
                <w:spacing w:val="-9"/>
                <w:sz w:val="21"/>
              </w:rPr>
              <w:t>因“糖尿病导致单足切除”或者因“恶性肿瘤导致肢体切除”导致的单个肢体缺失不在本项保障范围内。</w:t>
            </w:r>
          </w:p>
        </w:tc>
      </w:tr>
      <w:tr>
        <w:trPr>
          <w:trHeight w:val="218"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495" w:hRule="atLeast"/>
        </w:trPr>
        <w:tc>
          <w:tcPr>
            <w:tcW w:w="852" w:type="dxa"/>
          </w:tcPr>
          <w:p>
            <w:pPr>
              <w:pStyle w:val="TableParagraph"/>
              <w:spacing w:line="257" w:lineRule="exact"/>
              <w:ind w:left="107"/>
              <w:rPr>
                <w:b/>
                <w:sz w:val="21"/>
              </w:rPr>
            </w:pPr>
            <w:r>
              <w:rPr>
                <w:b/>
                <w:w w:val="100"/>
                <w:sz w:val="21"/>
              </w:rPr>
              <w:t>八</w:t>
            </w:r>
          </w:p>
        </w:tc>
        <w:tc>
          <w:tcPr>
            <w:tcW w:w="1932" w:type="dxa"/>
          </w:tcPr>
          <w:p>
            <w:pPr>
              <w:pStyle w:val="TableParagraph"/>
              <w:spacing w:line="257" w:lineRule="exact"/>
              <w:ind w:left="107"/>
              <w:rPr>
                <w:b/>
                <w:sz w:val="21"/>
              </w:rPr>
            </w:pPr>
            <w:r>
              <w:rPr>
                <w:b/>
                <w:sz w:val="21"/>
              </w:rPr>
              <w:t>病毒性肝炎导致的</w:t>
            </w:r>
          </w:p>
          <w:p>
            <w:pPr>
              <w:pStyle w:val="TableParagraph"/>
              <w:spacing w:before="37"/>
              <w:ind w:left="107"/>
              <w:rPr>
                <w:b/>
                <w:sz w:val="21"/>
              </w:rPr>
            </w:pPr>
            <w:r>
              <w:rPr>
                <w:b/>
                <w:sz w:val="21"/>
              </w:rPr>
              <w:t>肝硬化</w:t>
            </w:r>
          </w:p>
        </w:tc>
        <w:tc>
          <w:tcPr>
            <w:tcW w:w="7306" w:type="dxa"/>
          </w:tcPr>
          <w:p>
            <w:pPr>
              <w:pStyle w:val="TableParagraph"/>
              <w:spacing w:line="257" w:lineRule="exact"/>
              <w:ind w:left="107"/>
              <w:rPr>
                <w:sz w:val="21"/>
              </w:rPr>
            </w:pPr>
            <w:r>
              <w:rPr>
                <w:sz w:val="21"/>
              </w:rPr>
              <w:t>因肝炎病毒感染的肝脏慢性炎症并发展为肝硬化。理赔时须满足下列全部条</w:t>
            </w:r>
          </w:p>
          <w:p>
            <w:pPr>
              <w:pStyle w:val="TableParagraph"/>
              <w:spacing w:before="37"/>
              <w:ind w:left="107"/>
              <w:rPr>
                <w:sz w:val="21"/>
              </w:rPr>
            </w:pPr>
            <w:r>
              <w:rPr>
                <w:sz w:val="21"/>
              </w:rPr>
              <w:t>件：</w:t>
            </w:r>
          </w:p>
          <w:p>
            <w:pPr>
              <w:pStyle w:val="TableParagraph"/>
              <w:numPr>
                <w:ilvl w:val="0"/>
                <w:numId w:val="5"/>
              </w:numPr>
              <w:tabs>
                <w:tab w:pos="740" w:val="left" w:leader="none"/>
              </w:tabs>
              <w:spacing w:line="240" w:lineRule="auto" w:before="37" w:after="0"/>
              <w:ind w:left="107" w:right="0" w:firstLine="0"/>
              <w:jc w:val="left"/>
              <w:rPr>
                <w:sz w:val="21"/>
              </w:rPr>
            </w:pPr>
            <w:r>
              <w:rPr>
                <w:spacing w:val="-4"/>
                <w:sz w:val="21"/>
              </w:rPr>
              <w:t>被保人有感染慢性肝炎病毒的血清学及实验室检查报告等临床证据；</w:t>
            </w:r>
          </w:p>
          <w:p>
            <w:pPr>
              <w:pStyle w:val="TableParagraph"/>
              <w:numPr>
                <w:ilvl w:val="0"/>
                <w:numId w:val="5"/>
              </w:numPr>
              <w:tabs>
                <w:tab w:pos="740" w:val="left" w:leader="none"/>
              </w:tabs>
              <w:spacing w:line="273" w:lineRule="auto" w:before="37" w:after="0"/>
              <w:ind w:left="107" w:right="249" w:firstLine="0"/>
              <w:jc w:val="left"/>
              <w:rPr>
                <w:sz w:val="21"/>
              </w:rPr>
            </w:pPr>
            <w:r>
              <w:rPr>
                <w:spacing w:val="-3"/>
                <w:sz w:val="21"/>
              </w:rPr>
              <w:t>必须由本公司认可医院的消化科专科医生基于肝脏组织病理学检查报告、临床表现及病史对肝炎病毒感染导致肝硬化作出明确诊断；</w:t>
            </w:r>
          </w:p>
          <w:p>
            <w:pPr>
              <w:pStyle w:val="TableParagraph"/>
              <w:spacing w:before="7"/>
              <w:ind w:left="107"/>
              <w:rPr>
                <w:sz w:val="21"/>
              </w:rPr>
            </w:pPr>
            <w:r>
              <w:rPr>
                <w:sz w:val="21"/>
              </w:rPr>
              <w:t>（3）</w:t>
            </w:r>
            <w:r>
              <w:rPr>
                <w:spacing w:val="-6"/>
                <w:sz w:val="21"/>
              </w:rPr>
              <w:t>病理学检查报告证明肝脏病变按 </w:t>
            </w:r>
            <w:r>
              <w:rPr>
                <w:sz w:val="21"/>
              </w:rPr>
              <w:t>Metavir</w:t>
            </w:r>
            <w:r>
              <w:rPr>
                <w:spacing w:val="-16"/>
                <w:sz w:val="21"/>
              </w:rPr>
              <w:t> 分级表中属 </w:t>
            </w:r>
            <w:r>
              <w:rPr>
                <w:sz w:val="21"/>
              </w:rPr>
              <w:t>F4</w:t>
            </w:r>
            <w:r>
              <w:rPr>
                <w:spacing w:val="-21"/>
                <w:sz w:val="21"/>
              </w:rPr>
              <w:t> 阶段或 </w:t>
            </w:r>
            <w:r>
              <w:rPr>
                <w:sz w:val="21"/>
              </w:rPr>
              <w:t>Knodell</w:t>
            </w:r>
          </w:p>
          <w:p>
            <w:pPr>
              <w:pStyle w:val="TableParagraph"/>
              <w:spacing w:before="36"/>
              <w:ind w:left="107"/>
              <w:rPr>
                <w:sz w:val="21"/>
              </w:rPr>
            </w:pPr>
            <w:r>
              <w:rPr>
                <w:sz w:val="21"/>
              </w:rPr>
              <w:t>肝纤维化标准达到 4 分。</w:t>
            </w:r>
          </w:p>
          <w:p>
            <w:pPr>
              <w:pStyle w:val="TableParagraph"/>
              <w:spacing w:before="36"/>
              <w:ind w:left="108"/>
              <w:rPr>
                <w:sz w:val="21"/>
              </w:rPr>
            </w:pPr>
            <w:r>
              <w:rPr>
                <w:sz w:val="21"/>
              </w:rPr>
              <w:t>由酒精或药物滥用而引起的本疾病不在保障范围内。</w:t>
            </w:r>
          </w:p>
        </w:tc>
      </w:tr>
      <w:tr>
        <w:trPr>
          <w:trHeight w:val="215"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313" w:hRule="atLeast"/>
        </w:trPr>
        <w:tc>
          <w:tcPr>
            <w:tcW w:w="852" w:type="dxa"/>
          </w:tcPr>
          <w:p>
            <w:pPr>
              <w:pStyle w:val="TableParagraph"/>
              <w:spacing w:line="259" w:lineRule="exact"/>
              <w:ind w:left="107"/>
              <w:rPr>
                <w:b/>
                <w:sz w:val="21"/>
              </w:rPr>
            </w:pPr>
            <w:r>
              <w:rPr>
                <w:b/>
                <w:w w:val="100"/>
                <w:sz w:val="21"/>
              </w:rPr>
              <w:t>九</w:t>
            </w:r>
          </w:p>
        </w:tc>
        <w:tc>
          <w:tcPr>
            <w:tcW w:w="1932" w:type="dxa"/>
          </w:tcPr>
          <w:p>
            <w:pPr>
              <w:pStyle w:val="TableParagraph"/>
              <w:spacing w:line="259" w:lineRule="exact"/>
              <w:ind w:left="107" w:right="-15"/>
              <w:rPr>
                <w:b/>
                <w:sz w:val="21"/>
              </w:rPr>
            </w:pPr>
            <w:r>
              <w:rPr>
                <w:b/>
                <w:spacing w:val="-10"/>
                <w:sz w:val="21"/>
              </w:rPr>
              <w:t>脑垂体瘤、脑囊肿、</w:t>
            </w:r>
          </w:p>
        </w:tc>
        <w:tc>
          <w:tcPr>
            <w:tcW w:w="7306" w:type="dxa"/>
          </w:tcPr>
          <w:p>
            <w:pPr>
              <w:pStyle w:val="TableParagraph"/>
              <w:spacing w:line="259" w:lineRule="exact"/>
              <w:ind w:left="107"/>
              <w:rPr>
                <w:sz w:val="21"/>
              </w:rPr>
            </w:pPr>
            <w:r>
              <w:rPr>
                <w:spacing w:val="-5"/>
                <w:w w:val="100"/>
                <w:sz w:val="21"/>
              </w:rPr>
              <w:t>指经头颅断层扫描</w:t>
            </w:r>
            <w:r>
              <w:rPr>
                <w:w w:val="100"/>
                <w:sz w:val="21"/>
              </w:rPr>
              <w:t>（CT</w:t>
            </w:r>
            <w:r>
              <w:rPr>
                <w:spacing w:val="-108"/>
                <w:w w:val="100"/>
                <w:sz w:val="21"/>
              </w:rPr>
              <w:t>）</w:t>
            </w:r>
            <w:r>
              <w:rPr>
                <w:spacing w:val="-7"/>
                <w:w w:val="100"/>
                <w:sz w:val="21"/>
              </w:rPr>
              <w:t>、核磁共振检查</w:t>
            </w:r>
            <w:r>
              <w:rPr>
                <w:w w:val="100"/>
                <w:sz w:val="21"/>
              </w:rPr>
              <w:t>（MR</w:t>
            </w:r>
            <w:r>
              <w:rPr>
                <w:spacing w:val="-3"/>
                <w:w w:val="100"/>
                <w:sz w:val="21"/>
              </w:rPr>
              <w:t>I</w:t>
            </w:r>
            <w:r>
              <w:rPr>
                <w:spacing w:val="-15"/>
                <w:w w:val="100"/>
                <w:sz w:val="21"/>
              </w:rPr>
              <w:t>）</w:t>
            </w:r>
            <w:r>
              <w:rPr>
                <w:spacing w:val="-3"/>
                <w:w w:val="100"/>
                <w:sz w:val="21"/>
              </w:rPr>
              <w:t>或者其他影像学检查被确诊为</w:t>
            </w:r>
          </w:p>
        </w:tc>
      </w:tr>
    </w:tbl>
    <w:p>
      <w:pPr>
        <w:spacing w:after="0" w:line="259" w:lineRule="exact"/>
        <w:rPr>
          <w:sz w:val="21"/>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2"/>
        <w:gridCol w:w="7306"/>
      </w:tblGrid>
      <w:tr>
        <w:trPr>
          <w:trHeight w:val="1561" w:hRule="atLeast"/>
        </w:trPr>
        <w:tc>
          <w:tcPr>
            <w:tcW w:w="852" w:type="dxa"/>
          </w:tcPr>
          <w:p>
            <w:pPr>
              <w:pStyle w:val="TableParagraph"/>
              <w:rPr>
                <w:rFonts w:ascii="Times New Roman"/>
                <w:sz w:val="20"/>
              </w:rPr>
            </w:pPr>
          </w:p>
        </w:tc>
        <w:tc>
          <w:tcPr>
            <w:tcW w:w="1932" w:type="dxa"/>
          </w:tcPr>
          <w:p>
            <w:pPr>
              <w:pStyle w:val="TableParagraph"/>
              <w:spacing w:line="259" w:lineRule="exact"/>
              <w:ind w:left="107"/>
              <w:rPr>
                <w:b/>
                <w:sz w:val="21"/>
              </w:rPr>
            </w:pPr>
            <w:r>
              <w:rPr>
                <w:b/>
                <w:sz w:val="21"/>
              </w:rPr>
              <w:t>脑动脉瘤及脑血管</w:t>
            </w:r>
          </w:p>
          <w:p>
            <w:pPr>
              <w:pStyle w:val="TableParagraph"/>
              <w:spacing w:before="37"/>
              <w:ind w:left="107"/>
              <w:rPr>
                <w:b/>
                <w:sz w:val="21"/>
              </w:rPr>
            </w:pPr>
            <w:r>
              <w:rPr>
                <w:b/>
                <w:w w:val="100"/>
                <w:sz w:val="21"/>
              </w:rPr>
              <w:t>瘤</w:t>
            </w:r>
          </w:p>
        </w:tc>
        <w:tc>
          <w:tcPr>
            <w:tcW w:w="7306" w:type="dxa"/>
          </w:tcPr>
          <w:p>
            <w:pPr>
              <w:pStyle w:val="TableParagraph"/>
              <w:spacing w:line="259" w:lineRule="exact"/>
              <w:ind w:left="107"/>
              <w:rPr>
                <w:sz w:val="21"/>
              </w:rPr>
            </w:pPr>
            <w:r>
              <w:rPr>
                <w:sz w:val="21"/>
              </w:rPr>
              <w:t>下列病变，并实际接受了手术或者放射治疗，且未达到重大疾病“破裂脑动脉</w:t>
            </w:r>
          </w:p>
          <w:p>
            <w:pPr>
              <w:pStyle w:val="TableParagraph"/>
              <w:spacing w:before="37"/>
              <w:ind w:left="107"/>
              <w:rPr>
                <w:sz w:val="21"/>
              </w:rPr>
            </w:pPr>
            <w:r>
              <w:rPr>
                <w:sz w:val="21"/>
              </w:rPr>
              <w:t>瘤夹闭手术”的给付标准。</w:t>
            </w:r>
          </w:p>
          <w:p>
            <w:pPr>
              <w:pStyle w:val="TableParagraph"/>
              <w:numPr>
                <w:ilvl w:val="0"/>
                <w:numId w:val="6"/>
              </w:numPr>
              <w:tabs>
                <w:tab w:pos="740" w:val="left" w:leader="none"/>
              </w:tabs>
              <w:spacing w:line="240" w:lineRule="auto" w:before="37" w:after="0"/>
              <w:ind w:left="739" w:right="0" w:hanging="632"/>
              <w:jc w:val="left"/>
              <w:rPr>
                <w:sz w:val="21"/>
              </w:rPr>
            </w:pPr>
            <w:r>
              <w:rPr>
                <w:spacing w:val="-3"/>
                <w:sz w:val="21"/>
              </w:rPr>
              <w:t>脑垂体瘤；</w:t>
            </w:r>
          </w:p>
          <w:p>
            <w:pPr>
              <w:pStyle w:val="TableParagraph"/>
              <w:numPr>
                <w:ilvl w:val="0"/>
                <w:numId w:val="6"/>
              </w:numPr>
              <w:tabs>
                <w:tab w:pos="740" w:val="left" w:leader="none"/>
              </w:tabs>
              <w:spacing w:line="240" w:lineRule="auto" w:before="37" w:after="0"/>
              <w:ind w:left="739" w:right="0" w:hanging="632"/>
              <w:jc w:val="left"/>
              <w:rPr>
                <w:sz w:val="21"/>
              </w:rPr>
            </w:pPr>
            <w:r>
              <w:rPr>
                <w:spacing w:val="-2"/>
                <w:sz w:val="21"/>
              </w:rPr>
              <w:t>脑囊肿；</w:t>
            </w:r>
          </w:p>
          <w:p>
            <w:pPr>
              <w:pStyle w:val="TableParagraph"/>
              <w:numPr>
                <w:ilvl w:val="0"/>
                <w:numId w:val="6"/>
              </w:numPr>
              <w:tabs>
                <w:tab w:pos="740" w:val="left" w:leader="none"/>
              </w:tabs>
              <w:spacing w:line="240" w:lineRule="auto" w:before="37" w:after="0"/>
              <w:ind w:left="739" w:right="0" w:hanging="632"/>
              <w:jc w:val="left"/>
              <w:rPr>
                <w:sz w:val="21"/>
              </w:rPr>
            </w:pPr>
            <w:r>
              <w:rPr>
                <w:spacing w:val="-3"/>
                <w:sz w:val="21"/>
              </w:rPr>
              <w:t>脑动脉瘤、脑血管瘤。</w:t>
            </w:r>
          </w:p>
        </w:tc>
      </w:tr>
      <w:tr>
        <w:trPr>
          <w:trHeight w:val="215"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183" w:hRule="atLeast"/>
        </w:trPr>
        <w:tc>
          <w:tcPr>
            <w:tcW w:w="852" w:type="dxa"/>
          </w:tcPr>
          <w:p>
            <w:pPr>
              <w:pStyle w:val="TableParagraph"/>
              <w:spacing w:line="257" w:lineRule="exact"/>
              <w:ind w:left="107"/>
              <w:rPr>
                <w:b/>
                <w:sz w:val="21"/>
              </w:rPr>
            </w:pPr>
            <w:r>
              <w:rPr>
                <w:b/>
                <w:w w:val="100"/>
                <w:sz w:val="21"/>
              </w:rPr>
              <w:t>十</w:t>
            </w:r>
          </w:p>
        </w:tc>
        <w:tc>
          <w:tcPr>
            <w:tcW w:w="1932" w:type="dxa"/>
          </w:tcPr>
          <w:p>
            <w:pPr>
              <w:pStyle w:val="TableParagraph"/>
              <w:spacing w:line="257" w:lineRule="exact"/>
              <w:ind w:left="107"/>
              <w:rPr>
                <w:b/>
                <w:sz w:val="21"/>
              </w:rPr>
            </w:pPr>
            <w:r>
              <w:rPr>
                <w:b/>
                <w:sz w:val="21"/>
              </w:rPr>
              <w:t>慢性肝功能衰竭</w:t>
            </w:r>
          </w:p>
        </w:tc>
        <w:tc>
          <w:tcPr>
            <w:tcW w:w="7306" w:type="dxa"/>
          </w:tcPr>
          <w:p>
            <w:pPr>
              <w:pStyle w:val="TableParagraph"/>
              <w:spacing w:line="257" w:lineRule="exact"/>
              <w:ind w:left="107"/>
              <w:rPr>
                <w:sz w:val="21"/>
              </w:rPr>
            </w:pPr>
            <w:r>
              <w:rPr>
                <w:sz w:val="21"/>
              </w:rPr>
              <w:t>指因慢性肝脏疾病导致肝功能衰竭，但未达到重大疾病“慢性肝功能衰竭失代</w:t>
            </w:r>
          </w:p>
          <w:p>
            <w:pPr>
              <w:pStyle w:val="TableParagraph"/>
              <w:spacing w:before="37"/>
              <w:ind w:left="107"/>
              <w:rPr>
                <w:sz w:val="21"/>
              </w:rPr>
            </w:pPr>
            <w:r>
              <w:rPr>
                <w:sz w:val="21"/>
              </w:rPr>
              <w:t>偿期”的标准。须满足下列任意三个条件：</w:t>
            </w:r>
          </w:p>
          <w:p>
            <w:pPr>
              <w:pStyle w:val="TableParagraph"/>
              <w:numPr>
                <w:ilvl w:val="0"/>
                <w:numId w:val="7"/>
              </w:numPr>
              <w:tabs>
                <w:tab w:pos="740" w:val="left" w:leader="none"/>
              </w:tabs>
              <w:spacing w:line="240" w:lineRule="auto" w:before="37" w:after="0"/>
              <w:ind w:left="107" w:right="0" w:firstLine="0"/>
              <w:jc w:val="left"/>
              <w:rPr>
                <w:sz w:val="21"/>
              </w:rPr>
            </w:pPr>
            <w:r>
              <w:rPr>
                <w:spacing w:val="-3"/>
                <w:sz w:val="21"/>
              </w:rPr>
              <w:t>持续性黄疸；</w:t>
            </w:r>
          </w:p>
          <w:p>
            <w:pPr>
              <w:pStyle w:val="TableParagraph"/>
              <w:numPr>
                <w:ilvl w:val="0"/>
                <w:numId w:val="7"/>
              </w:numPr>
              <w:tabs>
                <w:tab w:pos="740" w:val="left" w:leader="none"/>
              </w:tabs>
              <w:spacing w:line="240" w:lineRule="auto" w:before="37" w:after="0"/>
              <w:ind w:left="107" w:right="0" w:firstLine="0"/>
              <w:jc w:val="left"/>
              <w:rPr>
                <w:sz w:val="21"/>
              </w:rPr>
            </w:pPr>
            <w:r>
              <w:rPr>
                <w:spacing w:val="-3"/>
                <w:sz w:val="21"/>
              </w:rPr>
              <w:t>腹水；</w:t>
            </w:r>
          </w:p>
          <w:p>
            <w:pPr>
              <w:pStyle w:val="TableParagraph"/>
              <w:numPr>
                <w:ilvl w:val="0"/>
                <w:numId w:val="7"/>
              </w:numPr>
              <w:tabs>
                <w:tab w:pos="740" w:val="left" w:leader="none"/>
              </w:tabs>
              <w:spacing w:line="240" w:lineRule="auto" w:before="37" w:after="0"/>
              <w:ind w:left="107" w:right="0" w:firstLine="0"/>
              <w:jc w:val="left"/>
              <w:rPr>
                <w:sz w:val="21"/>
              </w:rPr>
            </w:pPr>
            <w:r>
              <w:rPr>
                <w:spacing w:val="-2"/>
                <w:sz w:val="21"/>
              </w:rPr>
              <w:t>肝性脑病</w:t>
            </w:r>
          </w:p>
          <w:p>
            <w:pPr>
              <w:pStyle w:val="TableParagraph"/>
              <w:numPr>
                <w:ilvl w:val="0"/>
                <w:numId w:val="7"/>
              </w:numPr>
              <w:tabs>
                <w:tab w:pos="740" w:val="left" w:leader="none"/>
              </w:tabs>
              <w:spacing w:line="273" w:lineRule="auto" w:before="37" w:after="0"/>
              <w:ind w:left="107" w:right="1929" w:firstLine="0"/>
              <w:jc w:val="left"/>
              <w:rPr>
                <w:sz w:val="21"/>
              </w:rPr>
            </w:pPr>
            <w:r>
              <w:rPr>
                <w:spacing w:val="-3"/>
                <w:sz w:val="21"/>
              </w:rPr>
              <w:t>充血性脾肿大伴脾功能亢进或食管胃底静脉曲张。因酗酒或药物滥用导致的肝功能衰竭不在保障范围内。</w:t>
            </w:r>
          </w:p>
        </w:tc>
      </w:tr>
      <w:tr>
        <w:trPr>
          <w:trHeight w:val="217"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559" w:hRule="atLeast"/>
        </w:trPr>
        <w:tc>
          <w:tcPr>
            <w:tcW w:w="852" w:type="dxa"/>
          </w:tcPr>
          <w:p>
            <w:pPr>
              <w:pStyle w:val="TableParagraph"/>
              <w:spacing w:line="257" w:lineRule="exact"/>
              <w:ind w:left="107"/>
              <w:rPr>
                <w:b/>
                <w:sz w:val="21"/>
              </w:rPr>
            </w:pPr>
            <w:r>
              <w:rPr>
                <w:b/>
                <w:sz w:val="21"/>
              </w:rPr>
              <w:t>十一</w:t>
            </w:r>
          </w:p>
        </w:tc>
        <w:tc>
          <w:tcPr>
            <w:tcW w:w="1932" w:type="dxa"/>
          </w:tcPr>
          <w:p>
            <w:pPr>
              <w:pStyle w:val="TableParagraph"/>
              <w:spacing w:line="257" w:lineRule="exact"/>
              <w:ind w:left="107"/>
              <w:rPr>
                <w:b/>
                <w:sz w:val="21"/>
              </w:rPr>
            </w:pPr>
            <w:r>
              <w:rPr>
                <w:b/>
                <w:sz w:val="21"/>
              </w:rPr>
              <w:t>听力严重受损</w:t>
            </w:r>
          </w:p>
        </w:tc>
        <w:tc>
          <w:tcPr>
            <w:tcW w:w="7306" w:type="dxa"/>
          </w:tcPr>
          <w:p>
            <w:pPr>
              <w:pStyle w:val="TableParagraph"/>
              <w:spacing w:line="257" w:lineRule="exact"/>
              <w:ind w:left="107"/>
              <w:rPr>
                <w:sz w:val="21"/>
              </w:rPr>
            </w:pPr>
            <w:r>
              <w:rPr>
                <w:sz w:val="21"/>
              </w:rPr>
              <w:t>指因疾病或意外伤害导致双耳听力</w:t>
            </w:r>
            <w:r>
              <w:rPr>
                <w:b/>
                <w:sz w:val="21"/>
              </w:rPr>
              <w:t>永久不可逆</w:t>
            </w:r>
            <w:r>
              <w:rPr>
                <w:sz w:val="21"/>
              </w:rPr>
              <w:t>性丧失，在 500 赫兹、1000 赫</w:t>
            </w:r>
          </w:p>
          <w:p>
            <w:pPr>
              <w:pStyle w:val="TableParagraph"/>
              <w:spacing w:line="273" w:lineRule="auto" w:before="37"/>
              <w:ind w:left="107" w:right="149"/>
              <w:rPr>
                <w:sz w:val="21"/>
              </w:rPr>
            </w:pPr>
            <w:r>
              <w:rPr>
                <w:spacing w:val="-16"/>
                <w:sz w:val="21"/>
              </w:rPr>
              <w:t>兹和 </w:t>
            </w:r>
            <w:r>
              <w:rPr>
                <w:sz w:val="21"/>
              </w:rPr>
              <w:t>2000</w:t>
            </w:r>
            <w:r>
              <w:rPr>
                <w:spacing w:val="-11"/>
                <w:sz w:val="21"/>
              </w:rPr>
              <w:t> 赫兹语音频率下，平均听阈大于 </w:t>
            </w:r>
            <w:r>
              <w:rPr>
                <w:sz w:val="21"/>
              </w:rPr>
              <w:t>70</w:t>
            </w:r>
            <w:r>
              <w:rPr>
                <w:spacing w:val="-13"/>
                <w:sz w:val="21"/>
              </w:rPr>
              <w:t> 分贝，但未超过 </w:t>
            </w:r>
            <w:r>
              <w:rPr>
                <w:sz w:val="21"/>
              </w:rPr>
              <w:t>90</w:t>
            </w:r>
            <w:r>
              <w:rPr>
                <w:spacing w:val="-10"/>
                <w:sz w:val="21"/>
              </w:rPr>
              <w:t> 分贝，且经</w:t>
            </w:r>
            <w:r>
              <w:rPr>
                <w:spacing w:val="-5"/>
                <w:sz w:val="21"/>
              </w:rPr>
              <w:t>纯音听力测试、声导抗检测或听觉诱发电位检测等证实。</w:t>
            </w:r>
          </w:p>
          <w:p>
            <w:pPr>
              <w:pStyle w:val="TableParagraph"/>
              <w:spacing w:line="273" w:lineRule="auto" w:before="7"/>
              <w:ind w:left="107" w:right="93"/>
              <w:rPr>
                <w:b/>
                <w:sz w:val="21"/>
              </w:rPr>
            </w:pPr>
            <w:r>
              <w:rPr>
                <w:b/>
                <w:spacing w:val="-7"/>
                <w:sz w:val="21"/>
              </w:rPr>
              <w:t>被保险人申请理赔时年龄必须在三周岁以上，并且提供听力丧失诊断及检查证据。</w:t>
            </w:r>
          </w:p>
        </w:tc>
      </w:tr>
      <w:tr>
        <w:trPr>
          <w:trHeight w:val="217"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183" w:hRule="atLeast"/>
        </w:trPr>
        <w:tc>
          <w:tcPr>
            <w:tcW w:w="852" w:type="dxa"/>
          </w:tcPr>
          <w:p>
            <w:pPr>
              <w:pStyle w:val="TableParagraph"/>
              <w:spacing w:line="257" w:lineRule="exact"/>
              <w:ind w:left="107"/>
              <w:rPr>
                <w:b/>
                <w:sz w:val="21"/>
              </w:rPr>
            </w:pPr>
            <w:r>
              <w:rPr>
                <w:b/>
                <w:sz w:val="21"/>
              </w:rPr>
              <w:t>十二</w:t>
            </w:r>
          </w:p>
        </w:tc>
        <w:tc>
          <w:tcPr>
            <w:tcW w:w="1932" w:type="dxa"/>
          </w:tcPr>
          <w:p>
            <w:pPr>
              <w:pStyle w:val="TableParagraph"/>
              <w:spacing w:line="257" w:lineRule="exact"/>
              <w:ind w:left="107"/>
              <w:rPr>
                <w:b/>
                <w:sz w:val="21"/>
              </w:rPr>
            </w:pPr>
            <w:r>
              <w:rPr>
                <w:b/>
                <w:sz w:val="21"/>
              </w:rPr>
              <w:t>视力严重受损</w:t>
            </w:r>
          </w:p>
        </w:tc>
        <w:tc>
          <w:tcPr>
            <w:tcW w:w="7306" w:type="dxa"/>
          </w:tcPr>
          <w:p>
            <w:pPr>
              <w:pStyle w:val="TableParagraph"/>
              <w:spacing w:line="257" w:lineRule="exact"/>
              <w:ind w:left="107"/>
              <w:rPr>
                <w:sz w:val="21"/>
              </w:rPr>
            </w:pPr>
            <w:r>
              <w:rPr>
                <w:sz w:val="21"/>
              </w:rPr>
              <w:t>指因疾病或者意外伤害导致双眼视力</w:t>
            </w:r>
            <w:r>
              <w:rPr>
                <w:b/>
                <w:sz w:val="21"/>
              </w:rPr>
              <w:t>永久不可逆</w:t>
            </w:r>
            <w:r>
              <w:rPr>
                <w:sz w:val="21"/>
              </w:rPr>
              <w:t>性丧失，虽然未达到重大疾病</w:t>
            </w:r>
          </w:p>
          <w:p>
            <w:pPr>
              <w:pStyle w:val="TableParagraph"/>
              <w:spacing w:before="37"/>
              <w:ind w:left="107"/>
              <w:rPr>
                <w:sz w:val="21"/>
              </w:rPr>
            </w:pPr>
            <w:r>
              <w:rPr>
                <w:sz w:val="21"/>
              </w:rPr>
              <w:t>“双目失明”的给付标准，但满足下列条件之一：</w:t>
            </w:r>
          </w:p>
          <w:p>
            <w:pPr>
              <w:pStyle w:val="TableParagraph"/>
              <w:numPr>
                <w:ilvl w:val="0"/>
                <w:numId w:val="8"/>
              </w:numPr>
              <w:tabs>
                <w:tab w:pos="740" w:val="left" w:leader="none"/>
              </w:tabs>
              <w:spacing w:line="273" w:lineRule="auto" w:before="37" w:after="0"/>
              <w:ind w:left="108" w:right="95" w:hanging="1"/>
              <w:jc w:val="left"/>
              <w:rPr>
                <w:sz w:val="21"/>
              </w:rPr>
            </w:pPr>
            <w:r>
              <w:rPr>
                <w:spacing w:val="-5"/>
                <w:sz w:val="21"/>
              </w:rPr>
              <w:t>双眼中较好眼矫正视力低于 </w:t>
            </w:r>
            <w:r>
              <w:rPr>
                <w:sz w:val="21"/>
              </w:rPr>
              <w:t>0.1（</w:t>
            </w:r>
            <w:r>
              <w:rPr>
                <w:spacing w:val="-3"/>
                <w:sz w:val="21"/>
              </w:rPr>
              <w:t>采用国际标准视力表，如果使用其他</w:t>
            </w:r>
            <w:r>
              <w:rPr>
                <w:spacing w:val="-3"/>
                <w:w w:val="100"/>
                <w:sz w:val="21"/>
              </w:rPr>
              <w:t>视力表应进行换算</w:t>
            </w:r>
            <w:r>
              <w:rPr>
                <w:spacing w:val="-108"/>
                <w:w w:val="100"/>
                <w:sz w:val="21"/>
              </w:rPr>
              <w:t>）</w:t>
            </w:r>
            <w:r>
              <w:rPr>
                <w:w w:val="100"/>
                <w:sz w:val="21"/>
              </w:rPr>
              <w:t>；</w:t>
            </w:r>
          </w:p>
          <w:p>
            <w:pPr>
              <w:pStyle w:val="TableParagraph"/>
              <w:numPr>
                <w:ilvl w:val="0"/>
                <w:numId w:val="8"/>
              </w:numPr>
              <w:tabs>
                <w:tab w:pos="740" w:val="left" w:leader="none"/>
              </w:tabs>
              <w:spacing w:line="240" w:lineRule="auto" w:before="7" w:after="0"/>
              <w:ind w:left="739" w:right="0" w:hanging="631"/>
              <w:jc w:val="left"/>
              <w:rPr>
                <w:sz w:val="21"/>
              </w:rPr>
            </w:pPr>
            <w:r>
              <w:rPr>
                <w:spacing w:val="-7"/>
                <w:sz w:val="21"/>
              </w:rPr>
              <w:t>双眼中较好眼视野半径小于 </w:t>
            </w:r>
            <w:r>
              <w:rPr>
                <w:sz w:val="21"/>
              </w:rPr>
              <w:t>20 度。</w:t>
            </w:r>
          </w:p>
          <w:p>
            <w:pPr>
              <w:pStyle w:val="TableParagraph"/>
              <w:spacing w:line="273" w:lineRule="auto" w:before="36"/>
              <w:ind w:left="107" w:right="93"/>
              <w:rPr>
                <w:sz w:val="21"/>
              </w:rPr>
            </w:pPr>
            <w:r>
              <w:rPr>
                <w:spacing w:val="-6"/>
                <w:sz w:val="21"/>
              </w:rPr>
              <w:t>被保险人申请理赔时年龄必须在三周岁以上，并且提供视力丧失诊断及检查证据。</w:t>
            </w:r>
          </w:p>
        </w:tc>
      </w:tr>
      <w:tr>
        <w:trPr>
          <w:trHeight w:val="215"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250" w:hRule="atLeast"/>
        </w:trPr>
        <w:tc>
          <w:tcPr>
            <w:tcW w:w="852" w:type="dxa"/>
          </w:tcPr>
          <w:p>
            <w:pPr>
              <w:pStyle w:val="TableParagraph"/>
              <w:spacing w:line="259" w:lineRule="exact"/>
              <w:ind w:left="107"/>
              <w:rPr>
                <w:b/>
                <w:sz w:val="21"/>
              </w:rPr>
            </w:pPr>
            <w:r>
              <w:rPr>
                <w:b/>
                <w:sz w:val="21"/>
              </w:rPr>
              <w:t>十三</w:t>
            </w:r>
          </w:p>
        </w:tc>
        <w:tc>
          <w:tcPr>
            <w:tcW w:w="1932" w:type="dxa"/>
          </w:tcPr>
          <w:p>
            <w:pPr>
              <w:pStyle w:val="TableParagraph"/>
              <w:spacing w:line="259" w:lineRule="exact"/>
              <w:ind w:left="107"/>
              <w:rPr>
                <w:b/>
                <w:sz w:val="21"/>
              </w:rPr>
            </w:pPr>
            <w:r>
              <w:rPr>
                <w:b/>
                <w:sz w:val="21"/>
              </w:rPr>
              <w:t>中度瘫痪</w:t>
            </w:r>
          </w:p>
        </w:tc>
        <w:tc>
          <w:tcPr>
            <w:tcW w:w="7306" w:type="dxa"/>
          </w:tcPr>
          <w:p>
            <w:pPr>
              <w:pStyle w:val="TableParagraph"/>
              <w:spacing w:line="259" w:lineRule="exact"/>
              <w:ind w:left="107"/>
              <w:rPr>
                <w:sz w:val="21"/>
              </w:rPr>
            </w:pPr>
            <w:r>
              <w:rPr>
                <w:sz w:val="21"/>
              </w:rPr>
              <w:t>指因疾病或者意外伤害导致一肢或一肢以上肢体机能永久完全丧失，且未达到</w:t>
            </w:r>
          </w:p>
          <w:p>
            <w:pPr>
              <w:pStyle w:val="TableParagraph"/>
              <w:spacing w:before="37"/>
              <w:ind w:left="107"/>
              <w:rPr>
                <w:sz w:val="21"/>
              </w:rPr>
            </w:pPr>
            <w:r>
              <w:rPr>
                <w:spacing w:val="-9"/>
                <w:sz w:val="21"/>
              </w:rPr>
              <w:t>重大疾病“瘫痪”的给付标准。肢体机能永久完全丧失，指疾病确诊 </w:t>
            </w:r>
            <w:r>
              <w:rPr>
                <w:sz w:val="21"/>
              </w:rPr>
              <w:t>180</w:t>
            </w:r>
            <w:r>
              <w:rPr>
                <w:spacing w:val="-14"/>
                <w:sz w:val="21"/>
              </w:rPr>
              <w:t> 天后</w:t>
            </w:r>
          </w:p>
          <w:p>
            <w:pPr>
              <w:pStyle w:val="TableParagraph"/>
              <w:spacing w:line="273" w:lineRule="auto" w:before="37"/>
              <w:ind w:left="107" w:right="95" w:hanging="1"/>
              <w:rPr>
                <w:sz w:val="21"/>
              </w:rPr>
            </w:pPr>
            <w:r>
              <w:rPr>
                <w:spacing w:val="-8"/>
                <w:sz w:val="21"/>
              </w:rPr>
              <w:t>或意外伤害发生 </w:t>
            </w:r>
            <w:r>
              <w:rPr>
                <w:sz w:val="21"/>
              </w:rPr>
              <w:t>180</w:t>
            </w:r>
            <w:r>
              <w:rPr>
                <w:spacing w:val="-13"/>
                <w:sz w:val="21"/>
              </w:rPr>
              <w:t> 天后，每肢</w:t>
            </w:r>
            <w:r>
              <w:rPr>
                <w:b/>
                <w:sz w:val="21"/>
              </w:rPr>
              <w:t>三大关节</w:t>
            </w:r>
            <w:r>
              <w:rPr>
                <w:spacing w:val="-5"/>
                <w:sz w:val="21"/>
              </w:rPr>
              <w:t>中的两大关节仍然完全僵硬，或不能</w:t>
            </w:r>
            <w:r>
              <w:rPr>
                <w:spacing w:val="-2"/>
                <w:sz w:val="21"/>
              </w:rPr>
              <w:t>随意识活动。</w:t>
            </w:r>
          </w:p>
        </w:tc>
      </w:tr>
      <w:tr>
        <w:trPr>
          <w:trHeight w:val="215"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623" w:hRule="atLeast"/>
        </w:trPr>
        <w:tc>
          <w:tcPr>
            <w:tcW w:w="852" w:type="dxa"/>
          </w:tcPr>
          <w:p>
            <w:pPr>
              <w:pStyle w:val="TableParagraph"/>
              <w:spacing w:line="257" w:lineRule="exact"/>
              <w:ind w:left="107"/>
              <w:rPr>
                <w:b/>
                <w:sz w:val="21"/>
              </w:rPr>
            </w:pPr>
            <w:r>
              <w:rPr>
                <w:b/>
                <w:sz w:val="21"/>
              </w:rPr>
              <w:t>十四</w:t>
            </w:r>
          </w:p>
        </w:tc>
        <w:tc>
          <w:tcPr>
            <w:tcW w:w="1932" w:type="dxa"/>
          </w:tcPr>
          <w:p>
            <w:pPr>
              <w:pStyle w:val="TableParagraph"/>
              <w:spacing w:line="257" w:lineRule="exact"/>
              <w:ind w:left="107"/>
              <w:rPr>
                <w:b/>
                <w:sz w:val="21"/>
              </w:rPr>
            </w:pPr>
            <w:r>
              <w:rPr>
                <w:b/>
                <w:sz w:val="21"/>
              </w:rPr>
              <w:t>心脏瓣膜介入手术</w:t>
            </w:r>
          </w:p>
          <w:p>
            <w:pPr>
              <w:pStyle w:val="TableParagraph"/>
              <w:spacing w:before="37"/>
              <w:ind w:left="107"/>
              <w:rPr>
                <w:b/>
                <w:sz w:val="21"/>
              </w:rPr>
            </w:pPr>
            <w:r>
              <w:rPr>
                <w:b/>
                <w:sz w:val="21"/>
              </w:rPr>
              <w:t>（非开胸手术）</w:t>
            </w:r>
          </w:p>
        </w:tc>
        <w:tc>
          <w:tcPr>
            <w:tcW w:w="7306" w:type="dxa"/>
          </w:tcPr>
          <w:p>
            <w:pPr>
              <w:pStyle w:val="TableParagraph"/>
              <w:spacing w:line="257" w:lineRule="exact"/>
              <w:ind w:left="107"/>
              <w:rPr>
                <w:sz w:val="21"/>
              </w:rPr>
            </w:pPr>
            <w:r>
              <w:rPr>
                <w:sz w:val="21"/>
              </w:rPr>
              <w:t>为了治疗心脏瓣膜疾病，实际实施了非开胸的经胸壁打孔内镜手术或者经皮经</w:t>
            </w:r>
          </w:p>
          <w:p>
            <w:pPr>
              <w:pStyle w:val="TableParagraph"/>
              <w:spacing w:before="37"/>
              <w:ind w:left="107"/>
              <w:rPr>
                <w:sz w:val="21"/>
              </w:rPr>
            </w:pPr>
            <w:r>
              <w:rPr>
                <w:sz w:val="21"/>
              </w:rPr>
              <w:t>导管介入手术进行的心脏瓣膜置换或者修复手术。</w:t>
            </w:r>
          </w:p>
        </w:tc>
      </w:tr>
      <w:tr>
        <w:trPr>
          <w:trHeight w:val="217"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559" w:hRule="atLeast"/>
        </w:trPr>
        <w:tc>
          <w:tcPr>
            <w:tcW w:w="852" w:type="dxa"/>
          </w:tcPr>
          <w:p>
            <w:pPr>
              <w:pStyle w:val="TableParagraph"/>
              <w:spacing w:line="257" w:lineRule="exact"/>
              <w:ind w:left="107"/>
              <w:rPr>
                <w:b/>
                <w:sz w:val="21"/>
              </w:rPr>
            </w:pPr>
            <w:r>
              <w:rPr>
                <w:b/>
                <w:sz w:val="21"/>
              </w:rPr>
              <w:t>十五</w:t>
            </w:r>
          </w:p>
        </w:tc>
        <w:tc>
          <w:tcPr>
            <w:tcW w:w="1932" w:type="dxa"/>
          </w:tcPr>
          <w:p>
            <w:pPr>
              <w:pStyle w:val="TableParagraph"/>
              <w:spacing w:line="257" w:lineRule="exact"/>
              <w:ind w:left="107"/>
              <w:rPr>
                <w:b/>
                <w:sz w:val="21"/>
              </w:rPr>
            </w:pPr>
            <w:r>
              <w:rPr>
                <w:b/>
                <w:sz w:val="21"/>
              </w:rPr>
              <w:t>中度脑损伤</w:t>
            </w:r>
          </w:p>
        </w:tc>
        <w:tc>
          <w:tcPr>
            <w:tcW w:w="7306" w:type="dxa"/>
          </w:tcPr>
          <w:p>
            <w:pPr>
              <w:pStyle w:val="TableParagraph"/>
              <w:spacing w:line="257" w:lineRule="exact"/>
              <w:ind w:left="107"/>
              <w:rPr>
                <w:sz w:val="21"/>
              </w:rPr>
            </w:pPr>
            <w:r>
              <w:rPr>
                <w:sz w:val="21"/>
              </w:rPr>
              <w:t>指因头部遭受机械性外力，引起脑重要部位损伤，导致神经系统永久性的功能</w:t>
            </w:r>
          </w:p>
          <w:p>
            <w:pPr>
              <w:pStyle w:val="TableParagraph"/>
              <w:spacing w:before="37"/>
              <w:ind w:left="107"/>
              <w:rPr>
                <w:sz w:val="21"/>
              </w:rPr>
            </w:pPr>
            <w:r>
              <w:rPr>
                <w:spacing w:val="-5"/>
                <w:w w:val="100"/>
                <w:sz w:val="21"/>
              </w:rPr>
              <w:t>障碍。须由头颅断层扫描</w:t>
            </w:r>
            <w:r>
              <w:rPr>
                <w:spacing w:val="-1"/>
                <w:w w:val="100"/>
                <w:sz w:val="21"/>
              </w:rPr>
              <w:t>（</w:t>
            </w:r>
            <w:r>
              <w:rPr>
                <w:w w:val="100"/>
                <w:sz w:val="21"/>
              </w:rPr>
              <w:t>CT</w:t>
            </w:r>
            <w:r>
              <w:rPr>
                <w:spacing w:val="-108"/>
                <w:w w:val="100"/>
                <w:sz w:val="21"/>
              </w:rPr>
              <w:t>）</w:t>
            </w:r>
            <w:r>
              <w:rPr>
                <w:spacing w:val="-7"/>
                <w:w w:val="100"/>
                <w:sz w:val="21"/>
              </w:rPr>
              <w:t>、核磁共振检查</w:t>
            </w:r>
            <w:r>
              <w:rPr>
                <w:w w:val="100"/>
                <w:sz w:val="21"/>
              </w:rPr>
              <w:t>（M</w:t>
            </w:r>
            <w:r>
              <w:rPr>
                <w:spacing w:val="-3"/>
                <w:w w:val="100"/>
                <w:sz w:val="21"/>
              </w:rPr>
              <w:t>R</w:t>
            </w:r>
            <w:r>
              <w:rPr>
                <w:spacing w:val="-1"/>
                <w:w w:val="100"/>
                <w:sz w:val="21"/>
              </w:rPr>
              <w:t>I</w:t>
            </w:r>
            <w:r>
              <w:rPr>
                <w:spacing w:val="-10"/>
                <w:w w:val="100"/>
                <w:sz w:val="21"/>
              </w:rPr>
              <w:t>）</w:t>
            </w:r>
            <w:r>
              <w:rPr>
                <w:spacing w:val="-3"/>
                <w:w w:val="100"/>
                <w:sz w:val="21"/>
              </w:rPr>
              <w:t>或正电子发射断层扫描</w:t>
            </w:r>
          </w:p>
          <w:p>
            <w:pPr>
              <w:pStyle w:val="TableParagraph"/>
              <w:spacing w:line="273" w:lineRule="auto" w:before="37"/>
              <w:ind w:left="107" w:right="-15"/>
              <w:rPr>
                <w:sz w:val="21"/>
              </w:rPr>
            </w:pPr>
            <w:r>
              <w:rPr>
                <w:spacing w:val="-4"/>
                <w:sz w:val="21"/>
              </w:rPr>
              <w:t>（PET）</w:t>
            </w:r>
            <w:r>
              <w:rPr>
                <w:spacing w:val="-8"/>
                <w:sz w:val="21"/>
              </w:rPr>
              <w:t>等影像学检查证实。神经系统永久性的功能障碍，指脑损伤 </w:t>
            </w:r>
            <w:r>
              <w:rPr>
                <w:sz w:val="21"/>
              </w:rPr>
              <w:t>180</w:t>
            </w:r>
            <w:r>
              <w:rPr>
                <w:spacing w:val="-12"/>
                <w:sz w:val="21"/>
              </w:rPr>
              <w:t> 天后， </w:t>
            </w:r>
            <w:r>
              <w:rPr>
                <w:spacing w:val="-8"/>
                <w:sz w:val="21"/>
              </w:rPr>
              <w:t>仍完全丧失自主生活能力，无法独立完成</w:t>
            </w:r>
            <w:r>
              <w:rPr>
                <w:b/>
                <w:sz w:val="21"/>
              </w:rPr>
              <w:t>六项基本日常生活活动</w:t>
            </w:r>
            <w:r>
              <w:rPr>
                <w:spacing w:val="-3"/>
                <w:sz w:val="21"/>
              </w:rPr>
              <w:t>中的二项或以上，但未达到重大疾病“严重脑损伤”的给付标准。</w:t>
            </w:r>
          </w:p>
        </w:tc>
      </w:tr>
      <w:tr>
        <w:trPr>
          <w:trHeight w:val="218"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623" w:hRule="atLeast"/>
        </w:trPr>
        <w:tc>
          <w:tcPr>
            <w:tcW w:w="852" w:type="dxa"/>
          </w:tcPr>
          <w:p>
            <w:pPr>
              <w:pStyle w:val="TableParagraph"/>
              <w:spacing w:line="257" w:lineRule="exact"/>
              <w:ind w:left="107"/>
              <w:rPr>
                <w:b/>
                <w:sz w:val="21"/>
              </w:rPr>
            </w:pPr>
            <w:r>
              <w:rPr>
                <w:b/>
                <w:sz w:val="21"/>
              </w:rPr>
              <w:t>十六</w:t>
            </w:r>
          </w:p>
        </w:tc>
        <w:tc>
          <w:tcPr>
            <w:tcW w:w="1932" w:type="dxa"/>
          </w:tcPr>
          <w:p>
            <w:pPr>
              <w:pStyle w:val="TableParagraph"/>
              <w:spacing w:line="257" w:lineRule="exact"/>
              <w:ind w:left="107"/>
              <w:rPr>
                <w:b/>
                <w:sz w:val="21"/>
              </w:rPr>
            </w:pPr>
            <w:r>
              <w:rPr>
                <w:b/>
                <w:sz w:val="21"/>
              </w:rPr>
              <w:t>全身较小面积Ⅲ度</w:t>
            </w:r>
          </w:p>
          <w:p>
            <w:pPr>
              <w:pStyle w:val="TableParagraph"/>
              <w:spacing w:before="37"/>
              <w:ind w:left="107"/>
              <w:rPr>
                <w:b/>
                <w:sz w:val="21"/>
              </w:rPr>
            </w:pPr>
            <w:r>
              <w:rPr>
                <w:b/>
                <w:sz w:val="21"/>
              </w:rPr>
              <w:t>烧伤</w:t>
            </w:r>
          </w:p>
        </w:tc>
        <w:tc>
          <w:tcPr>
            <w:tcW w:w="7306" w:type="dxa"/>
          </w:tcPr>
          <w:p>
            <w:pPr>
              <w:pStyle w:val="TableParagraph"/>
              <w:spacing w:line="257" w:lineRule="exact"/>
              <w:ind w:left="107"/>
              <w:rPr>
                <w:sz w:val="21"/>
              </w:rPr>
            </w:pPr>
            <w:r>
              <w:rPr>
                <w:sz w:val="21"/>
              </w:rPr>
              <w:t>指烧伤程度为Ⅲ度，且Ⅲ度烧伤面积为全身体表面积的 10%或者 10%以上，但</w:t>
            </w:r>
          </w:p>
          <w:p>
            <w:pPr>
              <w:pStyle w:val="TableParagraph"/>
              <w:spacing w:before="37"/>
              <w:ind w:left="108"/>
              <w:rPr>
                <w:sz w:val="21"/>
              </w:rPr>
            </w:pPr>
            <w:r>
              <w:rPr>
                <w:sz w:val="21"/>
              </w:rPr>
              <w:t>尚未达到 20%。体表面积根据《中国新九分法》计算。</w:t>
            </w:r>
          </w:p>
        </w:tc>
      </w:tr>
      <w:tr>
        <w:trPr>
          <w:trHeight w:val="215"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938" w:hRule="atLeast"/>
        </w:trPr>
        <w:tc>
          <w:tcPr>
            <w:tcW w:w="852" w:type="dxa"/>
          </w:tcPr>
          <w:p>
            <w:pPr>
              <w:pStyle w:val="TableParagraph"/>
              <w:spacing w:line="259" w:lineRule="exact"/>
              <w:ind w:left="107"/>
              <w:rPr>
                <w:b/>
                <w:sz w:val="21"/>
              </w:rPr>
            </w:pPr>
            <w:r>
              <w:rPr>
                <w:b/>
                <w:sz w:val="21"/>
              </w:rPr>
              <w:t>十七</w:t>
            </w:r>
          </w:p>
        </w:tc>
        <w:tc>
          <w:tcPr>
            <w:tcW w:w="1932" w:type="dxa"/>
          </w:tcPr>
          <w:p>
            <w:pPr>
              <w:pStyle w:val="TableParagraph"/>
              <w:spacing w:line="259" w:lineRule="exact"/>
              <w:ind w:left="107"/>
              <w:rPr>
                <w:b/>
                <w:sz w:val="21"/>
              </w:rPr>
            </w:pPr>
            <w:r>
              <w:rPr>
                <w:b/>
                <w:sz w:val="21"/>
              </w:rPr>
              <w:t>原发性肺动脉高压</w:t>
            </w:r>
          </w:p>
        </w:tc>
        <w:tc>
          <w:tcPr>
            <w:tcW w:w="7306" w:type="dxa"/>
          </w:tcPr>
          <w:p>
            <w:pPr>
              <w:pStyle w:val="TableParagraph"/>
              <w:spacing w:line="259" w:lineRule="exact"/>
              <w:ind w:left="107"/>
              <w:rPr>
                <w:sz w:val="21"/>
              </w:rPr>
            </w:pPr>
            <w:r>
              <w:rPr>
                <w:sz w:val="21"/>
              </w:rPr>
              <w:t>指由于原发性肺动脉高压进行性发展，已经造成永久不可逆性的体力活动能力</w:t>
            </w:r>
          </w:p>
          <w:p>
            <w:pPr>
              <w:pStyle w:val="TableParagraph"/>
              <w:spacing w:before="37"/>
              <w:ind w:left="107"/>
              <w:rPr>
                <w:sz w:val="21"/>
              </w:rPr>
            </w:pPr>
            <w:r>
              <w:rPr>
                <w:spacing w:val="-11"/>
                <w:sz w:val="21"/>
              </w:rPr>
              <w:t>受限，达到美国纽约心脏病学会心功能状态分级 </w:t>
            </w:r>
            <w:r>
              <w:rPr>
                <w:sz w:val="21"/>
              </w:rPr>
              <w:t>III</w:t>
            </w:r>
            <w:r>
              <w:rPr>
                <w:spacing w:val="-15"/>
                <w:sz w:val="21"/>
              </w:rPr>
              <w:t> 级及以上，但尚未达到 </w:t>
            </w:r>
            <w:r>
              <w:rPr>
                <w:spacing w:val="-3"/>
                <w:sz w:val="21"/>
              </w:rPr>
              <w:t>IV</w:t>
            </w:r>
          </w:p>
          <w:p>
            <w:pPr>
              <w:pStyle w:val="TableParagraph"/>
              <w:spacing w:before="37"/>
              <w:ind w:left="107"/>
              <w:rPr>
                <w:sz w:val="21"/>
              </w:rPr>
            </w:pPr>
            <w:r>
              <w:rPr>
                <w:sz w:val="21"/>
              </w:rPr>
              <w:t>级，且静息状态下肺动脉平均压超过 25mmHg，但尚未超过 30mmHg。</w:t>
            </w:r>
          </w:p>
        </w:tc>
      </w:tr>
    </w:tbl>
    <w:p>
      <w:pPr>
        <w:spacing w:after="0"/>
        <w:rPr>
          <w:sz w:val="21"/>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2"/>
        <w:gridCol w:w="7306"/>
      </w:tblGrid>
      <w:tr>
        <w:trPr>
          <w:trHeight w:val="217"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623" w:hRule="atLeast"/>
        </w:trPr>
        <w:tc>
          <w:tcPr>
            <w:tcW w:w="852" w:type="dxa"/>
          </w:tcPr>
          <w:p>
            <w:pPr>
              <w:pStyle w:val="TableParagraph"/>
              <w:spacing w:line="257" w:lineRule="exact"/>
              <w:ind w:left="107"/>
              <w:rPr>
                <w:b/>
                <w:sz w:val="21"/>
              </w:rPr>
            </w:pPr>
            <w:r>
              <w:rPr>
                <w:b/>
                <w:sz w:val="21"/>
              </w:rPr>
              <w:t>十八</w:t>
            </w:r>
          </w:p>
        </w:tc>
        <w:tc>
          <w:tcPr>
            <w:tcW w:w="1932" w:type="dxa"/>
          </w:tcPr>
          <w:p>
            <w:pPr>
              <w:pStyle w:val="TableParagraph"/>
              <w:spacing w:line="257" w:lineRule="exact"/>
              <w:ind w:left="107"/>
              <w:rPr>
                <w:b/>
                <w:sz w:val="21"/>
              </w:rPr>
            </w:pPr>
            <w:r>
              <w:rPr>
                <w:b/>
                <w:sz w:val="21"/>
              </w:rPr>
              <w:t>主动脉内手术（非</w:t>
            </w:r>
          </w:p>
          <w:p>
            <w:pPr>
              <w:pStyle w:val="TableParagraph"/>
              <w:spacing w:before="37"/>
              <w:ind w:left="107"/>
              <w:rPr>
                <w:b/>
                <w:sz w:val="21"/>
              </w:rPr>
            </w:pPr>
            <w:r>
              <w:rPr>
                <w:b/>
                <w:sz w:val="21"/>
              </w:rPr>
              <w:t>开胸手术）</w:t>
            </w:r>
          </w:p>
        </w:tc>
        <w:tc>
          <w:tcPr>
            <w:tcW w:w="7306" w:type="dxa"/>
          </w:tcPr>
          <w:p>
            <w:pPr>
              <w:pStyle w:val="TableParagraph"/>
              <w:spacing w:line="257" w:lineRule="exact"/>
              <w:ind w:left="107"/>
              <w:rPr>
                <w:sz w:val="21"/>
              </w:rPr>
            </w:pPr>
            <w:r>
              <w:rPr>
                <w:sz w:val="21"/>
              </w:rPr>
              <w:t>为了治疗主动脉疾病实际实施了经皮经导管进行的动脉内手术。主动脉指胸主</w:t>
            </w:r>
          </w:p>
          <w:p>
            <w:pPr>
              <w:pStyle w:val="TableParagraph"/>
              <w:spacing w:before="37"/>
              <w:ind w:left="107"/>
              <w:rPr>
                <w:sz w:val="21"/>
              </w:rPr>
            </w:pPr>
            <w:r>
              <w:rPr>
                <w:sz w:val="21"/>
              </w:rPr>
              <w:t>动脉和腹主动脉，不包括胸主动脉和腹主动脉的分支血管。</w:t>
            </w:r>
          </w:p>
        </w:tc>
      </w:tr>
      <w:tr>
        <w:trPr>
          <w:trHeight w:val="218"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871" w:hRule="atLeast"/>
        </w:trPr>
        <w:tc>
          <w:tcPr>
            <w:tcW w:w="852" w:type="dxa"/>
          </w:tcPr>
          <w:p>
            <w:pPr>
              <w:pStyle w:val="TableParagraph"/>
              <w:spacing w:line="257" w:lineRule="exact"/>
              <w:ind w:left="107"/>
              <w:rPr>
                <w:b/>
                <w:sz w:val="21"/>
              </w:rPr>
            </w:pPr>
            <w:r>
              <w:rPr>
                <w:b/>
                <w:sz w:val="21"/>
              </w:rPr>
              <w:t>十九</w:t>
            </w:r>
          </w:p>
        </w:tc>
        <w:tc>
          <w:tcPr>
            <w:tcW w:w="1932" w:type="dxa"/>
          </w:tcPr>
          <w:p>
            <w:pPr>
              <w:pStyle w:val="TableParagraph"/>
              <w:spacing w:line="257" w:lineRule="exact"/>
              <w:ind w:left="107"/>
              <w:rPr>
                <w:b/>
                <w:sz w:val="21"/>
              </w:rPr>
            </w:pPr>
            <w:r>
              <w:rPr>
                <w:b/>
                <w:sz w:val="21"/>
              </w:rPr>
              <w:t>中度溃疡性结肠炎</w:t>
            </w:r>
          </w:p>
        </w:tc>
        <w:tc>
          <w:tcPr>
            <w:tcW w:w="7306" w:type="dxa"/>
          </w:tcPr>
          <w:p>
            <w:pPr>
              <w:pStyle w:val="TableParagraph"/>
              <w:spacing w:line="257" w:lineRule="exact"/>
              <w:ind w:left="107"/>
              <w:rPr>
                <w:sz w:val="21"/>
              </w:rPr>
            </w:pPr>
            <w:r>
              <w:rPr>
                <w:sz w:val="21"/>
              </w:rPr>
              <w:t>指伴有致命性电解质紊乱的急性暴发性溃疡性结肠炎，病变累及全结肠，表现</w:t>
            </w:r>
          </w:p>
          <w:p>
            <w:pPr>
              <w:pStyle w:val="TableParagraph"/>
              <w:spacing w:line="273" w:lineRule="auto" w:before="37"/>
              <w:ind w:left="107" w:right="45"/>
              <w:rPr>
                <w:b/>
                <w:sz w:val="21"/>
              </w:rPr>
            </w:pPr>
            <w:r>
              <w:rPr>
                <w:spacing w:val="-6"/>
                <w:sz w:val="21"/>
              </w:rPr>
              <w:t>为严重的血便和系统性症状体征和肠破裂的风险，本疾病的确诊必须经由内窥</w:t>
            </w:r>
            <w:r>
              <w:rPr>
                <w:spacing w:val="-4"/>
                <w:sz w:val="21"/>
              </w:rPr>
              <w:t>镜检查证实该疾病侵犯全部结肠及直肠及活体切片检查证实为溃疡性结肠炎， </w:t>
            </w:r>
            <w:r>
              <w:rPr>
                <w:spacing w:val="-5"/>
                <w:sz w:val="21"/>
              </w:rPr>
              <w:t>且须经肠胃专科医生连续以系统性免疫抑制剂或免疫调节剂持续治疗最少 </w:t>
            </w:r>
            <w:r>
              <w:rPr>
                <w:spacing w:val="-3"/>
                <w:sz w:val="21"/>
              </w:rPr>
              <w:t>90 天，但未达到重大疾病“严重溃疡性结肠炎”的标准，才符合本保障范围。 </w:t>
            </w:r>
            <w:r>
              <w:rPr>
                <w:b/>
                <w:spacing w:val="-3"/>
                <w:sz w:val="21"/>
              </w:rPr>
              <w:t>其他种类的发炎性结肠炎,只发生在直肠的溃疡性结肠炎均不在保障范围内。</w:t>
            </w:r>
          </w:p>
        </w:tc>
      </w:tr>
      <w:tr>
        <w:trPr>
          <w:trHeight w:val="218"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247" w:hRule="atLeast"/>
        </w:trPr>
        <w:tc>
          <w:tcPr>
            <w:tcW w:w="852" w:type="dxa"/>
          </w:tcPr>
          <w:p>
            <w:pPr>
              <w:pStyle w:val="TableParagraph"/>
              <w:spacing w:line="257" w:lineRule="exact"/>
              <w:ind w:left="107"/>
              <w:rPr>
                <w:b/>
                <w:sz w:val="21"/>
              </w:rPr>
            </w:pPr>
            <w:r>
              <w:rPr>
                <w:b/>
                <w:sz w:val="21"/>
              </w:rPr>
              <w:t>二十</w:t>
            </w:r>
          </w:p>
        </w:tc>
        <w:tc>
          <w:tcPr>
            <w:tcW w:w="1932" w:type="dxa"/>
          </w:tcPr>
          <w:p>
            <w:pPr>
              <w:pStyle w:val="TableParagraph"/>
              <w:spacing w:line="257" w:lineRule="exact"/>
              <w:ind w:left="107"/>
              <w:rPr>
                <w:b/>
                <w:sz w:val="21"/>
              </w:rPr>
            </w:pPr>
            <w:r>
              <w:rPr>
                <w:b/>
                <w:sz w:val="21"/>
              </w:rPr>
              <w:t>中度脑炎或脑膜炎</w:t>
            </w:r>
          </w:p>
          <w:p>
            <w:pPr>
              <w:pStyle w:val="TableParagraph"/>
              <w:spacing w:before="37"/>
              <w:ind w:left="107"/>
              <w:rPr>
                <w:b/>
                <w:sz w:val="21"/>
              </w:rPr>
            </w:pPr>
            <w:r>
              <w:rPr>
                <w:b/>
                <w:sz w:val="21"/>
              </w:rPr>
              <w:t>后遗症</w:t>
            </w:r>
          </w:p>
        </w:tc>
        <w:tc>
          <w:tcPr>
            <w:tcW w:w="7306" w:type="dxa"/>
          </w:tcPr>
          <w:p>
            <w:pPr>
              <w:pStyle w:val="TableParagraph"/>
              <w:spacing w:line="257" w:lineRule="exact"/>
              <w:ind w:left="107"/>
              <w:rPr>
                <w:sz w:val="21"/>
              </w:rPr>
            </w:pPr>
            <w:r>
              <w:rPr>
                <w:sz w:val="21"/>
              </w:rPr>
              <w:t>指因患脑炎或脑膜炎导致的神经系统的功能障碍。神经系统的功能障碍，指疾</w:t>
            </w:r>
          </w:p>
          <w:p>
            <w:pPr>
              <w:pStyle w:val="TableParagraph"/>
              <w:spacing w:line="273" w:lineRule="auto" w:before="37"/>
              <w:ind w:left="107" w:right="93"/>
              <w:jc w:val="both"/>
              <w:rPr>
                <w:sz w:val="21"/>
              </w:rPr>
            </w:pPr>
            <w:r>
              <w:rPr>
                <w:spacing w:val="-11"/>
                <w:sz w:val="21"/>
              </w:rPr>
              <w:t>病确诊 </w:t>
            </w:r>
            <w:r>
              <w:rPr>
                <w:sz w:val="21"/>
              </w:rPr>
              <w:t>180</w:t>
            </w:r>
            <w:r>
              <w:rPr>
                <w:spacing w:val="-12"/>
                <w:sz w:val="21"/>
              </w:rPr>
              <w:t> 天后，仍存在自主活动能力完全丧失，无法独立完成</w:t>
            </w:r>
            <w:r>
              <w:rPr>
                <w:b/>
                <w:spacing w:val="-1"/>
                <w:sz w:val="21"/>
              </w:rPr>
              <w:t>六项基本日常生活活动</w:t>
            </w:r>
            <w:r>
              <w:rPr>
                <w:spacing w:val="-8"/>
                <w:sz w:val="21"/>
              </w:rPr>
              <w:t>中的两项。若被保险人已符合本合同所指的重大疾病“脑炎后遗症或</w:t>
            </w:r>
            <w:r>
              <w:rPr>
                <w:spacing w:val="-5"/>
                <w:sz w:val="21"/>
              </w:rPr>
              <w:t>脑膜炎后遗症”给付标准的，则不在保障范围内。</w:t>
            </w:r>
          </w:p>
        </w:tc>
      </w:tr>
    </w:tbl>
    <w:sectPr>
      <w:pgSz w:w="11910" w:h="16840"/>
      <w:pgMar w:top="1120" w:bottom="280" w:left="8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08" w:hanging="632"/>
        <w:jc w:val="left"/>
      </w:pPr>
      <w:rPr>
        <w:rFonts w:hint="default" w:ascii="宋体" w:hAnsi="宋体" w:eastAsia="宋体" w:cs="宋体"/>
        <w:w w:val="100"/>
        <w:sz w:val="21"/>
        <w:szCs w:val="21"/>
      </w:rPr>
    </w:lvl>
    <w:lvl w:ilvl="1">
      <w:start w:val="0"/>
      <w:numFmt w:val="bullet"/>
      <w:lvlText w:val="•"/>
      <w:lvlJc w:val="left"/>
      <w:pPr>
        <w:ind w:left="819" w:hanging="632"/>
      </w:pPr>
      <w:rPr>
        <w:rFonts w:hint="default"/>
      </w:rPr>
    </w:lvl>
    <w:lvl w:ilvl="2">
      <w:start w:val="0"/>
      <w:numFmt w:val="bullet"/>
      <w:lvlText w:val="•"/>
      <w:lvlJc w:val="left"/>
      <w:pPr>
        <w:ind w:left="1539" w:hanging="632"/>
      </w:pPr>
      <w:rPr>
        <w:rFonts w:hint="default"/>
      </w:rPr>
    </w:lvl>
    <w:lvl w:ilvl="3">
      <w:start w:val="0"/>
      <w:numFmt w:val="bullet"/>
      <w:lvlText w:val="•"/>
      <w:lvlJc w:val="left"/>
      <w:pPr>
        <w:ind w:left="2258" w:hanging="632"/>
      </w:pPr>
      <w:rPr>
        <w:rFonts w:hint="default"/>
      </w:rPr>
    </w:lvl>
    <w:lvl w:ilvl="4">
      <w:start w:val="0"/>
      <w:numFmt w:val="bullet"/>
      <w:lvlText w:val="•"/>
      <w:lvlJc w:val="left"/>
      <w:pPr>
        <w:ind w:left="2978" w:hanging="632"/>
      </w:pPr>
      <w:rPr>
        <w:rFonts w:hint="default"/>
      </w:rPr>
    </w:lvl>
    <w:lvl w:ilvl="5">
      <w:start w:val="0"/>
      <w:numFmt w:val="bullet"/>
      <w:lvlText w:val="•"/>
      <w:lvlJc w:val="left"/>
      <w:pPr>
        <w:ind w:left="3698" w:hanging="632"/>
      </w:pPr>
      <w:rPr>
        <w:rFonts w:hint="default"/>
      </w:rPr>
    </w:lvl>
    <w:lvl w:ilvl="6">
      <w:start w:val="0"/>
      <w:numFmt w:val="bullet"/>
      <w:lvlText w:val="•"/>
      <w:lvlJc w:val="left"/>
      <w:pPr>
        <w:ind w:left="4417" w:hanging="632"/>
      </w:pPr>
      <w:rPr>
        <w:rFonts w:hint="default"/>
      </w:rPr>
    </w:lvl>
    <w:lvl w:ilvl="7">
      <w:start w:val="0"/>
      <w:numFmt w:val="bullet"/>
      <w:lvlText w:val="•"/>
      <w:lvlJc w:val="left"/>
      <w:pPr>
        <w:ind w:left="5137" w:hanging="632"/>
      </w:pPr>
      <w:rPr>
        <w:rFonts w:hint="default"/>
      </w:rPr>
    </w:lvl>
    <w:lvl w:ilvl="8">
      <w:start w:val="0"/>
      <w:numFmt w:val="bullet"/>
      <w:lvlText w:val="•"/>
      <w:lvlJc w:val="left"/>
      <w:pPr>
        <w:ind w:left="5856" w:hanging="632"/>
      </w:pPr>
      <w:rPr>
        <w:rFonts w:hint="default"/>
      </w:rPr>
    </w:lvl>
  </w:abstractNum>
  <w:abstractNum w:abstractNumId="6">
    <w:multiLevelType w:val="hybridMultilevel"/>
    <w:lvl w:ilvl="0">
      <w:start w:val="1"/>
      <w:numFmt w:val="decimal"/>
      <w:lvlText w:val="（%1）"/>
      <w:lvlJc w:val="left"/>
      <w:pPr>
        <w:ind w:left="107" w:hanging="632"/>
        <w:jc w:val="left"/>
      </w:pPr>
      <w:rPr>
        <w:rFonts w:hint="default" w:ascii="宋体" w:hAnsi="宋体" w:eastAsia="宋体" w:cs="宋体"/>
        <w:w w:val="100"/>
        <w:sz w:val="21"/>
        <w:szCs w:val="21"/>
      </w:rPr>
    </w:lvl>
    <w:lvl w:ilvl="1">
      <w:start w:val="0"/>
      <w:numFmt w:val="bullet"/>
      <w:lvlText w:val="•"/>
      <w:lvlJc w:val="left"/>
      <w:pPr>
        <w:ind w:left="819" w:hanging="632"/>
      </w:pPr>
      <w:rPr>
        <w:rFonts w:hint="default"/>
      </w:rPr>
    </w:lvl>
    <w:lvl w:ilvl="2">
      <w:start w:val="0"/>
      <w:numFmt w:val="bullet"/>
      <w:lvlText w:val="•"/>
      <w:lvlJc w:val="left"/>
      <w:pPr>
        <w:ind w:left="1539" w:hanging="632"/>
      </w:pPr>
      <w:rPr>
        <w:rFonts w:hint="default"/>
      </w:rPr>
    </w:lvl>
    <w:lvl w:ilvl="3">
      <w:start w:val="0"/>
      <w:numFmt w:val="bullet"/>
      <w:lvlText w:val="•"/>
      <w:lvlJc w:val="left"/>
      <w:pPr>
        <w:ind w:left="2258" w:hanging="632"/>
      </w:pPr>
      <w:rPr>
        <w:rFonts w:hint="default"/>
      </w:rPr>
    </w:lvl>
    <w:lvl w:ilvl="4">
      <w:start w:val="0"/>
      <w:numFmt w:val="bullet"/>
      <w:lvlText w:val="•"/>
      <w:lvlJc w:val="left"/>
      <w:pPr>
        <w:ind w:left="2978" w:hanging="632"/>
      </w:pPr>
      <w:rPr>
        <w:rFonts w:hint="default"/>
      </w:rPr>
    </w:lvl>
    <w:lvl w:ilvl="5">
      <w:start w:val="0"/>
      <w:numFmt w:val="bullet"/>
      <w:lvlText w:val="•"/>
      <w:lvlJc w:val="left"/>
      <w:pPr>
        <w:ind w:left="3698" w:hanging="632"/>
      </w:pPr>
      <w:rPr>
        <w:rFonts w:hint="default"/>
      </w:rPr>
    </w:lvl>
    <w:lvl w:ilvl="6">
      <w:start w:val="0"/>
      <w:numFmt w:val="bullet"/>
      <w:lvlText w:val="•"/>
      <w:lvlJc w:val="left"/>
      <w:pPr>
        <w:ind w:left="4417" w:hanging="632"/>
      </w:pPr>
      <w:rPr>
        <w:rFonts w:hint="default"/>
      </w:rPr>
    </w:lvl>
    <w:lvl w:ilvl="7">
      <w:start w:val="0"/>
      <w:numFmt w:val="bullet"/>
      <w:lvlText w:val="•"/>
      <w:lvlJc w:val="left"/>
      <w:pPr>
        <w:ind w:left="5137" w:hanging="632"/>
      </w:pPr>
      <w:rPr>
        <w:rFonts w:hint="default"/>
      </w:rPr>
    </w:lvl>
    <w:lvl w:ilvl="8">
      <w:start w:val="0"/>
      <w:numFmt w:val="bullet"/>
      <w:lvlText w:val="•"/>
      <w:lvlJc w:val="left"/>
      <w:pPr>
        <w:ind w:left="5856" w:hanging="632"/>
      </w:pPr>
      <w:rPr>
        <w:rFonts w:hint="default"/>
      </w:rPr>
    </w:lvl>
  </w:abstractNum>
  <w:abstractNum w:abstractNumId="5">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395" w:hanging="632"/>
      </w:pPr>
      <w:rPr>
        <w:rFonts w:hint="default"/>
      </w:rPr>
    </w:lvl>
    <w:lvl w:ilvl="2">
      <w:start w:val="0"/>
      <w:numFmt w:val="bullet"/>
      <w:lvlText w:val="•"/>
      <w:lvlJc w:val="left"/>
      <w:pPr>
        <w:ind w:left="2051" w:hanging="632"/>
      </w:pPr>
      <w:rPr>
        <w:rFonts w:hint="default"/>
      </w:rPr>
    </w:lvl>
    <w:lvl w:ilvl="3">
      <w:start w:val="0"/>
      <w:numFmt w:val="bullet"/>
      <w:lvlText w:val="•"/>
      <w:lvlJc w:val="left"/>
      <w:pPr>
        <w:ind w:left="2706" w:hanging="632"/>
      </w:pPr>
      <w:rPr>
        <w:rFonts w:hint="default"/>
      </w:rPr>
    </w:lvl>
    <w:lvl w:ilvl="4">
      <w:start w:val="0"/>
      <w:numFmt w:val="bullet"/>
      <w:lvlText w:val="•"/>
      <w:lvlJc w:val="left"/>
      <w:pPr>
        <w:ind w:left="3362" w:hanging="632"/>
      </w:pPr>
      <w:rPr>
        <w:rFonts w:hint="default"/>
      </w:rPr>
    </w:lvl>
    <w:lvl w:ilvl="5">
      <w:start w:val="0"/>
      <w:numFmt w:val="bullet"/>
      <w:lvlText w:val="•"/>
      <w:lvlJc w:val="left"/>
      <w:pPr>
        <w:ind w:left="4018" w:hanging="632"/>
      </w:pPr>
      <w:rPr>
        <w:rFonts w:hint="default"/>
      </w:rPr>
    </w:lvl>
    <w:lvl w:ilvl="6">
      <w:start w:val="0"/>
      <w:numFmt w:val="bullet"/>
      <w:lvlText w:val="•"/>
      <w:lvlJc w:val="left"/>
      <w:pPr>
        <w:ind w:left="4673" w:hanging="632"/>
      </w:pPr>
      <w:rPr>
        <w:rFonts w:hint="default"/>
      </w:rPr>
    </w:lvl>
    <w:lvl w:ilvl="7">
      <w:start w:val="0"/>
      <w:numFmt w:val="bullet"/>
      <w:lvlText w:val="•"/>
      <w:lvlJc w:val="left"/>
      <w:pPr>
        <w:ind w:left="5329" w:hanging="632"/>
      </w:pPr>
      <w:rPr>
        <w:rFonts w:hint="default"/>
      </w:rPr>
    </w:lvl>
    <w:lvl w:ilvl="8">
      <w:start w:val="0"/>
      <w:numFmt w:val="bullet"/>
      <w:lvlText w:val="•"/>
      <w:lvlJc w:val="left"/>
      <w:pPr>
        <w:ind w:left="5984" w:hanging="632"/>
      </w:pPr>
      <w:rPr>
        <w:rFonts w:hint="default"/>
      </w:rPr>
    </w:lvl>
  </w:abstractNum>
  <w:abstractNum w:abstractNumId="4">
    <w:multiLevelType w:val="hybridMultilevel"/>
    <w:lvl w:ilvl="0">
      <w:start w:val="1"/>
      <w:numFmt w:val="decimal"/>
      <w:lvlText w:val="（%1）"/>
      <w:lvlJc w:val="left"/>
      <w:pPr>
        <w:ind w:left="107" w:hanging="632"/>
        <w:jc w:val="left"/>
      </w:pPr>
      <w:rPr>
        <w:rFonts w:hint="default" w:ascii="宋体" w:hAnsi="宋体" w:eastAsia="宋体" w:cs="宋体"/>
        <w:w w:val="100"/>
        <w:sz w:val="21"/>
        <w:szCs w:val="21"/>
      </w:rPr>
    </w:lvl>
    <w:lvl w:ilvl="1">
      <w:start w:val="0"/>
      <w:numFmt w:val="bullet"/>
      <w:lvlText w:val="•"/>
      <w:lvlJc w:val="left"/>
      <w:pPr>
        <w:ind w:left="819" w:hanging="632"/>
      </w:pPr>
      <w:rPr>
        <w:rFonts w:hint="default"/>
      </w:rPr>
    </w:lvl>
    <w:lvl w:ilvl="2">
      <w:start w:val="0"/>
      <w:numFmt w:val="bullet"/>
      <w:lvlText w:val="•"/>
      <w:lvlJc w:val="left"/>
      <w:pPr>
        <w:ind w:left="1539" w:hanging="632"/>
      </w:pPr>
      <w:rPr>
        <w:rFonts w:hint="default"/>
      </w:rPr>
    </w:lvl>
    <w:lvl w:ilvl="3">
      <w:start w:val="0"/>
      <w:numFmt w:val="bullet"/>
      <w:lvlText w:val="•"/>
      <w:lvlJc w:val="left"/>
      <w:pPr>
        <w:ind w:left="2258" w:hanging="632"/>
      </w:pPr>
      <w:rPr>
        <w:rFonts w:hint="default"/>
      </w:rPr>
    </w:lvl>
    <w:lvl w:ilvl="4">
      <w:start w:val="0"/>
      <w:numFmt w:val="bullet"/>
      <w:lvlText w:val="•"/>
      <w:lvlJc w:val="left"/>
      <w:pPr>
        <w:ind w:left="2978" w:hanging="632"/>
      </w:pPr>
      <w:rPr>
        <w:rFonts w:hint="default"/>
      </w:rPr>
    </w:lvl>
    <w:lvl w:ilvl="5">
      <w:start w:val="0"/>
      <w:numFmt w:val="bullet"/>
      <w:lvlText w:val="•"/>
      <w:lvlJc w:val="left"/>
      <w:pPr>
        <w:ind w:left="3698" w:hanging="632"/>
      </w:pPr>
      <w:rPr>
        <w:rFonts w:hint="default"/>
      </w:rPr>
    </w:lvl>
    <w:lvl w:ilvl="6">
      <w:start w:val="0"/>
      <w:numFmt w:val="bullet"/>
      <w:lvlText w:val="•"/>
      <w:lvlJc w:val="left"/>
      <w:pPr>
        <w:ind w:left="4417" w:hanging="632"/>
      </w:pPr>
      <w:rPr>
        <w:rFonts w:hint="default"/>
      </w:rPr>
    </w:lvl>
    <w:lvl w:ilvl="7">
      <w:start w:val="0"/>
      <w:numFmt w:val="bullet"/>
      <w:lvlText w:val="•"/>
      <w:lvlJc w:val="left"/>
      <w:pPr>
        <w:ind w:left="5137" w:hanging="632"/>
      </w:pPr>
      <w:rPr>
        <w:rFonts w:hint="default"/>
      </w:rPr>
    </w:lvl>
    <w:lvl w:ilvl="8">
      <w:start w:val="0"/>
      <w:numFmt w:val="bullet"/>
      <w:lvlText w:val="•"/>
      <w:lvlJc w:val="left"/>
      <w:pPr>
        <w:ind w:left="5856" w:hanging="632"/>
      </w:pPr>
      <w:rPr>
        <w:rFonts w:hint="default"/>
      </w:rPr>
    </w:lvl>
  </w:abstractNum>
  <w:abstractNum w:abstractNumId="3">
    <w:multiLevelType w:val="hybridMultilevel"/>
    <w:lvl w:ilvl="0">
      <w:start w:val="2"/>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395" w:hanging="632"/>
      </w:pPr>
      <w:rPr>
        <w:rFonts w:hint="default"/>
      </w:rPr>
    </w:lvl>
    <w:lvl w:ilvl="2">
      <w:start w:val="0"/>
      <w:numFmt w:val="bullet"/>
      <w:lvlText w:val="•"/>
      <w:lvlJc w:val="left"/>
      <w:pPr>
        <w:ind w:left="2051" w:hanging="632"/>
      </w:pPr>
      <w:rPr>
        <w:rFonts w:hint="default"/>
      </w:rPr>
    </w:lvl>
    <w:lvl w:ilvl="3">
      <w:start w:val="0"/>
      <w:numFmt w:val="bullet"/>
      <w:lvlText w:val="•"/>
      <w:lvlJc w:val="left"/>
      <w:pPr>
        <w:ind w:left="2706" w:hanging="632"/>
      </w:pPr>
      <w:rPr>
        <w:rFonts w:hint="default"/>
      </w:rPr>
    </w:lvl>
    <w:lvl w:ilvl="4">
      <w:start w:val="0"/>
      <w:numFmt w:val="bullet"/>
      <w:lvlText w:val="•"/>
      <w:lvlJc w:val="left"/>
      <w:pPr>
        <w:ind w:left="3362" w:hanging="632"/>
      </w:pPr>
      <w:rPr>
        <w:rFonts w:hint="default"/>
      </w:rPr>
    </w:lvl>
    <w:lvl w:ilvl="5">
      <w:start w:val="0"/>
      <w:numFmt w:val="bullet"/>
      <w:lvlText w:val="•"/>
      <w:lvlJc w:val="left"/>
      <w:pPr>
        <w:ind w:left="4018" w:hanging="632"/>
      </w:pPr>
      <w:rPr>
        <w:rFonts w:hint="default"/>
      </w:rPr>
    </w:lvl>
    <w:lvl w:ilvl="6">
      <w:start w:val="0"/>
      <w:numFmt w:val="bullet"/>
      <w:lvlText w:val="•"/>
      <w:lvlJc w:val="left"/>
      <w:pPr>
        <w:ind w:left="4673" w:hanging="632"/>
      </w:pPr>
      <w:rPr>
        <w:rFonts w:hint="default"/>
      </w:rPr>
    </w:lvl>
    <w:lvl w:ilvl="7">
      <w:start w:val="0"/>
      <w:numFmt w:val="bullet"/>
      <w:lvlText w:val="•"/>
      <w:lvlJc w:val="left"/>
      <w:pPr>
        <w:ind w:left="5329" w:hanging="632"/>
      </w:pPr>
      <w:rPr>
        <w:rFonts w:hint="default"/>
      </w:rPr>
    </w:lvl>
    <w:lvl w:ilvl="8">
      <w:start w:val="0"/>
      <w:numFmt w:val="bullet"/>
      <w:lvlText w:val="•"/>
      <w:lvlJc w:val="left"/>
      <w:pPr>
        <w:ind w:left="5984" w:hanging="632"/>
      </w:pPr>
      <w:rPr>
        <w:rFonts w:hint="default"/>
      </w:rPr>
    </w:lvl>
  </w:abstractNum>
  <w:abstractNum w:abstractNumId="2">
    <w:multiLevelType w:val="hybridMultilevel"/>
    <w:lvl w:ilvl="0">
      <w:start w:val="1"/>
      <w:numFmt w:val="upperRoman"/>
      <w:lvlText w:val="%1"/>
      <w:lvlJc w:val="left"/>
      <w:pPr>
        <w:ind w:left="268" w:hanging="159"/>
        <w:jc w:val="left"/>
      </w:pPr>
      <w:rPr>
        <w:rFonts w:hint="default" w:ascii="宋体" w:hAnsi="宋体" w:eastAsia="宋体" w:cs="宋体"/>
        <w:w w:val="100"/>
        <w:sz w:val="21"/>
        <w:szCs w:val="21"/>
      </w:rPr>
    </w:lvl>
    <w:lvl w:ilvl="1">
      <w:start w:val="0"/>
      <w:numFmt w:val="bullet"/>
      <w:lvlText w:val="•"/>
      <w:lvlJc w:val="left"/>
      <w:pPr>
        <w:ind w:left="963" w:hanging="159"/>
      </w:pPr>
      <w:rPr>
        <w:rFonts w:hint="default"/>
      </w:rPr>
    </w:lvl>
    <w:lvl w:ilvl="2">
      <w:start w:val="0"/>
      <w:numFmt w:val="bullet"/>
      <w:lvlText w:val="•"/>
      <w:lvlJc w:val="left"/>
      <w:pPr>
        <w:ind w:left="1667" w:hanging="159"/>
      </w:pPr>
      <w:rPr>
        <w:rFonts w:hint="default"/>
      </w:rPr>
    </w:lvl>
    <w:lvl w:ilvl="3">
      <w:start w:val="0"/>
      <w:numFmt w:val="bullet"/>
      <w:lvlText w:val="•"/>
      <w:lvlJc w:val="left"/>
      <w:pPr>
        <w:ind w:left="2370" w:hanging="159"/>
      </w:pPr>
      <w:rPr>
        <w:rFonts w:hint="default"/>
      </w:rPr>
    </w:lvl>
    <w:lvl w:ilvl="4">
      <w:start w:val="0"/>
      <w:numFmt w:val="bullet"/>
      <w:lvlText w:val="•"/>
      <w:lvlJc w:val="left"/>
      <w:pPr>
        <w:ind w:left="3074" w:hanging="159"/>
      </w:pPr>
      <w:rPr>
        <w:rFonts w:hint="default"/>
      </w:rPr>
    </w:lvl>
    <w:lvl w:ilvl="5">
      <w:start w:val="0"/>
      <w:numFmt w:val="bullet"/>
      <w:lvlText w:val="•"/>
      <w:lvlJc w:val="left"/>
      <w:pPr>
        <w:ind w:left="3778" w:hanging="159"/>
      </w:pPr>
      <w:rPr>
        <w:rFonts w:hint="default"/>
      </w:rPr>
    </w:lvl>
    <w:lvl w:ilvl="6">
      <w:start w:val="0"/>
      <w:numFmt w:val="bullet"/>
      <w:lvlText w:val="•"/>
      <w:lvlJc w:val="left"/>
      <w:pPr>
        <w:ind w:left="4481" w:hanging="159"/>
      </w:pPr>
      <w:rPr>
        <w:rFonts w:hint="default"/>
      </w:rPr>
    </w:lvl>
    <w:lvl w:ilvl="7">
      <w:start w:val="0"/>
      <w:numFmt w:val="bullet"/>
      <w:lvlText w:val="•"/>
      <w:lvlJc w:val="left"/>
      <w:pPr>
        <w:ind w:left="5185" w:hanging="159"/>
      </w:pPr>
      <w:rPr>
        <w:rFonts w:hint="default"/>
      </w:rPr>
    </w:lvl>
    <w:lvl w:ilvl="8">
      <w:start w:val="0"/>
      <w:numFmt w:val="bullet"/>
      <w:lvlText w:val="•"/>
      <w:lvlJc w:val="left"/>
      <w:pPr>
        <w:ind w:left="5888" w:hanging="159"/>
      </w:pPr>
      <w:rPr>
        <w:rFonts w:hint="default"/>
      </w:rPr>
    </w:lvl>
  </w:abstractNum>
  <w:abstractNum w:abstractNumId="1">
    <w:multiLevelType w:val="hybridMultilevel"/>
    <w:lvl w:ilvl="0">
      <w:start w:val="8"/>
      <w:numFmt w:val="decimal"/>
      <w:lvlText w:val="%1"/>
      <w:lvlJc w:val="left"/>
      <w:pPr>
        <w:ind w:left="1003" w:hanging="423"/>
        <w:jc w:val="left"/>
      </w:pPr>
      <w:rPr>
        <w:rFonts w:hint="default"/>
      </w:rPr>
    </w:lvl>
    <w:lvl w:ilvl="1">
      <w:start w:val="1"/>
      <w:numFmt w:val="decimal"/>
      <w:lvlText w:val="%1.%2"/>
      <w:lvlJc w:val="left"/>
      <w:pPr>
        <w:ind w:left="1003" w:hanging="423"/>
        <w:jc w:val="left"/>
      </w:pPr>
      <w:rPr>
        <w:rFonts w:hint="default" w:ascii="宋体" w:hAnsi="宋体" w:eastAsia="宋体" w:cs="宋体"/>
        <w:w w:val="100"/>
        <w:sz w:val="21"/>
        <w:szCs w:val="21"/>
      </w:rPr>
    </w:lvl>
    <w:lvl w:ilvl="2">
      <w:start w:val="0"/>
      <w:numFmt w:val="bullet"/>
      <w:lvlText w:val="•"/>
      <w:lvlJc w:val="left"/>
      <w:pPr>
        <w:ind w:left="2128" w:hanging="423"/>
      </w:pPr>
      <w:rPr>
        <w:rFonts w:hint="default"/>
      </w:rPr>
    </w:lvl>
    <w:lvl w:ilvl="3">
      <w:start w:val="0"/>
      <w:numFmt w:val="bullet"/>
      <w:lvlText w:val="•"/>
      <w:lvlJc w:val="left"/>
      <w:pPr>
        <w:ind w:left="2692" w:hanging="423"/>
      </w:pPr>
      <w:rPr>
        <w:rFonts w:hint="default"/>
      </w:rPr>
    </w:lvl>
    <w:lvl w:ilvl="4">
      <w:start w:val="0"/>
      <w:numFmt w:val="bullet"/>
      <w:lvlText w:val="•"/>
      <w:lvlJc w:val="left"/>
      <w:pPr>
        <w:ind w:left="3256" w:hanging="423"/>
      </w:pPr>
      <w:rPr>
        <w:rFonts w:hint="default"/>
      </w:rPr>
    </w:lvl>
    <w:lvl w:ilvl="5">
      <w:start w:val="0"/>
      <w:numFmt w:val="bullet"/>
      <w:lvlText w:val="•"/>
      <w:lvlJc w:val="left"/>
      <w:pPr>
        <w:ind w:left="3820" w:hanging="423"/>
      </w:pPr>
      <w:rPr>
        <w:rFonts w:hint="default"/>
      </w:rPr>
    </w:lvl>
    <w:lvl w:ilvl="6">
      <w:start w:val="0"/>
      <w:numFmt w:val="bullet"/>
      <w:lvlText w:val="•"/>
      <w:lvlJc w:val="left"/>
      <w:pPr>
        <w:ind w:left="4384" w:hanging="423"/>
      </w:pPr>
      <w:rPr>
        <w:rFonts w:hint="default"/>
      </w:rPr>
    </w:lvl>
    <w:lvl w:ilvl="7">
      <w:start w:val="0"/>
      <w:numFmt w:val="bullet"/>
      <w:lvlText w:val="•"/>
      <w:lvlJc w:val="left"/>
      <w:pPr>
        <w:ind w:left="4948" w:hanging="423"/>
      </w:pPr>
      <w:rPr>
        <w:rFonts w:hint="default"/>
      </w:rPr>
    </w:lvl>
    <w:lvl w:ilvl="8">
      <w:start w:val="0"/>
      <w:numFmt w:val="bullet"/>
      <w:lvlText w:val="•"/>
      <w:lvlJc w:val="left"/>
      <w:pPr>
        <w:ind w:left="5512" w:hanging="423"/>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52" w:hanging="420"/>
      </w:pPr>
      <w:rPr>
        <w:rFonts w:hint="default"/>
      </w:rPr>
    </w:lvl>
    <w:lvl w:ilvl="2">
      <w:start w:val="0"/>
      <w:numFmt w:val="bullet"/>
      <w:lvlText w:val="•"/>
      <w:lvlJc w:val="left"/>
      <w:pPr>
        <w:ind w:left="3405" w:hanging="420"/>
      </w:pPr>
      <w:rPr>
        <w:rFonts w:hint="default"/>
      </w:rPr>
    </w:lvl>
    <w:lvl w:ilvl="3">
      <w:start w:val="0"/>
      <w:numFmt w:val="bullet"/>
      <w:lvlText w:val="•"/>
      <w:lvlJc w:val="left"/>
      <w:pPr>
        <w:ind w:left="4257" w:hanging="420"/>
      </w:pPr>
      <w:rPr>
        <w:rFonts w:hint="default"/>
      </w:rPr>
    </w:lvl>
    <w:lvl w:ilvl="4">
      <w:start w:val="0"/>
      <w:numFmt w:val="bullet"/>
      <w:lvlText w:val="•"/>
      <w:lvlJc w:val="left"/>
      <w:pPr>
        <w:ind w:left="5110" w:hanging="420"/>
      </w:pPr>
      <w:rPr>
        <w:rFonts w:hint="default"/>
      </w:rPr>
    </w:lvl>
    <w:lvl w:ilvl="5">
      <w:start w:val="0"/>
      <w:numFmt w:val="bullet"/>
      <w:lvlText w:val="•"/>
      <w:lvlJc w:val="left"/>
      <w:pPr>
        <w:ind w:left="5963" w:hanging="420"/>
      </w:pPr>
      <w:rPr>
        <w:rFonts w:hint="default"/>
      </w:rPr>
    </w:lvl>
    <w:lvl w:ilvl="6">
      <w:start w:val="0"/>
      <w:numFmt w:val="bullet"/>
      <w:lvlText w:val="•"/>
      <w:lvlJc w:val="left"/>
      <w:pPr>
        <w:ind w:left="6815" w:hanging="420"/>
      </w:pPr>
      <w:rPr>
        <w:rFonts w:hint="default"/>
      </w:rPr>
    </w:lvl>
    <w:lvl w:ilvl="7">
      <w:start w:val="0"/>
      <w:numFmt w:val="bullet"/>
      <w:lvlText w:val="•"/>
      <w:lvlJc w:val="left"/>
      <w:pPr>
        <w:ind w:left="7668" w:hanging="420"/>
      </w:pPr>
      <w:rPr>
        <w:rFonts w:hint="default"/>
      </w:rPr>
    </w:lvl>
    <w:lvl w:ilvl="8">
      <w:start w:val="0"/>
      <w:numFmt w:val="bullet"/>
      <w:lvlText w:val="•"/>
      <w:lvlJc w:val="left"/>
      <w:pPr>
        <w:ind w:left="8521"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8"/>
      <w:ind w:left="220"/>
      <w:outlineLvl w:val="1"/>
    </w:pPr>
    <w:rPr>
      <w:rFonts w:ascii="宋体" w:hAnsi="宋体" w:eastAsia="宋体" w:cs="宋体"/>
      <w:b/>
      <w:bCs/>
      <w:sz w:val="24"/>
      <w:szCs w:val="24"/>
    </w:rPr>
  </w:style>
  <w:style w:styleId="ListParagraph" w:type="paragraph">
    <w:name w:val="List Paragraph"/>
    <w:basedOn w:val="Normal"/>
    <w:uiPriority w:val="1"/>
    <w:qFormat/>
    <w:pPr>
      <w:spacing w:before="22"/>
      <w:ind w:left="169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Ma</dc:creator>
  <dc:title>阅 读 指 引</dc:title>
  <dcterms:created xsi:type="dcterms:W3CDTF">2018-10-19T23:17:03Z</dcterms:created>
  <dcterms:modified xsi:type="dcterms:W3CDTF">2018-10-19T23:17:03Z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2017-05-05T00:00:00Z</vt:filetime>
  </property>
  <property fmtid="{D5CDD505-2E9C-101B-9397-08002B2CF9AE}" pid="3" name="Creator">
    <vt:lpwstr>Acrobat PDFMaker 10.1 Word 版</vt:lpwstr>
  </property>
  <property fmtid="{D5CDD505-2E9C-101B-9397-08002B2CF9AE}" pid="4" name="LastSaved">
    <vt:filetime>2018-10-19T00:00:00Z</vt:filetime>
  </property>
</Properties>
</file>