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
        <w:ind w:left="5488" w:right="0" w:firstLine="0"/>
        <w:jc w:val="left"/>
        <w:rPr>
          <w:sz w:val="21"/>
        </w:rPr>
      </w:pPr>
      <w:r>
        <w:rPr/>
        <w:drawing>
          <wp:anchor distT="0" distB="0" distL="0" distR="0" allowOverlap="1" layoutInCell="1" locked="0" behindDoc="0" simplePos="0" relativeHeight="0">
            <wp:simplePos x="0" y="0"/>
            <wp:positionH relativeFrom="page">
              <wp:posOffset>5059679</wp:posOffset>
            </wp:positionH>
            <wp:positionV relativeFrom="paragraph">
              <wp:posOffset>244013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1"/>
        </w:rPr>
        <w:t>瑞泰人寿[2011]疾病保险 003 号</w:t>
      </w:r>
    </w:p>
    <w:p>
      <w:pPr>
        <w:spacing w:before="13"/>
        <w:ind w:left="5788" w:right="0" w:firstLine="0"/>
        <w:jc w:val="left"/>
        <w:rPr>
          <w:sz w:val="21"/>
        </w:rPr>
      </w:pPr>
      <w:r>
        <w:rPr>
          <w:sz w:val="21"/>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spacing w:line="194" w:lineRule="auto" w:before="149"/>
        <w:ind w:left="2064" w:right="2059" w:firstLine="0"/>
        <w:jc w:val="center"/>
        <w:rPr>
          <w:rFonts w:ascii="Microsoft JhengHei" w:eastAsia="Microsoft JhengHei" w:hint="eastAsia"/>
          <w:b/>
          <w:sz w:val="44"/>
        </w:rPr>
      </w:pPr>
      <w:r>
        <w:rPr>
          <w:rFonts w:ascii="Microsoft JhengHei" w:eastAsia="Microsoft JhengHei" w:hint="eastAsia"/>
          <w:b/>
          <w:sz w:val="44"/>
        </w:rPr>
        <w:t>瑞泰团体重大疾病保险合同条款</w:t>
      </w: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0"/>
        <w:rPr>
          <w:rFonts w:ascii="Microsoft JhengHei"/>
          <w:b/>
          <w:sz w:val="44"/>
        </w:rPr>
      </w:pPr>
    </w:p>
    <w:p>
      <w:pPr>
        <w:pStyle w:val="BodyText"/>
        <w:spacing w:before="3"/>
        <w:rPr>
          <w:rFonts w:ascii="Microsoft JhengHei"/>
          <w:b/>
          <w:sz w:val="51"/>
        </w:rPr>
      </w:pPr>
    </w:p>
    <w:p>
      <w:pPr>
        <w:spacing w:before="1"/>
        <w:ind w:left="2064" w:right="2058" w:firstLine="0"/>
        <w:jc w:val="center"/>
        <w:rPr>
          <w:rFonts w:ascii="Microsoft JhengHei" w:eastAsia="Microsoft JhengHei" w:hint="eastAsia"/>
          <w:b/>
          <w:sz w:val="28"/>
        </w:rPr>
      </w:pPr>
      <w:r>
        <w:rPr>
          <w:rFonts w:ascii="Microsoft JhengHei" w:eastAsia="Microsoft JhengHei" w:hint="eastAsia"/>
          <w:b/>
          <w:sz w:val="28"/>
        </w:rPr>
        <w:t>瑞泰人寿保险有限公司</w:t>
      </w:r>
    </w:p>
    <w:p>
      <w:pPr>
        <w:spacing w:before="137"/>
        <w:ind w:left="2063" w:right="2059" w:firstLine="0"/>
        <w:jc w:val="center"/>
        <w:rPr>
          <w:rFonts w:ascii="Microsoft JhengHei" w:eastAsia="Microsoft JhengHei" w:hint="eastAsia"/>
          <w:b/>
          <w:sz w:val="28"/>
        </w:rPr>
      </w:pPr>
      <w:r>
        <w:rPr>
          <w:rFonts w:ascii="微软雅黑" w:eastAsia="微软雅黑" w:hint="eastAsia"/>
          <w:b/>
          <w:w w:val="95"/>
          <w:sz w:val="28"/>
        </w:rPr>
        <w:t>2011 </w:t>
      </w:r>
      <w:r>
        <w:rPr>
          <w:rFonts w:ascii="Microsoft JhengHei" w:eastAsia="Microsoft JhengHei" w:hint="eastAsia"/>
          <w:b/>
          <w:w w:val="95"/>
          <w:sz w:val="28"/>
        </w:rPr>
        <w:t>年 </w:t>
      </w:r>
      <w:r>
        <w:rPr>
          <w:rFonts w:ascii="微软雅黑" w:eastAsia="微软雅黑" w:hint="eastAsia"/>
          <w:b/>
          <w:w w:val="95"/>
          <w:sz w:val="28"/>
        </w:rPr>
        <w:t>1 </w:t>
      </w:r>
      <w:r>
        <w:rPr>
          <w:rFonts w:ascii="Microsoft JhengHei" w:eastAsia="Microsoft JhengHei" w:hint="eastAsia"/>
          <w:b/>
          <w:w w:val="95"/>
          <w:sz w:val="28"/>
        </w:rPr>
        <w:t>月</w:t>
      </w:r>
    </w:p>
    <w:p>
      <w:pPr>
        <w:spacing w:after="0"/>
        <w:jc w:val="center"/>
        <w:rPr>
          <w:rFonts w:ascii="Microsoft JhengHei" w:eastAsia="Microsoft JhengHei" w:hint="eastAsia"/>
          <w:sz w:val="28"/>
        </w:rPr>
        <w:sectPr>
          <w:footerReference w:type="default" r:id="rId5"/>
          <w:type w:val="continuous"/>
          <w:pgSz w:w="11900" w:h="16840"/>
          <w:pgMar w:footer="1007" w:top="1400" w:bottom="1200" w:left="1680" w:right="1680"/>
          <w:pgNumType w:start="1"/>
        </w:sectPr>
      </w:pPr>
    </w:p>
    <w:p>
      <w:pPr>
        <w:spacing w:line="426" w:lineRule="exact" w:before="0"/>
        <w:ind w:left="2063" w:right="2059" w:firstLine="0"/>
        <w:jc w:val="center"/>
        <w:rPr>
          <w:rFonts w:ascii="Microsoft JhengHei" w:eastAsia="Microsoft JhengHei" w:hint="eastAsia"/>
          <w:b/>
          <w:sz w:val="32"/>
        </w:rPr>
      </w:pPr>
      <w:r>
        <w:rPr>
          <w:rFonts w:ascii="Microsoft JhengHei" w:eastAsia="Microsoft JhengHei" w:hint="eastAsia"/>
          <w:b/>
          <w:sz w:val="32"/>
        </w:rPr>
        <w:t>目  录</w:t>
      </w:r>
    </w:p>
    <w:p>
      <w:pPr>
        <w:pStyle w:val="BodyText"/>
        <w:spacing w:before="0"/>
        <w:rPr>
          <w:rFonts w:ascii="Microsoft JhengHei"/>
          <w:b/>
          <w:sz w:val="32"/>
        </w:rPr>
      </w:pPr>
    </w:p>
    <w:p>
      <w:pPr>
        <w:pStyle w:val="BodyText"/>
        <w:spacing w:before="14"/>
        <w:rPr>
          <w:rFonts w:ascii="Microsoft JhengHei"/>
          <w:b/>
          <w:sz w:val="27"/>
        </w:rPr>
      </w:pPr>
    </w:p>
    <w:sdt>
      <w:sdtPr>
        <w:docPartObj>
          <w:docPartGallery w:val="Table of Contents"/>
          <w:docPartUnique/>
        </w:docPartObj>
      </w:sdtPr>
      <w:sdtEndPr/>
      <w:sdtContent>
        <w:p>
          <w:pPr>
            <w:pStyle w:val="TOC1"/>
            <w:tabs>
              <w:tab w:pos="1379" w:val="left" w:leader="none"/>
              <w:tab w:pos="8419" w:val="right" w:leader="dot"/>
            </w:tabs>
            <w:spacing w:before="0"/>
            <w:rPr>
              <w:rFonts w:ascii="Times New Roman" w:hAnsi="Times New Roman" w:eastAsia="Times New Roman"/>
            </w:rPr>
          </w:pPr>
          <w:hyperlink w:history="true" w:anchor="_TOC_250022">
            <w:r>
              <w:rPr/>
              <w:t>第一条</w:t>
              <w:tab/>
            </w:r>
            <w:r>
              <w:rPr>
                <w:spacing w:val="-3"/>
              </w:rPr>
              <w:t>关</w:t>
            </w:r>
            <w:r>
              <w:rPr/>
              <w:t>于</w:t>
            </w:r>
            <w:r>
              <w:rPr>
                <w:spacing w:val="-3"/>
              </w:rPr>
              <w:t>瑞</w:t>
            </w:r>
            <w:r>
              <w:rPr/>
              <w:t>泰</w:t>
            </w:r>
            <w:r>
              <w:rPr>
                <w:spacing w:val="-3"/>
              </w:rPr>
              <w:t>团</w:t>
            </w:r>
            <w:r>
              <w:rPr/>
              <w:t>体</w:t>
            </w:r>
            <w:r>
              <w:rPr>
                <w:spacing w:val="-3"/>
              </w:rPr>
              <w:t>重</w:t>
            </w:r>
            <w:r>
              <w:rPr/>
              <w:t>大疾</w:t>
            </w:r>
            <w:r>
              <w:rPr>
                <w:spacing w:val="-3"/>
              </w:rPr>
              <w:t>病</w:t>
            </w:r>
            <w:r>
              <w:rPr/>
              <w:t>保</w:t>
            </w:r>
            <w:r>
              <w:rPr>
                <w:spacing w:val="-3"/>
              </w:rPr>
              <w:t>险</w:t>
            </w:r>
            <w:r>
              <w:rPr/>
              <w:t>合</w:t>
            </w:r>
            <w:r>
              <w:rPr>
                <w:spacing w:val="-3"/>
              </w:rPr>
              <w:t>同</w:t>
            </w:r>
            <w:r>
              <w:rPr/>
              <w:t>（</w:t>
            </w:r>
            <w:r>
              <w:rPr>
                <w:spacing w:val="-3"/>
              </w:rPr>
              <w:t>以</w:t>
            </w:r>
            <w:r>
              <w:rPr/>
              <w:t>下</w:t>
            </w:r>
            <w:r>
              <w:rPr>
                <w:spacing w:val="-3"/>
              </w:rPr>
              <w:t>简</w:t>
            </w:r>
            <w:r>
              <w:rPr/>
              <w:t>称“</w:t>
            </w:r>
            <w:r>
              <w:rPr>
                <w:spacing w:val="-3"/>
              </w:rPr>
              <w:t>本</w:t>
            </w:r>
            <w:r>
              <w:rPr/>
              <w:t>合</w:t>
            </w:r>
            <w:r>
              <w:rPr>
                <w:spacing w:val="-3"/>
              </w:rPr>
              <w:t>同</w:t>
            </w:r>
            <w:r>
              <w:rPr/>
              <w:t>”）</w:t>
              <w:tab/>
            </w:r>
            <w:r>
              <w:rPr>
                <w:rFonts w:ascii="Times New Roman" w:hAns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1">
            <w:r>
              <w:rPr/>
              <w:t>第二条</w:t>
              <w:tab/>
            </w:r>
            <w:r>
              <w:rPr>
                <w:spacing w:val="-3"/>
              </w:rPr>
              <w:t>本</w:t>
            </w:r>
            <w:r>
              <w:rPr/>
              <w:t>合</w:t>
            </w:r>
            <w:r>
              <w:rPr>
                <w:spacing w:val="-3"/>
              </w:rPr>
              <w:t>同</w:t>
            </w:r>
            <w:r>
              <w:rPr/>
              <w:t>的</w:t>
            </w:r>
            <w:r>
              <w:rPr>
                <w:spacing w:val="-3"/>
              </w:rPr>
              <w:t>构成</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20">
            <w:r>
              <w:rPr/>
              <w:t>第三条</w:t>
              <w:tab/>
            </w:r>
            <w:r>
              <w:rPr>
                <w:spacing w:val="-3"/>
              </w:rPr>
              <w:t>投</w:t>
            </w:r>
            <w:r>
              <w:rPr/>
              <w:t>保</w:t>
            </w:r>
            <w:r>
              <w:rPr>
                <w:spacing w:val="-3"/>
              </w:rPr>
              <w:t>条件</w:t>
              <w:tab/>
            </w:r>
            <w:r>
              <w:rPr>
                <w:rFonts w:ascii="Times New Roman" w:eastAsia="Times New Roman"/>
              </w:rPr>
              <w:t>3</w:t>
            </w:r>
          </w:hyperlink>
        </w:p>
        <w:p>
          <w:pPr>
            <w:pStyle w:val="TOC1"/>
            <w:tabs>
              <w:tab w:pos="1379" w:val="left" w:leader="none"/>
              <w:tab w:pos="8419" w:val="right" w:leader="dot"/>
            </w:tabs>
            <w:rPr>
              <w:rFonts w:ascii="Times New Roman" w:eastAsia="Times New Roman"/>
            </w:rPr>
          </w:pPr>
          <w:hyperlink w:history="true" w:anchor="_TOC_250019">
            <w:r>
              <w:rPr/>
              <w:t>第四条</w:t>
              <w:tab/>
            </w:r>
            <w:r>
              <w:rPr>
                <w:spacing w:val="-3"/>
              </w:rPr>
              <w:t>本</w:t>
            </w:r>
            <w:r>
              <w:rPr/>
              <w:t>合</w:t>
            </w:r>
            <w:r>
              <w:rPr>
                <w:spacing w:val="-3"/>
              </w:rPr>
              <w:t>同</w:t>
            </w:r>
            <w:r>
              <w:rPr/>
              <w:t>的</w:t>
            </w:r>
            <w:r>
              <w:rPr>
                <w:spacing w:val="-3"/>
              </w:rPr>
              <w:t>生效</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8">
            <w:r>
              <w:rPr/>
              <w:t>第五条</w:t>
              <w:tab/>
            </w:r>
            <w:r>
              <w:rPr>
                <w:spacing w:val="-3"/>
              </w:rPr>
              <w:t>保</w:t>
            </w:r>
            <w:r>
              <w:rPr/>
              <w:t>险</w:t>
            </w:r>
            <w:r>
              <w:rPr>
                <w:spacing w:val="-3"/>
              </w:rPr>
              <w:t>期间</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7">
            <w:r>
              <w:rPr/>
              <w:t>第六条</w:t>
              <w:tab/>
            </w:r>
            <w:r>
              <w:rPr>
                <w:spacing w:val="-3"/>
              </w:rPr>
              <w:t>保</w:t>
            </w:r>
            <w:r>
              <w:rPr/>
              <w:t>险</w:t>
            </w:r>
            <w:r>
              <w:rPr>
                <w:spacing w:val="-3"/>
              </w:rPr>
              <w:t>金额</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6">
            <w:r>
              <w:rPr/>
              <w:t>第七条</w:t>
              <w:tab/>
            </w:r>
            <w:r>
              <w:rPr>
                <w:spacing w:val="-3"/>
              </w:rPr>
              <w:t>保</w:t>
            </w:r>
            <w:r>
              <w:rPr/>
              <w:t>险</w:t>
            </w:r>
            <w:r>
              <w:rPr>
                <w:spacing w:val="-3"/>
              </w:rPr>
              <w:t>费</w:t>
            </w:r>
            <w:r>
              <w:rPr/>
              <w:t>的</w:t>
            </w:r>
            <w:r>
              <w:rPr>
                <w:spacing w:val="-3"/>
              </w:rPr>
              <w:t>交纳</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5">
            <w:r>
              <w:rPr/>
              <w:t>第八条</w:t>
              <w:tab/>
            </w:r>
            <w:r>
              <w:rPr>
                <w:spacing w:val="-3"/>
              </w:rPr>
              <w:t>等</w:t>
            </w:r>
            <w:r>
              <w:rPr/>
              <w:t>待期</w:t>
              <w:tab/>
            </w:r>
            <w:r>
              <w:rPr>
                <w:rFonts w:ascii="Times New Roman" w:eastAsia="Times New Roman"/>
              </w:rPr>
              <w:t>4</w:t>
            </w:r>
          </w:hyperlink>
        </w:p>
        <w:p>
          <w:pPr>
            <w:pStyle w:val="TOC1"/>
            <w:tabs>
              <w:tab w:pos="1379" w:val="left" w:leader="none"/>
              <w:tab w:pos="8419" w:val="right" w:leader="dot"/>
            </w:tabs>
            <w:rPr>
              <w:rFonts w:ascii="Times New Roman" w:eastAsia="Times New Roman"/>
            </w:rPr>
          </w:pPr>
          <w:hyperlink w:history="true" w:anchor="_TOC_250014">
            <w:r>
              <w:rPr/>
              <w:t>第九条</w:t>
              <w:tab/>
            </w:r>
            <w:r>
              <w:rPr>
                <w:spacing w:val="-3"/>
              </w:rPr>
              <w:t>保</w:t>
            </w:r>
            <w:r>
              <w:rPr/>
              <w:t>险</w:t>
            </w:r>
            <w:r>
              <w:rPr>
                <w:spacing w:val="-3"/>
              </w:rPr>
              <w:t>责任</w:t>
              <w:tab/>
            </w:r>
            <w:r>
              <w:rPr>
                <w:rFonts w:ascii="Times New Roman" w:eastAsia="Times New Roman"/>
              </w:rPr>
              <w:t>5</w:t>
            </w:r>
          </w:hyperlink>
        </w:p>
        <w:p>
          <w:pPr>
            <w:pStyle w:val="TOC1"/>
            <w:tabs>
              <w:tab w:pos="8419" w:val="right" w:leader="dot"/>
            </w:tabs>
            <w:rPr>
              <w:rFonts w:ascii="Times New Roman" w:eastAsia="Times New Roman"/>
            </w:rPr>
          </w:pPr>
          <w:hyperlink w:history="true" w:anchor="_TOC_250013">
            <w:r>
              <w:rPr/>
              <w:t>第十</w:t>
            </w:r>
            <w:r>
              <w:rPr>
                <w:spacing w:val="-3"/>
              </w:rPr>
              <w:t>条</w:t>
            </w:r>
            <w:r>
              <w:rPr/>
              <w:t> </w:t>
            </w:r>
            <w:r>
              <w:rPr>
                <w:spacing w:val="-3"/>
              </w:rPr>
              <w:t>责</w:t>
            </w:r>
            <w:r>
              <w:rPr/>
              <w:t>任</w:t>
            </w:r>
            <w:r>
              <w:rPr>
                <w:spacing w:val="-3"/>
              </w:rPr>
              <w:t>免除</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2">
            <w:r>
              <w:rPr/>
              <w:t>第十</w:t>
            </w:r>
            <w:r>
              <w:rPr>
                <w:spacing w:val="-3"/>
              </w:rPr>
              <w:t>一</w:t>
            </w:r>
            <w:r>
              <w:rPr/>
              <w:t>条</w:t>
              <w:tab/>
              <w:t>受</w:t>
            </w:r>
            <w:r>
              <w:rPr>
                <w:spacing w:val="-3"/>
              </w:rPr>
              <w:t>益人</w:t>
              <w:tab/>
            </w:r>
            <w:r>
              <w:rPr>
                <w:rFonts w:ascii="Times New Roman" w:eastAsia="Times New Roman"/>
              </w:rPr>
              <w:t>6</w:t>
            </w:r>
          </w:hyperlink>
        </w:p>
        <w:p>
          <w:pPr>
            <w:pStyle w:val="TOC1"/>
            <w:tabs>
              <w:tab w:pos="1588" w:val="left" w:leader="none"/>
              <w:tab w:pos="8419" w:val="right" w:leader="dot"/>
            </w:tabs>
            <w:rPr>
              <w:rFonts w:ascii="Times New Roman" w:eastAsia="Times New Roman"/>
            </w:rPr>
          </w:pPr>
          <w:hyperlink w:history="true" w:anchor="_TOC_250011">
            <w:r>
              <w:rPr/>
              <w:t>第十</w:t>
            </w:r>
            <w:r>
              <w:rPr>
                <w:spacing w:val="-3"/>
              </w:rPr>
              <w:t>二</w:t>
            </w:r>
            <w:r>
              <w:rPr/>
              <w:t>条</w:t>
              <w:tab/>
              <w:t>保</w:t>
            </w:r>
            <w:r>
              <w:rPr>
                <w:spacing w:val="-3"/>
              </w:rPr>
              <w:t>险</w:t>
            </w:r>
            <w:r>
              <w:rPr/>
              <w:t>事</w:t>
            </w:r>
            <w:r>
              <w:rPr>
                <w:spacing w:val="-3"/>
              </w:rPr>
              <w:t>故</w:t>
            </w:r>
            <w:r>
              <w:rPr/>
              <w:t>的</w:t>
            </w:r>
            <w:r>
              <w:rPr>
                <w:spacing w:val="-3"/>
              </w:rPr>
              <w:t>通</w:t>
            </w:r>
            <w:r>
              <w:rPr/>
              <w:t>知与</w:t>
            </w:r>
            <w:r>
              <w:rPr>
                <w:spacing w:val="-3"/>
              </w:rPr>
              <w:t>保</w:t>
            </w:r>
            <w:r>
              <w:rPr/>
              <w:t>险</w:t>
            </w:r>
            <w:r>
              <w:rPr>
                <w:spacing w:val="-3"/>
              </w:rPr>
              <w:t>金</w:t>
            </w:r>
            <w:r>
              <w:rPr/>
              <w:t>的</w:t>
            </w:r>
            <w:r>
              <w:rPr>
                <w:spacing w:val="-3"/>
              </w:rPr>
              <w:t>申</w:t>
            </w:r>
            <w:r>
              <w:rPr/>
              <w:t>请</w:t>
            </w:r>
            <w:r>
              <w:rPr>
                <w:spacing w:val="-3"/>
              </w:rPr>
              <w:t>时间</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10">
            <w:r>
              <w:rPr/>
              <w:t>第十</w:t>
            </w:r>
            <w:r>
              <w:rPr>
                <w:spacing w:val="-3"/>
              </w:rPr>
              <w:t>三</w:t>
            </w:r>
            <w:r>
              <w:rPr/>
              <w:t>条</w:t>
              <w:tab/>
              <w:t>保</w:t>
            </w:r>
            <w:r>
              <w:rPr>
                <w:spacing w:val="-3"/>
              </w:rPr>
              <w:t>险</w:t>
            </w:r>
            <w:r>
              <w:rPr/>
              <w:t>金</w:t>
            </w:r>
            <w:r>
              <w:rPr>
                <w:spacing w:val="-3"/>
              </w:rPr>
              <w:t>的</w:t>
            </w:r>
            <w:r>
              <w:rPr/>
              <w:t>申请</w:t>
              <w:tab/>
            </w:r>
            <w:r>
              <w:rPr>
                <w:rFonts w:ascii="Times New Roman" w:eastAsia="Times New Roman"/>
              </w:rPr>
              <w:t>7</w:t>
            </w:r>
          </w:hyperlink>
        </w:p>
        <w:p>
          <w:pPr>
            <w:pStyle w:val="TOC1"/>
            <w:tabs>
              <w:tab w:pos="8419" w:val="right" w:leader="dot"/>
            </w:tabs>
            <w:rPr>
              <w:rFonts w:ascii="Times New Roman" w:eastAsia="Times New Roman"/>
            </w:rPr>
          </w:pPr>
          <w:hyperlink w:history="true" w:anchor="_TOC_250009">
            <w:r>
              <w:rPr/>
              <w:t>第十</w:t>
            </w:r>
            <w:r>
              <w:rPr>
                <w:spacing w:val="-3"/>
              </w:rPr>
              <w:t>四</w:t>
            </w:r>
            <w:r>
              <w:rPr/>
              <w:t>条</w:t>
            </w:r>
            <w:r>
              <w:rPr>
                <w:spacing w:val="-2"/>
              </w:rPr>
              <w:t> </w:t>
            </w:r>
            <w:r>
              <w:rPr/>
              <w:t>诉</w:t>
            </w:r>
            <w:r>
              <w:rPr>
                <w:spacing w:val="-3"/>
              </w:rPr>
              <w:t>讼</w:t>
            </w:r>
            <w:r>
              <w:rPr/>
              <w:t>时效</w:t>
              <w:tab/>
            </w:r>
            <w:r>
              <w:rPr>
                <w:rFonts w:ascii="Times New Roman" w:eastAsia="Times New Roman"/>
              </w:rPr>
              <w:t>7</w:t>
            </w:r>
          </w:hyperlink>
        </w:p>
        <w:p>
          <w:pPr>
            <w:pStyle w:val="TOC1"/>
            <w:tabs>
              <w:tab w:pos="1588" w:val="left" w:leader="none"/>
              <w:tab w:pos="8419" w:val="right" w:leader="dot"/>
            </w:tabs>
            <w:rPr>
              <w:rFonts w:ascii="Times New Roman" w:eastAsia="Times New Roman"/>
            </w:rPr>
          </w:pPr>
          <w:hyperlink w:history="true" w:anchor="_TOC_250008">
            <w:r>
              <w:rPr/>
              <w:t>第十</w:t>
            </w:r>
            <w:r>
              <w:rPr>
                <w:spacing w:val="-3"/>
              </w:rPr>
              <w:t>五</w:t>
            </w:r>
            <w:r>
              <w:rPr/>
              <w:t>条</w:t>
              <w:tab/>
              <w:t>保</w:t>
            </w:r>
            <w:r>
              <w:rPr>
                <w:spacing w:val="-3"/>
              </w:rPr>
              <w:t>险</w:t>
            </w:r>
            <w:r>
              <w:rPr/>
              <w:t>金</w:t>
            </w:r>
            <w:r>
              <w:rPr>
                <w:spacing w:val="-3"/>
              </w:rPr>
              <w:t>给付</w:t>
              <w:tab/>
            </w:r>
            <w:r>
              <w:rPr>
                <w:rFonts w:ascii="Times New Roman" w:eastAsia="Times New Roman"/>
              </w:rPr>
              <w:t>7</w:t>
            </w:r>
          </w:hyperlink>
        </w:p>
        <w:p>
          <w:pPr>
            <w:pStyle w:val="TOC1"/>
            <w:tabs>
              <w:tab w:pos="8419" w:val="right" w:leader="dot"/>
            </w:tabs>
            <w:rPr>
              <w:rFonts w:ascii="Times New Roman" w:eastAsia="Times New Roman"/>
            </w:rPr>
          </w:pPr>
          <w:hyperlink w:history="true" w:anchor="_TOC_250007">
            <w:r>
              <w:rPr/>
              <w:t>第十</w:t>
            </w:r>
            <w:r>
              <w:rPr>
                <w:spacing w:val="-3"/>
              </w:rPr>
              <w:t>六</w:t>
            </w:r>
            <w:r>
              <w:rPr/>
              <w:t>条</w:t>
            </w:r>
            <w:r>
              <w:rPr>
                <w:spacing w:val="-2"/>
              </w:rPr>
              <w:t> </w:t>
            </w:r>
            <w:r>
              <w:rPr/>
              <w:t>明</w:t>
            </w:r>
            <w:r>
              <w:rPr>
                <w:spacing w:val="-3"/>
              </w:rPr>
              <w:t>确</w:t>
            </w:r>
            <w:r>
              <w:rPr/>
              <w:t>说</w:t>
            </w:r>
            <w:r>
              <w:rPr>
                <w:spacing w:val="-3"/>
              </w:rPr>
              <w:t>明</w:t>
            </w:r>
            <w:r>
              <w:rPr/>
              <w:t>与</w:t>
            </w:r>
            <w:r>
              <w:rPr>
                <w:spacing w:val="-3"/>
              </w:rPr>
              <w:t>如实</w:t>
            </w:r>
            <w:r>
              <w:rPr/>
              <w:t>告知</w:t>
              <w:tab/>
            </w:r>
            <w:r>
              <w:rPr>
                <w:rFonts w:ascii="Times New Roman" w:eastAsia="Times New Roman"/>
              </w:rPr>
              <w:t>8</w:t>
            </w:r>
          </w:hyperlink>
        </w:p>
        <w:p>
          <w:pPr>
            <w:pStyle w:val="TOC1"/>
            <w:tabs>
              <w:tab w:pos="8419" w:val="right" w:leader="dot"/>
            </w:tabs>
            <w:rPr>
              <w:rFonts w:ascii="Times New Roman" w:eastAsia="Times New Roman"/>
            </w:rPr>
          </w:pPr>
          <w:hyperlink w:history="true" w:anchor="_TOC_250006">
            <w:r>
              <w:rPr/>
              <w:t>第十</w:t>
            </w:r>
            <w:r>
              <w:rPr>
                <w:spacing w:val="-3"/>
              </w:rPr>
              <w:t>七</w:t>
            </w:r>
            <w:r>
              <w:rPr/>
              <w:t>条</w:t>
            </w:r>
            <w:r>
              <w:rPr>
                <w:spacing w:val="-2"/>
              </w:rPr>
              <w:t> </w:t>
            </w:r>
            <w:r>
              <w:rPr/>
              <w:t>年</w:t>
            </w:r>
            <w:r>
              <w:rPr>
                <w:spacing w:val="-3"/>
              </w:rPr>
              <w:t>龄</w:t>
            </w:r>
            <w:r>
              <w:rPr/>
              <w:t>性</w:t>
            </w:r>
            <w:r>
              <w:rPr>
                <w:spacing w:val="-3"/>
              </w:rPr>
              <w:t>别</w:t>
            </w:r>
            <w:r>
              <w:rPr/>
              <w:t>错</w:t>
            </w:r>
            <w:r>
              <w:rPr>
                <w:spacing w:val="-3"/>
              </w:rPr>
              <w:t>误处理</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5">
            <w:r>
              <w:rPr/>
              <w:t>第十</w:t>
            </w:r>
            <w:r>
              <w:rPr>
                <w:spacing w:val="-3"/>
              </w:rPr>
              <w:t>八</w:t>
            </w:r>
            <w:r>
              <w:rPr/>
              <w:t>条</w:t>
            </w:r>
            <w:r>
              <w:rPr>
                <w:spacing w:val="-2"/>
              </w:rPr>
              <w:t> </w:t>
            </w:r>
            <w:r>
              <w:rPr/>
              <w:t>我</w:t>
            </w:r>
            <w:r>
              <w:rPr>
                <w:spacing w:val="-3"/>
              </w:rPr>
              <w:t>们</w:t>
            </w:r>
            <w:r>
              <w:rPr/>
              <w:t>行</w:t>
            </w:r>
            <w:r>
              <w:rPr>
                <w:spacing w:val="-3"/>
              </w:rPr>
              <w:t>使</w:t>
            </w:r>
            <w:r>
              <w:rPr/>
              <w:t>本</w:t>
            </w:r>
            <w:r>
              <w:rPr>
                <w:spacing w:val="-3"/>
              </w:rPr>
              <w:t>合同</w:t>
            </w:r>
            <w:r>
              <w:rPr/>
              <w:t>解除</w:t>
            </w:r>
            <w:r>
              <w:rPr>
                <w:spacing w:val="-3"/>
              </w:rPr>
              <w:t>权</w:t>
            </w:r>
            <w:r>
              <w:rPr/>
              <w:t>的</w:t>
            </w:r>
            <w:r>
              <w:rPr>
                <w:spacing w:val="-3"/>
              </w:rPr>
              <w:t>限制</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4">
            <w:r>
              <w:rPr/>
              <w:t>第十</w:t>
            </w:r>
            <w:r>
              <w:rPr>
                <w:spacing w:val="-3"/>
              </w:rPr>
              <w:t>九</w:t>
            </w:r>
            <w:r>
              <w:rPr/>
              <w:t>条</w:t>
            </w:r>
            <w:r>
              <w:rPr>
                <w:spacing w:val="-2"/>
              </w:rPr>
              <w:t> </w:t>
            </w:r>
            <w:r>
              <w:rPr/>
              <w:t>住</w:t>
            </w:r>
            <w:r>
              <w:rPr>
                <w:spacing w:val="-3"/>
              </w:rPr>
              <w:t>所</w:t>
            </w:r>
            <w:r>
              <w:rPr/>
              <w:t>或</w:t>
            </w:r>
            <w:r>
              <w:rPr>
                <w:spacing w:val="-3"/>
              </w:rPr>
              <w:t>通</w:t>
            </w:r>
            <w:r>
              <w:rPr/>
              <w:t>讯</w:t>
            </w:r>
            <w:r>
              <w:rPr>
                <w:spacing w:val="-3"/>
              </w:rPr>
              <w:t>地址</w:t>
            </w:r>
            <w:r>
              <w:rPr/>
              <w:t>变更</w:t>
              <w:tab/>
            </w:r>
            <w:r>
              <w:rPr>
                <w:rFonts w:ascii="Times New Roman" w:eastAsia="Times New Roman"/>
              </w:rPr>
              <w:t>9</w:t>
            </w:r>
          </w:hyperlink>
        </w:p>
        <w:p>
          <w:pPr>
            <w:pStyle w:val="TOC1"/>
            <w:tabs>
              <w:tab w:pos="8419" w:val="right" w:leader="dot"/>
            </w:tabs>
            <w:rPr>
              <w:rFonts w:ascii="Times New Roman" w:eastAsia="Times New Roman"/>
            </w:rPr>
          </w:pPr>
          <w:hyperlink w:history="true" w:anchor="_TOC_250003">
            <w:r>
              <w:rPr/>
              <w:t>第二</w:t>
            </w:r>
            <w:r>
              <w:rPr>
                <w:spacing w:val="-3"/>
              </w:rPr>
              <w:t>十</w:t>
            </w:r>
            <w:r>
              <w:rPr/>
              <w:t>条</w:t>
            </w:r>
            <w:r>
              <w:rPr>
                <w:spacing w:val="-2"/>
              </w:rPr>
              <w:t> </w:t>
            </w:r>
            <w:r>
              <w:rPr/>
              <w:t>被</w:t>
            </w:r>
            <w:r>
              <w:rPr>
                <w:spacing w:val="-3"/>
              </w:rPr>
              <w:t>保</w:t>
            </w:r>
            <w:r>
              <w:rPr/>
              <w:t>险</w:t>
            </w:r>
            <w:r>
              <w:rPr>
                <w:spacing w:val="-3"/>
              </w:rPr>
              <w:t>人</w:t>
            </w:r>
            <w:r>
              <w:rPr/>
              <w:t>变动</w:t>
              <w:tab/>
            </w:r>
            <w:r>
              <w:rPr>
                <w:rFonts w:ascii="Times New Roman" w:eastAsia="Times New Roman"/>
              </w:rPr>
              <w:t>10</w:t>
            </w:r>
          </w:hyperlink>
        </w:p>
        <w:p>
          <w:pPr>
            <w:pStyle w:val="TOC1"/>
            <w:tabs>
              <w:tab w:pos="8419" w:val="right" w:leader="dot"/>
            </w:tabs>
            <w:rPr>
              <w:rFonts w:ascii="Times New Roman" w:eastAsia="Times New Roman"/>
            </w:rPr>
          </w:pPr>
          <w:hyperlink w:history="true" w:anchor="_TOC_250002">
            <w:r>
              <w:rPr/>
              <w:t>第二</w:t>
            </w:r>
            <w:r>
              <w:rPr>
                <w:spacing w:val="-3"/>
              </w:rPr>
              <w:t>十</w:t>
            </w:r>
            <w:r>
              <w:rPr/>
              <w:t>一条</w:t>
            </w:r>
            <w:r>
              <w:rPr>
                <w:spacing w:val="-2"/>
              </w:rPr>
              <w:t> </w:t>
            </w:r>
            <w:r>
              <w:rPr>
                <w:spacing w:val="-3"/>
              </w:rPr>
              <w:t>本</w:t>
            </w:r>
            <w:r>
              <w:rPr/>
              <w:t>合</w:t>
            </w:r>
            <w:r>
              <w:rPr>
                <w:spacing w:val="-3"/>
              </w:rPr>
              <w:t>同</w:t>
            </w:r>
            <w:r>
              <w:rPr/>
              <w:t>内</w:t>
            </w:r>
            <w:r>
              <w:rPr>
                <w:spacing w:val="-3"/>
              </w:rPr>
              <w:t>容变更</w:t>
              <w:tab/>
            </w:r>
            <w:r>
              <w:rPr>
                <w:rFonts w:ascii="Times New Roman" w:eastAsia="Times New Roman"/>
              </w:rPr>
              <w:t>10</w:t>
            </w:r>
          </w:hyperlink>
        </w:p>
        <w:p>
          <w:pPr>
            <w:pStyle w:val="TOC1"/>
            <w:tabs>
              <w:tab w:pos="1799" w:val="left" w:leader="none"/>
              <w:tab w:pos="8421" w:val="right" w:leader="dot"/>
            </w:tabs>
            <w:rPr>
              <w:rFonts w:ascii="Times New Roman" w:eastAsia="Times New Roman"/>
            </w:rPr>
          </w:pPr>
          <w:hyperlink w:history="true" w:anchor="_TOC_250001">
            <w:r>
              <w:rPr/>
              <w:t>第二</w:t>
            </w:r>
            <w:r>
              <w:rPr>
                <w:spacing w:val="-3"/>
              </w:rPr>
              <w:t>十</w:t>
            </w:r>
            <w:r>
              <w:rPr/>
              <w:t>二条</w:t>
              <w:tab/>
            </w:r>
            <w:r>
              <w:rPr>
                <w:spacing w:val="-3"/>
              </w:rPr>
              <w:t>本</w:t>
            </w:r>
            <w:r>
              <w:rPr/>
              <w:t>合</w:t>
            </w:r>
            <w:r>
              <w:rPr>
                <w:spacing w:val="-3"/>
              </w:rPr>
              <w:t>同</w:t>
            </w:r>
            <w:r>
              <w:rPr/>
              <w:t>的</w:t>
            </w:r>
            <w:r>
              <w:rPr>
                <w:spacing w:val="-3"/>
              </w:rPr>
              <w:t>解</w:t>
            </w:r>
            <w:r>
              <w:rPr/>
              <w:t>除</w:t>
              <w:tab/>
            </w:r>
            <w:r>
              <w:rPr>
                <w:rFonts w:ascii="Times New Roman" w:eastAsia="Times New Roman"/>
                <w:spacing w:val="-4"/>
              </w:rPr>
              <w:t>11</w:t>
            </w:r>
          </w:hyperlink>
        </w:p>
        <w:p>
          <w:pPr>
            <w:pStyle w:val="TOC1"/>
            <w:tabs>
              <w:tab w:pos="1799" w:val="left" w:leader="none"/>
              <w:tab w:pos="8421" w:val="right" w:leader="dot"/>
            </w:tabs>
            <w:rPr>
              <w:rFonts w:ascii="Times New Roman" w:eastAsia="Times New Roman"/>
            </w:rPr>
          </w:pPr>
          <w:hyperlink w:history="true" w:anchor="_TOC_250000">
            <w:r>
              <w:rPr/>
              <w:t>第二</w:t>
            </w:r>
            <w:r>
              <w:rPr>
                <w:spacing w:val="-3"/>
              </w:rPr>
              <w:t>十</w:t>
            </w:r>
            <w:r>
              <w:rPr/>
              <w:t>三条</w:t>
              <w:tab/>
            </w:r>
            <w:r>
              <w:rPr>
                <w:spacing w:val="-3"/>
              </w:rPr>
              <w:t>争</w:t>
            </w:r>
            <w:r>
              <w:rPr/>
              <w:t>议</w:t>
            </w:r>
            <w:r>
              <w:rPr>
                <w:spacing w:val="-3"/>
              </w:rPr>
              <w:t>处</w:t>
            </w:r>
            <w:r>
              <w:rPr/>
              <w:t>理</w:t>
            </w:r>
            <w:r>
              <w:rPr>
                <w:spacing w:val="-3"/>
              </w:rPr>
              <w:t>和</w:t>
            </w:r>
            <w:r>
              <w:rPr/>
              <w:t>法律</w:t>
            </w:r>
            <w:r>
              <w:rPr>
                <w:spacing w:val="-3"/>
              </w:rPr>
              <w:t>适用</w:t>
              <w:tab/>
            </w:r>
            <w:r>
              <w:rPr>
                <w:rFonts w:ascii="Times New Roman" w:eastAsia="Times New Roman"/>
                <w:spacing w:val="-4"/>
              </w:rPr>
              <w:t>11</w:t>
            </w:r>
          </w:hyperlink>
        </w:p>
      </w:sdtContent>
    </w:sdt>
    <w:p>
      <w:pPr>
        <w:spacing w:after="0"/>
        <w:rPr>
          <w:rFonts w:ascii="Times New Roman" w:eastAsia="Times New Roman"/>
        </w:rPr>
        <w:sectPr>
          <w:pgSz w:w="11900" w:h="16840"/>
          <w:pgMar w:header="0" w:footer="1007" w:top="1500" w:bottom="1200" w:left="1680" w:right="1680"/>
        </w:sectPr>
      </w:pPr>
    </w:p>
    <w:p>
      <w:pPr>
        <w:spacing w:line="473" w:lineRule="exact" w:before="0"/>
        <w:ind w:left="1742" w:right="0" w:firstLine="0"/>
        <w:jc w:val="left"/>
        <w:rPr>
          <w:rFonts w:ascii="Microsoft JhengHei" w:eastAsia="Microsoft JhengHei" w:hint="eastAsia"/>
          <w:b/>
          <w:sz w:val="36"/>
        </w:rPr>
      </w:pPr>
      <w:r>
        <w:rPr>
          <w:rFonts w:ascii="Microsoft JhengHei" w:eastAsia="Microsoft JhengHei" w:hint="eastAsia"/>
          <w:b/>
          <w:sz w:val="36"/>
        </w:rPr>
        <w:t>瑞泰团体重大疾病保险合同条款</w:t>
      </w:r>
    </w:p>
    <w:p>
      <w:pPr>
        <w:spacing w:before="116"/>
        <w:ind w:left="1490" w:right="0" w:firstLine="0"/>
        <w:jc w:val="left"/>
        <w:rPr>
          <w:sz w:val="21"/>
        </w:rPr>
      </w:pPr>
      <w:r>
        <w:rPr>
          <w:sz w:val="21"/>
        </w:rPr>
        <w:t>（本合同条款 2011 年 1 月经中国保险监督管理委员会备案）</w:t>
      </w:r>
    </w:p>
    <w:p>
      <w:pPr>
        <w:pStyle w:val="BodyText"/>
        <w:spacing w:before="0"/>
        <w:rPr>
          <w:sz w:val="20"/>
        </w:rPr>
      </w:pPr>
    </w:p>
    <w:p>
      <w:pPr>
        <w:pStyle w:val="BodyText"/>
        <w:spacing w:before="6"/>
        <w:rPr>
          <w:sz w:val="22"/>
        </w:rPr>
      </w:pPr>
    </w:p>
    <w:p>
      <w:pPr>
        <w:pStyle w:val="Heading1"/>
        <w:tabs>
          <w:tab w:pos="1082" w:val="left" w:leader="none"/>
        </w:tabs>
        <w:ind w:firstLine="0"/>
      </w:pPr>
      <w:bookmarkStart w:name="_TOC_250022" w:id="1"/>
      <w:r>
        <w:rPr/>
        <w:t>第一条</w:t>
        <w:tab/>
        <w:t>关于瑞泰团体重大疾病保险合同（以下简称“本合同</w:t>
      </w:r>
      <w:bookmarkEnd w:id="1"/>
      <w:r>
        <w:rPr>
          <w:spacing w:val="-120"/>
        </w:rPr>
        <w:t>”）</w:t>
      </w:r>
    </w:p>
    <w:p>
      <w:pPr>
        <w:pStyle w:val="BodyText"/>
        <w:spacing w:line="357" w:lineRule="auto" w:before="162"/>
        <w:ind w:left="117" w:right="226" w:firstLine="480"/>
      </w:pPr>
      <w:r>
        <w:rPr>
          <w:spacing w:val="-5"/>
        </w:rPr>
        <w:t>本合同是您</w:t>
      </w:r>
      <w:r>
        <w:rPr/>
        <w:t>（指投保人</w:t>
      </w:r>
      <w:r>
        <w:rPr>
          <w:spacing w:val="-22"/>
        </w:rPr>
        <w:t>）</w:t>
      </w:r>
      <w:r>
        <w:rPr>
          <w:spacing w:val="-8"/>
        </w:rPr>
        <w:t>和我们</w:t>
      </w:r>
      <w:r>
        <w:rPr/>
        <w:t>（指瑞泰人寿保险有限公司</w:t>
      </w:r>
      <w:r>
        <w:rPr>
          <w:spacing w:val="-22"/>
        </w:rPr>
        <w:t>）</w:t>
      </w:r>
      <w:r>
        <w:rPr/>
        <w:t>之间签订的约定保险权利义务关系的协议。</w:t>
      </w:r>
    </w:p>
    <w:p>
      <w:pPr>
        <w:pStyle w:val="BodyText"/>
        <w:spacing w:before="8"/>
        <w:rPr>
          <w:sz w:val="35"/>
        </w:rPr>
      </w:pPr>
    </w:p>
    <w:p>
      <w:pPr>
        <w:pStyle w:val="Heading1"/>
        <w:tabs>
          <w:tab w:pos="1082" w:val="left" w:leader="none"/>
        </w:tabs>
        <w:ind w:firstLine="0"/>
      </w:pPr>
      <w:bookmarkStart w:name="_TOC_250021" w:id="2"/>
      <w:bookmarkEnd w:id="2"/>
      <w:r>
        <w:rPr/>
        <w:t>第二条</w:t>
        <w:tab/>
        <w:t>本合同的构成</w:t>
      </w:r>
    </w:p>
    <w:p>
      <w:pPr>
        <w:pStyle w:val="BodyText"/>
        <w:spacing w:line="357" w:lineRule="auto" w:before="160"/>
        <w:ind w:left="117" w:right="109" w:firstLine="480"/>
      </w:pPr>
      <w:r>
        <w:rPr>
          <w:spacing w:val="-3"/>
        </w:rPr>
        <w:t>本合同由保险单</w:t>
      </w:r>
      <w:r>
        <w:rPr/>
        <w:t>（</w:t>
      </w:r>
      <w:r>
        <w:rPr>
          <w:spacing w:val="-24"/>
        </w:rPr>
        <w:t>简称“保单”</w:t>
      </w:r>
      <w:r>
        <w:rPr>
          <w:spacing w:val="-17"/>
        </w:rPr>
        <w:t>）</w:t>
      </w:r>
      <w:r>
        <w:rPr>
          <w:spacing w:val="-5"/>
        </w:rPr>
        <w:t>或其他保险凭证、保险合同条款、投保单、</w:t>
      </w:r>
      <w:r>
        <w:rPr>
          <w:spacing w:val="-10"/>
        </w:rPr>
        <w:t>与本合同有关的其他投保文件、合法有效的声明、通知、批单、批注、被保险人名册和其他书面协议构成。</w:t>
      </w:r>
    </w:p>
    <w:p>
      <w:pPr>
        <w:pStyle w:val="BodyText"/>
        <w:spacing w:before="8"/>
        <w:rPr>
          <w:sz w:val="35"/>
        </w:rPr>
      </w:pPr>
    </w:p>
    <w:p>
      <w:pPr>
        <w:pStyle w:val="Heading1"/>
        <w:tabs>
          <w:tab w:pos="1082" w:val="left" w:leader="none"/>
        </w:tabs>
        <w:ind w:firstLine="0"/>
      </w:pPr>
      <w:bookmarkStart w:name="_TOC_250020" w:id="3"/>
      <w:bookmarkEnd w:id="3"/>
      <w:r>
        <w:rPr/>
        <w:t>第三条</w:t>
        <w:tab/>
        <w:t>投保条件</w:t>
      </w:r>
    </w:p>
    <w:p>
      <w:pPr>
        <w:pStyle w:val="BodyText"/>
        <w:spacing w:before="159"/>
        <w:ind w:left="597"/>
      </w:pPr>
      <w:r>
        <w:rPr/>
        <w:t>1、投保人</w:t>
      </w:r>
    </w:p>
    <w:p>
      <w:pPr>
        <w:pStyle w:val="BodyText"/>
        <w:spacing w:line="357" w:lineRule="auto"/>
        <w:ind w:left="117" w:right="226" w:firstLine="480"/>
      </w:pPr>
      <w:r>
        <w:rPr>
          <w:spacing w:val="-5"/>
        </w:rPr>
        <w:t>投保人为在中国境内的合法团体，包括但不限于国家机关、院校、企事业单位和行业组织等，且该团体非仅为购买保险而组织成立。</w:t>
      </w:r>
    </w:p>
    <w:p>
      <w:pPr>
        <w:pStyle w:val="BodyText"/>
        <w:spacing w:before="36"/>
        <w:ind w:left="597"/>
      </w:pPr>
      <w:r>
        <w:rPr/>
        <w:t>2、被保险人</w:t>
      </w:r>
    </w:p>
    <w:p>
      <w:pPr>
        <w:pStyle w:val="BodyText"/>
        <w:spacing w:before="154"/>
        <w:ind w:left="597"/>
      </w:pPr>
      <w:r>
        <w:rPr/>
        <w:t>本合同所称被保险人，包括主被保险人和附属被保险人。</w:t>
      </w:r>
    </w:p>
    <w:p>
      <w:pPr>
        <w:pStyle w:val="ListParagraph"/>
        <w:numPr>
          <w:ilvl w:val="1"/>
          <w:numId w:val="1"/>
        </w:numPr>
        <w:tabs>
          <w:tab w:pos="1078" w:val="left" w:leader="none"/>
        </w:tabs>
        <w:spacing w:line="240" w:lineRule="auto" w:before="154" w:after="0"/>
        <w:ind w:left="1077" w:right="0" w:hanging="480"/>
        <w:jc w:val="left"/>
        <w:rPr>
          <w:rFonts w:ascii="宋体" w:eastAsia="宋体" w:hint="eastAsia"/>
          <w:sz w:val="24"/>
        </w:rPr>
      </w:pPr>
      <w:r>
        <w:rPr>
          <w:rFonts w:ascii="宋体" w:eastAsia="宋体" w:hint="eastAsia"/>
          <w:sz w:val="24"/>
        </w:rPr>
        <w:t>主被保险人</w:t>
      </w:r>
    </w:p>
    <w:p>
      <w:pPr>
        <w:pStyle w:val="BodyText"/>
        <w:spacing w:before="154"/>
        <w:ind w:left="597"/>
      </w:pPr>
      <w:r>
        <w:rPr/>
        <w:t>投保人的在职员工，凡身体健康，能正常工作或劳动的，经我们审核同意，</w:t>
      </w:r>
    </w:p>
    <w:p>
      <w:pPr>
        <w:pStyle w:val="BodyText"/>
        <w:spacing w:before="154"/>
        <w:ind w:left="117"/>
      </w:pPr>
      <w:r>
        <w:rPr/>
        <w:t>可以成为本合同的主被保险人。</w:t>
      </w:r>
    </w:p>
    <w:p>
      <w:pPr>
        <w:pStyle w:val="ListParagraph"/>
        <w:numPr>
          <w:ilvl w:val="1"/>
          <w:numId w:val="1"/>
        </w:numPr>
        <w:tabs>
          <w:tab w:pos="1078" w:val="left" w:leader="none"/>
        </w:tabs>
        <w:spacing w:line="240" w:lineRule="auto" w:before="154" w:after="0"/>
        <w:ind w:left="1077" w:right="0" w:hanging="480"/>
        <w:jc w:val="left"/>
        <w:rPr>
          <w:rFonts w:ascii="宋体" w:eastAsia="宋体" w:hint="eastAsia"/>
          <w:sz w:val="24"/>
        </w:rPr>
      </w:pPr>
      <w:r>
        <w:rPr>
          <w:rFonts w:ascii="宋体" w:eastAsia="宋体" w:hint="eastAsia"/>
          <w:sz w:val="24"/>
        </w:rPr>
        <w:t>附属被保险人</w:t>
      </w:r>
    </w:p>
    <w:p>
      <w:pPr>
        <w:pStyle w:val="BodyText"/>
        <w:spacing w:before="154"/>
        <w:ind w:left="597"/>
      </w:pPr>
      <w:r>
        <w:rPr/>
        <w:t>经我们审核同意，主被保险人的配偶、子女和父母可以成为本合同的附属被</w:t>
      </w:r>
    </w:p>
    <w:p>
      <w:pPr>
        <w:pStyle w:val="BodyText"/>
        <w:spacing w:before="154"/>
        <w:ind w:left="117"/>
      </w:pPr>
      <w:r>
        <w:rPr/>
        <w:t>保险人。</w:t>
      </w:r>
    </w:p>
    <w:p>
      <w:pPr>
        <w:pStyle w:val="BodyText"/>
        <w:spacing w:before="0"/>
      </w:pPr>
    </w:p>
    <w:p>
      <w:pPr>
        <w:pStyle w:val="BodyText"/>
        <w:spacing w:before="7"/>
        <w:rPr>
          <w:sz w:val="23"/>
        </w:rPr>
      </w:pPr>
    </w:p>
    <w:p>
      <w:pPr>
        <w:pStyle w:val="BodyText"/>
        <w:spacing w:before="0"/>
        <w:ind w:left="597"/>
      </w:pPr>
      <w:r>
        <w:rPr>
          <w:spacing w:val="-5"/>
        </w:rPr>
        <w:t>本合同的被保险人年龄应在 </w:t>
      </w:r>
      <w:r>
        <w:rPr/>
        <w:t>0</w:t>
      </w:r>
      <w:r>
        <w:rPr>
          <w:spacing w:val="-30"/>
        </w:rPr>
        <w:t> 周岁</w:t>
      </w:r>
      <w:r>
        <w:rPr/>
        <w:t>（</w:t>
      </w:r>
      <w:r>
        <w:rPr>
          <w:spacing w:val="-12"/>
        </w:rPr>
        <w:t>指出生满 </w:t>
      </w:r>
      <w:r>
        <w:rPr/>
        <w:t>15</w:t>
      </w:r>
      <w:r>
        <w:rPr>
          <w:spacing w:val="-12"/>
        </w:rPr>
        <w:t> 日的婴儿</w:t>
      </w:r>
      <w:r>
        <w:rPr>
          <w:spacing w:val="-29"/>
        </w:rPr>
        <w:t>）</w:t>
      </w:r>
      <w:r>
        <w:rPr>
          <w:spacing w:val="-30"/>
        </w:rPr>
        <w:t>至 </w:t>
      </w:r>
      <w:r>
        <w:rPr/>
        <w:t>65</w:t>
      </w:r>
      <w:r>
        <w:rPr>
          <w:spacing w:val="-30"/>
        </w:rPr>
        <w:t> 周岁</w:t>
      </w:r>
      <w:r>
        <w:rPr/>
        <w:t>（含</w:t>
      </w:r>
    </w:p>
    <w:p>
      <w:pPr>
        <w:pStyle w:val="BodyText"/>
        <w:spacing w:line="357" w:lineRule="auto" w:before="154"/>
        <w:ind w:left="117" w:right="229"/>
      </w:pPr>
      <w:r>
        <w:rPr/>
        <w:t>65 周岁）之间。本合同所指周岁，以法定身份证明文件中记载的出生日期为计算基础。</w:t>
      </w:r>
    </w:p>
    <w:p>
      <w:pPr>
        <w:pStyle w:val="BodyText"/>
        <w:spacing w:before="36"/>
        <w:ind w:left="597"/>
      </w:pPr>
      <w:r>
        <w:rPr/>
        <w:t>投保时，本合同的主被保险人人数应不少于五人，且主被保险人必须占投保</w:t>
      </w:r>
    </w:p>
    <w:p>
      <w:pPr>
        <w:spacing w:after="0"/>
        <w:sectPr>
          <w:pgSz w:w="11900" w:h="16840"/>
          <w:pgMar w:header="0" w:footer="1007" w:top="1480" w:bottom="1200" w:left="1680" w:right="1560"/>
        </w:sectPr>
      </w:pPr>
    </w:p>
    <w:p>
      <w:pPr>
        <w:pStyle w:val="BodyText"/>
        <w:spacing w:line="313" w:lineRule="exact" w:before="0"/>
        <w:ind w:left="117"/>
      </w:pPr>
      <w:r>
        <w:rPr/>
        <w:drawing>
          <wp:anchor distT="0" distB="0" distL="0" distR="0" allowOverlap="1" layoutInCell="1" locked="0" behindDoc="1" simplePos="0" relativeHeight="268414703">
            <wp:simplePos x="0" y="0"/>
            <wp:positionH relativeFrom="page">
              <wp:posOffset>3621151</wp:posOffset>
            </wp:positionH>
            <wp:positionV relativeFrom="paragraph">
              <wp:posOffset>62992</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4727">
            <wp:simplePos x="0" y="0"/>
            <wp:positionH relativeFrom="page">
              <wp:posOffset>4497451</wp:posOffset>
            </wp:positionH>
            <wp:positionV relativeFrom="paragraph">
              <wp:posOffset>62992</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4"/>
        </w:rPr>
        <w:t>人团体中符合参保条件成员总数的 </w:t>
      </w:r>
      <w:r>
        <w:rPr/>
        <w:t>75以上（</w:t>
      </w:r>
      <w:r>
        <w:rPr>
          <w:spacing w:val="-30"/>
        </w:rPr>
        <w:t>含 </w:t>
      </w:r>
      <w:r>
        <w:rPr/>
        <w:t>75</w:t>
      </w:r>
      <w:r>
        <w:rPr>
          <w:spacing w:val="-120"/>
        </w:rPr>
        <w:t>）</w:t>
      </w:r>
      <w:r>
        <w:rPr/>
        <w:t>。</w:t>
      </w:r>
    </w:p>
    <w:p>
      <w:pPr>
        <w:pStyle w:val="BodyText"/>
        <w:spacing w:before="0"/>
      </w:pPr>
    </w:p>
    <w:p>
      <w:pPr>
        <w:pStyle w:val="BodyText"/>
        <w:spacing w:before="9"/>
        <w:rPr>
          <w:sz w:val="17"/>
        </w:rPr>
      </w:pPr>
    </w:p>
    <w:p>
      <w:pPr>
        <w:spacing w:line="268" w:lineRule="auto" w:before="0"/>
        <w:ind w:left="117" w:right="106" w:firstLine="482"/>
        <w:jc w:val="left"/>
        <w:rPr>
          <w:rFonts w:ascii="Microsoft JhengHei" w:eastAsia="Microsoft JhengHei" w:hint="eastAsia"/>
          <w:b/>
          <w:sz w:val="24"/>
        </w:rPr>
      </w:pPr>
      <w:r>
        <w:rPr>
          <w:rFonts w:ascii="Microsoft JhengHei" w:eastAsia="Microsoft JhengHei" w:hint="eastAsia"/>
          <w:b/>
          <w:sz w:val="24"/>
        </w:rPr>
        <w:t>特别提示您：本合同的附属被保险人系附属于所对应的主被保险人而存在， 因此，无论何种情况下，当我们对主被保险人的保险责任终止时，我们对主被保险人对应的所有附属被保险人的保险责任同时终止，我们将同时向您返还该主被保险人保险责任终止时对应的所有附属被保险人相应的未满期净保险费</w:t>
      </w:r>
    </w:p>
    <w:p>
      <w:pPr>
        <w:spacing w:before="12"/>
        <w:ind w:left="117" w:right="0" w:firstLine="0"/>
        <w:jc w:val="left"/>
        <w:rPr>
          <w:rFonts w:ascii="Microsoft JhengHei" w:eastAsia="Microsoft JhengHei" w:hint="eastAsia"/>
          <w:b/>
          <w:sz w:val="24"/>
        </w:rPr>
      </w:pPr>
      <w:r>
        <w:rPr>
          <w:rFonts w:ascii="微软雅黑" w:eastAsia="微软雅黑" w:hint="eastAsia"/>
          <w:b/>
          <w:w w:val="105"/>
          <w:sz w:val="24"/>
        </w:rPr>
        <w:t>(</w:t>
      </w:r>
      <w:r>
        <w:rPr>
          <w:rFonts w:ascii="Microsoft JhengHei" w:eastAsia="Microsoft JhengHei" w:hint="eastAsia"/>
          <w:b/>
          <w:w w:val="105"/>
          <w:sz w:val="24"/>
        </w:rPr>
        <w:t>释义 </w:t>
      </w:r>
      <w:r>
        <w:rPr>
          <w:rFonts w:ascii="微软雅黑" w:eastAsia="微软雅黑" w:hint="eastAsia"/>
          <w:b/>
          <w:w w:val="105"/>
          <w:sz w:val="24"/>
        </w:rPr>
        <w:t>1)</w:t>
      </w:r>
      <w:r>
        <w:rPr>
          <w:rFonts w:ascii="Microsoft JhengHei" w:eastAsia="Microsoft JhengHei" w:hint="eastAsia"/>
          <w:b/>
          <w:w w:val="105"/>
          <w:sz w:val="24"/>
        </w:rPr>
        <w:t>。</w:t>
      </w:r>
    </w:p>
    <w:p>
      <w:pPr>
        <w:pStyle w:val="BodyText"/>
        <w:spacing w:before="15"/>
        <w:rPr>
          <w:rFonts w:ascii="Microsoft JhengHei"/>
          <w:b/>
          <w:sz w:val="31"/>
        </w:rPr>
      </w:pPr>
    </w:p>
    <w:p>
      <w:pPr>
        <w:pStyle w:val="Heading1"/>
        <w:tabs>
          <w:tab w:pos="1082" w:val="left" w:leader="none"/>
        </w:tabs>
        <w:ind w:firstLine="0"/>
      </w:pPr>
      <w:bookmarkStart w:name="_TOC_250019" w:id="4"/>
      <w:bookmarkEnd w:id="4"/>
      <w:r>
        <w:rPr/>
        <w:t>第四条</w:t>
        <w:tab/>
        <w:t>本合同的生效</w:t>
      </w:r>
    </w:p>
    <w:p>
      <w:pPr>
        <w:pStyle w:val="BodyText"/>
        <w:spacing w:line="357" w:lineRule="auto" w:before="159"/>
        <w:ind w:left="117" w:right="226" w:firstLine="480"/>
        <w:jc w:val="both"/>
      </w:pPr>
      <w:r>
        <w:rPr>
          <w:spacing w:val="-5"/>
        </w:rPr>
        <w:t>您向我们完整提交投保单等相关投保文件后，我们会及时对您的投保申请进</w:t>
      </w:r>
      <w:r>
        <w:rPr>
          <w:spacing w:val="-10"/>
        </w:rPr>
        <w:t>行核保。在我们同意承保，并收到您交纳的保险费后，本合同生效，我们将签发</w:t>
      </w:r>
      <w:r>
        <w:rPr>
          <w:spacing w:val="-15"/>
        </w:rPr>
        <w:t>保险单或批注作为保险凭证。我们自本合同生效日即保险单所载的保险单生效日的零时起承担保险责任。</w:t>
      </w:r>
    </w:p>
    <w:p>
      <w:pPr>
        <w:spacing w:line="379" w:lineRule="exact" w:before="0"/>
        <w:ind w:left="590" w:right="0" w:firstLine="0"/>
        <w:jc w:val="left"/>
        <w:rPr>
          <w:sz w:val="24"/>
        </w:rPr>
      </w:pPr>
      <w:r>
        <w:rPr>
          <w:rFonts w:ascii="Microsoft JhengHei" w:eastAsia="Microsoft JhengHei" w:hint="eastAsia"/>
          <w:b/>
          <w:sz w:val="24"/>
        </w:rPr>
        <w:t>保险单周年日</w:t>
      </w:r>
      <w:r>
        <w:rPr>
          <w:rFonts w:ascii="微软雅黑" w:eastAsia="微软雅黑" w:hint="eastAsia"/>
          <w:b/>
          <w:sz w:val="24"/>
        </w:rPr>
        <w:t>(</w:t>
      </w:r>
      <w:r>
        <w:rPr>
          <w:rFonts w:ascii="Microsoft JhengHei" w:eastAsia="Microsoft JhengHei" w:hint="eastAsia"/>
          <w:b/>
          <w:sz w:val="24"/>
        </w:rPr>
        <w:t>释义 </w:t>
      </w:r>
      <w:r>
        <w:rPr>
          <w:rFonts w:ascii="微软雅黑" w:eastAsia="微软雅黑" w:hint="eastAsia"/>
          <w:b/>
          <w:sz w:val="24"/>
        </w:rPr>
        <w:t>2)</w:t>
      </w:r>
      <w:r>
        <w:rPr>
          <w:sz w:val="24"/>
        </w:rPr>
        <w:t>、保险单年度、保险费到期日和保险单期满日均以保</w:t>
      </w:r>
    </w:p>
    <w:p>
      <w:pPr>
        <w:pStyle w:val="BodyText"/>
        <w:spacing w:before="125"/>
        <w:ind w:left="117"/>
      </w:pPr>
      <w:r>
        <w:rPr/>
        <w:t>险单中载明的生效日期为准计算。</w:t>
      </w:r>
    </w:p>
    <w:p>
      <w:pPr>
        <w:pStyle w:val="BodyText"/>
        <w:spacing w:before="0"/>
      </w:pPr>
    </w:p>
    <w:p>
      <w:pPr>
        <w:pStyle w:val="BodyText"/>
        <w:spacing w:before="7"/>
        <w:rPr>
          <w:sz w:val="20"/>
        </w:rPr>
      </w:pPr>
    </w:p>
    <w:p>
      <w:pPr>
        <w:pStyle w:val="Heading1"/>
        <w:tabs>
          <w:tab w:pos="1082" w:val="left" w:leader="none"/>
        </w:tabs>
        <w:ind w:firstLine="0"/>
      </w:pPr>
      <w:bookmarkStart w:name="_TOC_250018" w:id="5"/>
      <w:bookmarkEnd w:id="5"/>
      <w:r>
        <w:rPr/>
        <w:t>第五条</w:t>
        <w:tab/>
        <w:t>保险期间</w:t>
      </w:r>
    </w:p>
    <w:p>
      <w:pPr>
        <w:pStyle w:val="BodyText"/>
        <w:spacing w:before="159"/>
        <w:ind w:left="597"/>
      </w:pPr>
      <w:r>
        <w:rPr/>
        <w:t>本合同的保险期间最长为一年，除另有约定外，自本合同生效之日零时起至</w:t>
      </w:r>
    </w:p>
    <w:p>
      <w:pPr>
        <w:pStyle w:val="BodyText"/>
        <w:ind w:left="117"/>
      </w:pPr>
      <w:r>
        <w:rPr/>
        <w:t>约定终止日二十四时止，由您和我们约定并于保险单中载明。</w:t>
      </w:r>
    </w:p>
    <w:p>
      <w:pPr>
        <w:pStyle w:val="BodyText"/>
        <w:spacing w:before="0"/>
      </w:pPr>
    </w:p>
    <w:p>
      <w:pPr>
        <w:pStyle w:val="BodyText"/>
        <w:spacing w:before="7"/>
        <w:rPr>
          <w:sz w:val="20"/>
        </w:rPr>
      </w:pPr>
    </w:p>
    <w:p>
      <w:pPr>
        <w:pStyle w:val="Heading1"/>
        <w:tabs>
          <w:tab w:pos="1082" w:val="left" w:leader="none"/>
        </w:tabs>
        <w:spacing w:before="1"/>
        <w:ind w:firstLine="0"/>
      </w:pPr>
      <w:bookmarkStart w:name="_TOC_250017" w:id="6"/>
      <w:bookmarkEnd w:id="6"/>
      <w:r>
        <w:rPr/>
        <w:t>第六条</w:t>
        <w:tab/>
        <w:t>保险金额</w:t>
      </w:r>
    </w:p>
    <w:p>
      <w:pPr>
        <w:pStyle w:val="BodyText"/>
        <w:spacing w:before="162"/>
        <w:ind w:left="597"/>
      </w:pPr>
      <w:r>
        <w:rPr/>
        <w:t>本合同下各被保险人的保险金额由您和我们约定并于保险单中载明。</w:t>
      </w:r>
    </w:p>
    <w:p>
      <w:pPr>
        <w:pStyle w:val="BodyText"/>
        <w:spacing w:before="0"/>
      </w:pPr>
    </w:p>
    <w:p>
      <w:pPr>
        <w:pStyle w:val="BodyText"/>
        <w:spacing w:before="7"/>
        <w:rPr>
          <w:sz w:val="20"/>
        </w:rPr>
      </w:pPr>
    </w:p>
    <w:p>
      <w:pPr>
        <w:pStyle w:val="Heading1"/>
        <w:tabs>
          <w:tab w:pos="1082" w:val="left" w:leader="none"/>
        </w:tabs>
        <w:ind w:firstLine="0"/>
      </w:pPr>
      <w:bookmarkStart w:name="_TOC_250016" w:id="7"/>
      <w:bookmarkEnd w:id="7"/>
      <w:r>
        <w:rPr/>
        <w:t>第七条</w:t>
        <w:tab/>
        <w:t>保险费的交纳</w:t>
      </w:r>
    </w:p>
    <w:p>
      <w:pPr>
        <w:pStyle w:val="BodyText"/>
        <w:spacing w:before="159"/>
        <w:ind w:left="588"/>
      </w:pPr>
      <w:r>
        <w:rPr/>
        <w:t>本合同的交费方式由您与我们约定，并在保险单中载明。</w:t>
      </w:r>
    </w:p>
    <w:p>
      <w:pPr>
        <w:pStyle w:val="BodyText"/>
        <w:spacing w:before="0"/>
      </w:pPr>
    </w:p>
    <w:p>
      <w:pPr>
        <w:pStyle w:val="BodyText"/>
        <w:spacing w:before="7"/>
        <w:rPr>
          <w:sz w:val="20"/>
        </w:rPr>
      </w:pPr>
    </w:p>
    <w:p>
      <w:pPr>
        <w:pStyle w:val="Heading1"/>
        <w:tabs>
          <w:tab w:pos="1082" w:val="left" w:leader="none"/>
        </w:tabs>
        <w:ind w:firstLine="0"/>
      </w:pPr>
      <w:bookmarkStart w:name="_TOC_250015" w:id="8"/>
      <w:bookmarkEnd w:id="8"/>
      <w:r>
        <w:rPr/>
        <w:t>第八条</w:t>
        <w:tab/>
        <w:t>等待期</w:t>
      </w:r>
    </w:p>
    <w:p>
      <w:pPr>
        <w:pStyle w:val="BodyText"/>
        <w:spacing w:line="312" w:lineRule="auto" w:before="83"/>
        <w:ind w:left="117" w:right="226" w:firstLine="480"/>
      </w:pPr>
      <w:r>
        <w:rPr>
          <w:spacing w:val="-3"/>
        </w:rPr>
        <w:t>被保险人于本合同生效之日起 </w:t>
      </w:r>
      <w:r>
        <w:rPr/>
        <w:t>30</w:t>
      </w:r>
      <w:r>
        <w:rPr>
          <w:spacing w:val="-14"/>
        </w:rPr>
        <w:t> 日内</w:t>
      </w:r>
      <w:r>
        <w:rPr>
          <w:rFonts w:ascii="Microsoft JhengHei" w:eastAsia="Microsoft JhengHei" w:hint="eastAsia"/>
          <w:b/>
        </w:rPr>
        <w:t>初次患有（</w:t>
      </w:r>
      <w:r>
        <w:rPr>
          <w:rFonts w:ascii="Microsoft JhengHei" w:eastAsia="Microsoft JhengHei" w:hint="eastAsia"/>
          <w:b/>
          <w:spacing w:val="6"/>
        </w:rPr>
        <w:t>释义 </w:t>
      </w:r>
      <w:r>
        <w:rPr>
          <w:rFonts w:ascii="微软雅黑" w:eastAsia="微软雅黑" w:hint="eastAsia"/>
          <w:b/>
        </w:rPr>
        <w:t>3</w:t>
      </w:r>
      <w:r>
        <w:rPr>
          <w:rFonts w:ascii="Microsoft JhengHei" w:eastAsia="Microsoft JhengHei" w:hint="eastAsia"/>
          <w:b/>
        </w:rPr>
        <w:t>）</w:t>
      </w:r>
      <w:r>
        <w:rPr>
          <w:spacing w:val="-1"/>
        </w:rPr>
        <w:t>本合同约定的重</w:t>
      </w:r>
      <w:r>
        <w:rPr>
          <w:spacing w:val="-7"/>
        </w:rPr>
        <w:t>大疾病中的一项或多项，我们不承担给付保险金的责任，但向您退还您为该被保</w:t>
      </w:r>
    </w:p>
    <w:p>
      <w:pPr>
        <w:spacing w:after="0" w:line="312" w:lineRule="auto"/>
        <w:sectPr>
          <w:pgSz w:w="11900" w:h="16840"/>
          <w:pgMar w:header="0" w:footer="1007" w:top="1460" w:bottom="1200" w:left="1680" w:right="1560"/>
        </w:sectPr>
      </w:pPr>
    </w:p>
    <w:p>
      <w:pPr>
        <w:pStyle w:val="BodyText"/>
        <w:spacing w:line="313" w:lineRule="exact" w:before="0"/>
        <w:ind w:left="117"/>
      </w:pPr>
      <w:r>
        <w:rPr/>
        <w:t>险人交纳的本合同项下的保险费，我们对该被保险人的保险责任终止。这 30 日</w:t>
      </w:r>
    </w:p>
    <w:p>
      <w:pPr>
        <w:pStyle w:val="BodyText"/>
        <w:spacing w:before="154"/>
        <w:ind w:left="117"/>
      </w:pPr>
      <w:r>
        <w:rPr/>
        <w:t>称为保险责任等待期。</w:t>
      </w:r>
    </w:p>
    <w:p>
      <w:pPr>
        <w:pStyle w:val="BodyText"/>
        <w:spacing w:line="357" w:lineRule="auto" w:before="154"/>
        <w:ind w:left="117" w:right="109" w:firstLine="480"/>
        <w:jc w:val="both"/>
      </w:pPr>
      <w:r>
        <w:rPr>
          <w:spacing w:val="-4"/>
        </w:rPr>
        <w:t>投保人为同一被保险人不间断地连续投保本合同，从第二年起，保险责任无等待期。</w:t>
      </w:r>
    </w:p>
    <w:p>
      <w:pPr>
        <w:pStyle w:val="BodyText"/>
        <w:spacing w:before="36"/>
        <w:ind w:left="597"/>
      </w:pPr>
      <w:r>
        <w:rPr/>
        <w:t>被保险人因意外事故（释义 4）导致罹患本合同所定义的重大疾病中的一项</w:t>
      </w:r>
    </w:p>
    <w:p>
      <w:pPr>
        <w:pStyle w:val="BodyText"/>
        <w:ind w:left="117"/>
      </w:pPr>
      <w:r>
        <w:rPr/>
        <w:t>或多项时，保险责任无等待期。</w:t>
      </w:r>
    </w:p>
    <w:p>
      <w:pPr>
        <w:pStyle w:val="BodyText"/>
        <w:spacing w:line="357" w:lineRule="auto"/>
        <w:ind w:left="117" w:right="109" w:firstLine="480"/>
        <w:jc w:val="both"/>
      </w:pPr>
      <w:r>
        <w:rPr>
          <w:spacing w:val="-7"/>
        </w:rPr>
        <w:t>本合同被保险人发生变动时，新增加的被保险人的保险责任等待期依照本合同第二十条处理。</w:t>
      </w:r>
    </w:p>
    <w:p>
      <w:pPr>
        <w:pStyle w:val="BodyText"/>
        <w:spacing w:before="8"/>
        <w:rPr>
          <w:sz w:val="35"/>
        </w:rPr>
      </w:pPr>
    </w:p>
    <w:p>
      <w:pPr>
        <w:pStyle w:val="Heading1"/>
        <w:tabs>
          <w:tab w:pos="1082" w:val="left" w:leader="none"/>
        </w:tabs>
        <w:ind w:firstLine="0"/>
      </w:pPr>
      <w:bookmarkStart w:name="_TOC_250014" w:id="9"/>
      <w:bookmarkEnd w:id="9"/>
      <w:r>
        <w:rPr/>
        <w:t>第九条</w:t>
        <w:tab/>
        <w:t>保险责任</w:t>
      </w:r>
    </w:p>
    <w:p>
      <w:pPr>
        <w:pStyle w:val="BodyText"/>
        <w:spacing w:line="357" w:lineRule="auto" w:before="160"/>
        <w:ind w:left="117" w:right="109" w:firstLine="480"/>
        <w:jc w:val="both"/>
      </w:pPr>
      <w:r>
        <w:rPr>
          <w:spacing w:val="-5"/>
        </w:rPr>
        <w:t>您可在投保时选择以下保险责任类别中的一类，对不同的被保险人，您可选</w:t>
      </w:r>
      <w:r>
        <w:rPr>
          <w:spacing w:val="-11"/>
        </w:rPr>
        <w:t>择不同的保险责任类别。在本合同有效期内，我们根据您选择的保险责任类别承担相应的保险责任：</w:t>
      </w:r>
    </w:p>
    <w:p>
      <w:pPr>
        <w:pStyle w:val="BodyText"/>
        <w:spacing w:before="36"/>
        <w:ind w:left="597"/>
      </w:pPr>
      <w:r>
        <w:rPr/>
        <w:t>a.重疾基本保障保险责任</w:t>
      </w:r>
    </w:p>
    <w:p>
      <w:pPr>
        <w:pStyle w:val="BodyText"/>
        <w:spacing w:line="357" w:lineRule="auto"/>
        <w:ind w:left="117" w:right="106" w:firstLine="480"/>
        <w:jc w:val="both"/>
      </w:pPr>
      <w:r>
        <w:rPr>
          <w:spacing w:val="-9"/>
        </w:rPr>
        <w:t>等待期届满后，若被保险人经医院诊断初次患有本合同所附《重大疾病种类</w:t>
      </w:r>
      <w:r>
        <w:rPr>
          <w:spacing w:val="-10"/>
        </w:rPr>
        <w:t>清单》中第一种至第六种重大疾病中的一项或多项重大疾病的，我们按照本合同</w:t>
      </w:r>
      <w:r>
        <w:rPr>
          <w:spacing w:val="-13"/>
        </w:rPr>
        <w:t>项下该被保险人相应的保险金额向该被保险人给付重大疾病保险金，我们对该被保险人的保险责任终止。</w:t>
      </w:r>
    </w:p>
    <w:p>
      <w:pPr>
        <w:pStyle w:val="BodyText"/>
        <w:spacing w:before="35"/>
        <w:ind w:left="657"/>
      </w:pPr>
      <w:r>
        <w:rPr/>
        <w:t>b.重疾综合保障保险责任</w:t>
      </w:r>
    </w:p>
    <w:p>
      <w:pPr>
        <w:pStyle w:val="BodyText"/>
        <w:spacing w:line="357" w:lineRule="auto"/>
        <w:ind w:left="117" w:right="106" w:firstLine="480"/>
        <w:jc w:val="both"/>
      </w:pPr>
      <w:r>
        <w:rPr>
          <w:spacing w:val="-9"/>
        </w:rPr>
        <w:t>等待期届满后，若被保险人经医院诊断初次患有本合同所附《重大疾病种类</w:t>
      </w:r>
      <w:r>
        <w:rPr>
          <w:spacing w:val="-10"/>
        </w:rPr>
        <w:t>清单》中第一种至第二十五种重大疾病中的一项或多项重大疾病的，我们按照本</w:t>
      </w:r>
      <w:r>
        <w:rPr>
          <w:spacing w:val="-13"/>
        </w:rPr>
        <w:t>合同项下该被保险人相应的保险金额向该被保险人给付重大疾病保险金，我们对该被保险人的保险责任终止。</w:t>
      </w:r>
    </w:p>
    <w:p>
      <w:pPr>
        <w:pStyle w:val="BodyText"/>
        <w:spacing w:before="36"/>
        <w:ind w:left="657"/>
      </w:pPr>
      <w:r>
        <w:rPr/>
        <w:t>c.重疾全面保障保险责任</w:t>
      </w:r>
    </w:p>
    <w:p>
      <w:pPr>
        <w:pStyle w:val="BodyText"/>
        <w:spacing w:line="357" w:lineRule="auto" w:before="154"/>
        <w:ind w:left="117" w:right="106" w:firstLine="480"/>
        <w:jc w:val="both"/>
      </w:pPr>
      <w:r>
        <w:rPr>
          <w:spacing w:val="-9"/>
        </w:rPr>
        <w:t>等待期届满后，若被保险人经医院诊断初次患本合同所附《重大疾病种类清</w:t>
      </w:r>
      <w:r>
        <w:rPr>
          <w:spacing w:val="-10"/>
        </w:rPr>
        <w:t>单》中第一种至第四十种重大疾病中的一项或多项重大疾病的，我们按照本合同</w:t>
      </w:r>
      <w:r>
        <w:rPr>
          <w:spacing w:val="-13"/>
        </w:rPr>
        <w:t>项下该被保险人相应的保险金额向该被保险人给付重大疾病保险金，我们对该被保险人的保险责任终止。</w:t>
      </w:r>
    </w:p>
    <w:p>
      <w:pPr>
        <w:spacing w:after="0" w:line="357" w:lineRule="auto"/>
        <w:jc w:val="both"/>
        <w:sectPr>
          <w:pgSz w:w="11900" w:h="16840"/>
          <w:pgMar w:header="0" w:footer="1007" w:top="1460" w:bottom="1200" w:left="1680" w:right="1680"/>
        </w:sectPr>
      </w:pPr>
    </w:p>
    <w:p>
      <w:pPr>
        <w:pStyle w:val="BodyText"/>
        <w:spacing w:line="313" w:lineRule="exact" w:before="0"/>
        <w:ind w:left="597"/>
      </w:pPr>
      <w:r>
        <w:rPr/>
        <w:t>本合同的重大疾病保险金给付以一次为限。</w:t>
      </w:r>
    </w:p>
    <w:p>
      <w:pPr>
        <w:pStyle w:val="BodyText"/>
        <w:spacing w:before="0"/>
      </w:pPr>
    </w:p>
    <w:p>
      <w:pPr>
        <w:pStyle w:val="BodyText"/>
        <w:spacing w:before="0"/>
      </w:pPr>
    </w:p>
    <w:p>
      <w:pPr>
        <w:pStyle w:val="BodyText"/>
        <w:spacing w:before="1"/>
        <w:rPr>
          <w:sz w:val="20"/>
        </w:rPr>
      </w:pPr>
    </w:p>
    <w:p>
      <w:pPr>
        <w:spacing w:before="1"/>
        <w:ind w:left="117" w:right="0" w:firstLine="0"/>
        <w:jc w:val="left"/>
        <w:rPr>
          <w:rFonts w:ascii="Microsoft JhengHei" w:eastAsia="Microsoft JhengHei" w:hint="eastAsia"/>
          <w:b/>
          <w:sz w:val="28"/>
        </w:rPr>
      </w:pPr>
      <w:bookmarkStart w:name="_TOC_250013" w:id="10"/>
      <w:bookmarkEnd w:id="10"/>
      <w:r>
        <w:rPr>
          <w:rFonts w:ascii="Microsoft JhengHei" w:eastAsia="Microsoft JhengHei" w:hint="eastAsia"/>
          <w:b/>
          <w:sz w:val="28"/>
        </w:rPr>
        <w:t>第十条  责任免除</w:t>
      </w:r>
    </w:p>
    <w:p>
      <w:pPr>
        <w:spacing w:line="307" w:lineRule="auto" w:before="136"/>
        <w:ind w:left="117" w:right="168" w:firstLine="552"/>
        <w:jc w:val="left"/>
        <w:rPr>
          <w:rFonts w:ascii="Microsoft JhengHei" w:eastAsia="Microsoft JhengHei" w:hint="eastAsia"/>
          <w:b/>
          <w:sz w:val="28"/>
        </w:rPr>
      </w:pPr>
      <w:r>
        <w:rPr>
          <w:rFonts w:ascii="Microsoft JhengHei" w:eastAsia="Microsoft JhengHei" w:hint="eastAsia"/>
          <w:b/>
          <w:sz w:val="28"/>
        </w:rPr>
        <w:t>因下列情形之一导致被保险人发生疾病、达到疾病状态或进行手术的，我们不承担给付重大疾病保险金的责任：</w:t>
      </w:r>
    </w:p>
    <w:p>
      <w:pPr>
        <w:spacing w:before="31"/>
        <w:ind w:left="669" w:right="0" w:firstLine="0"/>
        <w:jc w:val="left"/>
        <w:rPr>
          <w:rFonts w:ascii="Microsoft JhengHei" w:eastAsia="Microsoft JhengHei" w:hint="eastAsia"/>
          <w:b/>
          <w:sz w:val="28"/>
        </w:rPr>
      </w:pPr>
      <w:r>
        <w:rPr>
          <w:rFonts w:ascii="Microsoft JhengHei" w:eastAsia="Microsoft JhengHei" w:hint="eastAsia"/>
          <w:b/>
          <w:w w:val="95"/>
          <w:sz w:val="28"/>
        </w:rPr>
        <w:t>1）投保人对被保险人的故意杀害、故意伤害；</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2）被保险人故意犯罪或抗拒依法采取的刑事强制措施；</w:t>
      </w:r>
    </w:p>
    <w:p>
      <w:pPr>
        <w:spacing w:before="136"/>
        <w:ind w:left="669" w:right="0" w:firstLine="0"/>
        <w:jc w:val="left"/>
        <w:rPr>
          <w:rFonts w:ascii="Microsoft JhengHei" w:eastAsia="Microsoft JhengHei" w:hint="eastAsia"/>
          <w:b/>
          <w:sz w:val="28"/>
        </w:rPr>
      </w:pPr>
      <w:r>
        <w:rPr>
          <w:rFonts w:ascii="Microsoft JhengHei" w:eastAsia="Microsoft JhengHei" w:hint="eastAsia"/>
          <w:b/>
          <w:sz w:val="28"/>
        </w:rPr>
        <w:t>3）被保险人自伤、自杀，但自杀时为无民事行为能力人的除外；</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84"/>
          <w:sz w:val="28"/>
        </w:rPr>
        <w:t>4</w:t>
      </w:r>
      <w:r>
        <w:rPr>
          <w:rFonts w:ascii="Microsoft JhengHei" w:eastAsia="Microsoft JhengHei" w:hint="eastAsia"/>
          <w:b/>
          <w:w w:val="100"/>
          <w:sz w:val="28"/>
        </w:rPr>
        <w:t>）被保险人主动吸食或注射毒品（释义</w:t>
      </w:r>
      <w:r>
        <w:rPr>
          <w:rFonts w:ascii="Microsoft JhengHei" w:eastAsia="Microsoft JhengHei" w:hint="eastAsia"/>
          <w:b/>
          <w:w w:val="84"/>
          <w:sz w:val="28"/>
        </w:rPr>
        <w:t>5</w:t>
      </w:r>
      <w:r>
        <w:rPr>
          <w:rFonts w:ascii="Microsoft JhengHei" w:eastAsia="Microsoft JhengHei" w:hint="eastAsia"/>
          <w:b/>
          <w:spacing w:val="-140"/>
          <w:w w:val="100"/>
          <w:sz w:val="28"/>
        </w:rPr>
        <w:t>）；</w:t>
      </w:r>
    </w:p>
    <w:p>
      <w:pPr>
        <w:spacing w:line="307" w:lineRule="auto" w:before="136"/>
        <w:ind w:left="117" w:right="105" w:firstLine="552"/>
        <w:jc w:val="left"/>
        <w:rPr>
          <w:rFonts w:ascii="Microsoft JhengHei" w:eastAsia="Microsoft JhengHei" w:hint="eastAsia"/>
          <w:b/>
          <w:sz w:val="28"/>
        </w:rPr>
      </w:pPr>
      <w:r>
        <w:rPr>
          <w:rFonts w:ascii="Microsoft JhengHei" w:eastAsia="Microsoft JhengHei" w:hint="eastAsia"/>
          <w:b/>
          <w:w w:val="84"/>
          <w:sz w:val="28"/>
        </w:rPr>
        <w:t>5</w:t>
      </w:r>
      <w:r>
        <w:rPr>
          <w:rFonts w:ascii="Microsoft JhengHei" w:eastAsia="Microsoft JhengHei" w:hint="eastAsia"/>
          <w:b/>
          <w:spacing w:val="-63"/>
          <w:w w:val="100"/>
          <w:sz w:val="28"/>
        </w:rPr>
        <w:t>）</w:t>
      </w:r>
      <w:r>
        <w:rPr>
          <w:rFonts w:ascii="Microsoft JhengHei" w:eastAsia="Microsoft JhengHei" w:hint="eastAsia"/>
          <w:b/>
          <w:spacing w:val="-8"/>
          <w:w w:val="100"/>
          <w:sz w:val="28"/>
        </w:rPr>
        <w:t>被保险人酒后驾驶</w:t>
      </w:r>
      <w:r>
        <w:rPr>
          <w:rFonts w:ascii="Microsoft JhengHei" w:eastAsia="Microsoft JhengHei" w:hint="eastAsia"/>
          <w:b/>
          <w:w w:val="100"/>
          <w:sz w:val="28"/>
        </w:rPr>
        <w:t>（释义</w:t>
      </w:r>
      <w:r>
        <w:rPr>
          <w:rFonts w:ascii="Microsoft JhengHei" w:eastAsia="Microsoft JhengHei" w:hint="eastAsia"/>
          <w:b/>
          <w:spacing w:val="2"/>
          <w:w w:val="84"/>
          <w:sz w:val="28"/>
        </w:rPr>
        <w:t>6</w:t>
      </w:r>
      <w:r>
        <w:rPr>
          <w:rFonts w:ascii="Microsoft JhengHei" w:eastAsia="Microsoft JhengHei" w:hint="eastAsia"/>
          <w:b/>
          <w:spacing w:val="-142"/>
          <w:w w:val="100"/>
          <w:sz w:val="28"/>
        </w:rPr>
        <w:t>）</w:t>
      </w:r>
      <w:r>
        <w:rPr>
          <w:rFonts w:ascii="Microsoft JhengHei" w:eastAsia="Microsoft JhengHei" w:hint="eastAsia"/>
          <w:b/>
          <w:spacing w:val="-13"/>
          <w:w w:val="100"/>
          <w:sz w:val="28"/>
        </w:rPr>
        <w:t>、无合法有效驾驶证驾驶</w:t>
      </w:r>
      <w:r>
        <w:rPr>
          <w:rFonts w:ascii="Microsoft JhengHei" w:eastAsia="Microsoft JhengHei" w:hint="eastAsia"/>
          <w:b/>
          <w:w w:val="100"/>
          <w:sz w:val="28"/>
        </w:rPr>
        <w:t>（释义</w:t>
      </w:r>
      <w:r>
        <w:rPr>
          <w:rFonts w:ascii="Microsoft JhengHei" w:eastAsia="Microsoft JhengHei" w:hint="eastAsia"/>
          <w:b/>
          <w:w w:val="84"/>
          <w:sz w:val="28"/>
        </w:rPr>
        <w:t>7</w:t>
      </w:r>
      <w:r>
        <w:rPr>
          <w:rFonts w:ascii="Microsoft JhengHei" w:eastAsia="Microsoft JhengHei" w:hint="eastAsia"/>
          <w:b/>
          <w:w w:val="100"/>
          <w:sz w:val="28"/>
        </w:rPr>
        <w:t>）</w:t>
      </w:r>
      <w:r>
        <w:rPr>
          <w:rFonts w:ascii="Microsoft JhengHei" w:eastAsia="Microsoft JhengHei" w:hint="eastAsia"/>
          <w:b/>
          <w:w w:val="95"/>
          <w:sz w:val="28"/>
        </w:rPr>
        <w:t>或驾驶无有效行驶证（释义8）的机动车；</w:t>
      </w:r>
    </w:p>
    <w:p>
      <w:pPr>
        <w:spacing w:before="31"/>
        <w:ind w:left="669" w:right="0" w:firstLine="0"/>
        <w:jc w:val="left"/>
        <w:rPr>
          <w:rFonts w:ascii="Microsoft JhengHei" w:eastAsia="Microsoft JhengHei" w:hint="eastAsia"/>
          <w:b/>
          <w:sz w:val="28"/>
        </w:rPr>
      </w:pPr>
      <w:r>
        <w:rPr>
          <w:rFonts w:ascii="Microsoft JhengHei" w:eastAsia="Microsoft JhengHei" w:hint="eastAsia"/>
          <w:b/>
          <w:w w:val="84"/>
          <w:sz w:val="28"/>
        </w:rPr>
        <w:t>6</w:t>
      </w:r>
      <w:r>
        <w:rPr>
          <w:rFonts w:ascii="Microsoft JhengHei" w:eastAsia="Microsoft JhengHei" w:hint="eastAsia"/>
          <w:b/>
          <w:w w:val="100"/>
          <w:sz w:val="28"/>
        </w:rPr>
        <w:t>）被保险人感染艾滋病病毒（释义</w:t>
      </w:r>
      <w:r>
        <w:rPr>
          <w:rFonts w:ascii="Microsoft JhengHei" w:eastAsia="Microsoft JhengHei" w:hint="eastAsia"/>
          <w:b/>
          <w:w w:val="84"/>
          <w:sz w:val="28"/>
        </w:rPr>
        <w:t>9</w:t>
      </w:r>
      <w:r>
        <w:rPr>
          <w:rFonts w:ascii="Microsoft JhengHei" w:eastAsia="Microsoft JhengHei" w:hint="eastAsia"/>
          <w:b/>
          <w:w w:val="100"/>
          <w:sz w:val="28"/>
        </w:rPr>
        <w:t>）或患艾滋病（释义</w:t>
      </w:r>
      <w:r>
        <w:rPr>
          <w:rFonts w:ascii="Microsoft JhengHei" w:eastAsia="Microsoft JhengHei" w:hint="eastAsia"/>
          <w:b/>
          <w:w w:val="84"/>
          <w:sz w:val="28"/>
        </w:rPr>
        <w:t>10</w:t>
      </w:r>
      <w:r>
        <w:rPr>
          <w:rFonts w:ascii="Microsoft JhengHei" w:eastAsia="Microsoft JhengHei" w:hint="eastAsia"/>
          <w:b/>
          <w:spacing w:val="-142"/>
          <w:w w:val="100"/>
          <w:sz w:val="28"/>
        </w:rPr>
        <w:t>）；</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7）战争、军事冲突、暴乱或武装叛乱；</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95"/>
          <w:sz w:val="28"/>
        </w:rPr>
        <w:t>8）核爆炸、核辐射或核污染；</w:t>
      </w:r>
    </w:p>
    <w:p>
      <w:pPr>
        <w:spacing w:before="136"/>
        <w:ind w:left="669" w:right="0" w:firstLine="0"/>
        <w:jc w:val="left"/>
        <w:rPr>
          <w:rFonts w:ascii="Microsoft JhengHei" w:eastAsia="Microsoft JhengHei" w:hint="eastAsia"/>
          <w:b/>
          <w:sz w:val="28"/>
        </w:rPr>
      </w:pPr>
      <w:r>
        <w:rPr>
          <w:rFonts w:ascii="Microsoft JhengHei" w:eastAsia="Microsoft JhengHei" w:hint="eastAsia"/>
          <w:b/>
          <w:w w:val="84"/>
          <w:sz w:val="28"/>
        </w:rPr>
        <w:t>9</w:t>
      </w:r>
      <w:r>
        <w:rPr>
          <w:rFonts w:ascii="Microsoft JhengHei" w:eastAsia="Microsoft JhengHei" w:hint="eastAsia"/>
          <w:b/>
          <w:w w:val="100"/>
          <w:sz w:val="28"/>
        </w:rPr>
        <w:t>）遗传性疾病，先天性畸形、变形或染色体异常（释义</w:t>
      </w:r>
      <w:r>
        <w:rPr>
          <w:rFonts w:ascii="Microsoft JhengHei" w:eastAsia="Microsoft JhengHei" w:hint="eastAsia"/>
          <w:b/>
          <w:w w:val="84"/>
          <w:sz w:val="28"/>
        </w:rPr>
        <w:t>11</w:t>
      </w:r>
      <w:r>
        <w:rPr>
          <w:rFonts w:ascii="Microsoft JhengHei" w:eastAsia="Microsoft JhengHei" w:hint="eastAsia"/>
          <w:b/>
          <w:spacing w:val="-142"/>
          <w:w w:val="100"/>
          <w:sz w:val="28"/>
        </w:rPr>
        <w:t>）</w:t>
      </w:r>
      <w:r>
        <w:rPr>
          <w:rFonts w:ascii="Microsoft JhengHei" w:eastAsia="Microsoft JhengHei" w:hint="eastAsia"/>
          <w:b/>
          <w:w w:val="100"/>
          <w:sz w:val="28"/>
        </w:rPr>
        <w:t>。</w:t>
      </w:r>
    </w:p>
    <w:p>
      <w:pPr>
        <w:spacing w:line="307" w:lineRule="auto" w:before="136"/>
        <w:ind w:left="117" w:right="246" w:firstLine="552"/>
        <w:jc w:val="both"/>
        <w:rPr>
          <w:rFonts w:ascii="Microsoft JhengHei" w:eastAsia="Microsoft JhengHei" w:hint="eastAsia"/>
          <w:b/>
          <w:sz w:val="28"/>
        </w:rPr>
      </w:pPr>
      <w:r>
        <w:rPr>
          <w:rFonts w:ascii="Microsoft JhengHei" w:eastAsia="Microsoft JhengHei" w:hint="eastAsia"/>
          <w:b/>
          <w:spacing w:val="-5"/>
          <w:sz w:val="28"/>
        </w:rPr>
        <w:t>因上述情形之一导致被保险人发生本合同所约定的疾病、达到本</w:t>
      </w:r>
      <w:r>
        <w:rPr>
          <w:rFonts w:ascii="Microsoft JhengHei" w:eastAsia="Microsoft JhengHei" w:hint="eastAsia"/>
          <w:b/>
          <w:spacing w:val="-13"/>
          <w:sz w:val="28"/>
        </w:rPr>
        <w:t>合同所约定的疾病状态或进行手术的，我们不负保险金给付责任，我</w:t>
      </w:r>
      <w:r>
        <w:rPr>
          <w:rFonts w:ascii="Microsoft JhengHei" w:eastAsia="Microsoft JhengHei" w:hint="eastAsia"/>
          <w:b/>
          <w:spacing w:val="-8"/>
          <w:sz w:val="28"/>
        </w:rPr>
        <w:t>们对该被保险人的保险责任终止。我们将向您返还该被保险人的保险责任终止时相应的未满期净保险费。</w:t>
      </w:r>
    </w:p>
    <w:p>
      <w:pPr>
        <w:pStyle w:val="BodyText"/>
        <w:spacing w:before="5"/>
        <w:rPr>
          <w:rFonts w:ascii="Microsoft JhengHei"/>
          <w:b/>
          <w:sz w:val="27"/>
        </w:rPr>
      </w:pPr>
    </w:p>
    <w:p>
      <w:pPr>
        <w:pStyle w:val="Heading1"/>
        <w:tabs>
          <w:tab w:pos="1322" w:val="left" w:leader="none"/>
        </w:tabs>
        <w:ind w:firstLine="0"/>
      </w:pPr>
      <w:bookmarkStart w:name="_TOC_250012" w:id="11"/>
      <w:bookmarkEnd w:id="11"/>
      <w:r>
        <w:rPr/>
        <w:t>第十一条</w:t>
        <w:tab/>
        <w:t>受益人</w:t>
      </w:r>
    </w:p>
    <w:p>
      <w:pPr>
        <w:pStyle w:val="BodyText"/>
        <w:spacing w:before="193"/>
        <w:ind w:left="597"/>
      </w:pPr>
      <w:r>
        <w:rPr/>
        <w:t>除另有约定外，本合同的重大疾病保险金受益人为被保险人本人。</w:t>
      </w:r>
    </w:p>
    <w:p>
      <w:pPr>
        <w:spacing w:after="0"/>
        <w:sectPr>
          <w:pgSz w:w="11900" w:h="16840"/>
          <w:pgMar w:header="0" w:footer="1007" w:top="1460" w:bottom="1200" w:left="1680" w:right="1540"/>
        </w:sectPr>
      </w:pPr>
    </w:p>
    <w:p>
      <w:pPr>
        <w:pStyle w:val="Heading1"/>
        <w:tabs>
          <w:tab w:pos="1322" w:val="left" w:leader="none"/>
        </w:tabs>
        <w:spacing w:line="339" w:lineRule="exact"/>
        <w:ind w:firstLine="0"/>
      </w:pPr>
      <w:bookmarkStart w:name="_TOC_250011" w:id="12"/>
      <w:bookmarkEnd w:id="12"/>
      <w:r>
        <w:rPr/>
        <w:t>第十二条</w:t>
        <w:tab/>
        <w:t>保险事故的通知与保险金的申请时间</w:t>
      </w:r>
    </w:p>
    <w:p>
      <w:pPr>
        <w:pStyle w:val="BodyText"/>
        <w:spacing w:line="336" w:lineRule="auto" w:before="194"/>
        <w:ind w:left="117" w:right="109" w:firstLine="480"/>
      </w:pPr>
      <w:r>
        <w:rPr>
          <w:spacing w:val="-3"/>
        </w:rPr>
        <w:t>被保险人应于知道保险事故发生之日起 </w:t>
      </w:r>
      <w:r>
        <w:rPr/>
        <w:t>10</w:t>
      </w:r>
      <w:r>
        <w:rPr>
          <w:spacing w:val="-7"/>
        </w:rPr>
        <w:t> 日内通知我们。如因故意或者重</w:t>
      </w:r>
      <w:r>
        <w:rPr>
          <w:spacing w:val="-12"/>
        </w:rPr>
        <w:t>大过失未及时通知，致使保险事故性质、原因、损失程度等难以确定的，我们对</w:t>
      </w:r>
      <w:r>
        <w:rPr>
          <w:spacing w:val="-16"/>
        </w:rPr>
        <w:t>无法确定的部分不承担赔偿或者给付保险金的责任，但我们通过其他途径已经及</w:t>
      </w:r>
      <w:r>
        <w:rPr>
          <w:spacing w:val="-24"/>
        </w:rPr>
        <w:t>时知道或者应当及时知道保险事故发生的除外。同时，因此致使我们增加的勘查、</w:t>
      </w:r>
      <w:r>
        <w:rPr>
          <w:spacing w:val="-23"/>
        </w:rPr>
        <w:t>检验等项费用应从给付的保险金中扣除，但因不可抗力导致延误的除外。被保险人可以委托他人代为通知。</w:t>
      </w:r>
    </w:p>
    <w:p>
      <w:pPr>
        <w:pStyle w:val="BodyText"/>
        <w:spacing w:before="6"/>
        <w:rPr>
          <w:sz w:val="32"/>
        </w:rPr>
      </w:pPr>
    </w:p>
    <w:p>
      <w:pPr>
        <w:pStyle w:val="Heading1"/>
        <w:tabs>
          <w:tab w:pos="1322" w:val="left" w:leader="none"/>
        </w:tabs>
        <w:spacing w:before="1"/>
        <w:ind w:firstLine="0"/>
      </w:pPr>
      <w:bookmarkStart w:name="_TOC_250010" w:id="13"/>
      <w:bookmarkEnd w:id="13"/>
      <w:r>
        <w:rPr/>
        <w:t>第十三条</w:t>
        <w:tab/>
        <w:t>保险金的申请</w:t>
      </w:r>
    </w:p>
    <w:p>
      <w:pPr>
        <w:pStyle w:val="BodyText"/>
        <w:spacing w:line="357" w:lineRule="auto" w:before="160"/>
        <w:ind w:left="117" w:right="229" w:firstLine="480"/>
      </w:pPr>
      <w:r>
        <w:rPr>
          <w:spacing w:val="-5"/>
        </w:rPr>
        <w:t>由被保险人作为申请人填写保险金给付申请书，并凭下列证明资料向我们申请给付重大疾病保险金：</w:t>
      </w:r>
    </w:p>
    <w:p>
      <w:pPr>
        <w:pStyle w:val="BodyText"/>
        <w:spacing w:before="36"/>
        <w:ind w:left="597"/>
      </w:pPr>
      <w:r>
        <w:rPr/>
        <w:t>（1）保险合同或其他保险凭证；</w:t>
      </w:r>
    </w:p>
    <w:p>
      <w:pPr>
        <w:pStyle w:val="BodyText"/>
        <w:spacing w:before="154"/>
        <w:ind w:left="597"/>
      </w:pPr>
      <w:r>
        <w:rPr/>
        <w:t>（2）被保险人的合法身份证明；</w:t>
      </w:r>
    </w:p>
    <w:p>
      <w:pPr>
        <w:pStyle w:val="BodyText"/>
        <w:spacing w:line="357" w:lineRule="auto" w:before="154"/>
        <w:ind w:left="117" w:right="229" w:firstLine="480"/>
        <w:jc w:val="both"/>
      </w:pPr>
      <w:r>
        <w:rPr/>
        <w:t>（3）由我们指定或认可的医疗机构出具的附有病历、病理显微镜检查、必需的血液检验及其他科学方法检验报告的被保险人疾病诊断证明,关于重大疾病的释义中所提及的索赔时需要提供的有关证明；</w:t>
      </w:r>
    </w:p>
    <w:p>
      <w:pPr>
        <w:pStyle w:val="BodyText"/>
        <w:spacing w:before="36"/>
        <w:ind w:left="597"/>
      </w:pPr>
      <w:r>
        <w:rPr/>
        <w:t>（4）若委托他人代为申请给付重大疾病保险金，则应提供授权委托书、受</w:t>
      </w:r>
    </w:p>
    <w:p>
      <w:pPr>
        <w:pStyle w:val="BodyText"/>
        <w:ind w:left="117"/>
      </w:pPr>
      <w:r>
        <w:rPr/>
        <w:t>托人身份证明等相关证明文件；</w:t>
      </w:r>
    </w:p>
    <w:p>
      <w:pPr>
        <w:pStyle w:val="BodyText"/>
        <w:ind w:left="597"/>
      </w:pPr>
      <w:r>
        <w:rPr/>
        <w:t>（5）其它必要的合理的证明文件。</w:t>
      </w:r>
    </w:p>
    <w:p>
      <w:pPr>
        <w:pStyle w:val="BodyText"/>
        <w:spacing w:before="0"/>
      </w:pPr>
    </w:p>
    <w:p>
      <w:pPr>
        <w:pStyle w:val="BodyText"/>
        <w:spacing w:before="6"/>
        <w:rPr>
          <w:sz w:val="23"/>
        </w:rPr>
      </w:pPr>
    </w:p>
    <w:p>
      <w:pPr>
        <w:pStyle w:val="BodyText"/>
        <w:spacing w:before="0"/>
        <w:ind w:left="597"/>
      </w:pPr>
      <w:r>
        <w:rPr/>
        <w:t>以上证明和资料不完整的，我们将及时一次性通知申请人补充提供有关证明</w:t>
      </w:r>
    </w:p>
    <w:p>
      <w:pPr>
        <w:pStyle w:val="BodyText"/>
        <w:ind w:left="117"/>
      </w:pPr>
      <w:r>
        <w:rPr/>
        <w:t>和资料。</w:t>
      </w:r>
    </w:p>
    <w:p>
      <w:pPr>
        <w:pStyle w:val="BodyText"/>
        <w:spacing w:before="0"/>
      </w:pPr>
    </w:p>
    <w:p>
      <w:pPr>
        <w:pStyle w:val="BodyText"/>
        <w:spacing w:before="7"/>
        <w:rPr>
          <w:sz w:val="20"/>
        </w:rPr>
      </w:pPr>
    </w:p>
    <w:p>
      <w:pPr>
        <w:pStyle w:val="Heading1"/>
        <w:spacing w:before="1"/>
        <w:ind w:firstLine="0"/>
      </w:pPr>
      <w:bookmarkStart w:name="_TOC_250009" w:id="14"/>
      <w:bookmarkEnd w:id="14"/>
      <w:r>
        <w:rPr/>
        <w:t>第十四条  诉讼时效</w:t>
      </w:r>
    </w:p>
    <w:p>
      <w:pPr>
        <w:pStyle w:val="BodyText"/>
        <w:spacing w:before="0"/>
        <w:rPr>
          <w:rFonts w:ascii="Microsoft JhengHei"/>
          <w:b/>
          <w:sz w:val="14"/>
        </w:rPr>
      </w:pPr>
    </w:p>
    <w:p>
      <w:pPr>
        <w:pStyle w:val="BodyText"/>
        <w:spacing w:line="381" w:lineRule="auto" w:before="0"/>
        <w:ind w:left="117" w:right="229" w:firstLine="480"/>
      </w:pPr>
      <w:r>
        <w:rPr>
          <w:spacing w:val="-4"/>
        </w:rPr>
        <w:t>向我们请求给付保险金的诉讼时效期间为 </w:t>
      </w:r>
      <w:r>
        <w:rPr/>
        <w:t>2</w:t>
      </w:r>
      <w:r>
        <w:rPr>
          <w:spacing w:val="-14"/>
        </w:rPr>
        <w:t> 年，自其知道或应当知道保险事故发生之日起计算。</w:t>
      </w:r>
    </w:p>
    <w:p>
      <w:pPr>
        <w:pStyle w:val="BodyText"/>
        <w:spacing w:before="6"/>
        <w:rPr>
          <w:sz w:val="32"/>
        </w:rPr>
      </w:pPr>
    </w:p>
    <w:p>
      <w:pPr>
        <w:pStyle w:val="Heading1"/>
        <w:tabs>
          <w:tab w:pos="1322" w:val="left" w:leader="none"/>
        </w:tabs>
        <w:ind w:firstLine="0"/>
      </w:pPr>
      <w:bookmarkStart w:name="_TOC_250008" w:id="15"/>
      <w:bookmarkEnd w:id="15"/>
      <w:r>
        <w:rPr/>
        <w:t>第十五条</w:t>
        <w:tab/>
        <w:t>保险金给付</w:t>
      </w:r>
    </w:p>
    <w:p>
      <w:pPr>
        <w:pStyle w:val="BodyText"/>
        <w:spacing w:before="160"/>
        <w:ind w:left="597"/>
      </w:pPr>
      <w:r>
        <w:rPr/>
        <w:t>我们在收到保险金给付申请书及本合同约定的证明和资料后，将及时作出核</w:t>
      </w:r>
    </w:p>
    <w:p>
      <w:pPr>
        <w:spacing w:after="0"/>
        <w:sectPr>
          <w:pgSz w:w="11900" w:h="16840"/>
          <w:pgMar w:header="0" w:footer="1007" w:top="1500" w:bottom="1200" w:left="1680" w:right="1560"/>
        </w:sectPr>
      </w:pPr>
    </w:p>
    <w:p>
      <w:pPr>
        <w:pStyle w:val="BodyText"/>
        <w:spacing w:line="313" w:lineRule="exact" w:before="0"/>
        <w:ind w:left="117"/>
      </w:pPr>
      <w:r>
        <w:rPr/>
        <w:t>定；情形复杂的，应当在 30 日内作出核定。我们应当将核定结果通知申请人。</w:t>
      </w:r>
    </w:p>
    <w:p>
      <w:pPr>
        <w:pStyle w:val="BodyText"/>
        <w:spacing w:before="154"/>
        <w:ind w:left="597"/>
      </w:pPr>
      <w:r>
        <w:rPr>
          <w:spacing w:val="-11"/>
        </w:rPr>
        <w:t>对确定属于保险责任的，在与申请人达成有关给付保险金的协议后 </w:t>
      </w:r>
      <w:r>
        <w:rPr/>
        <w:t>10</w:t>
      </w:r>
      <w:r>
        <w:rPr>
          <w:spacing w:val="-15"/>
        </w:rPr>
        <w:t> 日内，</w:t>
      </w:r>
    </w:p>
    <w:p>
      <w:pPr>
        <w:pStyle w:val="BodyText"/>
        <w:spacing w:before="154"/>
        <w:ind w:left="117"/>
      </w:pPr>
      <w:r>
        <w:rPr/>
        <w:t>履行给付保险金义务。</w:t>
      </w:r>
    </w:p>
    <w:p>
      <w:pPr>
        <w:pStyle w:val="BodyText"/>
        <w:spacing w:line="357" w:lineRule="auto" w:before="154"/>
        <w:ind w:left="117" w:right="229" w:firstLine="480"/>
      </w:pPr>
      <w:r>
        <w:rPr>
          <w:spacing w:val="-12"/>
        </w:rPr>
        <w:t>对不属于保险责任的，我们自作出核定之日起 </w:t>
      </w:r>
      <w:r>
        <w:rPr/>
        <w:t>3</w:t>
      </w:r>
      <w:r>
        <w:rPr>
          <w:spacing w:val="-8"/>
        </w:rPr>
        <w:t> 日内向申请人发出拒绝给付保险金通知书，并说明理由。</w:t>
      </w:r>
    </w:p>
    <w:p>
      <w:pPr>
        <w:pStyle w:val="BodyText"/>
        <w:spacing w:line="357" w:lineRule="auto" w:before="36"/>
        <w:ind w:left="117" w:right="226" w:firstLine="480"/>
        <w:jc w:val="both"/>
      </w:pPr>
      <w:r>
        <w:rPr>
          <w:spacing w:val="-2"/>
        </w:rPr>
        <w:t>我们在收到保险金给付申请书及有关证明和资料之日起 </w:t>
      </w:r>
      <w:r>
        <w:rPr/>
        <w:t>60</w:t>
      </w:r>
      <w:r>
        <w:rPr>
          <w:spacing w:val="-8"/>
        </w:rPr>
        <w:t> 日内，对给付保</w:t>
      </w:r>
      <w:r>
        <w:rPr>
          <w:spacing w:val="-13"/>
        </w:rPr>
        <w:t>险金的数额不能确定的，根据已有证明和资料可以确定的数额先予支付；我们最终确定给付保险金的数额后，将支付相应的差额。</w:t>
      </w:r>
    </w:p>
    <w:p>
      <w:pPr>
        <w:pStyle w:val="BodyText"/>
        <w:spacing w:before="7"/>
        <w:rPr>
          <w:sz w:val="35"/>
        </w:rPr>
      </w:pPr>
    </w:p>
    <w:p>
      <w:pPr>
        <w:pStyle w:val="Heading1"/>
        <w:spacing w:before="1"/>
        <w:ind w:firstLine="0"/>
      </w:pPr>
      <w:bookmarkStart w:name="_TOC_250007" w:id="16"/>
      <w:bookmarkEnd w:id="16"/>
      <w:r>
        <w:rPr/>
        <w:t>第十六条  明确说明与如实告知</w:t>
      </w:r>
    </w:p>
    <w:p>
      <w:pPr>
        <w:pStyle w:val="BodyText"/>
        <w:spacing w:before="160"/>
        <w:ind w:left="597"/>
      </w:pPr>
      <w:r>
        <w:rPr/>
        <w:t>订立本合同时，我们应向投保人说明本合同的内容。</w:t>
      </w:r>
    </w:p>
    <w:p>
      <w:pPr>
        <w:pStyle w:val="BodyText"/>
        <w:spacing w:line="357" w:lineRule="auto"/>
        <w:ind w:left="117" w:right="106" w:firstLine="480"/>
        <w:jc w:val="both"/>
      </w:pPr>
      <w:r>
        <w:rPr>
          <w:spacing w:val="-4"/>
        </w:rPr>
        <w:t>对合同中免除我们责任的条款我们在订立本合同时应当在投保单、保险单或</w:t>
      </w:r>
      <w:r>
        <w:rPr>
          <w:spacing w:val="-8"/>
        </w:rPr>
        <w:t>者其他保险凭证上作出足以引起投保人注意的提示，并对该条款的内容以书面或</w:t>
      </w:r>
      <w:r>
        <w:rPr>
          <w:spacing w:val="-19"/>
        </w:rPr>
        <w:t>口头形式向投保人作出明确说明；未作提示或者明确说明的，该条款不产生效力。</w:t>
      </w:r>
    </w:p>
    <w:p>
      <w:pPr>
        <w:pStyle w:val="BodyText"/>
        <w:spacing w:before="35"/>
        <w:ind w:left="597"/>
      </w:pPr>
      <w:r>
        <w:rPr/>
        <w:t>我们就被保险人的有关情况提出书面询问，投保人应当如实告知。</w:t>
      </w:r>
    </w:p>
    <w:p>
      <w:pPr>
        <w:pStyle w:val="BodyText"/>
        <w:spacing w:line="357" w:lineRule="auto"/>
        <w:ind w:left="117" w:right="219" w:firstLine="480"/>
        <w:jc w:val="both"/>
      </w:pPr>
      <w:r>
        <w:rPr>
          <w:spacing w:val="-4"/>
        </w:rPr>
        <w:t>如果投保人故意或者因重大过失未履行前款规定的如实告知义务，足以影响</w:t>
      </w:r>
      <w:r>
        <w:rPr>
          <w:spacing w:val="-9"/>
        </w:rPr>
        <w:t>我们决定是否承保或者提高保险费率的，我们有权解除本合同或取消该被保险人的被保险人资格(即部分解除本合同),我们自取消该被保险人的被保险人资格之</w:t>
      </w:r>
      <w:r>
        <w:rPr/>
        <w:t>日起,我们对该被保险人的保险责任终止,我们将向您返还该被保险人保险责任终止时相应的未满期净保险费。</w:t>
      </w:r>
    </w:p>
    <w:p>
      <w:pPr>
        <w:pStyle w:val="BodyText"/>
        <w:spacing w:before="36"/>
        <w:ind w:left="597"/>
      </w:pPr>
      <w:r>
        <w:rPr/>
        <w:t>投保人故意不履行如实告知义务的，我们对于本合同解除前或被保险人资格</w:t>
      </w:r>
    </w:p>
    <w:p>
      <w:pPr>
        <w:pStyle w:val="BodyText"/>
        <w:spacing w:before="154"/>
        <w:ind w:left="117"/>
      </w:pPr>
      <w:r>
        <w:rPr/>
        <w:t>被取消前发生的保险事故，不承担给付保险金的责任，并不退还保险费。</w:t>
      </w:r>
    </w:p>
    <w:p>
      <w:pPr>
        <w:pStyle w:val="BodyText"/>
        <w:spacing w:line="357" w:lineRule="auto" w:before="154"/>
        <w:ind w:left="117" w:right="140" w:firstLine="480"/>
      </w:pPr>
      <w:r>
        <w:rPr/>
        <w:t>投保人因重大过失未履行如实告知义务，对保险事故的发生有严重影响的， 我们对于本合同解除前或被保险人资格被取消前发生的保险事故，不承担给付保险金的责任，但应当退还相应的保险费。</w:t>
      </w:r>
    </w:p>
    <w:p>
      <w:pPr>
        <w:pStyle w:val="BodyText"/>
        <w:spacing w:line="357" w:lineRule="auto" w:before="36"/>
        <w:ind w:left="117" w:right="226" w:firstLine="480"/>
        <w:jc w:val="both"/>
      </w:pPr>
      <w:r>
        <w:rPr>
          <w:spacing w:val="-4"/>
        </w:rPr>
        <w:t>我们在本合同订立时已经知道投保人未如实告知的情况的，我们不得解除合</w:t>
      </w:r>
      <w:r>
        <w:rPr>
          <w:spacing w:val="-9"/>
        </w:rPr>
        <w:t>同或取消该被保险人的被保险人资格；发生保险事故的，我们承担给付保险金的责任。</w:t>
      </w:r>
    </w:p>
    <w:p>
      <w:pPr>
        <w:spacing w:after="0" w:line="357" w:lineRule="auto"/>
        <w:jc w:val="both"/>
        <w:sectPr>
          <w:pgSz w:w="11900" w:h="16840"/>
          <w:pgMar w:header="0" w:footer="1007" w:top="1460" w:bottom="1200" w:left="1680" w:right="1560"/>
        </w:sectPr>
      </w:pPr>
    </w:p>
    <w:p>
      <w:pPr>
        <w:pStyle w:val="Heading1"/>
        <w:spacing w:line="339" w:lineRule="exact"/>
        <w:ind w:firstLine="0"/>
      </w:pPr>
      <w:bookmarkStart w:name="_TOC_250006" w:id="17"/>
      <w:bookmarkEnd w:id="17"/>
      <w:r>
        <w:rPr/>
        <w:t>第十七条  年龄性别错误处理</w:t>
      </w:r>
    </w:p>
    <w:p>
      <w:pPr>
        <w:pStyle w:val="BodyText"/>
        <w:spacing w:before="160"/>
        <w:ind w:left="597"/>
      </w:pPr>
      <w:r>
        <w:rPr/>
        <w:t>您在申请投保时，应将与有效身份证件相符的被保险人的出生日期和性别在</w:t>
      </w:r>
    </w:p>
    <w:p>
      <w:pPr>
        <w:pStyle w:val="BodyText"/>
        <w:ind w:left="117"/>
      </w:pPr>
      <w:r>
        <w:rPr/>
        <w:t>投保单上填明，若发生错误按下列规定办理：</w:t>
      </w:r>
    </w:p>
    <w:p>
      <w:pPr>
        <w:pStyle w:val="BodyText"/>
        <w:spacing w:line="357" w:lineRule="auto"/>
        <w:ind w:left="117" w:right="140" w:firstLine="480"/>
      </w:pPr>
      <w:r>
        <w:rPr/>
        <w:t>(1)如果被保险人的真实投保年龄不符合本合同约定的投保年龄范围，我们有权解除本合同或取消该被保险人的被保险人资格(即部分解除本合同)。解除本合同的，我们向您退还本合同解除时的未满期净保险费；取消被保险人资格的， 我们对该被保险人的保险责任自该被保险人的被保险人资格被取消之日起终止， 我们将向您返还该被保险人保险责任终止时相应的未满期净保险费。</w:t>
      </w:r>
    </w:p>
    <w:p>
      <w:pPr>
        <w:pStyle w:val="BodyText"/>
        <w:spacing w:line="357" w:lineRule="auto" w:before="36"/>
        <w:ind w:left="117" w:right="226" w:firstLine="480"/>
        <w:jc w:val="both"/>
      </w:pPr>
      <w:r>
        <w:rPr/>
        <w:t>(2)您申报的被保险人年龄或性别不真实，致使您实交保险费少于应交保险</w:t>
      </w:r>
      <w:r>
        <w:rPr>
          <w:spacing w:val="-9"/>
        </w:rPr>
        <w:t>费的，我们在审核更正后，有权要求您依照法律及我们的投保规则规定，补交保</w:t>
      </w:r>
      <w:r>
        <w:rPr>
          <w:spacing w:val="-10"/>
        </w:rPr>
        <w:t>险费、参加体检及配合其他业务流程要求；若补交保险费前已发生保险事故，我们按照实交保险费与应交保险费的比例给付保险金。</w:t>
      </w:r>
    </w:p>
    <w:p>
      <w:pPr>
        <w:pStyle w:val="BodyText"/>
        <w:spacing w:line="357" w:lineRule="auto" w:before="36"/>
        <w:ind w:left="117" w:right="231" w:firstLine="480"/>
      </w:pPr>
      <w:r>
        <w:rPr/>
        <w:t>(3)您申报的被保险人年龄或性别不真实，致使您实交保险费多于应交保险费的，我们将在审核更正后，将多收的保险费无息退还给您。</w:t>
      </w:r>
    </w:p>
    <w:p>
      <w:pPr>
        <w:pStyle w:val="BodyText"/>
        <w:spacing w:before="8"/>
        <w:rPr>
          <w:sz w:val="35"/>
        </w:rPr>
      </w:pPr>
    </w:p>
    <w:p>
      <w:pPr>
        <w:pStyle w:val="Heading1"/>
        <w:ind w:firstLine="0"/>
      </w:pPr>
      <w:bookmarkStart w:name="_TOC_250005" w:id="18"/>
      <w:bookmarkEnd w:id="18"/>
      <w:r>
        <w:rPr/>
        <w:t>第十八条  我们行使本合同解除权的限制</w:t>
      </w:r>
    </w:p>
    <w:p>
      <w:pPr>
        <w:pStyle w:val="BodyText"/>
        <w:spacing w:line="357" w:lineRule="auto" w:before="160"/>
        <w:ind w:left="117" w:right="106" w:firstLine="480"/>
      </w:pPr>
      <w:r>
        <w:rPr>
          <w:spacing w:val="-10"/>
        </w:rPr>
        <w:t>我们行使合同解除权，自知道有解除事由之日起，超过 </w:t>
      </w:r>
      <w:r>
        <w:rPr/>
        <w:t>30</w:t>
      </w:r>
      <w:r>
        <w:rPr>
          <w:spacing w:val="-8"/>
        </w:rPr>
        <w:t> 日不行使而消灭。</w:t>
      </w:r>
      <w:r>
        <w:rPr>
          <w:spacing w:val="-13"/>
        </w:rPr>
        <w:t>自本合同生效之日起超过 </w:t>
      </w:r>
      <w:r>
        <w:rPr/>
        <w:t>2</w:t>
      </w:r>
      <w:r>
        <w:rPr>
          <w:spacing w:val="-13"/>
        </w:rPr>
        <w:t> 年的，我们不得解除合同，发生保险事故的，我们应当承担给付保险金的责任。</w:t>
      </w:r>
    </w:p>
    <w:p>
      <w:pPr>
        <w:pStyle w:val="BodyText"/>
        <w:spacing w:before="8"/>
        <w:rPr>
          <w:sz w:val="35"/>
        </w:rPr>
      </w:pPr>
    </w:p>
    <w:p>
      <w:pPr>
        <w:pStyle w:val="Heading1"/>
        <w:ind w:firstLine="0"/>
      </w:pPr>
      <w:bookmarkStart w:name="_TOC_250004" w:id="19"/>
      <w:bookmarkEnd w:id="19"/>
      <w:r>
        <w:rPr/>
        <w:t>第十九条  住所或通讯地址变更</w:t>
      </w:r>
    </w:p>
    <w:p>
      <w:pPr>
        <w:pStyle w:val="BodyText"/>
        <w:spacing w:line="357" w:lineRule="auto" w:before="162"/>
        <w:ind w:left="117" w:right="224" w:firstLine="480"/>
        <w:jc w:val="both"/>
      </w:pPr>
      <w:r>
        <w:rPr>
          <w:spacing w:val="-6"/>
        </w:rPr>
        <w:t>我们向您发出的一切通知、资料可通过特快专递或邮寄交送。一切通知和资</w:t>
      </w:r>
      <w:r>
        <w:rPr/>
        <w:t>料均会发往投保单上所记载的您的地址，直到您向我们发出通知更改该地址为止。</w:t>
      </w:r>
    </w:p>
    <w:p>
      <w:pPr>
        <w:pStyle w:val="BodyText"/>
        <w:spacing w:line="357" w:lineRule="auto" w:before="36"/>
        <w:ind w:left="117" w:right="140" w:firstLine="480"/>
      </w:pPr>
      <w:r>
        <w:rPr/>
        <w:t>您的住所或通讯地址变更时，应及时通知我们。未及时通知的，我们向投保单记载地址或您最后通知我们更改的住所或通讯地址所发送的一切通知和资料， 均视为已送达您。如果因您未能及时通知，而使我们无法提供给您相应的服务， 由此导致的后果和损失,由您本人承担。</w:t>
      </w:r>
    </w:p>
    <w:p>
      <w:pPr>
        <w:spacing w:after="0" w:line="357" w:lineRule="auto"/>
        <w:sectPr>
          <w:pgSz w:w="11900" w:h="16840"/>
          <w:pgMar w:header="0" w:footer="1007" w:top="1500" w:bottom="1200" w:left="1680" w:right="1560"/>
        </w:sectPr>
      </w:pPr>
    </w:p>
    <w:p>
      <w:pPr>
        <w:pStyle w:val="Heading1"/>
        <w:spacing w:line="339" w:lineRule="exact"/>
        <w:ind w:firstLine="0"/>
      </w:pPr>
      <w:bookmarkStart w:name="_TOC_250003" w:id="20"/>
      <w:bookmarkEnd w:id="20"/>
      <w:r>
        <w:rPr/>
        <w:t>第二十条  被保险人变动</w:t>
      </w:r>
    </w:p>
    <w:p>
      <w:pPr>
        <w:pStyle w:val="BodyText"/>
        <w:spacing w:line="357" w:lineRule="auto" w:before="160"/>
        <w:ind w:left="117" w:right="106" w:firstLine="480"/>
        <w:jc w:val="both"/>
      </w:pPr>
      <w:r>
        <w:rPr>
          <w:spacing w:val="-5"/>
        </w:rPr>
        <w:t>您因在职人员变动需要增加被保险人的，应以书面形式通知我们并提供相关</w:t>
      </w:r>
      <w:r>
        <w:rPr>
          <w:spacing w:val="-11"/>
        </w:rPr>
        <w:t>证明及资料。我们在审核同意后按新增被保险人的年交保费乘以下表中对应收费</w:t>
      </w:r>
      <w:r>
        <w:rPr>
          <w:spacing w:val="-13"/>
        </w:rPr>
        <w:t>比例收取保险费，我们对新增加的被保险人依本合同的约定承担保险责任。我们</w:t>
      </w:r>
      <w:r>
        <w:rPr>
          <w:spacing w:val="-16"/>
        </w:rPr>
        <w:t>对该新增加的被保险人承担保险责任的起始时间在本合同中载明，其保险责任等待期自前述保险责任起始之日开始计算。</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4"/>
        <w:rPr>
          <w:sz w:val="11"/>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ind w:left="827"/>
              <w:rPr>
                <w:sz w:val="21"/>
              </w:rPr>
            </w:pPr>
            <w:r>
              <w:rPr>
                <w:sz w:val="21"/>
              </w:rPr>
              <w:t>保险期间</w:t>
            </w:r>
          </w:p>
        </w:tc>
        <w:tc>
          <w:tcPr>
            <w:tcW w:w="3466" w:type="dxa"/>
          </w:tcPr>
          <w:p>
            <w:pPr>
              <w:pStyle w:val="TableParagraph"/>
              <w:ind w:left="1209" w:right="1366"/>
              <w:jc w:val="center"/>
              <w:rPr>
                <w:sz w:val="21"/>
              </w:rPr>
            </w:pPr>
            <w:r>
              <w:rPr>
                <w:sz w:val="21"/>
              </w:rPr>
              <w:t>收费比例</w:t>
            </w:r>
          </w:p>
        </w:tc>
      </w:tr>
      <w:tr>
        <w:trPr>
          <w:trHeight w:val="302" w:hRule="atLeast"/>
        </w:trPr>
        <w:tc>
          <w:tcPr>
            <w:tcW w:w="2669" w:type="dxa"/>
          </w:tcPr>
          <w:p>
            <w:pPr>
              <w:pStyle w:val="TableParagraph"/>
              <w:ind w:left="775"/>
              <w:rPr>
                <w:sz w:val="21"/>
              </w:rPr>
            </w:pPr>
            <w:r>
              <w:rPr>
                <w:sz w:val="21"/>
              </w:rPr>
              <w:t>不足 15 天</w:t>
            </w:r>
          </w:p>
        </w:tc>
        <w:tc>
          <w:tcPr>
            <w:tcW w:w="3466" w:type="dxa"/>
          </w:tcPr>
          <w:p>
            <w:pPr>
              <w:pStyle w:val="TableParagraph"/>
              <w:ind w:left="282"/>
              <w:rPr>
                <w:sz w:val="21"/>
              </w:rPr>
            </w:pPr>
            <w:r>
              <w:rPr>
                <w:sz w:val="21"/>
              </w:rPr>
              <w:t>2.5÷365×保险期间经过天数</w:t>
            </w:r>
          </w:p>
        </w:tc>
      </w:tr>
      <w:tr>
        <w:trPr>
          <w:trHeight w:val="302" w:hRule="atLeast"/>
        </w:trPr>
        <w:tc>
          <w:tcPr>
            <w:tcW w:w="2669" w:type="dxa"/>
          </w:tcPr>
          <w:p>
            <w:pPr>
              <w:pStyle w:val="TableParagraph"/>
              <w:ind w:left="249"/>
              <w:rPr>
                <w:sz w:val="21"/>
              </w:rPr>
            </w:pPr>
            <w:r>
              <w:rPr>
                <w:sz w:val="21"/>
              </w:rPr>
              <w:t>足 15 天但少于 1 个月</w:t>
            </w:r>
          </w:p>
        </w:tc>
        <w:tc>
          <w:tcPr>
            <w:tcW w:w="3466" w:type="dxa"/>
          </w:tcPr>
          <w:p>
            <w:pPr>
              <w:pStyle w:val="TableParagraph"/>
              <w:spacing w:line="270" w:lineRule="exact"/>
              <w:ind w:right="1366"/>
              <w:jc w:val="center"/>
              <w:rPr>
                <w:sz w:val="21"/>
              </w:rPr>
            </w:pPr>
            <w:r>
              <w:rPr>
                <w:w w:val="100"/>
                <w:sz w:val="21"/>
              </w:rPr>
              <w:t>2</w:t>
            </w:r>
            <w:r>
              <w:rPr>
                <w:spacing w:val="5"/>
                <w:w w:val="100"/>
                <w:sz w:val="21"/>
              </w:rPr>
              <w:t>0</w:t>
            </w:r>
            <w:r>
              <w:rPr>
                <w:spacing w:val="5"/>
                <w:w w:val="100"/>
                <w:sz w:val="21"/>
              </w:rPr>
              <w:drawing>
                <wp:inline distT="0" distB="0" distL="0" distR="0">
                  <wp:extent cx="59721" cy="103727"/>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1 个月但少于 2 个月</w:t>
            </w:r>
          </w:p>
        </w:tc>
        <w:tc>
          <w:tcPr>
            <w:tcW w:w="3466" w:type="dxa"/>
          </w:tcPr>
          <w:p>
            <w:pPr>
              <w:pStyle w:val="TableParagraph"/>
              <w:spacing w:line="270" w:lineRule="exact"/>
              <w:ind w:right="1366"/>
              <w:jc w:val="center"/>
              <w:rPr>
                <w:sz w:val="21"/>
              </w:rPr>
            </w:pPr>
            <w:r>
              <w:rPr>
                <w:w w:val="100"/>
                <w:sz w:val="21"/>
              </w:rPr>
              <w:t>3</w:t>
            </w:r>
            <w:r>
              <w:rPr>
                <w:spacing w:val="5"/>
                <w:w w:val="100"/>
                <w:sz w:val="21"/>
              </w:rPr>
              <w:t>0</w:t>
            </w:r>
            <w:r>
              <w:rPr>
                <w:spacing w:val="5"/>
                <w:w w:val="100"/>
                <w:sz w:val="21"/>
              </w:rPr>
              <w:drawing>
                <wp:inline distT="0" distB="0" distL="0" distR="0">
                  <wp:extent cx="59721" cy="103727"/>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2 个月但少于 3 个月</w:t>
            </w:r>
          </w:p>
        </w:tc>
        <w:tc>
          <w:tcPr>
            <w:tcW w:w="3466" w:type="dxa"/>
          </w:tcPr>
          <w:p>
            <w:pPr>
              <w:pStyle w:val="TableParagraph"/>
              <w:spacing w:line="270" w:lineRule="exact"/>
              <w:ind w:right="1366"/>
              <w:jc w:val="center"/>
              <w:rPr>
                <w:sz w:val="21"/>
              </w:rPr>
            </w:pPr>
            <w:r>
              <w:rPr>
                <w:w w:val="100"/>
                <w:sz w:val="21"/>
              </w:rPr>
              <w:t>4</w:t>
            </w:r>
            <w:r>
              <w:rPr>
                <w:spacing w:val="5"/>
                <w:w w:val="100"/>
                <w:sz w:val="21"/>
              </w:rPr>
              <w:t>0</w:t>
            </w:r>
            <w:r>
              <w:rPr>
                <w:spacing w:val="5"/>
                <w:w w:val="100"/>
                <w:sz w:val="21"/>
              </w:rPr>
              <w:drawing>
                <wp:inline distT="0" distB="0" distL="0" distR="0">
                  <wp:extent cx="59721" cy="103727"/>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3 个月但少于 4 个月</w:t>
            </w:r>
          </w:p>
        </w:tc>
        <w:tc>
          <w:tcPr>
            <w:tcW w:w="3466" w:type="dxa"/>
          </w:tcPr>
          <w:p>
            <w:pPr>
              <w:pStyle w:val="TableParagraph"/>
              <w:spacing w:line="270" w:lineRule="exact"/>
              <w:ind w:right="1366"/>
              <w:jc w:val="center"/>
              <w:rPr>
                <w:sz w:val="21"/>
              </w:rPr>
            </w:pPr>
            <w:r>
              <w:rPr>
                <w:w w:val="100"/>
                <w:sz w:val="21"/>
              </w:rPr>
              <w:t>5</w:t>
            </w:r>
            <w:r>
              <w:rPr>
                <w:spacing w:val="5"/>
                <w:w w:val="100"/>
                <w:sz w:val="21"/>
              </w:rPr>
              <w:t>0</w:t>
            </w:r>
            <w:r>
              <w:rPr>
                <w:spacing w:val="5"/>
                <w:w w:val="100"/>
                <w:sz w:val="21"/>
              </w:rPr>
              <w:drawing>
                <wp:inline distT="0" distB="0" distL="0" distR="0">
                  <wp:extent cx="59721" cy="103727"/>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4 个月但少于 5 个月</w:t>
            </w:r>
          </w:p>
        </w:tc>
        <w:tc>
          <w:tcPr>
            <w:tcW w:w="3466" w:type="dxa"/>
          </w:tcPr>
          <w:p>
            <w:pPr>
              <w:pStyle w:val="TableParagraph"/>
              <w:spacing w:line="270" w:lineRule="exact"/>
              <w:ind w:right="1366"/>
              <w:jc w:val="center"/>
              <w:rPr>
                <w:sz w:val="21"/>
              </w:rPr>
            </w:pPr>
            <w:r>
              <w:rPr>
                <w:w w:val="100"/>
                <w:sz w:val="21"/>
              </w:rPr>
              <w:t>6</w:t>
            </w:r>
            <w:r>
              <w:rPr>
                <w:spacing w:val="5"/>
                <w:w w:val="100"/>
                <w:sz w:val="21"/>
              </w:rPr>
              <w:t>0</w:t>
            </w:r>
            <w:r>
              <w:rPr>
                <w:spacing w:val="5"/>
                <w:w w:val="100"/>
                <w:sz w:val="21"/>
              </w:rPr>
              <w:drawing>
                <wp:inline distT="0" distB="0" distL="0" distR="0">
                  <wp:extent cx="59721" cy="103727"/>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5 个月但少于 6 个月</w:t>
            </w:r>
          </w:p>
        </w:tc>
        <w:tc>
          <w:tcPr>
            <w:tcW w:w="3466" w:type="dxa"/>
          </w:tcPr>
          <w:p>
            <w:pPr>
              <w:pStyle w:val="TableParagraph"/>
              <w:spacing w:line="270" w:lineRule="exact"/>
              <w:ind w:right="1366"/>
              <w:jc w:val="center"/>
              <w:rPr>
                <w:sz w:val="21"/>
              </w:rPr>
            </w:pPr>
            <w:r>
              <w:rPr>
                <w:w w:val="100"/>
                <w:sz w:val="21"/>
              </w:rPr>
              <w:t>7</w:t>
            </w:r>
            <w:r>
              <w:rPr>
                <w:spacing w:val="5"/>
                <w:w w:val="100"/>
                <w:sz w:val="21"/>
              </w:rPr>
              <w:t>0</w:t>
            </w:r>
            <w:r>
              <w:rPr>
                <w:spacing w:val="5"/>
                <w:w w:val="100"/>
                <w:sz w:val="21"/>
              </w:rPr>
              <w:drawing>
                <wp:inline distT="0" distB="0" distL="0" distR="0">
                  <wp:extent cx="59721" cy="103727"/>
                  <wp:effectExtent l="0" t="0" r="0" b="0"/>
                  <wp:docPr id="17" name="image3.png" descr=""/>
                  <wp:cNvGraphicFramePr>
                    <a:graphicFrameLocks noChangeAspect="1"/>
                  </wp:cNvGraphicFramePr>
                  <a:graphic>
                    <a:graphicData uri="http://schemas.openxmlformats.org/drawingml/2006/picture">
                      <pic:pic>
                        <pic:nvPicPr>
                          <pic:cNvPr id="1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6 个月但少于 7 个月</w:t>
            </w:r>
          </w:p>
        </w:tc>
        <w:tc>
          <w:tcPr>
            <w:tcW w:w="3466" w:type="dxa"/>
          </w:tcPr>
          <w:p>
            <w:pPr>
              <w:pStyle w:val="TableParagraph"/>
              <w:spacing w:line="270" w:lineRule="exact"/>
              <w:ind w:right="1366"/>
              <w:jc w:val="center"/>
              <w:rPr>
                <w:sz w:val="21"/>
              </w:rPr>
            </w:pPr>
            <w:r>
              <w:rPr>
                <w:w w:val="100"/>
                <w:sz w:val="21"/>
              </w:rPr>
              <w:t>7</w:t>
            </w:r>
            <w:r>
              <w:rPr>
                <w:spacing w:val="5"/>
                <w:w w:val="100"/>
                <w:sz w:val="21"/>
              </w:rPr>
              <w:t>5</w:t>
            </w:r>
            <w:r>
              <w:rPr>
                <w:spacing w:val="5"/>
                <w:w w:val="100"/>
                <w:sz w:val="21"/>
              </w:rPr>
              <w:drawing>
                <wp:inline distT="0" distB="0" distL="0" distR="0">
                  <wp:extent cx="59721" cy="103727"/>
                  <wp:effectExtent l="0" t="0" r="0" b="0"/>
                  <wp:docPr id="19" name="image3.png" descr=""/>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196"/>
              <w:rPr>
                <w:sz w:val="21"/>
              </w:rPr>
            </w:pPr>
            <w:r>
              <w:rPr>
                <w:sz w:val="21"/>
              </w:rPr>
              <w:t>足 7 个月但少于 8 个月</w:t>
            </w:r>
          </w:p>
        </w:tc>
        <w:tc>
          <w:tcPr>
            <w:tcW w:w="3466" w:type="dxa"/>
          </w:tcPr>
          <w:p>
            <w:pPr>
              <w:pStyle w:val="TableParagraph"/>
              <w:spacing w:line="270" w:lineRule="exact"/>
              <w:ind w:right="1366"/>
              <w:jc w:val="center"/>
              <w:rPr>
                <w:sz w:val="21"/>
              </w:rPr>
            </w:pPr>
            <w:r>
              <w:rPr>
                <w:w w:val="100"/>
                <w:sz w:val="21"/>
              </w:rPr>
              <w:t>8</w:t>
            </w:r>
            <w:r>
              <w:rPr>
                <w:spacing w:val="5"/>
                <w:w w:val="100"/>
                <w:sz w:val="21"/>
              </w:rPr>
              <w:t>0</w:t>
            </w:r>
            <w:r>
              <w:rPr>
                <w:spacing w:val="5"/>
                <w:w w:val="100"/>
                <w:sz w:val="21"/>
              </w:rPr>
              <w:drawing>
                <wp:inline distT="0" distB="0" distL="0" distR="0">
                  <wp:extent cx="59721" cy="103727"/>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96"/>
              <w:rPr>
                <w:sz w:val="21"/>
              </w:rPr>
            </w:pPr>
            <w:r>
              <w:rPr>
                <w:sz w:val="21"/>
              </w:rPr>
              <w:t>足 8 个月但少于 9 个月</w:t>
            </w:r>
          </w:p>
        </w:tc>
        <w:tc>
          <w:tcPr>
            <w:tcW w:w="3466" w:type="dxa"/>
          </w:tcPr>
          <w:p>
            <w:pPr>
              <w:pStyle w:val="TableParagraph"/>
              <w:spacing w:line="270" w:lineRule="exact"/>
              <w:ind w:right="1366"/>
              <w:jc w:val="center"/>
              <w:rPr>
                <w:sz w:val="21"/>
              </w:rPr>
            </w:pPr>
            <w:r>
              <w:rPr>
                <w:w w:val="100"/>
                <w:sz w:val="21"/>
              </w:rPr>
              <w:t>8</w:t>
            </w:r>
            <w:r>
              <w:rPr>
                <w:spacing w:val="5"/>
                <w:w w:val="100"/>
                <w:sz w:val="21"/>
              </w:rPr>
              <w:t>5</w:t>
            </w:r>
            <w:r>
              <w:rPr>
                <w:spacing w:val="5"/>
                <w:w w:val="100"/>
                <w:sz w:val="21"/>
              </w:rPr>
              <w:drawing>
                <wp:inline distT="0" distB="0" distL="0" distR="0">
                  <wp:extent cx="59721" cy="103727"/>
                  <wp:effectExtent l="0" t="0" r="0" b="0"/>
                  <wp:docPr id="23" name="image3.png" descr=""/>
                  <wp:cNvGraphicFramePr>
                    <a:graphicFrameLocks noChangeAspect="1"/>
                  </wp:cNvGraphicFramePr>
                  <a:graphic>
                    <a:graphicData uri="http://schemas.openxmlformats.org/drawingml/2006/picture">
                      <pic:pic>
                        <pic:nvPicPr>
                          <pic:cNvPr id="24"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143"/>
              <w:rPr>
                <w:sz w:val="21"/>
              </w:rPr>
            </w:pPr>
            <w:r>
              <w:rPr>
                <w:sz w:val="21"/>
              </w:rPr>
              <w:t>足 9 个月但少于 10 个月</w:t>
            </w:r>
          </w:p>
        </w:tc>
        <w:tc>
          <w:tcPr>
            <w:tcW w:w="3466" w:type="dxa"/>
          </w:tcPr>
          <w:p>
            <w:pPr>
              <w:pStyle w:val="TableParagraph"/>
              <w:spacing w:line="270" w:lineRule="exact"/>
              <w:ind w:right="1366"/>
              <w:jc w:val="center"/>
              <w:rPr>
                <w:sz w:val="21"/>
              </w:rPr>
            </w:pPr>
            <w:r>
              <w:rPr>
                <w:w w:val="100"/>
                <w:sz w:val="21"/>
              </w:rPr>
              <w:t>9</w:t>
            </w:r>
            <w:r>
              <w:rPr>
                <w:spacing w:val="5"/>
                <w:w w:val="100"/>
                <w:sz w:val="21"/>
              </w:rPr>
              <w:t>0</w:t>
            </w:r>
            <w:r>
              <w:rPr>
                <w:spacing w:val="5"/>
                <w:w w:val="100"/>
                <w:sz w:val="21"/>
              </w:rPr>
              <w:drawing>
                <wp:inline distT="0" distB="0" distL="0" distR="0">
                  <wp:extent cx="59721" cy="103727"/>
                  <wp:effectExtent l="0" t="0" r="0" b="0"/>
                  <wp:docPr id="25" name="image3.png" descr=""/>
                  <wp:cNvGraphicFramePr>
                    <a:graphicFrameLocks noChangeAspect="1"/>
                  </wp:cNvGraphicFramePr>
                  <a:graphic>
                    <a:graphicData uri="http://schemas.openxmlformats.org/drawingml/2006/picture">
                      <pic:pic>
                        <pic:nvPicPr>
                          <pic:cNvPr id="26"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1" w:hRule="atLeast"/>
        </w:trPr>
        <w:tc>
          <w:tcPr>
            <w:tcW w:w="2669" w:type="dxa"/>
          </w:tcPr>
          <w:p>
            <w:pPr>
              <w:pStyle w:val="TableParagraph"/>
              <w:ind w:left="90"/>
              <w:rPr>
                <w:sz w:val="21"/>
              </w:rPr>
            </w:pPr>
            <w:r>
              <w:rPr>
                <w:sz w:val="21"/>
              </w:rPr>
              <w:t>足 10 个月但少于 11 个月</w:t>
            </w:r>
          </w:p>
        </w:tc>
        <w:tc>
          <w:tcPr>
            <w:tcW w:w="3466" w:type="dxa"/>
          </w:tcPr>
          <w:p>
            <w:pPr>
              <w:pStyle w:val="TableParagraph"/>
              <w:spacing w:line="270" w:lineRule="exact"/>
              <w:ind w:right="1366"/>
              <w:jc w:val="center"/>
              <w:rPr>
                <w:sz w:val="21"/>
              </w:rPr>
            </w:pPr>
            <w:r>
              <w:rPr>
                <w:w w:val="100"/>
                <w:sz w:val="21"/>
              </w:rPr>
              <w:t>9</w:t>
            </w:r>
            <w:r>
              <w:rPr>
                <w:spacing w:val="5"/>
                <w:w w:val="100"/>
                <w:sz w:val="21"/>
              </w:rPr>
              <w:t>5</w:t>
            </w:r>
            <w:r>
              <w:rPr>
                <w:spacing w:val="5"/>
                <w:w w:val="100"/>
                <w:sz w:val="21"/>
              </w:rPr>
              <w:drawing>
                <wp:inline distT="0" distB="0" distL="0" distR="0">
                  <wp:extent cx="59721" cy="103727"/>
                  <wp:effectExtent l="0" t="0" r="0" b="0"/>
                  <wp:docPr id="27" name="image3.png" descr=""/>
                  <wp:cNvGraphicFramePr>
                    <a:graphicFrameLocks noChangeAspect="1"/>
                  </wp:cNvGraphicFramePr>
                  <a:graphic>
                    <a:graphicData uri="http://schemas.openxmlformats.org/drawingml/2006/picture">
                      <pic:pic>
                        <pic:nvPicPr>
                          <pic:cNvPr id="28"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r>
        <w:trPr>
          <w:trHeight w:val="302" w:hRule="atLeast"/>
        </w:trPr>
        <w:tc>
          <w:tcPr>
            <w:tcW w:w="2669" w:type="dxa"/>
          </w:tcPr>
          <w:p>
            <w:pPr>
              <w:pStyle w:val="TableParagraph"/>
              <w:ind w:left="90"/>
              <w:rPr>
                <w:sz w:val="21"/>
              </w:rPr>
            </w:pPr>
            <w:r>
              <w:rPr>
                <w:sz w:val="21"/>
              </w:rPr>
              <w:t>足 11 个月但少于 12 个月</w:t>
            </w:r>
          </w:p>
        </w:tc>
        <w:tc>
          <w:tcPr>
            <w:tcW w:w="3466" w:type="dxa"/>
          </w:tcPr>
          <w:p>
            <w:pPr>
              <w:pStyle w:val="TableParagraph"/>
              <w:spacing w:line="270" w:lineRule="exact"/>
              <w:ind w:right="1366"/>
              <w:jc w:val="center"/>
              <w:rPr>
                <w:sz w:val="21"/>
              </w:rPr>
            </w:pPr>
            <w:r>
              <w:rPr>
                <w:w w:val="100"/>
                <w:sz w:val="21"/>
              </w:rPr>
              <w:t>10</w:t>
            </w:r>
            <w:r>
              <w:rPr>
                <w:spacing w:val="5"/>
                <w:w w:val="100"/>
                <w:sz w:val="21"/>
              </w:rPr>
              <w:t>0</w:t>
            </w:r>
            <w:r>
              <w:rPr>
                <w:spacing w:val="5"/>
                <w:w w:val="100"/>
                <w:sz w:val="21"/>
              </w:rPr>
              <w:drawing>
                <wp:inline distT="0" distB="0" distL="0" distR="0">
                  <wp:extent cx="59721" cy="103727"/>
                  <wp:effectExtent l="0" t="0" r="0" b="0"/>
                  <wp:docPr id="29" name="image3.png" descr=""/>
                  <wp:cNvGraphicFramePr>
                    <a:graphicFrameLocks noChangeAspect="1"/>
                  </wp:cNvGraphicFramePr>
                  <a:graphic>
                    <a:graphicData uri="http://schemas.openxmlformats.org/drawingml/2006/picture">
                      <pic:pic>
                        <pic:nvPicPr>
                          <pic:cNvPr id="30" name="image3.png"/>
                          <pic:cNvPicPr/>
                        </pic:nvPicPr>
                        <pic:blipFill>
                          <a:blip r:embed="rId9" cstate="print"/>
                          <a:stretch>
                            <a:fillRect/>
                          </a:stretch>
                        </pic:blipFill>
                        <pic:spPr>
                          <a:xfrm>
                            <a:off x="0" y="0"/>
                            <a:ext cx="59721" cy="103727"/>
                          </a:xfrm>
                          <a:prstGeom prst="rect">
                            <a:avLst/>
                          </a:prstGeom>
                        </pic:spPr>
                      </pic:pic>
                    </a:graphicData>
                  </a:graphic>
                </wp:inline>
              </w:drawing>
            </w:r>
            <w:r>
              <w:rPr>
                <w:spacing w:val="5"/>
                <w:w w:val="100"/>
                <w:sz w:val="21"/>
              </w:rPr>
            </w:r>
          </w:p>
        </w:tc>
      </w:tr>
    </w:tbl>
    <w:p>
      <w:pPr>
        <w:pStyle w:val="BodyText"/>
        <w:spacing w:before="0"/>
        <w:rPr>
          <w:sz w:val="20"/>
        </w:rPr>
      </w:pPr>
    </w:p>
    <w:p>
      <w:pPr>
        <w:pStyle w:val="BodyText"/>
        <w:spacing w:before="9"/>
        <w:rPr>
          <w:sz w:val="16"/>
        </w:rPr>
      </w:pPr>
    </w:p>
    <w:p>
      <w:pPr>
        <w:pStyle w:val="BodyText"/>
        <w:spacing w:line="357" w:lineRule="auto" w:before="26"/>
        <w:ind w:left="117" w:right="109" w:firstLine="480"/>
        <w:jc w:val="both"/>
      </w:pPr>
      <w:r>
        <w:rPr>
          <w:spacing w:val="-5"/>
        </w:rPr>
        <w:t>您因在职人员变动需要减少被保险人的，应以书面形式通知我们并提供相关</w:t>
      </w:r>
      <w:r>
        <w:rPr>
          <w:spacing w:val="-7"/>
        </w:rPr>
        <w:t>证明及资料，我们对该被保险人承担的保险责任至通知到达之日 </w:t>
      </w:r>
      <w:r>
        <w:rPr/>
        <w:t>24</w:t>
      </w:r>
      <w:r>
        <w:rPr>
          <w:spacing w:val="-9"/>
        </w:rPr>
        <w:t> 时终止，我们将向您返还该被保险人保险责任终止时相应的未满期净保险费。</w:t>
      </w:r>
    </w:p>
    <w:p>
      <w:pPr>
        <w:pStyle w:val="BodyText"/>
        <w:spacing w:line="357" w:lineRule="auto" w:before="35"/>
        <w:ind w:left="117" w:right="109" w:firstLine="480"/>
        <w:jc w:val="both"/>
      </w:pPr>
      <w:r>
        <w:rPr/>
        <w:drawing>
          <wp:anchor distT="0" distB="0" distL="0" distR="0" allowOverlap="1" layoutInCell="1" locked="0" behindDoc="1" simplePos="0" relativeHeight="268414751">
            <wp:simplePos x="0" y="0"/>
            <wp:positionH relativeFrom="page">
              <wp:posOffset>2401951</wp:posOffset>
            </wp:positionH>
            <wp:positionV relativeFrom="paragraph">
              <wp:posOffset>383103</wp:posOffset>
            </wp:positionV>
            <wp:extent cx="66675" cy="117475"/>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0"/>
        </w:rPr>
        <w:t>主被保险人人数低于 </w:t>
      </w:r>
      <w:r>
        <w:rPr/>
        <w:t>5 人或主被保险人占投保人团体中符合参保条件成员</w:t>
      </w:r>
      <w:r>
        <w:rPr>
          <w:spacing w:val="-8"/>
        </w:rPr>
        <w:t>总数的比例低于 </w:t>
      </w:r>
      <w:r>
        <w:rPr/>
        <w:t>75</w:t>
      </w:r>
      <w:r>
        <w:rPr>
          <w:spacing w:val="-10"/>
        </w:rPr>
        <w:t>时，我们有权解除本合同，并向您退还本合同项下未发生保</w:t>
      </w:r>
      <w:r>
        <w:rPr/>
        <w:t>险事故的各被保险人相应的未满期净保险费。</w:t>
      </w:r>
    </w:p>
    <w:p>
      <w:pPr>
        <w:pStyle w:val="BodyText"/>
        <w:spacing w:before="7"/>
        <w:rPr>
          <w:sz w:val="35"/>
        </w:rPr>
      </w:pPr>
    </w:p>
    <w:p>
      <w:pPr>
        <w:pStyle w:val="Heading1"/>
        <w:spacing w:before="1"/>
        <w:ind w:firstLine="0"/>
      </w:pPr>
      <w:bookmarkStart w:name="_TOC_250002" w:id="21"/>
      <w:bookmarkEnd w:id="21"/>
      <w:r>
        <w:rPr/>
        <w:t>第二十一条  本合同内容变更</w:t>
      </w:r>
    </w:p>
    <w:p>
      <w:pPr>
        <w:pStyle w:val="BodyText"/>
        <w:spacing w:line="357" w:lineRule="auto" w:before="163"/>
        <w:ind w:left="117" w:right="106" w:firstLine="480"/>
        <w:jc w:val="both"/>
      </w:pPr>
      <w:r>
        <w:rPr>
          <w:spacing w:val="-7"/>
        </w:rPr>
        <w:t>您在本合同生效后，可根据我们的规定书面通知我们变更合同的内容，经我</w:t>
      </w:r>
      <w:r>
        <w:rPr>
          <w:spacing w:val="-12"/>
        </w:rPr>
        <w:t>们审核同意后，应当由我们在原保单或者其他保险凭证上批注，或者由您和我们订立变更合同内容的书面协议。</w:t>
      </w:r>
    </w:p>
    <w:p>
      <w:pPr>
        <w:spacing w:after="0" w:line="357" w:lineRule="auto"/>
        <w:jc w:val="both"/>
        <w:sectPr>
          <w:footerReference w:type="default" r:id="rId8"/>
          <w:pgSz w:w="11900" w:h="16840"/>
          <w:pgMar w:footer="1007" w:header="0" w:top="1500" w:bottom="1200" w:left="1680" w:right="1680"/>
          <w:pgNumType w:start="10"/>
        </w:sectPr>
      </w:pPr>
    </w:p>
    <w:p>
      <w:pPr>
        <w:pStyle w:val="BodyText"/>
        <w:spacing w:line="313" w:lineRule="exact" w:before="0"/>
        <w:ind w:left="597"/>
      </w:pPr>
      <w:r>
        <w:rPr/>
        <w:t>与本合同有关的信息发生变更时，您需要及时书面通知我们。</w:t>
      </w:r>
    </w:p>
    <w:p>
      <w:pPr>
        <w:pStyle w:val="BodyText"/>
        <w:spacing w:before="154"/>
        <w:ind w:left="597"/>
      </w:pPr>
      <w:r>
        <w:rPr/>
        <w:t>我们收到并且决定接受您变更合同内容通知书当日，变更内容生效，本合同</w:t>
      </w:r>
    </w:p>
    <w:p>
      <w:pPr>
        <w:pStyle w:val="BodyText"/>
        <w:spacing w:before="154"/>
        <w:ind w:left="117"/>
      </w:pPr>
      <w:r>
        <w:rPr/>
        <w:t>另有约定的除外。</w:t>
      </w:r>
    </w:p>
    <w:p>
      <w:pPr>
        <w:pStyle w:val="BodyText"/>
        <w:spacing w:before="0"/>
      </w:pPr>
    </w:p>
    <w:p>
      <w:pPr>
        <w:pStyle w:val="BodyText"/>
        <w:spacing w:before="8"/>
        <w:rPr>
          <w:sz w:val="20"/>
        </w:rPr>
      </w:pPr>
    </w:p>
    <w:p>
      <w:pPr>
        <w:pStyle w:val="Heading1"/>
        <w:tabs>
          <w:tab w:pos="1564" w:val="left" w:leader="none"/>
        </w:tabs>
        <w:ind w:firstLine="0"/>
      </w:pPr>
      <w:bookmarkStart w:name="_TOC_250001" w:id="22"/>
      <w:bookmarkEnd w:id="22"/>
      <w:r>
        <w:rPr/>
        <w:t>第二十二条</w:t>
        <w:tab/>
        <w:t>本合同的解除</w:t>
      </w:r>
    </w:p>
    <w:p>
      <w:pPr>
        <w:pStyle w:val="BodyText"/>
        <w:spacing w:before="160"/>
        <w:ind w:left="597"/>
      </w:pPr>
      <w:r>
        <w:rPr/>
        <w:t>您可以书面形式通知我们要求解除本合同，即退保。自我们收到您退保申请</w:t>
      </w:r>
    </w:p>
    <w:p>
      <w:pPr>
        <w:pStyle w:val="BodyText"/>
        <w:spacing w:line="357" w:lineRule="auto" w:before="154"/>
        <w:ind w:left="597" w:right="3020" w:hanging="480"/>
      </w:pPr>
      <w:r>
        <w:rPr/>
        <w:t>当日，本合同解除，本合同约定的保险责任终止。 您要求退保时，应向我们提供下列证明和资料：</w:t>
      </w:r>
    </w:p>
    <w:p>
      <w:pPr>
        <w:pStyle w:val="ListParagraph"/>
        <w:numPr>
          <w:ilvl w:val="0"/>
          <w:numId w:val="2"/>
        </w:numPr>
        <w:tabs>
          <w:tab w:pos="1078" w:val="left" w:leader="none"/>
        </w:tabs>
        <w:spacing w:line="240" w:lineRule="auto" w:before="36" w:after="0"/>
        <w:ind w:left="1077" w:right="0" w:hanging="480"/>
        <w:jc w:val="left"/>
        <w:rPr>
          <w:rFonts w:ascii="宋体" w:eastAsia="宋体" w:hint="eastAsia"/>
          <w:sz w:val="24"/>
        </w:rPr>
      </w:pPr>
      <w:r>
        <w:rPr>
          <w:rFonts w:ascii="宋体" w:eastAsia="宋体" w:hint="eastAsia"/>
          <w:sz w:val="24"/>
        </w:rPr>
        <w:t>保险合同正本；</w:t>
      </w:r>
    </w:p>
    <w:p>
      <w:pPr>
        <w:pStyle w:val="ListParagraph"/>
        <w:numPr>
          <w:ilvl w:val="0"/>
          <w:numId w:val="2"/>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z w:val="24"/>
        </w:rPr>
        <w:t>退保申请表；</w:t>
      </w:r>
    </w:p>
    <w:p>
      <w:pPr>
        <w:pStyle w:val="ListParagraph"/>
        <w:numPr>
          <w:ilvl w:val="0"/>
          <w:numId w:val="2"/>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pacing w:val="-8"/>
          <w:sz w:val="24"/>
        </w:rPr>
        <w:t>经办人身份证件，若经办人非投保单中载明的联系人，则需提交投保人</w:t>
      </w:r>
    </w:p>
    <w:p>
      <w:pPr>
        <w:pStyle w:val="BodyText"/>
        <w:ind w:left="117"/>
      </w:pPr>
      <w:r>
        <w:rPr/>
        <w:t>出具的加盖法人公章的授权委托书；</w:t>
      </w:r>
    </w:p>
    <w:p>
      <w:pPr>
        <w:pStyle w:val="ListParagraph"/>
        <w:numPr>
          <w:ilvl w:val="0"/>
          <w:numId w:val="2"/>
        </w:numPr>
        <w:tabs>
          <w:tab w:pos="1078" w:val="left" w:leader="none"/>
        </w:tabs>
        <w:spacing w:line="240" w:lineRule="auto" w:before="153" w:after="0"/>
        <w:ind w:left="1077" w:right="0" w:hanging="480"/>
        <w:jc w:val="left"/>
        <w:rPr>
          <w:rFonts w:ascii="宋体" w:eastAsia="宋体" w:hint="eastAsia"/>
          <w:sz w:val="24"/>
        </w:rPr>
      </w:pPr>
      <w:r>
        <w:rPr>
          <w:rFonts w:ascii="宋体" w:eastAsia="宋体" w:hint="eastAsia"/>
          <w:sz w:val="24"/>
        </w:rPr>
        <w:t>其他必要的合理的证明文件。</w:t>
      </w:r>
    </w:p>
    <w:p>
      <w:pPr>
        <w:pStyle w:val="BodyText"/>
        <w:ind w:left="597"/>
      </w:pPr>
      <w:r>
        <w:rPr/>
        <w:t>我们在收到上述证明资料后将向您退还本合同解除时的未满期净保险费。</w:t>
      </w:r>
    </w:p>
    <w:p>
      <w:pPr>
        <w:pStyle w:val="BodyText"/>
        <w:spacing w:before="0"/>
      </w:pPr>
    </w:p>
    <w:p>
      <w:pPr>
        <w:pStyle w:val="BodyText"/>
        <w:spacing w:before="7"/>
        <w:rPr>
          <w:sz w:val="20"/>
        </w:rPr>
      </w:pPr>
    </w:p>
    <w:p>
      <w:pPr>
        <w:pStyle w:val="Heading1"/>
        <w:tabs>
          <w:tab w:pos="1564" w:val="left" w:leader="none"/>
        </w:tabs>
        <w:ind w:firstLine="0"/>
      </w:pPr>
      <w:bookmarkStart w:name="_TOC_250000" w:id="23"/>
      <w:bookmarkEnd w:id="23"/>
      <w:r>
        <w:rPr/>
        <w:t>第二十三条</w:t>
        <w:tab/>
        <w:t>争议处理和法律适用</w:t>
      </w:r>
    </w:p>
    <w:p>
      <w:pPr>
        <w:pStyle w:val="BodyText"/>
        <w:spacing w:before="159"/>
        <w:ind w:left="597"/>
      </w:pPr>
      <w:r>
        <w:rPr/>
        <w:t>在本合同履行过程中发生任何争议，由我们和您协商解决。协商不成的，双</w:t>
      </w:r>
    </w:p>
    <w:p>
      <w:pPr>
        <w:pStyle w:val="BodyText"/>
        <w:ind w:left="117"/>
      </w:pPr>
      <w:r>
        <w:rPr/>
        <w:t>方同意，向被告住所地人民法院起诉，由人民法院进行裁判。</w:t>
      </w:r>
    </w:p>
    <w:p>
      <w:pPr>
        <w:pStyle w:val="BodyText"/>
        <w:spacing w:line="357" w:lineRule="auto"/>
        <w:ind w:left="117" w:right="380" w:firstLine="480"/>
      </w:pPr>
      <w:r>
        <w:rPr/>
        <w:t>与本合同有关的以及履行本合同所产生的一切争议处理适用中华人民共和国法律（不包括港澳台地区法律</w:t>
      </w:r>
      <w:r>
        <w:rPr>
          <w:spacing w:val="-120"/>
        </w:rPr>
        <w:t>）</w:t>
      </w:r>
      <w:r>
        <w:rPr/>
        <w:t>。</w:t>
      </w:r>
    </w:p>
    <w:p>
      <w:pPr>
        <w:pStyle w:val="BodyText"/>
        <w:spacing w:before="0"/>
      </w:pPr>
    </w:p>
    <w:p>
      <w:pPr>
        <w:pStyle w:val="BodyText"/>
        <w:spacing w:before="0"/>
      </w:pPr>
    </w:p>
    <w:p>
      <w:pPr>
        <w:pStyle w:val="Heading1"/>
        <w:spacing w:before="188"/>
        <w:ind w:firstLine="0"/>
      </w:pPr>
      <w:r>
        <w:rPr/>
        <w:t>释义</w:t>
      </w:r>
    </w:p>
    <w:p>
      <w:pPr>
        <w:spacing w:before="50"/>
        <w:ind w:left="117" w:right="0" w:firstLine="0"/>
        <w:jc w:val="left"/>
        <w:rPr>
          <w:sz w:val="24"/>
        </w:rPr>
      </w:pPr>
      <w:r>
        <w:rPr>
          <w:rFonts w:ascii="微软雅黑" w:eastAsia="微软雅黑" w:hint="eastAsia"/>
          <w:b/>
          <w:sz w:val="24"/>
        </w:rPr>
        <w:t>1</w:t>
      </w:r>
      <w:r>
        <w:rPr>
          <w:rFonts w:ascii="Microsoft JhengHei" w:eastAsia="Microsoft JhengHei" w:hint="eastAsia"/>
          <w:b/>
          <w:sz w:val="24"/>
        </w:rPr>
        <w:t>、未满期净保险费 </w:t>
      </w:r>
      <w:r>
        <w:rPr>
          <w:sz w:val="24"/>
        </w:rPr>
        <w:t>本合同项下某一被保险人名下的未满期净保险费的计算公式</w:t>
      </w:r>
    </w:p>
    <w:p>
      <w:pPr>
        <w:pStyle w:val="BodyText"/>
        <w:spacing w:line="362" w:lineRule="auto" w:before="117"/>
        <w:ind w:left="117" w:right="109"/>
      </w:pPr>
      <w:r>
        <w:rPr>
          <w:position w:val="1"/>
        </w:rPr>
        <w:t>为</w:t>
      </w:r>
      <w:r>
        <w:rPr>
          <w:spacing w:val="5"/>
        </w:rPr>
        <w:drawing>
          <wp:inline distT="0" distB="0" distL="0" distR="0">
            <wp:extent cx="66675" cy="117475"/>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66675" cy="117475"/>
                    </a:xfrm>
                    <a:prstGeom prst="rect">
                      <a:avLst/>
                    </a:prstGeom>
                  </pic:spPr>
                </pic:pic>
              </a:graphicData>
            </a:graphic>
          </wp:inline>
        </w:drawing>
      </w:r>
      <w:r>
        <w:rPr>
          <w:spacing w:val="5"/>
        </w:rPr>
      </w:r>
      <w:r>
        <w:rPr>
          <w:position w:val="1"/>
        </w:rPr>
        <w:t>)×(1-n/m)，其中：P 为投保人为该被保险人一次性交纳的保险</w:t>
      </w:r>
      <w:r>
        <w:rPr>
          <w:spacing w:val="-60"/>
        </w:rPr>
        <w:t>费，</w:t>
      </w:r>
      <w:r>
        <w:rPr/>
        <w:t>m</w:t>
      </w:r>
      <w:r>
        <w:rPr>
          <w:spacing w:val="-19"/>
        </w:rPr>
        <w:t> 指本合同对该被保险人的保障期间所包含的天数(不足一天部分按一天计)，</w:t>
      </w:r>
    </w:p>
    <w:p>
      <w:pPr>
        <w:pStyle w:val="BodyText"/>
        <w:spacing w:line="355" w:lineRule="auto" w:before="31"/>
        <w:ind w:left="117" w:right="229"/>
      </w:pPr>
      <w:r>
        <w:rPr/>
        <w:t>n</w:t>
      </w:r>
      <w:r>
        <w:rPr>
          <w:spacing w:val="-10"/>
        </w:rPr>
        <w:t> 指从本合同对该被保险人的保障期间生效之日至本合同对该被保险人的保险责任终止之日实际经过的天数(不足一天部分按一天计)。</w:t>
      </w:r>
    </w:p>
    <w:p>
      <w:pPr>
        <w:spacing w:before="41"/>
        <w:ind w:left="117" w:right="0" w:firstLine="0"/>
        <w:jc w:val="left"/>
        <w:rPr>
          <w:sz w:val="24"/>
        </w:rPr>
      </w:pPr>
      <w:r>
        <w:rPr>
          <w:rFonts w:ascii="微软雅黑" w:eastAsia="微软雅黑" w:hint="eastAsia"/>
          <w:b/>
          <w:sz w:val="24"/>
        </w:rPr>
        <w:t>2</w:t>
      </w:r>
      <w:r>
        <w:rPr>
          <w:rFonts w:ascii="Microsoft JhengHei" w:eastAsia="Microsoft JhengHei" w:hint="eastAsia"/>
          <w:b/>
          <w:sz w:val="24"/>
        </w:rPr>
        <w:t>、保险单周年日 </w:t>
      </w:r>
      <w:r>
        <w:rPr>
          <w:sz w:val="24"/>
        </w:rPr>
        <w:t>在本合同有效期内的每一个保险单年度内本合同生效日的对应</w:t>
      </w:r>
    </w:p>
    <w:p>
      <w:pPr>
        <w:spacing w:after="0"/>
        <w:jc w:val="left"/>
        <w:rPr>
          <w:sz w:val="24"/>
        </w:rPr>
        <w:sectPr>
          <w:pgSz w:w="11900" w:h="16840"/>
          <w:pgMar w:header="0" w:footer="1007" w:top="1460" w:bottom="1200" w:left="1680" w:right="1560"/>
        </w:sectPr>
      </w:pPr>
    </w:p>
    <w:p>
      <w:pPr>
        <w:pStyle w:val="BodyText"/>
        <w:spacing w:line="313" w:lineRule="exact" w:before="0"/>
        <w:ind w:left="117"/>
      </w:pPr>
      <w:r>
        <w:rPr/>
        <w:t>日。第一个保险单周年日是指保险单生效一年后的本合同生效日期的对应日。如</w:t>
      </w:r>
    </w:p>
    <w:p>
      <w:pPr>
        <w:pStyle w:val="BodyText"/>
        <w:spacing w:line="313" w:lineRule="exact" w:before="154"/>
        <w:ind w:left="117"/>
      </w:pPr>
      <w:r>
        <w:rPr/>
        <w:t>果当月没有对应的同一日，则以该日最后一日为对应日。</w:t>
      </w:r>
    </w:p>
    <w:p>
      <w:pPr>
        <w:pStyle w:val="BodyText"/>
        <w:spacing w:line="309" w:lineRule="auto" w:before="0"/>
        <w:ind w:left="117" w:right="126"/>
        <w:jc w:val="both"/>
      </w:pPr>
      <w:r>
        <w:rPr>
          <w:rFonts w:ascii="微软雅黑" w:eastAsia="微软雅黑" w:hint="eastAsia"/>
          <w:b/>
        </w:rPr>
        <w:t>3</w:t>
      </w:r>
      <w:r>
        <w:rPr>
          <w:rFonts w:ascii="Microsoft JhengHei" w:eastAsia="Microsoft JhengHei" w:hint="eastAsia"/>
          <w:b/>
        </w:rPr>
        <w:t>、初次患有：</w:t>
      </w:r>
      <w:r>
        <w:rPr/>
        <w:t>指自被保险人出生之日起第一次经医院确诊患有某种疾病，而不</w:t>
      </w:r>
      <w:r>
        <w:rPr>
          <w:spacing w:val="-7"/>
        </w:rPr>
        <w:t>是指自保险合同生效、复效或者等待期之后第一次经医院确诊患有某种疾病。例</w:t>
      </w:r>
    </w:p>
    <w:p>
      <w:pPr>
        <w:pStyle w:val="BodyText"/>
        <w:spacing w:before="85"/>
        <w:ind w:left="117"/>
      </w:pPr>
      <w:r>
        <w:rPr/>
        <w:t>如，2010 年 1 月 1 日保险合同生效，若：</w:t>
      </w:r>
    </w:p>
    <w:p>
      <w:pPr>
        <w:pStyle w:val="BodyText"/>
        <w:spacing w:before="8"/>
        <w:rPr>
          <w:sz w:val="17"/>
        </w:rPr>
      </w:pPr>
    </w:p>
    <w:p>
      <w:pPr>
        <w:pStyle w:val="BodyText"/>
        <w:spacing w:line="357" w:lineRule="auto" w:before="0"/>
        <w:ind w:left="117" w:right="126"/>
        <w:jc w:val="both"/>
      </w:pPr>
      <w:r>
        <w:rPr/>
        <w:t>（1）2009</w:t>
      </w:r>
      <w:r>
        <w:rPr>
          <w:spacing w:val="-28"/>
        </w:rPr>
        <w:t> 年 </w:t>
      </w:r>
      <w:r>
        <w:rPr/>
        <w:t>1</w:t>
      </w:r>
      <w:r>
        <w:rPr>
          <w:spacing w:val="-29"/>
        </w:rPr>
        <w:t> 月 </w:t>
      </w:r>
      <w:r>
        <w:rPr/>
        <w:t>1</w:t>
      </w:r>
      <w:r>
        <w:rPr>
          <w:spacing w:val="-12"/>
        </w:rPr>
        <w:t> 日被保险人自出生后第一次经医院确诊罹患“恶性肿瘤”，</w:t>
      </w:r>
      <w:r>
        <w:rPr>
          <w:spacing w:val="-10"/>
        </w:rPr>
        <w:t>由于“初次确诊”发生在保险合同生效之前，因此不属于保险责任范围，本公司不承担保险责任；</w:t>
      </w:r>
    </w:p>
    <w:p>
      <w:pPr>
        <w:pStyle w:val="BodyText"/>
        <w:spacing w:line="357" w:lineRule="auto" w:before="36"/>
        <w:ind w:left="117" w:right="100"/>
        <w:jc w:val="both"/>
      </w:pPr>
      <w:r>
        <w:rPr/>
        <w:t>（2）2010</w:t>
      </w:r>
      <w:r>
        <w:rPr>
          <w:spacing w:val="-40"/>
        </w:rPr>
        <w:t> 年 </w:t>
      </w:r>
      <w:r>
        <w:rPr/>
        <w:t>1</w:t>
      </w:r>
      <w:r>
        <w:rPr>
          <w:spacing w:val="-40"/>
        </w:rPr>
        <w:t> 月 </w:t>
      </w:r>
      <w:r>
        <w:rPr/>
        <w:t>15</w:t>
      </w:r>
      <w:r>
        <w:rPr>
          <w:spacing w:val="-13"/>
        </w:rPr>
        <w:t> 日被保险人自出生后第一次经医院确诊罹患“恶性肿瘤”，由于“初次确诊”发生在等待期（30</w:t>
      </w:r>
      <w:r>
        <w:rPr>
          <w:spacing w:val="10"/>
        </w:rPr>
        <w:t> 日</w:t>
      </w:r>
      <w:r>
        <w:rPr/>
        <w:t>）内，本公司亦不承担保险责任，不给</w:t>
      </w:r>
      <w:r>
        <w:rPr>
          <w:spacing w:val="-9"/>
        </w:rPr>
        <w:t>付保险金，但向投保人退还其为该被保险人交纳的本合同项下的保险费，本公司对该被保险人的保险责任终止；</w:t>
      </w:r>
    </w:p>
    <w:p>
      <w:pPr>
        <w:pStyle w:val="BodyText"/>
        <w:spacing w:line="357" w:lineRule="auto" w:before="36"/>
        <w:ind w:left="117" w:right="126"/>
        <w:jc w:val="both"/>
      </w:pPr>
      <w:r>
        <w:rPr/>
        <w:t>（3）2010</w:t>
      </w:r>
      <w:r>
        <w:rPr>
          <w:spacing w:val="-28"/>
        </w:rPr>
        <w:t> 年 </w:t>
      </w:r>
      <w:r>
        <w:rPr/>
        <w:t>5</w:t>
      </w:r>
      <w:r>
        <w:rPr>
          <w:spacing w:val="-29"/>
        </w:rPr>
        <w:t> 月 </w:t>
      </w:r>
      <w:r>
        <w:rPr/>
        <w:t>2</w:t>
      </w:r>
      <w:r>
        <w:rPr>
          <w:spacing w:val="-12"/>
        </w:rPr>
        <w:t> 日被保险人自出生后第一次经医院确诊罹患“恶性肿瘤”，</w:t>
      </w:r>
      <w:r>
        <w:rPr>
          <w:spacing w:val="-11"/>
        </w:rPr>
        <w:t>由于“初次确诊”发生在等待期后，本公司按本合同项下该被保险人名下的保险</w:t>
      </w:r>
      <w:r>
        <w:rPr>
          <w:spacing w:val="-14"/>
        </w:rPr>
        <w:t>金额向该被保险人的重大疾病保险金受益人给付重大疾病保险金，本公司对该被保险人的保险责任终止。</w:t>
      </w:r>
    </w:p>
    <w:p>
      <w:pPr>
        <w:pStyle w:val="BodyText"/>
        <w:spacing w:line="379" w:lineRule="exact" w:before="0"/>
        <w:ind w:left="117"/>
      </w:pPr>
      <w:r>
        <w:rPr>
          <w:rFonts w:ascii="微软雅黑" w:eastAsia="微软雅黑" w:hint="eastAsia"/>
          <w:b/>
        </w:rPr>
        <w:t>4</w:t>
      </w:r>
      <w:r>
        <w:rPr>
          <w:rFonts w:ascii="Microsoft JhengHei" w:eastAsia="Microsoft JhengHei" w:hint="eastAsia"/>
          <w:b/>
        </w:rPr>
        <w:t>、意外事故 </w:t>
      </w:r>
      <w:r>
        <w:rPr/>
        <w:t>指外来的、突然的、非本意的、非疾病的使被保险人身体受到伤害</w:t>
      </w:r>
    </w:p>
    <w:p>
      <w:pPr>
        <w:pStyle w:val="BodyText"/>
        <w:spacing w:line="313" w:lineRule="exact" w:before="125"/>
        <w:ind w:left="117"/>
      </w:pPr>
      <w:r>
        <w:rPr/>
        <w:t>的客观事件。猝死不属于意外伤害。</w:t>
      </w:r>
    </w:p>
    <w:p>
      <w:pPr>
        <w:pStyle w:val="BodyText"/>
        <w:spacing w:line="419" w:lineRule="exact" w:before="0"/>
        <w:ind w:left="117"/>
      </w:pPr>
      <w:r>
        <w:rPr>
          <w:rFonts w:ascii="微软雅黑" w:eastAsia="微软雅黑" w:hint="eastAsia"/>
          <w:b/>
        </w:rPr>
        <w:t>5</w:t>
      </w:r>
      <w:r>
        <w:rPr>
          <w:rFonts w:ascii="Microsoft JhengHei" w:eastAsia="Microsoft JhengHei" w:hint="eastAsia"/>
          <w:b/>
          <w:spacing w:val="12"/>
        </w:rPr>
        <w:t>、毒品 </w:t>
      </w:r>
      <w:r>
        <w:rPr/>
        <w:t>指中华人民共和国刑法规定的鸦片、海洛因、甲基苯丙胺（冰毒</w:t>
      </w:r>
      <w:r>
        <w:rPr>
          <w:spacing w:val="-120"/>
        </w:rPr>
        <w:t>）</w:t>
      </w:r>
      <w:r>
        <w:rPr/>
        <w:t>、吗</w:t>
      </w:r>
    </w:p>
    <w:p>
      <w:pPr>
        <w:pStyle w:val="BodyText"/>
        <w:spacing w:line="357" w:lineRule="auto" w:before="125"/>
        <w:ind w:left="117" w:right="129"/>
        <w:jc w:val="both"/>
      </w:pPr>
      <w:r>
        <w:rPr>
          <w:spacing w:val="-11"/>
        </w:rPr>
        <w:t>啡、大麻、可卡因以及国家规定管制的其他能够使人形成瘾癖的麻醉药品和精神</w:t>
      </w:r>
      <w:r>
        <w:rPr>
          <w:spacing w:val="-12"/>
        </w:rPr>
        <w:t>药品，但不包括由医生开具并遵医嘱使用的用于治疗疾病但含有毒品成分的处方药品。</w:t>
      </w:r>
    </w:p>
    <w:p>
      <w:pPr>
        <w:pStyle w:val="BodyText"/>
        <w:spacing w:line="379" w:lineRule="exact" w:before="0"/>
        <w:ind w:left="117"/>
        <w:jc w:val="both"/>
      </w:pPr>
      <w:r>
        <w:rPr>
          <w:rFonts w:ascii="微软雅黑" w:eastAsia="微软雅黑" w:hint="eastAsia"/>
          <w:b/>
        </w:rPr>
        <w:t>6</w:t>
      </w:r>
      <w:r>
        <w:rPr>
          <w:rFonts w:ascii="Microsoft JhengHei" w:eastAsia="Microsoft JhengHei" w:hint="eastAsia"/>
          <w:b/>
        </w:rPr>
        <w:t>、酒后驾驶 </w:t>
      </w:r>
      <w:r>
        <w:rPr/>
        <w:t>指经检测或鉴定，发生事故时车辆驾驶人员每百毫升血液中的酒精</w:t>
      </w:r>
    </w:p>
    <w:p>
      <w:pPr>
        <w:pStyle w:val="BodyText"/>
        <w:spacing w:before="122"/>
        <w:ind w:left="117"/>
        <w:jc w:val="both"/>
      </w:pPr>
      <w:r>
        <w:rPr/>
        <w:t>含量达到或超过一定的标准，公安机关交通管理部门依据《道路交通安全法》的</w:t>
      </w:r>
    </w:p>
    <w:p>
      <w:pPr>
        <w:pStyle w:val="BodyText"/>
        <w:ind w:left="117"/>
        <w:jc w:val="both"/>
      </w:pPr>
      <w:r>
        <w:rPr/>
        <w:t>规定认定为饮酒后驾驶或醉酒后驾驶。</w:t>
      </w:r>
    </w:p>
    <w:p>
      <w:pPr>
        <w:spacing w:before="154"/>
        <w:ind w:left="117" w:right="0" w:firstLine="0"/>
        <w:jc w:val="both"/>
        <w:rPr>
          <w:sz w:val="24"/>
        </w:rPr>
      </w:pPr>
      <w:r>
        <w:rPr>
          <w:rFonts w:ascii="微软雅黑" w:eastAsia="微软雅黑" w:hint="eastAsia"/>
          <w:b/>
          <w:sz w:val="24"/>
        </w:rPr>
        <w:t>7</w:t>
      </w:r>
      <w:r>
        <w:rPr>
          <w:rFonts w:ascii="Microsoft JhengHei" w:eastAsia="Microsoft JhengHei" w:hint="eastAsia"/>
          <w:b/>
          <w:sz w:val="24"/>
        </w:rPr>
        <w:t>、无合法有效驾驶证驾驶 </w:t>
      </w:r>
      <w:r>
        <w:rPr>
          <w:sz w:val="24"/>
        </w:rPr>
        <w:t>指下列情形之一：</w:t>
      </w:r>
    </w:p>
    <w:p>
      <w:pPr>
        <w:pStyle w:val="BodyText"/>
        <w:spacing w:before="125"/>
        <w:ind w:left="537"/>
      </w:pPr>
      <w:r>
        <w:rPr/>
        <w:t>（1） 没有取得驾驶资格；</w:t>
      </w:r>
    </w:p>
    <w:p>
      <w:pPr>
        <w:pStyle w:val="BodyText"/>
        <w:spacing w:before="154"/>
        <w:ind w:left="537"/>
      </w:pPr>
      <w:r>
        <w:rPr/>
        <w:t>（2） 驾驶与驾驶证准驾车型不相符合的车辆；</w:t>
      </w:r>
    </w:p>
    <w:p>
      <w:pPr>
        <w:pStyle w:val="BodyText"/>
        <w:spacing w:before="154"/>
        <w:ind w:left="537"/>
      </w:pPr>
      <w:r>
        <w:rPr/>
        <w:t>（3） 持审验不合格的驾驶证驾驶；</w:t>
      </w:r>
    </w:p>
    <w:p>
      <w:pPr>
        <w:pStyle w:val="BodyText"/>
        <w:spacing w:before="154"/>
        <w:ind w:left="537"/>
      </w:pPr>
      <w:r>
        <w:rPr/>
        <w:t>（4） 持学习驾驶证学习驾车时，无教练员随车指导，或不按指定时间、路</w:t>
      </w:r>
    </w:p>
    <w:p>
      <w:pPr>
        <w:spacing w:after="0"/>
        <w:sectPr>
          <w:pgSz w:w="11900" w:h="16840"/>
          <w:pgMar w:header="0" w:footer="1007" w:top="1460" w:bottom="1200" w:left="1680" w:right="1660"/>
        </w:sectPr>
      </w:pPr>
    </w:p>
    <w:p>
      <w:pPr>
        <w:pStyle w:val="BodyText"/>
        <w:spacing w:line="313" w:lineRule="exact" w:before="0"/>
        <w:ind w:left="1239" w:right="5821"/>
        <w:jc w:val="center"/>
      </w:pPr>
      <w:r>
        <w:rPr/>
        <w:t>线学习驾车。</w:t>
      </w:r>
    </w:p>
    <w:p>
      <w:pPr>
        <w:spacing w:before="77"/>
        <w:ind w:left="117" w:right="0" w:firstLine="0"/>
        <w:jc w:val="both"/>
        <w:rPr>
          <w:sz w:val="24"/>
        </w:rPr>
      </w:pPr>
      <w:r>
        <w:rPr>
          <w:rFonts w:ascii="微软雅黑" w:eastAsia="微软雅黑" w:hint="eastAsia"/>
          <w:b/>
          <w:sz w:val="24"/>
        </w:rPr>
        <w:t>8</w:t>
      </w:r>
      <w:r>
        <w:rPr>
          <w:rFonts w:ascii="Microsoft JhengHei" w:eastAsia="Microsoft JhengHei" w:hint="eastAsia"/>
          <w:b/>
          <w:sz w:val="24"/>
        </w:rPr>
        <w:t>、无有效行驶证 </w:t>
      </w:r>
      <w:r>
        <w:rPr>
          <w:sz w:val="24"/>
        </w:rPr>
        <w:t>指下列情形之一：</w:t>
      </w:r>
    </w:p>
    <w:p>
      <w:pPr>
        <w:pStyle w:val="BodyText"/>
        <w:spacing w:before="124"/>
        <w:ind w:left="537"/>
      </w:pPr>
      <w:r>
        <w:rPr/>
        <w:t>（1）机动车被依法注销登记的；</w:t>
      </w:r>
    </w:p>
    <w:p>
      <w:pPr>
        <w:pStyle w:val="BodyText"/>
        <w:ind w:left="537"/>
      </w:pPr>
      <w:r>
        <w:rPr/>
        <w:t>（2）未依法按时进行或通过机动车安全技术检验。</w:t>
      </w:r>
    </w:p>
    <w:p>
      <w:pPr>
        <w:pStyle w:val="BodyText"/>
        <w:spacing w:line="468" w:lineRule="exact" w:before="59"/>
        <w:ind w:left="117" w:right="109"/>
        <w:jc w:val="both"/>
      </w:pPr>
      <w:r>
        <w:rPr>
          <w:rFonts w:ascii="微软雅黑" w:eastAsia="微软雅黑" w:hint="eastAsia"/>
          <w:b/>
        </w:rPr>
        <w:t>9</w:t>
      </w:r>
      <w:r>
        <w:rPr>
          <w:rFonts w:ascii="Microsoft JhengHei" w:eastAsia="Microsoft JhengHei" w:hint="eastAsia"/>
          <w:b/>
          <w:spacing w:val="6"/>
        </w:rPr>
        <w:t>、艾滋病病毒 </w:t>
      </w:r>
      <w:r>
        <w:rPr/>
        <w:t>获得性免疫力缺乏综合征病毒（HIV）的简称。获得性免疫力缺</w:t>
      </w:r>
      <w:r>
        <w:rPr>
          <w:spacing w:val="-4"/>
        </w:rPr>
        <w:t>乏综合征的定义应按世界卫生组织制定的定义为准，如在血液样本中发现获得性免疫力缺乏综合征病毒或其抗体，则可认定为感染艾滋病或艾滋病病毒。</w:t>
      </w:r>
    </w:p>
    <w:p>
      <w:pPr>
        <w:spacing w:before="17"/>
        <w:ind w:left="117" w:right="0" w:firstLine="0"/>
        <w:jc w:val="left"/>
        <w:rPr>
          <w:sz w:val="24"/>
        </w:rPr>
      </w:pPr>
      <w:r>
        <w:rPr>
          <w:rFonts w:ascii="微软雅黑" w:eastAsia="微软雅黑" w:hint="eastAsia"/>
          <w:b/>
          <w:sz w:val="24"/>
        </w:rPr>
        <w:t>10</w:t>
      </w:r>
      <w:r>
        <w:rPr>
          <w:rFonts w:ascii="Microsoft JhengHei" w:eastAsia="Microsoft JhengHei" w:hint="eastAsia"/>
          <w:b/>
          <w:sz w:val="24"/>
        </w:rPr>
        <w:t>、艾滋病 </w:t>
      </w:r>
      <w:r>
        <w:rPr>
          <w:sz w:val="24"/>
        </w:rPr>
        <w:t>获得性免疫力缺乏综合征（AIDS）的简称。</w:t>
      </w:r>
    </w:p>
    <w:p>
      <w:pPr>
        <w:pStyle w:val="BodyText"/>
        <w:spacing w:line="468" w:lineRule="exact" w:before="30"/>
        <w:ind w:left="117" w:right="106"/>
        <w:jc w:val="both"/>
      </w:pPr>
      <w:r>
        <w:rPr>
          <w:rFonts w:ascii="微软雅黑" w:eastAsia="微软雅黑" w:hint="eastAsia"/>
          <w:b/>
        </w:rPr>
        <w:t>11</w:t>
      </w:r>
      <w:r>
        <w:rPr>
          <w:rFonts w:ascii="Microsoft JhengHei" w:eastAsia="Microsoft JhengHei" w:hint="eastAsia"/>
          <w:b/>
          <w:spacing w:val="0"/>
        </w:rPr>
        <w:t>、先天性畸形、变形或染色体异常 </w:t>
      </w:r>
      <w:r>
        <w:rPr/>
        <w:t>指被保险人出生时就具有的畸形、变形或</w:t>
      </w:r>
      <w:r>
        <w:rPr>
          <w:spacing w:val="-8"/>
        </w:rPr>
        <w:t>者染色体异常。先天性畸形、变形和染色体异常依照世界卫生组织《疾病和有关</w:t>
      </w:r>
      <w:r>
        <w:rPr>
          <w:spacing w:val="-18"/>
        </w:rPr>
        <w:t>健康问题的国际统计分类》</w:t>
      </w:r>
      <w:r>
        <w:rPr/>
        <w:t>（ICD-10）确定。</w:t>
      </w:r>
    </w:p>
    <w:p>
      <w:pPr>
        <w:spacing w:after="0" w:line="468" w:lineRule="exact"/>
        <w:jc w:val="both"/>
        <w:sectPr>
          <w:pgSz w:w="11900" w:h="16840"/>
          <w:pgMar w:header="0" w:footer="1007" w:top="1460" w:bottom="1200" w:left="1680" w:right="1680"/>
        </w:sectPr>
      </w:pPr>
    </w:p>
    <w:p>
      <w:pPr>
        <w:spacing w:line="340" w:lineRule="exact" w:before="0"/>
        <w:ind w:left="117" w:right="0" w:firstLine="0"/>
        <w:jc w:val="left"/>
        <w:rPr>
          <w:rFonts w:ascii="Microsoft JhengHei" w:eastAsia="Microsoft JhengHei" w:hint="eastAsia"/>
          <w:b/>
          <w:sz w:val="24"/>
        </w:rPr>
      </w:pPr>
      <w:r>
        <w:rPr>
          <w:rFonts w:ascii="Microsoft JhengHei" w:eastAsia="Microsoft JhengHei" w:hint="eastAsia"/>
          <w:b/>
          <w:sz w:val="24"/>
        </w:rPr>
        <w:t>附：重大疾病种类清单</w:t>
      </w:r>
    </w:p>
    <w:p>
      <w:pPr>
        <w:spacing w:before="50"/>
        <w:ind w:left="117" w:right="0" w:firstLine="0"/>
        <w:jc w:val="left"/>
        <w:rPr>
          <w:rFonts w:ascii="Microsoft JhengHei" w:eastAsia="Microsoft JhengHei" w:hint="eastAsia"/>
          <w:b/>
          <w:sz w:val="24"/>
        </w:rPr>
      </w:pPr>
      <w:r>
        <w:rPr>
          <w:rFonts w:ascii="微软雅黑" w:eastAsia="微软雅黑" w:hint="eastAsia"/>
          <w:b/>
          <w:w w:val="95"/>
          <w:sz w:val="24"/>
        </w:rPr>
        <w:t>1</w:t>
      </w:r>
      <w:r>
        <w:rPr>
          <w:rFonts w:ascii="Microsoft JhengHei" w:eastAsia="Microsoft JhengHei" w:hint="eastAsia"/>
          <w:b/>
          <w:w w:val="95"/>
          <w:sz w:val="24"/>
        </w:rPr>
        <w:t>、恶性肿瘤</w:t>
      </w:r>
    </w:p>
    <w:p>
      <w:pPr>
        <w:pStyle w:val="BodyText"/>
        <w:spacing w:line="357" w:lineRule="auto" w:before="124"/>
        <w:ind w:left="117" w:right="226" w:firstLine="480"/>
      </w:pPr>
      <w:r>
        <w:rPr>
          <w:spacing w:val="-5"/>
        </w:rPr>
        <w:t>指恶性细胞不受控制的进行性增长和扩散，浸润和破坏周围正常组织，可以经血管、淋巴管和体腔扩散转移到身体其它部位的疾病。</w:t>
      </w:r>
    </w:p>
    <w:p>
      <w:pPr>
        <w:pStyle w:val="BodyText"/>
        <w:spacing w:before="35"/>
        <w:ind w:left="597"/>
      </w:pPr>
      <w:r>
        <w:rPr/>
        <w:t>经病理学检查结果明确诊断，临床诊断属于世界卫生组织《疾病和有关健康</w:t>
      </w:r>
    </w:p>
    <w:p>
      <w:pPr>
        <w:pStyle w:val="BodyText"/>
        <w:ind w:left="117"/>
      </w:pPr>
      <w:r>
        <w:rPr/>
        <w:t>问题的国际统计分类》（ICD-10）的恶性肿瘤范畴。</w:t>
      </w:r>
    </w:p>
    <w:p>
      <w:pPr>
        <w:pStyle w:val="BodyText"/>
        <w:ind w:left="597"/>
      </w:pPr>
      <w:r>
        <w:rPr/>
        <w:t>下列疾病不在保障范围内：</w:t>
      </w:r>
    </w:p>
    <w:p>
      <w:pPr>
        <w:pStyle w:val="BodyText"/>
        <w:ind w:left="477"/>
      </w:pPr>
      <w:r>
        <w:rPr/>
        <w:t>（1）原位癌；</w:t>
      </w:r>
    </w:p>
    <w:p>
      <w:pPr>
        <w:pStyle w:val="BodyText"/>
        <w:ind w:left="465"/>
      </w:pPr>
      <w:r>
        <w:rPr/>
        <w:t>（2）相当于Binet 分期方案A 期程度的慢性淋巴细胞白血病；</w:t>
      </w:r>
    </w:p>
    <w:p>
      <w:pPr>
        <w:pStyle w:val="BodyText"/>
        <w:ind w:left="477"/>
      </w:pPr>
      <w:r>
        <w:rPr/>
        <w:t>（3）相当于Ann Arbor 分期方案I 期程度的何杰金氏病；</w:t>
      </w:r>
    </w:p>
    <w:p>
      <w:pPr>
        <w:pStyle w:val="BodyText"/>
        <w:ind w:left="477"/>
      </w:pPr>
      <w:r>
        <w:rPr/>
        <w:t>（4）皮肤癌（不包括恶性黑色素瘤及已发生转移的皮肤癌</w:t>
      </w:r>
      <w:r>
        <w:rPr>
          <w:spacing w:val="-120"/>
        </w:rPr>
        <w:t>）</w:t>
      </w:r>
      <w:r>
        <w:rPr/>
        <w:t>；</w:t>
      </w:r>
    </w:p>
    <w:p>
      <w:pPr>
        <w:spacing w:before="206"/>
        <w:ind w:left="477" w:right="0" w:firstLine="0"/>
        <w:jc w:val="left"/>
        <w:rPr>
          <w:sz w:val="24"/>
        </w:rPr>
      </w:pPr>
      <w:r>
        <w:rPr>
          <w:sz w:val="24"/>
        </w:rPr>
        <w:t>（5）TNM分期为</w:t>
      </w:r>
      <w:r>
        <w:rPr>
          <w:rFonts w:ascii="Times New Roman" w:eastAsia="Times New Roman"/>
          <w:i/>
          <w:sz w:val="24"/>
        </w:rPr>
        <w:t>T</w:t>
      </w:r>
      <w:r>
        <w:rPr>
          <w:rFonts w:ascii="Times New Roman" w:eastAsia="Times New Roman"/>
          <w:position w:val="-5"/>
          <w:sz w:val="14"/>
        </w:rPr>
        <w:t>1 </w:t>
      </w:r>
      <w:r>
        <w:rPr>
          <w:rFonts w:ascii="Times New Roman" w:eastAsia="Times New Roman"/>
          <w:i/>
          <w:sz w:val="24"/>
        </w:rPr>
        <w:t>N</w:t>
      </w:r>
      <w:r>
        <w:rPr>
          <w:rFonts w:ascii="Times New Roman" w:eastAsia="Times New Roman"/>
          <w:position w:val="-5"/>
          <w:sz w:val="14"/>
        </w:rPr>
        <w:t>0 </w:t>
      </w:r>
      <w:r>
        <w:rPr>
          <w:rFonts w:ascii="Times New Roman" w:eastAsia="Times New Roman"/>
          <w:i/>
          <w:sz w:val="24"/>
        </w:rPr>
        <w:t>M </w:t>
      </w:r>
      <w:r>
        <w:rPr>
          <w:rFonts w:ascii="Times New Roman" w:eastAsia="Times New Roman"/>
          <w:position w:val="-5"/>
          <w:sz w:val="14"/>
        </w:rPr>
        <w:t>0 </w:t>
      </w:r>
      <w:r>
        <w:rPr>
          <w:sz w:val="24"/>
        </w:rPr>
        <w:t>期或更轻分期的前列腺癌；</w:t>
      </w:r>
    </w:p>
    <w:p>
      <w:pPr>
        <w:pStyle w:val="BodyText"/>
        <w:spacing w:before="200"/>
        <w:ind w:left="477"/>
      </w:pPr>
      <w:r>
        <w:rPr/>
        <w:t>（6）感染艾滋病病毒或患艾滋病期间所患恶性肿瘤。</w:t>
      </w:r>
    </w:p>
    <w:p>
      <w:pPr>
        <w:pStyle w:val="BodyText"/>
        <w:spacing w:before="0"/>
      </w:pPr>
    </w:p>
    <w:p>
      <w:pPr>
        <w:pStyle w:val="BodyText"/>
        <w:spacing w:before="8"/>
        <w:rPr>
          <w:sz w:val="17"/>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急性心肌梗塞</w:t>
      </w:r>
    </w:p>
    <w:p>
      <w:pPr>
        <w:pStyle w:val="BodyText"/>
        <w:spacing w:before="124"/>
        <w:ind w:left="597"/>
      </w:pPr>
      <w:r>
        <w:rPr/>
        <w:t>指因冠状动脉阻塞导致的相应区域供血不足造成部分心肌坏死。</w:t>
      </w:r>
    </w:p>
    <w:p>
      <w:pPr>
        <w:pStyle w:val="BodyText"/>
        <w:ind w:left="597"/>
      </w:pPr>
      <w:r>
        <w:rPr/>
        <w:t>须满足下列至少三项条件：</w:t>
      </w:r>
    </w:p>
    <w:p>
      <w:pPr>
        <w:pStyle w:val="BodyText"/>
        <w:ind w:left="597"/>
      </w:pPr>
      <w:r>
        <w:rPr/>
        <w:t>（1）典型临床表现，例如急性胸痛等；</w:t>
      </w:r>
    </w:p>
    <w:p>
      <w:pPr>
        <w:pStyle w:val="BodyText"/>
        <w:ind w:left="597"/>
      </w:pPr>
      <w:r>
        <w:rPr/>
        <w:t>（2）新近的心电图改变提示急性心肌梗塞；</w:t>
      </w:r>
    </w:p>
    <w:p>
      <w:pPr>
        <w:pStyle w:val="BodyText"/>
        <w:spacing w:line="357" w:lineRule="auto"/>
        <w:ind w:left="117" w:right="260" w:firstLine="480"/>
      </w:pPr>
      <w:r>
        <w:rPr/>
        <w:t>（3）心肌酶或肌钙蛋白有诊断意义的升高，或呈符合急性心肌梗塞的动态性变化；</w:t>
      </w:r>
    </w:p>
    <w:p>
      <w:pPr>
        <w:pStyle w:val="BodyText"/>
        <w:spacing w:before="36"/>
        <w:ind w:left="597"/>
      </w:pPr>
      <w:r>
        <w:rPr/>
        <w:drawing>
          <wp:anchor distT="0" distB="0" distL="0" distR="0" allowOverlap="1" layoutInCell="1" locked="0" behindDoc="1" simplePos="0" relativeHeight="268414775">
            <wp:simplePos x="0" y="0"/>
            <wp:positionH relativeFrom="page">
              <wp:posOffset>6271386</wp:posOffset>
            </wp:positionH>
            <wp:positionV relativeFrom="paragraph">
              <wp:posOffset>86558</wp:posOffset>
            </wp:positionV>
            <wp:extent cx="66675" cy="117474"/>
            <wp:effectExtent l="0" t="0" r="0" b="0"/>
            <wp:wrapNone/>
            <wp:docPr id="35" name="image2.png" descr=""/>
            <wp:cNvGraphicFramePr>
              <a:graphicFrameLocks noChangeAspect="1"/>
            </wp:cNvGraphicFramePr>
            <a:graphic>
              <a:graphicData uri="http://schemas.openxmlformats.org/drawingml/2006/picture">
                <pic:pic>
                  <pic:nvPicPr>
                    <pic:cNvPr id="36" name="image2.png"/>
                    <pic:cNvPicPr/>
                  </pic:nvPicPr>
                  <pic:blipFill>
                    <a:blip r:embed="rId7" cstate="print"/>
                    <a:stretch>
                      <a:fillRect/>
                    </a:stretch>
                  </pic:blipFill>
                  <pic:spPr>
                    <a:xfrm>
                      <a:off x="0" y="0"/>
                      <a:ext cx="66675" cy="117474"/>
                    </a:xfrm>
                    <a:prstGeom prst="rect">
                      <a:avLst/>
                    </a:prstGeom>
                  </pic:spPr>
                </pic:pic>
              </a:graphicData>
            </a:graphic>
          </wp:anchor>
        </w:drawing>
      </w:r>
      <w:r>
        <w:rPr/>
        <w:t>（4</w:t>
      </w:r>
      <w:r>
        <w:rPr>
          <w:spacing w:val="-111"/>
        </w:rPr>
        <w:t>）</w:t>
      </w:r>
      <w:r>
        <w:rPr/>
        <w:t>发病90</w:t>
      </w:r>
      <w:r>
        <w:rPr>
          <w:spacing w:val="-17"/>
        </w:rPr>
        <w:t> 天后，经检查证实左心室功能降低，如左心室射血分数低于</w:t>
      </w:r>
      <w:r>
        <w:rPr/>
        <w:t>50</w:t>
      </w:r>
      <w:r>
        <w:rPr>
          <w:spacing w:val="-18"/>
        </w:rPr>
        <w:t>。</w:t>
      </w:r>
    </w:p>
    <w:p>
      <w:pPr>
        <w:pStyle w:val="BodyText"/>
        <w:spacing w:before="0"/>
      </w:pPr>
    </w:p>
    <w:p>
      <w:pPr>
        <w:pStyle w:val="BodyText"/>
        <w:spacing w:before="9"/>
        <w:rPr>
          <w:sz w:val="17"/>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脑中风后遗症</w:t>
      </w:r>
    </w:p>
    <w:p>
      <w:pPr>
        <w:pStyle w:val="BodyText"/>
        <w:spacing w:line="357" w:lineRule="auto" w:before="124"/>
        <w:ind w:left="117" w:right="226" w:firstLine="480"/>
        <w:jc w:val="both"/>
      </w:pPr>
      <w:r>
        <w:rPr>
          <w:spacing w:val="-5"/>
        </w:rPr>
        <w:t>指因脑血管的突发病变引起脑血管出血、栓塞或梗塞，并导致神经系统永久</w:t>
      </w:r>
      <w:r>
        <w:rPr>
          <w:spacing w:val="-10"/>
        </w:rPr>
        <w:t>性的功能障碍。神经系统永久性的功能障碍，指疾病确诊</w:t>
      </w:r>
      <w:r>
        <w:rPr/>
        <w:t>180</w:t>
      </w:r>
      <w:r>
        <w:rPr>
          <w:spacing w:val="-6"/>
        </w:rPr>
        <w:t> 天后，仍遗留下列一种或一种以上障碍：</w:t>
      </w:r>
    </w:p>
    <w:p>
      <w:pPr>
        <w:pStyle w:val="BodyText"/>
        <w:spacing w:before="35"/>
        <w:ind w:left="597"/>
      </w:pPr>
      <w:r>
        <w:rPr/>
        <w:t>（1）一肢或一肢以上肢体机能完全丧失；</w:t>
      </w:r>
    </w:p>
    <w:p>
      <w:pPr>
        <w:pStyle w:val="BodyText"/>
        <w:ind w:left="597"/>
      </w:pPr>
      <w:r>
        <w:rPr/>
        <w:t>（2）语言能力或咀嚼吞咽能力完全丧失；</w:t>
      </w:r>
    </w:p>
    <w:p>
      <w:pPr>
        <w:spacing w:after="0"/>
        <w:sectPr>
          <w:pgSz w:w="11900" w:h="16840"/>
          <w:pgMar w:header="0" w:footer="1007" w:top="1460" w:bottom="1200" w:left="1680" w:right="1560"/>
        </w:sectPr>
      </w:pPr>
    </w:p>
    <w:p>
      <w:pPr>
        <w:pStyle w:val="BodyText"/>
        <w:spacing w:line="313" w:lineRule="exact" w:before="0"/>
        <w:ind w:left="597"/>
      </w:pPr>
      <w:r>
        <w:rPr/>
        <w:t>（3）自主生活能力完全丧失，无法独立完成六项基本日常生活活动中的三</w:t>
      </w:r>
    </w:p>
    <w:p>
      <w:pPr>
        <w:pStyle w:val="BodyText"/>
        <w:spacing w:before="154"/>
        <w:ind w:left="117"/>
      </w:pPr>
      <w:r>
        <w:rPr/>
        <w:t>项或三项以上。</w:t>
      </w:r>
    </w:p>
    <w:p>
      <w:pPr>
        <w:pStyle w:val="BodyText"/>
        <w:spacing w:before="0"/>
      </w:pPr>
    </w:p>
    <w:p>
      <w:pPr>
        <w:pStyle w:val="BodyText"/>
        <w:spacing w:before="9"/>
        <w:rPr>
          <w:sz w:val="17"/>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重大器官移植术或造血干细胞移植术</w:t>
      </w:r>
    </w:p>
    <w:p>
      <w:pPr>
        <w:pStyle w:val="BodyText"/>
        <w:spacing w:before="124"/>
        <w:ind w:left="597"/>
      </w:pPr>
      <w:r>
        <w:rPr/>
        <w:t>重大器官移植术，指因相应器官功能衰竭，已经实施了肾脏、肝脏、心脏或</w:t>
      </w:r>
    </w:p>
    <w:p>
      <w:pPr>
        <w:pStyle w:val="BodyText"/>
        <w:ind w:left="117"/>
      </w:pPr>
      <w:r>
        <w:rPr/>
        <w:t>肺脏的异体移植手术。</w:t>
      </w:r>
    </w:p>
    <w:p>
      <w:pPr>
        <w:pStyle w:val="BodyText"/>
        <w:spacing w:line="357" w:lineRule="auto"/>
        <w:ind w:left="117" w:right="106" w:firstLine="480"/>
        <w:jc w:val="both"/>
      </w:pPr>
      <w:r>
        <w:rPr>
          <w:spacing w:val="-7"/>
        </w:rPr>
        <w:t>造血干细胞移植术，指因造血功能损害或造血系统恶性肿瘤，已经实施了造</w:t>
      </w:r>
      <w:r>
        <w:rPr>
          <w:spacing w:val="-13"/>
        </w:rPr>
        <w:t>血干细胞</w:t>
      </w:r>
      <w:r>
        <w:rPr/>
        <w:t>（</w:t>
      </w:r>
      <w:r>
        <w:rPr>
          <w:spacing w:val="-3"/>
        </w:rPr>
        <w:t>包括骨髓造血干细胞、外周血造血干细胞和脐血造血干细胞</w:t>
      </w:r>
      <w:r>
        <w:rPr>
          <w:spacing w:val="-29"/>
        </w:rPr>
        <w:t>）</w:t>
      </w:r>
      <w:r>
        <w:rPr/>
        <w:t>的异体移植手术。</w:t>
      </w:r>
    </w:p>
    <w:p>
      <w:pPr>
        <w:pStyle w:val="BodyText"/>
        <w:spacing w:before="8"/>
        <w:rPr>
          <w:sz w:val="32"/>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冠状动脉搭桥术（或称冠状动脉旁路移植术）</w:t>
      </w:r>
    </w:p>
    <w:p>
      <w:pPr>
        <w:pStyle w:val="BodyText"/>
        <w:spacing w:before="124"/>
        <w:ind w:left="597"/>
      </w:pPr>
      <w:r>
        <w:rPr/>
        <w:t>指为治疗严重的冠心病，实际实施了开胸进行的冠状动脉血管旁路移植的手</w:t>
      </w:r>
    </w:p>
    <w:p>
      <w:pPr>
        <w:pStyle w:val="BodyText"/>
        <w:ind w:left="117"/>
      </w:pPr>
      <w:r>
        <w:rPr/>
        <w:t>术。</w:t>
      </w:r>
    </w:p>
    <w:p>
      <w:pPr>
        <w:pStyle w:val="BodyText"/>
        <w:spacing w:line="357" w:lineRule="auto"/>
        <w:ind w:left="117" w:right="106" w:firstLine="480"/>
      </w:pPr>
      <w:r>
        <w:rPr>
          <w:spacing w:val="-8"/>
        </w:rPr>
        <w:t>冠状动脉支架植入术、心导管球囊扩张术、激光射频技术及其它非开胸的介入手术、腔镜手术不在保障范围内。</w:t>
      </w:r>
    </w:p>
    <w:p>
      <w:pPr>
        <w:pStyle w:val="BodyText"/>
        <w:spacing w:before="8"/>
        <w:rPr>
          <w:sz w:val="32"/>
        </w:rPr>
      </w:pPr>
    </w:p>
    <w:p>
      <w:pPr>
        <w:pStyle w:val="ListParagraph"/>
        <w:numPr>
          <w:ilvl w:val="0"/>
          <w:numId w:val="3"/>
        </w:numPr>
        <w:tabs>
          <w:tab w:pos="360" w:val="left" w:leader="none"/>
        </w:tabs>
        <w:spacing w:line="240" w:lineRule="auto" w:before="1" w:after="0"/>
        <w:ind w:left="360" w:right="0" w:hanging="243"/>
        <w:jc w:val="left"/>
        <w:rPr>
          <w:b/>
          <w:sz w:val="24"/>
        </w:rPr>
      </w:pPr>
      <w:r>
        <w:rPr>
          <w:b/>
          <w:sz w:val="24"/>
        </w:rPr>
        <w:t>终末期肾病（或称慢性肾功能衰竭尿毒症期）</w:t>
      </w:r>
    </w:p>
    <w:p>
      <w:pPr>
        <w:pStyle w:val="BodyText"/>
        <w:spacing w:before="125"/>
        <w:ind w:left="597"/>
      </w:pPr>
      <w:r>
        <w:rPr/>
        <w:t>指双肾功能慢性不可逆性衰竭，达到尿毒症期，经诊断后已经进行了至少90</w:t>
      </w:r>
    </w:p>
    <w:p>
      <w:pPr>
        <w:pStyle w:val="BodyText"/>
        <w:spacing w:before="154"/>
        <w:ind w:left="117"/>
      </w:pPr>
      <w:r>
        <w:rPr/>
        <w:t>天的规律性透析治疗或实施了肾脏移植手术。</w:t>
      </w:r>
    </w:p>
    <w:p>
      <w:pPr>
        <w:pStyle w:val="BodyText"/>
        <w:spacing w:before="0"/>
      </w:pPr>
    </w:p>
    <w:p>
      <w:pPr>
        <w:pStyle w:val="BodyText"/>
        <w:spacing w:before="9"/>
        <w:rPr>
          <w:sz w:val="17"/>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多个肢体缺失</w:t>
      </w:r>
    </w:p>
    <w:p>
      <w:pPr>
        <w:pStyle w:val="BodyText"/>
        <w:spacing w:line="357" w:lineRule="auto" w:before="124"/>
        <w:ind w:left="117" w:right="109" w:firstLine="480"/>
      </w:pPr>
      <w:r>
        <w:rPr>
          <w:spacing w:val="-3"/>
        </w:rPr>
        <w:t>指因疾病或意外伤害导致两个或两个以上肢体自腕关节或踝关节近端</w:t>
      </w:r>
      <w:r>
        <w:rPr/>
        <w:t>（靠近躯干端）以上完全性断离。</w:t>
      </w:r>
    </w:p>
    <w:p>
      <w:pPr>
        <w:pStyle w:val="BodyText"/>
        <w:spacing w:before="8"/>
        <w:rPr>
          <w:sz w:val="32"/>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急性或亚急性重症肝炎</w:t>
      </w:r>
    </w:p>
    <w:p>
      <w:pPr>
        <w:pStyle w:val="BodyText"/>
        <w:spacing w:line="357" w:lineRule="auto" w:before="124"/>
        <w:ind w:left="117" w:right="106" w:firstLine="480"/>
      </w:pPr>
      <w:r>
        <w:rPr>
          <w:spacing w:val="-5"/>
        </w:rPr>
        <w:t>指因肝炎病毒感染引起肝脏组织弥漫性坏死，导致急性肝功能衰竭，且经血清学或病毒学检查证实，并须满足下列全部条件：</w:t>
      </w:r>
    </w:p>
    <w:p>
      <w:pPr>
        <w:pStyle w:val="BodyText"/>
        <w:spacing w:before="36"/>
        <w:ind w:left="597"/>
      </w:pPr>
      <w:r>
        <w:rPr/>
        <w:t>（1）重度黄疸或黄疸迅速加重；</w:t>
      </w:r>
    </w:p>
    <w:p>
      <w:pPr>
        <w:pStyle w:val="BodyText"/>
        <w:spacing w:before="154"/>
        <w:ind w:left="597"/>
      </w:pPr>
      <w:r>
        <w:rPr/>
        <w:t>（2）肝性脑病；</w:t>
      </w:r>
    </w:p>
    <w:p>
      <w:pPr>
        <w:pStyle w:val="BodyText"/>
        <w:spacing w:before="154"/>
        <w:ind w:left="597"/>
      </w:pPr>
      <w:r>
        <w:rPr/>
        <w:t>（3）B 超或其它影像学检查显示肝脏体积急速萎缩；</w:t>
      </w:r>
    </w:p>
    <w:p>
      <w:pPr>
        <w:spacing w:after="0"/>
        <w:sectPr>
          <w:pgSz w:w="11900" w:h="16840"/>
          <w:pgMar w:header="0" w:footer="1007" w:top="1460" w:bottom="1200" w:left="1680" w:right="1680"/>
        </w:sectPr>
      </w:pPr>
    </w:p>
    <w:p>
      <w:pPr>
        <w:pStyle w:val="BodyText"/>
        <w:spacing w:line="313" w:lineRule="exact" w:before="0"/>
        <w:ind w:left="597"/>
      </w:pPr>
      <w:r>
        <w:rPr/>
        <w:t>（4）肝功能指标进行性恶化。</w:t>
      </w:r>
    </w:p>
    <w:p>
      <w:pPr>
        <w:pStyle w:val="BodyText"/>
        <w:spacing w:before="0"/>
      </w:pPr>
    </w:p>
    <w:p>
      <w:pPr>
        <w:pStyle w:val="BodyText"/>
        <w:spacing w:before="9"/>
        <w:rPr>
          <w:sz w:val="17"/>
        </w:rPr>
      </w:pPr>
    </w:p>
    <w:p>
      <w:pPr>
        <w:pStyle w:val="ListParagraph"/>
        <w:numPr>
          <w:ilvl w:val="0"/>
          <w:numId w:val="3"/>
        </w:numPr>
        <w:tabs>
          <w:tab w:pos="360" w:val="left" w:leader="none"/>
        </w:tabs>
        <w:spacing w:line="240" w:lineRule="auto" w:before="0" w:after="0"/>
        <w:ind w:left="360" w:right="0" w:hanging="243"/>
        <w:jc w:val="left"/>
        <w:rPr>
          <w:b/>
          <w:sz w:val="24"/>
        </w:rPr>
      </w:pPr>
      <w:r>
        <w:rPr>
          <w:b/>
          <w:sz w:val="24"/>
        </w:rPr>
        <w:t>良性脑肿瘤</w:t>
      </w:r>
    </w:p>
    <w:p>
      <w:pPr>
        <w:pStyle w:val="BodyText"/>
        <w:spacing w:line="357" w:lineRule="auto" w:before="125"/>
        <w:ind w:left="117" w:right="106" w:firstLine="480"/>
        <w:jc w:val="both"/>
      </w:pPr>
      <w:r>
        <w:rPr>
          <w:spacing w:val="-7"/>
        </w:rPr>
        <w:t>指脑的良性肿瘤，已经引起颅内压增高，临床表现为视神经乳头水肿、精神症状、癫痫及运动感觉障碍等，并危及生命。须由头颅断层扫描（CT</w:t>
      </w:r>
      <w:r>
        <w:rPr>
          <w:spacing w:val="-120"/>
        </w:rPr>
        <w:t>）</w:t>
      </w:r>
      <w:r>
        <w:rPr/>
        <w:t>、核磁共</w:t>
      </w:r>
      <w:r>
        <w:rPr>
          <w:spacing w:val="-6"/>
        </w:rPr>
        <w:t>振检查</w:t>
      </w:r>
      <w:r>
        <w:rPr>
          <w:spacing w:val="-4"/>
        </w:rPr>
        <w:t>（MRI）</w:t>
      </w:r>
      <w:r>
        <w:rPr>
          <w:spacing w:val="-3"/>
        </w:rPr>
        <w:t>或正电子发射断层扫描</w:t>
      </w:r>
      <w:r>
        <w:rPr>
          <w:spacing w:val="-4"/>
        </w:rPr>
        <w:t>（PET）</w:t>
      </w:r>
      <w:r>
        <w:rPr>
          <w:spacing w:val="-3"/>
        </w:rPr>
        <w:t>等影像学检查证实，并须满足下列至少一项条件：</w:t>
      </w:r>
    </w:p>
    <w:p>
      <w:pPr>
        <w:pStyle w:val="BodyText"/>
        <w:spacing w:before="36"/>
        <w:ind w:left="597"/>
      </w:pPr>
      <w:r>
        <w:rPr/>
        <w:t>（1）实际实施了开颅进行的脑肿瘤完全切除或部分切除的手术；</w:t>
      </w:r>
    </w:p>
    <w:p>
      <w:pPr>
        <w:pStyle w:val="BodyText"/>
        <w:ind w:left="597"/>
      </w:pPr>
      <w:r>
        <w:rPr/>
        <w:t>（2）实际实施了对脑肿瘤进行的放射治疗。</w:t>
      </w:r>
    </w:p>
    <w:p>
      <w:pPr>
        <w:pStyle w:val="BodyText"/>
        <w:ind w:left="597"/>
      </w:pPr>
      <w:r>
        <w:rPr/>
        <w:t>脑垂体瘤、脑囊肿、脑血管性疾病不在保障范围内。</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慢性肝功能衰竭失代偿期</w:t>
      </w:r>
    </w:p>
    <w:p>
      <w:pPr>
        <w:pStyle w:val="BodyText"/>
        <w:spacing w:before="124"/>
        <w:ind w:left="597"/>
      </w:pPr>
      <w:r>
        <w:rPr/>
        <w:t>指因慢性肝脏疾病导致肝功能衰竭。须满足下列全部条件：</w:t>
      </w:r>
    </w:p>
    <w:p>
      <w:pPr>
        <w:pStyle w:val="BodyText"/>
        <w:ind w:left="597"/>
      </w:pPr>
      <w:r>
        <w:rPr/>
        <w:t>（1）持续性黄疸；</w:t>
      </w:r>
    </w:p>
    <w:p>
      <w:pPr>
        <w:pStyle w:val="BodyText"/>
        <w:ind w:left="597"/>
      </w:pPr>
      <w:r>
        <w:rPr/>
        <w:t>（2）腹水；</w:t>
      </w:r>
    </w:p>
    <w:p>
      <w:pPr>
        <w:pStyle w:val="BodyText"/>
        <w:ind w:left="597"/>
      </w:pPr>
      <w:r>
        <w:rPr/>
        <w:t>（3）肝性脑病；</w:t>
      </w:r>
    </w:p>
    <w:p>
      <w:pPr>
        <w:pStyle w:val="BodyText"/>
        <w:ind w:left="597"/>
      </w:pPr>
      <w:r>
        <w:rPr/>
        <w:t>（4）充血性脾肿大伴脾功能亢进或食管胃底静脉曲张。</w:t>
      </w:r>
    </w:p>
    <w:p>
      <w:pPr>
        <w:pStyle w:val="BodyText"/>
        <w:ind w:left="597"/>
      </w:pPr>
      <w:r>
        <w:rPr/>
        <w:t>因酗酒或药物滥用导致的肝功能衰竭不在保障范围内。</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脑炎后遗症或脑膜炎后遗症</w:t>
      </w:r>
    </w:p>
    <w:p>
      <w:pPr>
        <w:pStyle w:val="BodyText"/>
        <w:spacing w:before="124"/>
        <w:ind w:left="597"/>
      </w:pPr>
      <w:r>
        <w:rPr/>
        <w:t>指因患脑炎或脑膜炎导致的神经系统永久性的功能障碍。神经系统永久性的</w:t>
      </w:r>
    </w:p>
    <w:p>
      <w:pPr>
        <w:pStyle w:val="BodyText"/>
        <w:ind w:left="117"/>
      </w:pPr>
      <w:r>
        <w:rPr/>
        <w:t>功能障碍，指疾病确诊180 天后，仍遗留下列一种或一种以上障碍：</w:t>
      </w:r>
    </w:p>
    <w:p>
      <w:pPr>
        <w:pStyle w:val="BodyText"/>
        <w:ind w:left="597"/>
      </w:pPr>
      <w:r>
        <w:rPr/>
        <w:t>（1）一肢或一肢以上肢体机能完全丧失；</w:t>
      </w:r>
    </w:p>
    <w:p>
      <w:pPr>
        <w:pStyle w:val="BodyText"/>
        <w:ind w:left="597"/>
      </w:pPr>
      <w:r>
        <w:rPr/>
        <w:t>（2）语言能力或咀嚼吞咽能力完全丧失；</w:t>
      </w:r>
    </w:p>
    <w:p>
      <w:pPr>
        <w:pStyle w:val="BodyText"/>
        <w:ind w:left="597"/>
      </w:pPr>
      <w:r>
        <w:rPr/>
        <w:t>（3）自主生活能力完全丧失，无法独立完成六项基本日常生活活动中的三</w:t>
      </w:r>
    </w:p>
    <w:p>
      <w:pPr>
        <w:pStyle w:val="BodyText"/>
        <w:ind w:left="117"/>
      </w:pPr>
      <w:r>
        <w:rPr/>
        <w:t>项或三项以上。</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深度昏迷</w:t>
      </w:r>
    </w:p>
    <w:p>
      <w:pPr>
        <w:pStyle w:val="BodyText"/>
        <w:spacing w:before="124"/>
        <w:ind w:left="597"/>
      </w:pPr>
      <w:r>
        <w:rPr/>
        <w:t>指因疾病或意外伤害导致意识丧失,对外界刺激和体内需求均无反应,昏迷</w:t>
      </w:r>
    </w:p>
    <w:p>
      <w:pPr>
        <w:pStyle w:val="BodyText"/>
        <w:ind w:left="117"/>
      </w:pPr>
      <w:r>
        <w:rPr/>
        <w:t>程度按照格拉斯哥昏迷分级（Glasgow coma scale）结果为5分或5分以下，且已</w:t>
      </w:r>
    </w:p>
    <w:p>
      <w:pPr>
        <w:spacing w:after="0"/>
        <w:sectPr>
          <w:pgSz w:w="11900" w:h="16840"/>
          <w:pgMar w:header="0" w:footer="1007" w:top="1460" w:bottom="1200" w:left="1680" w:right="1680"/>
        </w:sectPr>
      </w:pPr>
    </w:p>
    <w:p>
      <w:pPr>
        <w:pStyle w:val="BodyText"/>
        <w:spacing w:line="313" w:lineRule="exact" w:before="0"/>
        <w:ind w:left="117"/>
      </w:pPr>
      <w:r>
        <w:rPr/>
        <w:t>经持续使用呼吸机及其它生命维持系统96小时以上。</w:t>
      </w:r>
    </w:p>
    <w:p>
      <w:pPr>
        <w:pStyle w:val="BodyText"/>
        <w:spacing w:before="154"/>
        <w:ind w:left="597"/>
      </w:pPr>
      <w:r>
        <w:rPr/>
        <w:t>因酗酒或药物滥用导致的深度昏迷不在保障范围内。</w:t>
      </w:r>
    </w:p>
    <w:p>
      <w:pPr>
        <w:pStyle w:val="BodyText"/>
        <w:spacing w:before="0"/>
      </w:pPr>
    </w:p>
    <w:p>
      <w:pPr>
        <w:pStyle w:val="BodyText"/>
        <w:spacing w:before="9"/>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双耳失聪</w:t>
      </w:r>
    </w:p>
    <w:p>
      <w:pPr>
        <w:pStyle w:val="BodyText"/>
        <w:spacing w:line="357" w:lineRule="auto" w:before="124"/>
        <w:ind w:left="117" w:right="226" w:firstLine="480"/>
        <w:jc w:val="both"/>
      </w:pPr>
      <w:r>
        <w:rPr>
          <w:spacing w:val="-5"/>
        </w:rPr>
        <w:t>指因疾病或意外伤害导致双耳听力永久不可逆性丧失，在</w:t>
      </w:r>
      <w:r>
        <w:rPr/>
        <w:t>500</w:t>
      </w:r>
      <w:r>
        <w:rPr>
          <w:spacing w:val="-27"/>
        </w:rPr>
        <w:t> 赫兹、</w:t>
      </w:r>
      <w:r>
        <w:rPr/>
        <w:t>1000</w:t>
      </w:r>
      <w:r>
        <w:rPr>
          <w:spacing w:val="-1"/>
        </w:rPr>
        <w:t> 赫兹和2000</w:t>
      </w:r>
      <w:r>
        <w:rPr>
          <w:spacing w:val="-5"/>
        </w:rPr>
        <w:t> 赫兹语音频率下，平均听阈大于</w:t>
      </w:r>
      <w:r>
        <w:rPr/>
        <w:t>90</w:t>
      </w:r>
      <w:r>
        <w:rPr>
          <w:spacing w:val="-8"/>
        </w:rPr>
        <w:t> 分贝，且经纯音听力测试、声导抗检测或听觉诱发电位检测等证实。</w:t>
      </w:r>
    </w:p>
    <w:p>
      <w:pPr>
        <w:pStyle w:val="BodyText"/>
        <w:spacing w:before="8"/>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双目失明</w:t>
      </w:r>
    </w:p>
    <w:p>
      <w:pPr>
        <w:pStyle w:val="BodyText"/>
        <w:spacing w:before="124"/>
        <w:ind w:left="597"/>
      </w:pPr>
      <w:r>
        <w:rPr/>
        <w:t>指因疾病或意外伤害导致双眼视力永久不可逆性丧失，双眼中较好眼须满足</w:t>
      </w:r>
    </w:p>
    <w:p>
      <w:pPr>
        <w:pStyle w:val="BodyText"/>
        <w:ind w:left="117"/>
      </w:pPr>
      <w:r>
        <w:rPr/>
        <w:t>下列至少一项条件：</w:t>
      </w:r>
    </w:p>
    <w:p>
      <w:pPr>
        <w:pStyle w:val="BodyText"/>
        <w:ind w:left="597"/>
      </w:pPr>
      <w:r>
        <w:rPr/>
        <w:t>（1）眼球缺失或摘除；</w:t>
      </w:r>
    </w:p>
    <w:p>
      <w:pPr>
        <w:pStyle w:val="BodyText"/>
        <w:spacing w:line="357" w:lineRule="auto"/>
        <w:ind w:left="117" w:right="260" w:firstLine="480"/>
      </w:pPr>
      <w:r>
        <w:rPr/>
        <w:t>（2）矫正视力低于0.02（采用国际标准视力表，如果使用其它视力表应进行换算</w:t>
      </w:r>
      <w:r>
        <w:rPr>
          <w:spacing w:val="-120"/>
        </w:rPr>
        <w:t>）</w:t>
      </w:r>
      <w:r>
        <w:rPr/>
        <w:t>；</w:t>
      </w:r>
    </w:p>
    <w:p>
      <w:pPr>
        <w:pStyle w:val="BodyText"/>
        <w:spacing w:before="36"/>
        <w:ind w:left="597"/>
      </w:pPr>
      <w:r>
        <w:rPr/>
        <w:t>（3）视野半径小于5 度。</w:t>
      </w:r>
    </w:p>
    <w:p>
      <w:pPr>
        <w:pStyle w:val="BodyText"/>
        <w:spacing w:before="0"/>
      </w:pPr>
    </w:p>
    <w:p>
      <w:pPr>
        <w:pStyle w:val="BodyText"/>
        <w:spacing w:before="9"/>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瘫痪</w:t>
      </w:r>
    </w:p>
    <w:p>
      <w:pPr>
        <w:pStyle w:val="BodyText"/>
        <w:spacing w:line="357" w:lineRule="auto" w:before="124"/>
        <w:ind w:left="117" w:right="226" w:firstLine="480"/>
        <w:jc w:val="both"/>
      </w:pPr>
      <w:r>
        <w:rPr>
          <w:spacing w:val="-4"/>
        </w:rPr>
        <w:t>指因疾病或意外伤害导致两肢或两肢以上肢体机能永久完全丧失。肢体机能</w:t>
      </w:r>
      <w:r>
        <w:rPr>
          <w:spacing w:val="-8"/>
        </w:rPr>
        <w:t>永久完全丧失，指疾病确诊</w:t>
      </w:r>
      <w:r>
        <w:rPr/>
        <w:t>180天后或意外伤害发生180</w:t>
      </w:r>
      <w:r>
        <w:rPr>
          <w:spacing w:val="-7"/>
        </w:rPr>
        <w:t>天后，每肢三大关节中的两大关节仍然完全僵硬，或不能随意识活动。</w:t>
      </w:r>
    </w:p>
    <w:p>
      <w:pPr>
        <w:pStyle w:val="BodyText"/>
        <w:spacing w:before="8"/>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心脏瓣膜手术</w:t>
      </w:r>
    </w:p>
    <w:p>
      <w:pPr>
        <w:pStyle w:val="BodyText"/>
        <w:spacing w:before="124"/>
        <w:ind w:left="597"/>
      </w:pPr>
      <w:r>
        <w:rPr/>
        <w:t>指为治疗心脏瓣膜疾病，实际实施了开胸进行的心脏瓣膜置换或修复的手</w:t>
      </w:r>
    </w:p>
    <w:p>
      <w:pPr>
        <w:pStyle w:val="BodyText"/>
        <w:ind w:left="117"/>
      </w:pPr>
      <w:r>
        <w:rPr/>
        <w:t>术。</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严重阿尔茨海默病</w:t>
      </w:r>
    </w:p>
    <w:p>
      <w:pPr>
        <w:pStyle w:val="BodyText"/>
        <w:spacing w:before="1"/>
        <w:rPr>
          <w:rFonts w:ascii="Microsoft JhengHei"/>
          <w:b/>
          <w:sz w:val="16"/>
        </w:rPr>
      </w:pPr>
    </w:p>
    <w:p>
      <w:pPr>
        <w:pStyle w:val="BodyText"/>
        <w:spacing w:line="357" w:lineRule="auto" w:before="1"/>
        <w:ind w:left="117" w:right="106" w:firstLine="480"/>
      </w:pPr>
      <w:r>
        <w:rPr>
          <w:spacing w:val="-8"/>
        </w:rPr>
        <w:t>指因大脑进行性、不可逆性改变导致智能严重衰退或丧失，临床表现为明显</w:t>
      </w:r>
      <w:r>
        <w:rPr>
          <w:spacing w:val="-18"/>
        </w:rPr>
        <w:t>的认知能力障碍、行为异常和社交能力减退，其日常生活必须持续受到他人监护。须由头颅断层扫描（CT</w:t>
      </w:r>
      <w:r>
        <w:rPr>
          <w:spacing w:val="-120"/>
        </w:rPr>
        <w:t>）</w:t>
      </w:r>
      <w:r>
        <w:rPr/>
        <w:t>、核磁共振检查（MRI）或正电子发射断层扫描（PET）</w:t>
      </w:r>
    </w:p>
    <w:p>
      <w:pPr>
        <w:spacing w:after="0" w:line="357" w:lineRule="auto"/>
        <w:sectPr>
          <w:pgSz w:w="11900" w:h="16840"/>
          <w:pgMar w:header="0" w:footer="1007" w:top="1460" w:bottom="1200" w:left="1680" w:right="1560"/>
        </w:sectPr>
      </w:pPr>
    </w:p>
    <w:p>
      <w:pPr>
        <w:pStyle w:val="BodyText"/>
        <w:spacing w:line="313" w:lineRule="exact" w:before="0"/>
        <w:ind w:left="117"/>
      </w:pPr>
      <w:r>
        <w:rPr/>
        <w:t>等影像学检查证实，自主生活能力完全丧失，无法独立完成六项基本日常生活活</w:t>
      </w:r>
    </w:p>
    <w:p>
      <w:pPr>
        <w:pStyle w:val="BodyText"/>
        <w:spacing w:before="154"/>
        <w:ind w:left="117"/>
      </w:pPr>
      <w:r>
        <w:rPr/>
        <w:t>动中的三项或三项以上。</w:t>
      </w:r>
    </w:p>
    <w:p>
      <w:pPr>
        <w:pStyle w:val="BodyText"/>
        <w:spacing w:before="154"/>
        <w:ind w:left="597"/>
      </w:pPr>
      <w:r>
        <w:rPr/>
        <w:t>神经官能症和精神疾病不在保障范围内。</w:t>
      </w:r>
    </w:p>
    <w:p>
      <w:pPr>
        <w:pStyle w:val="BodyText"/>
        <w:spacing w:before="0"/>
      </w:pPr>
    </w:p>
    <w:p>
      <w:pPr>
        <w:pStyle w:val="BodyText"/>
        <w:spacing w:before="9"/>
        <w:rPr>
          <w:sz w:val="17"/>
        </w:rPr>
      </w:pPr>
    </w:p>
    <w:p>
      <w:pPr>
        <w:pStyle w:val="ListParagraph"/>
        <w:numPr>
          <w:ilvl w:val="0"/>
          <w:numId w:val="3"/>
        </w:numPr>
        <w:tabs>
          <w:tab w:pos="420" w:val="left" w:leader="none"/>
        </w:tabs>
        <w:spacing w:line="240" w:lineRule="auto" w:before="0" w:after="0"/>
        <w:ind w:left="420" w:right="0" w:hanging="303"/>
        <w:jc w:val="left"/>
        <w:rPr>
          <w:b/>
          <w:sz w:val="24"/>
        </w:rPr>
      </w:pPr>
      <w:r>
        <w:rPr>
          <w:b/>
          <w:sz w:val="24"/>
        </w:rPr>
        <w:t>严重脑损伤</w:t>
      </w:r>
    </w:p>
    <w:p>
      <w:pPr>
        <w:pStyle w:val="BodyText"/>
        <w:spacing w:before="2"/>
        <w:rPr>
          <w:rFonts w:ascii="Microsoft JhengHei"/>
          <w:b/>
          <w:sz w:val="16"/>
        </w:rPr>
      </w:pPr>
    </w:p>
    <w:p>
      <w:pPr>
        <w:pStyle w:val="BodyText"/>
        <w:spacing w:before="0"/>
        <w:ind w:left="597"/>
      </w:pPr>
      <w:r>
        <w:rPr/>
        <w:t>指因头部遭受机械性外力，引起脑重要部位损伤，导致神经系统永久性的功</w:t>
      </w:r>
    </w:p>
    <w:p>
      <w:pPr>
        <w:pStyle w:val="BodyText"/>
        <w:ind w:left="117"/>
      </w:pPr>
      <w:r>
        <w:rPr>
          <w:spacing w:val="-6"/>
        </w:rPr>
        <w:t>能障碍。须由头颅断层扫描</w:t>
      </w:r>
      <w:r>
        <w:rPr/>
        <w:t>（CT</w:t>
      </w:r>
      <w:r>
        <w:rPr>
          <w:spacing w:val="-120"/>
        </w:rPr>
        <w:t>）</w:t>
      </w:r>
      <w:r>
        <w:rPr>
          <w:spacing w:val="-7"/>
        </w:rPr>
        <w:t>、核磁共振检查</w:t>
      </w:r>
      <w:r>
        <w:rPr/>
        <w:t>（MRI</w:t>
      </w:r>
      <w:r>
        <w:rPr>
          <w:spacing w:val="-17"/>
        </w:rPr>
        <w:t>）</w:t>
      </w:r>
      <w:r>
        <w:rPr>
          <w:spacing w:val="-1"/>
        </w:rPr>
        <w:t>或正电子发射断层扫描</w:t>
      </w:r>
    </w:p>
    <w:p>
      <w:pPr>
        <w:pStyle w:val="BodyText"/>
        <w:spacing w:line="357" w:lineRule="auto"/>
        <w:ind w:left="117" w:right="106"/>
      </w:pPr>
      <w:r>
        <w:rPr>
          <w:spacing w:val="-5"/>
        </w:rPr>
        <w:t>（PET）</w:t>
      </w:r>
      <w:r>
        <w:rPr>
          <w:spacing w:val="-4"/>
        </w:rPr>
        <w:t>等影像学检查证实。神经系统永久性的功能障碍，指脑损伤</w:t>
      </w:r>
      <w:r>
        <w:rPr/>
        <w:t>180</w:t>
      </w:r>
      <w:r>
        <w:rPr>
          <w:spacing w:val="-6"/>
        </w:rPr>
        <w:t>天后，仍遗留下列一种或一种以上障碍：</w:t>
      </w:r>
    </w:p>
    <w:p>
      <w:pPr>
        <w:pStyle w:val="BodyText"/>
        <w:spacing w:before="36"/>
        <w:ind w:left="597"/>
      </w:pPr>
      <w:r>
        <w:rPr/>
        <w:t>（1）一肢或一肢以上肢体机能完全丧失；</w:t>
      </w:r>
    </w:p>
    <w:p>
      <w:pPr>
        <w:pStyle w:val="BodyText"/>
        <w:spacing w:before="154"/>
        <w:ind w:left="597"/>
      </w:pPr>
      <w:r>
        <w:rPr/>
        <w:t>（2）语言能力或咀嚼吞咽能力完全丧失；</w:t>
      </w:r>
    </w:p>
    <w:p>
      <w:pPr>
        <w:pStyle w:val="BodyText"/>
        <w:spacing w:before="154"/>
        <w:ind w:left="597"/>
      </w:pPr>
      <w:r>
        <w:rPr/>
        <w:t>（3）自主生活能力完全丧失，无法独立完成六项基本日常生活活动中的三</w:t>
      </w:r>
    </w:p>
    <w:p>
      <w:pPr>
        <w:pStyle w:val="BodyText"/>
        <w:spacing w:before="154"/>
        <w:ind w:left="117"/>
      </w:pPr>
      <w:r>
        <w:rPr/>
        <w:t>项或三项以上。</w:t>
      </w:r>
    </w:p>
    <w:p>
      <w:pPr>
        <w:pStyle w:val="BodyText"/>
        <w:spacing w:before="0"/>
      </w:pPr>
    </w:p>
    <w:p>
      <w:pPr>
        <w:pStyle w:val="BodyText"/>
        <w:spacing w:before="7"/>
        <w:rPr>
          <w:sz w:val="23"/>
        </w:rPr>
      </w:pPr>
    </w:p>
    <w:p>
      <w:pPr>
        <w:pStyle w:val="ListParagraph"/>
        <w:numPr>
          <w:ilvl w:val="0"/>
          <w:numId w:val="3"/>
        </w:numPr>
        <w:tabs>
          <w:tab w:pos="420" w:val="left" w:leader="none"/>
        </w:tabs>
        <w:spacing w:line="240" w:lineRule="auto" w:before="0" w:after="0"/>
        <w:ind w:left="420" w:right="0" w:hanging="303"/>
        <w:jc w:val="left"/>
        <w:rPr>
          <w:b/>
          <w:sz w:val="24"/>
        </w:rPr>
      </w:pPr>
      <w:r>
        <w:rPr>
          <w:b/>
          <w:sz w:val="24"/>
        </w:rPr>
        <w:t>严重帕金森病</w:t>
      </w:r>
    </w:p>
    <w:p>
      <w:pPr>
        <w:pStyle w:val="BodyText"/>
        <w:spacing w:line="357" w:lineRule="auto" w:before="201"/>
        <w:ind w:left="117" w:right="106" w:firstLine="480"/>
      </w:pPr>
      <w:r>
        <w:rPr>
          <w:spacing w:val="-5"/>
        </w:rPr>
        <w:t>指一种中枢神经系统的退行性疾病，临床表现为震颤麻痹、共济失调等。须满足下列全部条件：</w:t>
      </w:r>
    </w:p>
    <w:p>
      <w:pPr>
        <w:pStyle w:val="BodyText"/>
        <w:spacing w:before="36"/>
        <w:ind w:left="597"/>
      </w:pPr>
      <w:r>
        <w:rPr/>
        <w:t>（1）药物治疗无法控制病情；</w:t>
      </w:r>
    </w:p>
    <w:p>
      <w:pPr>
        <w:pStyle w:val="BodyText"/>
        <w:spacing w:before="154"/>
        <w:ind w:left="597"/>
      </w:pPr>
      <w:r>
        <w:rPr/>
        <w:t>（2）自主生活能力完全丧失，无法独立完成六项基本日常生活活动中的三</w:t>
      </w:r>
    </w:p>
    <w:p>
      <w:pPr>
        <w:pStyle w:val="BodyText"/>
        <w:spacing w:before="154"/>
        <w:ind w:left="117"/>
      </w:pPr>
      <w:r>
        <w:rPr/>
        <w:t>项或三项以上。</w:t>
      </w:r>
    </w:p>
    <w:p>
      <w:pPr>
        <w:pStyle w:val="BodyText"/>
        <w:spacing w:before="154"/>
        <w:ind w:left="597"/>
      </w:pPr>
      <w:r>
        <w:rPr/>
        <w:t>继发性帕金森综合征不在保障范围内。</w:t>
      </w:r>
    </w:p>
    <w:p>
      <w:pPr>
        <w:pStyle w:val="BodyText"/>
        <w:spacing w:before="0"/>
      </w:pPr>
    </w:p>
    <w:p>
      <w:pPr>
        <w:pStyle w:val="BodyText"/>
        <w:spacing w:before="9"/>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严重Ⅲ度烧伤</w:t>
      </w:r>
    </w:p>
    <w:p>
      <w:pPr>
        <w:pStyle w:val="BodyText"/>
        <w:spacing w:before="124"/>
        <w:ind w:left="597"/>
      </w:pPr>
      <w:r>
        <w:rPr/>
        <w:t>指烧伤程度为Ⅲ度，且Ⅲ度烧伤的面积达到全身体表面积的20％或20％以</w:t>
      </w:r>
    </w:p>
    <w:p>
      <w:pPr>
        <w:pStyle w:val="BodyText"/>
        <w:ind w:left="117"/>
      </w:pPr>
      <w:r>
        <w:rPr/>
        <w:t>上。体表面积根据《中国新九分法》计算。</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1" w:after="0"/>
        <w:ind w:left="480" w:right="0" w:hanging="363"/>
        <w:jc w:val="left"/>
        <w:rPr>
          <w:b/>
          <w:sz w:val="24"/>
        </w:rPr>
      </w:pPr>
      <w:r>
        <w:rPr>
          <w:b/>
          <w:sz w:val="24"/>
        </w:rPr>
        <w:t>严重原发性肺动脉高压</w:t>
      </w:r>
    </w:p>
    <w:p>
      <w:pPr>
        <w:pStyle w:val="BodyText"/>
        <w:spacing w:before="125"/>
        <w:ind w:left="597"/>
      </w:pPr>
      <w:r>
        <w:rPr/>
        <w:t>指不明原因的肺动脉压力持续性增高，进行性发展而导致的慢性疾病，已经</w:t>
      </w:r>
    </w:p>
    <w:p>
      <w:pPr>
        <w:pStyle w:val="BodyText"/>
        <w:spacing w:before="154"/>
        <w:ind w:left="117"/>
      </w:pPr>
      <w:r>
        <w:rPr/>
        <w:t>造成永久不可逆性的体力活动能力受限，达到美国纽约心脏病学会心功能状态分</w:t>
      </w:r>
    </w:p>
    <w:p>
      <w:pPr>
        <w:spacing w:after="0"/>
        <w:sectPr>
          <w:pgSz w:w="11900" w:h="16840"/>
          <w:pgMar w:header="0" w:footer="1007" w:top="1460" w:bottom="1200" w:left="1680" w:right="1680"/>
        </w:sectPr>
      </w:pPr>
    </w:p>
    <w:p>
      <w:pPr>
        <w:pStyle w:val="BodyText"/>
        <w:spacing w:line="313" w:lineRule="exact" w:before="0"/>
        <w:ind w:left="117"/>
      </w:pPr>
      <w:r>
        <w:rPr/>
        <w:t>级IV 级，且静息状态下肺动脉平均压超过30mmHg。</w:t>
      </w:r>
    </w:p>
    <w:p>
      <w:pPr>
        <w:pStyle w:val="BodyText"/>
        <w:spacing w:before="0"/>
      </w:pPr>
    </w:p>
    <w:p>
      <w:pPr>
        <w:pStyle w:val="BodyText"/>
        <w:spacing w:before="9"/>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严重运动神经元病</w:t>
      </w:r>
    </w:p>
    <w:p>
      <w:pPr>
        <w:pStyle w:val="BodyText"/>
        <w:spacing w:line="357" w:lineRule="auto" w:before="125"/>
        <w:ind w:left="117" w:right="106" w:firstLine="480"/>
      </w:pPr>
      <w:r>
        <w:rPr/>
        <w:t>是一组中枢神经系统运动神经元的进行性变性疾病，包括进行性脊肌萎缩</w:t>
      </w:r>
      <w:r>
        <w:rPr>
          <w:spacing w:val="-9"/>
        </w:rPr>
        <w:t>症、进行性延髓麻痹症、原发性侧索硬化症、肌萎缩性侧索硬化症。须满足自主</w:t>
      </w:r>
      <w:r>
        <w:rPr>
          <w:spacing w:val="-13"/>
        </w:rPr>
        <w:t>生活能力完全丧失，无法独立完成六项基本日常生活活动中的三项或三项以上的条件。</w:t>
      </w:r>
    </w:p>
    <w:p>
      <w:pPr>
        <w:pStyle w:val="BodyText"/>
        <w:spacing w:before="9"/>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语言能力丧失</w:t>
      </w:r>
    </w:p>
    <w:p>
      <w:pPr>
        <w:pStyle w:val="BodyText"/>
        <w:spacing w:before="124"/>
        <w:ind w:left="597"/>
      </w:pPr>
      <w:r>
        <w:rPr/>
        <w:t>指因疾病或意外伤害导致完全丧失语言能力，经过积极治疗至少12个月（声</w:t>
      </w:r>
    </w:p>
    <w:p>
      <w:pPr>
        <w:pStyle w:val="BodyText"/>
        <w:ind w:left="117"/>
      </w:pPr>
      <w:r>
        <w:rPr/>
        <w:t>带完全切除不受此时间限制</w:t>
      </w:r>
      <w:r>
        <w:rPr>
          <w:spacing w:val="-120"/>
        </w:rPr>
        <w:t>）</w:t>
      </w:r>
      <w:r>
        <w:rPr/>
        <w:t>，仍无法通过现有医疗手段恢复。</w:t>
      </w:r>
    </w:p>
    <w:p>
      <w:pPr>
        <w:pStyle w:val="BodyText"/>
        <w:ind w:left="597"/>
      </w:pPr>
      <w:r>
        <w:rPr/>
        <w:t>精神心理因素所致的语言能力丧失不在保障范围内。</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重型再生障碍性贫血</w:t>
      </w:r>
    </w:p>
    <w:p>
      <w:pPr>
        <w:pStyle w:val="BodyText"/>
        <w:spacing w:before="124"/>
        <w:ind w:left="597"/>
      </w:pPr>
      <w:r>
        <w:rPr/>
        <w:t>指因骨髓造血功能慢性持续性衰竭导致的贫血、中性粒细胞减少及血小板减</w:t>
      </w:r>
    </w:p>
    <w:p>
      <w:pPr>
        <w:pStyle w:val="BodyText"/>
        <w:ind w:left="117"/>
      </w:pPr>
      <w:r>
        <w:rPr/>
        <w:t>少。须满足下列全部条件：</w:t>
      </w:r>
    </w:p>
    <w:p>
      <w:pPr>
        <w:pStyle w:val="BodyText"/>
        <w:ind w:left="597"/>
      </w:pPr>
      <w:r>
        <w:rPr/>
        <w:t>（1）骨髓穿刺检查或骨髓活检结果支持诊断；</w:t>
      </w:r>
    </w:p>
    <w:p>
      <w:pPr>
        <w:pStyle w:val="BodyText"/>
        <w:ind w:left="597"/>
      </w:pPr>
      <w:r>
        <w:rPr/>
        <w:t>（2）外周血象须具备以下三项条件：</w:t>
      </w:r>
    </w:p>
    <w:p>
      <w:pPr>
        <w:pStyle w:val="BodyText"/>
        <w:spacing w:before="4"/>
        <w:rPr>
          <w:sz w:val="18"/>
        </w:rPr>
      </w:pPr>
    </w:p>
    <w:p>
      <w:pPr>
        <w:pStyle w:val="BodyText"/>
        <w:spacing w:before="0"/>
        <w:ind w:left="597"/>
      </w:pPr>
      <w:r>
        <w:rPr/>
        <w:t>① 中性粒细胞绝对值≤0.5×</w:t>
      </w:r>
      <w:r>
        <w:rPr>
          <w:rFonts w:ascii="Times New Roman" w:hAnsi="Times New Roman" w:eastAsia="Times New Roman"/>
        </w:rPr>
        <w:t>10</w:t>
      </w:r>
      <w:r>
        <w:rPr>
          <w:rFonts w:ascii="Times New Roman" w:hAnsi="Times New Roman" w:eastAsia="Times New Roman"/>
          <w:position w:val="11"/>
          <w:sz w:val="14"/>
        </w:rPr>
        <w:t>9 </w:t>
      </w:r>
      <w:r>
        <w:rPr/>
        <w:t>/L ；</w:t>
      </w:r>
    </w:p>
    <w:p>
      <w:pPr>
        <w:pStyle w:val="BodyText"/>
        <w:spacing w:before="205"/>
        <w:ind w:left="597"/>
      </w:pPr>
      <w:r>
        <w:rPr/>
        <w:drawing>
          <wp:anchor distT="0" distB="0" distL="0" distR="0" allowOverlap="1" layoutInCell="1" locked="0" behindDoc="1" simplePos="0" relativeHeight="268414799">
            <wp:simplePos x="0" y="0"/>
            <wp:positionH relativeFrom="page">
              <wp:posOffset>2668651</wp:posOffset>
            </wp:positionH>
            <wp:positionV relativeFrom="paragraph">
              <wp:posOffset>193873</wp:posOffset>
            </wp:positionV>
            <wp:extent cx="66675" cy="117475"/>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pStyle w:val="BodyText"/>
        <w:spacing w:before="4"/>
        <w:rPr>
          <w:sz w:val="18"/>
        </w:rPr>
      </w:pPr>
    </w:p>
    <w:p>
      <w:pPr>
        <w:pStyle w:val="BodyText"/>
        <w:spacing w:before="0"/>
        <w:ind w:left="597"/>
      </w:pPr>
      <w:r>
        <w:rPr/>
        <w:t>③ 血小板绝对值≤20×</w:t>
      </w:r>
      <w:r>
        <w:rPr>
          <w:rFonts w:ascii="Times New Roman" w:hAnsi="Times New Roman" w:eastAsia="Times New Roman"/>
        </w:rPr>
        <w:t>10</w:t>
      </w:r>
      <w:r>
        <w:rPr>
          <w:rFonts w:ascii="Times New Roman" w:hAnsi="Times New Roman" w:eastAsia="Times New Roman"/>
          <w:position w:val="11"/>
          <w:sz w:val="14"/>
        </w:rPr>
        <w:t>9 </w:t>
      </w:r>
      <w:r>
        <w:rPr/>
        <w:t>/L。</w:t>
      </w:r>
    </w:p>
    <w:p>
      <w:pPr>
        <w:pStyle w:val="BodyText"/>
        <w:spacing w:before="0"/>
        <w:rPr>
          <w:sz w:val="28"/>
        </w:rPr>
      </w:pPr>
    </w:p>
    <w:p>
      <w:pPr>
        <w:pStyle w:val="ListParagraph"/>
        <w:numPr>
          <w:ilvl w:val="0"/>
          <w:numId w:val="3"/>
        </w:numPr>
        <w:tabs>
          <w:tab w:pos="480" w:val="left" w:leader="none"/>
        </w:tabs>
        <w:spacing w:line="240" w:lineRule="auto" w:before="230" w:after="0"/>
        <w:ind w:left="480" w:right="0" w:hanging="363"/>
        <w:jc w:val="left"/>
        <w:rPr>
          <w:b/>
          <w:sz w:val="24"/>
        </w:rPr>
      </w:pPr>
      <w:r>
        <w:rPr>
          <w:b/>
          <w:sz w:val="24"/>
        </w:rPr>
        <w:t>主动脉手术</w:t>
      </w:r>
    </w:p>
    <w:p>
      <w:pPr>
        <w:pStyle w:val="BodyText"/>
        <w:spacing w:line="357" w:lineRule="auto" w:before="125"/>
        <w:ind w:left="117" w:right="106" w:firstLine="480"/>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pStyle w:val="BodyText"/>
        <w:spacing w:before="36"/>
        <w:ind w:left="597"/>
      </w:pPr>
      <w:r>
        <w:rPr/>
        <w:t>动脉内血管成形术不在保障范围内。</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严重的系统性硬化症</w:t>
      </w:r>
    </w:p>
    <w:p>
      <w:pPr>
        <w:spacing w:after="0" w:line="240" w:lineRule="auto"/>
        <w:jc w:val="left"/>
        <w:rPr>
          <w:sz w:val="24"/>
        </w:rPr>
        <w:sectPr>
          <w:pgSz w:w="11900" w:h="16840"/>
          <w:pgMar w:header="0" w:footer="1007" w:top="1460" w:bottom="1200" w:left="1680" w:right="1680"/>
        </w:sectPr>
      </w:pPr>
    </w:p>
    <w:p>
      <w:pPr>
        <w:pStyle w:val="BodyText"/>
        <w:spacing w:line="357" w:lineRule="auto" w:before="0"/>
        <w:ind w:left="117" w:right="186" w:firstLine="480"/>
        <w:jc w:val="both"/>
      </w:pPr>
      <w:r>
        <w:rPr>
          <w:spacing w:val="-9"/>
        </w:rPr>
        <w:t>是一种以皮肤、血管和内脏器官的进行性、弥漫性纤维化为特点的系统性结</w:t>
      </w:r>
      <w:r>
        <w:rPr>
          <w:spacing w:val="-12"/>
        </w:rPr>
        <w:t>缔组织病。须经专科医生根据组织活检和血清学检查结果作出明确诊断并提供下列一项或一项以上内脏器官受累的检查报告及诊疗记录：</w:t>
      </w:r>
    </w:p>
    <w:p>
      <w:pPr>
        <w:pStyle w:val="BodyText"/>
        <w:spacing w:before="37"/>
        <w:ind w:left="597"/>
      </w:pPr>
      <w:r>
        <w:rPr/>
        <w:t>肺脏：肺纤维化，已经发展为肺动脉高压、肺心病；</w:t>
      </w:r>
    </w:p>
    <w:p>
      <w:pPr>
        <w:pStyle w:val="BodyText"/>
        <w:spacing w:line="357" w:lineRule="auto"/>
        <w:ind w:left="597" w:right="100"/>
      </w:pPr>
      <w:r>
        <w:rPr/>
        <w:t>心脏：心室功能受损，至少达到美国纽约心脏病学会心功能状态分级Ⅲ级； 肾脏：肾脏受损，已经出现肾功能不全。</w:t>
      </w:r>
    </w:p>
    <w:p>
      <w:pPr>
        <w:pStyle w:val="BodyText"/>
        <w:spacing w:before="36"/>
        <w:ind w:left="597"/>
      </w:pPr>
      <w:r>
        <w:rPr/>
        <w:t>下列疾病不在保障范围内：</w:t>
      </w:r>
    </w:p>
    <w:p>
      <w:pPr>
        <w:pStyle w:val="BodyText"/>
        <w:spacing w:before="154"/>
        <w:ind w:left="597"/>
      </w:pPr>
      <w:r>
        <w:rPr/>
        <w:t>（1）局部性硬皮病（如：带状硬皮病、硬斑病</w:t>
      </w:r>
      <w:r>
        <w:rPr>
          <w:spacing w:val="-120"/>
        </w:rPr>
        <w:t>）</w:t>
      </w:r>
      <w:r>
        <w:rPr/>
        <w:t>；</w:t>
      </w:r>
    </w:p>
    <w:p>
      <w:pPr>
        <w:pStyle w:val="BodyText"/>
        <w:spacing w:before="154"/>
        <w:ind w:left="597"/>
      </w:pPr>
      <w:r>
        <w:rPr/>
        <w:t>（2）嗜酸性粒细胞性筋膜炎；</w:t>
      </w:r>
    </w:p>
    <w:p>
      <w:pPr>
        <w:pStyle w:val="BodyText"/>
        <w:spacing w:before="154"/>
        <w:ind w:left="597"/>
      </w:pPr>
      <w:r>
        <w:rPr/>
        <w:t>（3）CREST综合征。</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1" w:after="0"/>
        <w:ind w:left="480" w:right="0" w:hanging="363"/>
        <w:jc w:val="left"/>
        <w:rPr>
          <w:b/>
          <w:sz w:val="24"/>
        </w:rPr>
      </w:pPr>
      <w:r>
        <w:rPr>
          <w:b/>
          <w:sz w:val="24"/>
        </w:rPr>
        <w:t>严重的原发性心肌病</w:t>
      </w:r>
    </w:p>
    <w:p>
      <w:pPr>
        <w:pStyle w:val="BodyText"/>
        <w:spacing w:line="357" w:lineRule="auto" w:before="125"/>
        <w:ind w:left="117" w:right="186" w:firstLine="480"/>
        <w:jc w:val="both"/>
      </w:pPr>
      <w:r>
        <w:rPr>
          <w:spacing w:val="-5"/>
        </w:rPr>
        <w:t>是指不明原因引起的一类心肌病变，包括原发性扩张型心肌病、原发性肥厚</w:t>
      </w:r>
      <w:r>
        <w:rPr>
          <w:spacing w:val="-10"/>
        </w:rPr>
        <w:t>型心肌病及原发性限制型心肌病三种，病变必须已造成事实上心室功能障碍而出</w:t>
      </w:r>
      <w:r>
        <w:rPr>
          <w:spacing w:val="-12"/>
        </w:rPr>
        <w:t>现明显的心功能衰竭，达到美国纽约心脏病协会心功能状态分级</w:t>
      </w:r>
      <w:r>
        <w:rPr/>
        <w:t>IV</w:t>
      </w:r>
      <w:r>
        <w:rPr>
          <w:spacing w:val="-9"/>
        </w:rPr>
        <w:t>级，且有相关住院医疗记录显示IV级心功能状态持续至少180天。该疾病索赔时须要经专科医师做出明确诊断。继发于全身性疾病或其它器官系统疾病不属本保障范围。</w:t>
      </w:r>
    </w:p>
    <w:p>
      <w:pPr>
        <w:pStyle w:val="BodyText"/>
        <w:spacing w:before="9"/>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肾髓质囊性病</w:t>
      </w:r>
    </w:p>
    <w:p>
      <w:pPr>
        <w:pStyle w:val="BodyText"/>
        <w:spacing w:before="124"/>
        <w:ind w:left="597"/>
      </w:pPr>
      <w:r>
        <w:rPr/>
        <w:t>肾髓质囊性病的诊断必须同时符合下列要求：</w:t>
      </w:r>
    </w:p>
    <w:p>
      <w:pPr>
        <w:pStyle w:val="BodyText"/>
        <w:ind w:left="597"/>
      </w:pPr>
      <w:r>
        <w:rPr/>
        <w:t>（1）肾髓质有囊肿、肾小管萎缩及间质纤维化等病理改变；</w:t>
      </w:r>
    </w:p>
    <w:p>
      <w:pPr>
        <w:pStyle w:val="BodyText"/>
        <w:ind w:left="597"/>
      </w:pPr>
      <w:r>
        <w:rPr/>
        <w:t>（2）贫血、多尿及肾功能衰竭等临床表现；</w:t>
      </w:r>
    </w:p>
    <w:p>
      <w:pPr>
        <w:pStyle w:val="BodyText"/>
        <w:ind w:left="597"/>
      </w:pPr>
      <w:r>
        <w:rPr/>
        <w:t>（3）诊断须由肾组织活检确定。</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因输血感染艾滋病</w:t>
      </w:r>
    </w:p>
    <w:p>
      <w:pPr>
        <w:pStyle w:val="BodyText"/>
        <w:spacing w:before="124"/>
        <w:ind w:left="1077"/>
      </w:pPr>
      <w:r>
        <w:rPr/>
        <w:t>被保险人感染上人类免疫缺陷病毒（HIV）并且符合下列所有条件：</w:t>
      </w:r>
    </w:p>
    <w:p>
      <w:pPr>
        <w:pStyle w:val="BodyText"/>
        <w:ind w:left="597"/>
      </w:pPr>
      <w:r>
        <w:rPr/>
        <w:t>（1）在保障起始日或复效日之后，被保险人因治疗必需而接受输血，并且</w:t>
      </w:r>
    </w:p>
    <w:p>
      <w:pPr>
        <w:pStyle w:val="BodyText"/>
        <w:ind w:left="117"/>
      </w:pPr>
      <w:r>
        <w:rPr/>
        <w:t>因输血而感染HIV；</w:t>
      </w:r>
    </w:p>
    <w:p>
      <w:pPr>
        <w:pStyle w:val="BodyText"/>
        <w:ind w:left="597"/>
      </w:pPr>
      <w:r>
        <w:rPr/>
        <w:t>（2） 提供输血治疗的输血中心或医院出具该项输血感染属医疗责任事故的</w:t>
      </w:r>
    </w:p>
    <w:p>
      <w:pPr>
        <w:pStyle w:val="BodyText"/>
        <w:ind w:left="117"/>
      </w:pPr>
      <w:r>
        <w:rPr/>
        <w:t>报告；</w:t>
      </w:r>
    </w:p>
    <w:p>
      <w:pPr>
        <w:spacing w:after="0"/>
        <w:sectPr>
          <w:footerReference w:type="default" r:id="rId10"/>
          <w:pgSz w:w="11900" w:h="16840"/>
          <w:pgMar w:footer="1007" w:header="0" w:top="1460" w:bottom="1200" w:left="1680" w:right="1600"/>
          <w:pgNumType w:start="20"/>
        </w:sectPr>
      </w:pPr>
    </w:p>
    <w:p>
      <w:pPr>
        <w:pStyle w:val="BodyText"/>
        <w:spacing w:line="313" w:lineRule="exact" w:before="0"/>
        <w:ind w:left="597"/>
      </w:pPr>
      <w:r>
        <w:rPr/>
        <w:t>（3）提供输血治疗的输血中心或医院必须拥有合法经营执照；</w:t>
      </w:r>
    </w:p>
    <w:p>
      <w:pPr>
        <w:pStyle w:val="BodyText"/>
        <w:spacing w:before="154"/>
        <w:ind w:left="597"/>
      </w:pPr>
      <w:r>
        <w:rPr/>
        <w:t>（4）受感染的被保险人不是血友病患者；</w:t>
      </w:r>
    </w:p>
    <w:p>
      <w:pPr>
        <w:pStyle w:val="BodyText"/>
        <w:spacing w:line="357" w:lineRule="auto" w:before="154"/>
        <w:ind w:left="117" w:right="260" w:firstLine="480"/>
      </w:pPr>
      <w:r>
        <w:rPr/>
        <w:t>任何因其他传播方式（包括：性传播或静脉注射毒品）导致的HIV感染不在本保单保障范围内。</w:t>
      </w:r>
    </w:p>
    <w:p>
      <w:pPr>
        <w:pStyle w:val="BodyText"/>
        <w:spacing w:before="9"/>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重症肌无力</w:t>
      </w:r>
    </w:p>
    <w:p>
      <w:pPr>
        <w:pStyle w:val="BodyText"/>
        <w:spacing w:line="357" w:lineRule="auto" w:before="124"/>
        <w:ind w:left="117" w:right="106" w:firstLine="480"/>
      </w:pPr>
      <w:r>
        <w:rPr>
          <w:spacing w:val="-4"/>
        </w:rPr>
        <w:t>是指一种神经与肌肉接头部位传递障碍的自身免疫性疾病，临床特征是局部</w:t>
      </w:r>
      <w:r>
        <w:rPr>
          <w:spacing w:val="-14"/>
        </w:rPr>
        <w:t>或全身横纹肌于活动时易于疲劳无力，颅神经眼外肌最易累及，也可涉及呼吸肌、</w:t>
      </w:r>
      <w:r>
        <w:rPr>
          <w:spacing w:val="-17"/>
        </w:rPr>
        <w:t>下肢近端肌群乃至全身肌肉，须经我们认可的神经科医师确诊。其诊断必须同时具有下列情况：</w:t>
      </w:r>
    </w:p>
    <w:p>
      <w:pPr>
        <w:pStyle w:val="BodyText"/>
        <w:spacing w:before="35"/>
        <w:ind w:left="597"/>
      </w:pPr>
      <w:r>
        <w:rPr/>
        <w:t>（1）经药物、胸腺手术治疗一年以上无法控制病情，丧失正常工作能力；</w:t>
      </w:r>
    </w:p>
    <w:p>
      <w:pPr>
        <w:pStyle w:val="BodyText"/>
        <w:ind w:left="597"/>
      </w:pPr>
      <w:r>
        <w:rPr/>
        <w:t>（2）出现眼睑下垂，或延髓肌受累引起的构音困难、进食呛咳，或由于肌</w:t>
      </w:r>
    </w:p>
    <w:p>
      <w:pPr>
        <w:pStyle w:val="BodyText"/>
        <w:ind w:left="117"/>
      </w:pPr>
      <w:r>
        <w:rPr/>
        <w:t>无力累及延髓肌、呼吸肌而致机体呼吸功能不正常的危急状态即肌无力危象；</w:t>
      </w:r>
    </w:p>
    <w:p>
      <w:pPr>
        <w:pStyle w:val="BodyText"/>
        <w:ind w:left="597"/>
      </w:pPr>
      <w:r>
        <w:rPr/>
        <w:t>（3）症状缓解、复发及恶化交替出现，临床接受新斯的明等抗胆碱酯酶药</w:t>
      </w:r>
    </w:p>
    <w:p>
      <w:pPr>
        <w:pStyle w:val="BodyText"/>
        <w:ind w:left="117"/>
      </w:pPr>
      <w:r>
        <w:rPr/>
        <w:t>物治疗的病史。</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急性脊髓灰质炎</w:t>
      </w:r>
    </w:p>
    <w:p>
      <w:pPr>
        <w:pStyle w:val="BodyText"/>
        <w:spacing w:line="357" w:lineRule="auto" w:before="124"/>
        <w:ind w:left="117" w:right="226" w:firstLine="480"/>
      </w:pPr>
      <w:r>
        <w:rPr/>
        <w:t>是指由于脊髓灰质炎病毒感染所导致的运动功能障碍或呼吸功能减弱的瘫</w:t>
      </w:r>
      <w:r>
        <w:rPr>
          <w:spacing w:val="-10"/>
        </w:rPr>
        <w:t>痪性疾病。诊断必须由我们认可的神经科专科主任医师确认并提供相关的脊髓灰</w:t>
      </w:r>
      <w:r>
        <w:rPr>
          <w:spacing w:val="-13"/>
        </w:rPr>
        <w:t>质炎病毒感染的证据</w:t>
      </w:r>
      <w:r>
        <w:rPr/>
        <w:t>（</w:t>
      </w:r>
      <w:r>
        <w:rPr>
          <w:spacing w:val="-6"/>
        </w:rPr>
        <w:t>例如：脑脊液检查或血清学抗体检查报告</w:t>
      </w:r>
      <w:r>
        <w:rPr>
          <w:spacing w:val="-29"/>
        </w:rPr>
        <w:t>）</w:t>
      </w:r>
      <w:r>
        <w:rPr/>
        <w:t>被保险人若无</w:t>
      </w:r>
      <w:r>
        <w:rPr>
          <w:spacing w:val="-7"/>
        </w:rPr>
        <w:t>因此感染而导致的瘫痪，则不符合理赔条件。未导致肢体瘫痪及其它病因所致的瘫痪，例如格林一巴利综合症(急性感染性多神经炎)则不在此保障范围以内。</w:t>
      </w:r>
    </w:p>
    <w:p>
      <w:pPr>
        <w:pStyle w:val="BodyText"/>
        <w:spacing w:before="8"/>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严重的类风湿性关节炎</w:t>
      </w:r>
    </w:p>
    <w:p>
      <w:pPr>
        <w:pStyle w:val="BodyText"/>
        <w:spacing w:line="357" w:lineRule="auto" w:before="124"/>
        <w:ind w:left="117" w:right="226" w:firstLine="480"/>
        <w:jc w:val="both"/>
      </w:pPr>
      <w:r>
        <w:rPr>
          <w:spacing w:val="-5"/>
        </w:rPr>
        <w:t>是指广泛的慢性渐进性的关节损害，伴有明显的关节畸形，至少累及三个或三个以上关节（如：手，腕，肘，髋，膝，踝关节</w:t>
      </w:r>
      <w:r>
        <w:rPr>
          <w:spacing w:val="-120"/>
        </w:rPr>
        <w:t>）</w:t>
      </w:r>
      <w:r>
        <w:rPr/>
        <w:t>。此疾病必须已经导致了自</w:t>
      </w:r>
      <w:r>
        <w:rPr>
          <w:spacing w:val="-9"/>
        </w:rPr>
        <w:t>主生活能力完全丧失，不能独立完成六项基本日常生活活动中的三项或三项以上的情形。</w:t>
      </w:r>
    </w:p>
    <w:p>
      <w:pPr>
        <w:pStyle w:val="BodyText"/>
        <w:spacing w:line="357" w:lineRule="auto" w:before="36"/>
        <w:ind w:left="117" w:right="229" w:firstLine="480"/>
      </w:pPr>
      <w:r>
        <w:rPr>
          <w:spacing w:val="-7"/>
        </w:rPr>
        <w:t>上述疾病需由专科医生确诊，并提供相应医疗记录以证实上述病情已经存在至少3个月。</w:t>
      </w:r>
    </w:p>
    <w:p>
      <w:pPr>
        <w:spacing w:after="0" w:line="357" w:lineRule="auto"/>
        <w:sectPr>
          <w:pgSz w:w="11900" w:h="16840"/>
          <w:pgMar w:header="0" w:footer="1007" w:top="1460" w:bottom="1200" w:left="1680" w:right="1560"/>
        </w:sectPr>
      </w:pPr>
    </w:p>
    <w:p>
      <w:pPr>
        <w:pStyle w:val="BodyText"/>
        <w:spacing w:before="13"/>
        <w:rPr>
          <w:sz w:val="22"/>
        </w:rPr>
      </w:pPr>
    </w:p>
    <w:p>
      <w:pPr>
        <w:pStyle w:val="ListParagraph"/>
        <w:numPr>
          <w:ilvl w:val="0"/>
          <w:numId w:val="3"/>
        </w:numPr>
        <w:tabs>
          <w:tab w:pos="480" w:val="left" w:leader="none"/>
        </w:tabs>
        <w:spacing w:line="369" w:lineRule="exact" w:before="0" w:after="0"/>
        <w:ind w:left="480" w:right="0" w:hanging="363"/>
        <w:jc w:val="left"/>
        <w:rPr>
          <w:b/>
          <w:sz w:val="24"/>
        </w:rPr>
      </w:pPr>
      <w:r>
        <w:rPr>
          <w:b/>
          <w:sz w:val="24"/>
        </w:rPr>
        <w:t>系统性红斑狼疮</w:t>
      </w:r>
    </w:p>
    <w:p>
      <w:pPr>
        <w:pStyle w:val="BodyText"/>
        <w:spacing w:line="357" w:lineRule="auto" w:before="125"/>
        <w:ind w:left="117" w:right="229" w:firstLine="480"/>
      </w:pPr>
      <w:r>
        <w:rPr/>
        <w:t>红斑狼疮是指由于自身抗体和免疫复合物的沉积破坏了血管和细胞而导致</w:t>
      </w:r>
      <w:r>
        <w:rPr>
          <w:spacing w:val="-5"/>
        </w:rPr>
        <w:t>的累及多系统损害的一种自体免疫性疾病。本保障仅限于被保险人因系统性红斑</w:t>
      </w:r>
      <w:r>
        <w:rPr>
          <w:spacing w:val="-10"/>
        </w:rPr>
        <w:t>狼疮并发狼疮性肾炎并引起肾功能损害，且肾脏病理诊断符合以下列明的世界卫生组织（WHO）对狼疮性肾炎所分类中的第III、IV、V、VI型。诊断须由有资格的风湿和免疫病专科医生确认。</w:t>
      </w:r>
    </w:p>
    <w:p>
      <w:pPr>
        <w:pStyle w:val="BodyText"/>
        <w:spacing w:before="36"/>
        <w:ind w:left="597"/>
      </w:pPr>
      <w:r>
        <w:rPr/>
        <w:t>世界卫生组织（WHO）对狼疮性肾炎的分类标准：</w:t>
      </w:r>
    </w:p>
    <w:p>
      <w:pPr>
        <w:pStyle w:val="BodyText"/>
        <w:tabs>
          <w:tab w:pos="1437" w:val="left" w:leader="none"/>
        </w:tabs>
        <w:ind w:left="597"/>
      </w:pPr>
      <w:r>
        <w:rPr/>
        <w:t>I 型</w:t>
        <w:tab/>
        <w:t>正常肾小球型；</w:t>
      </w:r>
    </w:p>
    <w:p>
      <w:pPr>
        <w:pStyle w:val="BodyText"/>
        <w:tabs>
          <w:tab w:pos="1437" w:val="left" w:leader="none"/>
        </w:tabs>
        <w:ind w:left="597"/>
      </w:pPr>
      <w:r>
        <w:rPr/>
        <w:t>II型</w:t>
        <w:tab/>
        <w:t>系膜增生型；</w:t>
      </w:r>
    </w:p>
    <w:p>
      <w:pPr>
        <w:pStyle w:val="BodyText"/>
        <w:tabs>
          <w:tab w:pos="1437" w:val="left" w:leader="none"/>
        </w:tabs>
        <w:ind w:left="597"/>
      </w:pPr>
      <w:r>
        <w:rPr/>
        <w:t>III型</w:t>
        <w:tab/>
        <w:t>局灶及节段增生型；</w:t>
      </w:r>
    </w:p>
    <w:p>
      <w:pPr>
        <w:pStyle w:val="BodyText"/>
        <w:tabs>
          <w:tab w:pos="1437" w:val="left" w:leader="none"/>
        </w:tabs>
        <w:ind w:left="597"/>
      </w:pPr>
      <w:r>
        <w:rPr/>
        <w:t>IV型</w:t>
        <w:tab/>
        <w:t>弥漫增生型；</w:t>
      </w:r>
    </w:p>
    <w:p>
      <w:pPr>
        <w:pStyle w:val="BodyText"/>
        <w:tabs>
          <w:tab w:pos="1437" w:val="left" w:leader="none"/>
        </w:tabs>
        <w:ind w:left="597"/>
      </w:pPr>
      <w:r>
        <w:rPr/>
        <w:t>V型</w:t>
        <w:tab/>
        <w:t>膜型；</w:t>
      </w:r>
    </w:p>
    <w:p>
      <w:pPr>
        <w:pStyle w:val="BodyText"/>
        <w:tabs>
          <w:tab w:pos="1437" w:val="left" w:leader="none"/>
        </w:tabs>
        <w:ind w:left="597"/>
      </w:pPr>
      <w:r>
        <w:rPr/>
        <w:t>VI型</w:t>
        <w:tab/>
        <w:t>肾小球硬化型。</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慢性复发性胰腺炎</w:t>
      </w:r>
    </w:p>
    <w:p>
      <w:pPr>
        <w:pStyle w:val="BodyText"/>
        <w:spacing w:line="357" w:lineRule="auto" w:before="124"/>
        <w:ind w:left="117" w:right="106" w:firstLine="480"/>
      </w:pPr>
      <w:r>
        <w:rPr>
          <w:spacing w:val="-5"/>
        </w:rPr>
        <w:t>有腹痛等典型症状的胰腺炎反复发作，导致胰腺进行性破坏，并导致胰腺功</w:t>
      </w:r>
      <w:r>
        <w:rPr>
          <w:spacing w:val="-16"/>
        </w:rPr>
        <w:t>能紊乱而导致严重糖尿病以及营养不良、恶液质。</w:t>
      </w:r>
      <w:r>
        <w:rPr/>
        <w:t>CT检查证实胰腺存在广泛钙化， 且必须接受酶替代以及胰岛素替代治疗6个月以上。诊断必须由消化科专科医生确诊。</w:t>
      </w:r>
    </w:p>
    <w:p>
      <w:pPr>
        <w:pStyle w:val="BodyText"/>
        <w:spacing w:before="36"/>
        <w:ind w:left="597"/>
      </w:pPr>
      <w:r>
        <w:rPr/>
        <w:t>酒精导致的慢性复发性胰腺炎除外。</w:t>
      </w:r>
    </w:p>
    <w:p>
      <w:pPr>
        <w:pStyle w:val="BodyText"/>
        <w:spacing w:before="0"/>
      </w:pPr>
    </w:p>
    <w:p>
      <w:pPr>
        <w:pStyle w:val="BodyText"/>
        <w:spacing w:before="9"/>
        <w:rPr>
          <w:sz w:val="17"/>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严重的多发性硬化</w:t>
      </w:r>
    </w:p>
    <w:p>
      <w:pPr>
        <w:pStyle w:val="BodyText"/>
        <w:spacing w:line="357" w:lineRule="auto" w:before="125"/>
        <w:ind w:left="117" w:right="140" w:firstLine="480"/>
      </w:pPr>
      <w:r>
        <w:rPr/>
        <w:t>多发性硬化症为中枢神经系统白质多灶性脱髓鞘病变，病变有时累及灰质。</w:t>
      </w:r>
      <w:r>
        <w:rPr>
          <w:spacing w:val="-4"/>
        </w:rPr>
        <w:t>多发性硬化症必须由我们认可的医院的神经专科医生确诊。必须伴有典型的脱髓鞘症状和运动及感觉功能障碍的证据并有MRI</w:t>
      </w:r>
      <w:r>
        <w:rPr>
          <w:spacing w:val="-2"/>
        </w:rPr>
        <w:t>和脑脊液检查的典型改变。多发性硬化症必须造成神经系统永久性功能损害并且已导致被保险人自主生活能力完 全丧失，无法独立完成六项基本日常生活活动中的三项或三项以上持续达180天以上。</w:t>
      </w:r>
    </w:p>
    <w:p>
      <w:pPr>
        <w:spacing w:after="0" w:line="357" w:lineRule="auto"/>
        <w:sectPr>
          <w:pgSz w:w="11900" w:h="16840"/>
          <w:pgMar w:header="0" w:footer="1007" w:top="1600" w:bottom="1200" w:left="1680" w:right="1560"/>
        </w:sectPr>
      </w:pPr>
    </w:p>
    <w:p>
      <w:pPr>
        <w:pStyle w:val="ListParagraph"/>
        <w:numPr>
          <w:ilvl w:val="0"/>
          <w:numId w:val="3"/>
        </w:numPr>
        <w:tabs>
          <w:tab w:pos="480" w:val="left" w:leader="none"/>
        </w:tabs>
        <w:spacing w:line="342" w:lineRule="exact" w:before="0" w:after="0"/>
        <w:ind w:left="480" w:right="0" w:hanging="363"/>
        <w:jc w:val="both"/>
        <w:rPr>
          <w:b/>
          <w:sz w:val="24"/>
        </w:rPr>
      </w:pPr>
      <w:r>
        <w:rPr>
          <w:b/>
          <w:sz w:val="24"/>
        </w:rPr>
        <w:t>终末期慢性呼吸功能衰竭</w:t>
      </w:r>
    </w:p>
    <w:p>
      <w:pPr>
        <w:pStyle w:val="BodyText"/>
        <w:spacing w:before="125"/>
        <w:ind w:left="597"/>
      </w:pPr>
      <w:r>
        <w:rPr/>
        <w:t>指因慢性呼吸系统疾病导致呼吸功能衰竭，且诊断必须满足以下所有条件：</w:t>
      </w:r>
    </w:p>
    <w:p>
      <w:pPr>
        <w:pStyle w:val="ListParagraph"/>
        <w:numPr>
          <w:ilvl w:val="1"/>
          <w:numId w:val="3"/>
        </w:numPr>
        <w:tabs>
          <w:tab w:pos="958" w:val="left" w:leader="none"/>
        </w:tabs>
        <w:spacing w:line="240" w:lineRule="auto" w:before="154" w:after="0"/>
        <w:ind w:left="957" w:right="0" w:hanging="360"/>
        <w:jc w:val="left"/>
        <w:rPr>
          <w:rFonts w:ascii="宋体" w:eastAsia="宋体" w:hint="eastAsia"/>
          <w:sz w:val="24"/>
        </w:rPr>
      </w:pPr>
      <w:r>
        <w:rPr>
          <w:rFonts w:ascii="宋体" w:eastAsia="宋体" w:hint="eastAsia"/>
          <w:sz w:val="24"/>
        </w:rPr>
        <w:t>第一秒末用力呼气量（FEV1）小于1升；</w:t>
      </w:r>
    </w:p>
    <w:p>
      <w:pPr>
        <w:pStyle w:val="ListParagraph"/>
        <w:numPr>
          <w:ilvl w:val="1"/>
          <w:numId w:val="3"/>
        </w:numPr>
        <w:tabs>
          <w:tab w:pos="958" w:val="left" w:leader="none"/>
        </w:tabs>
        <w:spacing w:line="240" w:lineRule="auto" w:before="154" w:after="0"/>
        <w:ind w:left="957" w:right="0" w:hanging="360"/>
        <w:jc w:val="left"/>
        <w:rPr>
          <w:rFonts w:ascii="宋体" w:eastAsia="宋体" w:hint="eastAsia"/>
          <w:sz w:val="24"/>
        </w:rPr>
      </w:pPr>
      <w:r>
        <w:rPr>
          <w:rFonts w:ascii="宋体" w:eastAsia="宋体" w:hint="eastAsia"/>
          <w:sz w:val="24"/>
        </w:rPr>
        <w:t>气道内阻力增加，至少达到0.5 kPa/l/s；</w:t>
      </w:r>
    </w:p>
    <w:p>
      <w:pPr>
        <w:pStyle w:val="ListParagraph"/>
        <w:numPr>
          <w:ilvl w:val="1"/>
          <w:numId w:val="3"/>
        </w:numPr>
        <w:tabs>
          <w:tab w:pos="958" w:val="left" w:leader="none"/>
        </w:tabs>
        <w:spacing w:line="240" w:lineRule="auto" w:before="154" w:after="0"/>
        <w:ind w:left="957" w:right="0" w:hanging="360"/>
        <w:jc w:val="left"/>
        <w:rPr>
          <w:rFonts w:ascii="宋体" w:hAnsi="宋体" w:eastAsia="宋体" w:hint="eastAsia"/>
          <w:sz w:val="24"/>
        </w:rPr>
      </w:pPr>
      <w:r>
        <w:rPr/>
        <w:drawing>
          <wp:anchor distT="0" distB="0" distL="0" distR="0" allowOverlap="1" layoutInCell="1" locked="0" behindDoc="1" simplePos="0" relativeHeight="268414823">
            <wp:simplePos x="0" y="0"/>
            <wp:positionH relativeFrom="page">
              <wp:posOffset>3583051</wp:posOffset>
            </wp:positionH>
            <wp:positionV relativeFrom="paragraph">
              <wp:posOffset>161488</wp:posOffset>
            </wp:positionV>
            <wp:extent cx="66675" cy="117475"/>
            <wp:effectExtent l="0" t="0" r="0" b="0"/>
            <wp:wrapNone/>
            <wp:docPr id="39" name="image2.png" descr=""/>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66675" cy="117475"/>
                    </a:xfrm>
                    <a:prstGeom prst="rect">
                      <a:avLst/>
                    </a:prstGeom>
                  </pic:spPr>
                </pic:pic>
              </a:graphicData>
            </a:graphic>
          </wp:anchor>
        </w:drawing>
      </w:r>
      <w:r>
        <w:rPr>
          <w:rFonts w:ascii="宋体" w:hAnsi="宋体" w:eastAsia="宋体" w:hint="eastAsia"/>
          <w:sz w:val="24"/>
        </w:rPr>
        <w:t>残气容积占肺总量(TLC)的60以上；</w:t>
      </w:r>
    </w:p>
    <w:p>
      <w:pPr>
        <w:pStyle w:val="ListParagraph"/>
        <w:numPr>
          <w:ilvl w:val="1"/>
          <w:numId w:val="3"/>
        </w:numPr>
        <w:tabs>
          <w:tab w:pos="958" w:val="left" w:leader="none"/>
        </w:tabs>
        <w:spacing w:line="240" w:lineRule="auto" w:before="154" w:after="0"/>
        <w:ind w:left="957" w:right="0" w:hanging="360"/>
        <w:jc w:val="left"/>
        <w:rPr>
          <w:rFonts w:ascii="宋体" w:eastAsia="宋体" w:hint="eastAsia"/>
          <w:sz w:val="24"/>
        </w:rPr>
      </w:pPr>
      <w:r>
        <w:rPr>
          <w:rFonts w:ascii="宋体" w:eastAsia="宋体" w:hint="eastAsia"/>
          <w:sz w:val="24"/>
        </w:rPr>
        <w:t>胸内气体容积升高，超过170 (基值的百分比)；</w:t>
      </w:r>
    </w:p>
    <w:p>
      <w:pPr>
        <w:pStyle w:val="BodyText"/>
        <w:spacing w:before="7"/>
        <w:rPr>
          <w:sz w:val="16"/>
        </w:rPr>
      </w:pPr>
    </w:p>
    <w:p>
      <w:pPr>
        <w:pStyle w:val="ListParagraph"/>
        <w:numPr>
          <w:ilvl w:val="1"/>
          <w:numId w:val="3"/>
        </w:numPr>
        <w:tabs>
          <w:tab w:pos="958" w:val="left" w:leader="none"/>
        </w:tabs>
        <w:spacing w:line="240" w:lineRule="auto" w:before="0" w:after="0"/>
        <w:ind w:left="957" w:right="0" w:hanging="360"/>
        <w:jc w:val="left"/>
        <w:rPr>
          <w:rFonts w:ascii="宋体" w:eastAsia="宋体" w:hint="eastAsia"/>
          <w:sz w:val="24"/>
        </w:rPr>
      </w:pPr>
      <w:r>
        <w:rPr>
          <w:rFonts w:ascii="宋体" w:eastAsia="宋体" w:hint="eastAsia"/>
          <w:sz w:val="24"/>
        </w:rPr>
        <w:t>Pa</w:t>
      </w:r>
      <w:r>
        <w:rPr>
          <w:rFonts w:ascii="宋体" w:eastAsia="宋体" w:hint="eastAsia"/>
          <w:spacing w:val="-92"/>
          <w:sz w:val="24"/>
        </w:rPr>
        <w:t> </w:t>
      </w:r>
      <w:r>
        <w:rPr>
          <w:rFonts w:ascii="Times New Roman" w:eastAsia="Times New Roman"/>
          <w:i/>
          <w:sz w:val="24"/>
        </w:rPr>
        <w:t>O</w:t>
      </w:r>
      <w:r>
        <w:rPr>
          <w:rFonts w:ascii="Times New Roman" w:eastAsia="Times New Roman"/>
          <w:position w:val="-5"/>
          <w:sz w:val="14"/>
        </w:rPr>
        <w:t>2</w:t>
      </w:r>
      <w:r>
        <w:rPr>
          <w:rFonts w:ascii="Times New Roman" w:eastAsia="Times New Roman"/>
          <w:spacing w:val="10"/>
          <w:position w:val="-5"/>
          <w:sz w:val="14"/>
        </w:rPr>
        <w:t> </w:t>
      </w:r>
      <w:r>
        <w:rPr>
          <w:rFonts w:ascii="宋体" w:eastAsia="宋体" w:hint="eastAsia"/>
          <w:sz w:val="24"/>
        </w:rPr>
        <w:t>&lt;60mmHg，Pa</w:t>
      </w:r>
      <w:r>
        <w:rPr>
          <w:rFonts w:ascii="宋体" w:eastAsia="宋体" w:hint="eastAsia"/>
          <w:spacing w:val="-92"/>
          <w:sz w:val="24"/>
        </w:rPr>
        <w:t> </w:t>
      </w:r>
      <w:r>
        <w:rPr>
          <w:rFonts w:ascii="Times New Roman" w:eastAsia="Times New Roman"/>
          <w:i/>
          <w:sz w:val="24"/>
        </w:rPr>
        <w:t>CO</w:t>
      </w:r>
      <w:r>
        <w:rPr>
          <w:rFonts w:ascii="Times New Roman" w:eastAsia="Times New Roman"/>
          <w:position w:val="-5"/>
          <w:sz w:val="14"/>
        </w:rPr>
        <w:t>2</w:t>
      </w:r>
      <w:r>
        <w:rPr>
          <w:rFonts w:ascii="Times New Roman" w:eastAsia="Times New Roman"/>
          <w:spacing w:val="8"/>
          <w:position w:val="-5"/>
          <w:sz w:val="14"/>
        </w:rPr>
        <w:t> </w:t>
      </w:r>
      <w:r>
        <w:rPr>
          <w:rFonts w:ascii="宋体" w:eastAsia="宋体" w:hint="eastAsia"/>
          <w:sz w:val="24"/>
        </w:rPr>
        <w:t>&gt;50mmHg。</w:t>
      </w:r>
    </w:p>
    <w:p>
      <w:pPr>
        <w:pStyle w:val="BodyText"/>
        <w:spacing w:before="6"/>
        <w:rPr>
          <w:sz w:val="44"/>
        </w:rPr>
      </w:pPr>
    </w:p>
    <w:p>
      <w:pPr>
        <w:pStyle w:val="ListParagraph"/>
        <w:numPr>
          <w:ilvl w:val="0"/>
          <w:numId w:val="3"/>
        </w:numPr>
        <w:tabs>
          <w:tab w:pos="480" w:val="left" w:leader="none"/>
        </w:tabs>
        <w:spacing w:line="240" w:lineRule="auto" w:before="0" w:after="0"/>
        <w:ind w:left="480" w:right="0" w:hanging="363"/>
        <w:jc w:val="both"/>
        <w:rPr>
          <w:b/>
          <w:sz w:val="24"/>
        </w:rPr>
      </w:pPr>
      <w:r>
        <w:rPr>
          <w:b/>
          <w:sz w:val="24"/>
        </w:rPr>
        <w:t>肌营养不良症</w:t>
      </w:r>
    </w:p>
    <w:p>
      <w:pPr>
        <w:pStyle w:val="BodyText"/>
        <w:spacing w:before="124"/>
        <w:ind w:left="597"/>
      </w:pPr>
      <w:r>
        <w:rPr/>
        <w:t>指一组原发于肌肉的遗传性疾病，临床表现为与神经系统无关的肌肉无力和</w:t>
      </w:r>
    </w:p>
    <w:p>
      <w:pPr>
        <w:pStyle w:val="BodyText"/>
        <w:spacing w:before="154"/>
        <w:ind w:left="117"/>
        <w:jc w:val="both"/>
      </w:pPr>
      <w:r>
        <w:rPr/>
        <w:t>肌肉萎缩。且须满足下列全部条件：</w:t>
      </w:r>
    </w:p>
    <w:p>
      <w:pPr>
        <w:pStyle w:val="BodyText"/>
        <w:spacing w:before="154"/>
        <w:ind w:left="597"/>
      </w:pPr>
      <w:r>
        <w:rPr/>
        <w:t>1）肌肉组织活检结果满足肌营养不良症的肌肉细胞变性、坏死等阳性改变；</w:t>
      </w:r>
    </w:p>
    <w:p>
      <w:pPr>
        <w:pStyle w:val="BodyText"/>
        <w:spacing w:before="154"/>
        <w:ind w:left="597"/>
      </w:pPr>
      <w:r>
        <w:rPr/>
        <w:t>2）自主生活能力完全丧失，无法独立完成六项基本日常生活活动中的三项</w:t>
      </w:r>
    </w:p>
    <w:p>
      <w:pPr>
        <w:pStyle w:val="BodyText"/>
        <w:spacing w:before="154"/>
        <w:ind w:left="117"/>
        <w:jc w:val="both"/>
      </w:pPr>
      <w:r>
        <w:rPr/>
        <w:t>或三项以上。</w:t>
      </w:r>
    </w:p>
    <w:p>
      <w:pPr>
        <w:pStyle w:val="BodyText"/>
        <w:spacing w:before="0"/>
      </w:pPr>
    </w:p>
    <w:p>
      <w:pPr>
        <w:pStyle w:val="BodyText"/>
        <w:spacing w:before="8"/>
        <w:rPr>
          <w:sz w:val="17"/>
        </w:rPr>
      </w:pPr>
    </w:p>
    <w:p>
      <w:pPr>
        <w:pStyle w:val="ListParagraph"/>
        <w:numPr>
          <w:ilvl w:val="0"/>
          <w:numId w:val="3"/>
        </w:numPr>
        <w:tabs>
          <w:tab w:pos="480" w:val="left" w:leader="none"/>
        </w:tabs>
        <w:spacing w:line="240" w:lineRule="auto" w:before="1" w:after="0"/>
        <w:ind w:left="480" w:right="0" w:hanging="363"/>
        <w:jc w:val="both"/>
        <w:rPr>
          <w:b/>
          <w:sz w:val="24"/>
        </w:rPr>
      </w:pPr>
      <w:r>
        <w:rPr>
          <w:b/>
          <w:sz w:val="24"/>
        </w:rPr>
        <w:t>肌萎缩性（脊髓）侧索硬化症</w:t>
      </w:r>
    </w:p>
    <w:p>
      <w:pPr>
        <w:pStyle w:val="BodyText"/>
        <w:spacing w:line="357" w:lineRule="auto" w:before="125"/>
        <w:ind w:left="117" w:right="109" w:firstLine="480"/>
      </w:pPr>
      <w:r>
        <w:rPr>
          <w:spacing w:val="-9"/>
        </w:rPr>
        <w:t>是指持续的神经变性累及脊髓神经及脑干运动神经元，出现肌肉无力、挛缩、</w:t>
      </w:r>
      <w:r>
        <w:rPr>
          <w:spacing w:val="-14"/>
        </w:rPr>
        <w:t>肌束颤动及萎缩症状和体征。须经神经专科医师做出明确诊断，且疾病进行性发</w:t>
      </w:r>
      <w:r>
        <w:rPr>
          <w:spacing w:val="-18"/>
        </w:rPr>
        <w:t>展已导致不可逆转的永久性神经系统功能障碍。永久性神经系统功能障碍是指以下六项条件中的一项或一项以上：1) 一上肢或双上肢手腕以上部分的完全及永久瘫痪2) 一下肢或双下肢足踝以上部分的完全及永久瘫痪 3) 四肢机能完全及永久丧失 4) 完全及永久丧失语言能力5) 完全及永久丧失吞咽能力（吞咽困</w:t>
      </w:r>
    </w:p>
    <w:p>
      <w:pPr>
        <w:pStyle w:val="BodyText"/>
        <w:spacing w:line="357" w:lineRule="auto" w:before="36"/>
        <w:ind w:left="117" w:right="226"/>
        <w:jc w:val="both"/>
      </w:pPr>
      <w:r>
        <w:rPr/>
        <w:t>难</w:t>
      </w:r>
      <w:r>
        <w:rPr>
          <w:spacing w:val="-75"/>
        </w:rPr>
        <w:t>）</w:t>
      </w:r>
      <w:r>
        <w:rPr>
          <w:spacing w:val="-9"/>
        </w:rPr>
        <w:t>，必须永久使用喂饲管</w:t>
      </w:r>
      <w:r>
        <w:rPr/>
        <w:t>6)</w:t>
      </w:r>
      <w:r>
        <w:rPr>
          <w:spacing w:val="-4"/>
        </w:rPr>
        <w:t> 无法独立进行六项日常生活活动即穿衣、移动、行</w:t>
      </w:r>
      <w:r>
        <w:rPr>
          <w:spacing w:val="-10"/>
        </w:rPr>
        <w:t>动、卫生、进食、洗澡中三项或三项以上，且上述日常生活活动经过三个月的持续治疗后仍无法完成。</w:t>
      </w:r>
    </w:p>
    <w:p>
      <w:pPr>
        <w:pStyle w:val="BodyText"/>
        <w:spacing w:before="8"/>
        <w:rPr>
          <w:sz w:val="32"/>
        </w:rPr>
      </w:pPr>
    </w:p>
    <w:p>
      <w:pPr>
        <w:pStyle w:val="ListParagraph"/>
        <w:numPr>
          <w:ilvl w:val="0"/>
          <w:numId w:val="3"/>
        </w:numPr>
        <w:tabs>
          <w:tab w:pos="480" w:val="left" w:leader="none"/>
        </w:tabs>
        <w:spacing w:line="240" w:lineRule="auto" w:before="1" w:after="0"/>
        <w:ind w:left="480" w:right="0" w:hanging="363"/>
        <w:jc w:val="both"/>
        <w:rPr>
          <w:b/>
          <w:sz w:val="24"/>
        </w:rPr>
      </w:pPr>
      <w:r>
        <w:rPr>
          <w:b/>
          <w:sz w:val="24"/>
        </w:rPr>
        <w:t>植物人状态</w:t>
      </w:r>
    </w:p>
    <w:p>
      <w:pPr>
        <w:pStyle w:val="BodyText"/>
        <w:spacing w:before="125"/>
        <w:ind w:left="597"/>
      </w:pPr>
      <w:r>
        <w:rPr/>
        <w:t>指脑皮质广泛性坏死而导致对自身及周边的认知能力完全丧失,但脑干功能</w:t>
      </w:r>
    </w:p>
    <w:p>
      <w:pPr>
        <w:pStyle w:val="BodyText"/>
        <w:spacing w:before="154"/>
        <w:ind w:left="117"/>
        <w:jc w:val="both"/>
      </w:pPr>
      <w:r>
        <w:rPr>
          <w:spacing w:val="-6"/>
        </w:rPr>
        <w:t>依然存在，必须经神经科专科医生明确诊断,并有头颅断层扫描</w:t>
      </w:r>
      <w:r>
        <w:rPr/>
        <w:t>（CT</w:t>
      </w:r>
      <w:r>
        <w:rPr>
          <w:spacing w:val="-120"/>
        </w:rPr>
        <w:t>）</w:t>
      </w:r>
      <w:r>
        <w:rPr>
          <w:spacing w:val="-7"/>
        </w:rPr>
        <w:t>，核磁共振</w:t>
      </w:r>
    </w:p>
    <w:p>
      <w:pPr>
        <w:spacing w:after="0"/>
        <w:jc w:val="both"/>
        <w:sectPr>
          <w:pgSz w:w="11900" w:h="16840"/>
          <w:pgMar w:header="0" w:footer="1007" w:top="1460" w:bottom="1200" w:left="1680" w:right="1560"/>
        </w:sectPr>
      </w:pPr>
    </w:p>
    <w:p>
      <w:pPr>
        <w:pStyle w:val="BodyText"/>
        <w:spacing w:line="357" w:lineRule="auto" w:before="0"/>
        <w:ind w:left="117" w:right="229"/>
        <w:jc w:val="both"/>
      </w:pPr>
      <w:r>
        <w:rPr>
          <w:spacing w:val="-9"/>
        </w:rPr>
        <w:t>检查</w:t>
      </w:r>
      <w:r>
        <w:rPr>
          <w:spacing w:val="-4"/>
        </w:rPr>
        <w:t>（MRI）</w:t>
      </w:r>
      <w:r>
        <w:rPr>
          <w:spacing w:val="-3"/>
        </w:rPr>
        <w:t>或正电子发射断层扫描</w:t>
      </w:r>
      <w:r>
        <w:rPr>
          <w:spacing w:val="-4"/>
        </w:rPr>
        <w:t>（PET）</w:t>
      </w:r>
      <w:r>
        <w:rPr>
          <w:spacing w:val="-2"/>
        </w:rPr>
        <w:t>等影像学检查证实。上述情况必须有</w:t>
      </w:r>
      <w:r>
        <w:rPr>
          <w:spacing w:val="-8"/>
        </w:rPr>
        <w:t>至少一个月的病历记录加以证实。由于酗酒或滥用药物所致的植物人状态不在保障范围内。</w:t>
      </w:r>
    </w:p>
    <w:p>
      <w:pPr>
        <w:pStyle w:val="BodyText"/>
        <w:spacing w:before="10"/>
        <w:rPr>
          <w:sz w:val="32"/>
        </w:rPr>
      </w:pPr>
    </w:p>
    <w:p>
      <w:pPr>
        <w:pStyle w:val="ListParagraph"/>
        <w:numPr>
          <w:ilvl w:val="0"/>
          <w:numId w:val="3"/>
        </w:numPr>
        <w:tabs>
          <w:tab w:pos="480" w:val="left" w:leader="none"/>
        </w:tabs>
        <w:spacing w:line="240" w:lineRule="auto" w:before="0" w:after="0"/>
        <w:ind w:left="480" w:right="0" w:hanging="363"/>
        <w:jc w:val="left"/>
        <w:rPr>
          <w:b/>
          <w:sz w:val="24"/>
        </w:rPr>
      </w:pPr>
      <w:r>
        <w:rPr>
          <w:b/>
          <w:sz w:val="24"/>
        </w:rPr>
        <w:t>克隆病</w:t>
      </w:r>
    </w:p>
    <w:p>
      <w:pPr>
        <w:pStyle w:val="BodyText"/>
        <w:spacing w:line="357" w:lineRule="auto" w:before="124"/>
        <w:ind w:left="117" w:right="229" w:firstLine="480"/>
        <w:jc w:val="both"/>
      </w:pPr>
      <w:r>
        <w:rPr>
          <w:spacing w:val="-6"/>
        </w:rPr>
        <w:t>克隆病是一种慢性肉芽肿性肠炎。被保险人所患的克隆病必须已经造成瘘管</w:t>
      </w:r>
      <w:r>
        <w:rPr>
          <w:spacing w:val="-13"/>
        </w:rPr>
        <w:t>形成并伴有肠梗阻或肠穿孔。诊断必须由病理检查结果证实存在特征性的克隆病病理组织学变。</w:t>
      </w:r>
    </w:p>
    <w:p>
      <w:pPr>
        <w:pStyle w:val="BodyText"/>
        <w:spacing w:before="8"/>
        <w:rPr>
          <w:sz w:val="32"/>
        </w:rPr>
      </w:pPr>
    </w:p>
    <w:p>
      <w:pPr>
        <w:spacing w:line="268" w:lineRule="auto" w:before="0"/>
        <w:ind w:left="117" w:right="226" w:firstLine="472"/>
        <w:jc w:val="left"/>
        <w:rPr>
          <w:rFonts w:ascii="Microsoft JhengHei" w:eastAsia="Microsoft JhengHei" w:hint="eastAsia"/>
          <w:b/>
          <w:sz w:val="24"/>
        </w:rPr>
      </w:pPr>
      <w:r>
        <w:rPr>
          <w:rFonts w:ascii="Microsoft JhengHei" w:eastAsia="Microsoft JhengHei" w:hint="eastAsia"/>
          <w:b/>
          <w:sz w:val="24"/>
        </w:rPr>
        <w:t>被保险人发生符合以上疾病定义所述条件的疾病，应当由专科医生明确诊</w:t>
      </w:r>
      <w:r>
        <w:rPr>
          <w:rFonts w:ascii="Microsoft JhengHei" w:eastAsia="Microsoft JhengHei" w:hint="eastAsia"/>
          <w:b/>
          <w:spacing w:val="-2"/>
          <w:w w:val="95"/>
          <w:sz w:val="24"/>
        </w:rPr>
        <w:t>断。第</w:t>
      </w:r>
      <w:r>
        <w:rPr>
          <w:rFonts w:ascii="微软雅黑" w:eastAsia="微软雅黑" w:hint="eastAsia"/>
          <w:b/>
          <w:w w:val="95"/>
          <w:sz w:val="24"/>
        </w:rPr>
        <w:t>1</w:t>
      </w:r>
      <w:r>
        <w:rPr>
          <w:rFonts w:ascii="Microsoft JhengHei" w:eastAsia="Microsoft JhengHei" w:hint="eastAsia"/>
          <w:b/>
          <w:w w:val="95"/>
          <w:sz w:val="24"/>
        </w:rPr>
        <w:t>至第</w:t>
      </w:r>
      <w:r>
        <w:rPr>
          <w:rFonts w:ascii="微软雅黑" w:eastAsia="微软雅黑" w:hint="eastAsia"/>
          <w:b/>
          <w:w w:val="95"/>
          <w:sz w:val="24"/>
        </w:rPr>
        <w:t>25</w:t>
      </w:r>
      <w:r>
        <w:rPr>
          <w:rFonts w:ascii="Microsoft JhengHei" w:eastAsia="Microsoft JhengHei" w:hint="eastAsia"/>
          <w:b/>
          <w:w w:val="95"/>
          <w:sz w:val="24"/>
        </w:rPr>
        <w:t>项为中国保险行业协会与中国医师协会共同制定的重大疾病保险   的疾病定义，第</w:t>
      </w:r>
      <w:r>
        <w:rPr>
          <w:rFonts w:ascii="微软雅黑" w:eastAsia="微软雅黑" w:hint="eastAsia"/>
          <w:b/>
          <w:w w:val="95"/>
          <w:sz w:val="24"/>
        </w:rPr>
        <w:t>26</w:t>
      </w:r>
      <w:r>
        <w:rPr>
          <w:rFonts w:ascii="Microsoft JhengHei" w:eastAsia="Microsoft JhengHei" w:hint="eastAsia"/>
          <w:b/>
          <w:w w:val="95"/>
          <w:sz w:val="24"/>
        </w:rPr>
        <w:t>至第</w:t>
      </w:r>
      <w:r>
        <w:rPr>
          <w:rFonts w:ascii="微软雅黑" w:eastAsia="微软雅黑" w:hint="eastAsia"/>
          <w:b/>
          <w:w w:val="95"/>
          <w:sz w:val="24"/>
        </w:rPr>
        <w:t>40</w:t>
      </w:r>
      <w:r>
        <w:rPr>
          <w:rFonts w:ascii="Microsoft JhengHei" w:eastAsia="Microsoft JhengHei" w:hint="eastAsia"/>
          <w:b/>
          <w:w w:val="95"/>
          <w:sz w:val="24"/>
        </w:rPr>
        <w:t>项为我公司增加的疾病种类并自行制定的疾病定义。</w:t>
      </w:r>
    </w:p>
    <w:p>
      <w:pPr>
        <w:pStyle w:val="BodyText"/>
        <w:spacing w:before="0"/>
        <w:rPr>
          <w:rFonts w:ascii="Microsoft JhengHei"/>
          <w:b/>
          <w:sz w:val="20"/>
        </w:rPr>
      </w:pPr>
    </w:p>
    <w:p>
      <w:pPr>
        <w:spacing w:before="129"/>
        <w:ind w:left="117" w:right="0" w:firstLine="0"/>
        <w:jc w:val="left"/>
        <w:rPr>
          <w:rFonts w:ascii="Microsoft JhengHei" w:hAnsi="Microsoft JhengHei" w:eastAsia="Microsoft JhengHei" w:hint="eastAsia"/>
          <w:b/>
          <w:sz w:val="24"/>
        </w:rPr>
      </w:pPr>
      <w:r>
        <w:rPr>
          <w:sz w:val="24"/>
        </w:rPr>
        <w:t>※ </w:t>
      </w:r>
      <w:r>
        <w:rPr>
          <w:rFonts w:ascii="Microsoft JhengHei" w:hAnsi="Microsoft JhengHei" w:eastAsia="Microsoft JhengHei" w:hint="eastAsia"/>
          <w:b/>
          <w:sz w:val="24"/>
        </w:rPr>
        <w:t>本重大疾病释义中所提及的术语，其解释如下：</w:t>
      </w:r>
    </w:p>
    <w:p>
      <w:pPr>
        <w:pStyle w:val="BodyText"/>
        <w:spacing w:before="3"/>
        <w:rPr>
          <w:rFonts w:ascii="Microsoft JhengHei"/>
          <w:b/>
          <w:sz w:val="16"/>
        </w:rPr>
      </w:pPr>
    </w:p>
    <w:p>
      <w:pPr>
        <w:pStyle w:val="ListParagraph"/>
        <w:numPr>
          <w:ilvl w:val="0"/>
          <w:numId w:val="4"/>
        </w:numPr>
        <w:tabs>
          <w:tab w:pos="838" w:val="left" w:leader="none"/>
        </w:tabs>
        <w:spacing w:line="240" w:lineRule="auto" w:before="1" w:after="0"/>
        <w:ind w:left="837" w:right="0" w:hanging="240"/>
        <w:jc w:val="left"/>
        <w:rPr>
          <w:rFonts w:ascii="宋体" w:eastAsia="宋体" w:hint="eastAsia"/>
          <w:sz w:val="24"/>
        </w:rPr>
      </w:pPr>
      <w:r>
        <w:rPr>
          <w:rFonts w:ascii="宋体" w:eastAsia="宋体" w:hint="eastAsia"/>
          <w:sz w:val="24"/>
        </w:rPr>
        <w:t>.六项基本日常生活活动</w:t>
      </w:r>
    </w:p>
    <w:p>
      <w:pPr>
        <w:pStyle w:val="BodyText"/>
        <w:spacing w:line="357" w:lineRule="auto" w:before="154"/>
        <w:ind w:left="117" w:right="140" w:firstLine="480"/>
        <w:jc w:val="both"/>
      </w:pPr>
      <w:r>
        <w:rPr>
          <w:spacing w:val="-10"/>
        </w:rPr>
        <w:t>六项基本日常生活活动是指：</w:t>
      </w:r>
      <w:r>
        <w:rPr/>
        <w:t>（1）</w:t>
      </w:r>
      <w:r>
        <w:rPr>
          <w:spacing w:val="-10"/>
        </w:rPr>
        <w:t>穿衣：自己能够穿衣及脱衣；</w:t>
      </w:r>
      <w:r>
        <w:rPr/>
        <w:t>（2）移动：</w:t>
      </w:r>
      <w:r>
        <w:rPr>
          <w:spacing w:val="-9"/>
        </w:rPr>
        <w:t>自己从一个房间到另一个房间；</w:t>
      </w:r>
      <w:r>
        <w:rPr/>
        <w:t>（3）</w:t>
      </w:r>
      <w:r>
        <w:rPr>
          <w:spacing w:val="-9"/>
        </w:rPr>
        <w:t>行动：自己上下床或上下轮椅；</w:t>
      </w:r>
      <w:r>
        <w:rPr/>
        <w:t>（4）如厕：</w:t>
      </w:r>
      <w:r>
        <w:rPr>
          <w:spacing w:val="-12"/>
        </w:rPr>
        <w:t>自己控制进行大小便；</w:t>
      </w:r>
      <w:r>
        <w:rPr/>
        <w:t>（5）进食：自己从已准备好的碗或碟中取食物放入口中；</w:t>
      </w:r>
    </w:p>
    <w:p>
      <w:pPr>
        <w:pStyle w:val="BodyText"/>
        <w:spacing w:before="36"/>
        <w:ind w:left="117"/>
      </w:pPr>
      <w:r>
        <w:rPr/>
        <w:t>（6）洗澡：自己进行淋浴或盆浴。</w:t>
      </w:r>
    </w:p>
    <w:p>
      <w:pPr>
        <w:pStyle w:val="ListParagraph"/>
        <w:numPr>
          <w:ilvl w:val="0"/>
          <w:numId w:val="4"/>
        </w:numPr>
        <w:tabs>
          <w:tab w:pos="838" w:val="left" w:leader="none"/>
        </w:tabs>
        <w:spacing w:line="240" w:lineRule="auto" w:before="153" w:after="0"/>
        <w:ind w:left="837" w:right="0" w:hanging="240"/>
        <w:jc w:val="left"/>
        <w:rPr>
          <w:rFonts w:ascii="宋体" w:eastAsia="宋体" w:hint="eastAsia"/>
          <w:sz w:val="24"/>
        </w:rPr>
      </w:pPr>
      <w:r>
        <w:rPr>
          <w:rFonts w:ascii="宋体" w:eastAsia="宋体" w:hint="eastAsia"/>
          <w:sz w:val="24"/>
        </w:rPr>
        <w:t>.肢体机能完全丧失</w:t>
      </w:r>
    </w:p>
    <w:p>
      <w:pPr>
        <w:pStyle w:val="BodyText"/>
        <w:ind w:left="597"/>
      </w:pPr>
      <w:r>
        <w:rPr/>
        <w:t>指肢体的三大关节中的两大关节僵硬，或不能随意识活动。肢体是指包括肩</w:t>
      </w:r>
    </w:p>
    <w:p>
      <w:pPr>
        <w:pStyle w:val="BodyText"/>
        <w:ind w:left="117"/>
      </w:pPr>
      <w:r>
        <w:rPr/>
        <w:t>关节的整个上肢或包括髋关节的整个下肢。</w:t>
      </w:r>
    </w:p>
    <w:p>
      <w:pPr>
        <w:pStyle w:val="ListParagraph"/>
        <w:numPr>
          <w:ilvl w:val="0"/>
          <w:numId w:val="5"/>
        </w:numPr>
        <w:tabs>
          <w:tab w:pos="958" w:val="left" w:leader="none"/>
        </w:tabs>
        <w:spacing w:line="240" w:lineRule="auto" w:before="153" w:after="0"/>
        <w:ind w:left="957" w:right="0" w:hanging="360"/>
        <w:jc w:val="left"/>
        <w:rPr>
          <w:rFonts w:ascii="宋体" w:eastAsia="宋体" w:hint="eastAsia"/>
          <w:sz w:val="24"/>
        </w:rPr>
      </w:pPr>
      <w:r>
        <w:rPr>
          <w:rFonts w:ascii="宋体" w:eastAsia="宋体" w:hint="eastAsia"/>
          <w:sz w:val="24"/>
        </w:rPr>
        <w:t>语言能力或咀嚼吞咽能力完全丧失</w:t>
      </w:r>
    </w:p>
    <w:p>
      <w:pPr>
        <w:pStyle w:val="BodyText"/>
        <w:ind w:left="597"/>
      </w:pPr>
      <w:r>
        <w:rPr/>
        <w:t>语言能力完全丧失，指无法发出四种语音（包括口唇音、齿舌音、口盖音和</w:t>
      </w:r>
    </w:p>
    <w:p>
      <w:pPr>
        <w:pStyle w:val="BodyText"/>
        <w:ind w:left="117"/>
      </w:pPr>
      <w:r>
        <w:rPr/>
        <w:t>喉头音</w:t>
      </w:r>
      <w:r>
        <w:rPr>
          <w:spacing w:val="-70"/>
        </w:rPr>
        <w:t>）</w:t>
      </w:r>
      <w:r>
        <w:rPr>
          <w:spacing w:val="-13"/>
        </w:rPr>
        <w:t>中的任何三种、或声带全部切除，或因大脑语言中枢受伤害而患失语症。</w:t>
      </w:r>
    </w:p>
    <w:p>
      <w:pPr>
        <w:pStyle w:val="BodyText"/>
        <w:ind w:left="597"/>
      </w:pPr>
      <w:r>
        <w:rPr/>
        <w:t>咀嚼吞咽能力完全丧失，指因牙齿以外的原因导致器质障碍或机能障碍，以</w:t>
      </w:r>
    </w:p>
    <w:p>
      <w:pPr>
        <w:pStyle w:val="BodyText"/>
        <w:ind w:left="117"/>
      </w:pPr>
      <w:r>
        <w:rPr/>
        <w:t>致不能作咀嚼吞咽运动，除流质食物外不能摄取或吞咽的状态。</w:t>
      </w:r>
    </w:p>
    <w:p>
      <w:pPr>
        <w:pStyle w:val="ListParagraph"/>
        <w:numPr>
          <w:ilvl w:val="0"/>
          <w:numId w:val="5"/>
        </w:numPr>
        <w:tabs>
          <w:tab w:pos="958" w:val="left" w:leader="none"/>
        </w:tabs>
        <w:spacing w:line="240" w:lineRule="auto" w:before="153" w:after="0"/>
        <w:ind w:left="957" w:right="0" w:hanging="360"/>
        <w:jc w:val="left"/>
        <w:rPr>
          <w:rFonts w:ascii="宋体" w:eastAsia="宋体" w:hint="eastAsia"/>
          <w:sz w:val="24"/>
        </w:rPr>
      </w:pPr>
      <w:r>
        <w:rPr>
          <w:rFonts w:ascii="宋体" w:eastAsia="宋体" w:hint="eastAsia"/>
          <w:sz w:val="24"/>
        </w:rPr>
        <w:t>永久不可逆</w:t>
      </w:r>
    </w:p>
    <w:p>
      <w:pPr>
        <w:pStyle w:val="BodyText"/>
        <w:ind w:left="597"/>
      </w:pPr>
      <w:r>
        <w:rPr/>
        <w:t>指自疾病确诊或意外伤害发生之日起，经过积极治疗180 天后，仍无法通过</w:t>
      </w:r>
    </w:p>
    <w:p>
      <w:pPr>
        <w:spacing w:after="0"/>
        <w:sectPr>
          <w:pgSz w:w="11900" w:h="16840"/>
          <w:pgMar w:header="0" w:footer="1007" w:top="1460" w:bottom="1200" w:left="1680" w:right="1560"/>
        </w:sectPr>
      </w:pPr>
    </w:p>
    <w:p>
      <w:pPr>
        <w:pStyle w:val="BodyText"/>
        <w:spacing w:line="313" w:lineRule="exact" w:before="0"/>
        <w:ind w:left="117"/>
      </w:pPr>
      <w:r>
        <w:rPr/>
        <w:t>现有医疗手段恢复。</w:t>
      </w:r>
    </w:p>
    <w:p>
      <w:pPr>
        <w:pStyle w:val="BodyText"/>
        <w:spacing w:before="154"/>
        <w:ind w:left="597"/>
      </w:pPr>
      <w:r>
        <w:rPr/>
        <w:t>5.专科医生</w:t>
      </w:r>
    </w:p>
    <w:p>
      <w:pPr>
        <w:pStyle w:val="BodyText"/>
        <w:spacing w:before="154"/>
        <w:ind w:left="597"/>
      </w:pPr>
      <w:r>
        <w:rPr/>
        <w:t>专科医生应当同时满足以下四项资格条件</w:t>
      </w:r>
      <w:r>
        <w:rPr>
          <w:spacing w:val="-164"/>
        </w:rPr>
        <w:t>：</w:t>
      </w:r>
      <w:r>
        <w:rPr/>
        <w:t>（1</w:t>
      </w:r>
      <w:r>
        <w:rPr>
          <w:spacing w:val="-44"/>
        </w:rPr>
        <w:t>）</w:t>
      </w:r>
      <w:r>
        <w:rPr/>
        <w:t>具有有效的中华人民共和国</w:t>
      </w:r>
    </w:p>
    <w:p>
      <w:pPr>
        <w:pStyle w:val="BodyText"/>
        <w:spacing w:line="357" w:lineRule="auto" w:before="154"/>
        <w:ind w:left="117" w:right="226"/>
        <w:jc w:val="both"/>
      </w:pPr>
      <w:r>
        <w:rPr>
          <w:spacing w:val="-30"/>
        </w:rPr>
        <w:t>《医师资格证书》；</w:t>
      </w:r>
      <w:r>
        <w:rPr/>
        <w:t>（2</w:t>
      </w:r>
      <w:r>
        <w:rPr>
          <w:spacing w:val="-22"/>
        </w:rPr>
        <w:t>）</w:t>
      </w:r>
      <w:r>
        <w:rPr>
          <w:spacing w:val="-9"/>
        </w:rPr>
        <w:t>具有有效的中华人民共和国《医师执业证书》，并按期到相关部门登记注册</w:t>
      </w:r>
      <w:r>
        <w:rPr>
          <w:spacing w:val="-164"/>
        </w:rPr>
        <w:t>；</w:t>
      </w:r>
      <w:r>
        <w:rPr/>
        <w:t>（3</w:t>
      </w:r>
      <w:r>
        <w:rPr>
          <w:spacing w:val="-44"/>
        </w:rPr>
        <w:t>）</w:t>
      </w:r>
      <w:r>
        <w:rPr/>
        <w:t>具有有效的中华人民共和国主治医师或主治医师以上职</w:t>
      </w:r>
      <w:r>
        <w:rPr>
          <w:spacing w:val="-22"/>
        </w:rPr>
        <w:t>称的《医师职称证书》；</w:t>
      </w:r>
      <w:r>
        <w:rPr/>
        <w:t>（4）在二级或二级以上医院的相应科室从事临床工作三年以上。</w:t>
      </w:r>
    </w:p>
    <w:p>
      <w:pPr>
        <w:pStyle w:val="ListParagraph"/>
        <w:numPr>
          <w:ilvl w:val="0"/>
          <w:numId w:val="6"/>
        </w:numPr>
        <w:tabs>
          <w:tab w:pos="958" w:val="left" w:leader="none"/>
        </w:tabs>
        <w:spacing w:line="240" w:lineRule="auto" w:before="36" w:after="0"/>
        <w:ind w:left="957" w:right="0" w:hanging="360"/>
        <w:jc w:val="left"/>
        <w:rPr>
          <w:rFonts w:ascii="宋体" w:eastAsia="宋体" w:hint="eastAsia"/>
          <w:sz w:val="24"/>
        </w:rPr>
      </w:pPr>
      <w:r>
        <w:rPr>
          <w:rFonts w:ascii="宋体" w:eastAsia="宋体" w:hint="eastAsia"/>
          <w:sz w:val="24"/>
        </w:rPr>
        <w:t>感染艾滋病病毒或患艾滋病</w:t>
      </w:r>
    </w:p>
    <w:p>
      <w:pPr>
        <w:pStyle w:val="BodyText"/>
        <w:spacing w:line="357" w:lineRule="auto"/>
        <w:ind w:left="117" w:right="226" w:firstLine="480"/>
        <w:jc w:val="both"/>
      </w:pPr>
      <w:r>
        <w:rPr/>
        <w:t>艾滋病病毒指人类免疫缺陷病毒，英文缩写为HIV。艾滋病指人类免疫缺陷</w:t>
      </w:r>
      <w:r>
        <w:rPr>
          <w:spacing w:val="-3"/>
        </w:rPr>
        <w:t>病毒引起的获得性免疫缺陷综合征，英文缩写为</w:t>
      </w:r>
      <w:r>
        <w:rPr/>
        <w:t>AIDS</w:t>
      </w:r>
      <w:r>
        <w:rPr>
          <w:spacing w:val="-7"/>
        </w:rPr>
        <w:t>。在人体血液或其它样本中</w:t>
      </w:r>
      <w:r>
        <w:rPr>
          <w:spacing w:val="-12"/>
        </w:rPr>
        <w:t>检测到艾滋病病毒或其抗体呈阳性，没有出现临床症状或体征的，为感染艾滋病病毒；如果同时出现了明显临床症状或体征的，为患艾滋病。</w:t>
      </w:r>
    </w:p>
    <w:p>
      <w:pPr>
        <w:pStyle w:val="ListParagraph"/>
        <w:numPr>
          <w:ilvl w:val="0"/>
          <w:numId w:val="6"/>
        </w:numPr>
        <w:tabs>
          <w:tab w:pos="958" w:val="left" w:leader="none"/>
        </w:tabs>
        <w:spacing w:line="240" w:lineRule="auto" w:before="36" w:after="0"/>
        <w:ind w:left="957" w:right="0" w:hanging="360"/>
        <w:jc w:val="left"/>
        <w:rPr>
          <w:rFonts w:ascii="宋体" w:eastAsia="宋体" w:hint="eastAsia"/>
          <w:sz w:val="24"/>
        </w:rPr>
      </w:pPr>
      <w:r>
        <w:rPr>
          <w:rFonts w:ascii="宋体" w:eastAsia="宋体" w:hint="eastAsia"/>
          <w:sz w:val="24"/>
        </w:rPr>
        <w:t>遗传性疾病</w:t>
      </w:r>
    </w:p>
    <w:p>
      <w:pPr>
        <w:pStyle w:val="BodyText"/>
        <w:spacing w:line="357" w:lineRule="auto" w:before="154"/>
        <w:ind w:left="117" w:right="226" w:firstLine="480"/>
      </w:pPr>
      <w:r>
        <w:rPr>
          <w:spacing w:val="-4"/>
        </w:rPr>
        <w:t>指生殖细胞或受精卵的遗传物质</w:t>
      </w:r>
      <w:r>
        <w:rPr/>
        <w:t>（染色体和基因</w:t>
      </w:r>
      <w:r>
        <w:rPr>
          <w:spacing w:val="-44"/>
        </w:rPr>
        <w:t>）</w:t>
      </w:r>
      <w:r>
        <w:rPr/>
        <w:t>发生突变或畸变所引起的疾病，通常具有由亲代传至后代的垂直传递的特征。</w:t>
      </w:r>
    </w:p>
    <w:p>
      <w:pPr>
        <w:pStyle w:val="ListParagraph"/>
        <w:numPr>
          <w:ilvl w:val="0"/>
          <w:numId w:val="6"/>
        </w:numPr>
        <w:tabs>
          <w:tab w:pos="958" w:val="left" w:leader="none"/>
        </w:tabs>
        <w:spacing w:line="240" w:lineRule="auto" w:before="36" w:after="0"/>
        <w:ind w:left="957" w:right="0" w:hanging="360"/>
        <w:jc w:val="left"/>
        <w:rPr>
          <w:rFonts w:ascii="宋体" w:eastAsia="宋体" w:hint="eastAsia"/>
          <w:sz w:val="24"/>
        </w:rPr>
      </w:pPr>
      <w:r>
        <w:rPr>
          <w:rFonts w:ascii="宋体" w:eastAsia="宋体" w:hint="eastAsia"/>
          <w:sz w:val="24"/>
        </w:rPr>
        <w:t>先天性畸形、变形或染色体异常</w:t>
      </w:r>
    </w:p>
    <w:p>
      <w:pPr>
        <w:pStyle w:val="BodyText"/>
        <w:spacing w:line="357" w:lineRule="auto"/>
        <w:ind w:left="117" w:right="106" w:firstLine="480"/>
      </w:pPr>
      <w:r>
        <w:rPr>
          <w:spacing w:val="-5"/>
        </w:rPr>
        <w:t>指被保险人出生时就具有的畸形、变形或染色体异常。先天性畸形、变形和</w:t>
      </w:r>
      <w:r>
        <w:rPr>
          <w:spacing w:val="-8"/>
        </w:rPr>
        <w:t>染色体异常依照世界卫生组织《疾病和有关健康问题的国际统计分类</w:t>
      </w:r>
      <w:r>
        <w:rPr>
          <w:spacing w:val="-164"/>
        </w:rPr>
        <w:t>》</w:t>
      </w:r>
      <w:r>
        <w:rPr/>
        <w:t>（ICD-10） 确定。</w:t>
      </w:r>
    </w:p>
    <w:sectPr>
      <w:pgSz w:w="11900" w:h="16840"/>
      <w:pgMar w:header="0" w:footer="1007" w:top="1460" w:bottom="120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2077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20007pt;margin-top:780.659973pt;width:78.7pt;height:12pt;mso-position-horizontal-relative:page;mso-position-vertical-relative:page;z-index:-2075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20007pt;margin-top:780.659973pt;width:78.7pt;height:12pt;mso-position-horizontal-relative:page;mso-position-vertical-relative:page;z-index:-207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77" w:hanging="480"/>
        <w:jc w:val="left"/>
      </w:pPr>
      <w:rPr>
        <w:rFonts w:hint="default" w:ascii="宋体" w:hAnsi="宋体" w:eastAsia="宋体" w:cs="宋体"/>
        <w:w w:val="100"/>
        <w:sz w:val="24"/>
        <w:szCs w:val="24"/>
      </w:rPr>
    </w:lvl>
    <w:lvl w:ilvl="1">
      <w:start w:val="0"/>
      <w:numFmt w:val="bullet"/>
      <w:lvlText w:val="•"/>
      <w:lvlJc w:val="left"/>
      <w:pPr>
        <w:ind w:left="1838" w:hanging="480"/>
      </w:pPr>
      <w:rPr>
        <w:rFonts w:hint="default"/>
      </w:rPr>
    </w:lvl>
    <w:lvl w:ilvl="2">
      <w:start w:val="0"/>
      <w:numFmt w:val="bullet"/>
      <w:lvlText w:val="•"/>
      <w:lvlJc w:val="left"/>
      <w:pPr>
        <w:ind w:left="2596" w:hanging="480"/>
      </w:pPr>
      <w:rPr>
        <w:rFonts w:hint="default"/>
      </w:rPr>
    </w:lvl>
    <w:lvl w:ilvl="3">
      <w:start w:val="0"/>
      <w:numFmt w:val="bullet"/>
      <w:lvlText w:val="•"/>
      <w:lvlJc w:val="left"/>
      <w:pPr>
        <w:ind w:left="3354" w:hanging="480"/>
      </w:pPr>
      <w:rPr>
        <w:rFonts w:hint="default"/>
      </w:rPr>
    </w:lvl>
    <w:lvl w:ilvl="4">
      <w:start w:val="0"/>
      <w:numFmt w:val="bullet"/>
      <w:lvlText w:val="•"/>
      <w:lvlJc w:val="left"/>
      <w:pPr>
        <w:ind w:left="4112" w:hanging="480"/>
      </w:pPr>
      <w:rPr>
        <w:rFonts w:hint="default"/>
      </w:rPr>
    </w:lvl>
    <w:lvl w:ilvl="5">
      <w:start w:val="0"/>
      <w:numFmt w:val="bullet"/>
      <w:lvlText w:val="•"/>
      <w:lvlJc w:val="left"/>
      <w:pPr>
        <w:ind w:left="4870" w:hanging="480"/>
      </w:pPr>
      <w:rPr>
        <w:rFonts w:hint="default"/>
      </w:rPr>
    </w:lvl>
    <w:lvl w:ilvl="6">
      <w:start w:val="0"/>
      <w:numFmt w:val="bullet"/>
      <w:lvlText w:val="•"/>
      <w:lvlJc w:val="left"/>
      <w:pPr>
        <w:ind w:left="5628" w:hanging="480"/>
      </w:pPr>
      <w:rPr>
        <w:rFonts w:hint="default"/>
      </w:rPr>
    </w:lvl>
    <w:lvl w:ilvl="7">
      <w:start w:val="0"/>
      <w:numFmt w:val="bullet"/>
      <w:lvlText w:val="•"/>
      <w:lvlJc w:val="left"/>
      <w:pPr>
        <w:ind w:left="6386" w:hanging="480"/>
      </w:pPr>
      <w:rPr>
        <w:rFonts w:hint="default"/>
      </w:rPr>
    </w:lvl>
    <w:lvl w:ilvl="8">
      <w:start w:val="0"/>
      <w:numFmt w:val="bullet"/>
      <w:lvlText w:val="•"/>
      <w:lvlJc w:val="left"/>
      <w:pPr>
        <w:ind w:left="7144" w:hanging="480"/>
      </w:pPr>
      <w:rPr>
        <w:rFonts w:hint="default"/>
      </w:rPr>
    </w:lvl>
  </w:abstractNum>
  <w:abstractNum w:abstractNumId="5">
    <w:multiLevelType w:val="hybridMultilevel"/>
    <w:lvl w:ilvl="0">
      <w:start w:val="6"/>
      <w:numFmt w:val="decimal"/>
      <w:lvlText w:val="%1."/>
      <w:lvlJc w:val="left"/>
      <w:pPr>
        <w:ind w:left="957" w:hanging="360"/>
        <w:jc w:val="left"/>
      </w:pPr>
      <w:rPr>
        <w:rFonts w:hint="default" w:ascii="宋体" w:hAnsi="宋体" w:eastAsia="宋体" w:cs="宋体"/>
        <w:w w:val="100"/>
        <w:sz w:val="24"/>
        <w:szCs w:val="24"/>
      </w:rPr>
    </w:lvl>
    <w:lvl w:ilvl="1">
      <w:start w:val="0"/>
      <w:numFmt w:val="bullet"/>
      <w:lvlText w:val="•"/>
      <w:lvlJc w:val="left"/>
      <w:pPr>
        <w:ind w:left="173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270" w:hanging="360"/>
      </w:pPr>
      <w:rPr>
        <w:rFonts w:hint="default"/>
      </w:rPr>
    </w:lvl>
    <w:lvl w:ilvl="4">
      <w:start w:val="0"/>
      <w:numFmt w:val="bullet"/>
      <w:lvlText w:val="•"/>
      <w:lvlJc w:val="left"/>
      <w:pPr>
        <w:ind w:left="4040" w:hanging="360"/>
      </w:pPr>
      <w:rPr>
        <w:rFonts w:hint="default"/>
      </w:rPr>
    </w:lvl>
    <w:lvl w:ilvl="5">
      <w:start w:val="0"/>
      <w:numFmt w:val="bullet"/>
      <w:lvlText w:val="•"/>
      <w:lvlJc w:val="left"/>
      <w:pPr>
        <w:ind w:left="4810" w:hanging="360"/>
      </w:pPr>
      <w:rPr>
        <w:rFonts w:hint="default"/>
      </w:rPr>
    </w:lvl>
    <w:lvl w:ilvl="6">
      <w:start w:val="0"/>
      <w:numFmt w:val="bullet"/>
      <w:lvlText w:val="•"/>
      <w:lvlJc w:val="left"/>
      <w:pPr>
        <w:ind w:left="5580" w:hanging="360"/>
      </w:pPr>
      <w:rPr>
        <w:rFonts w:hint="default"/>
      </w:rPr>
    </w:lvl>
    <w:lvl w:ilvl="7">
      <w:start w:val="0"/>
      <w:numFmt w:val="bullet"/>
      <w:lvlText w:val="•"/>
      <w:lvlJc w:val="left"/>
      <w:pPr>
        <w:ind w:left="6350" w:hanging="360"/>
      </w:pPr>
      <w:rPr>
        <w:rFonts w:hint="default"/>
      </w:rPr>
    </w:lvl>
    <w:lvl w:ilvl="8">
      <w:start w:val="0"/>
      <w:numFmt w:val="bullet"/>
      <w:lvlText w:val="•"/>
      <w:lvlJc w:val="left"/>
      <w:pPr>
        <w:ind w:left="7120" w:hanging="360"/>
      </w:pPr>
      <w:rPr>
        <w:rFonts w:hint="default"/>
      </w:rPr>
    </w:lvl>
  </w:abstractNum>
  <w:abstractNum w:abstractNumId="4">
    <w:multiLevelType w:val="hybridMultilevel"/>
    <w:lvl w:ilvl="0">
      <w:start w:val="3"/>
      <w:numFmt w:val="decimal"/>
      <w:lvlText w:val="%1."/>
      <w:lvlJc w:val="left"/>
      <w:pPr>
        <w:ind w:left="957" w:hanging="360"/>
        <w:jc w:val="left"/>
      </w:pPr>
      <w:rPr>
        <w:rFonts w:hint="default" w:ascii="宋体" w:hAnsi="宋体" w:eastAsia="宋体" w:cs="宋体"/>
        <w:w w:val="100"/>
        <w:sz w:val="24"/>
        <w:szCs w:val="24"/>
      </w:rPr>
    </w:lvl>
    <w:lvl w:ilvl="1">
      <w:start w:val="0"/>
      <w:numFmt w:val="bullet"/>
      <w:lvlText w:val="•"/>
      <w:lvlJc w:val="left"/>
      <w:pPr>
        <w:ind w:left="1730" w:hanging="360"/>
      </w:pPr>
      <w:rPr>
        <w:rFonts w:hint="default"/>
      </w:rPr>
    </w:lvl>
    <w:lvl w:ilvl="2">
      <w:start w:val="0"/>
      <w:numFmt w:val="bullet"/>
      <w:lvlText w:val="•"/>
      <w:lvlJc w:val="left"/>
      <w:pPr>
        <w:ind w:left="2500" w:hanging="360"/>
      </w:pPr>
      <w:rPr>
        <w:rFonts w:hint="default"/>
      </w:rPr>
    </w:lvl>
    <w:lvl w:ilvl="3">
      <w:start w:val="0"/>
      <w:numFmt w:val="bullet"/>
      <w:lvlText w:val="•"/>
      <w:lvlJc w:val="left"/>
      <w:pPr>
        <w:ind w:left="3270" w:hanging="360"/>
      </w:pPr>
      <w:rPr>
        <w:rFonts w:hint="default"/>
      </w:rPr>
    </w:lvl>
    <w:lvl w:ilvl="4">
      <w:start w:val="0"/>
      <w:numFmt w:val="bullet"/>
      <w:lvlText w:val="•"/>
      <w:lvlJc w:val="left"/>
      <w:pPr>
        <w:ind w:left="4040" w:hanging="360"/>
      </w:pPr>
      <w:rPr>
        <w:rFonts w:hint="default"/>
      </w:rPr>
    </w:lvl>
    <w:lvl w:ilvl="5">
      <w:start w:val="0"/>
      <w:numFmt w:val="bullet"/>
      <w:lvlText w:val="•"/>
      <w:lvlJc w:val="left"/>
      <w:pPr>
        <w:ind w:left="4810" w:hanging="360"/>
      </w:pPr>
      <w:rPr>
        <w:rFonts w:hint="default"/>
      </w:rPr>
    </w:lvl>
    <w:lvl w:ilvl="6">
      <w:start w:val="0"/>
      <w:numFmt w:val="bullet"/>
      <w:lvlText w:val="•"/>
      <w:lvlJc w:val="left"/>
      <w:pPr>
        <w:ind w:left="5580" w:hanging="360"/>
      </w:pPr>
      <w:rPr>
        <w:rFonts w:hint="default"/>
      </w:rPr>
    </w:lvl>
    <w:lvl w:ilvl="7">
      <w:start w:val="0"/>
      <w:numFmt w:val="bullet"/>
      <w:lvlText w:val="•"/>
      <w:lvlJc w:val="left"/>
      <w:pPr>
        <w:ind w:left="6350" w:hanging="360"/>
      </w:pPr>
      <w:rPr>
        <w:rFonts w:hint="default"/>
      </w:rPr>
    </w:lvl>
    <w:lvl w:ilvl="8">
      <w:start w:val="0"/>
      <w:numFmt w:val="bullet"/>
      <w:lvlText w:val="•"/>
      <w:lvlJc w:val="left"/>
      <w:pPr>
        <w:ind w:left="7120" w:hanging="360"/>
      </w:pPr>
      <w:rPr>
        <w:rFonts w:hint="default"/>
      </w:rPr>
    </w:lvl>
  </w:abstractNum>
  <w:abstractNum w:abstractNumId="3">
    <w:multiLevelType w:val="hybridMultilevel"/>
    <w:lvl w:ilvl="0">
      <w:start w:val="1"/>
      <w:numFmt w:val="decimal"/>
      <w:lvlText w:val="%1"/>
      <w:lvlJc w:val="left"/>
      <w:pPr>
        <w:ind w:left="837" w:hanging="240"/>
        <w:jc w:val="left"/>
      </w:pPr>
      <w:rPr>
        <w:rFonts w:hint="default" w:ascii="宋体" w:hAnsi="宋体" w:eastAsia="宋体" w:cs="宋体"/>
        <w:w w:val="100"/>
        <w:sz w:val="24"/>
        <w:szCs w:val="24"/>
      </w:rPr>
    </w:lvl>
    <w:lvl w:ilvl="1">
      <w:start w:val="0"/>
      <w:numFmt w:val="bullet"/>
      <w:lvlText w:val="•"/>
      <w:lvlJc w:val="left"/>
      <w:pPr>
        <w:ind w:left="1622" w:hanging="240"/>
      </w:pPr>
      <w:rPr>
        <w:rFonts w:hint="default"/>
      </w:rPr>
    </w:lvl>
    <w:lvl w:ilvl="2">
      <w:start w:val="0"/>
      <w:numFmt w:val="bullet"/>
      <w:lvlText w:val="•"/>
      <w:lvlJc w:val="left"/>
      <w:pPr>
        <w:ind w:left="2404" w:hanging="240"/>
      </w:pPr>
      <w:rPr>
        <w:rFonts w:hint="default"/>
      </w:rPr>
    </w:lvl>
    <w:lvl w:ilvl="3">
      <w:start w:val="0"/>
      <w:numFmt w:val="bullet"/>
      <w:lvlText w:val="•"/>
      <w:lvlJc w:val="left"/>
      <w:pPr>
        <w:ind w:left="3186" w:hanging="240"/>
      </w:pPr>
      <w:rPr>
        <w:rFonts w:hint="default"/>
      </w:rPr>
    </w:lvl>
    <w:lvl w:ilvl="4">
      <w:start w:val="0"/>
      <w:numFmt w:val="bullet"/>
      <w:lvlText w:val="•"/>
      <w:lvlJc w:val="left"/>
      <w:pPr>
        <w:ind w:left="3968" w:hanging="240"/>
      </w:pPr>
      <w:rPr>
        <w:rFonts w:hint="default"/>
      </w:rPr>
    </w:lvl>
    <w:lvl w:ilvl="5">
      <w:start w:val="0"/>
      <w:numFmt w:val="bullet"/>
      <w:lvlText w:val="•"/>
      <w:lvlJc w:val="left"/>
      <w:pPr>
        <w:ind w:left="4750" w:hanging="240"/>
      </w:pPr>
      <w:rPr>
        <w:rFonts w:hint="default"/>
      </w:rPr>
    </w:lvl>
    <w:lvl w:ilvl="6">
      <w:start w:val="0"/>
      <w:numFmt w:val="bullet"/>
      <w:lvlText w:val="•"/>
      <w:lvlJc w:val="left"/>
      <w:pPr>
        <w:ind w:left="5532" w:hanging="240"/>
      </w:pPr>
      <w:rPr>
        <w:rFonts w:hint="default"/>
      </w:rPr>
    </w:lvl>
    <w:lvl w:ilvl="7">
      <w:start w:val="0"/>
      <w:numFmt w:val="bullet"/>
      <w:lvlText w:val="•"/>
      <w:lvlJc w:val="left"/>
      <w:pPr>
        <w:ind w:left="6314" w:hanging="240"/>
      </w:pPr>
      <w:rPr>
        <w:rFonts w:hint="default"/>
      </w:rPr>
    </w:lvl>
    <w:lvl w:ilvl="8">
      <w:start w:val="0"/>
      <w:numFmt w:val="bullet"/>
      <w:lvlText w:val="•"/>
      <w:lvlJc w:val="left"/>
      <w:pPr>
        <w:ind w:left="7096" w:hanging="240"/>
      </w:pPr>
      <w:rPr>
        <w:rFonts w:hint="default"/>
      </w:rPr>
    </w:lvl>
  </w:abstractNum>
  <w:abstractNum w:abstractNumId="2">
    <w:multiLevelType w:val="hybridMultilevel"/>
    <w:lvl w:ilvl="0">
      <w:start w:val="2"/>
      <w:numFmt w:val="decimal"/>
      <w:lvlText w:val="%1"/>
      <w:lvlJc w:val="left"/>
      <w:pPr>
        <w:ind w:left="360" w:hanging="243"/>
        <w:jc w:val="left"/>
      </w:pPr>
      <w:rPr>
        <w:rFonts w:hint="default" w:ascii="微软雅黑" w:hAnsi="微软雅黑" w:eastAsia="微软雅黑" w:cs="微软雅黑"/>
        <w:b/>
        <w:bCs/>
        <w:w w:val="81"/>
        <w:sz w:val="24"/>
        <w:szCs w:val="24"/>
      </w:rPr>
    </w:lvl>
    <w:lvl w:ilvl="1">
      <w:start w:val="1"/>
      <w:numFmt w:val="decimal"/>
      <w:lvlText w:val="%2)"/>
      <w:lvlJc w:val="left"/>
      <w:pPr>
        <w:ind w:left="957" w:hanging="360"/>
        <w:jc w:val="left"/>
      </w:pPr>
      <w:rPr>
        <w:rFonts w:hint="default" w:ascii="宋体" w:hAnsi="宋体" w:eastAsia="宋体" w:cs="宋体"/>
        <w:w w:val="100"/>
        <w:sz w:val="24"/>
        <w:szCs w:val="24"/>
      </w:rPr>
    </w:lvl>
    <w:lvl w:ilvl="2">
      <w:start w:val="0"/>
      <w:numFmt w:val="bullet"/>
      <w:lvlText w:val="•"/>
      <w:lvlJc w:val="left"/>
      <w:pPr>
        <w:ind w:left="960" w:hanging="360"/>
      </w:pPr>
      <w:rPr>
        <w:rFonts w:hint="default"/>
      </w:rPr>
    </w:lvl>
    <w:lvl w:ilvl="3">
      <w:start w:val="0"/>
      <w:numFmt w:val="bullet"/>
      <w:lvlText w:val="•"/>
      <w:lvlJc w:val="left"/>
      <w:pPr>
        <w:ind w:left="1922" w:hanging="360"/>
      </w:pPr>
      <w:rPr>
        <w:rFonts w:hint="default"/>
      </w:rPr>
    </w:lvl>
    <w:lvl w:ilvl="4">
      <w:start w:val="0"/>
      <w:numFmt w:val="bullet"/>
      <w:lvlText w:val="•"/>
      <w:lvlJc w:val="left"/>
      <w:pPr>
        <w:ind w:left="2885" w:hanging="360"/>
      </w:pPr>
      <w:rPr>
        <w:rFonts w:hint="default"/>
      </w:rPr>
    </w:lvl>
    <w:lvl w:ilvl="5">
      <w:start w:val="0"/>
      <w:numFmt w:val="bullet"/>
      <w:lvlText w:val="•"/>
      <w:lvlJc w:val="left"/>
      <w:pPr>
        <w:ind w:left="3847" w:hanging="360"/>
      </w:pPr>
      <w:rPr>
        <w:rFonts w:hint="default"/>
      </w:rPr>
    </w:lvl>
    <w:lvl w:ilvl="6">
      <w:start w:val="0"/>
      <w:numFmt w:val="bullet"/>
      <w:lvlText w:val="•"/>
      <w:lvlJc w:val="left"/>
      <w:pPr>
        <w:ind w:left="4810" w:hanging="360"/>
      </w:pPr>
      <w:rPr>
        <w:rFonts w:hint="default"/>
      </w:rPr>
    </w:lvl>
    <w:lvl w:ilvl="7">
      <w:start w:val="0"/>
      <w:numFmt w:val="bullet"/>
      <w:lvlText w:val="•"/>
      <w:lvlJc w:val="left"/>
      <w:pPr>
        <w:ind w:left="5772" w:hanging="360"/>
      </w:pPr>
      <w:rPr>
        <w:rFonts w:hint="default"/>
      </w:rPr>
    </w:lvl>
    <w:lvl w:ilvl="8">
      <w:start w:val="0"/>
      <w:numFmt w:val="bullet"/>
      <w:lvlText w:val="•"/>
      <w:lvlJc w:val="left"/>
      <w:pPr>
        <w:ind w:left="6735" w:hanging="360"/>
      </w:pPr>
      <w:rPr>
        <w:rFonts w:hint="default"/>
      </w:rPr>
    </w:lvl>
  </w:abstractNum>
  <w:abstractNum w:abstractNumId="0">
    <w:multiLevelType w:val="hybridMultilevel"/>
    <w:lvl w:ilvl="0">
      <w:start w:val="2"/>
      <w:numFmt w:val="decimal"/>
      <w:lvlText w:val="%1"/>
      <w:lvlJc w:val="left"/>
      <w:pPr>
        <w:ind w:left="1077" w:hanging="480"/>
        <w:jc w:val="left"/>
      </w:pPr>
      <w:rPr>
        <w:rFonts w:hint="default"/>
      </w:rPr>
    </w:lvl>
    <w:lvl w:ilvl="1">
      <w:start w:val="1"/>
      <w:numFmt w:val="decimal"/>
      <w:lvlText w:val="%1.%2"/>
      <w:lvlJc w:val="left"/>
      <w:pPr>
        <w:ind w:left="1077" w:hanging="480"/>
        <w:jc w:val="left"/>
      </w:pPr>
      <w:rPr>
        <w:rFonts w:hint="default" w:ascii="宋体" w:hAnsi="宋体" w:eastAsia="宋体" w:cs="宋体"/>
        <w:w w:val="100"/>
        <w:sz w:val="24"/>
        <w:szCs w:val="24"/>
      </w:rPr>
    </w:lvl>
    <w:lvl w:ilvl="2">
      <w:start w:val="0"/>
      <w:numFmt w:val="bullet"/>
      <w:lvlText w:val="•"/>
      <w:lvlJc w:val="left"/>
      <w:pPr>
        <w:ind w:left="2596" w:hanging="480"/>
      </w:pPr>
      <w:rPr>
        <w:rFonts w:hint="default"/>
      </w:rPr>
    </w:lvl>
    <w:lvl w:ilvl="3">
      <w:start w:val="0"/>
      <w:numFmt w:val="bullet"/>
      <w:lvlText w:val="•"/>
      <w:lvlJc w:val="left"/>
      <w:pPr>
        <w:ind w:left="3354" w:hanging="480"/>
      </w:pPr>
      <w:rPr>
        <w:rFonts w:hint="default"/>
      </w:rPr>
    </w:lvl>
    <w:lvl w:ilvl="4">
      <w:start w:val="0"/>
      <w:numFmt w:val="bullet"/>
      <w:lvlText w:val="•"/>
      <w:lvlJc w:val="left"/>
      <w:pPr>
        <w:ind w:left="4112" w:hanging="480"/>
      </w:pPr>
      <w:rPr>
        <w:rFonts w:hint="default"/>
      </w:rPr>
    </w:lvl>
    <w:lvl w:ilvl="5">
      <w:start w:val="0"/>
      <w:numFmt w:val="bullet"/>
      <w:lvlText w:val="•"/>
      <w:lvlJc w:val="left"/>
      <w:pPr>
        <w:ind w:left="4870" w:hanging="480"/>
      </w:pPr>
      <w:rPr>
        <w:rFonts w:hint="default"/>
      </w:rPr>
    </w:lvl>
    <w:lvl w:ilvl="6">
      <w:start w:val="0"/>
      <w:numFmt w:val="bullet"/>
      <w:lvlText w:val="•"/>
      <w:lvlJc w:val="left"/>
      <w:pPr>
        <w:ind w:left="5628" w:hanging="480"/>
      </w:pPr>
      <w:rPr>
        <w:rFonts w:hint="default"/>
      </w:rPr>
    </w:lvl>
    <w:lvl w:ilvl="7">
      <w:start w:val="0"/>
      <w:numFmt w:val="bullet"/>
      <w:lvlText w:val="•"/>
      <w:lvlJc w:val="left"/>
      <w:pPr>
        <w:ind w:left="6386" w:hanging="480"/>
      </w:pPr>
      <w:rPr>
        <w:rFonts w:hint="default"/>
      </w:rPr>
    </w:lvl>
    <w:lvl w:ilvl="8">
      <w:start w:val="0"/>
      <w:numFmt w:val="bullet"/>
      <w:lvlText w:val="•"/>
      <w:lvlJc w:val="left"/>
      <w:pPr>
        <w:ind w:left="7144" w:hanging="480"/>
      </w:pPr>
      <w:rPr>
        <w:rFonts w:hint="default"/>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spacing w:before="153"/>
    </w:pPr>
    <w:rPr>
      <w:rFonts w:ascii="宋体" w:hAnsi="宋体" w:eastAsia="宋体" w:cs="宋体"/>
      <w:sz w:val="24"/>
      <w:szCs w:val="24"/>
    </w:rPr>
  </w:style>
  <w:style w:styleId="Heading1" w:type="paragraph">
    <w:name w:val="Heading 1"/>
    <w:basedOn w:val="Normal"/>
    <w:uiPriority w:val="1"/>
    <w:qFormat/>
    <w:pPr>
      <w:ind w:left="117" w:hanging="363"/>
      <w:outlineLvl w:val="1"/>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ind w:left="480" w:hanging="363"/>
    </w:pPr>
    <w:rPr>
      <w:rFonts w:ascii="Microsoft JhengHei" w:hAnsi="Microsoft JhengHei" w:eastAsia="Microsoft JhengHei" w:cs="Microsoft JhengHei"/>
    </w:rPr>
  </w:style>
  <w:style w:styleId="TableParagraph" w:type="paragraph">
    <w:name w:val="Table Paragraph"/>
    <w:basedOn w:val="Normal"/>
    <w:uiPriority w:val="1"/>
    <w:qFormat/>
    <w:pPr>
      <w:spacing w:line="267" w:lineRule="exact"/>
      <w:ind w:left="120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02-瑞泰团体重大疾病保险合同条款</dc:title>
  <dcterms:created xsi:type="dcterms:W3CDTF">2018-10-20T02:16:08Z</dcterms:created>
  <dcterms:modified xsi:type="dcterms:W3CDTF">2018-10-20T02:16:08Z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pdfFactory Pro www.fineprint.cn</vt:lpwstr>
  </property>
  <property fmtid="{D5CDD505-2E9C-101B-9397-08002B2CF9AE}" pid="4" name="LastSaved">
    <vt:filetime>2014-05-18T00:00:00Z</vt:filetime>
  </property>
</Properties>
</file>