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29" w:lineRule="exact"/>
      </w:pPr>
      <w:r>
        <w:rPr/>
        <w:t>正德附加少儿重大疾病保险条款</w:t>
      </w:r>
    </w:p>
    <w:p>
      <w:pPr>
        <w:spacing w:before="71"/>
        <w:ind w:left="866" w:right="98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870" w:right="98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3"/>
        <w:tabs>
          <w:tab w:pos="1250" w:val="left" w:leader="none"/>
        </w:tabs>
        <w:spacing w:line="578" w:lineRule="exact" w:before="170"/>
        <w:ind w:left="239" w:firstLine="0"/>
        <w:rPr>
          <w:rFonts w:ascii="Microsoft JhengHei" w:hAnsi="Microsoft JhengHei" w:eastAsia="Microsoft JhengHei" w:hint="eastAsia"/>
        </w:rPr>
      </w:pPr>
      <w:r>
        <w:rPr/>
        <w:drawing>
          <wp:anchor distT="0" distB="0" distL="0" distR="0" allowOverlap="1" layoutInCell="1" locked="0" behindDoc="1" simplePos="0" relativeHeight="268398455">
            <wp:simplePos x="0" y="0"/>
            <wp:positionH relativeFrom="page">
              <wp:posOffset>559308</wp:posOffset>
            </wp:positionH>
            <wp:positionV relativeFrom="paragraph">
              <wp:posOffset>77813</wp:posOffset>
            </wp:positionV>
            <wp:extent cx="6509004" cy="784555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09004" cy="7845553"/>
                    </a:xfrm>
                    <a:prstGeom prst="rect">
                      <a:avLst/>
                    </a:prstGeom>
                  </pic:spPr>
                </pic:pic>
              </a:graphicData>
            </a:graphic>
          </wp:anchor>
        </w:drawing>
      </w:r>
      <w:r>
        <w:rPr>
          <w:rFonts w:ascii="Arial" w:hAnsi="Arial" w:eastAsia="Arial"/>
          <w:w w:val="150"/>
          <w:position w:val="-11"/>
          <w:sz w:val="52"/>
        </w:rPr>
        <w:t>¤</w:t>
        <w:tab/>
      </w:r>
      <w:r>
        <w:rPr>
          <w:rFonts w:ascii="Microsoft JhengHei" w:hAnsi="Microsoft JhengHei" w:eastAsia="Microsoft JhengHei" w:hint="eastAsia"/>
          <w:spacing w:val="-1"/>
        </w:rPr>
        <w:t>您拥有的重要权益</w:t>
      </w:r>
    </w:p>
    <w:p>
      <w:pPr>
        <w:pStyle w:val="ListParagraph"/>
        <w:numPr>
          <w:ilvl w:val="0"/>
          <w:numId w:val="1"/>
        </w:numPr>
        <w:tabs>
          <w:tab w:pos="1631" w:val="left" w:leader="none"/>
          <w:tab w:pos="1632" w:val="left" w:leader="none"/>
          <w:tab w:pos="10142" w:val="right" w:leader="dot"/>
        </w:tabs>
        <w:spacing w:line="345" w:lineRule="exact" w:before="0" w:after="0"/>
        <w:ind w:left="1632" w:right="0" w:hanging="420"/>
        <w:jc w:val="left"/>
        <w:rPr>
          <w:sz w:val="21"/>
        </w:rPr>
      </w:pPr>
      <w:r>
        <w:rPr>
          <w:sz w:val="21"/>
        </w:rPr>
        <w:t>签收</w:t>
      </w:r>
      <w:r>
        <w:rPr>
          <w:spacing w:val="-3"/>
          <w:sz w:val="21"/>
        </w:rPr>
        <w:t>本</w:t>
      </w:r>
      <w:r>
        <w:rPr>
          <w:sz w:val="21"/>
        </w:rPr>
        <w:t>合</w:t>
      </w:r>
      <w:r>
        <w:rPr>
          <w:spacing w:val="-3"/>
          <w:sz w:val="21"/>
        </w:rPr>
        <w:t>同</w:t>
      </w:r>
      <w:r>
        <w:rPr>
          <w:sz w:val="21"/>
        </w:rPr>
        <w:t>次</w:t>
      </w:r>
      <w:r>
        <w:rPr>
          <w:spacing w:val="-3"/>
          <w:sz w:val="21"/>
        </w:rPr>
        <w:t>日</w:t>
      </w:r>
      <w:r>
        <w:rPr>
          <w:sz w:val="21"/>
        </w:rPr>
        <w:t>起</w:t>
      </w:r>
      <w:r>
        <w:rPr>
          <w:spacing w:val="-50"/>
          <w:sz w:val="21"/>
        </w:rPr>
        <w:t> </w:t>
      </w:r>
      <w:r>
        <w:rPr>
          <w:sz w:val="21"/>
        </w:rPr>
        <w:t>10</w:t>
      </w:r>
      <w:r>
        <w:rPr>
          <w:spacing w:val="-5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扣</w:t>
      </w:r>
      <w:r>
        <w:rPr>
          <w:sz w:val="21"/>
        </w:rPr>
        <w:t>除</w:t>
      </w:r>
      <w:r>
        <w:rPr>
          <w:spacing w:val="-3"/>
          <w:sz w:val="21"/>
        </w:rPr>
        <w:t>工</w:t>
      </w:r>
      <w:r>
        <w:rPr>
          <w:sz w:val="21"/>
        </w:rPr>
        <w:t>本</w:t>
      </w:r>
      <w:r>
        <w:rPr>
          <w:spacing w:val="-3"/>
          <w:sz w:val="21"/>
        </w:rPr>
        <w:t>费</w:t>
      </w:r>
      <w:r>
        <w:rPr>
          <w:sz w:val="21"/>
        </w:rPr>
        <w:t>外</w:t>
      </w:r>
      <w:r>
        <w:rPr>
          <w:spacing w:val="-3"/>
          <w:sz w:val="21"/>
        </w:rPr>
        <w:t>的</w:t>
      </w:r>
      <w:r>
        <w:rPr>
          <w:sz w:val="21"/>
        </w:rPr>
        <w:t>全</w:t>
      </w:r>
      <w:r>
        <w:rPr>
          <w:spacing w:val="-3"/>
          <w:sz w:val="21"/>
        </w:rPr>
        <w:t>部</w:t>
      </w:r>
      <w:r>
        <w:rPr>
          <w:sz w:val="21"/>
        </w:rPr>
        <w:t>保险费</w:t>
        <w:tab/>
        <w:t>1.4</w:t>
      </w:r>
    </w:p>
    <w:p>
      <w:pPr>
        <w:pStyle w:val="ListParagraph"/>
        <w:numPr>
          <w:ilvl w:val="0"/>
          <w:numId w:val="1"/>
        </w:numPr>
        <w:tabs>
          <w:tab w:pos="1631" w:val="left" w:leader="none"/>
          <w:tab w:pos="1632" w:val="left" w:leader="none"/>
          <w:tab w:pos="10139" w:val="right" w:leader="dot"/>
        </w:tabs>
        <w:spacing w:line="240" w:lineRule="auto" w:before="14"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1" w:val="left" w:leader="none"/>
          <w:tab w:pos="1632" w:val="left" w:leader="none"/>
          <w:tab w:pos="10137"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8.1</w:t>
      </w:r>
    </w:p>
    <w:p>
      <w:pPr>
        <w:pStyle w:val="Heading3"/>
        <w:tabs>
          <w:tab w:pos="1250" w:val="left" w:leader="none"/>
        </w:tabs>
        <w:spacing w:before="22"/>
        <w:ind w:left="239" w:firstLine="0"/>
        <w:rPr>
          <w:rFonts w:ascii="Microsoft JhengHei" w:hAnsi="Microsoft JhengHei" w:eastAsia="Microsoft JhengHei" w:hint="eastAsia"/>
        </w:rPr>
      </w:pPr>
      <w:r>
        <w:rPr>
          <w:rFonts w:ascii="Arial" w:hAnsi="Arial" w:eastAsia="Arial"/>
          <w:w w:val="150"/>
          <w:position w:val="-11"/>
          <w:sz w:val="52"/>
        </w:rPr>
        <w:t>¤</w:t>
        <w:tab/>
      </w:r>
      <w:r>
        <w:rPr>
          <w:rFonts w:ascii="Microsoft JhengHei" w:hAnsi="Microsoft JhengHei" w:eastAsia="Microsoft JhengHei" w:hint="eastAsia"/>
          <w:spacing w:val="-1"/>
        </w:rPr>
        <w:t>您应当特别注意的事项</w:t>
      </w:r>
    </w:p>
    <w:p>
      <w:pPr>
        <w:pStyle w:val="ListParagraph"/>
        <w:numPr>
          <w:ilvl w:val="0"/>
          <w:numId w:val="1"/>
        </w:numPr>
        <w:tabs>
          <w:tab w:pos="1631" w:val="left" w:leader="none"/>
          <w:tab w:pos="1632" w:val="left" w:leader="none"/>
          <w:tab w:pos="10139" w:val="right" w:leader="dot"/>
        </w:tabs>
        <w:spacing w:line="240" w:lineRule="auto" w:before="26"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1" w:val="left" w:leader="none"/>
          <w:tab w:pos="1632" w:val="left" w:leader="none"/>
          <w:tab w:pos="10139"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1" w:val="left" w:leader="none"/>
          <w:tab w:pos="1632" w:val="left" w:leader="none"/>
          <w:tab w:pos="10137"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1" w:val="left" w:leader="none"/>
          <w:tab w:pos="1632" w:val="left" w:leader="none"/>
          <w:tab w:pos="10137"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9.1</w:t>
      </w:r>
    </w:p>
    <w:p>
      <w:pPr>
        <w:pStyle w:val="ListParagraph"/>
        <w:numPr>
          <w:ilvl w:val="0"/>
          <w:numId w:val="1"/>
        </w:numPr>
        <w:tabs>
          <w:tab w:pos="1631" w:val="left" w:leader="none"/>
          <w:tab w:pos="1632" w:val="left" w:leader="none"/>
          <w:tab w:pos="10036"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10</w:t>
      </w:r>
    </w:p>
    <w:p>
      <w:pPr>
        <w:tabs>
          <w:tab w:pos="1250" w:val="left" w:leader="none"/>
        </w:tabs>
        <w:spacing w:before="22"/>
        <w:ind w:left="239" w:right="0" w:firstLine="0"/>
        <w:jc w:val="left"/>
        <w:rPr>
          <w:rFonts w:ascii="Microsoft JhengHei" w:hAnsi="Microsoft JhengHei" w:eastAsia="Microsoft JhengHei" w:hint="eastAsia"/>
          <w:b/>
          <w:sz w:val="21"/>
        </w:rPr>
      </w:pPr>
      <w:r>
        <w:rPr>
          <w:rFonts w:ascii="Arial" w:hAnsi="Arial" w:eastAsia="Arial"/>
          <w:b/>
          <w:w w:val="150"/>
          <w:position w:val="-11"/>
          <w:sz w:val="52"/>
        </w:rPr>
        <w:t>¤</w:t>
        <w:tab/>
      </w:r>
      <w:r>
        <w:rPr>
          <w:rFonts w:ascii="Microsoft JhengHei" w:hAnsi="Microsoft JhengHei" w:eastAsia="Microsoft JhengHei" w:hint="eastAsia"/>
          <w:b/>
          <w:spacing w:val="-3"/>
          <w:sz w:val="21"/>
        </w:rPr>
        <w:t>条款是保险合同的重要内容，为充分保障您的权益，请您仔细阅读本条款。</w:t>
      </w:r>
    </w:p>
    <w:p>
      <w:pPr>
        <w:spacing w:before="26"/>
        <w:ind w:left="239"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2.625pt;margin-top:10.612697pt;width:452.45pt;height:371.3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6"/>
                    <w:gridCol w:w="3201"/>
                    <w:gridCol w:w="945"/>
                    <w:gridCol w:w="1904"/>
                  </w:tblGrid>
                  <w:tr>
                    <w:trPr>
                      <w:trHeight w:val="382" w:hRule="atLeast"/>
                    </w:trPr>
                    <w:tc>
                      <w:tcPr>
                        <w:tcW w:w="2986" w:type="dxa"/>
                        <w:tcBorders>
                          <w:bottom w:val="dotted" w:sz="6" w:space="0" w:color="000000"/>
                        </w:tcBorders>
                      </w:tcPr>
                      <w:p>
                        <w:pPr>
                          <w:pStyle w:val="TableParagraph"/>
                          <w:spacing w:line="235" w:lineRule="exact"/>
                          <w:ind w:left="177"/>
                          <w:rPr>
                            <w:rFonts w:ascii="Microsoft JhengHei" w:eastAsia="Microsoft JhengHei" w:hint="eastAsia"/>
                            <w:b/>
                            <w:sz w:val="21"/>
                          </w:rPr>
                        </w:pPr>
                        <w:r>
                          <w:rPr>
                            <w:rFonts w:ascii="Microsoft JhengHei" w:eastAsia="Microsoft JhengHei" w:hint="eastAsia"/>
                            <w:b/>
                            <w:sz w:val="21"/>
                          </w:rPr>
                          <w:t>条款目录</w:t>
                        </w:r>
                      </w:p>
                    </w:tc>
                    <w:tc>
                      <w:tcPr>
                        <w:tcW w:w="6050" w:type="dxa"/>
                        <w:gridSpan w:val="3"/>
                        <w:tcBorders>
                          <w:bottom w:val="dotted" w:sz="6" w:space="0" w:color="000000"/>
                        </w:tcBorders>
                      </w:tcPr>
                      <w:p>
                        <w:pPr>
                          <w:pStyle w:val="TableParagraph"/>
                          <w:rPr>
                            <w:rFonts w:ascii="Times New Roman"/>
                            <w:sz w:val="20"/>
                          </w:rPr>
                        </w:pPr>
                      </w:p>
                    </w:tc>
                  </w:tr>
                  <w:tr>
                    <w:trPr>
                      <w:trHeight w:val="507" w:hRule="atLeast"/>
                    </w:trPr>
                    <w:tc>
                      <w:tcPr>
                        <w:tcW w:w="2986" w:type="dxa"/>
                        <w:tcBorders>
                          <w:top w:val="dotted" w:sz="6" w:space="0" w:color="000000"/>
                          <w:left w:val="dotted" w:sz="6" w:space="0" w:color="000000"/>
                        </w:tcBorders>
                      </w:tcPr>
                      <w:p>
                        <w:pPr>
                          <w:pStyle w:val="TableParagraph"/>
                          <w:spacing w:line="351" w:lineRule="exact" w:before="136"/>
                          <w:ind w:left="249"/>
                          <w:rPr>
                            <w:rFonts w:ascii="微软雅黑" w:eastAsia="微软雅黑" w:hint="eastAsia"/>
                            <w:b/>
                            <w:sz w:val="21"/>
                          </w:rPr>
                        </w:pPr>
                        <w:r>
                          <w:rPr>
                            <w:rFonts w:ascii="微软雅黑" w:eastAsia="微软雅黑" w:hint="eastAsia"/>
                            <w:b/>
                            <w:w w:val="95"/>
                            <w:sz w:val="21"/>
                          </w:rPr>
                          <w:t>1．投保人与本公司的合同</w:t>
                        </w:r>
                      </w:p>
                    </w:tc>
                    <w:tc>
                      <w:tcPr>
                        <w:tcW w:w="3201" w:type="dxa"/>
                        <w:tcBorders>
                          <w:top w:val="dotted" w:sz="6" w:space="0" w:color="000000"/>
                        </w:tcBorders>
                      </w:tcPr>
                      <w:p>
                        <w:pPr>
                          <w:pStyle w:val="TableParagraph"/>
                          <w:spacing w:line="351" w:lineRule="exact" w:before="136"/>
                          <w:ind w:left="316"/>
                          <w:rPr>
                            <w:rFonts w:ascii="微软雅黑" w:eastAsia="微软雅黑" w:hint="eastAsia"/>
                            <w:b/>
                            <w:sz w:val="21"/>
                          </w:rPr>
                        </w:pPr>
                        <w:r>
                          <w:rPr>
                            <w:rFonts w:ascii="微软雅黑" w:eastAsia="微软雅黑" w:hint="eastAsia"/>
                            <w:b/>
                            <w:w w:val="95"/>
                            <w:sz w:val="21"/>
                          </w:rPr>
                          <w:t>5．现金价值权益</w:t>
                        </w:r>
                      </w:p>
                    </w:tc>
                    <w:tc>
                      <w:tcPr>
                        <w:tcW w:w="945" w:type="dxa"/>
                        <w:tcBorders>
                          <w:top w:val="dotted" w:sz="6" w:space="0" w:color="000000"/>
                        </w:tcBorders>
                      </w:tcPr>
                      <w:p>
                        <w:pPr>
                          <w:pStyle w:val="TableParagraph"/>
                          <w:spacing w:before="2"/>
                          <w:rPr>
                            <w:rFonts w:ascii="Arial"/>
                            <w:b/>
                            <w:sz w:val="17"/>
                          </w:rPr>
                        </w:pPr>
                      </w:p>
                      <w:p>
                        <w:pPr>
                          <w:pStyle w:val="TableParagraph"/>
                          <w:spacing w:before="1"/>
                          <w:ind w:left="372"/>
                          <w:rPr>
                            <w:sz w:val="21"/>
                          </w:rPr>
                        </w:pPr>
                        <w:r>
                          <w:rPr>
                            <w:sz w:val="21"/>
                          </w:rPr>
                          <w:t>10.6</w:t>
                        </w:r>
                      </w:p>
                    </w:tc>
                    <w:tc>
                      <w:tcPr>
                        <w:tcW w:w="1904" w:type="dxa"/>
                        <w:tcBorders>
                          <w:top w:val="dotted" w:sz="6" w:space="0" w:color="000000"/>
                          <w:right w:val="dotted" w:sz="6" w:space="0" w:color="000000"/>
                        </w:tcBorders>
                      </w:tcPr>
                      <w:p>
                        <w:pPr>
                          <w:pStyle w:val="TableParagraph"/>
                          <w:spacing w:before="2"/>
                          <w:rPr>
                            <w:rFonts w:ascii="Arial"/>
                            <w:b/>
                            <w:sz w:val="17"/>
                          </w:rPr>
                        </w:pPr>
                      </w:p>
                      <w:p>
                        <w:pPr>
                          <w:pStyle w:val="TableParagraph"/>
                          <w:spacing w:before="1"/>
                          <w:ind w:left="58"/>
                          <w:rPr>
                            <w:sz w:val="21"/>
                          </w:rPr>
                        </w:pPr>
                        <w:r>
                          <w:rPr>
                            <w:sz w:val="21"/>
                          </w:rPr>
                          <w:t>医院</w:t>
                        </w:r>
                      </w:p>
                    </w:tc>
                  </w:tr>
                  <w:tr>
                    <w:trPr>
                      <w:trHeight w:val="279" w:hRule="atLeast"/>
                    </w:trPr>
                    <w:tc>
                      <w:tcPr>
                        <w:tcW w:w="2986" w:type="dxa"/>
                        <w:tcBorders>
                          <w:left w:val="dotted" w:sz="6" w:space="0" w:color="000000"/>
                        </w:tcBorders>
                      </w:tcPr>
                      <w:p>
                        <w:pPr>
                          <w:pStyle w:val="TableParagraph"/>
                          <w:spacing w:line="245" w:lineRule="exact"/>
                          <w:ind w:left="460"/>
                          <w:rPr>
                            <w:sz w:val="21"/>
                          </w:rPr>
                        </w:pPr>
                        <w:r>
                          <w:rPr>
                            <w:sz w:val="21"/>
                          </w:rPr>
                          <w:t>1.1 合同构成</w:t>
                        </w:r>
                      </w:p>
                    </w:tc>
                    <w:tc>
                      <w:tcPr>
                        <w:tcW w:w="3201" w:type="dxa"/>
                      </w:tcPr>
                      <w:p>
                        <w:pPr>
                          <w:pStyle w:val="TableParagraph"/>
                          <w:spacing w:line="245" w:lineRule="exact"/>
                          <w:ind w:left="527"/>
                          <w:rPr>
                            <w:sz w:val="21"/>
                          </w:rPr>
                        </w:pPr>
                        <w:r>
                          <w:rPr>
                            <w:sz w:val="21"/>
                          </w:rPr>
                          <w:t>5.1 现金价值</w:t>
                        </w:r>
                      </w:p>
                    </w:tc>
                    <w:tc>
                      <w:tcPr>
                        <w:tcW w:w="945" w:type="dxa"/>
                      </w:tcPr>
                      <w:p>
                        <w:pPr>
                          <w:pStyle w:val="TableParagraph"/>
                          <w:spacing w:line="245" w:lineRule="exact"/>
                          <w:ind w:left="372"/>
                          <w:rPr>
                            <w:sz w:val="21"/>
                          </w:rPr>
                        </w:pPr>
                        <w:r>
                          <w:rPr>
                            <w:sz w:val="21"/>
                          </w:rPr>
                          <w:t>10.7</w:t>
                        </w:r>
                      </w:p>
                    </w:tc>
                    <w:tc>
                      <w:tcPr>
                        <w:tcW w:w="1904" w:type="dxa"/>
                        <w:tcBorders>
                          <w:right w:val="dotted" w:sz="6" w:space="0" w:color="000000"/>
                        </w:tcBorders>
                      </w:tcPr>
                      <w:p>
                        <w:pPr>
                          <w:pStyle w:val="TableParagraph"/>
                          <w:spacing w:line="245" w:lineRule="exact"/>
                          <w:ind w:left="58"/>
                          <w:rPr>
                            <w:sz w:val="21"/>
                          </w:rPr>
                        </w:pPr>
                        <w:r>
                          <w:rPr>
                            <w:sz w:val="21"/>
                          </w:rPr>
                          <w:t>重大疾病</w:t>
                        </w: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1.2 合同成立与生效</w:t>
                        </w:r>
                      </w:p>
                    </w:tc>
                    <w:tc>
                      <w:tcPr>
                        <w:tcW w:w="3201" w:type="dxa"/>
                      </w:tcPr>
                      <w:p>
                        <w:pPr>
                          <w:pStyle w:val="TableParagraph"/>
                          <w:spacing w:line="246" w:lineRule="exact"/>
                          <w:ind w:right="357"/>
                          <w:jc w:val="right"/>
                          <w:rPr>
                            <w:sz w:val="21"/>
                          </w:rPr>
                        </w:pPr>
                        <w:r>
                          <w:rPr>
                            <w:sz w:val="21"/>
                          </w:rPr>
                          <w:t>5.2 自动贷款垫交保险费</w:t>
                        </w:r>
                      </w:p>
                    </w:tc>
                    <w:tc>
                      <w:tcPr>
                        <w:tcW w:w="945" w:type="dxa"/>
                      </w:tcPr>
                      <w:p>
                        <w:pPr>
                          <w:pStyle w:val="TableParagraph"/>
                          <w:spacing w:line="246" w:lineRule="exact"/>
                          <w:ind w:left="372"/>
                          <w:rPr>
                            <w:sz w:val="21"/>
                          </w:rPr>
                        </w:pPr>
                        <w:r>
                          <w:rPr>
                            <w:sz w:val="21"/>
                          </w:rPr>
                          <w:t>10.8</w:t>
                        </w:r>
                      </w:p>
                    </w:tc>
                    <w:tc>
                      <w:tcPr>
                        <w:tcW w:w="1904" w:type="dxa"/>
                        <w:tcBorders>
                          <w:right w:val="dotted" w:sz="6" w:space="0" w:color="000000"/>
                        </w:tcBorders>
                      </w:tcPr>
                      <w:p>
                        <w:pPr>
                          <w:pStyle w:val="TableParagraph"/>
                          <w:spacing w:line="246" w:lineRule="exact"/>
                          <w:ind w:left="58"/>
                          <w:rPr>
                            <w:sz w:val="21"/>
                          </w:rPr>
                        </w:pPr>
                        <w:r>
                          <w:rPr>
                            <w:sz w:val="21"/>
                          </w:rPr>
                          <w:t>意外伤害</w:t>
                        </w: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1.3 投保年龄</w:t>
                        </w:r>
                      </w:p>
                    </w:tc>
                    <w:tc>
                      <w:tcPr>
                        <w:tcW w:w="3201" w:type="dxa"/>
                      </w:tcPr>
                      <w:p>
                        <w:pPr>
                          <w:pStyle w:val="TableParagraph"/>
                          <w:spacing w:line="260" w:lineRule="exact"/>
                          <w:ind w:left="316"/>
                          <w:rPr>
                            <w:rFonts w:ascii="微软雅黑" w:eastAsia="微软雅黑" w:hint="eastAsia"/>
                            <w:b/>
                            <w:sz w:val="21"/>
                          </w:rPr>
                        </w:pPr>
                        <w:r>
                          <w:rPr>
                            <w:rFonts w:ascii="微软雅黑" w:eastAsia="微软雅黑" w:hint="eastAsia"/>
                            <w:b/>
                            <w:w w:val="95"/>
                            <w:sz w:val="21"/>
                          </w:rPr>
                          <w:t>6．合同效力的中止及恢复</w:t>
                        </w:r>
                      </w:p>
                    </w:tc>
                    <w:tc>
                      <w:tcPr>
                        <w:tcW w:w="945" w:type="dxa"/>
                      </w:tcPr>
                      <w:p>
                        <w:pPr>
                          <w:pStyle w:val="TableParagraph"/>
                          <w:spacing w:line="246" w:lineRule="exact"/>
                          <w:ind w:left="372"/>
                          <w:rPr>
                            <w:sz w:val="21"/>
                          </w:rPr>
                        </w:pPr>
                        <w:r>
                          <w:rPr>
                            <w:sz w:val="21"/>
                          </w:rPr>
                          <w:t>10.9</w:t>
                        </w:r>
                      </w:p>
                    </w:tc>
                    <w:tc>
                      <w:tcPr>
                        <w:tcW w:w="1904" w:type="dxa"/>
                        <w:tcBorders>
                          <w:right w:val="dotted" w:sz="6" w:space="0" w:color="000000"/>
                        </w:tcBorders>
                      </w:tcPr>
                      <w:p>
                        <w:pPr>
                          <w:pStyle w:val="TableParagraph"/>
                          <w:spacing w:line="246" w:lineRule="exact"/>
                          <w:ind w:left="58"/>
                          <w:rPr>
                            <w:sz w:val="21"/>
                          </w:rPr>
                        </w:pPr>
                        <w:r>
                          <w:rPr>
                            <w:sz w:val="21"/>
                          </w:rPr>
                          <w:t>毒品</w:t>
                        </w:r>
                      </w:p>
                    </w:tc>
                  </w:tr>
                  <w:tr>
                    <w:trPr>
                      <w:trHeight w:val="279" w:hRule="atLeast"/>
                    </w:trPr>
                    <w:tc>
                      <w:tcPr>
                        <w:tcW w:w="2986" w:type="dxa"/>
                        <w:tcBorders>
                          <w:left w:val="dotted" w:sz="6" w:space="0" w:color="000000"/>
                        </w:tcBorders>
                      </w:tcPr>
                      <w:p>
                        <w:pPr>
                          <w:pStyle w:val="TableParagraph"/>
                          <w:spacing w:line="245" w:lineRule="exact"/>
                          <w:ind w:left="460"/>
                          <w:rPr>
                            <w:sz w:val="21"/>
                          </w:rPr>
                        </w:pPr>
                        <w:r>
                          <w:rPr>
                            <w:sz w:val="21"/>
                          </w:rPr>
                          <w:t>1.4 犹豫期</w:t>
                        </w:r>
                      </w:p>
                    </w:tc>
                    <w:tc>
                      <w:tcPr>
                        <w:tcW w:w="3201" w:type="dxa"/>
                      </w:tcPr>
                      <w:p>
                        <w:pPr>
                          <w:pStyle w:val="TableParagraph"/>
                          <w:spacing w:line="245" w:lineRule="exact"/>
                          <w:ind w:left="527"/>
                          <w:rPr>
                            <w:sz w:val="21"/>
                          </w:rPr>
                        </w:pPr>
                        <w:r>
                          <w:rPr>
                            <w:sz w:val="21"/>
                          </w:rPr>
                          <w:t>6.1 效力中止</w:t>
                        </w:r>
                      </w:p>
                    </w:tc>
                    <w:tc>
                      <w:tcPr>
                        <w:tcW w:w="945" w:type="dxa"/>
                      </w:tcPr>
                      <w:p>
                        <w:pPr>
                          <w:pStyle w:val="TableParagraph"/>
                          <w:spacing w:line="245" w:lineRule="exact"/>
                          <w:ind w:left="372"/>
                          <w:rPr>
                            <w:sz w:val="21"/>
                          </w:rPr>
                        </w:pPr>
                        <w:r>
                          <w:rPr>
                            <w:sz w:val="21"/>
                          </w:rPr>
                          <w:t>10.10</w:t>
                        </w:r>
                      </w:p>
                    </w:tc>
                    <w:tc>
                      <w:tcPr>
                        <w:tcW w:w="1904" w:type="dxa"/>
                        <w:tcBorders>
                          <w:right w:val="dotted" w:sz="6" w:space="0" w:color="000000"/>
                        </w:tcBorders>
                      </w:tcPr>
                      <w:p>
                        <w:pPr>
                          <w:pStyle w:val="TableParagraph"/>
                          <w:spacing w:line="245" w:lineRule="exact"/>
                          <w:ind w:left="58"/>
                          <w:rPr>
                            <w:sz w:val="21"/>
                          </w:rPr>
                        </w:pPr>
                        <w:r>
                          <w:rPr>
                            <w:sz w:val="21"/>
                          </w:rPr>
                          <w:t>酒后驾驶</w:t>
                        </w:r>
                      </w:p>
                    </w:tc>
                  </w:tr>
                  <w:tr>
                    <w:trPr>
                      <w:trHeight w:val="280" w:hRule="atLeast"/>
                    </w:trPr>
                    <w:tc>
                      <w:tcPr>
                        <w:tcW w:w="2986" w:type="dxa"/>
                        <w:tcBorders>
                          <w:left w:val="dotted" w:sz="6" w:space="0" w:color="000000"/>
                        </w:tcBorders>
                      </w:tcPr>
                      <w:p>
                        <w:pPr>
                          <w:pStyle w:val="TableParagraph"/>
                          <w:spacing w:line="261" w:lineRule="exact"/>
                          <w:ind w:left="249"/>
                          <w:rPr>
                            <w:rFonts w:ascii="微软雅黑" w:eastAsia="微软雅黑" w:hint="eastAsia"/>
                            <w:b/>
                            <w:sz w:val="21"/>
                          </w:rPr>
                        </w:pPr>
                        <w:r>
                          <w:rPr>
                            <w:rFonts w:ascii="微软雅黑" w:eastAsia="微软雅黑" w:hint="eastAsia"/>
                            <w:b/>
                            <w:w w:val="95"/>
                            <w:sz w:val="21"/>
                          </w:rPr>
                          <w:t>2．本公司提供的保障</w:t>
                        </w:r>
                      </w:p>
                    </w:tc>
                    <w:tc>
                      <w:tcPr>
                        <w:tcW w:w="3201" w:type="dxa"/>
                      </w:tcPr>
                      <w:p>
                        <w:pPr>
                          <w:pStyle w:val="TableParagraph"/>
                          <w:spacing w:line="246" w:lineRule="exact"/>
                          <w:ind w:left="527"/>
                          <w:rPr>
                            <w:sz w:val="21"/>
                          </w:rPr>
                        </w:pPr>
                        <w:r>
                          <w:rPr>
                            <w:sz w:val="21"/>
                          </w:rPr>
                          <w:t>6.2 效力恢复</w:t>
                        </w:r>
                      </w:p>
                    </w:tc>
                    <w:tc>
                      <w:tcPr>
                        <w:tcW w:w="945" w:type="dxa"/>
                      </w:tcPr>
                      <w:p>
                        <w:pPr>
                          <w:pStyle w:val="TableParagraph"/>
                          <w:spacing w:line="246" w:lineRule="exact"/>
                          <w:ind w:left="372"/>
                          <w:rPr>
                            <w:sz w:val="21"/>
                          </w:rPr>
                        </w:pPr>
                        <w:r>
                          <w:rPr>
                            <w:sz w:val="21"/>
                          </w:rPr>
                          <w:t>10.11</w:t>
                        </w:r>
                      </w:p>
                    </w:tc>
                    <w:tc>
                      <w:tcPr>
                        <w:tcW w:w="1904" w:type="dxa"/>
                        <w:tcBorders>
                          <w:right w:val="dotted" w:sz="6" w:space="0" w:color="000000"/>
                        </w:tcBorders>
                      </w:tcPr>
                      <w:p>
                        <w:pPr>
                          <w:pStyle w:val="TableParagraph"/>
                          <w:spacing w:line="246" w:lineRule="exact"/>
                          <w:ind w:left="61"/>
                          <w:rPr>
                            <w:sz w:val="21"/>
                          </w:rPr>
                        </w:pPr>
                        <w:r>
                          <w:rPr>
                            <w:sz w:val="21"/>
                          </w:rPr>
                          <w:t>无合法有效驾驶证</w:t>
                        </w: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2.1 保险责任</w:t>
                        </w:r>
                      </w:p>
                    </w:tc>
                    <w:tc>
                      <w:tcPr>
                        <w:tcW w:w="3201" w:type="dxa"/>
                      </w:tcPr>
                      <w:p>
                        <w:pPr>
                          <w:pStyle w:val="TableParagraph"/>
                          <w:spacing w:line="260" w:lineRule="exact"/>
                          <w:ind w:left="316"/>
                          <w:rPr>
                            <w:rFonts w:ascii="微软雅黑" w:eastAsia="微软雅黑" w:hint="eastAsia"/>
                            <w:b/>
                            <w:sz w:val="21"/>
                          </w:rPr>
                        </w:pPr>
                        <w:r>
                          <w:rPr>
                            <w:rFonts w:ascii="微软雅黑" w:eastAsia="微软雅黑" w:hint="eastAsia"/>
                            <w:b/>
                            <w:w w:val="95"/>
                            <w:sz w:val="21"/>
                          </w:rPr>
                          <w:t>7．合同效力的终止</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spacing w:line="246" w:lineRule="exact"/>
                          <w:ind w:left="56"/>
                          <w:rPr>
                            <w:sz w:val="21"/>
                          </w:rPr>
                        </w:pPr>
                        <w:r>
                          <w:rPr>
                            <w:sz w:val="21"/>
                          </w:rPr>
                          <w:t>驾驶</w:t>
                        </w:r>
                      </w:p>
                    </w:tc>
                  </w:tr>
                  <w:tr>
                    <w:trPr>
                      <w:trHeight w:val="279" w:hRule="atLeast"/>
                    </w:trPr>
                    <w:tc>
                      <w:tcPr>
                        <w:tcW w:w="2986" w:type="dxa"/>
                        <w:tcBorders>
                          <w:left w:val="dotted" w:sz="6" w:space="0" w:color="000000"/>
                        </w:tcBorders>
                      </w:tcPr>
                      <w:p>
                        <w:pPr>
                          <w:pStyle w:val="TableParagraph"/>
                          <w:spacing w:line="245" w:lineRule="exact"/>
                          <w:ind w:left="460"/>
                          <w:rPr>
                            <w:sz w:val="21"/>
                          </w:rPr>
                        </w:pPr>
                        <w:r>
                          <w:rPr>
                            <w:sz w:val="21"/>
                          </w:rPr>
                          <w:t>2.2 责任免除</w:t>
                        </w:r>
                      </w:p>
                    </w:tc>
                    <w:tc>
                      <w:tcPr>
                        <w:tcW w:w="3201" w:type="dxa"/>
                      </w:tcPr>
                      <w:p>
                        <w:pPr>
                          <w:pStyle w:val="TableParagraph"/>
                          <w:spacing w:line="245" w:lineRule="exact"/>
                          <w:ind w:left="527"/>
                          <w:rPr>
                            <w:sz w:val="21"/>
                          </w:rPr>
                        </w:pPr>
                        <w:r>
                          <w:rPr>
                            <w:sz w:val="21"/>
                          </w:rPr>
                          <w:t>7.1 效力终止</w:t>
                        </w:r>
                      </w:p>
                    </w:tc>
                    <w:tc>
                      <w:tcPr>
                        <w:tcW w:w="945" w:type="dxa"/>
                      </w:tcPr>
                      <w:p>
                        <w:pPr>
                          <w:pStyle w:val="TableParagraph"/>
                          <w:spacing w:line="245" w:lineRule="exact"/>
                          <w:ind w:left="372"/>
                          <w:rPr>
                            <w:sz w:val="21"/>
                          </w:rPr>
                        </w:pPr>
                        <w:r>
                          <w:rPr>
                            <w:sz w:val="21"/>
                          </w:rPr>
                          <w:t>10.12</w:t>
                        </w:r>
                      </w:p>
                    </w:tc>
                    <w:tc>
                      <w:tcPr>
                        <w:tcW w:w="1904" w:type="dxa"/>
                        <w:tcBorders>
                          <w:right w:val="dotted" w:sz="6" w:space="0" w:color="000000"/>
                        </w:tcBorders>
                      </w:tcPr>
                      <w:p>
                        <w:pPr>
                          <w:pStyle w:val="TableParagraph"/>
                          <w:spacing w:line="245" w:lineRule="exact"/>
                          <w:ind w:left="58"/>
                          <w:rPr>
                            <w:sz w:val="21"/>
                          </w:rPr>
                        </w:pPr>
                        <w:r>
                          <w:rPr>
                            <w:sz w:val="21"/>
                          </w:rPr>
                          <w:t>无有效行驶证</w:t>
                        </w: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2.3 保险金额</w:t>
                        </w:r>
                      </w:p>
                    </w:tc>
                    <w:tc>
                      <w:tcPr>
                        <w:tcW w:w="3201" w:type="dxa"/>
                      </w:tcPr>
                      <w:p>
                        <w:pPr>
                          <w:pStyle w:val="TableParagraph"/>
                          <w:spacing w:line="261" w:lineRule="exact"/>
                          <w:ind w:left="316"/>
                          <w:rPr>
                            <w:rFonts w:ascii="微软雅黑" w:eastAsia="微软雅黑" w:hint="eastAsia"/>
                            <w:b/>
                            <w:sz w:val="21"/>
                          </w:rPr>
                        </w:pPr>
                        <w:r>
                          <w:rPr>
                            <w:rFonts w:ascii="微软雅黑" w:eastAsia="微软雅黑" w:hint="eastAsia"/>
                            <w:b/>
                            <w:w w:val="95"/>
                            <w:sz w:val="21"/>
                          </w:rPr>
                          <w:t>8．如何解除保险合同</w:t>
                        </w:r>
                      </w:p>
                    </w:tc>
                    <w:tc>
                      <w:tcPr>
                        <w:tcW w:w="945" w:type="dxa"/>
                      </w:tcPr>
                      <w:p>
                        <w:pPr>
                          <w:pStyle w:val="TableParagraph"/>
                          <w:spacing w:line="246" w:lineRule="exact"/>
                          <w:ind w:left="372"/>
                          <w:rPr>
                            <w:sz w:val="21"/>
                          </w:rPr>
                        </w:pPr>
                        <w:r>
                          <w:rPr>
                            <w:sz w:val="21"/>
                          </w:rPr>
                          <w:t>10.13</w:t>
                        </w:r>
                      </w:p>
                    </w:tc>
                    <w:tc>
                      <w:tcPr>
                        <w:tcW w:w="1904" w:type="dxa"/>
                        <w:tcBorders>
                          <w:right w:val="dotted" w:sz="6" w:space="0" w:color="000000"/>
                        </w:tcBorders>
                      </w:tcPr>
                      <w:p>
                        <w:pPr>
                          <w:pStyle w:val="TableParagraph"/>
                          <w:spacing w:line="246" w:lineRule="exact"/>
                          <w:ind w:left="58"/>
                          <w:rPr>
                            <w:sz w:val="21"/>
                          </w:rPr>
                        </w:pPr>
                        <w:r>
                          <w:rPr>
                            <w:sz w:val="21"/>
                          </w:rPr>
                          <w:t>机动车</w:t>
                        </w: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2.4 未成年人身故利益</w:t>
                        </w:r>
                      </w:p>
                    </w:tc>
                    <w:tc>
                      <w:tcPr>
                        <w:tcW w:w="3201" w:type="dxa"/>
                      </w:tcPr>
                      <w:p>
                        <w:pPr>
                          <w:pStyle w:val="TableParagraph"/>
                          <w:spacing w:line="246" w:lineRule="exact"/>
                          <w:ind w:left="527"/>
                          <w:rPr>
                            <w:sz w:val="21"/>
                          </w:rPr>
                        </w:pPr>
                        <w:r>
                          <w:rPr>
                            <w:sz w:val="21"/>
                          </w:rPr>
                          <w:t>8.1 合同解除</w:t>
                        </w:r>
                      </w:p>
                    </w:tc>
                    <w:tc>
                      <w:tcPr>
                        <w:tcW w:w="945" w:type="dxa"/>
                      </w:tcPr>
                      <w:p>
                        <w:pPr>
                          <w:pStyle w:val="TableParagraph"/>
                          <w:spacing w:line="246" w:lineRule="exact"/>
                          <w:ind w:left="372"/>
                          <w:rPr>
                            <w:sz w:val="21"/>
                          </w:rPr>
                        </w:pPr>
                        <w:r>
                          <w:rPr>
                            <w:sz w:val="21"/>
                          </w:rPr>
                          <w:t>10.14</w:t>
                        </w:r>
                      </w:p>
                    </w:tc>
                    <w:tc>
                      <w:tcPr>
                        <w:tcW w:w="1904" w:type="dxa"/>
                        <w:tcBorders>
                          <w:right w:val="dotted" w:sz="6" w:space="0" w:color="000000"/>
                        </w:tcBorders>
                      </w:tcPr>
                      <w:p>
                        <w:pPr>
                          <w:pStyle w:val="TableParagraph"/>
                          <w:spacing w:line="246" w:lineRule="exact"/>
                          <w:ind w:left="58"/>
                          <w:rPr>
                            <w:sz w:val="21"/>
                          </w:rPr>
                        </w:pPr>
                        <w:r>
                          <w:rPr>
                            <w:sz w:val="21"/>
                          </w:rPr>
                          <w:t>感染艾滋病病毒或</w:t>
                        </w:r>
                      </w:p>
                    </w:tc>
                  </w:tr>
                  <w:tr>
                    <w:trPr>
                      <w:trHeight w:val="279" w:hRule="atLeast"/>
                    </w:trPr>
                    <w:tc>
                      <w:tcPr>
                        <w:tcW w:w="2986" w:type="dxa"/>
                        <w:tcBorders>
                          <w:left w:val="dotted" w:sz="6" w:space="0" w:color="000000"/>
                        </w:tcBorders>
                      </w:tcPr>
                      <w:p>
                        <w:pPr>
                          <w:pStyle w:val="TableParagraph"/>
                          <w:spacing w:line="245" w:lineRule="exact"/>
                          <w:ind w:left="880"/>
                          <w:rPr>
                            <w:sz w:val="21"/>
                          </w:rPr>
                        </w:pPr>
                        <w:r>
                          <w:rPr>
                            <w:sz w:val="21"/>
                          </w:rPr>
                          <w:t>给付限制</w:t>
                        </w:r>
                      </w:p>
                    </w:tc>
                    <w:tc>
                      <w:tcPr>
                        <w:tcW w:w="3201" w:type="dxa"/>
                      </w:tcPr>
                      <w:p>
                        <w:pPr>
                          <w:pStyle w:val="TableParagraph"/>
                          <w:spacing w:line="260" w:lineRule="exact"/>
                          <w:ind w:left="316"/>
                          <w:rPr>
                            <w:rFonts w:ascii="微软雅黑" w:eastAsia="微软雅黑" w:hint="eastAsia"/>
                            <w:b/>
                            <w:sz w:val="21"/>
                          </w:rPr>
                        </w:pPr>
                        <w:r>
                          <w:rPr>
                            <w:rFonts w:ascii="微软雅黑" w:eastAsia="微软雅黑" w:hint="eastAsia"/>
                            <w:b/>
                            <w:w w:val="95"/>
                            <w:sz w:val="21"/>
                          </w:rPr>
                          <w:t>9．其他需要关注的事项</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spacing w:line="245" w:lineRule="exact"/>
                          <w:ind w:left="56"/>
                          <w:rPr>
                            <w:sz w:val="21"/>
                          </w:rPr>
                        </w:pPr>
                        <w:r>
                          <w:rPr>
                            <w:sz w:val="21"/>
                          </w:rPr>
                          <w:t>患艾滋病</w:t>
                        </w: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2.5 保险期间</w:t>
                        </w:r>
                      </w:p>
                    </w:tc>
                    <w:tc>
                      <w:tcPr>
                        <w:tcW w:w="3201" w:type="dxa"/>
                      </w:tcPr>
                      <w:p>
                        <w:pPr>
                          <w:pStyle w:val="TableParagraph"/>
                          <w:spacing w:line="246" w:lineRule="exact"/>
                          <w:ind w:left="527"/>
                          <w:rPr>
                            <w:sz w:val="21"/>
                          </w:rPr>
                        </w:pPr>
                        <w:r>
                          <w:rPr>
                            <w:sz w:val="21"/>
                          </w:rPr>
                          <w:t>9.1 如实告知</w:t>
                        </w:r>
                      </w:p>
                    </w:tc>
                    <w:tc>
                      <w:tcPr>
                        <w:tcW w:w="945" w:type="dxa"/>
                      </w:tcPr>
                      <w:p>
                        <w:pPr>
                          <w:pStyle w:val="TableParagraph"/>
                          <w:spacing w:line="246" w:lineRule="exact"/>
                          <w:ind w:left="372"/>
                          <w:rPr>
                            <w:sz w:val="21"/>
                          </w:rPr>
                        </w:pPr>
                        <w:r>
                          <w:rPr>
                            <w:sz w:val="21"/>
                          </w:rPr>
                          <w:t>10.15</w:t>
                        </w:r>
                      </w:p>
                    </w:tc>
                    <w:tc>
                      <w:tcPr>
                        <w:tcW w:w="1904" w:type="dxa"/>
                        <w:tcBorders>
                          <w:right w:val="dotted" w:sz="6" w:space="0" w:color="000000"/>
                        </w:tcBorders>
                      </w:tcPr>
                      <w:p>
                        <w:pPr>
                          <w:pStyle w:val="TableParagraph"/>
                          <w:spacing w:line="246" w:lineRule="exact"/>
                          <w:ind w:left="58"/>
                          <w:rPr>
                            <w:sz w:val="21"/>
                          </w:rPr>
                        </w:pPr>
                        <w:r>
                          <w:rPr>
                            <w:sz w:val="21"/>
                          </w:rPr>
                          <w:t>现金价值</w:t>
                        </w:r>
                      </w:p>
                    </w:tc>
                  </w:tr>
                  <w:tr>
                    <w:trPr>
                      <w:trHeight w:val="279" w:hRule="atLeast"/>
                    </w:trPr>
                    <w:tc>
                      <w:tcPr>
                        <w:tcW w:w="2986" w:type="dxa"/>
                        <w:tcBorders>
                          <w:left w:val="dotted" w:sz="6" w:space="0" w:color="000000"/>
                        </w:tcBorders>
                      </w:tcPr>
                      <w:p>
                        <w:pPr>
                          <w:pStyle w:val="TableParagraph"/>
                          <w:spacing w:line="260" w:lineRule="exact"/>
                          <w:ind w:left="249"/>
                          <w:rPr>
                            <w:rFonts w:ascii="微软雅黑" w:eastAsia="微软雅黑" w:hint="eastAsia"/>
                            <w:b/>
                            <w:sz w:val="21"/>
                          </w:rPr>
                        </w:pPr>
                        <w:r>
                          <w:rPr>
                            <w:rFonts w:ascii="微软雅黑" w:eastAsia="微软雅黑" w:hint="eastAsia"/>
                            <w:b/>
                            <w:w w:val="95"/>
                            <w:sz w:val="21"/>
                          </w:rPr>
                          <w:t>3．如何申请领取保险金</w:t>
                        </w:r>
                      </w:p>
                    </w:tc>
                    <w:tc>
                      <w:tcPr>
                        <w:tcW w:w="3201" w:type="dxa"/>
                      </w:tcPr>
                      <w:p>
                        <w:pPr>
                          <w:pStyle w:val="TableParagraph"/>
                          <w:spacing w:line="246" w:lineRule="exact"/>
                          <w:ind w:right="357"/>
                          <w:jc w:val="right"/>
                          <w:rPr>
                            <w:sz w:val="21"/>
                          </w:rPr>
                        </w:pPr>
                        <w:r>
                          <w:rPr>
                            <w:sz w:val="21"/>
                          </w:rPr>
                          <w:t>9.2 年龄确定与错误处理</w:t>
                        </w:r>
                      </w:p>
                    </w:tc>
                    <w:tc>
                      <w:tcPr>
                        <w:tcW w:w="945" w:type="dxa"/>
                      </w:tcPr>
                      <w:p>
                        <w:pPr>
                          <w:pStyle w:val="TableParagraph"/>
                          <w:spacing w:line="246" w:lineRule="exact"/>
                          <w:ind w:left="372"/>
                          <w:rPr>
                            <w:sz w:val="21"/>
                          </w:rPr>
                        </w:pPr>
                        <w:r>
                          <w:rPr>
                            <w:sz w:val="21"/>
                          </w:rPr>
                          <w:t>10.16</w:t>
                        </w:r>
                      </w:p>
                    </w:tc>
                    <w:tc>
                      <w:tcPr>
                        <w:tcW w:w="1904" w:type="dxa"/>
                        <w:tcBorders>
                          <w:right w:val="dotted" w:sz="6" w:space="0" w:color="000000"/>
                        </w:tcBorders>
                      </w:tcPr>
                      <w:p>
                        <w:pPr>
                          <w:pStyle w:val="TableParagraph"/>
                          <w:spacing w:line="246" w:lineRule="exact"/>
                          <w:ind w:left="58"/>
                          <w:rPr>
                            <w:sz w:val="21"/>
                          </w:rPr>
                        </w:pPr>
                        <w:r>
                          <w:rPr>
                            <w:sz w:val="21"/>
                          </w:rPr>
                          <w:t>基本保险金额</w:t>
                        </w:r>
                      </w:p>
                    </w:tc>
                  </w:tr>
                  <w:tr>
                    <w:trPr>
                      <w:trHeight w:val="279" w:hRule="atLeast"/>
                    </w:trPr>
                    <w:tc>
                      <w:tcPr>
                        <w:tcW w:w="2986" w:type="dxa"/>
                        <w:tcBorders>
                          <w:left w:val="dotted" w:sz="6" w:space="0" w:color="000000"/>
                        </w:tcBorders>
                      </w:tcPr>
                      <w:p>
                        <w:pPr>
                          <w:pStyle w:val="TableParagraph"/>
                          <w:spacing w:line="245" w:lineRule="exact"/>
                          <w:ind w:left="460"/>
                          <w:rPr>
                            <w:sz w:val="21"/>
                          </w:rPr>
                        </w:pPr>
                        <w:r>
                          <w:rPr>
                            <w:sz w:val="21"/>
                          </w:rPr>
                          <w:t>3.1 受益人</w:t>
                        </w:r>
                      </w:p>
                    </w:tc>
                    <w:tc>
                      <w:tcPr>
                        <w:tcW w:w="3201" w:type="dxa"/>
                      </w:tcPr>
                      <w:p>
                        <w:pPr>
                          <w:pStyle w:val="TableParagraph"/>
                          <w:spacing w:line="245" w:lineRule="exact"/>
                          <w:ind w:left="527"/>
                          <w:rPr>
                            <w:sz w:val="21"/>
                          </w:rPr>
                        </w:pPr>
                        <w:r>
                          <w:rPr>
                            <w:sz w:val="21"/>
                          </w:rPr>
                          <w:t>9.3 合同内容变更</w:t>
                        </w:r>
                      </w:p>
                    </w:tc>
                    <w:tc>
                      <w:tcPr>
                        <w:tcW w:w="945" w:type="dxa"/>
                      </w:tcPr>
                      <w:p>
                        <w:pPr>
                          <w:pStyle w:val="TableParagraph"/>
                          <w:spacing w:line="245" w:lineRule="exact"/>
                          <w:ind w:left="372"/>
                          <w:rPr>
                            <w:sz w:val="21"/>
                          </w:rPr>
                        </w:pPr>
                        <w:r>
                          <w:rPr>
                            <w:sz w:val="21"/>
                          </w:rPr>
                          <w:t>10.17</w:t>
                        </w:r>
                      </w:p>
                    </w:tc>
                    <w:tc>
                      <w:tcPr>
                        <w:tcW w:w="1904" w:type="dxa"/>
                        <w:tcBorders>
                          <w:right w:val="dotted" w:sz="6" w:space="0" w:color="000000"/>
                        </w:tcBorders>
                      </w:tcPr>
                      <w:p>
                        <w:pPr>
                          <w:pStyle w:val="TableParagraph"/>
                          <w:spacing w:line="245" w:lineRule="exact"/>
                          <w:ind w:left="58"/>
                          <w:rPr>
                            <w:sz w:val="21"/>
                          </w:rPr>
                        </w:pPr>
                        <w:r>
                          <w:rPr>
                            <w:sz w:val="21"/>
                          </w:rPr>
                          <w:t>保险事故</w:t>
                        </w: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3.2 保险事故通知</w:t>
                        </w:r>
                      </w:p>
                    </w:tc>
                    <w:tc>
                      <w:tcPr>
                        <w:tcW w:w="3201" w:type="dxa"/>
                      </w:tcPr>
                      <w:p>
                        <w:pPr>
                          <w:pStyle w:val="TableParagraph"/>
                          <w:spacing w:line="246" w:lineRule="exact"/>
                          <w:ind w:left="527"/>
                          <w:rPr>
                            <w:sz w:val="21"/>
                          </w:rPr>
                        </w:pPr>
                        <w:r>
                          <w:rPr>
                            <w:sz w:val="21"/>
                          </w:rPr>
                          <w:t>9.4 未还款项</w:t>
                        </w:r>
                      </w:p>
                    </w:tc>
                    <w:tc>
                      <w:tcPr>
                        <w:tcW w:w="945" w:type="dxa"/>
                      </w:tcPr>
                      <w:p>
                        <w:pPr>
                          <w:pStyle w:val="TableParagraph"/>
                          <w:spacing w:line="246" w:lineRule="exact"/>
                          <w:ind w:left="372"/>
                          <w:rPr>
                            <w:sz w:val="21"/>
                          </w:rPr>
                        </w:pPr>
                        <w:r>
                          <w:rPr>
                            <w:sz w:val="21"/>
                          </w:rPr>
                          <w:t>10.18</w:t>
                        </w:r>
                      </w:p>
                    </w:tc>
                    <w:tc>
                      <w:tcPr>
                        <w:tcW w:w="1904" w:type="dxa"/>
                        <w:tcBorders>
                          <w:right w:val="dotted" w:sz="6" w:space="0" w:color="000000"/>
                        </w:tcBorders>
                      </w:tcPr>
                      <w:p>
                        <w:pPr>
                          <w:pStyle w:val="TableParagraph"/>
                          <w:spacing w:line="246" w:lineRule="exact"/>
                          <w:ind w:left="58"/>
                          <w:rPr>
                            <w:sz w:val="21"/>
                          </w:rPr>
                        </w:pPr>
                        <w:r>
                          <w:rPr>
                            <w:sz w:val="21"/>
                          </w:rPr>
                          <w:t>不可抗力</w:t>
                        </w: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3.3 保险金申请</w:t>
                        </w:r>
                      </w:p>
                    </w:tc>
                    <w:tc>
                      <w:tcPr>
                        <w:tcW w:w="3201" w:type="dxa"/>
                      </w:tcPr>
                      <w:p>
                        <w:pPr>
                          <w:pStyle w:val="TableParagraph"/>
                          <w:spacing w:line="246" w:lineRule="exact"/>
                          <w:ind w:left="527"/>
                          <w:rPr>
                            <w:sz w:val="21"/>
                          </w:rPr>
                        </w:pPr>
                        <w:r>
                          <w:rPr>
                            <w:sz w:val="21"/>
                          </w:rPr>
                          <w:t>9.5 地址变更</w:t>
                        </w:r>
                      </w:p>
                    </w:tc>
                    <w:tc>
                      <w:tcPr>
                        <w:tcW w:w="945" w:type="dxa"/>
                      </w:tcPr>
                      <w:p>
                        <w:pPr>
                          <w:pStyle w:val="TableParagraph"/>
                          <w:spacing w:line="246" w:lineRule="exact"/>
                          <w:ind w:left="372"/>
                          <w:rPr>
                            <w:sz w:val="21"/>
                          </w:rPr>
                        </w:pPr>
                        <w:r>
                          <w:rPr>
                            <w:sz w:val="21"/>
                          </w:rPr>
                          <w:t>10.19</w:t>
                        </w:r>
                      </w:p>
                    </w:tc>
                    <w:tc>
                      <w:tcPr>
                        <w:tcW w:w="1904" w:type="dxa"/>
                        <w:tcBorders>
                          <w:right w:val="dotted" w:sz="6" w:space="0" w:color="000000"/>
                        </w:tcBorders>
                      </w:tcPr>
                      <w:p>
                        <w:pPr>
                          <w:pStyle w:val="TableParagraph"/>
                          <w:spacing w:line="246" w:lineRule="exact"/>
                          <w:ind w:left="58"/>
                          <w:rPr>
                            <w:sz w:val="21"/>
                          </w:rPr>
                        </w:pPr>
                        <w:r>
                          <w:rPr>
                            <w:sz w:val="21"/>
                          </w:rPr>
                          <w:t>法定身份证明</w:t>
                        </w:r>
                      </w:p>
                    </w:tc>
                  </w:tr>
                  <w:tr>
                    <w:trPr>
                      <w:trHeight w:val="279" w:hRule="atLeast"/>
                    </w:trPr>
                    <w:tc>
                      <w:tcPr>
                        <w:tcW w:w="2986" w:type="dxa"/>
                        <w:tcBorders>
                          <w:left w:val="dotted" w:sz="6" w:space="0" w:color="000000"/>
                        </w:tcBorders>
                      </w:tcPr>
                      <w:p>
                        <w:pPr>
                          <w:pStyle w:val="TableParagraph"/>
                          <w:spacing w:line="245" w:lineRule="exact"/>
                          <w:ind w:left="460"/>
                          <w:rPr>
                            <w:sz w:val="21"/>
                          </w:rPr>
                        </w:pPr>
                        <w:r>
                          <w:rPr>
                            <w:sz w:val="21"/>
                          </w:rPr>
                          <w:t>3.4 保险金给付</w:t>
                        </w:r>
                      </w:p>
                    </w:tc>
                    <w:tc>
                      <w:tcPr>
                        <w:tcW w:w="3201" w:type="dxa"/>
                      </w:tcPr>
                      <w:p>
                        <w:pPr>
                          <w:pStyle w:val="TableParagraph"/>
                          <w:spacing w:line="245" w:lineRule="exact"/>
                          <w:ind w:left="527"/>
                          <w:rPr>
                            <w:sz w:val="21"/>
                          </w:rPr>
                        </w:pPr>
                        <w:r>
                          <w:rPr>
                            <w:sz w:val="21"/>
                          </w:rPr>
                          <w:t>9.6 争议处理</w:t>
                        </w:r>
                      </w:p>
                    </w:tc>
                    <w:tc>
                      <w:tcPr>
                        <w:tcW w:w="945" w:type="dxa"/>
                      </w:tcPr>
                      <w:p>
                        <w:pPr>
                          <w:pStyle w:val="TableParagraph"/>
                          <w:spacing w:line="245" w:lineRule="exact"/>
                          <w:ind w:left="372"/>
                          <w:rPr>
                            <w:sz w:val="21"/>
                          </w:rPr>
                        </w:pPr>
                        <w:r>
                          <w:rPr>
                            <w:sz w:val="21"/>
                          </w:rPr>
                          <w:t>10.20</w:t>
                        </w:r>
                      </w:p>
                    </w:tc>
                    <w:tc>
                      <w:tcPr>
                        <w:tcW w:w="1904" w:type="dxa"/>
                        <w:tcBorders>
                          <w:right w:val="dotted" w:sz="6" w:space="0" w:color="000000"/>
                        </w:tcBorders>
                      </w:tcPr>
                      <w:p>
                        <w:pPr>
                          <w:pStyle w:val="TableParagraph"/>
                          <w:spacing w:line="245" w:lineRule="exact"/>
                          <w:ind w:left="58"/>
                          <w:rPr>
                            <w:sz w:val="21"/>
                          </w:rPr>
                        </w:pPr>
                        <w:r>
                          <w:rPr>
                            <w:sz w:val="21"/>
                          </w:rPr>
                          <w:t>约定利率</w:t>
                        </w: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3.5 宣告死亡处理</w:t>
                        </w:r>
                      </w:p>
                    </w:tc>
                    <w:tc>
                      <w:tcPr>
                        <w:tcW w:w="3201" w:type="dxa"/>
                      </w:tcPr>
                      <w:p>
                        <w:pPr>
                          <w:pStyle w:val="TableParagraph"/>
                          <w:spacing w:line="261" w:lineRule="exact"/>
                          <w:ind w:left="316"/>
                          <w:rPr>
                            <w:rFonts w:ascii="微软雅黑" w:eastAsia="微软雅黑" w:hint="eastAsia"/>
                            <w:b/>
                            <w:sz w:val="21"/>
                          </w:rPr>
                        </w:pPr>
                        <w:r>
                          <w:rPr>
                            <w:rFonts w:ascii="微软雅黑" w:eastAsia="微软雅黑" w:hint="eastAsia"/>
                            <w:b/>
                            <w:w w:val="90"/>
                            <w:sz w:val="21"/>
                          </w:rPr>
                          <w:t>10．释义</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rPr>
                            <w:rFonts w:ascii="Times New Roman"/>
                            <w:sz w:val="20"/>
                          </w:rPr>
                        </w:pP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3.6 保险金申请时效</w:t>
                        </w:r>
                      </w:p>
                    </w:tc>
                    <w:tc>
                      <w:tcPr>
                        <w:tcW w:w="3201" w:type="dxa"/>
                      </w:tcPr>
                      <w:p>
                        <w:pPr>
                          <w:pStyle w:val="TableParagraph"/>
                          <w:spacing w:line="246" w:lineRule="exact"/>
                          <w:ind w:left="527"/>
                          <w:rPr>
                            <w:sz w:val="21"/>
                          </w:rPr>
                        </w:pPr>
                        <w:r>
                          <w:rPr>
                            <w:sz w:val="21"/>
                          </w:rPr>
                          <w:t>10.1 本公司</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rPr>
                            <w:rFonts w:ascii="Times New Roman"/>
                            <w:sz w:val="20"/>
                          </w:rPr>
                        </w:pPr>
                      </w:p>
                    </w:tc>
                  </w:tr>
                  <w:tr>
                    <w:trPr>
                      <w:trHeight w:val="279" w:hRule="atLeast"/>
                    </w:trPr>
                    <w:tc>
                      <w:tcPr>
                        <w:tcW w:w="2986" w:type="dxa"/>
                        <w:tcBorders>
                          <w:left w:val="dotted" w:sz="6" w:space="0" w:color="000000"/>
                        </w:tcBorders>
                      </w:tcPr>
                      <w:p>
                        <w:pPr>
                          <w:pStyle w:val="TableParagraph"/>
                          <w:spacing w:line="260" w:lineRule="exact"/>
                          <w:ind w:left="249"/>
                          <w:rPr>
                            <w:rFonts w:ascii="微软雅黑" w:eastAsia="微软雅黑" w:hint="eastAsia"/>
                            <w:b/>
                            <w:sz w:val="21"/>
                          </w:rPr>
                        </w:pPr>
                        <w:r>
                          <w:rPr>
                            <w:rFonts w:ascii="微软雅黑" w:eastAsia="微软雅黑" w:hint="eastAsia"/>
                            <w:b/>
                            <w:w w:val="95"/>
                            <w:sz w:val="21"/>
                          </w:rPr>
                          <w:t>4．如何交纳保险费</w:t>
                        </w:r>
                      </w:p>
                    </w:tc>
                    <w:tc>
                      <w:tcPr>
                        <w:tcW w:w="3201" w:type="dxa"/>
                      </w:tcPr>
                      <w:p>
                        <w:pPr>
                          <w:pStyle w:val="TableParagraph"/>
                          <w:spacing w:line="245" w:lineRule="exact"/>
                          <w:ind w:left="527"/>
                          <w:rPr>
                            <w:sz w:val="21"/>
                          </w:rPr>
                        </w:pPr>
                        <w:r>
                          <w:rPr>
                            <w:sz w:val="21"/>
                          </w:rPr>
                          <w:t>10.2 保单年度</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rPr>
                            <w:rFonts w:ascii="Times New Roman"/>
                            <w:sz w:val="20"/>
                          </w:rPr>
                        </w:pPr>
                      </w:p>
                    </w:tc>
                  </w:tr>
                  <w:tr>
                    <w:trPr>
                      <w:trHeight w:val="280" w:hRule="atLeast"/>
                    </w:trPr>
                    <w:tc>
                      <w:tcPr>
                        <w:tcW w:w="2986" w:type="dxa"/>
                        <w:tcBorders>
                          <w:left w:val="dotted" w:sz="6" w:space="0" w:color="000000"/>
                        </w:tcBorders>
                      </w:tcPr>
                      <w:p>
                        <w:pPr>
                          <w:pStyle w:val="TableParagraph"/>
                          <w:spacing w:line="246" w:lineRule="exact"/>
                          <w:ind w:left="460"/>
                          <w:rPr>
                            <w:sz w:val="21"/>
                          </w:rPr>
                        </w:pPr>
                        <w:r>
                          <w:rPr>
                            <w:sz w:val="21"/>
                          </w:rPr>
                          <w:t>4.1 保险费</w:t>
                        </w:r>
                      </w:p>
                    </w:tc>
                    <w:tc>
                      <w:tcPr>
                        <w:tcW w:w="3201" w:type="dxa"/>
                      </w:tcPr>
                      <w:p>
                        <w:pPr>
                          <w:pStyle w:val="TableParagraph"/>
                          <w:spacing w:line="246" w:lineRule="exact"/>
                          <w:ind w:left="527"/>
                          <w:rPr>
                            <w:sz w:val="21"/>
                          </w:rPr>
                        </w:pPr>
                        <w:r>
                          <w:rPr>
                            <w:sz w:val="21"/>
                          </w:rPr>
                          <w:t>10.3 保险费应交日</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rPr>
                            <w:rFonts w:ascii="Times New Roman"/>
                            <w:sz w:val="20"/>
                          </w:rPr>
                        </w:pPr>
                      </w:p>
                    </w:tc>
                  </w:tr>
                  <w:tr>
                    <w:trPr>
                      <w:trHeight w:val="279" w:hRule="atLeast"/>
                    </w:trPr>
                    <w:tc>
                      <w:tcPr>
                        <w:tcW w:w="2986" w:type="dxa"/>
                        <w:tcBorders>
                          <w:left w:val="dotted" w:sz="6" w:space="0" w:color="000000"/>
                        </w:tcBorders>
                      </w:tcPr>
                      <w:p>
                        <w:pPr>
                          <w:pStyle w:val="TableParagraph"/>
                          <w:spacing w:line="246" w:lineRule="exact"/>
                          <w:ind w:left="460"/>
                          <w:rPr>
                            <w:sz w:val="21"/>
                          </w:rPr>
                        </w:pPr>
                        <w:r>
                          <w:rPr>
                            <w:sz w:val="21"/>
                          </w:rPr>
                          <w:t>4.2 保险费率的调整</w:t>
                        </w:r>
                      </w:p>
                    </w:tc>
                    <w:tc>
                      <w:tcPr>
                        <w:tcW w:w="3201" w:type="dxa"/>
                      </w:tcPr>
                      <w:p>
                        <w:pPr>
                          <w:pStyle w:val="TableParagraph"/>
                          <w:spacing w:line="246" w:lineRule="exact"/>
                          <w:ind w:left="527"/>
                          <w:rPr>
                            <w:sz w:val="21"/>
                          </w:rPr>
                        </w:pPr>
                        <w:r>
                          <w:rPr>
                            <w:sz w:val="21"/>
                          </w:rPr>
                          <w:t>10.4 周岁</w:t>
                        </w:r>
                      </w:p>
                    </w:tc>
                    <w:tc>
                      <w:tcPr>
                        <w:tcW w:w="945" w:type="dxa"/>
                      </w:tcPr>
                      <w:p>
                        <w:pPr>
                          <w:pStyle w:val="TableParagraph"/>
                          <w:rPr>
                            <w:rFonts w:ascii="Times New Roman"/>
                            <w:sz w:val="20"/>
                          </w:rPr>
                        </w:pPr>
                      </w:p>
                    </w:tc>
                    <w:tc>
                      <w:tcPr>
                        <w:tcW w:w="1904" w:type="dxa"/>
                        <w:tcBorders>
                          <w:right w:val="dotted" w:sz="6" w:space="0" w:color="000000"/>
                        </w:tcBorders>
                      </w:tcPr>
                      <w:p>
                        <w:pPr>
                          <w:pStyle w:val="TableParagraph"/>
                          <w:rPr>
                            <w:rFonts w:ascii="Times New Roman"/>
                            <w:sz w:val="20"/>
                          </w:rPr>
                        </w:pPr>
                      </w:p>
                    </w:tc>
                  </w:tr>
                  <w:tr>
                    <w:trPr>
                      <w:trHeight w:val="617" w:hRule="atLeast"/>
                    </w:trPr>
                    <w:tc>
                      <w:tcPr>
                        <w:tcW w:w="2986" w:type="dxa"/>
                        <w:tcBorders>
                          <w:left w:val="dotted" w:sz="6" w:space="0" w:color="000000"/>
                          <w:bottom w:val="dotted" w:sz="6" w:space="0" w:color="000000"/>
                        </w:tcBorders>
                      </w:tcPr>
                      <w:p>
                        <w:pPr>
                          <w:pStyle w:val="TableParagraph"/>
                          <w:spacing w:line="245" w:lineRule="exact"/>
                          <w:ind w:left="460"/>
                          <w:rPr>
                            <w:sz w:val="21"/>
                          </w:rPr>
                        </w:pPr>
                        <w:r>
                          <w:rPr>
                            <w:sz w:val="21"/>
                          </w:rPr>
                          <w:t>4.3 宽限期</w:t>
                        </w:r>
                      </w:p>
                    </w:tc>
                    <w:tc>
                      <w:tcPr>
                        <w:tcW w:w="3201" w:type="dxa"/>
                        <w:tcBorders>
                          <w:bottom w:val="dotted" w:sz="6" w:space="0" w:color="000000"/>
                        </w:tcBorders>
                      </w:tcPr>
                      <w:p>
                        <w:pPr>
                          <w:pStyle w:val="TableParagraph"/>
                          <w:spacing w:line="245" w:lineRule="exact"/>
                          <w:ind w:left="527"/>
                          <w:rPr>
                            <w:sz w:val="21"/>
                          </w:rPr>
                        </w:pPr>
                        <w:r>
                          <w:rPr>
                            <w:sz w:val="21"/>
                          </w:rPr>
                          <w:t>10.5 初次患有重大疾病</w:t>
                        </w:r>
                      </w:p>
                    </w:tc>
                    <w:tc>
                      <w:tcPr>
                        <w:tcW w:w="945" w:type="dxa"/>
                        <w:tcBorders>
                          <w:bottom w:val="dotted" w:sz="6" w:space="0" w:color="000000"/>
                        </w:tcBorders>
                      </w:tcPr>
                      <w:p>
                        <w:pPr>
                          <w:pStyle w:val="TableParagraph"/>
                          <w:rPr>
                            <w:rFonts w:ascii="Times New Roman"/>
                            <w:sz w:val="20"/>
                          </w:rPr>
                        </w:pPr>
                      </w:p>
                    </w:tc>
                    <w:tc>
                      <w:tcPr>
                        <w:tcW w:w="190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b/>
          <w:w w:val="169"/>
          <w:sz w:val="52"/>
        </w:rPr>
        <w:t>¤</w:t>
      </w:r>
    </w:p>
    <w:p>
      <w:pPr>
        <w:spacing w:after="0"/>
        <w:jc w:val="left"/>
        <w:rPr>
          <w:rFonts w:ascii="Arial" w:hAnsi="Arial"/>
          <w:sz w:val="52"/>
        </w:rPr>
        <w:sectPr>
          <w:type w:val="continuous"/>
          <w:pgSz w:w="11900" w:h="16840"/>
          <w:pgMar w:top="1380" w:bottom="280" w:left="780" w:right="660"/>
        </w:sectPr>
      </w:pPr>
    </w:p>
    <w:p>
      <w:pPr>
        <w:pStyle w:val="Heading1"/>
        <w:spacing w:line="429" w:lineRule="exact"/>
        <w:ind w:left="2830" w:right="2830"/>
      </w:pPr>
      <w:r>
        <w:rPr/>
        <w:t>正德人寿保险股份有限公司</w:t>
      </w:r>
    </w:p>
    <w:p>
      <w:pPr>
        <w:spacing w:before="71"/>
        <w:ind w:left="2830" w:right="2830" w:firstLine="0"/>
        <w:jc w:val="center"/>
        <w:rPr>
          <w:rFonts w:ascii="微软雅黑" w:eastAsia="微软雅黑" w:hint="eastAsia"/>
          <w:b/>
          <w:sz w:val="32"/>
        </w:rPr>
      </w:pPr>
      <w:r>
        <w:rPr>
          <w:rFonts w:ascii="微软雅黑" w:eastAsia="微软雅黑" w:hint="eastAsia"/>
          <w:b/>
          <w:sz w:val="32"/>
        </w:rPr>
        <w:t>正德附加少儿重大疾病保险条款</w:t>
      </w:r>
    </w:p>
    <w:p>
      <w:pPr>
        <w:pStyle w:val="BodyText"/>
        <w:spacing w:before="17"/>
        <w:rPr>
          <w:rFonts w:ascii="微软雅黑"/>
          <w:b/>
          <w:sz w:val="25"/>
        </w:rPr>
      </w:pPr>
    </w:p>
    <w:p>
      <w:pPr>
        <w:pStyle w:val="Heading2"/>
        <w:numPr>
          <w:ilvl w:val="0"/>
          <w:numId w:val="2"/>
        </w:numPr>
        <w:tabs>
          <w:tab w:pos="949" w:val="left" w:leader="none"/>
          <w:tab w:pos="950" w:val="left" w:leader="none"/>
        </w:tabs>
        <w:spacing w:line="240" w:lineRule="auto" w:before="0" w:after="0"/>
        <w:ind w:left="949" w:right="0" w:hanging="689"/>
        <w:jc w:val="left"/>
      </w:pPr>
      <w:r>
        <w:rPr/>
        <w:pict>
          <v:group style="position:absolute;margin-left:48.119999pt;margin-top:33.225674pt;width:498.5pt;height:.5pt;mso-position-horizontal-relative:page;mso-position-vertical-relative:paragraph;z-index:1072;mso-wrap-distance-left:0;mso-wrap-distance-right:0" coordorigin="962,665" coordsize="9970,10">
            <v:line style="position:absolute" from="962,669" to="1694,669" stroked="true" strokeweight=".48pt" strokecolor="#000000">
              <v:stroke dashstyle="solid"/>
            </v:line>
            <v:rect style="position:absolute;left:1694;top:664;width:10;height:10" filled="true" fillcolor="#000000" stroked="false">
              <v:fill type="solid"/>
            </v:rect>
            <v:line style="position:absolute" from="1704,669" to="3324,669" stroked="true" strokeweight=".48pt" strokecolor="#000000">
              <v:stroke dashstyle="solid"/>
            </v:line>
            <v:rect style="position:absolute;left:3324;top:664;width:10;height:10" filled="true" fillcolor="#000000" stroked="false">
              <v:fill type="solid"/>
            </v:rect>
            <v:line style="position:absolute" from="3334,669" to="10932,669" stroked="true" strokeweight=".48pt" strokecolor="#000000">
              <v:stroke dashstyle="solid"/>
            </v:line>
            <w10:wrap type="topAndBottom"/>
          </v:group>
        </w:pict>
      </w:r>
      <w:r>
        <w:rPr/>
        <w:t>投保人与本公司的合同</w:t>
      </w:r>
    </w:p>
    <w:p>
      <w:pPr>
        <w:pStyle w:val="BodyText"/>
        <w:spacing w:before="16"/>
        <w:rPr>
          <w:rFonts w:ascii="微软雅黑"/>
          <w:b/>
          <w:sz w:val="4"/>
        </w:rPr>
      </w:pPr>
    </w:p>
    <w:p>
      <w:pPr>
        <w:pStyle w:val="ListParagraph"/>
        <w:numPr>
          <w:ilvl w:val="1"/>
          <w:numId w:val="2"/>
        </w:numPr>
        <w:tabs>
          <w:tab w:pos="949" w:val="left" w:leader="none"/>
          <w:tab w:pos="950" w:val="left" w:leader="none"/>
          <w:tab w:pos="2579" w:val="left" w:leader="none"/>
        </w:tabs>
        <w:spacing w:line="256" w:lineRule="auto" w:before="0" w:after="0"/>
        <w:ind w:left="2579" w:right="199" w:hanging="2369"/>
        <w:jc w:val="left"/>
        <w:rPr>
          <w:sz w:val="21"/>
        </w:rPr>
      </w:pPr>
      <w:r>
        <w:rPr>
          <w:rFonts w:ascii="微软雅黑" w:hAnsi="微软雅黑" w:eastAsia="微软雅黑" w:hint="eastAsia"/>
          <w:b/>
          <w:sz w:val="21"/>
        </w:rPr>
        <w:t>合同构成</w:t>
        <w:tab/>
      </w:r>
      <w:r>
        <w:rPr>
          <w:position w:val="2"/>
          <w:sz w:val="21"/>
        </w:rPr>
        <w:t>正德</w:t>
      </w:r>
      <w:r>
        <w:rPr>
          <w:spacing w:val="-3"/>
          <w:position w:val="2"/>
          <w:sz w:val="21"/>
        </w:rPr>
        <w:t>附</w:t>
      </w:r>
      <w:r>
        <w:rPr>
          <w:position w:val="2"/>
          <w:sz w:val="21"/>
        </w:rPr>
        <w:t>加</w:t>
      </w:r>
      <w:r>
        <w:rPr>
          <w:spacing w:val="-3"/>
          <w:position w:val="2"/>
          <w:sz w:val="21"/>
        </w:rPr>
        <w:t>少</w:t>
      </w:r>
      <w:r>
        <w:rPr>
          <w:position w:val="2"/>
          <w:sz w:val="21"/>
        </w:rPr>
        <w:t>儿</w:t>
      </w:r>
      <w:r>
        <w:rPr>
          <w:spacing w:val="-3"/>
          <w:position w:val="2"/>
          <w:sz w:val="21"/>
        </w:rPr>
        <w:t>重</w:t>
      </w:r>
      <w:r>
        <w:rPr>
          <w:position w:val="2"/>
          <w:sz w:val="21"/>
        </w:rPr>
        <w:t>大</w:t>
      </w:r>
      <w:r>
        <w:rPr>
          <w:spacing w:val="-3"/>
          <w:position w:val="2"/>
          <w:sz w:val="21"/>
        </w:rPr>
        <w:t>疾</w:t>
      </w:r>
      <w:r>
        <w:rPr>
          <w:position w:val="2"/>
          <w:sz w:val="21"/>
        </w:rPr>
        <w:t>病</w:t>
      </w:r>
      <w:r>
        <w:rPr>
          <w:spacing w:val="-3"/>
          <w:position w:val="2"/>
          <w:sz w:val="21"/>
        </w:rPr>
        <w:t>保</w:t>
      </w:r>
      <w:r>
        <w:rPr>
          <w:position w:val="2"/>
          <w:sz w:val="21"/>
        </w:rPr>
        <w:t>险合</w:t>
      </w:r>
      <w:r>
        <w:rPr>
          <w:spacing w:val="-70"/>
          <w:position w:val="2"/>
          <w:sz w:val="21"/>
        </w:rPr>
        <w:t>同</w:t>
      </w:r>
      <w:r>
        <w:rPr>
          <w:spacing w:val="-3"/>
          <w:position w:val="2"/>
          <w:sz w:val="21"/>
        </w:rPr>
        <w:t>（</w:t>
      </w:r>
      <w:r>
        <w:rPr>
          <w:position w:val="2"/>
          <w:sz w:val="21"/>
        </w:rPr>
        <w:t>以</w:t>
      </w:r>
      <w:r>
        <w:rPr>
          <w:spacing w:val="-3"/>
          <w:position w:val="2"/>
          <w:sz w:val="21"/>
        </w:rPr>
        <w:t>下</w:t>
      </w:r>
      <w:r>
        <w:rPr>
          <w:position w:val="2"/>
          <w:sz w:val="21"/>
        </w:rPr>
        <w:t>简</w:t>
      </w:r>
      <w:r>
        <w:rPr>
          <w:spacing w:val="-70"/>
          <w:position w:val="2"/>
          <w:sz w:val="21"/>
        </w:rPr>
        <w:t>称</w:t>
      </w:r>
      <w:r>
        <w:rPr>
          <w:position w:val="2"/>
          <w:sz w:val="21"/>
        </w:rPr>
        <w:t>“</w:t>
      </w:r>
      <w:r>
        <w:rPr>
          <w:spacing w:val="-3"/>
          <w:position w:val="2"/>
          <w:sz w:val="21"/>
        </w:rPr>
        <w:t>本</w:t>
      </w:r>
      <w:r>
        <w:rPr>
          <w:position w:val="2"/>
          <w:sz w:val="21"/>
        </w:rPr>
        <w:t>附</w:t>
      </w:r>
      <w:r>
        <w:rPr>
          <w:spacing w:val="-3"/>
          <w:position w:val="2"/>
          <w:sz w:val="21"/>
        </w:rPr>
        <w:t>加</w:t>
      </w:r>
      <w:r>
        <w:rPr>
          <w:position w:val="2"/>
          <w:sz w:val="21"/>
        </w:rPr>
        <w:t>险合</w:t>
      </w:r>
      <w:r>
        <w:rPr>
          <w:spacing w:val="-3"/>
          <w:position w:val="2"/>
          <w:sz w:val="21"/>
        </w:rPr>
        <w:t>同</w:t>
      </w:r>
      <w:r>
        <w:rPr>
          <w:spacing w:val="-88"/>
          <w:position w:val="2"/>
          <w:sz w:val="21"/>
        </w:rPr>
        <w:t>”）</w:t>
      </w:r>
      <w:r>
        <w:rPr>
          <w:position w:val="2"/>
          <w:sz w:val="21"/>
        </w:rPr>
        <w:t>是</w:t>
      </w:r>
      <w:r>
        <w:rPr>
          <w:spacing w:val="-3"/>
          <w:position w:val="2"/>
          <w:sz w:val="21"/>
        </w:rPr>
        <w:t>主</w:t>
      </w:r>
      <w:r>
        <w:rPr>
          <w:position w:val="2"/>
          <w:sz w:val="21"/>
        </w:rPr>
        <w:t>险</w:t>
      </w:r>
      <w:r>
        <w:rPr>
          <w:spacing w:val="-3"/>
          <w:position w:val="2"/>
          <w:sz w:val="21"/>
        </w:rPr>
        <w:t>保</w:t>
      </w:r>
      <w:r>
        <w:rPr>
          <w:position w:val="2"/>
          <w:sz w:val="21"/>
        </w:rPr>
        <w:t>险</w:t>
      </w:r>
      <w:r>
        <w:rPr>
          <w:spacing w:val="-3"/>
          <w:position w:val="2"/>
          <w:sz w:val="21"/>
        </w:rPr>
        <w:t>合</w:t>
      </w:r>
      <w:r>
        <w:rPr>
          <w:spacing w:val="-70"/>
          <w:position w:val="2"/>
          <w:sz w:val="21"/>
        </w:rPr>
        <w:t>同</w:t>
      </w:r>
      <w:r>
        <w:rPr>
          <w:position w:val="2"/>
          <w:sz w:val="21"/>
        </w:rPr>
        <w:t>（以 </w:t>
      </w:r>
      <w:r>
        <w:rPr>
          <w:w w:val="100"/>
          <w:sz w:val="21"/>
        </w:rPr>
        <w:t>下简</w:t>
      </w:r>
      <w:r>
        <w:rPr>
          <w:spacing w:val="-22"/>
          <w:w w:val="100"/>
          <w:sz w:val="21"/>
        </w:rPr>
        <w:t>称</w:t>
      </w:r>
      <w:r>
        <w:rPr>
          <w:spacing w:val="-3"/>
          <w:w w:val="100"/>
          <w:sz w:val="21"/>
        </w:rPr>
        <w:t>“</w:t>
      </w:r>
      <w:r>
        <w:rPr>
          <w:w w:val="100"/>
          <w:sz w:val="21"/>
        </w:rPr>
        <w:t>主</w:t>
      </w:r>
      <w:r>
        <w:rPr>
          <w:spacing w:val="-3"/>
          <w:w w:val="100"/>
          <w:sz w:val="21"/>
        </w:rPr>
        <w:t>险</w:t>
      </w:r>
      <w:r>
        <w:rPr>
          <w:w w:val="100"/>
          <w:sz w:val="21"/>
        </w:rPr>
        <w:t>合</w:t>
      </w:r>
      <w:r>
        <w:rPr>
          <w:spacing w:val="-3"/>
          <w:w w:val="100"/>
          <w:sz w:val="21"/>
        </w:rPr>
        <w:t>同</w:t>
      </w:r>
      <w:r>
        <w:rPr>
          <w:spacing w:val="-108"/>
          <w:w w:val="100"/>
          <w:sz w:val="21"/>
        </w:rPr>
        <w:t>”</w:t>
      </w:r>
      <w:r>
        <w:rPr>
          <w:spacing w:val="-20"/>
          <w:w w:val="100"/>
          <w:sz w:val="21"/>
        </w:rPr>
        <w:t>）</w:t>
      </w:r>
      <w:r>
        <w:rPr>
          <w:spacing w:val="-3"/>
          <w:w w:val="100"/>
          <w:sz w:val="21"/>
        </w:rPr>
        <w:t>的附</w:t>
      </w:r>
      <w:r>
        <w:rPr>
          <w:w w:val="100"/>
          <w:sz w:val="21"/>
        </w:rPr>
        <w:t>加合</w:t>
      </w:r>
      <w:r>
        <w:rPr>
          <w:spacing w:val="-3"/>
          <w:w w:val="100"/>
          <w:sz w:val="21"/>
        </w:rPr>
        <w:t>同</w:t>
      </w:r>
      <w:r>
        <w:rPr>
          <w:spacing w:val="-22"/>
          <w:w w:val="100"/>
          <w:sz w:val="21"/>
        </w:rPr>
        <w:t>。</w:t>
      </w:r>
      <w:r>
        <w:rPr>
          <w:w w:val="100"/>
          <w:sz w:val="21"/>
        </w:rPr>
        <w:t>本</w:t>
      </w:r>
      <w:r>
        <w:rPr>
          <w:spacing w:val="-3"/>
          <w:w w:val="100"/>
          <w:sz w:val="21"/>
        </w:rPr>
        <w:t>附</w:t>
      </w:r>
      <w:r>
        <w:rPr>
          <w:w w:val="100"/>
          <w:sz w:val="21"/>
        </w:rPr>
        <w:t>加</w:t>
      </w:r>
      <w:r>
        <w:rPr>
          <w:spacing w:val="-3"/>
          <w:w w:val="100"/>
          <w:sz w:val="21"/>
        </w:rPr>
        <w:t>险</w:t>
      </w:r>
      <w:r>
        <w:rPr>
          <w:w w:val="100"/>
          <w:sz w:val="21"/>
        </w:rPr>
        <w:t>合</w:t>
      </w:r>
      <w:r>
        <w:rPr>
          <w:spacing w:val="-3"/>
          <w:w w:val="100"/>
          <w:sz w:val="21"/>
        </w:rPr>
        <w:t>同由</w:t>
      </w:r>
      <w:r>
        <w:rPr>
          <w:w w:val="100"/>
          <w:sz w:val="21"/>
        </w:rPr>
        <w:t>保险</w:t>
      </w:r>
      <w:r>
        <w:rPr>
          <w:spacing w:val="-3"/>
          <w:w w:val="100"/>
          <w:sz w:val="21"/>
        </w:rPr>
        <w:t>单</w:t>
      </w:r>
      <w:r>
        <w:rPr>
          <w:w w:val="100"/>
          <w:sz w:val="21"/>
        </w:rPr>
        <w:t>或</w:t>
      </w:r>
      <w:r>
        <w:rPr>
          <w:spacing w:val="-3"/>
          <w:w w:val="100"/>
          <w:sz w:val="21"/>
        </w:rPr>
        <w:t>其</w:t>
      </w:r>
      <w:r>
        <w:rPr>
          <w:w w:val="100"/>
          <w:sz w:val="21"/>
        </w:rPr>
        <w:t>它</w:t>
      </w:r>
      <w:r>
        <w:rPr>
          <w:spacing w:val="-3"/>
          <w:w w:val="100"/>
          <w:sz w:val="21"/>
        </w:rPr>
        <w:t>保</w:t>
      </w:r>
      <w:r>
        <w:rPr>
          <w:w w:val="100"/>
          <w:sz w:val="21"/>
        </w:rPr>
        <w:t>险</w:t>
      </w:r>
      <w:r>
        <w:rPr>
          <w:spacing w:val="-3"/>
          <w:w w:val="100"/>
          <w:sz w:val="21"/>
        </w:rPr>
        <w:t>凭</w:t>
      </w:r>
      <w:r>
        <w:rPr>
          <w:w w:val="100"/>
          <w:sz w:val="21"/>
        </w:rPr>
        <w:t>证</w:t>
      </w:r>
      <w:r>
        <w:rPr>
          <w:spacing w:val="-3"/>
          <w:w w:val="100"/>
          <w:sz w:val="21"/>
        </w:rPr>
        <w:t>及</w:t>
      </w:r>
      <w:r>
        <w:rPr>
          <w:w w:val="100"/>
          <w:sz w:val="21"/>
        </w:rPr>
        <w:t>其所</w:t>
      </w:r>
    </w:p>
    <w:p>
      <w:pPr>
        <w:pStyle w:val="BodyText"/>
        <w:spacing w:line="300" w:lineRule="auto" w:before="63"/>
        <w:ind w:left="2579" w:right="199" w:hanging="1"/>
      </w:pPr>
      <w:r>
        <w:rPr/>
        <w:t>附条款、投保单、与本附加险合同有关的投保文件、合法有效的声明、批注、附贴批单、变更申请书及其它书面协议构成。</w:t>
      </w:r>
    </w:p>
    <w:p>
      <w:pPr>
        <w:pStyle w:val="BodyText"/>
        <w:spacing w:before="9"/>
        <w:rPr>
          <w:sz w:val="10"/>
        </w:rPr>
      </w:pPr>
    </w:p>
    <w:p>
      <w:pPr>
        <w:spacing w:after="0"/>
        <w:rPr>
          <w:sz w:val="10"/>
        </w:rPr>
        <w:sectPr>
          <w:footerReference w:type="default" r:id="rId6"/>
          <w:pgSz w:w="11900" w:h="16840"/>
          <w:pgMar w:footer="461" w:header="0" w:top="1380" w:bottom="660" w:left="860" w:right="860"/>
          <w:pgNumType w:start="1"/>
        </w:sectPr>
      </w:pPr>
    </w:p>
    <w:p>
      <w:pPr>
        <w:pStyle w:val="Heading3"/>
        <w:numPr>
          <w:ilvl w:val="1"/>
          <w:numId w:val="2"/>
        </w:numPr>
        <w:tabs>
          <w:tab w:pos="949" w:val="left" w:leader="none"/>
          <w:tab w:pos="950" w:val="left" w:leader="none"/>
        </w:tabs>
        <w:spacing w:line="247" w:lineRule="auto" w:before="0" w:after="0"/>
        <w:ind w:left="949" w:right="0" w:hanging="739"/>
        <w:jc w:val="left"/>
      </w:pPr>
      <w:r>
        <w:rPr/>
        <w:t>合同成立与生效</w:t>
      </w:r>
    </w:p>
    <w:p>
      <w:pPr>
        <w:pStyle w:val="BodyText"/>
        <w:spacing w:line="327" w:lineRule="exact" w:before="0"/>
        <w:ind w:left="210"/>
      </w:pPr>
      <w:r>
        <w:rPr/>
        <w:br w:type="column"/>
      </w:r>
      <w:r>
        <w:rPr/>
        <w:t>投保人提出保险申请，</w:t>
      </w:r>
      <w:r>
        <w:rPr>
          <w:rFonts w:ascii="微软雅黑" w:eastAsia="微软雅黑" w:hint="eastAsia"/>
          <w:b/>
        </w:rPr>
        <w:t>本公司</w:t>
      </w:r>
      <w:r>
        <w:rPr/>
        <w:t>（见 10.1）同意承保，本附加险合同成立。</w:t>
      </w:r>
    </w:p>
    <w:p>
      <w:pPr>
        <w:spacing w:line="268" w:lineRule="auto" w:before="0"/>
        <w:ind w:left="210" w:right="199" w:firstLine="0"/>
        <w:jc w:val="left"/>
        <w:rPr>
          <w:sz w:val="21"/>
        </w:rPr>
      </w:pPr>
      <w:r>
        <w:rPr>
          <w:spacing w:val="-5"/>
          <w:sz w:val="21"/>
        </w:rPr>
        <w:t>本附加险合同的生效日、</w:t>
      </w:r>
      <w:r>
        <w:rPr>
          <w:rFonts w:ascii="微软雅黑" w:eastAsia="微软雅黑" w:hint="eastAsia"/>
          <w:b/>
          <w:spacing w:val="-4"/>
          <w:sz w:val="21"/>
        </w:rPr>
        <w:t>保单年度</w:t>
      </w:r>
      <w:r>
        <w:rPr>
          <w:sz w:val="21"/>
        </w:rPr>
        <w:t>（</w:t>
      </w:r>
      <w:r>
        <w:rPr>
          <w:spacing w:val="-19"/>
          <w:sz w:val="21"/>
        </w:rPr>
        <w:t>见 </w:t>
      </w:r>
      <w:r>
        <w:rPr>
          <w:spacing w:val="-4"/>
          <w:sz w:val="21"/>
        </w:rPr>
        <w:t>10.2）</w:t>
      </w:r>
      <w:r>
        <w:rPr>
          <w:spacing w:val="-3"/>
          <w:sz w:val="21"/>
        </w:rPr>
        <w:t>和</w:t>
      </w:r>
      <w:r>
        <w:rPr>
          <w:rFonts w:ascii="微软雅黑" w:eastAsia="微软雅黑" w:hint="eastAsia"/>
          <w:b/>
          <w:spacing w:val="-3"/>
          <w:sz w:val="21"/>
        </w:rPr>
        <w:t>保险费应交日</w:t>
      </w:r>
      <w:r>
        <w:rPr>
          <w:spacing w:val="-3"/>
          <w:sz w:val="21"/>
        </w:rPr>
        <w:t>（</w:t>
      </w:r>
      <w:r>
        <w:rPr>
          <w:spacing w:val="-18"/>
          <w:sz w:val="21"/>
        </w:rPr>
        <w:t>见 </w:t>
      </w:r>
      <w:r>
        <w:rPr>
          <w:spacing w:val="-4"/>
          <w:sz w:val="21"/>
        </w:rPr>
        <w:t>10.3）</w:t>
      </w:r>
      <w:r>
        <w:rPr>
          <w:spacing w:val="-2"/>
          <w:sz w:val="21"/>
        </w:rPr>
        <w:t>与主险</w:t>
      </w:r>
      <w:r>
        <w:rPr>
          <w:spacing w:val="-3"/>
          <w:sz w:val="21"/>
        </w:rPr>
        <w:t>合同一致。</w:t>
      </w:r>
    </w:p>
    <w:p>
      <w:pPr>
        <w:spacing w:after="0" w:line="268" w:lineRule="auto"/>
        <w:jc w:val="left"/>
        <w:rPr>
          <w:sz w:val="21"/>
        </w:rPr>
        <w:sectPr>
          <w:type w:val="continuous"/>
          <w:pgSz w:w="11900" w:h="16840"/>
          <w:pgMar w:top="1380" w:bottom="280" w:left="860" w:right="860"/>
          <w:cols w:num="2" w:equalWidth="0">
            <w:col w:w="2217" w:space="152"/>
            <w:col w:w="7811"/>
          </w:cols>
        </w:sectPr>
      </w:pPr>
    </w:p>
    <w:p>
      <w:pPr>
        <w:pStyle w:val="BodyText"/>
        <w:spacing w:before="7"/>
        <w:rPr>
          <w:sz w:val="13"/>
        </w:rPr>
      </w:pPr>
    </w:p>
    <w:p>
      <w:pPr>
        <w:pStyle w:val="ListParagraph"/>
        <w:numPr>
          <w:ilvl w:val="1"/>
          <w:numId w:val="2"/>
        </w:numPr>
        <w:tabs>
          <w:tab w:pos="949" w:val="left" w:leader="none"/>
          <w:tab w:pos="950" w:val="left" w:leader="none"/>
          <w:tab w:pos="2579" w:val="left" w:leader="none"/>
        </w:tabs>
        <w:spacing w:line="326" w:lineRule="exact" w:before="38" w:after="0"/>
        <w:ind w:left="2579" w:right="199" w:hanging="2369"/>
        <w:jc w:val="left"/>
        <w:rPr>
          <w:sz w:val="21"/>
        </w:rPr>
      </w:pPr>
      <w:r>
        <w:rPr>
          <w:rFonts w:ascii="微软雅黑" w:eastAsia="微软雅黑" w:hint="eastAsia"/>
          <w:b/>
          <w:sz w:val="21"/>
        </w:rPr>
        <w:t>投保年龄</w:t>
        <w:tab/>
      </w:r>
      <w:r>
        <w:rPr>
          <w:position w:val="2"/>
          <w:sz w:val="21"/>
        </w:rPr>
        <w:t>本附</w:t>
      </w:r>
      <w:r>
        <w:rPr>
          <w:spacing w:val="-3"/>
          <w:position w:val="2"/>
          <w:sz w:val="21"/>
        </w:rPr>
        <w:t>加</w:t>
      </w:r>
      <w:r>
        <w:rPr>
          <w:position w:val="2"/>
          <w:sz w:val="21"/>
        </w:rPr>
        <w:t>险</w:t>
      </w:r>
      <w:r>
        <w:rPr>
          <w:spacing w:val="-3"/>
          <w:position w:val="2"/>
          <w:sz w:val="21"/>
        </w:rPr>
        <w:t>合</w:t>
      </w:r>
      <w:r>
        <w:rPr>
          <w:position w:val="2"/>
          <w:sz w:val="21"/>
        </w:rPr>
        <w:t>同</w:t>
      </w:r>
      <w:r>
        <w:rPr>
          <w:spacing w:val="-3"/>
          <w:position w:val="2"/>
          <w:sz w:val="21"/>
        </w:rPr>
        <w:t>接</w:t>
      </w:r>
      <w:r>
        <w:rPr>
          <w:position w:val="2"/>
          <w:sz w:val="21"/>
        </w:rPr>
        <w:t>受</w:t>
      </w:r>
      <w:r>
        <w:rPr>
          <w:spacing w:val="-3"/>
          <w:position w:val="2"/>
          <w:sz w:val="21"/>
        </w:rPr>
        <w:t>的</w:t>
      </w:r>
      <w:r>
        <w:rPr>
          <w:position w:val="2"/>
          <w:sz w:val="21"/>
        </w:rPr>
        <w:t>投</w:t>
      </w:r>
      <w:r>
        <w:rPr>
          <w:spacing w:val="-3"/>
          <w:position w:val="2"/>
          <w:sz w:val="21"/>
        </w:rPr>
        <w:t>保</w:t>
      </w:r>
      <w:r>
        <w:rPr>
          <w:position w:val="2"/>
          <w:sz w:val="21"/>
        </w:rPr>
        <w:t>年龄</w:t>
      </w:r>
      <w:r>
        <w:rPr>
          <w:spacing w:val="-3"/>
          <w:position w:val="2"/>
          <w:sz w:val="21"/>
        </w:rPr>
        <w:t>为</w:t>
      </w:r>
      <w:r>
        <w:rPr>
          <w:position w:val="2"/>
          <w:sz w:val="21"/>
        </w:rPr>
        <w:t>出</w:t>
      </w:r>
      <w:r>
        <w:rPr>
          <w:spacing w:val="-3"/>
          <w:position w:val="2"/>
          <w:sz w:val="21"/>
        </w:rPr>
        <w:t>生</w:t>
      </w:r>
      <w:r>
        <w:rPr>
          <w:position w:val="2"/>
          <w:sz w:val="21"/>
        </w:rPr>
        <w:t>满</w:t>
      </w:r>
      <w:r>
        <w:rPr>
          <w:spacing w:val="-3"/>
          <w:position w:val="2"/>
          <w:sz w:val="21"/>
        </w:rPr>
        <w:t>三</w:t>
      </w:r>
      <w:r>
        <w:rPr>
          <w:position w:val="2"/>
          <w:sz w:val="21"/>
        </w:rPr>
        <w:t>十</w:t>
      </w:r>
      <w:r>
        <w:rPr>
          <w:spacing w:val="-3"/>
          <w:position w:val="2"/>
          <w:sz w:val="21"/>
        </w:rPr>
        <w:t>天</w:t>
      </w:r>
      <w:r>
        <w:rPr>
          <w:position w:val="2"/>
          <w:sz w:val="21"/>
        </w:rPr>
        <w:t>至</w:t>
      </w:r>
      <w:r>
        <w:rPr>
          <w:spacing w:val="-3"/>
          <w:position w:val="2"/>
          <w:sz w:val="21"/>
        </w:rPr>
        <w:t>十七</w:t>
      </w:r>
      <w:r>
        <w:rPr>
          <w:rFonts w:ascii="微软雅黑" w:eastAsia="微软雅黑" w:hint="eastAsia"/>
          <w:b/>
          <w:position w:val="2"/>
          <w:sz w:val="21"/>
        </w:rPr>
        <w:t>周</w:t>
      </w:r>
      <w:r>
        <w:rPr>
          <w:rFonts w:ascii="微软雅黑" w:eastAsia="微软雅黑" w:hint="eastAsia"/>
          <w:b/>
          <w:spacing w:val="-3"/>
          <w:position w:val="2"/>
          <w:sz w:val="21"/>
        </w:rPr>
        <w:t>岁</w:t>
      </w:r>
      <w:r>
        <w:rPr>
          <w:position w:val="2"/>
          <w:sz w:val="21"/>
        </w:rPr>
        <w:t>（见</w:t>
      </w:r>
      <w:r>
        <w:rPr>
          <w:spacing w:val="-26"/>
          <w:position w:val="2"/>
          <w:sz w:val="21"/>
        </w:rPr>
        <w:t> </w:t>
      </w:r>
      <w:r>
        <w:rPr>
          <w:position w:val="2"/>
          <w:sz w:val="21"/>
        </w:rPr>
        <w:t>10.4）</w:t>
      </w:r>
      <w:r>
        <w:rPr>
          <w:spacing w:val="-5"/>
          <w:position w:val="2"/>
          <w:sz w:val="21"/>
        </w:rPr>
        <w:t>。</w:t>
      </w:r>
      <w:r>
        <w:rPr>
          <w:position w:val="2"/>
          <w:sz w:val="21"/>
        </w:rPr>
        <w:t>投</w:t>
      </w:r>
      <w:r>
        <w:rPr>
          <w:spacing w:val="-3"/>
          <w:position w:val="2"/>
          <w:sz w:val="21"/>
        </w:rPr>
        <w:t>保</w:t>
      </w:r>
      <w:r>
        <w:rPr>
          <w:position w:val="2"/>
          <w:sz w:val="21"/>
        </w:rPr>
        <w:t>年龄</w:t>
      </w:r>
      <w:r>
        <w:rPr>
          <w:sz w:val="21"/>
        </w:rPr>
        <w:t>以周</w:t>
      </w:r>
      <w:r>
        <w:rPr>
          <w:spacing w:val="-3"/>
          <w:sz w:val="21"/>
        </w:rPr>
        <w:t>岁</w:t>
      </w:r>
      <w:r>
        <w:rPr>
          <w:sz w:val="21"/>
        </w:rPr>
        <w:t>计</w:t>
      </w:r>
      <w:r>
        <w:rPr>
          <w:spacing w:val="-3"/>
          <w:sz w:val="21"/>
        </w:rPr>
        <w:t>算</w:t>
      </w:r>
      <w:r>
        <w:rPr>
          <w:sz w:val="21"/>
        </w:rPr>
        <w:t>。</w:t>
      </w:r>
    </w:p>
    <w:p>
      <w:pPr>
        <w:pStyle w:val="ListParagraph"/>
        <w:numPr>
          <w:ilvl w:val="1"/>
          <w:numId w:val="2"/>
        </w:numPr>
        <w:tabs>
          <w:tab w:pos="949" w:val="left" w:leader="none"/>
          <w:tab w:pos="950" w:val="left" w:leader="none"/>
          <w:tab w:pos="2579" w:val="left" w:leader="none"/>
        </w:tabs>
        <w:spacing w:line="256" w:lineRule="auto" w:before="145" w:after="0"/>
        <w:ind w:left="2579" w:right="199" w:hanging="2369"/>
        <w:jc w:val="left"/>
        <w:rPr>
          <w:sz w:val="21"/>
        </w:rPr>
      </w:pPr>
      <w:r>
        <w:rPr>
          <w:rFonts w:ascii="微软雅黑" w:eastAsia="微软雅黑" w:hint="eastAsia"/>
          <w:b/>
          <w:sz w:val="21"/>
        </w:rPr>
        <w:t>犹豫期</w:t>
        <w:tab/>
      </w:r>
      <w:r>
        <w:rPr>
          <w:position w:val="2"/>
          <w:sz w:val="21"/>
        </w:rPr>
        <w:t>自投</w:t>
      </w:r>
      <w:r>
        <w:rPr>
          <w:spacing w:val="-3"/>
          <w:position w:val="2"/>
          <w:sz w:val="21"/>
        </w:rPr>
        <w:t>保</w:t>
      </w:r>
      <w:r>
        <w:rPr>
          <w:position w:val="2"/>
          <w:sz w:val="21"/>
        </w:rPr>
        <w:t>人</w:t>
      </w:r>
      <w:r>
        <w:rPr>
          <w:spacing w:val="-3"/>
          <w:position w:val="2"/>
          <w:sz w:val="21"/>
        </w:rPr>
        <w:t>签</w:t>
      </w:r>
      <w:r>
        <w:rPr>
          <w:position w:val="2"/>
          <w:sz w:val="21"/>
        </w:rPr>
        <w:t>收</w:t>
      </w:r>
      <w:r>
        <w:rPr>
          <w:spacing w:val="-3"/>
          <w:position w:val="2"/>
          <w:sz w:val="21"/>
        </w:rPr>
        <w:t>本</w:t>
      </w:r>
      <w:r>
        <w:rPr>
          <w:position w:val="2"/>
          <w:sz w:val="21"/>
        </w:rPr>
        <w:t>附</w:t>
      </w:r>
      <w:r>
        <w:rPr>
          <w:spacing w:val="-3"/>
          <w:position w:val="2"/>
          <w:sz w:val="21"/>
        </w:rPr>
        <w:t>加</w:t>
      </w:r>
      <w:r>
        <w:rPr>
          <w:position w:val="2"/>
          <w:sz w:val="21"/>
        </w:rPr>
        <w:t>险</w:t>
      </w:r>
      <w:r>
        <w:rPr>
          <w:spacing w:val="-3"/>
          <w:position w:val="2"/>
          <w:sz w:val="21"/>
        </w:rPr>
        <w:t>合</w:t>
      </w:r>
      <w:r>
        <w:rPr>
          <w:position w:val="2"/>
          <w:sz w:val="21"/>
        </w:rPr>
        <w:t>同的</w:t>
      </w:r>
      <w:r>
        <w:rPr>
          <w:spacing w:val="-3"/>
          <w:position w:val="2"/>
          <w:sz w:val="21"/>
        </w:rPr>
        <w:t>次</w:t>
      </w:r>
      <w:r>
        <w:rPr>
          <w:position w:val="2"/>
          <w:sz w:val="21"/>
        </w:rPr>
        <w:t>日</w:t>
      </w:r>
      <w:r>
        <w:rPr>
          <w:spacing w:val="-3"/>
          <w:position w:val="2"/>
          <w:sz w:val="21"/>
        </w:rPr>
        <w:t>起</w:t>
      </w:r>
      <w:r>
        <w:rPr>
          <w:spacing w:val="-22"/>
          <w:position w:val="2"/>
          <w:sz w:val="21"/>
        </w:rPr>
        <w:t>，</w:t>
      </w:r>
      <w:r>
        <w:rPr>
          <w:position w:val="2"/>
          <w:sz w:val="21"/>
        </w:rPr>
        <w:t>有</w:t>
      </w:r>
      <w:r>
        <w:rPr>
          <w:spacing w:val="-36"/>
          <w:position w:val="2"/>
          <w:sz w:val="21"/>
        </w:rPr>
        <w:t> </w:t>
      </w:r>
      <w:r>
        <w:rPr>
          <w:position w:val="2"/>
          <w:sz w:val="21"/>
        </w:rPr>
        <w:t>10</w:t>
      </w:r>
      <w:r>
        <w:rPr>
          <w:spacing w:val="-36"/>
          <w:position w:val="2"/>
          <w:sz w:val="21"/>
        </w:rPr>
        <w:t> </w:t>
      </w:r>
      <w:r>
        <w:rPr>
          <w:spacing w:val="-3"/>
          <w:position w:val="2"/>
          <w:sz w:val="21"/>
        </w:rPr>
        <w:t>日</w:t>
      </w:r>
      <w:r>
        <w:rPr>
          <w:position w:val="2"/>
          <w:sz w:val="21"/>
        </w:rPr>
        <w:t>的</w:t>
      </w:r>
      <w:r>
        <w:rPr>
          <w:spacing w:val="-3"/>
          <w:position w:val="2"/>
          <w:sz w:val="21"/>
        </w:rPr>
        <w:t>犹</w:t>
      </w:r>
      <w:r>
        <w:rPr>
          <w:position w:val="2"/>
          <w:sz w:val="21"/>
        </w:rPr>
        <w:t>豫</w:t>
      </w:r>
      <w:r>
        <w:rPr>
          <w:spacing w:val="-3"/>
          <w:position w:val="2"/>
          <w:sz w:val="21"/>
        </w:rPr>
        <w:t>期</w:t>
      </w:r>
      <w:r>
        <w:rPr>
          <w:spacing w:val="-20"/>
          <w:position w:val="2"/>
          <w:sz w:val="21"/>
        </w:rPr>
        <w:t>。</w:t>
      </w:r>
      <w:r>
        <w:rPr>
          <w:spacing w:val="-3"/>
          <w:position w:val="2"/>
          <w:sz w:val="21"/>
        </w:rPr>
        <w:t>在</w:t>
      </w:r>
      <w:r>
        <w:rPr>
          <w:position w:val="2"/>
          <w:sz w:val="21"/>
        </w:rPr>
        <w:t>此</w:t>
      </w:r>
      <w:r>
        <w:rPr>
          <w:spacing w:val="-3"/>
          <w:position w:val="2"/>
          <w:sz w:val="21"/>
        </w:rPr>
        <w:t>期间</w:t>
      </w:r>
      <w:r>
        <w:rPr>
          <w:spacing w:val="-20"/>
          <w:position w:val="2"/>
          <w:sz w:val="21"/>
        </w:rPr>
        <w:t>，</w:t>
      </w:r>
      <w:r>
        <w:rPr>
          <w:spacing w:val="-3"/>
          <w:position w:val="2"/>
          <w:sz w:val="21"/>
        </w:rPr>
        <w:t>如</w:t>
      </w:r>
      <w:r>
        <w:rPr>
          <w:position w:val="2"/>
          <w:sz w:val="21"/>
        </w:rPr>
        <w:t>投</w:t>
      </w:r>
      <w:r>
        <w:rPr>
          <w:spacing w:val="-3"/>
          <w:position w:val="2"/>
          <w:sz w:val="21"/>
        </w:rPr>
        <w:t>保</w:t>
      </w:r>
      <w:r>
        <w:rPr>
          <w:position w:val="2"/>
          <w:sz w:val="21"/>
        </w:rPr>
        <w:t>人认</w:t>
      </w:r>
      <w:r>
        <w:rPr>
          <w:sz w:val="21"/>
        </w:rPr>
        <w:t>为本附加险合同与投保人的需求不相符，可以解除本附加险合同，本公司将无息</w:t>
      </w:r>
    </w:p>
    <w:p>
      <w:pPr>
        <w:pStyle w:val="BodyText"/>
        <w:ind w:left="2579"/>
      </w:pPr>
      <w:r>
        <w:rPr/>
        <w:t>退还保险费并可扣除不超过 10 元的工本费。</w:t>
      </w:r>
    </w:p>
    <w:p>
      <w:pPr>
        <w:pStyle w:val="BodyText"/>
        <w:spacing w:line="300" w:lineRule="auto" w:before="68"/>
        <w:ind w:left="2579" w:right="199"/>
        <w:jc w:val="both"/>
      </w:pPr>
      <w:r>
        <w:rPr/>
        <w:t>解除合同时，投保人需要填写申请书，并提供本附加险合同及本公司要求的相关资料。自本公司收到投保人申请解除合同的书面申请之日起，本附加险合同即被解除，本公司自本附加险合同生效日起自始不承担保险责任。</w:t>
      </w:r>
    </w:p>
    <w:p>
      <w:pPr>
        <w:pStyle w:val="Heading2"/>
        <w:numPr>
          <w:ilvl w:val="0"/>
          <w:numId w:val="2"/>
        </w:numPr>
        <w:tabs>
          <w:tab w:pos="949" w:val="left" w:leader="none"/>
          <w:tab w:pos="950" w:val="left" w:leader="none"/>
        </w:tabs>
        <w:spacing w:line="240" w:lineRule="auto" w:before="131" w:after="0"/>
        <w:ind w:left="949" w:right="0" w:hanging="689"/>
        <w:jc w:val="left"/>
      </w:pPr>
      <w:r>
        <w:rPr/>
        <w:pict>
          <v:group style="position:absolute;margin-left:48.119999pt;margin-top:39.895786pt;width:498.5pt;height:.5pt;mso-position-horizontal-relative:page;mso-position-vertical-relative:paragraph;z-index:1096;mso-wrap-distance-left:0;mso-wrap-distance-right:0" coordorigin="962,798" coordsize="9970,10">
            <v:line style="position:absolute" from="962,803" to="1694,803" stroked="true" strokeweight=".48pt" strokecolor="#000000">
              <v:stroke dashstyle="solid"/>
            </v:line>
            <v:rect style="position:absolute;left:1694;top:797;width:10;height:10" filled="true" fillcolor="#000000" stroked="false">
              <v:fill type="solid"/>
            </v:rect>
            <v:line style="position:absolute" from="1704,803" to="3324,803" stroked="true" strokeweight=".48pt" strokecolor="#000000">
              <v:stroke dashstyle="solid"/>
            </v:line>
            <v:rect style="position:absolute;left:3324;top:797;width:10;height:10" filled="true" fillcolor="#000000" stroked="false">
              <v:fill type="solid"/>
            </v:rect>
            <v:line style="position:absolute" from="3334,803" to="10932,803" stroked="true" strokeweight=".48pt" strokecolor="#000000">
              <v:stroke dashstyle="solid"/>
            </v:line>
            <w10:wrap type="topAndBottom"/>
          </v:group>
        </w:pict>
      </w:r>
      <w:r>
        <w:rPr/>
        <w:t>本公司提供的保障</w:t>
      </w:r>
    </w:p>
    <w:p>
      <w:pPr>
        <w:pStyle w:val="BodyText"/>
        <w:spacing w:before="1"/>
        <w:rPr>
          <w:rFonts w:ascii="微软雅黑"/>
          <w:b/>
          <w:sz w:val="5"/>
        </w:rPr>
      </w:pPr>
    </w:p>
    <w:p>
      <w:pPr>
        <w:pStyle w:val="ListParagraph"/>
        <w:numPr>
          <w:ilvl w:val="1"/>
          <w:numId w:val="2"/>
        </w:numPr>
        <w:tabs>
          <w:tab w:pos="949" w:val="left" w:leader="none"/>
          <w:tab w:pos="950" w:val="left" w:leader="none"/>
          <w:tab w:pos="2579" w:val="left" w:leader="none"/>
        </w:tabs>
        <w:spacing w:line="335" w:lineRule="exact" w:before="0" w:after="0"/>
        <w:ind w:left="2579" w:right="0" w:hanging="2369"/>
        <w:jc w:val="left"/>
        <w:rPr>
          <w:sz w:val="21"/>
        </w:rPr>
      </w:pPr>
      <w:r>
        <w:rPr>
          <w:rFonts w:ascii="微软雅黑" w:eastAsia="微软雅黑" w:hint="eastAsia"/>
          <w:b/>
          <w:sz w:val="21"/>
        </w:rPr>
        <w:t>保险责任</w:t>
        <w:tab/>
      </w:r>
      <w:r>
        <w:rPr>
          <w:position w:val="2"/>
          <w:sz w:val="21"/>
        </w:rPr>
        <w:t>在本</w:t>
      </w:r>
      <w:r>
        <w:rPr>
          <w:spacing w:val="-3"/>
          <w:position w:val="2"/>
          <w:sz w:val="21"/>
        </w:rPr>
        <w:t>附</w:t>
      </w:r>
      <w:r>
        <w:rPr>
          <w:position w:val="2"/>
          <w:sz w:val="21"/>
        </w:rPr>
        <w:t>加</w:t>
      </w:r>
      <w:r>
        <w:rPr>
          <w:spacing w:val="-3"/>
          <w:position w:val="2"/>
          <w:sz w:val="21"/>
        </w:rPr>
        <w:t>险</w:t>
      </w:r>
      <w:r>
        <w:rPr>
          <w:position w:val="2"/>
          <w:sz w:val="21"/>
        </w:rPr>
        <w:t>合</w:t>
      </w:r>
      <w:r>
        <w:rPr>
          <w:spacing w:val="-3"/>
          <w:position w:val="2"/>
          <w:sz w:val="21"/>
        </w:rPr>
        <w:t>同</w:t>
      </w:r>
      <w:r>
        <w:rPr>
          <w:position w:val="2"/>
          <w:sz w:val="21"/>
        </w:rPr>
        <w:t>有</w:t>
      </w:r>
      <w:r>
        <w:rPr>
          <w:spacing w:val="-3"/>
          <w:position w:val="2"/>
          <w:sz w:val="21"/>
        </w:rPr>
        <w:t>效</w:t>
      </w:r>
      <w:r>
        <w:rPr>
          <w:position w:val="2"/>
          <w:sz w:val="21"/>
        </w:rPr>
        <w:t>期</w:t>
      </w:r>
      <w:r>
        <w:rPr>
          <w:spacing w:val="-3"/>
          <w:position w:val="2"/>
          <w:sz w:val="21"/>
        </w:rPr>
        <w:t>内</w:t>
      </w:r>
      <w:r>
        <w:rPr>
          <w:position w:val="2"/>
          <w:sz w:val="21"/>
        </w:rPr>
        <w:t>，本</w:t>
      </w:r>
      <w:r>
        <w:rPr>
          <w:spacing w:val="-3"/>
          <w:position w:val="2"/>
          <w:sz w:val="21"/>
        </w:rPr>
        <w:t>公</w:t>
      </w:r>
      <w:r>
        <w:rPr>
          <w:position w:val="2"/>
          <w:sz w:val="21"/>
        </w:rPr>
        <w:t>司</w:t>
      </w:r>
      <w:r>
        <w:rPr>
          <w:spacing w:val="-3"/>
          <w:position w:val="2"/>
          <w:sz w:val="21"/>
        </w:rPr>
        <w:t>对</w:t>
      </w:r>
      <w:r>
        <w:rPr>
          <w:position w:val="2"/>
          <w:sz w:val="21"/>
        </w:rPr>
        <w:t>被</w:t>
      </w:r>
      <w:r>
        <w:rPr>
          <w:spacing w:val="-3"/>
          <w:position w:val="2"/>
          <w:sz w:val="21"/>
        </w:rPr>
        <w:t>保</w:t>
      </w:r>
      <w:r>
        <w:rPr>
          <w:position w:val="2"/>
          <w:sz w:val="21"/>
        </w:rPr>
        <w:t>险</w:t>
      </w:r>
      <w:r>
        <w:rPr>
          <w:spacing w:val="-3"/>
          <w:position w:val="2"/>
          <w:sz w:val="21"/>
        </w:rPr>
        <w:t>人</w:t>
      </w:r>
      <w:r>
        <w:rPr>
          <w:position w:val="2"/>
          <w:sz w:val="21"/>
        </w:rPr>
        <w:t>负</w:t>
      </w:r>
      <w:r>
        <w:rPr>
          <w:spacing w:val="-3"/>
          <w:position w:val="2"/>
          <w:sz w:val="21"/>
        </w:rPr>
        <w:t>下</w:t>
      </w:r>
      <w:r>
        <w:rPr>
          <w:position w:val="2"/>
          <w:sz w:val="21"/>
        </w:rPr>
        <w:t>列保</w:t>
      </w:r>
      <w:r>
        <w:rPr>
          <w:spacing w:val="-3"/>
          <w:position w:val="2"/>
          <w:sz w:val="21"/>
        </w:rPr>
        <w:t>险</w:t>
      </w:r>
      <w:r>
        <w:rPr>
          <w:position w:val="2"/>
          <w:sz w:val="21"/>
        </w:rPr>
        <w:t>责</w:t>
      </w:r>
      <w:r>
        <w:rPr>
          <w:spacing w:val="-3"/>
          <w:position w:val="2"/>
          <w:sz w:val="21"/>
        </w:rPr>
        <w:t>任</w:t>
      </w:r>
      <w:r>
        <w:rPr>
          <w:position w:val="2"/>
          <w:sz w:val="21"/>
        </w:rPr>
        <w:t>：</w:t>
      </w:r>
    </w:p>
    <w:p>
      <w:pPr>
        <w:pStyle w:val="ListParagraph"/>
        <w:numPr>
          <w:ilvl w:val="2"/>
          <w:numId w:val="2"/>
        </w:numPr>
        <w:tabs>
          <w:tab w:pos="2999" w:val="left" w:leader="none"/>
          <w:tab w:pos="3000" w:val="left" w:leader="none"/>
        </w:tabs>
        <w:spacing w:line="345" w:lineRule="exact" w:before="0" w:after="0"/>
        <w:ind w:left="2999" w:right="0" w:hanging="420"/>
        <w:jc w:val="left"/>
        <w:rPr>
          <w:sz w:val="21"/>
        </w:rPr>
      </w:pPr>
      <w:r>
        <w:rPr>
          <w:spacing w:val="-3"/>
          <w:sz w:val="21"/>
        </w:rPr>
        <w:t>重大疾病保险金给付</w:t>
      </w:r>
    </w:p>
    <w:p>
      <w:pPr>
        <w:pStyle w:val="BodyText"/>
        <w:spacing w:line="344" w:lineRule="exact" w:before="13"/>
        <w:ind w:left="2579" w:right="199" w:firstLine="419"/>
        <w:jc w:val="both"/>
      </w:pPr>
      <w:r>
        <w:rPr/>
        <w:t>在本附加险合同保险责任有效期内，若被保险人自本附加险合同生效或最后</w:t>
      </w:r>
      <w:r>
        <w:rPr>
          <w:spacing w:val="-4"/>
        </w:rPr>
        <w:t>复效之日起 </w:t>
      </w:r>
      <w:r>
        <w:rPr/>
        <w:t>90</w:t>
      </w:r>
      <w:r>
        <w:rPr>
          <w:spacing w:val="-7"/>
        </w:rPr>
        <w:t> 日后</w:t>
      </w:r>
      <w:r>
        <w:rPr>
          <w:rFonts w:ascii="微软雅黑" w:eastAsia="微软雅黑" w:hint="eastAsia"/>
          <w:b/>
          <w:spacing w:val="-2"/>
        </w:rPr>
        <w:t>初次患有重大疾病</w:t>
      </w:r>
      <w:r>
        <w:rPr>
          <w:spacing w:val="-3"/>
        </w:rPr>
        <w:t>（</w:t>
      </w:r>
      <w:r>
        <w:rPr>
          <w:spacing w:val="-8"/>
        </w:rPr>
        <w:t>见 </w:t>
      </w:r>
      <w:r>
        <w:rPr/>
        <w:t>10.5）</w:t>
      </w:r>
      <w:r>
        <w:rPr>
          <w:spacing w:val="-3"/>
        </w:rPr>
        <w:t>，经本公司查核属实，且确在</w:t>
      </w:r>
      <w:r>
        <w:rPr>
          <w:spacing w:val="-2"/>
        </w:rPr>
        <w:t>本附加险合同保险责任范围以内，本公司将按以下规定给付重大疾病保险金, 本</w:t>
      </w:r>
      <w:r>
        <w:rPr>
          <w:spacing w:val="-3"/>
        </w:rPr>
        <w:t>附加险合同随之终止。</w:t>
      </w:r>
    </w:p>
    <w:p>
      <w:pPr>
        <w:pStyle w:val="ListParagraph"/>
        <w:numPr>
          <w:ilvl w:val="3"/>
          <w:numId w:val="2"/>
        </w:numPr>
        <w:tabs>
          <w:tab w:pos="3626" w:val="left" w:leader="none"/>
        </w:tabs>
        <w:spacing w:line="344" w:lineRule="exact" w:before="0" w:after="0"/>
        <w:ind w:left="3625" w:right="202" w:hanging="629"/>
        <w:jc w:val="both"/>
        <w:rPr>
          <w:sz w:val="21"/>
        </w:rPr>
      </w:pPr>
      <w:r>
        <w:rPr>
          <w:spacing w:val="-8"/>
          <w:sz w:val="21"/>
        </w:rPr>
        <w:t>若被保险人于年满 </w:t>
      </w:r>
      <w:r>
        <w:rPr>
          <w:sz w:val="21"/>
        </w:rPr>
        <w:t>5</w:t>
      </w:r>
      <w:r>
        <w:rPr>
          <w:spacing w:val="-9"/>
          <w:sz w:val="21"/>
        </w:rPr>
        <w:t> 周岁的保单周年日前经</w:t>
      </w:r>
      <w:r>
        <w:rPr>
          <w:rFonts w:ascii="微软雅黑" w:eastAsia="微软雅黑" w:hint="eastAsia"/>
          <w:b/>
          <w:spacing w:val="-2"/>
          <w:sz w:val="21"/>
        </w:rPr>
        <w:t>医院</w:t>
      </w:r>
      <w:r>
        <w:rPr>
          <w:spacing w:val="-3"/>
          <w:sz w:val="21"/>
        </w:rPr>
        <w:t>（</w:t>
      </w:r>
      <w:r>
        <w:rPr>
          <w:spacing w:val="-24"/>
          <w:sz w:val="21"/>
        </w:rPr>
        <w:t>见 </w:t>
      </w:r>
      <w:r>
        <w:rPr>
          <w:sz w:val="21"/>
        </w:rPr>
        <w:t>10.6）</w:t>
      </w:r>
      <w:r>
        <w:rPr>
          <w:spacing w:val="-3"/>
          <w:sz w:val="21"/>
        </w:rPr>
        <w:t>确诊初次患有重大疾病，本公司将按基本保险金额给付重大疾病保险金；</w:t>
      </w:r>
    </w:p>
    <w:p>
      <w:pPr>
        <w:pStyle w:val="ListParagraph"/>
        <w:numPr>
          <w:ilvl w:val="3"/>
          <w:numId w:val="2"/>
        </w:numPr>
        <w:tabs>
          <w:tab w:pos="3626" w:val="left" w:leader="none"/>
        </w:tabs>
        <w:spacing w:line="300" w:lineRule="auto" w:before="30" w:after="0"/>
        <w:ind w:left="3625" w:right="202" w:hanging="629"/>
        <w:jc w:val="both"/>
        <w:rPr>
          <w:sz w:val="21"/>
        </w:rPr>
      </w:pPr>
      <w:r>
        <w:rPr>
          <w:spacing w:val="-5"/>
          <w:sz w:val="21"/>
        </w:rPr>
        <w:t>若被保险人于年满 </w:t>
      </w:r>
      <w:r>
        <w:rPr>
          <w:sz w:val="21"/>
        </w:rPr>
        <w:t>5</w:t>
      </w:r>
      <w:r>
        <w:rPr>
          <w:spacing w:val="-5"/>
          <w:sz w:val="21"/>
        </w:rPr>
        <w:t> 周岁的保单周年日后</w:t>
      </w:r>
      <w:r>
        <w:rPr>
          <w:sz w:val="21"/>
        </w:rPr>
        <w:t>（</w:t>
      </w:r>
      <w:r>
        <w:rPr>
          <w:spacing w:val="-3"/>
          <w:sz w:val="21"/>
        </w:rPr>
        <w:t>含周年日</w:t>
      </w:r>
      <w:r>
        <w:rPr>
          <w:sz w:val="21"/>
        </w:rPr>
        <w:t>）</w:t>
      </w:r>
      <w:r>
        <w:rPr>
          <w:spacing w:val="-3"/>
          <w:sz w:val="21"/>
        </w:rPr>
        <w:t>经医院确诊初次患有重大疾病，本公司将按二倍的基本保险金额给付重大疾病保险金。</w:t>
      </w:r>
    </w:p>
    <w:p>
      <w:pPr>
        <w:pStyle w:val="BodyText"/>
        <w:spacing w:line="244" w:lineRule="auto" w:before="16"/>
        <w:ind w:left="2579" w:right="199" w:firstLine="419"/>
        <w:jc w:val="both"/>
      </w:pPr>
      <w:r>
        <w:rPr/>
        <w:t>在本附加险合同保险责任有效期内，若被保险人自本附加险合同生效或最后</w:t>
      </w:r>
      <w:r>
        <w:rPr>
          <w:spacing w:val="-4"/>
        </w:rPr>
        <w:t>复效之日起 </w:t>
      </w:r>
      <w:r>
        <w:rPr/>
        <w:t>90</w:t>
      </w:r>
      <w:r>
        <w:rPr>
          <w:spacing w:val="-5"/>
        </w:rPr>
        <w:t> 日内初次患有</w:t>
      </w:r>
      <w:r>
        <w:rPr>
          <w:rFonts w:ascii="微软雅黑" w:eastAsia="微软雅黑" w:hint="eastAsia"/>
          <w:b/>
        </w:rPr>
        <w:t>重大疾病</w:t>
      </w:r>
      <w:r>
        <w:rPr>
          <w:spacing w:val="-3"/>
        </w:rPr>
        <w:t>（</w:t>
      </w:r>
      <w:r>
        <w:rPr>
          <w:spacing w:val="-6"/>
        </w:rPr>
        <w:t>见 </w:t>
      </w:r>
      <w:r>
        <w:rPr/>
        <w:t>10.7）</w:t>
      </w:r>
      <w:r>
        <w:rPr>
          <w:spacing w:val="-3"/>
        </w:rPr>
        <w:t>，经本公司查核属实，且确在</w:t>
      </w:r>
    </w:p>
    <w:p>
      <w:pPr>
        <w:pStyle w:val="BodyText"/>
        <w:spacing w:line="300" w:lineRule="auto" w:before="37"/>
        <w:ind w:left="2579" w:right="199"/>
      </w:pPr>
      <w:r>
        <w:rPr>
          <w:spacing w:val="-7"/>
        </w:rPr>
        <w:t>本附加险合同保险责任范围以内，本公司将无息返还本附加险合同累计所交保费, </w:t>
      </w:r>
      <w:r>
        <w:rPr>
          <w:spacing w:val="-5"/>
        </w:rPr>
        <w:t>本附加险合同随之终止。</w:t>
      </w:r>
    </w:p>
    <w:p>
      <w:pPr>
        <w:spacing w:after="0" w:line="300" w:lineRule="auto"/>
        <w:sectPr>
          <w:type w:val="continuous"/>
          <w:pgSz w:w="11900" w:h="16840"/>
          <w:pgMar w:top="1380" w:bottom="280" w:left="860" w:right="860"/>
        </w:sectPr>
      </w:pPr>
    </w:p>
    <w:p>
      <w:pPr>
        <w:pStyle w:val="ListParagraph"/>
        <w:numPr>
          <w:ilvl w:val="2"/>
          <w:numId w:val="2"/>
        </w:numPr>
        <w:tabs>
          <w:tab w:pos="2999" w:val="left" w:leader="none"/>
          <w:tab w:pos="3000" w:val="left" w:leader="none"/>
        </w:tabs>
        <w:spacing w:line="323" w:lineRule="exact" w:before="0" w:after="0"/>
        <w:ind w:left="2999" w:right="0" w:hanging="420"/>
        <w:jc w:val="left"/>
        <w:rPr>
          <w:sz w:val="21"/>
        </w:rPr>
      </w:pPr>
      <w:r>
        <w:rPr>
          <w:spacing w:val="-2"/>
          <w:sz w:val="21"/>
        </w:rPr>
        <w:t>身故保险金给付</w:t>
      </w:r>
    </w:p>
    <w:p>
      <w:pPr>
        <w:pStyle w:val="BodyText"/>
        <w:spacing w:line="344" w:lineRule="exact" w:before="13"/>
        <w:ind w:left="2579" w:right="199" w:firstLine="420"/>
        <w:jc w:val="both"/>
      </w:pPr>
      <w:r>
        <w:rPr/>
        <w:t>在本附加险合同保险责任有效期内，若被保险人自本附加险合同生效或最后</w:t>
      </w:r>
      <w:r>
        <w:rPr>
          <w:spacing w:val="-3"/>
        </w:rPr>
        <w:t>复效之日起因</w:t>
      </w:r>
      <w:r>
        <w:rPr>
          <w:rFonts w:ascii="微软雅黑" w:eastAsia="微软雅黑" w:hint="eastAsia"/>
          <w:b/>
        </w:rPr>
        <w:t>意外伤害</w:t>
      </w:r>
      <w:r>
        <w:rPr>
          <w:spacing w:val="-3"/>
        </w:rPr>
        <w:t>（</w:t>
      </w:r>
      <w:r>
        <w:rPr>
          <w:spacing w:val="-6"/>
        </w:rPr>
        <w:t>见 </w:t>
      </w:r>
      <w:r>
        <w:rPr/>
        <w:t>10.8）</w:t>
      </w:r>
      <w:r>
        <w:rPr>
          <w:spacing w:val="-5"/>
        </w:rPr>
        <w:t>事故或 </w:t>
      </w:r>
      <w:r>
        <w:rPr/>
        <w:t>90</w:t>
      </w:r>
      <w:r>
        <w:rPr>
          <w:spacing w:val="-5"/>
        </w:rPr>
        <w:t> 日后因疾病导致身故，经本公司查核属实，且确在本附加险合同保险责任范围以内，本公司将按以下规定给付身故</w:t>
      </w:r>
      <w:r>
        <w:rPr>
          <w:spacing w:val="-4"/>
        </w:rPr>
        <w:t>保险金，本附加险合同随之终止。</w:t>
      </w:r>
    </w:p>
    <w:p>
      <w:pPr>
        <w:pStyle w:val="ListParagraph"/>
        <w:numPr>
          <w:ilvl w:val="0"/>
          <w:numId w:val="3"/>
        </w:numPr>
        <w:tabs>
          <w:tab w:pos="3626" w:val="left" w:leader="none"/>
        </w:tabs>
        <w:spacing w:line="300" w:lineRule="auto" w:before="29" w:after="0"/>
        <w:ind w:left="3625" w:right="204" w:hanging="626"/>
        <w:jc w:val="left"/>
        <w:rPr>
          <w:sz w:val="21"/>
        </w:rPr>
      </w:pPr>
      <w:r>
        <w:rPr>
          <w:spacing w:val="-8"/>
          <w:sz w:val="21"/>
        </w:rPr>
        <w:t>若被保险人于年满 </w:t>
      </w:r>
      <w:r>
        <w:rPr>
          <w:sz w:val="21"/>
        </w:rPr>
        <w:t>18</w:t>
      </w:r>
      <w:r>
        <w:rPr>
          <w:spacing w:val="-12"/>
          <w:sz w:val="21"/>
        </w:rPr>
        <w:t> 周岁的保单周年日前身故，本公司将无息返还本</w:t>
      </w:r>
      <w:r>
        <w:rPr>
          <w:spacing w:val="-6"/>
          <w:sz w:val="21"/>
        </w:rPr>
        <w:t>附加险合同累计所交保费；</w:t>
      </w:r>
    </w:p>
    <w:p>
      <w:pPr>
        <w:pStyle w:val="ListParagraph"/>
        <w:numPr>
          <w:ilvl w:val="0"/>
          <w:numId w:val="3"/>
        </w:numPr>
        <w:tabs>
          <w:tab w:pos="3626" w:val="left" w:leader="none"/>
        </w:tabs>
        <w:spacing w:line="300" w:lineRule="auto" w:before="16" w:after="0"/>
        <w:ind w:left="3625" w:right="202" w:hanging="626"/>
        <w:jc w:val="left"/>
        <w:rPr>
          <w:sz w:val="21"/>
        </w:rPr>
      </w:pPr>
      <w:r>
        <w:rPr>
          <w:spacing w:val="-8"/>
          <w:sz w:val="21"/>
        </w:rPr>
        <w:t>若被保险人于年满 </w:t>
      </w:r>
      <w:r>
        <w:rPr>
          <w:sz w:val="21"/>
        </w:rPr>
        <w:t>18</w:t>
      </w:r>
      <w:r>
        <w:rPr>
          <w:spacing w:val="-10"/>
          <w:sz w:val="21"/>
        </w:rPr>
        <w:t> 周岁的保单周年日后</w:t>
      </w:r>
      <w:r>
        <w:rPr>
          <w:sz w:val="21"/>
        </w:rPr>
        <w:t>（</w:t>
      </w:r>
      <w:r>
        <w:rPr>
          <w:spacing w:val="-3"/>
          <w:sz w:val="21"/>
        </w:rPr>
        <w:t>含周年日</w:t>
      </w:r>
      <w:r>
        <w:rPr>
          <w:spacing w:val="-22"/>
          <w:sz w:val="21"/>
        </w:rPr>
        <w:t>）</w:t>
      </w:r>
      <w:r>
        <w:rPr>
          <w:spacing w:val="-5"/>
          <w:sz w:val="21"/>
        </w:rPr>
        <w:t>身故，本公司</w:t>
      </w:r>
      <w:r>
        <w:rPr>
          <w:spacing w:val="-4"/>
          <w:sz w:val="21"/>
        </w:rPr>
        <w:t>将按二倍的基本保险金额给付身故保险金。</w:t>
      </w:r>
    </w:p>
    <w:p>
      <w:pPr>
        <w:pStyle w:val="BodyText"/>
        <w:spacing w:line="300" w:lineRule="auto" w:before="16"/>
        <w:ind w:left="2579" w:right="199" w:firstLine="420"/>
        <w:jc w:val="both"/>
      </w:pPr>
      <w:r>
        <w:rPr/>
        <w:t>在本附加险合同保险责任有效期内，若被保险人自本附加险合同生效或最后</w:t>
      </w:r>
      <w:r>
        <w:rPr>
          <w:spacing w:val="-8"/>
        </w:rPr>
        <w:t>复效之日起 </w:t>
      </w:r>
      <w:r>
        <w:rPr/>
        <w:t>90</w:t>
      </w:r>
      <w:r>
        <w:rPr>
          <w:spacing w:val="-13"/>
        </w:rPr>
        <w:t> 日内因疾病导致身故，经本公司查核属实，且确在本附加险合同保</w:t>
      </w:r>
      <w:r>
        <w:rPr>
          <w:spacing w:val="-12"/>
        </w:rPr>
        <w:t>险责任范围以内，本公司将无息返还本附加险合同累计所交保费, 本附加险合同</w:t>
      </w:r>
      <w:r>
        <w:rPr>
          <w:spacing w:val="-6"/>
        </w:rPr>
        <w:t>随之终止。</w:t>
      </w:r>
    </w:p>
    <w:p>
      <w:pPr>
        <w:pStyle w:val="ListParagraph"/>
        <w:numPr>
          <w:ilvl w:val="1"/>
          <w:numId w:val="2"/>
        </w:numPr>
        <w:tabs>
          <w:tab w:pos="949" w:val="left" w:leader="none"/>
          <w:tab w:pos="950" w:val="left" w:leader="none"/>
          <w:tab w:pos="2579" w:val="left" w:leader="none"/>
        </w:tabs>
        <w:spacing w:line="256" w:lineRule="auto" w:before="128" w:after="0"/>
        <w:ind w:left="2579" w:right="199" w:hanging="2369"/>
        <w:jc w:val="left"/>
        <w:rPr>
          <w:sz w:val="21"/>
        </w:rPr>
      </w:pPr>
      <w:r>
        <w:rPr>
          <w:rFonts w:ascii="微软雅黑" w:eastAsia="微软雅黑" w:hint="eastAsia"/>
          <w:b/>
          <w:sz w:val="21"/>
        </w:rPr>
        <w:t>责任免除</w:t>
        <w:tab/>
      </w:r>
      <w:r>
        <w:rPr>
          <w:position w:val="2"/>
          <w:sz w:val="21"/>
        </w:rPr>
        <w:t>因下列情形之一，造成被保险人患有本附加险合同所列重大疾病或身故的，本公 </w:t>
      </w:r>
      <w:r>
        <w:rPr>
          <w:sz w:val="21"/>
        </w:rPr>
        <w:t>司不</w:t>
      </w:r>
      <w:r>
        <w:rPr>
          <w:spacing w:val="-3"/>
          <w:sz w:val="21"/>
        </w:rPr>
        <w:t>负</w:t>
      </w:r>
      <w:r>
        <w:rPr>
          <w:sz w:val="21"/>
        </w:rPr>
        <w:t>保</w:t>
      </w:r>
      <w:r>
        <w:rPr>
          <w:spacing w:val="-3"/>
          <w:sz w:val="21"/>
        </w:rPr>
        <w:t>险</w:t>
      </w:r>
      <w:r>
        <w:rPr>
          <w:sz w:val="21"/>
        </w:rPr>
        <w:t>责</w:t>
      </w:r>
      <w:r>
        <w:rPr>
          <w:spacing w:val="-3"/>
          <w:sz w:val="21"/>
        </w:rPr>
        <w:t>任</w:t>
      </w:r>
      <w:r>
        <w:rPr>
          <w:sz w:val="21"/>
        </w:rPr>
        <w:t>：</w:t>
      </w:r>
    </w:p>
    <w:p>
      <w:pPr>
        <w:pStyle w:val="ListParagraph"/>
        <w:numPr>
          <w:ilvl w:val="0"/>
          <w:numId w:val="4"/>
        </w:numPr>
        <w:tabs>
          <w:tab w:pos="3204" w:val="left" w:leader="none"/>
        </w:tabs>
        <w:spacing w:line="240" w:lineRule="auto" w:before="53" w:after="0"/>
        <w:ind w:left="3203" w:right="0" w:hanging="624"/>
        <w:jc w:val="both"/>
        <w:rPr>
          <w:sz w:val="21"/>
        </w:rPr>
      </w:pPr>
      <w:r>
        <w:rPr>
          <w:spacing w:val="-3"/>
          <w:sz w:val="21"/>
        </w:rPr>
        <w:t>投保人的故意行为；</w:t>
      </w:r>
    </w:p>
    <w:p>
      <w:pPr>
        <w:pStyle w:val="ListParagraph"/>
        <w:numPr>
          <w:ilvl w:val="0"/>
          <w:numId w:val="4"/>
        </w:numPr>
        <w:tabs>
          <w:tab w:pos="3204" w:val="left" w:leader="none"/>
        </w:tabs>
        <w:spacing w:line="240" w:lineRule="auto" w:before="53" w:after="0"/>
        <w:ind w:left="3203" w:right="0" w:hanging="624"/>
        <w:jc w:val="both"/>
        <w:rPr>
          <w:sz w:val="21"/>
        </w:rPr>
      </w:pPr>
      <w:r>
        <w:rPr>
          <w:spacing w:val="-3"/>
          <w:sz w:val="21"/>
        </w:rPr>
        <w:t>被保险人故意犯罪或者抗拒依法采取的刑事强制措施；</w:t>
      </w:r>
    </w:p>
    <w:p>
      <w:pPr>
        <w:pStyle w:val="ListParagraph"/>
        <w:numPr>
          <w:ilvl w:val="0"/>
          <w:numId w:val="4"/>
        </w:numPr>
        <w:tabs>
          <w:tab w:pos="3204" w:val="left" w:leader="none"/>
        </w:tabs>
        <w:spacing w:line="285" w:lineRule="exact" w:before="53" w:after="0"/>
        <w:ind w:left="3203" w:right="0" w:hanging="624"/>
        <w:jc w:val="both"/>
        <w:rPr>
          <w:sz w:val="21"/>
        </w:rPr>
      </w:pPr>
      <w:r>
        <w:rPr>
          <w:spacing w:val="-3"/>
          <w:sz w:val="21"/>
        </w:rPr>
        <w:t>被保险人故意自伤；</w:t>
      </w:r>
    </w:p>
    <w:p>
      <w:pPr>
        <w:pStyle w:val="ListParagraph"/>
        <w:numPr>
          <w:ilvl w:val="0"/>
          <w:numId w:val="4"/>
        </w:numPr>
        <w:tabs>
          <w:tab w:pos="3204" w:val="left" w:leader="none"/>
        </w:tabs>
        <w:spacing w:line="348" w:lineRule="exact" w:before="0" w:after="0"/>
        <w:ind w:left="3203" w:right="0" w:hanging="624"/>
        <w:jc w:val="both"/>
        <w:rPr>
          <w:sz w:val="21"/>
        </w:rPr>
      </w:pPr>
      <w:r>
        <w:rPr>
          <w:spacing w:val="-3"/>
          <w:sz w:val="21"/>
        </w:rPr>
        <w:t>被保险人服用、吸食、注射</w:t>
      </w:r>
      <w:r>
        <w:rPr>
          <w:rFonts w:ascii="微软雅黑" w:eastAsia="微软雅黑" w:hint="eastAsia"/>
          <w:b/>
          <w:sz w:val="21"/>
        </w:rPr>
        <w:t>毒品</w:t>
      </w:r>
      <w:r>
        <w:rPr>
          <w:spacing w:val="-3"/>
          <w:sz w:val="21"/>
        </w:rPr>
        <w:t>（</w:t>
      </w:r>
      <w:r>
        <w:rPr>
          <w:spacing w:val="-18"/>
          <w:sz w:val="21"/>
        </w:rPr>
        <w:t>见 </w:t>
      </w:r>
      <w:r>
        <w:rPr>
          <w:sz w:val="21"/>
        </w:rPr>
        <w:t>10.9）；</w:t>
      </w:r>
    </w:p>
    <w:p>
      <w:pPr>
        <w:pStyle w:val="ListParagraph"/>
        <w:numPr>
          <w:ilvl w:val="0"/>
          <w:numId w:val="4"/>
        </w:numPr>
        <w:tabs>
          <w:tab w:pos="3204" w:val="left" w:leader="none"/>
        </w:tabs>
        <w:spacing w:line="228" w:lineRule="auto" w:before="8" w:after="0"/>
        <w:ind w:left="3203" w:right="202" w:hanging="624"/>
        <w:jc w:val="left"/>
        <w:rPr>
          <w:sz w:val="21"/>
        </w:rPr>
      </w:pPr>
      <w:r>
        <w:rPr>
          <w:spacing w:val="-2"/>
          <w:sz w:val="21"/>
        </w:rPr>
        <w:t>被保险人</w:t>
      </w:r>
      <w:r>
        <w:rPr>
          <w:rFonts w:ascii="微软雅黑" w:eastAsia="微软雅黑" w:hint="eastAsia"/>
          <w:b/>
          <w:spacing w:val="-4"/>
          <w:sz w:val="21"/>
        </w:rPr>
        <w:t>酒后驾驶</w:t>
      </w:r>
      <w:r>
        <w:rPr>
          <w:sz w:val="21"/>
        </w:rPr>
        <w:t>（</w:t>
      </w:r>
      <w:r>
        <w:rPr>
          <w:spacing w:val="-18"/>
          <w:sz w:val="21"/>
        </w:rPr>
        <w:t>见 </w:t>
      </w:r>
      <w:r>
        <w:rPr>
          <w:spacing w:val="-4"/>
          <w:sz w:val="21"/>
        </w:rPr>
        <w:t>10.10）</w:t>
      </w:r>
      <w:r>
        <w:rPr>
          <w:spacing w:val="-17"/>
          <w:sz w:val="21"/>
        </w:rPr>
        <w:t>、</w:t>
      </w:r>
      <w:r>
        <w:rPr>
          <w:rFonts w:ascii="微软雅黑" w:eastAsia="微软雅黑" w:hint="eastAsia"/>
          <w:b/>
          <w:spacing w:val="-3"/>
          <w:sz w:val="21"/>
        </w:rPr>
        <w:t>无合法有效驾驶证驾驶</w:t>
      </w:r>
      <w:r>
        <w:rPr>
          <w:spacing w:val="-3"/>
          <w:sz w:val="21"/>
        </w:rPr>
        <w:t>（</w:t>
      </w:r>
      <w:r>
        <w:rPr>
          <w:spacing w:val="-18"/>
          <w:sz w:val="21"/>
        </w:rPr>
        <w:t>见 </w:t>
      </w:r>
      <w:r>
        <w:rPr>
          <w:spacing w:val="-4"/>
          <w:sz w:val="21"/>
        </w:rPr>
        <w:t>10.11）</w:t>
      </w:r>
      <w:r>
        <w:rPr>
          <w:sz w:val="21"/>
        </w:rPr>
        <w:t>或驾</w:t>
      </w:r>
      <w:r>
        <w:rPr>
          <w:spacing w:val="-3"/>
          <w:sz w:val="21"/>
        </w:rPr>
        <w:t>驶</w:t>
      </w:r>
      <w:r>
        <w:rPr>
          <w:rFonts w:ascii="微软雅黑" w:eastAsia="微软雅黑" w:hint="eastAsia"/>
          <w:b/>
          <w:sz w:val="21"/>
        </w:rPr>
        <w:t>无有效行驶证</w:t>
      </w:r>
      <w:r>
        <w:rPr>
          <w:spacing w:val="-3"/>
          <w:sz w:val="21"/>
        </w:rPr>
        <w:t>（</w:t>
      </w:r>
      <w:r>
        <w:rPr>
          <w:spacing w:val="-24"/>
          <w:sz w:val="21"/>
        </w:rPr>
        <w:t>见 </w:t>
      </w:r>
      <w:r>
        <w:rPr>
          <w:sz w:val="21"/>
        </w:rPr>
        <w:t>10.12）</w:t>
      </w:r>
      <w:r>
        <w:rPr>
          <w:spacing w:val="-3"/>
          <w:sz w:val="21"/>
        </w:rPr>
        <w:t>的</w:t>
      </w:r>
      <w:r>
        <w:rPr>
          <w:rFonts w:ascii="微软雅黑" w:eastAsia="微软雅黑" w:hint="eastAsia"/>
          <w:b/>
          <w:sz w:val="21"/>
        </w:rPr>
        <w:t>机动车</w:t>
      </w:r>
      <w:r>
        <w:rPr>
          <w:spacing w:val="-3"/>
          <w:sz w:val="21"/>
        </w:rPr>
        <w:t>（</w:t>
      </w:r>
      <w:r>
        <w:rPr>
          <w:spacing w:val="-24"/>
          <w:sz w:val="21"/>
        </w:rPr>
        <w:t>见 </w:t>
      </w:r>
      <w:r>
        <w:rPr>
          <w:sz w:val="21"/>
        </w:rPr>
        <w:t>10.13）；</w:t>
      </w:r>
    </w:p>
    <w:p>
      <w:pPr>
        <w:pStyle w:val="ListParagraph"/>
        <w:numPr>
          <w:ilvl w:val="0"/>
          <w:numId w:val="4"/>
        </w:numPr>
        <w:tabs>
          <w:tab w:pos="3204" w:val="left" w:leader="none"/>
        </w:tabs>
        <w:spacing w:line="343" w:lineRule="exact" w:before="0" w:after="0"/>
        <w:ind w:left="3203" w:right="0" w:hanging="624"/>
        <w:jc w:val="both"/>
        <w:rPr>
          <w:sz w:val="21"/>
        </w:rPr>
      </w:pPr>
      <w:r>
        <w:rPr>
          <w:spacing w:val="-2"/>
          <w:sz w:val="21"/>
        </w:rPr>
        <w:t>被保险人</w:t>
      </w:r>
      <w:r>
        <w:rPr>
          <w:rFonts w:ascii="微软雅黑" w:eastAsia="微软雅黑" w:hint="eastAsia"/>
          <w:b/>
          <w:spacing w:val="-1"/>
          <w:sz w:val="21"/>
        </w:rPr>
        <w:t>感染艾滋病病毒或患艾滋病</w:t>
      </w:r>
      <w:r>
        <w:rPr>
          <w:spacing w:val="-3"/>
          <w:sz w:val="21"/>
        </w:rPr>
        <w:t>（</w:t>
      </w:r>
      <w:r>
        <w:rPr>
          <w:spacing w:val="-19"/>
          <w:sz w:val="21"/>
        </w:rPr>
        <w:t>见 </w:t>
      </w:r>
      <w:r>
        <w:rPr>
          <w:sz w:val="21"/>
        </w:rPr>
        <w:t>10.14）；</w:t>
      </w:r>
    </w:p>
    <w:p>
      <w:pPr>
        <w:pStyle w:val="ListParagraph"/>
        <w:numPr>
          <w:ilvl w:val="0"/>
          <w:numId w:val="4"/>
        </w:numPr>
        <w:tabs>
          <w:tab w:pos="3204" w:val="left" w:leader="none"/>
        </w:tabs>
        <w:spacing w:line="240" w:lineRule="auto" w:before="43" w:after="0"/>
        <w:ind w:left="3203" w:right="0" w:hanging="624"/>
        <w:jc w:val="both"/>
        <w:rPr>
          <w:sz w:val="21"/>
        </w:rPr>
      </w:pPr>
      <w:r>
        <w:rPr>
          <w:spacing w:val="-3"/>
          <w:sz w:val="21"/>
        </w:rPr>
        <w:t>战争、军事冲突、暴乱或武装叛乱；</w:t>
      </w:r>
    </w:p>
    <w:p>
      <w:pPr>
        <w:pStyle w:val="ListParagraph"/>
        <w:numPr>
          <w:ilvl w:val="0"/>
          <w:numId w:val="4"/>
        </w:numPr>
        <w:tabs>
          <w:tab w:pos="3204" w:val="left" w:leader="none"/>
        </w:tabs>
        <w:spacing w:line="240" w:lineRule="auto" w:before="53" w:after="0"/>
        <w:ind w:left="3203" w:right="0" w:hanging="624"/>
        <w:jc w:val="both"/>
        <w:rPr>
          <w:sz w:val="21"/>
        </w:rPr>
      </w:pPr>
      <w:r>
        <w:rPr>
          <w:spacing w:val="-3"/>
          <w:sz w:val="21"/>
        </w:rPr>
        <w:t>核爆炸、核辐射或核污染；</w:t>
      </w:r>
    </w:p>
    <w:p>
      <w:pPr>
        <w:pStyle w:val="ListParagraph"/>
        <w:numPr>
          <w:ilvl w:val="0"/>
          <w:numId w:val="4"/>
        </w:numPr>
        <w:tabs>
          <w:tab w:pos="3204" w:val="left" w:leader="none"/>
        </w:tabs>
        <w:spacing w:line="240" w:lineRule="auto" w:before="53" w:after="0"/>
        <w:ind w:left="3203" w:right="0" w:hanging="624"/>
        <w:jc w:val="both"/>
        <w:rPr>
          <w:sz w:val="21"/>
        </w:rPr>
      </w:pPr>
      <w:r>
        <w:rPr>
          <w:spacing w:val="-3"/>
          <w:sz w:val="21"/>
        </w:rPr>
        <w:t>遗传性疾病、先天性畸形、变形或染色体异常。</w:t>
      </w:r>
    </w:p>
    <w:p>
      <w:pPr>
        <w:pStyle w:val="BodyText"/>
        <w:spacing w:line="344" w:lineRule="exact" w:before="23"/>
        <w:ind w:left="2579" w:right="139"/>
        <w:jc w:val="both"/>
      </w:pPr>
      <w:r>
        <w:rPr>
          <w:spacing w:val="-2"/>
        </w:rPr>
        <w:t>发生上述第</w:t>
      </w:r>
      <w:r>
        <w:rPr/>
        <w:t>（1）</w:t>
      </w:r>
      <w:r>
        <w:rPr>
          <w:spacing w:val="-3"/>
        </w:rPr>
        <w:t>项情形导致被保险人患有本附加险合同所列重大疾病或身故的， 本附加险合同效力即行终止，本公司向重大疾病或身故保险金受益人退还本附加险合同的</w:t>
      </w:r>
      <w:r>
        <w:rPr>
          <w:rFonts w:ascii="微软雅黑" w:eastAsia="微软雅黑" w:hint="eastAsia"/>
          <w:b/>
        </w:rPr>
        <w:t>现金价值</w:t>
      </w:r>
      <w:r>
        <w:rPr>
          <w:spacing w:val="-3"/>
        </w:rPr>
        <w:t>（</w:t>
      </w:r>
      <w:r>
        <w:rPr>
          <w:spacing w:val="-22"/>
        </w:rPr>
        <w:t>见 </w:t>
      </w:r>
      <w:r>
        <w:rPr/>
        <w:t>10.15）。</w:t>
      </w:r>
    </w:p>
    <w:p>
      <w:pPr>
        <w:pStyle w:val="BodyText"/>
        <w:spacing w:line="300" w:lineRule="auto" w:before="29"/>
        <w:ind w:left="2579" w:right="199"/>
      </w:pPr>
      <w:r>
        <w:rPr/>
        <w:t>发生上述其他情形导致被保险人患有本附加险合同所列重大疾病或身故的，本附加险合同效力即行终止，本公司向投保人退还本附加险合同的现金价值。</w:t>
      </w:r>
    </w:p>
    <w:p>
      <w:pPr>
        <w:pStyle w:val="ListParagraph"/>
        <w:numPr>
          <w:ilvl w:val="1"/>
          <w:numId w:val="2"/>
        </w:numPr>
        <w:tabs>
          <w:tab w:pos="949" w:val="left" w:leader="none"/>
          <w:tab w:pos="950" w:val="left" w:leader="none"/>
          <w:tab w:pos="2579" w:val="left" w:leader="none"/>
        </w:tabs>
        <w:spacing w:line="256" w:lineRule="auto" w:before="111" w:after="0"/>
        <w:ind w:left="2579" w:right="199" w:hanging="2369"/>
        <w:jc w:val="left"/>
        <w:rPr>
          <w:sz w:val="21"/>
        </w:rPr>
      </w:pPr>
      <w:r>
        <w:rPr>
          <w:rFonts w:ascii="微软雅黑" w:eastAsia="微软雅黑" w:hint="eastAsia"/>
          <w:b/>
          <w:sz w:val="21"/>
        </w:rPr>
        <w:t>保险金额</w:t>
        <w:tab/>
      </w:r>
      <w:r>
        <w:rPr>
          <w:position w:val="2"/>
          <w:sz w:val="21"/>
        </w:rPr>
        <w:t>本附加险合同的</w:t>
      </w:r>
      <w:r>
        <w:rPr>
          <w:rFonts w:ascii="微软雅黑" w:eastAsia="微软雅黑" w:hint="eastAsia"/>
          <w:b/>
          <w:position w:val="2"/>
          <w:sz w:val="21"/>
        </w:rPr>
        <w:t>基本保险金额</w:t>
      </w:r>
      <w:r>
        <w:rPr>
          <w:position w:val="2"/>
          <w:sz w:val="21"/>
        </w:rPr>
        <w:t>（见</w:t>
      </w:r>
      <w:r>
        <w:rPr>
          <w:spacing w:val="41"/>
          <w:position w:val="2"/>
          <w:sz w:val="21"/>
        </w:rPr>
        <w:t> </w:t>
      </w:r>
      <w:r>
        <w:rPr>
          <w:position w:val="2"/>
          <w:sz w:val="21"/>
        </w:rPr>
        <w:t>10.16）由投保人在投保时与本公司约定并在</w:t>
      </w:r>
      <w:r>
        <w:rPr>
          <w:sz w:val="21"/>
        </w:rPr>
        <w:t>保险</w:t>
      </w:r>
      <w:r>
        <w:rPr>
          <w:spacing w:val="-3"/>
          <w:sz w:val="21"/>
        </w:rPr>
        <w:t>单</w:t>
      </w:r>
      <w:r>
        <w:rPr>
          <w:sz w:val="21"/>
        </w:rPr>
        <w:t>上</w:t>
      </w:r>
      <w:r>
        <w:rPr>
          <w:spacing w:val="-3"/>
          <w:sz w:val="21"/>
        </w:rPr>
        <w:t>载</w:t>
      </w:r>
      <w:r>
        <w:rPr>
          <w:sz w:val="21"/>
        </w:rPr>
        <w:t>明</w:t>
      </w:r>
      <w:r>
        <w:rPr>
          <w:spacing w:val="-3"/>
          <w:sz w:val="21"/>
        </w:rPr>
        <w:t>。</w:t>
      </w:r>
      <w:r>
        <w:rPr>
          <w:sz w:val="21"/>
        </w:rPr>
        <w:t>若</w:t>
      </w:r>
      <w:r>
        <w:rPr>
          <w:spacing w:val="-3"/>
          <w:sz w:val="21"/>
        </w:rPr>
        <w:t>该</w:t>
      </w:r>
      <w:r>
        <w:rPr>
          <w:sz w:val="21"/>
        </w:rPr>
        <w:t>金</w:t>
      </w:r>
      <w:r>
        <w:rPr>
          <w:spacing w:val="-3"/>
          <w:sz w:val="21"/>
        </w:rPr>
        <w:t>额</w:t>
      </w:r>
      <w:r>
        <w:rPr>
          <w:sz w:val="21"/>
        </w:rPr>
        <w:t>发生</w:t>
      </w:r>
      <w:r>
        <w:rPr>
          <w:spacing w:val="-3"/>
          <w:sz w:val="21"/>
        </w:rPr>
        <w:t>变</w:t>
      </w:r>
      <w:r>
        <w:rPr>
          <w:sz w:val="21"/>
        </w:rPr>
        <w:t>更</w:t>
      </w:r>
      <w:r>
        <w:rPr>
          <w:spacing w:val="-3"/>
          <w:sz w:val="21"/>
        </w:rPr>
        <w:t>，</w:t>
      </w:r>
      <w:r>
        <w:rPr>
          <w:sz w:val="21"/>
        </w:rPr>
        <w:t>则</w:t>
      </w:r>
      <w:r>
        <w:rPr>
          <w:spacing w:val="-3"/>
          <w:sz w:val="21"/>
        </w:rPr>
        <w:t>以</w:t>
      </w:r>
      <w:r>
        <w:rPr>
          <w:sz w:val="21"/>
        </w:rPr>
        <w:t>变</w:t>
      </w:r>
      <w:r>
        <w:rPr>
          <w:spacing w:val="-3"/>
          <w:sz w:val="21"/>
        </w:rPr>
        <w:t>更</w:t>
      </w:r>
      <w:r>
        <w:rPr>
          <w:sz w:val="21"/>
        </w:rPr>
        <w:t>后</w:t>
      </w:r>
      <w:r>
        <w:rPr>
          <w:spacing w:val="-3"/>
          <w:sz w:val="21"/>
        </w:rPr>
        <w:t>的</w:t>
      </w:r>
      <w:r>
        <w:rPr>
          <w:sz w:val="21"/>
        </w:rPr>
        <w:t>金额</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w:t>
      </w:r>
    </w:p>
    <w:p>
      <w:pPr>
        <w:pStyle w:val="BodyText"/>
        <w:spacing w:before="8"/>
        <w:rPr>
          <w:sz w:val="17"/>
        </w:rPr>
      </w:pPr>
    </w:p>
    <w:p>
      <w:pPr>
        <w:spacing w:after="0"/>
        <w:rPr>
          <w:sz w:val="17"/>
        </w:rPr>
        <w:sectPr>
          <w:pgSz w:w="11900" w:h="16840"/>
          <w:pgMar w:header="0" w:footer="461" w:top="1280" w:bottom="660" w:left="860" w:right="860"/>
        </w:sectPr>
      </w:pPr>
    </w:p>
    <w:p>
      <w:pPr>
        <w:pStyle w:val="Heading3"/>
        <w:numPr>
          <w:ilvl w:val="1"/>
          <w:numId w:val="2"/>
        </w:numPr>
        <w:tabs>
          <w:tab w:pos="949" w:val="left" w:leader="none"/>
          <w:tab w:pos="950" w:val="left" w:leader="none"/>
        </w:tabs>
        <w:spacing w:line="247" w:lineRule="auto" w:before="0" w:after="0"/>
        <w:ind w:left="949" w:right="0" w:hanging="739"/>
        <w:jc w:val="left"/>
      </w:pPr>
      <w:r>
        <w:rPr/>
        <w:t>未成年人身故利益给付限制</w:t>
      </w:r>
    </w:p>
    <w:p>
      <w:pPr>
        <w:pStyle w:val="BodyText"/>
        <w:spacing w:line="300" w:lineRule="auto" w:before="37"/>
        <w:ind w:left="210" w:right="199"/>
      </w:pPr>
      <w:r>
        <w:rPr/>
        <w:br w:type="column"/>
      </w:r>
      <w:r>
        <w:rPr/>
        <w:t>若被保险人为未成年人，因被保险人死亡给付的保险金总和不得超过国务院保险监督管理机构规定的限额。</w:t>
      </w:r>
    </w:p>
    <w:p>
      <w:pPr>
        <w:spacing w:after="0" w:line="300" w:lineRule="auto"/>
        <w:sectPr>
          <w:type w:val="continuous"/>
          <w:pgSz w:w="11900" w:h="16840"/>
          <w:pgMar w:top="1380" w:bottom="280" w:left="860" w:right="860"/>
          <w:cols w:num="2" w:equalWidth="0">
            <w:col w:w="2217" w:space="152"/>
            <w:col w:w="7811"/>
          </w:cols>
        </w:sectPr>
      </w:pPr>
    </w:p>
    <w:p>
      <w:pPr>
        <w:pStyle w:val="BodyText"/>
        <w:spacing w:before="4"/>
        <w:rPr>
          <w:sz w:val="16"/>
        </w:rPr>
      </w:pPr>
    </w:p>
    <w:p>
      <w:pPr>
        <w:pStyle w:val="ListParagraph"/>
        <w:numPr>
          <w:ilvl w:val="1"/>
          <w:numId w:val="2"/>
        </w:numPr>
        <w:tabs>
          <w:tab w:pos="949" w:val="left" w:leader="none"/>
          <w:tab w:pos="950" w:val="left" w:leader="none"/>
          <w:tab w:pos="2579" w:val="left" w:leader="none"/>
        </w:tabs>
        <w:spacing w:line="256" w:lineRule="auto" w:before="0" w:after="0"/>
        <w:ind w:left="2579" w:right="199" w:hanging="2369"/>
        <w:jc w:val="left"/>
        <w:rPr>
          <w:sz w:val="21"/>
        </w:rPr>
      </w:pPr>
      <w:r>
        <w:rPr>
          <w:rFonts w:ascii="微软雅黑" w:eastAsia="微软雅黑" w:hint="eastAsia"/>
          <w:b/>
          <w:sz w:val="21"/>
        </w:rPr>
        <w:t>保险期间</w:t>
        <w:tab/>
      </w:r>
      <w:r>
        <w:rPr>
          <w:position w:val="2"/>
          <w:sz w:val="21"/>
        </w:rPr>
        <w:t>本附</w:t>
      </w:r>
      <w:r>
        <w:rPr>
          <w:spacing w:val="-3"/>
          <w:position w:val="2"/>
          <w:sz w:val="21"/>
        </w:rPr>
        <w:t>加</w:t>
      </w:r>
      <w:r>
        <w:rPr>
          <w:position w:val="2"/>
          <w:sz w:val="21"/>
        </w:rPr>
        <w:t>险</w:t>
      </w:r>
      <w:r>
        <w:rPr>
          <w:spacing w:val="-3"/>
          <w:position w:val="2"/>
          <w:sz w:val="21"/>
        </w:rPr>
        <w:t>合</w:t>
      </w:r>
      <w:r>
        <w:rPr>
          <w:position w:val="2"/>
          <w:sz w:val="21"/>
        </w:rPr>
        <w:t>同</w:t>
      </w:r>
      <w:r>
        <w:rPr>
          <w:spacing w:val="-3"/>
          <w:position w:val="2"/>
          <w:sz w:val="21"/>
        </w:rPr>
        <w:t>的</w:t>
      </w:r>
      <w:r>
        <w:rPr>
          <w:position w:val="2"/>
          <w:sz w:val="21"/>
        </w:rPr>
        <w:t>保</w:t>
      </w:r>
      <w:r>
        <w:rPr>
          <w:spacing w:val="-3"/>
          <w:position w:val="2"/>
          <w:sz w:val="21"/>
        </w:rPr>
        <w:t>险</w:t>
      </w:r>
      <w:r>
        <w:rPr>
          <w:position w:val="2"/>
          <w:sz w:val="21"/>
        </w:rPr>
        <w:t>期</w:t>
      </w:r>
      <w:r>
        <w:rPr>
          <w:spacing w:val="-3"/>
          <w:position w:val="2"/>
          <w:sz w:val="21"/>
        </w:rPr>
        <w:t>间</w:t>
      </w:r>
      <w:r>
        <w:rPr>
          <w:position w:val="2"/>
          <w:sz w:val="21"/>
        </w:rPr>
        <w:t>有</w:t>
      </w:r>
      <w:r>
        <w:rPr>
          <w:spacing w:val="-24"/>
          <w:position w:val="2"/>
          <w:sz w:val="21"/>
        </w:rPr>
        <w:t> </w:t>
      </w:r>
      <w:r>
        <w:rPr>
          <w:position w:val="2"/>
          <w:sz w:val="21"/>
        </w:rPr>
        <w:t>10</w:t>
      </w:r>
      <w:r>
        <w:rPr>
          <w:spacing w:val="-24"/>
          <w:position w:val="2"/>
          <w:sz w:val="21"/>
        </w:rPr>
        <w:t> </w:t>
      </w:r>
      <w:r>
        <w:rPr>
          <w:spacing w:val="-3"/>
          <w:position w:val="2"/>
          <w:sz w:val="21"/>
        </w:rPr>
        <w:t>年</w:t>
      </w:r>
      <w:r>
        <w:rPr>
          <w:position w:val="2"/>
          <w:sz w:val="21"/>
        </w:rPr>
        <w:t>、15</w:t>
      </w:r>
      <w:r>
        <w:rPr>
          <w:spacing w:val="-24"/>
          <w:position w:val="2"/>
          <w:sz w:val="21"/>
        </w:rPr>
        <w:t> </w:t>
      </w:r>
      <w:r>
        <w:rPr>
          <w:spacing w:val="-3"/>
          <w:position w:val="2"/>
          <w:sz w:val="21"/>
        </w:rPr>
        <w:t>年</w:t>
      </w:r>
      <w:r>
        <w:rPr>
          <w:position w:val="2"/>
          <w:sz w:val="21"/>
        </w:rPr>
        <w:t>、20</w:t>
      </w:r>
      <w:r>
        <w:rPr>
          <w:spacing w:val="-26"/>
          <w:position w:val="2"/>
          <w:sz w:val="21"/>
        </w:rPr>
        <w:t> </w:t>
      </w:r>
      <w:r>
        <w:rPr>
          <w:position w:val="2"/>
          <w:sz w:val="21"/>
        </w:rPr>
        <w:t>年</w:t>
      </w:r>
      <w:r>
        <w:rPr>
          <w:spacing w:val="-3"/>
          <w:position w:val="2"/>
          <w:sz w:val="21"/>
        </w:rPr>
        <w:t>、</w:t>
      </w:r>
      <w:r>
        <w:rPr>
          <w:position w:val="2"/>
          <w:sz w:val="21"/>
        </w:rPr>
        <w:t>25</w:t>
      </w:r>
      <w:r>
        <w:rPr>
          <w:spacing w:val="-24"/>
          <w:position w:val="2"/>
          <w:sz w:val="21"/>
        </w:rPr>
        <w:t> </w:t>
      </w:r>
      <w:r>
        <w:rPr>
          <w:position w:val="2"/>
          <w:sz w:val="21"/>
        </w:rPr>
        <w:t>年</w:t>
      </w:r>
      <w:r>
        <w:rPr>
          <w:spacing w:val="-3"/>
          <w:position w:val="2"/>
          <w:sz w:val="21"/>
        </w:rPr>
        <w:t>，</w:t>
      </w:r>
      <w:r>
        <w:rPr>
          <w:position w:val="2"/>
          <w:sz w:val="21"/>
        </w:rPr>
        <w:t>或</w:t>
      </w:r>
      <w:r>
        <w:rPr>
          <w:spacing w:val="-3"/>
          <w:position w:val="2"/>
          <w:sz w:val="21"/>
        </w:rPr>
        <w:t>至</w:t>
      </w:r>
      <w:r>
        <w:rPr>
          <w:position w:val="2"/>
          <w:sz w:val="21"/>
        </w:rPr>
        <w:t>被</w:t>
      </w:r>
      <w:r>
        <w:rPr>
          <w:spacing w:val="-3"/>
          <w:position w:val="2"/>
          <w:sz w:val="21"/>
        </w:rPr>
        <w:t>保</w:t>
      </w:r>
      <w:r>
        <w:rPr>
          <w:position w:val="2"/>
          <w:sz w:val="21"/>
        </w:rPr>
        <w:t>险</w:t>
      </w:r>
      <w:r>
        <w:rPr>
          <w:spacing w:val="-3"/>
          <w:position w:val="2"/>
          <w:sz w:val="21"/>
        </w:rPr>
        <w:t>人年</w:t>
      </w:r>
      <w:r>
        <w:rPr>
          <w:position w:val="2"/>
          <w:sz w:val="21"/>
        </w:rPr>
        <w:t>满</w:t>
      </w:r>
      <w:r>
        <w:rPr>
          <w:spacing w:val="-24"/>
          <w:position w:val="2"/>
          <w:sz w:val="21"/>
        </w:rPr>
        <w:t> </w:t>
      </w:r>
      <w:r>
        <w:rPr>
          <w:position w:val="2"/>
          <w:sz w:val="21"/>
        </w:rPr>
        <w:t>55</w:t>
      </w:r>
      <w:r>
        <w:rPr>
          <w:sz w:val="21"/>
        </w:rPr>
        <w:t>周岁</w:t>
      </w:r>
      <w:r>
        <w:rPr>
          <w:spacing w:val="-5"/>
          <w:sz w:val="21"/>
        </w:rPr>
        <w:t>、</w:t>
      </w:r>
      <w:r>
        <w:rPr>
          <w:sz w:val="21"/>
        </w:rPr>
        <w:t>60</w:t>
      </w:r>
      <w:r>
        <w:rPr>
          <w:spacing w:val="-19"/>
          <w:sz w:val="21"/>
        </w:rPr>
        <w:t> </w:t>
      </w:r>
      <w:r>
        <w:rPr>
          <w:spacing w:val="-3"/>
          <w:sz w:val="21"/>
        </w:rPr>
        <w:t>周</w:t>
      </w:r>
      <w:r>
        <w:rPr>
          <w:sz w:val="21"/>
        </w:rPr>
        <w:t>岁</w:t>
      </w:r>
      <w:r>
        <w:rPr>
          <w:spacing w:val="-3"/>
          <w:sz w:val="21"/>
        </w:rPr>
        <w:t>的</w:t>
      </w:r>
      <w:r>
        <w:rPr>
          <w:sz w:val="21"/>
        </w:rPr>
        <w:t>保</w:t>
      </w:r>
      <w:r>
        <w:rPr>
          <w:spacing w:val="-3"/>
          <w:sz w:val="21"/>
        </w:rPr>
        <w:t>单</w:t>
      </w:r>
      <w:r>
        <w:rPr>
          <w:sz w:val="21"/>
        </w:rPr>
        <w:t>周</w:t>
      </w:r>
      <w:r>
        <w:rPr>
          <w:spacing w:val="-3"/>
          <w:sz w:val="21"/>
        </w:rPr>
        <w:t>年</w:t>
      </w:r>
      <w:r>
        <w:rPr>
          <w:sz w:val="21"/>
        </w:rPr>
        <w:t>日止</w:t>
      </w:r>
      <w:r>
        <w:rPr>
          <w:spacing w:val="-8"/>
          <w:sz w:val="21"/>
        </w:rPr>
        <w:t>。</w:t>
      </w:r>
      <w:r>
        <w:rPr>
          <w:sz w:val="21"/>
        </w:rPr>
        <w:t>投</w:t>
      </w:r>
      <w:r>
        <w:rPr>
          <w:spacing w:val="-3"/>
          <w:sz w:val="21"/>
        </w:rPr>
        <w:t>保</w:t>
      </w:r>
      <w:r>
        <w:rPr>
          <w:sz w:val="21"/>
        </w:rPr>
        <w:t>人</w:t>
      </w:r>
      <w:r>
        <w:rPr>
          <w:spacing w:val="-3"/>
          <w:sz w:val="21"/>
        </w:rPr>
        <w:t>可</w:t>
      </w:r>
      <w:r>
        <w:rPr>
          <w:sz w:val="21"/>
        </w:rPr>
        <w:t>以</w:t>
      </w:r>
      <w:r>
        <w:rPr>
          <w:spacing w:val="-3"/>
          <w:sz w:val="21"/>
        </w:rPr>
        <w:t>与</w:t>
      </w:r>
      <w:r>
        <w:rPr>
          <w:sz w:val="21"/>
        </w:rPr>
        <w:t>本</w:t>
      </w:r>
      <w:r>
        <w:rPr>
          <w:spacing w:val="-3"/>
          <w:sz w:val="21"/>
        </w:rPr>
        <w:t>公</w:t>
      </w:r>
      <w:r>
        <w:rPr>
          <w:sz w:val="21"/>
        </w:rPr>
        <w:t>司约</w:t>
      </w:r>
      <w:r>
        <w:rPr>
          <w:spacing w:val="-3"/>
          <w:sz w:val="21"/>
        </w:rPr>
        <w:t>定</w:t>
      </w:r>
      <w:r>
        <w:rPr>
          <w:sz w:val="21"/>
        </w:rPr>
        <w:t>其</w:t>
      </w:r>
      <w:r>
        <w:rPr>
          <w:spacing w:val="-3"/>
          <w:sz w:val="21"/>
        </w:rPr>
        <w:t>中</w:t>
      </w:r>
      <w:r>
        <w:rPr>
          <w:sz w:val="21"/>
        </w:rPr>
        <w:t>一</w:t>
      </w:r>
      <w:r>
        <w:rPr>
          <w:spacing w:val="-3"/>
          <w:sz w:val="21"/>
        </w:rPr>
        <w:t>种</w:t>
      </w:r>
      <w:r>
        <w:rPr>
          <w:sz w:val="21"/>
        </w:rPr>
        <w:t>保</w:t>
      </w:r>
      <w:r>
        <w:rPr>
          <w:spacing w:val="-3"/>
          <w:sz w:val="21"/>
        </w:rPr>
        <w:t>险</w:t>
      </w:r>
      <w:r>
        <w:rPr>
          <w:sz w:val="21"/>
        </w:rPr>
        <w:t>期</w:t>
      </w:r>
      <w:r>
        <w:rPr>
          <w:spacing w:val="-3"/>
          <w:sz w:val="21"/>
        </w:rPr>
        <w:t>间</w:t>
      </w:r>
      <w:r>
        <w:rPr>
          <w:sz w:val="21"/>
        </w:rPr>
        <w:t>并在</w:t>
      </w:r>
    </w:p>
    <w:p>
      <w:pPr>
        <w:pStyle w:val="BodyText"/>
        <w:spacing w:before="63"/>
        <w:ind w:left="2579"/>
      </w:pPr>
      <w:r>
        <w:rPr/>
        <w:t>保险单或批注上载明。</w:t>
      </w:r>
    </w:p>
    <w:p>
      <w:pPr>
        <w:pStyle w:val="BodyText"/>
        <w:spacing w:before="1"/>
        <w:rPr>
          <w:sz w:val="14"/>
        </w:rPr>
      </w:pPr>
    </w:p>
    <w:p>
      <w:pPr>
        <w:pStyle w:val="Heading2"/>
        <w:numPr>
          <w:ilvl w:val="0"/>
          <w:numId w:val="2"/>
        </w:numPr>
        <w:tabs>
          <w:tab w:pos="949" w:val="left" w:leader="none"/>
          <w:tab w:pos="950" w:val="left" w:leader="none"/>
        </w:tabs>
        <w:spacing w:line="240" w:lineRule="auto" w:before="0" w:after="0"/>
        <w:ind w:left="949" w:right="0" w:hanging="689"/>
        <w:jc w:val="left"/>
      </w:pPr>
      <w:r>
        <w:rPr/>
        <w:pict>
          <v:group style="position:absolute;margin-left:48.119999pt;margin-top:33.346333pt;width:498.5pt;height:.5pt;mso-position-horizontal-relative:page;mso-position-vertical-relative:paragraph;z-index:1120;mso-wrap-distance-left:0;mso-wrap-distance-right:0" coordorigin="962,667" coordsize="9970,10">
            <v:line style="position:absolute" from="962,672" to="1694,672" stroked="true" strokeweight=".48pt" strokecolor="#000000">
              <v:stroke dashstyle="solid"/>
            </v:line>
            <v:rect style="position:absolute;left:1694;top:666;width:10;height:10" filled="true" fillcolor="#000000" stroked="false">
              <v:fill type="solid"/>
            </v:rect>
            <v:line style="position:absolute" from="1704,672" to="3324,672" stroked="true" strokeweight=".48pt" strokecolor="#000000">
              <v:stroke dashstyle="solid"/>
            </v:line>
            <v:rect style="position:absolute;left:3324;top:666;width:10;height:10" filled="true" fillcolor="#000000" stroked="false">
              <v:fill type="solid"/>
            </v:rect>
            <v:line style="position:absolute" from="3334,672" to="10932,672" stroked="true" strokeweight=".48pt" strokecolor="#000000">
              <v:stroke dashstyle="solid"/>
            </v:line>
            <w10:wrap type="topAndBottom"/>
          </v:group>
        </w:pict>
      </w:r>
      <w:r>
        <w:rPr/>
        <w:t>如何申请领取保险金</w:t>
      </w:r>
    </w:p>
    <w:p>
      <w:pPr>
        <w:spacing w:after="0" w:line="240" w:lineRule="auto"/>
        <w:jc w:val="left"/>
        <w:sectPr>
          <w:type w:val="continuous"/>
          <w:pgSz w:w="11900" w:h="16840"/>
          <w:pgMar w:top="1380" w:bottom="280" w:left="860" w:right="860"/>
        </w:sectPr>
      </w:pPr>
    </w:p>
    <w:p>
      <w:pPr>
        <w:pStyle w:val="ListParagraph"/>
        <w:numPr>
          <w:ilvl w:val="1"/>
          <w:numId w:val="2"/>
        </w:numPr>
        <w:tabs>
          <w:tab w:pos="889" w:val="left" w:leader="none"/>
          <w:tab w:pos="890" w:val="left" w:leader="none"/>
          <w:tab w:pos="2519" w:val="left" w:leader="none"/>
        </w:tabs>
        <w:spacing w:line="326" w:lineRule="exact" w:before="24" w:after="0"/>
        <w:ind w:left="2519" w:right="219" w:hanging="2369"/>
        <w:jc w:val="left"/>
        <w:rPr>
          <w:sz w:val="21"/>
        </w:rPr>
      </w:pPr>
      <w:r>
        <w:rPr>
          <w:rFonts w:ascii="微软雅黑" w:eastAsia="微软雅黑" w:hint="eastAsia"/>
          <w:b/>
          <w:sz w:val="21"/>
        </w:rPr>
        <w:t>受益人</w:t>
        <w:tab/>
      </w:r>
      <w:r>
        <w:rPr>
          <w:position w:val="2"/>
          <w:sz w:val="21"/>
        </w:rPr>
        <w:t>投保人或者被保险人可以指定一人或多人为身故保险金受益人，身故保险金受益 </w:t>
      </w:r>
      <w:r>
        <w:rPr>
          <w:sz w:val="21"/>
        </w:rPr>
        <w:t>人为多人时，可以确定受益顺序和受益份额，如果没有确定受益顺序，各受益人</w:t>
      </w:r>
    </w:p>
    <w:p>
      <w:pPr>
        <w:pStyle w:val="BodyText"/>
        <w:spacing w:line="300" w:lineRule="auto" w:before="32"/>
        <w:ind w:left="2519" w:right="219"/>
      </w:pPr>
      <w:r>
        <w:rPr/>
        <w:t>按同一顺序享有受益权；如果没有确定受益份额，各受益人按照相等份额享有受益权。</w:t>
      </w:r>
    </w:p>
    <w:p>
      <w:pPr>
        <w:pStyle w:val="BodyText"/>
        <w:spacing w:line="300" w:lineRule="auto" w:before="15"/>
        <w:ind w:left="2519" w:right="219"/>
      </w:pPr>
      <w:r>
        <w:rPr/>
        <w:t>被保险人或者投保人可以变更受益人并书面通知本公司。本公司收到变更受益人的书面通知后，应当在保险单或者其他保险凭证上批注或者附贴批单。</w:t>
      </w:r>
    </w:p>
    <w:p>
      <w:pPr>
        <w:pStyle w:val="BodyText"/>
        <w:spacing w:before="15"/>
        <w:ind w:left="2519"/>
      </w:pPr>
      <w:r>
        <w:rPr/>
        <w:t>投保人在指定和变更身故保险金受益人时，必须经过被保险人同意。</w:t>
      </w:r>
    </w:p>
    <w:p>
      <w:pPr>
        <w:pStyle w:val="BodyText"/>
        <w:spacing w:line="300" w:lineRule="auto" w:before="67"/>
        <w:ind w:left="2519" w:right="219" w:hanging="1"/>
      </w:pPr>
      <w:r>
        <w:rPr/>
        <w:t>投保人故意造成被保险人死亡、重大疾病的，本公司不承担给付保险金的责任。本公司应当按照合同约定向其他权利人退还保险单的现金价值。</w:t>
      </w:r>
    </w:p>
    <w:p>
      <w:pPr>
        <w:pStyle w:val="BodyText"/>
        <w:spacing w:before="15"/>
        <w:ind w:left="2519"/>
      </w:pPr>
      <w:r>
        <w:rPr/>
        <w:t>除另有约定外，重大疾病保险金的受益人为被保险人本人。</w:t>
      </w:r>
    </w:p>
    <w:p>
      <w:pPr>
        <w:pStyle w:val="ListParagraph"/>
        <w:numPr>
          <w:ilvl w:val="1"/>
          <w:numId w:val="2"/>
        </w:numPr>
        <w:tabs>
          <w:tab w:pos="890" w:val="left" w:leader="none"/>
        </w:tabs>
        <w:spacing w:line="259" w:lineRule="auto" w:before="161" w:after="0"/>
        <w:ind w:left="2519" w:right="116" w:hanging="2369"/>
        <w:jc w:val="both"/>
        <w:rPr>
          <w:sz w:val="21"/>
        </w:rPr>
      </w:pPr>
      <w:r>
        <w:rPr>
          <w:rFonts w:ascii="微软雅黑" w:eastAsia="微软雅黑" w:hint="eastAsia"/>
          <w:b/>
          <w:spacing w:val="0"/>
          <w:sz w:val="21"/>
        </w:rPr>
        <w:t>保险事故通知     </w:t>
      </w:r>
      <w:r>
        <w:rPr>
          <w:position w:val="2"/>
          <w:sz w:val="21"/>
        </w:rPr>
        <w:t>投保人、被保险人或受益人自其知道或应当知道</w:t>
      </w:r>
      <w:r>
        <w:rPr>
          <w:rFonts w:ascii="微软雅黑" w:eastAsia="微软雅黑" w:hint="eastAsia"/>
          <w:b/>
          <w:position w:val="2"/>
          <w:sz w:val="21"/>
        </w:rPr>
        <w:t>保险事故</w:t>
      </w:r>
      <w:r>
        <w:rPr>
          <w:position w:val="2"/>
          <w:sz w:val="21"/>
        </w:rPr>
        <w:t>（</w:t>
      </w:r>
      <w:r>
        <w:rPr>
          <w:spacing w:val="2"/>
          <w:position w:val="2"/>
          <w:sz w:val="21"/>
        </w:rPr>
        <w:t>见 </w:t>
      </w:r>
      <w:r>
        <w:rPr>
          <w:position w:val="2"/>
          <w:sz w:val="21"/>
        </w:rPr>
        <w:t>10.17）发生之日</w:t>
      </w:r>
      <w:r>
        <w:rPr>
          <w:spacing w:val="-11"/>
          <w:sz w:val="21"/>
        </w:rPr>
        <w:t>起 </w:t>
      </w:r>
      <w:r>
        <w:rPr>
          <w:sz w:val="21"/>
        </w:rPr>
        <w:t>7</w:t>
      </w:r>
      <w:r>
        <w:rPr>
          <w:spacing w:val="-6"/>
          <w:sz w:val="21"/>
        </w:rPr>
        <w:t> 日内通知本公司。否则投保人、被保险人或受益人应承担由于通知迟延致使本公司增加的勘查、检验等各项费用，但因</w:t>
      </w:r>
      <w:r>
        <w:rPr>
          <w:rFonts w:ascii="微软雅黑" w:eastAsia="微软雅黑" w:hint="eastAsia"/>
          <w:b/>
          <w:spacing w:val="-6"/>
          <w:sz w:val="21"/>
        </w:rPr>
        <w:t>不可抗力</w:t>
      </w:r>
      <w:r>
        <w:rPr>
          <w:spacing w:val="-6"/>
          <w:sz w:val="21"/>
        </w:rPr>
        <w:t>（</w:t>
      </w:r>
      <w:r>
        <w:rPr>
          <w:spacing w:val="5"/>
          <w:sz w:val="21"/>
        </w:rPr>
        <w:t>见 </w:t>
      </w:r>
      <w:r>
        <w:rPr>
          <w:sz w:val="21"/>
        </w:rPr>
        <w:t>10.18）导致的迟延除</w:t>
      </w:r>
      <w:r>
        <w:rPr>
          <w:spacing w:val="-9"/>
          <w:sz w:val="21"/>
        </w:rPr>
        <w:t>外。通知内容包括：事故情况、原因、伤亡情况以及本公司需要了解的其他情况。</w:t>
      </w:r>
    </w:p>
    <w:p>
      <w:pPr>
        <w:pStyle w:val="BodyText"/>
        <w:spacing w:line="300" w:lineRule="auto" w:before="51"/>
        <w:ind w:left="2519" w:right="219"/>
        <w:jc w:val="both"/>
      </w:pPr>
      <w:r>
        <w:rPr/>
        <w:t>投保人、被保险人或受益人故意或者因重大过失未及时通知，致使保险事故的性质、原因等难以确定的，本公司对无法确定的部分，不承担给付保险金的责任， 但本公司通过其他途径已经及时知道或者应当及时知道保险事故发生的除外。</w:t>
      </w:r>
    </w:p>
    <w:p>
      <w:pPr>
        <w:pStyle w:val="ListParagraph"/>
        <w:numPr>
          <w:ilvl w:val="1"/>
          <w:numId w:val="2"/>
        </w:numPr>
        <w:tabs>
          <w:tab w:pos="889" w:val="left" w:leader="none"/>
          <w:tab w:pos="890" w:val="left" w:leader="none"/>
          <w:tab w:pos="2519" w:val="left" w:leader="none"/>
        </w:tabs>
        <w:spacing w:line="240" w:lineRule="auto" w:before="53" w:after="0"/>
        <w:ind w:left="2519" w:right="0" w:hanging="2369"/>
        <w:jc w:val="left"/>
        <w:rPr>
          <w:sz w:val="21"/>
        </w:rPr>
      </w:pPr>
      <w:r>
        <w:rPr>
          <w:rFonts w:ascii="微软雅黑" w:eastAsia="微软雅黑" w:hint="eastAsia"/>
          <w:b/>
          <w:sz w:val="21"/>
        </w:rPr>
        <w:t>保险金申请</w:t>
        <w:tab/>
      </w:r>
      <w:r>
        <w:rPr>
          <w:position w:val="2"/>
          <w:sz w:val="21"/>
        </w:rPr>
        <w:t>在申</w:t>
      </w:r>
      <w:r>
        <w:rPr>
          <w:spacing w:val="-3"/>
          <w:position w:val="2"/>
          <w:sz w:val="21"/>
        </w:rPr>
        <w:t>请</w:t>
      </w:r>
      <w:r>
        <w:rPr>
          <w:position w:val="2"/>
          <w:sz w:val="21"/>
        </w:rPr>
        <w:t>保</w:t>
      </w:r>
      <w:r>
        <w:rPr>
          <w:spacing w:val="-3"/>
          <w:position w:val="2"/>
          <w:sz w:val="21"/>
        </w:rPr>
        <w:t>险</w:t>
      </w:r>
      <w:r>
        <w:rPr>
          <w:position w:val="2"/>
          <w:sz w:val="21"/>
        </w:rPr>
        <w:t>金</w:t>
      </w:r>
      <w:r>
        <w:rPr>
          <w:spacing w:val="-3"/>
          <w:position w:val="2"/>
          <w:sz w:val="21"/>
        </w:rPr>
        <w:t>时</w:t>
      </w:r>
      <w:r>
        <w:rPr>
          <w:position w:val="2"/>
          <w:sz w:val="21"/>
        </w:rPr>
        <w:t>，</w:t>
      </w:r>
      <w:r>
        <w:rPr>
          <w:spacing w:val="-3"/>
          <w:position w:val="2"/>
          <w:sz w:val="21"/>
        </w:rPr>
        <w:t>请</w:t>
      </w:r>
      <w:r>
        <w:rPr>
          <w:position w:val="2"/>
          <w:sz w:val="21"/>
        </w:rPr>
        <w:t>按</w:t>
      </w:r>
      <w:r>
        <w:rPr>
          <w:spacing w:val="-3"/>
          <w:position w:val="2"/>
          <w:sz w:val="21"/>
        </w:rPr>
        <w:t>照</w:t>
      </w:r>
      <w:r>
        <w:rPr>
          <w:position w:val="2"/>
          <w:sz w:val="21"/>
        </w:rPr>
        <w:t>下列</w:t>
      </w:r>
      <w:r>
        <w:rPr>
          <w:spacing w:val="-3"/>
          <w:position w:val="2"/>
          <w:sz w:val="21"/>
        </w:rPr>
        <w:t>方</w:t>
      </w:r>
      <w:r>
        <w:rPr>
          <w:position w:val="2"/>
          <w:sz w:val="21"/>
        </w:rPr>
        <w:t>式</w:t>
      </w:r>
      <w:r>
        <w:rPr>
          <w:spacing w:val="-3"/>
          <w:position w:val="2"/>
          <w:sz w:val="21"/>
        </w:rPr>
        <w:t>办</w:t>
      </w:r>
      <w:r>
        <w:rPr>
          <w:position w:val="2"/>
          <w:sz w:val="21"/>
        </w:rPr>
        <w:t>理：</w:t>
      </w:r>
    </w:p>
    <w:p>
      <w:pPr>
        <w:pStyle w:val="BodyText"/>
        <w:spacing w:before="11"/>
        <w:rPr>
          <w:sz w:val="13"/>
        </w:rPr>
      </w:pPr>
    </w:p>
    <w:p>
      <w:pPr>
        <w:spacing w:after="0"/>
        <w:rPr>
          <w:sz w:val="13"/>
        </w:rPr>
        <w:sectPr>
          <w:pgSz w:w="11900" w:h="16840"/>
          <w:pgMar w:header="0" w:footer="461" w:top="1280" w:bottom="660" w:left="920" w:right="840"/>
        </w:sectPr>
      </w:pPr>
    </w:p>
    <w:p>
      <w:pPr>
        <w:pStyle w:val="Heading3"/>
        <w:spacing w:line="247" w:lineRule="auto"/>
        <w:ind w:left="889" w:firstLine="0"/>
      </w:pPr>
      <w:r>
        <w:rPr/>
        <w:t>重疾保险金申请</w:t>
      </w:r>
    </w:p>
    <w:p>
      <w:pPr>
        <w:pStyle w:val="BodyText"/>
        <w:spacing w:before="36"/>
        <w:ind w:left="322"/>
      </w:pPr>
      <w:r>
        <w:rPr/>
        <w:br w:type="column"/>
      </w:r>
      <w:r>
        <w:rPr/>
        <w:t>由被保险人作为申请人填写保险金给付申请书，并须提供下列证明和资料：</w:t>
      </w:r>
    </w:p>
    <w:p>
      <w:pPr>
        <w:pStyle w:val="ListParagraph"/>
        <w:numPr>
          <w:ilvl w:val="0"/>
          <w:numId w:val="5"/>
        </w:numPr>
        <w:tabs>
          <w:tab w:pos="947" w:val="left" w:leader="none"/>
        </w:tabs>
        <w:spacing w:line="240" w:lineRule="auto" w:before="68" w:after="0"/>
        <w:ind w:left="946" w:right="0" w:hanging="624"/>
        <w:jc w:val="left"/>
        <w:rPr>
          <w:sz w:val="21"/>
        </w:rPr>
      </w:pPr>
      <w:r>
        <w:rPr>
          <w:spacing w:val="-1"/>
          <w:sz w:val="21"/>
        </w:rPr>
        <w:t>保险合同；</w:t>
      </w:r>
    </w:p>
    <w:p>
      <w:pPr>
        <w:pStyle w:val="ListParagraph"/>
        <w:numPr>
          <w:ilvl w:val="0"/>
          <w:numId w:val="5"/>
        </w:numPr>
        <w:tabs>
          <w:tab w:pos="947" w:val="left" w:leader="none"/>
        </w:tabs>
        <w:spacing w:line="240" w:lineRule="auto" w:before="70" w:after="0"/>
        <w:ind w:left="946" w:right="0" w:hanging="624"/>
        <w:jc w:val="left"/>
        <w:rPr>
          <w:sz w:val="21"/>
        </w:rPr>
      </w:pPr>
      <w:r>
        <w:rPr>
          <w:spacing w:val="-3"/>
          <w:sz w:val="21"/>
        </w:rPr>
        <w:t>最近一期保险费交费凭证；</w:t>
      </w:r>
    </w:p>
    <w:p>
      <w:pPr>
        <w:pStyle w:val="ListParagraph"/>
        <w:numPr>
          <w:ilvl w:val="0"/>
          <w:numId w:val="5"/>
        </w:numPr>
        <w:tabs>
          <w:tab w:pos="947" w:val="left" w:leader="none"/>
        </w:tabs>
        <w:spacing w:line="240" w:lineRule="auto" w:before="5" w:after="0"/>
        <w:ind w:left="946" w:right="0" w:hanging="624"/>
        <w:jc w:val="left"/>
        <w:rPr>
          <w:sz w:val="21"/>
        </w:rPr>
      </w:pPr>
      <w:r>
        <w:rPr>
          <w:spacing w:val="-2"/>
          <w:sz w:val="21"/>
        </w:rPr>
        <w:t>被保险人的</w:t>
      </w:r>
      <w:r>
        <w:rPr>
          <w:rFonts w:ascii="微软雅黑" w:eastAsia="微软雅黑" w:hint="eastAsia"/>
          <w:b/>
          <w:spacing w:val="-1"/>
          <w:sz w:val="21"/>
        </w:rPr>
        <w:t>法定身份证明</w:t>
      </w:r>
      <w:r>
        <w:rPr>
          <w:sz w:val="21"/>
        </w:rPr>
        <w:t>（</w:t>
      </w:r>
      <w:r>
        <w:rPr>
          <w:spacing w:val="-21"/>
          <w:sz w:val="21"/>
        </w:rPr>
        <w:t>见 </w:t>
      </w:r>
      <w:r>
        <w:rPr>
          <w:sz w:val="21"/>
        </w:rPr>
        <w:t>10.19）；</w:t>
      </w:r>
    </w:p>
    <w:p>
      <w:pPr>
        <w:pStyle w:val="ListParagraph"/>
        <w:numPr>
          <w:ilvl w:val="0"/>
          <w:numId w:val="5"/>
        </w:numPr>
        <w:tabs>
          <w:tab w:pos="947" w:val="left" w:leader="none"/>
        </w:tabs>
        <w:spacing w:line="283" w:lineRule="auto" w:before="43" w:after="0"/>
        <w:ind w:left="946" w:right="222" w:hanging="624"/>
        <w:jc w:val="left"/>
        <w:rPr>
          <w:sz w:val="21"/>
        </w:rPr>
      </w:pPr>
      <w:r>
        <w:rPr>
          <w:sz w:val="21"/>
        </w:rPr>
        <w:t>本公司指定或认可的医院出具的附有病历、必要病理检验、血液检验及其</w:t>
      </w:r>
      <w:r>
        <w:rPr>
          <w:spacing w:val="-3"/>
          <w:sz w:val="21"/>
        </w:rPr>
        <w:t>它科学方法检验报告的疾病诊断书；</w:t>
      </w:r>
    </w:p>
    <w:p>
      <w:pPr>
        <w:pStyle w:val="ListParagraph"/>
        <w:numPr>
          <w:ilvl w:val="0"/>
          <w:numId w:val="5"/>
        </w:numPr>
        <w:tabs>
          <w:tab w:pos="947" w:val="left" w:leader="none"/>
        </w:tabs>
        <w:spacing w:line="240" w:lineRule="auto" w:before="30" w:after="0"/>
        <w:ind w:left="946" w:right="0" w:hanging="624"/>
        <w:jc w:val="left"/>
        <w:rPr>
          <w:sz w:val="21"/>
        </w:rPr>
      </w:pPr>
      <w:r>
        <w:rPr>
          <w:spacing w:val="-3"/>
          <w:sz w:val="21"/>
        </w:rPr>
        <w:t>与确认保险事故的性质、原因、经过等有关的其他证明和资料。</w:t>
      </w:r>
    </w:p>
    <w:p>
      <w:pPr>
        <w:spacing w:after="0" w:line="240" w:lineRule="auto"/>
        <w:jc w:val="left"/>
        <w:rPr>
          <w:sz w:val="21"/>
        </w:rPr>
        <w:sectPr>
          <w:type w:val="continuous"/>
          <w:pgSz w:w="11900" w:h="16840"/>
          <w:pgMar w:top="1380" w:bottom="280" w:left="920" w:right="840"/>
          <w:cols w:num="2" w:equalWidth="0">
            <w:col w:w="2157" w:space="40"/>
            <w:col w:w="7943"/>
          </w:cols>
        </w:sectPr>
      </w:pPr>
    </w:p>
    <w:p>
      <w:pPr>
        <w:pStyle w:val="BodyText"/>
        <w:spacing w:before="4"/>
        <w:rPr>
          <w:sz w:val="13"/>
        </w:rPr>
      </w:pPr>
    </w:p>
    <w:p>
      <w:pPr>
        <w:spacing w:after="0"/>
        <w:rPr>
          <w:sz w:val="13"/>
        </w:rPr>
        <w:sectPr>
          <w:type w:val="continuous"/>
          <w:pgSz w:w="11900" w:h="16840"/>
          <w:pgMar w:top="1380" w:bottom="280" w:left="920" w:right="840"/>
        </w:sectPr>
      </w:pPr>
    </w:p>
    <w:p>
      <w:pPr>
        <w:pStyle w:val="Heading3"/>
        <w:spacing w:line="247" w:lineRule="auto"/>
        <w:ind w:left="889" w:firstLine="0"/>
      </w:pPr>
      <w:r>
        <w:rPr/>
        <w:t>身故保险金申请</w:t>
      </w:r>
    </w:p>
    <w:p>
      <w:pPr>
        <w:pStyle w:val="BodyText"/>
        <w:spacing w:line="300" w:lineRule="auto" w:before="37"/>
        <w:ind w:left="322" w:right="219"/>
      </w:pPr>
      <w:r>
        <w:rPr/>
        <w:br w:type="column"/>
      </w:r>
      <w:r>
        <w:rPr/>
        <w:t>由身故保险金受益人作为申请人填写保险金给付申请书，并须提供下列证明和资料：</w:t>
      </w:r>
    </w:p>
    <w:p>
      <w:pPr>
        <w:pStyle w:val="ListParagraph"/>
        <w:numPr>
          <w:ilvl w:val="0"/>
          <w:numId w:val="6"/>
        </w:numPr>
        <w:tabs>
          <w:tab w:pos="889" w:val="left" w:leader="none"/>
        </w:tabs>
        <w:spacing w:line="240" w:lineRule="auto" w:before="16" w:after="0"/>
        <w:ind w:left="888" w:right="0" w:hanging="566"/>
        <w:jc w:val="left"/>
        <w:rPr>
          <w:sz w:val="21"/>
        </w:rPr>
      </w:pPr>
      <w:r>
        <w:rPr>
          <w:spacing w:val="-1"/>
          <w:sz w:val="21"/>
        </w:rPr>
        <w:t>保险合同；</w:t>
      </w:r>
    </w:p>
    <w:p>
      <w:pPr>
        <w:pStyle w:val="ListParagraph"/>
        <w:numPr>
          <w:ilvl w:val="0"/>
          <w:numId w:val="6"/>
        </w:numPr>
        <w:tabs>
          <w:tab w:pos="889" w:val="left" w:leader="none"/>
        </w:tabs>
        <w:spacing w:line="240" w:lineRule="auto" w:before="53" w:after="0"/>
        <w:ind w:left="888" w:right="0" w:hanging="566"/>
        <w:jc w:val="left"/>
        <w:rPr>
          <w:sz w:val="21"/>
        </w:rPr>
      </w:pPr>
      <w:r>
        <w:rPr>
          <w:spacing w:val="-3"/>
          <w:sz w:val="21"/>
        </w:rPr>
        <w:t>最近一期保险费交费凭证；</w:t>
      </w:r>
    </w:p>
    <w:p>
      <w:pPr>
        <w:pStyle w:val="ListParagraph"/>
        <w:numPr>
          <w:ilvl w:val="0"/>
          <w:numId w:val="6"/>
        </w:numPr>
        <w:tabs>
          <w:tab w:pos="889" w:val="left" w:leader="none"/>
        </w:tabs>
        <w:spacing w:line="240" w:lineRule="auto" w:before="53" w:after="0"/>
        <w:ind w:left="888" w:right="0" w:hanging="566"/>
        <w:jc w:val="left"/>
        <w:rPr>
          <w:sz w:val="21"/>
        </w:rPr>
      </w:pPr>
      <w:r>
        <w:rPr>
          <w:spacing w:val="-3"/>
          <w:sz w:val="21"/>
        </w:rPr>
        <w:t>受益人法定身份证明；</w:t>
      </w:r>
    </w:p>
    <w:p>
      <w:pPr>
        <w:pStyle w:val="ListParagraph"/>
        <w:numPr>
          <w:ilvl w:val="0"/>
          <w:numId w:val="6"/>
        </w:numPr>
        <w:tabs>
          <w:tab w:pos="889" w:val="left" w:leader="none"/>
        </w:tabs>
        <w:spacing w:line="283" w:lineRule="auto" w:before="53" w:after="0"/>
        <w:ind w:left="888" w:right="224" w:hanging="566"/>
        <w:jc w:val="left"/>
        <w:rPr>
          <w:sz w:val="21"/>
        </w:rPr>
      </w:pPr>
      <w:r>
        <w:rPr>
          <w:sz w:val="21"/>
        </w:rPr>
        <w:t>国务院卫生行政部门规定的医疗机构或公安部门出具的被保险人死亡证明</w:t>
      </w:r>
      <w:r>
        <w:rPr>
          <w:spacing w:val="-2"/>
          <w:sz w:val="21"/>
        </w:rPr>
        <w:t>书或验尸证明；</w:t>
      </w:r>
    </w:p>
    <w:p>
      <w:pPr>
        <w:spacing w:after="0" w:line="283" w:lineRule="auto"/>
        <w:jc w:val="left"/>
        <w:rPr>
          <w:sz w:val="21"/>
        </w:rPr>
        <w:sectPr>
          <w:type w:val="continuous"/>
          <w:pgSz w:w="11900" w:h="16840"/>
          <w:pgMar w:top="1380" w:bottom="280" w:left="920" w:right="840"/>
          <w:cols w:num="2" w:equalWidth="0">
            <w:col w:w="2157" w:space="40"/>
            <w:col w:w="7943"/>
          </w:cols>
        </w:sectPr>
      </w:pPr>
    </w:p>
    <w:p>
      <w:pPr>
        <w:pStyle w:val="BodyText"/>
        <w:spacing w:before="5"/>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1554"/>
        <w:gridCol w:w="7736"/>
      </w:tblGrid>
      <w:tr>
        <w:trPr>
          <w:trHeight w:val="289" w:hRule="atLeast"/>
        </w:trPr>
        <w:tc>
          <w:tcPr>
            <w:tcW w:w="2132" w:type="dxa"/>
            <w:gridSpan w:val="2"/>
            <w:vMerge w:val="restart"/>
          </w:tcPr>
          <w:p>
            <w:pPr>
              <w:pStyle w:val="TableParagraph"/>
              <w:rPr>
                <w:rFonts w:ascii="Times New Roman"/>
                <w:sz w:val="20"/>
              </w:rPr>
            </w:pPr>
          </w:p>
        </w:tc>
        <w:tc>
          <w:tcPr>
            <w:tcW w:w="7736" w:type="dxa"/>
          </w:tcPr>
          <w:p>
            <w:pPr>
              <w:pStyle w:val="TableParagraph"/>
              <w:spacing w:line="236" w:lineRule="exact"/>
              <w:ind w:left="286"/>
              <w:rPr>
                <w:sz w:val="21"/>
              </w:rPr>
            </w:pPr>
            <w:r>
              <w:rPr>
                <w:sz w:val="21"/>
              </w:rPr>
              <w:t>（</w:t>
            </w:r>
            <w:r>
              <w:rPr>
                <w:rFonts w:ascii="Arial" w:eastAsia="Arial"/>
                <w:sz w:val="21"/>
              </w:rPr>
              <w:t>5</w:t>
            </w:r>
            <w:r>
              <w:rPr>
                <w:sz w:val="21"/>
              </w:rPr>
              <w:t>） 如被保险人为宣告死亡，受益人须提供法院出具的宣告死亡判决书；</w:t>
            </w:r>
          </w:p>
        </w:tc>
      </w:tr>
      <w:tr>
        <w:trPr>
          <w:trHeight w:val="343" w:hRule="atLeast"/>
        </w:trPr>
        <w:tc>
          <w:tcPr>
            <w:tcW w:w="2132" w:type="dxa"/>
            <w:gridSpan w:val="2"/>
            <w:vMerge/>
            <w:tcBorders>
              <w:top w:val="nil"/>
            </w:tcBorders>
          </w:tcPr>
          <w:p>
            <w:pPr>
              <w:rPr>
                <w:sz w:val="2"/>
                <w:szCs w:val="2"/>
              </w:rPr>
            </w:pPr>
          </w:p>
        </w:tc>
        <w:tc>
          <w:tcPr>
            <w:tcW w:w="7736" w:type="dxa"/>
          </w:tcPr>
          <w:p>
            <w:pPr>
              <w:pStyle w:val="TableParagraph"/>
              <w:spacing w:line="289" w:lineRule="exact"/>
              <w:ind w:left="286"/>
              <w:rPr>
                <w:sz w:val="21"/>
              </w:rPr>
            </w:pPr>
            <w:r>
              <w:rPr>
                <w:sz w:val="21"/>
              </w:rPr>
              <w:t>（</w:t>
            </w:r>
            <w:r>
              <w:rPr>
                <w:rFonts w:ascii="Arial" w:eastAsia="Arial"/>
                <w:sz w:val="21"/>
              </w:rPr>
              <w:t>6</w:t>
            </w:r>
            <w:r>
              <w:rPr>
                <w:sz w:val="21"/>
              </w:rPr>
              <w:t>） 公安部门出具的被保险人户籍注销证明；</w:t>
            </w:r>
          </w:p>
        </w:tc>
      </w:tr>
      <w:tr>
        <w:trPr>
          <w:trHeight w:val="764" w:hRule="atLeast"/>
        </w:trPr>
        <w:tc>
          <w:tcPr>
            <w:tcW w:w="2132" w:type="dxa"/>
            <w:gridSpan w:val="2"/>
            <w:vMerge/>
            <w:tcBorders>
              <w:top w:val="nil"/>
            </w:tcBorders>
          </w:tcPr>
          <w:p>
            <w:pPr>
              <w:rPr>
                <w:sz w:val="2"/>
                <w:szCs w:val="2"/>
              </w:rPr>
            </w:pPr>
          </w:p>
        </w:tc>
        <w:tc>
          <w:tcPr>
            <w:tcW w:w="7736" w:type="dxa"/>
          </w:tcPr>
          <w:p>
            <w:pPr>
              <w:pStyle w:val="TableParagraph"/>
              <w:spacing w:line="289" w:lineRule="exact"/>
              <w:ind w:left="286"/>
              <w:rPr>
                <w:sz w:val="21"/>
              </w:rPr>
            </w:pPr>
            <w:r>
              <w:rPr>
                <w:sz w:val="21"/>
              </w:rPr>
              <w:t>（</w:t>
            </w:r>
            <w:r>
              <w:rPr>
                <w:rFonts w:ascii="Arial" w:eastAsia="Arial"/>
                <w:sz w:val="21"/>
              </w:rPr>
              <w:t>7</w:t>
            </w:r>
            <w:r>
              <w:rPr>
                <w:sz w:val="21"/>
              </w:rPr>
              <w:t>） 与确认保险事故的性质、原因、经过等有关的其他证明和资料。</w:t>
            </w:r>
          </w:p>
          <w:p>
            <w:pPr>
              <w:pStyle w:val="TableParagraph"/>
              <w:spacing w:before="53"/>
              <w:ind w:left="286"/>
              <w:rPr>
                <w:sz w:val="21"/>
              </w:rPr>
            </w:pPr>
            <w:r>
              <w:rPr>
                <w:sz w:val="21"/>
              </w:rPr>
              <w:t>保险金作为被保险人遗产时，必须提供可证明合法继承权的相关权利文件。</w:t>
            </w:r>
          </w:p>
        </w:tc>
      </w:tr>
      <w:tr>
        <w:trPr>
          <w:trHeight w:val="766" w:hRule="atLeast"/>
        </w:trPr>
        <w:tc>
          <w:tcPr>
            <w:tcW w:w="578" w:type="dxa"/>
          </w:tcPr>
          <w:p>
            <w:pPr>
              <w:pStyle w:val="TableParagraph"/>
              <w:spacing w:before="37"/>
              <w:ind w:left="50"/>
              <w:rPr>
                <w:rFonts w:ascii="微软雅黑"/>
                <w:b/>
                <w:sz w:val="21"/>
              </w:rPr>
            </w:pPr>
            <w:r>
              <w:rPr>
                <w:rFonts w:ascii="微软雅黑"/>
                <w:b/>
                <w:w w:val="81"/>
                <w:sz w:val="21"/>
              </w:rPr>
              <w:t>3</w:t>
            </w:r>
            <w:r>
              <w:rPr>
                <w:rFonts w:ascii="微软雅黑"/>
                <w:b/>
                <w:w w:val="175"/>
                <w:sz w:val="21"/>
              </w:rPr>
              <w:t>.</w:t>
            </w:r>
            <w:r>
              <w:rPr>
                <w:rFonts w:ascii="微软雅黑"/>
                <w:b/>
                <w:w w:val="81"/>
                <w:sz w:val="21"/>
              </w:rPr>
              <w:t>4</w:t>
            </w:r>
          </w:p>
        </w:tc>
        <w:tc>
          <w:tcPr>
            <w:tcW w:w="1554" w:type="dxa"/>
          </w:tcPr>
          <w:p>
            <w:pPr>
              <w:pStyle w:val="TableParagraph"/>
              <w:spacing w:before="37"/>
              <w:ind w:left="211"/>
              <w:rPr>
                <w:rFonts w:ascii="微软雅黑" w:eastAsia="微软雅黑" w:hint="eastAsia"/>
                <w:b/>
                <w:sz w:val="21"/>
              </w:rPr>
            </w:pPr>
            <w:r>
              <w:rPr>
                <w:rFonts w:ascii="微软雅黑" w:eastAsia="微软雅黑" w:hint="eastAsia"/>
                <w:b/>
                <w:sz w:val="21"/>
              </w:rPr>
              <w:t>保险金给付</w:t>
            </w:r>
          </w:p>
        </w:tc>
        <w:tc>
          <w:tcPr>
            <w:tcW w:w="7736" w:type="dxa"/>
          </w:tcPr>
          <w:p>
            <w:pPr>
              <w:pStyle w:val="TableParagraph"/>
              <w:spacing w:line="340" w:lineRule="atLeast" w:before="17"/>
              <w:ind w:left="286" w:right="48"/>
              <w:rPr>
                <w:sz w:val="21"/>
              </w:rPr>
            </w:pPr>
            <w:r>
              <w:rPr>
                <w:sz w:val="21"/>
              </w:rPr>
              <w:t>本公司在收到保险金给付申请书及上述完整齐全的有关证明和资料后，会及时做出核定，对确定属于保险责任的，在与受益人达成有关给付保险金数额的协议后</w:t>
            </w:r>
          </w:p>
        </w:tc>
      </w:tr>
      <w:tr>
        <w:trPr>
          <w:trHeight w:val="343" w:hRule="atLeast"/>
        </w:trPr>
        <w:tc>
          <w:tcPr>
            <w:tcW w:w="578" w:type="dxa"/>
          </w:tcPr>
          <w:p>
            <w:pPr>
              <w:pStyle w:val="TableParagraph"/>
              <w:rPr>
                <w:rFonts w:ascii="Times New Roman"/>
                <w:sz w:val="20"/>
              </w:rPr>
            </w:pPr>
          </w:p>
        </w:tc>
        <w:tc>
          <w:tcPr>
            <w:tcW w:w="1554" w:type="dxa"/>
          </w:tcPr>
          <w:p>
            <w:pPr>
              <w:pStyle w:val="TableParagraph"/>
              <w:rPr>
                <w:rFonts w:ascii="Times New Roman"/>
                <w:sz w:val="20"/>
              </w:rPr>
            </w:pPr>
          </w:p>
        </w:tc>
        <w:tc>
          <w:tcPr>
            <w:tcW w:w="7736" w:type="dxa"/>
          </w:tcPr>
          <w:p>
            <w:pPr>
              <w:pStyle w:val="TableParagraph"/>
              <w:spacing w:before="2"/>
              <w:ind w:left="286"/>
              <w:rPr>
                <w:sz w:val="21"/>
              </w:rPr>
            </w:pPr>
            <w:r>
              <w:rPr>
                <w:sz w:val="21"/>
              </w:rPr>
              <w:t>10</w:t>
            </w:r>
            <w:r>
              <w:rPr>
                <w:spacing w:val="-6"/>
                <w:sz w:val="21"/>
              </w:rPr>
              <w:t> 日内，履行给付保险金责任。对不属于保险责任的，自作出核定之日起三日内</w:t>
            </w:r>
          </w:p>
        </w:tc>
      </w:tr>
      <w:tr>
        <w:trPr>
          <w:trHeight w:val="277" w:hRule="atLeast"/>
        </w:trPr>
        <w:tc>
          <w:tcPr>
            <w:tcW w:w="578" w:type="dxa"/>
          </w:tcPr>
          <w:p>
            <w:pPr>
              <w:pStyle w:val="TableParagraph"/>
              <w:rPr>
                <w:rFonts w:ascii="Times New Roman"/>
                <w:sz w:val="20"/>
              </w:rPr>
            </w:pPr>
          </w:p>
        </w:tc>
        <w:tc>
          <w:tcPr>
            <w:tcW w:w="1554" w:type="dxa"/>
          </w:tcPr>
          <w:p>
            <w:pPr>
              <w:pStyle w:val="TableParagraph"/>
              <w:rPr>
                <w:rFonts w:ascii="Times New Roman"/>
                <w:sz w:val="20"/>
              </w:rPr>
            </w:pPr>
          </w:p>
        </w:tc>
        <w:tc>
          <w:tcPr>
            <w:tcW w:w="7736" w:type="dxa"/>
          </w:tcPr>
          <w:p>
            <w:pPr>
              <w:pStyle w:val="TableParagraph"/>
              <w:spacing w:line="255" w:lineRule="exact" w:before="2"/>
              <w:ind w:left="286"/>
              <w:rPr>
                <w:sz w:val="21"/>
              </w:rPr>
            </w:pPr>
            <w:r>
              <w:rPr>
                <w:sz w:val="21"/>
              </w:rPr>
              <w:t>向被保险人或者受益人发出拒绝给付保险金通知书并说明理由。</w:t>
            </w:r>
          </w:p>
        </w:tc>
      </w:tr>
    </w:tbl>
    <w:p>
      <w:pPr>
        <w:spacing w:after="0" w:line="255" w:lineRule="exact"/>
        <w:rPr>
          <w:sz w:val="21"/>
        </w:rPr>
        <w:sectPr>
          <w:type w:val="continuous"/>
          <w:pgSz w:w="11900" w:h="16840"/>
          <w:pgMar w:top="1380" w:bottom="280" w:left="920" w:right="840"/>
        </w:sectPr>
      </w:pPr>
    </w:p>
    <w:p>
      <w:pPr>
        <w:pStyle w:val="BodyText"/>
        <w:spacing w:line="300" w:lineRule="auto" w:before="22"/>
        <w:ind w:left="2579" w:right="199"/>
        <w:jc w:val="both"/>
      </w:pPr>
      <w:r>
        <w:rPr/>
        <w:t>本公司在收到保险金给付申请书及上述完整齐全的有关证明和资料之日起 60 日内，对属于保险责任而给付保险金的数额不能确定的，根据已有证明和资料，按可以确定的数额先予以支付；本公司最终确定给付保险金的数额后，给付相应的差额。</w:t>
      </w:r>
    </w:p>
    <w:p>
      <w:pPr>
        <w:pStyle w:val="ListParagraph"/>
        <w:numPr>
          <w:ilvl w:val="1"/>
          <w:numId w:val="7"/>
        </w:numPr>
        <w:tabs>
          <w:tab w:pos="949" w:val="left" w:leader="none"/>
          <w:tab w:pos="950" w:val="left" w:leader="none"/>
          <w:tab w:pos="2579" w:val="left" w:leader="none"/>
        </w:tabs>
        <w:spacing w:line="256" w:lineRule="auto" w:before="128" w:after="0"/>
        <w:ind w:left="2579" w:right="199" w:hanging="2369"/>
        <w:jc w:val="left"/>
        <w:rPr>
          <w:sz w:val="21"/>
        </w:rPr>
      </w:pPr>
      <w:r>
        <w:rPr>
          <w:rFonts w:ascii="微软雅黑" w:eastAsia="微软雅黑" w:hint="eastAsia"/>
          <w:b/>
          <w:sz w:val="21"/>
        </w:rPr>
        <w:t>宣告死亡处理</w:t>
        <w:tab/>
      </w:r>
      <w:r>
        <w:rPr>
          <w:position w:val="2"/>
          <w:sz w:val="21"/>
        </w:rPr>
        <w:t>如果被保险人在本附加险合同有效期内下落不明，后经人民法院宣告死亡的，本 </w:t>
      </w:r>
      <w:r>
        <w:rPr>
          <w:sz w:val="21"/>
        </w:rPr>
        <w:t>公司</w:t>
      </w:r>
      <w:r>
        <w:rPr>
          <w:spacing w:val="-3"/>
          <w:sz w:val="21"/>
        </w:rPr>
        <w:t>以</w:t>
      </w:r>
      <w:r>
        <w:rPr>
          <w:sz w:val="21"/>
        </w:rPr>
        <w:t>判</w:t>
      </w:r>
      <w:r>
        <w:rPr>
          <w:spacing w:val="-3"/>
          <w:sz w:val="21"/>
        </w:rPr>
        <w:t>决</w:t>
      </w:r>
      <w:r>
        <w:rPr>
          <w:sz w:val="21"/>
        </w:rPr>
        <w:t>书</w:t>
      </w:r>
      <w:r>
        <w:rPr>
          <w:spacing w:val="-3"/>
          <w:sz w:val="21"/>
        </w:rPr>
        <w:t>生</w:t>
      </w:r>
      <w:r>
        <w:rPr>
          <w:sz w:val="21"/>
        </w:rPr>
        <w:t>效</w:t>
      </w:r>
      <w:r>
        <w:rPr>
          <w:spacing w:val="-3"/>
          <w:sz w:val="21"/>
        </w:rPr>
        <w:t>之</w:t>
      </w:r>
      <w:r>
        <w:rPr>
          <w:sz w:val="21"/>
        </w:rPr>
        <w:t>日</w:t>
      </w:r>
      <w:r>
        <w:rPr>
          <w:spacing w:val="-3"/>
          <w:sz w:val="21"/>
        </w:rPr>
        <w:t>为</w:t>
      </w:r>
      <w:r>
        <w:rPr>
          <w:sz w:val="21"/>
        </w:rPr>
        <w:t>准，</w:t>
      </w:r>
      <w:r>
        <w:rPr>
          <w:spacing w:val="-3"/>
          <w:sz w:val="21"/>
        </w:rPr>
        <w:t>按</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的</w:t>
      </w:r>
      <w:r>
        <w:rPr>
          <w:spacing w:val="-3"/>
          <w:sz w:val="21"/>
        </w:rPr>
        <w:t>约</w:t>
      </w:r>
      <w:r>
        <w:rPr>
          <w:sz w:val="21"/>
        </w:rPr>
        <w:t>定给</w:t>
      </w:r>
      <w:r>
        <w:rPr>
          <w:spacing w:val="-3"/>
          <w:sz w:val="21"/>
        </w:rPr>
        <w:t>付</w:t>
      </w:r>
      <w:r>
        <w:rPr>
          <w:sz w:val="21"/>
        </w:rPr>
        <w:t>身</w:t>
      </w:r>
      <w:r>
        <w:rPr>
          <w:spacing w:val="-3"/>
          <w:sz w:val="21"/>
        </w:rPr>
        <w:t>故</w:t>
      </w:r>
      <w:r>
        <w:rPr>
          <w:sz w:val="21"/>
        </w:rPr>
        <w:t>保</w:t>
      </w:r>
      <w:r>
        <w:rPr>
          <w:spacing w:val="-3"/>
          <w:sz w:val="21"/>
        </w:rPr>
        <w:t>险</w:t>
      </w:r>
      <w:r>
        <w:rPr>
          <w:sz w:val="21"/>
        </w:rPr>
        <w:t>金。</w:t>
      </w:r>
    </w:p>
    <w:p>
      <w:pPr>
        <w:pStyle w:val="BodyText"/>
        <w:spacing w:line="300" w:lineRule="auto"/>
        <w:ind w:left="2579" w:right="199"/>
        <w:jc w:val="both"/>
      </w:pPr>
      <w:r>
        <w:rPr/>
        <w:t>如果被保险人在宣告死亡后生还，身故保险金受益人应于知道或应当知道被保险人生还后 30 日内向本公司退还已给付的保险金。</w:t>
      </w:r>
    </w:p>
    <w:p>
      <w:pPr>
        <w:pStyle w:val="BodyText"/>
        <w:spacing w:before="8"/>
        <w:rPr>
          <w:sz w:val="10"/>
        </w:rPr>
      </w:pPr>
    </w:p>
    <w:p>
      <w:pPr>
        <w:spacing w:after="0"/>
        <w:rPr>
          <w:sz w:val="10"/>
        </w:rPr>
        <w:sectPr>
          <w:pgSz w:w="11900" w:h="16840"/>
          <w:pgMar w:header="0" w:footer="461" w:top="1280" w:bottom="660" w:left="860" w:right="860"/>
        </w:sectPr>
      </w:pPr>
    </w:p>
    <w:p>
      <w:pPr>
        <w:pStyle w:val="Heading3"/>
        <w:numPr>
          <w:ilvl w:val="1"/>
          <w:numId w:val="7"/>
        </w:numPr>
        <w:tabs>
          <w:tab w:pos="949" w:val="left" w:leader="none"/>
          <w:tab w:pos="950" w:val="left" w:leader="none"/>
        </w:tabs>
        <w:spacing w:line="247" w:lineRule="auto" w:before="0" w:after="0"/>
        <w:ind w:left="949" w:right="0" w:hanging="739"/>
        <w:jc w:val="left"/>
      </w:pPr>
      <w:r>
        <w:rPr/>
        <w:t>保险金申请时效</w:t>
      </w:r>
    </w:p>
    <w:p>
      <w:pPr>
        <w:pStyle w:val="BodyText"/>
        <w:spacing w:line="300" w:lineRule="auto" w:before="37"/>
        <w:ind w:left="210" w:right="199"/>
      </w:pPr>
      <w:r>
        <w:rPr/>
        <w:br w:type="column"/>
      </w:r>
      <w:r>
        <w:rPr/>
        <w:t>被保险人或者受益人向本公司请求给付保险金的诉讼时效期间为二年，自其知道或者应当知道保险事故发生之日起计算。</w:t>
      </w:r>
    </w:p>
    <w:p>
      <w:pPr>
        <w:spacing w:after="0" w:line="300" w:lineRule="auto"/>
        <w:sectPr>
          <w:type w:val="continuous"/>
          <w:pgSz w:w="11900" w:h="16840"/>
          <w:pgMar w:top="1380" w:bottom="280" w:left="860" w:right="860"/>
          <w:cols w:num="2" w:equalWidth="0">
            <w:col w:w="2217" w:space="152"/>
            <w:col w:w="7811"/>
          </w:cols>
        </w:sectPr>
      </w:pPr>
    </w:p>
    <w:p>
      <w:pPr>
        <w:pStyle w:val="BodyText"/>
        <w:spacing w:before="5"/>
        <w:rPr>
          <w:sz w:val="20"/>
        </w:rPr>
      </w:pPr>
    </w:p>
    <w:p>
      <w:pPr>
        <w:pStyle w:val="Heading2"/>
        <w:numPr>
          <w:ilvl w:val="0"/>
          <w:numId w:val="7"/>
        </w:numPr>
        <w:tabs>
          <w:tab w:pos="949" w:val="left" w:leader="none"/>
          <w:tab w:pos="950" w:val="left" w:leader="none"/>
        </w:tabs>
        <w:spacing w:line="460" w:lineRule="exact" w:before="0" w:after="0"/>
        <w:ind w:left="949" w:right="0" w:hanging="689"/>
        <w:jc w:val="left"/>
        <w:rPr>
          <w:sz w:val="32"/>
        </w:rPr>
      </w:pPr>
      <w:r>
        <w:rPr/>
        <w:pict>
          <v:group style="position:absolute;margin-left:48.119999pt;margin-top:28.690512pt;width:498.5pt;height:.5pt;mso-position-horizontal-relative:page;mso-position-vertical-relative:paragraph;z-index:1144;mso-wrap-distance-left:0;mso-wrap-distance-right:0" coordorigin="962,574" coordsize="9970,10">
            <v:line style="position:absolute" from="962,579" to="1694,579" stroked="true" strokeweight=".48pt" strokecolor="#000000">
              <v:stroke dashstyle="solid"/>
            </v:line>
            <v:rect style="position:absolute;left:1694;top:573;width:10;height:10" filled="true" fillcolor="#000000" stroked="false">
              <v:fill type="solid"/>
            </v:rect>
            <v:line style="position:absolute" from="1704,579" to="3324,579" stroked="true" strokeweight=".48pt" strokecolor="#000000">
              <v:stroke dashstyle="solid"/>
            </v:line>
            <v:rect style="position:absolute;left:3324;top:573;width:10;height:10" filled="true" fillcolor="#000000" stroked="false">
              <v:fill type="solid"/>
            </v:rect>
            <v:line style="position:absolute" from="3334,579" to="10932,579" stroked="true" strokeweight=".48pt" strokecolor="#000000">
              <v:stroke dashstyle="solid"/>
            </v:line>
            <w10:wrap type="topAndBottom"/>
          </v:group>
        </w:pict>
      </w:r>
      <w:r>
        <w:rPr/>
        <w:t>如何交纳保险费</w:t>
      </w:r>
    </w:p>
    <w:p>
      <w:pPr>
        <w:pStyle w:val="BodyText"/>
        <w:spacing w:before="16"/>
        <w:rPr>
          <w:rFonts w:ascii="微软雅黑"/>
          <w:b/>
          <w:sz w:val="4"/>
        </w:rPr>
      </w:pPr>
    </w:p>
    <w:p>
      <w:pPr>
        <w:pStyle w:val="ListParagraph"/>
        <w:numPr>
          <w:ilvl w:val="1"/>
          <w:numId w:val="8"/>
        </w:numPr>
        <w:tabs>
          <w:tab w:pos="949" w:val="left" w:leader="none"/>
          <w:tab w:pos="950" w:val="left" w:leader="none"/>
          <w:tab w:pos="2579" w:val="left" w:leader="none"/>
        </w:tabs>
        <w:spacing w:line="256" w:lineRule="auto" w:before="0" w:after="0"/>
        <w:ind w:left="2579" w:right="199" w:hanging="2369"/>
        <w:jc w:val="left"/>
        <w:rPr>
          <w:sz w:val="21"/>
        </w:rPr>
      </w:pPr>
      <w:r>
        <w:rPr>
          <w:rFonts w:ascii="微软雅黑" w:eastAsia="微软雅黑" w:hint="eastAsia"/>
          <w:b/>
          <w:sz w:val="21"/>
        </w:rPr>
        <w:t>保险费</w:t>
        <w:tab/>
      </w:r>
      <w:r>
        <w:rPr>
          <w:position w:val="2"/>
          <w:sz w:val="21"/>
        </w:rPr>
        <w:t>本附加险合同的保险费采取一次性交付或年交方式，交费方式和交费期限由投保 </w:t>
      </w:r>
      <w:r>
        <w:rPr>
          <w:sz w:val="21"/>
        </w:rPr>
        <w:t>人和</w:t>
      </w:r>
      <w:r>
        <w:rPr>
          <w:spacing w:val="-3"/>
          <w:sz w:val="21"/>
        </w:rPr>
        <w:t>本</w:t>
      </w:r>
      <w:r>
        <w:rPr>
          <w:sz w:val="21"/>
        </w:rPr>
        <w:t>公</w:t>
      </w:r>
      <w:r>
        <w:rPr>
          <w:spacing w:val="-3"/>
          <w:sz w:val="21"/>
        </w:rPr>
        <w:t>司</w:t>
      </w:r>
      <w:r>
        <w:rPr>
          <w:sz w:val="21"/>
        </w:rPr>
        <w:t>约</w:t>
      </w:r>
      <w:r>
        <w:rPr>
          <w:spacing w:val="-3"/>
          <w:sz w:val="21"/>
        </w:rPr>
        <w:t>定</w:t>
      </w:r>
      <w:r>
        <w:rPr>
          <w:sz w:val="21"/>
        </w:rPr>
        <w:t>并</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before="63"/>
        <w:ind w:left="2579"/>
      </w:pPr>
      <w:r>
        <w:rPr/>
        <w:t>在交纳首期保险费后，投保人应当在每个保险费应交日交纳其余各期的保险费。</w:t>
      </w:r>
    </w:p>
    <w:p>
      <w:pPr>
        <w:pStyle w:val="BodyText"/>
        <w:spacing w:before="9"/>
        <w:rPr>
          <w:sz w:val="14"/>
        </w:rPr>
      </w:pPr>
    </w:p>
    <w:p>
      <w:pPr>
        <w:spacing w:after="0"/>
        <w:rPr>
          <w:sz w:val="14"/>
        </w:rPr>
        <w:sectPr>
          <w:type w:val="continuous"/>
          <w:pgSz w:w="11900" w:h="16840"/>
          <w:pgMar w:top="1380" w:bottom="280" w:left="860" w:right="860"/>
        </w:sectPr>
      </w:pPr>
    </w:p>
    <w:p>
      <w:pPr>
        <w:pStyle w:val="Heading3"/>
        <w:numPr>
          <w:ilvl w:val="1"/>
          <w:numId w:val="8"/>
        </w:numPr>
        <w:tabs>
          <w:tab w:pos="949" w:val="left" w:leader="none"/>
          <w:tab w:pos="950" w:val="left" w:leader="none"/>
        </w:tabs>
        <w:spacing w:line="247" w:lineRule="auto" w:before="0" w:after="0"/>
        <w:ind w:left="949" w:right="0" w:hanging="739"/>
        <w:jc w:val="left"/>
      </w:pPr>
      <w:r>
        <w:rPr/>
        <w:t>保险费率的调整</w:t>
      </w:r>
    </w:p>
    <w:p>
      <w:pPr>
        <w:pStyle w:val="BodyText"/>
        <w:spacing w:line="300" w:lineRule="auto" w:before="37"/>
        <w:ind w:left="210" w:right="199"/>
        <w:jc w:val="both"/>
      </w:pPr>
      <w:r>
        <w:rPr/>
        <w:br w:type="column"/>
      </w:r>
      <w:r>
        <w:rPr/>
        <w:t>在本附加险合同保险责任有效期内，本公司有权于每个保单周年日调整本附加险合同的保险费率。保险费率的调整适用于所有被保险人或同一投保年龄和性别的</w:t>
      </w:r>
      <w:r>
        <w:rPr>
          <w:spacing w:val="-9"/>
        </w:rPr>
        <w:t>所有被保险人，但本公司须在费率调整生效日前 </w:t>
      </w:r>
      <w:r>
        <w:rPr/>
        <w:t>30</w:t>
      </w:r>
      <w:r>
        <w:rPr>
          <w:spacing w:val="-10"/>
        </w:rPr>
        <w:t> 日书面通知投保人。本公司进行保险费率调整后，投保人须自调整后的第一个保单周年日起，按照调整后的保</w:t>
      </w:r>
      <w:r>
        <w:rPr>
          <w:spacing w:val="-5"/>
        </w:rPr>
        <w:t>险费率交纳本附加险合同相应的保险费。</w:t>
      </w:r>
    </w:p>
    <w:p>
      <w:pPr>
        <w:spacing w:after="0" w:line="300" w:lineRule="auto"/>
        <w:jc w:val="both"/>
        <w:sectPr>
          <w:type w:val="continuous"/>
          <w:pgSz w:w="11900" w:h="16840"/>
          <w:pgMar w:top="1380" w:bottom="280" w:left="860" w:right="860"/>
          <w:cols w:num="2" w:equalWidth="0">
            <w:col w:w="2217" w:space="152"/>
            <w:col w:w="7811"/>
          </w:cols>
        </w:sectPr>
      </w:pPr>
    </w:p>
    <w:p>
      <w:pPr>
        <w:pStyle w:val="BodyText"/>
        <w:spacing w:before="9"/>
        <w:rPr>
          <w:sz w:val="10"/>
        </w:rPr>
      </w:pPr>
    </w:p>
    <w:p>
      <w:pPr>
        <w:pStyle w:val="ListParagraph"/>
        <w:numPr>
          <w:ilvl w:val="1"/>
          <w:numId w:val="8"/>
        </w:numPr>
        <w:tabs>
          <w:tab w:pos="949" w:val="left" w:leader="none"/>
          <w:tab w:pos="950" w:val="left" w:leader="none"/>
          <w:tab w:pos="2579" w:val="left" w:leader="none"/>
        </w:tabs>
        <w:spacing w:line="256" w:lineRule="auto" w:before="0" w:after="0"/>
        <w:ind w:left="2579" w:right="199" w:hanging="2369"/>
        <w:jc w:val="left"/>
        <w:rPr>
          <w:sz w:val="21"/>
        </w:rPr>
      </w:pPr>
      <w:r>
        <w:rPr>
          <w:rFonts w:ascii="微软雅黑" w:eastAsia="微软雅黑" w:hint="eastAsia"/>
          <w:b/>
          <w:sz w:val="21"/>
        </w:rPr>
        <w:t>宽限期</w:t>
        <w:tab/>
      </w:r>
      <w:r>
        <w:rPr>
          <w:position w:val="2"/>
          <w:sz w:val="21"/>
        </w:rPr>
        <w:t>如果</w:t>
      </w:r>
      <w:r>
        <w:rPr>
          <w:spacing w:val="-3"/>
          <w:position w:val="2"/>
          <w:sz w:val="21"/>
        </w:rPr>
        <w:t>投</w:t>
      </w:r>
      <w:r>
        <w:rPr>
          <w:position w:val="2"/>
          <w:sz w:val="21"/>
        </w:rPr>
        <w:t>保</w:t>
      </w:r>
      <w:r>
        <w:rPr>
          <w:spacing w:val="-3"/>
          <w:position w:val="2"/>
          <w:sz w:val="21"/>
        </w:rPr>
        <w:t>人</w:t>
      </w:r>
      <w:r>
        <w:rPr>
          <w:position w:val="2"/>
          <w:sz w:val="21"/>
        </w:rPr>
        <w:t>到</w:t>
      </w:r>
      <w:r>
        <w:rPr>
          <w:spacing w:val="-3"/>
          <w:position w:val="2"/>
          <w:sz w:val="21"/>
        </w:rPr>
        <w:t>期</w:t>
      </w:r>
      <w:r>
        <w:rPr>
          <w:position w:val="2"/>
          <w:sz w:val="21"/>
        </w:rPr>
        <w:t>未</w:t>
      </w:r>
      <w:r>
        <w:rPr>
          <w:spacing w:val="-3"/>
          <w:position w:val="2"/>
          <w:sz w:val="21"/>
        </w:rPr>
        <w:t>交</w:t>
      </w:r>
      <w:r>
        <w:rPr>
          <w:position w:val="2"/>
          <w:sz w:val="21"/>
        </w:rPr>
        <w:t>纳</w:t>
      </w:r>
      <w:r>
        <w:rPr>
          <w:spacing w:val="-3"/>
          <w:position w:val="2"/>
          <w:sz w:val="21"/>
        </w:rPr>
        <w:t>保</w:t>
      </w:r>
      <w:r>
        <w:rPr>
          <w:position w:val="2"/>
          <w:sz w:val="21"/>
        </w:rPr>
        <w:t>险费</w:t>
      </w:r>
      <w:r>
        <w:rPr>
          <w:spacing w:val="-34"/>
          <w:position w:val="2"/>
          <w:sz w:val="21"/>
        </w:rPr>
        <w:t>，</w:t>
      </w:r>
      <w:r>
        <w:rPr>
          <w:position w:val="2"/>
          <w:sz w:val="21"/>
        </w:rPr>
        <w:t>自</w:t>
      </w:r>
      <w:r>
        <w:rPr>
          <w:spacing w:val="-3"/>
          <w:position w:val="2"/>
          <w:sz w:val="21"/>
        </w:rPr>
        <w:t>保</w:t>
      </w:r>
      <w:r>
        <w:rPr>
          <w:position w:val="2"/>
          <w:sz w:val="21"/>
        </w:rPr>
        <w:t>险</w:t>
      </w:r>
      <w:r>
        <w:rPr>
          <w:spacing w:val="-3"/>
          <w:position w:val="2"/>
          <w:sz w:val="21"/>
        </w:rPr>
        <w:t>费</w:t>
      </w:r>
      <w:r>
        <w:rPr>
          <w:position w:val="2"/>
          <w:sz w:val="21"/>
        </w:rPr>
        <w:t>应</w:t>
      </w:r>
      <w:r>
        <w:rPr>
          <w:spacing w:val="-3"/>
          <w:position w:val="2"/>
          <w:sz w:val="21"/>
        </w:rPr>
        <w:t>交</w:t>
      </w:r>
      <w:r>
        <w:rPr>
          <w:position w:val="2"/>
          <w:sz w:val="21"/>
        </w:rPr>
        <w:t>日</w:t>
      </w:r>
      <w:r>
        <w:rPr>
          <w:spacing w:val="-3"/>
          <w:position w:val="2"/>
          <w:sz w:val="21"/>
        </w:rPr>
        <w:t>的</w:t>
      </w:r>
      <w:r>
        <w:rPr>
          <w:position w:val="2"/>
          <w:sz w:val="21"/>
        </w:rPr>
        <w:t>次</w:t>
      </w:r>
      <w:r>
        <w:rPr>
          <w:spacing w:val="-3"/>
          <w:position w:val="2"/>
          <w:sz w:val="21"/>
        </w:rPr>
        <w:t>日</w:t>
      </w:r>
      <w:r>
        <w:rPr>
          <w:position w:val="2"/>
          <w:sz w:val="21"/>
        </w:rPr>
        <w:t>起</w:t>
      </w:r>
      <w:r>
        <w:rPr>
          <w:spacing w:val="-34"/>
          <w:position w:val="2"/>
          <w:sz w:val="21"/>
        </w:rPr>
        <w:t> </w:t>
      </w:r>
      <w:r>
        <w:rPr>
          <w:position w:val="2"/>
          <w:sz w:val="21"/>
        </w:rPr>
        <w:t>60</w:t>
      </w:r>
      <w:r>
        <w:rPr>
          <w:spacing w:val="-37"/>
          <w:position w:val="2"/>
          <w:sz w:val="21"/>
        </w:rPr>
        <w:t> </w:t>
      </w:r>
      <w:r>
        <w:rPr>
          <w:position w:val="2"/>
          <w:sz w:val="21"/>
        </w:rPr>
        <w:t>日</w:t>
      </w:r>
      <w:r>
        <w:rPr>
          <w:spacing w:val="-3"/>
          <w:position w:val="2"/>
          <w:sz w:val="21"/>
        </w:rPr>
        <w:t>为</w:t>
      </w:r>
      <w:r>
        <w:rPr>
          <w:position w:val="2"/>
          <w:sz w:val="21"/>
        </w:rPr>
        <w:t>宽</w:t>
      </w:r>
      <w:r>
        <w:rPr>
          <w:spacing w:val="-3"/>
          <w:position w:val="2"/>
          <w:sz w:val="21"/>
        </w:rPr>
        <w:t>限</w:t>
      </w:r>
      <w:r>
        <w:rPr>
          <w:position w:val="2"/>
          <w:sz w:val="21"/>
        </w:rPr>
        <w:t>期</w:t>
      </w:r>
      <w:r>
        <w:rPr>
          <w:spacing w:val="-32"/>
          <w:position w:val="2"/>
          <w:sz w:val="21"/>
        </w:rPr>
        <w:t>。</w:t>
      </w:r>
      <w:r>
        <w:rPr>
          <w:spacing w:val="-3"/>
          <w:position w:val="2"/>
          <w:sz w:val="21"/>
        </w:rPr>
        <w:t>宽</w:t>
      </w:r>
      <w:r>
        <w:rPr>
          <w:position w:val="2"/>
          <w:sz w:val="21"/>
        </w:rPr>
        <w:t>限期</w:t>
      </w:r>
      <w:r>
        <w:rPr>
          <w:sz w:val="21"/>
        </w:rPr>
        <w:t>内发生的保险事故，本公司仍会承担保险责任，但在给付保险金时会扣除投保人</w:t>
      </w:r>
    </w:p>
    <w:p>
      <w:pPr>
        <w:pStyle w:val="BodyText"/>
        <w:spacing w:before="62"/>
        <w:ind w:left="2579"/>
      </w:pPr>
      <w:r>
        <w:rPr/>
        <w:t>欠交的保险费。</w:t>
      </w:r>
    </w:p>
    <w:p>
      <w:pPr>
        <w:pStyle w:val="BodyText"/>
        <w:spacing w:line="300" w:lineRule="auto" w:before="67"/>
        <w:ind w:left="2579" w:right="199"/>
      </w:pPr>
      <w:r>
        <w:rPr/>
        <w:t>如果宽限期结束之后投保人仍未交纳保险费，则本附加险合同自宽限期满的次日零时起中止，但本附加险合同另有约定的除外。</w:t>
      </w:r>
    </w:p>
    <w:p>
      <w:pPr>
        <w:pStyle w:val="Heading2"/>
        <w:numPr>
          <w:ilvl w:val="0"/>
          <w:numId w:val="8"/>
        </w:numPr>
        <w:tabs>
          <w:tab w:pos="949" w:val="left" w:leader="none"/>
          <w:tab w:pos="950" w:val="left" w:leader="none"/>
        </w:tabs>
        <w:spacing w:line="240" w:lineRule="auto" w:before="128" w:after="0"/>
        <w:ind w:left="949" w:right="0" w:hanging="689"/>
        <w:jc w:val="left"/>
        <w:rPr>
          <w:sz w:val="32"/>
        </w:rPr>
      </w:pPr>
      <w:r>
        <w:rPr/>
        <w:pict>
          <v:group style="position:absolute;margin-left:48.119999pt;margin-top:39.745823pt;width:498.5pt;height:.5pt;mso-position-horizontal-relative:page;mso-position-vertical-relative:paragraph;z-index:1168;mso-wrap-distance-left:0;mso-wrap-distance-right:0" coordorigin="962,795" coordsize="9970,10">
            <v:line style="position:absolute" from="962,800" to="1694,800" stroked="true" strokeweight=".48pt" strokecolor="#000000">
              <v:stroke dashstyle="solid"/>
            </v:line>
            <v:rect style="position:absolute;left:1694;top:794;width:10;height:10" filled="true" fillcolor="#000000" stroked="false">
              <v:fill type="solid"/>
            </v:rect>
            <v:line style="position:absolute" from="1704,800" to="3324,800" stroked="true" strokeweight=".48pt" strokecolor="#000000">
              <v:stroke dashstyle="solid"/>
            </v:line>
            <v:rect style="position:absolute;left:3324;top:794;width:10;height:10" filled="true" fillcolor="#000000" stroked="false">
              <v:fill type="solid"/>
            </v:rect>
            <v:line style="position:absolute" from="3334,800" to="10932,800" stroked="true" strokeweight=".48pt" strokecolor="#000000">
              <v:stroke dashstyle="solid"/>
            </v:line>
            <w10:wrap type="topAndBottom"/>
          </v:group>
        </w:pict>
      </w:r>
      <w:r>
        <w:rPr/>
        <w:t>现金价值权益</w:t>
      </w:r>
    </w:p>
    <w:p>
      <w:pPr>
        <w:pStyle w:val="BodyText"/>
        <w:spacing w:before="1"/>
        <w:rPr>
          <w:rFonts w:ascii="微软雅黑"/>
          <w:b/>
          <w:sz w:val="5"/>
        </w:rPr>
      </w:pPr>
    </w:p>
    <w:p>
      <w:pPr>
        <w:pStyle w:val="ListParagraph"/>
        <w:numPr>
          <w:ilvl w:val="1"/>
          <w:numId w:val="8"/>
        </w:numPr>
        <w:tabs>
          <w:tab w:pos="949" w:val="left" w:leader="none"/>
          <w:tab w:pos="950" w:val="left" w:leader="none"/>
          <w:tab w:pos="2579" w:val="left" w:leader="none"/>
        </w:tabs>
        <w:spacing w:line="256" w:lineRule="auto" w:before="0" w:after="0"/>
        <w:ind w:left="2579" w:right="199" w:hanging="2369"/>
        <w:jc w:val="left"/>
        <w:rPr>
          <w:sz w:val="21"/>
        </w:rPr>
      </w:pPr>
      <w:r>
        <w:rPr>
          <w:rFonts w:ascii="微软雅黑" w:eastAsia="微软雅黑" w:hint="eastAsia"/>
          <w:b/>
          <w:sz w:val="21"/>
        </w:rPr>
        <w:t>现金价值</w:t>
        <w:tab/>
      </w:r>
      <w:r>
        <w:rPr>
          <w:position w:val="2"/>
          <w:sz w:val="21"/>
        </w:rPr>
        <w:t>本附加险合同保单年度末的保证现金价值会在保险单上载明。保单年度内保证现 </w:t>
      </w:r>
      <w:r>
        <w:rPr>
          <w:sz w:val="21"/>
        </w:rPr>
        <w:t>金价值的金额基于保单年度末金额根据合理的方法计算而得，投保人可以向本公</w:t>
      </w:r>
    </w:p>
    <w:p>
      <w:pPr>
        <w:pStyle w:val="BodyText"/>
        <w:spacing w:before="62"/>
        <w:ind w:left="2579"/>
      </w:pPr>
      <w:r>
        <w:rPr/>
        <w:t>司咨询。</w:t>
      </w:r>
    </w:p>
    <w:p>
      <w:pPr>
        <w:pStyle w:val="BodyText"/>
        <w:spacing w:before="8"/>
        <w:rPr>
          <w:sz w:val="14"/>
        </w:rPr>
      </w:pPr>
    </w:p>
    <w:p>
      <w:pPr>
        <w:spacing w:after="0"/>
        <w:rPr>
          <w:sz w:val="14"/>
        </w:rPr>
        <w:sectPr>
          <w:type w:val="continuous"/>
          <w:pgSz w:w="11900" w:h="16840"/>
          <w:pgMar w:top="1380" w:bottom="280" w:left="860" w:right="860"/>
        </w:sectPr>
      </w:pPr>
    </w:p>
    <w:p>
      <w:pPr>
        <w:pStyle w:val="Heading3"/>
        <w:numPr>
          <w:ilvl w:val="1"/>
          <w:numId w:val="8"/>
        </w:numPr>
        <w:tabs>
          <w:tab w:pos="949" w:val="left" w:leader="none"/>
          <w:tab w:pos="950" w:val="left" w:leader="none"/>
        </w:tabs>
        <w:spacing w:line="247" w:lineRule="auto" w:before="0" w:after="0"/>
        <w:ind w:left="949" w:right="0" w:hanging="739"/>
        <w:jc w:val="left"/>
      </w:pPr>
      <w:r>
        <w:rPr/>
        <w:t>自动贷款垫交保险费</w:t>
      </w:r>
    </w:p>
    <w:p>
      <w:pPr>
        <w:pStyle w:val="BodyText"/>
        <w:spacing w:line="300" w:lineRule="auto" w:before="37"/>
        <w:ind w:left="210" w:right="199" w:hanging="1"/>
        <w:jc w:val="both"/>
      </w:pPr>
      <w:r>
        <w:rPr/>
        <w:br w:type="column"/>
      </w:r>
      <w:r>
        <w:rPr/>
        <w:t>在本附加险合同有效期内，在扣除保险合同贷款及贷款利息后，若本附加险合同当时的现金价值的净额足以垫交应交保险费，本公司将自动贷款垫交保险费，使本附加险合同继续有效。</w:t>
      </w:r>
    </w:p>
    <w:p>
      <w:pPr>
        <w:pStyle w:val="BodyText"/>
        <w:spacing w:line="300" w:lineRule="auto" w:before="15"/>
        <w:ind w:left="210" w:right="199" w:hanging="1"/>
        <w:jc w:val="both"/>
      </w:pPr>
      <w:r>
        <w:rPr/>
        <w:t>若本附加险合同当时的现金价值净额不足以垫交当时到期的月交保险费，本附加险合同即中止。但本条款 6.2 条有关合同效力恢复的规定仍然适用。</w:t>
      </w:r>
    </w:p>
    <w:p>
      <w:pPr>
        <w:spacing w:after="0" w:line="300" w:lineRule="auto"/>
        <w:jc w:val="both"/>
        <w:sectPr>
          <w:type w:val="continuous"/>
          <w:pgSz w:w="11900" w:h="16840"/>
          <w:pgMar w:top="1380" w:bottom="280" w:left="860" w:right="860"/>
          <w:cols w:num="2" w:equalWidth="0">
            <w:col w:w="2217" w:space="152"/>
            <w:col w:w="7811"/>
          </w:cols>
        </w:sectPr>
      </w:pPr>
    </w:p>
    <w:p>
      <w:pPr>
        <w:pStyle w:val="BodyText"/>
        <w:spacing w:before="12"/>
        <w:rPr>
          <w:sz w:val="16"/>
        </w:rPr>
      </w:pPr>
    </w:p>
    <w:p>
      <w:pPr>
        <w:pStyle w:val="Heading2"/>
        <w:numPr>
          <w:ilvl w:val="0"/>
          <w:numId w:val="8"/>
        </w:numPr>
        <w:tabs>
          <w:tab w:pos="949" w:val="left" w:leader="none"/>
          <w:tab w:pos="950" w:val="left" w:leader="none"/>
        </w:tabs>
        <w:spacing w:line="460" w:lineRule="exact" w:before="0" w:after="0"/>
        <w:ind w:left="949" w:right="0" w:hanging="689"/>
        <w:jc w:val="left"/>
        <w:rPr>
          <w:sz w:val="32"/>
        </w:rPr>
      </w:pPr>
      <w:r>
        <w:rPr/>
        <w:pict>
          <v:group style="position:absolute;margin-left:48.119999pt;margin-top:28.715628pt;width:498.5pt;height:.5pt;mso-position-horizontal-relative:page;mso-position-vertical-relative:paragraph;z-index:1192;mso-wrap-distance-left:0;mso-wrap-distance-right:0" coordorigin="962,574" coordsize="9970,10">
            <v:line style="position:absolute" from="962,579" to="1694,579" stroked="true" strokeweight=".48pt" strokecolor="#000000">
              <v:stroke dashstyle="solid"/>
            </v:line>
            <v:rect style="position:absolute;left:1694;top:574;width:10;height:10" filled="true" fillcolor="#000000" stroked="false">
              <v:fill type="solid"/>
            </v:rect>
            <v:line style="position:absolute" from="1704,579" to="3324,579" stroked="true" strokeweight=".48pt" strokecolor="#000000">
              <v:stroke dashstyle="solid"/>
            </v:line>
            <v:rect style="position:absolute;left:3324;top:574;width:10;height:10" filled="true" fillcolor="#000000" stroked="false">
              <v:fill type="solid"/>
            </v:rect>
            <v:line style="position:absolute" from="3334,579" to="10932,579" stroked="true" strokeweight=".48pt" strokecolor="#000000">
              <v:stroke dashstyle="solid"/>
            </v:line>
            <w10:wrap type="topAndBottom"/>
          </v:group>
        </w:pict>
      </w:r>
      <w:r>
        <w:rPr/>
        <w:t>合同效力的中止及恢复</w:t>
      </w:r>
    </w:p>
    <w:p>
      <w:pPr>
        <w:spacing w:after="0" w:line="460" w:lineRule="exact"/>
        <w:jc w:val="left"/>
        <w:rPr>
          <w:sz w:val="32"/>
        </w:rPr>
        <w:sectPr>
          <w:type w:val="continuous"/>
          <w:pgSz w:w="11900" w:h="16840"/>
          <w:pgMar w:top="1380" w:bottom="280" w:left="860" w:right="860"/>
        </w:sectPr>
      </w:pPr>
    </w:p>
    <w:p>
      <w:pPr>
        <w:pStyle w:val="ListParagraph"/>
        <w:numPr>
          <w:ilvl w:val="1"/>
          <w:numId w:val="8"/>
        </w:numPr>
        <w:tabs>
          <w:tab w:pos="949" w:val="left" w:leader="none"/>
          <w:tab w:pos="950" w:val="left" w:leader="none"/>
          <w:tab w:pos="2579" w:val="left" w:leader="none"/>
        </w:tabs>
        <w:spacing w:line="340" w:lineRule="exact" w:before="0" w:after="0"/>
        <w:ind w:left="2579" w:right="0" w:hanging="2369"/>
        <w:jc w:val="left"/>
        <w:rPr>
          <w:sz w:val="21"/>
        </w:rPr>
      </w:pPr>
      <w:r>
        <w:rPr>
          <w:rFonts w:ascii="微软雅黑" w:eastAsia="微软雅黑" w:hint="eastAsia"/>
          <w:b/>
          <w:sz w:val="21"/>
        </w:rPr>
        <w:t>效力中止</w:t>
        <w:tab/>
      </w:r>
      <w:r>
        <w:rPr>
          <w:position w:val="2"/>
          <w:sz w:val="21"/>
        </w:rPr>
        <w:t>在本</w:t>
      </w:r>
      <w:r>
        <w:rPr>
          <w:spacing w:val="-3"/>
          <w:position w:val="2"/>
          <w:sz w:val="21"/>
        </w:rPr>
        <w:t>附</w:t>
      </w:r>
      <w:r>
        <w:rPr>
          <w:position w:val="2"/>
          <w:sz w:val="21"/>
        </w:rPr>
        <w:t>加</w:t>
      </w:r>
      <w:r>
        <w:rPr>
          <w:spacing w:val="-3"/>
          <w:position w:val="2"/>
          <w:sz w:val="21"/>
        </w:rPr>
        <w:t>险</w:t>
      </w:r>
      <w:r>
        <w:rPr>
          <w:position w:val="2"/>
          <w:sz w:val="21"/>
        </w:rPr>
        <w:t>合</w:t>
      </w:r>
      <w:r>
        <w:rPr>
          <w:spacing w:val="-3"/>
          <w:position w:val="2"/>
          <w:sz w:val="21"/>
        </w:rPr>
        <w:t>同</w:t>
      </w:r>
      <w:r>
        <w:rPr>
          <w:position w:val="2"/>
          <w:sz w:val="21"/>
        </w:rPr>
        <w:t>效</w:t>
      </w:r>
      <w:r>
        <w:rPr>
          <w:spacing w:val="-3"/>
          <w:position w:val="2"/>
          <w:sz w:val="21"/>
        </w:rPr>
        <w:t>力</w:t>
      </w:r>
      <w:r>
        <w:rPr>
          <w:position w:val="2"/>
          <w:sz w:val="21"/>
        </w:rPr>
        <w:t>中</w:t>
      </w:r>
      <w:r>
        <w:rPr>
          <w:spacing w:val="-3"/>
          <w:position w:val="2"/>
          <w:sz w:val="21"/>
        </w:rPr>
        <w:t>止</w:t>
      </w:r>
      <w:r>
        <w:rPr>
          <w:position w:val="2"/>
          <w:sz w:val="21"/>
        </w:rPr>
        <w:t>期间</w:t>
      </w:r>
      <w:r>
        <w:rPr>
          <w:spacing w:val="-3"/>
          <w:position w:val="2"/>
          <w:sz w:val="21"/>
        </w:rPr>
        <w:t>，</w:t>
      </w:r>
      <w:r>
        <w:rPr>
          <w:position w:val="2"/>
          <w:sz w:val="21"/>
        </w:rPr>
        <w:t>本</w:t>
      </w:r>
      <w:r>
        <w:rPr>
          <w:spacing w:val="-3"/>
          <w:position w:val="2"/>
          <w:sz w:val="21"/>
        </w:rPr>
        <w:t>公</w:t>
      </w:r>
      <w:r>
        <w:rPr>
          <w:position w:val="2"/>
          <w:sz w:val="21"/>
        </w:rPr>
        <w:t>司</w:t>
      </w:r>
      <w:r>
        <w:rPr>
          <w:spacing w:val="-3"/>
          <w:position w:val="2"/>
          <w:sz w:val="21"/>
        </w:rPr>
        <w:t>不</w:t>
      </w:r>
      <w:r>
        <w:rPr>
          <w:position w:val="2"/>
          <w:sz w:val="21"/>
        </w:rPr>
        <w:t>负</w:t>
      </w:r>
      <w:r>
        <w:rPr>
          <w:spacing w:val="-3"/>
          <w:position w:val="2"/>
          <w:sz w:val="21"/>
        </w:rPr>
        <w:t>保</w:t>
      </w:r>
      <w:r>
        <w:rPr>
          <w:position w:val="2"/>
          <w:sz w:val="21"/>
        </w:rPr>
        <w:t>险</w:t>
      </w:r>
      <w:r>
        <w:rPr>
          <w:spacing w:val="-3"/>
          <w:position w:val="2"/>
          <w:sz w:val="21"/>
        </w:rPr>
        <w:t>责</w:t>
      </w:r>
      <w:r>
        <w:rPr>
          <w:position w:val="2"/>
          <w:sz w:val="21"/>
        </w:rPr>
        <w:t>任。</w:t>
      </w:r>
    </w:p>
    <w:p>
      <w:pPr>
        <w:pStyle w:val="ListParagraph"/>
        <w:numPr>
          <w:ilvl w:val="1"/>
          <w:numId w:val="8"/>
        </w:numPr>
        <w:tabs>
          <w:tab w:pos="949" w:val="left" w:leader="none"/>
          <w:tab w:pos="950" w:val="left" w:leader="none"/>
          <w:tab w:pos="2579" w:val="left" w:leader="none"/>
        </w:tabs>
        <w:spacing w:line="256" w:lineRule="auto" w:before="170" w:after="0"/>
        <w:ind w:left="2579" w:right="219" w:hanging="2369"/>
        <w:jc w:val="left"/>
        <w:rPr>
          <w:sz w:val="21"/>
        </w:rPr>
      </w:pPr>
      <w:r>
        <w:rPr>
          <w:rFonts w:ascii="微软雅黑" w:eastAsia="微软雅黑" w:hint="eastAsia"/>
          <w:b/>
          <w:sz w:val="21"/>
        </w:rPr>
        <w:t>效力恢复</w:t>
        <w:tab/>
      </w:r>
      <w:r>
        <w:rPr>
          <w:position w:val="2"/>
          <w:sz w:val="21"/>
        </w:rPr>
        <w:t>本附</w:t>
      </w:r>
      <w:r>
        <w:rPr>
          <w:spacing w:val="-3"/>
          <w:position w:val="2"/>
          <w:sz w:val="21"/>
        </w:rPr>
        <w:t>加</w:t>
      </w:r>
      <w:r>
        <w:rPr>
          <w:position w:val="2"/>
          <w:sz w:val="21"/>
        </w:rPr>
        <w:t>险</w:t>
      </w:r>
      <w:r>
        <w:rPr>
          <w:spacing w:val="-3"/>
          <w:position w:val="2"/>
          <w:sz w:val="21"/>
        </w:rPr>
        <w:t>合</w:t>
      </w:r>
      <w:r>
        <w:rPr>
          <w:position w:val="2"/>
          <w:sz w:val="21"/>
        </w:rPr>
        <w:t>同</w:t>
      </w:r>
      <w:r>
        <w:rPr>
          <w:spacing w:val="-3"/>
          <w:position w:val="2"/>
          <w:sz w:val="21"/>
        </w:rPr>
        <w:t>效</w:t>
      </w:r>
      <w:r>
        <w:rPr>
          <w:position w:val="2"/>
          <w:sz w:val="21"/>
        </w:rPr>
        <w:t>力</w:t>
      </w:r>
      <w:r>
        <w:rPr>
          <w:spacing w:val="-3"/>
          <w:position w:val="2"/>
          <w:sz w:val="21"/>
        </w:rPr>
        <w:t>中</w:t>
      </w:r>
      <w:r>
        <w:rPr>
          <w:position w:val="2"/>
          <w:sz w:val="21"/>
        </w:rPr>
        <w:t>止后</w:t>
      </w:r>
      <w:r>
        <w:rPr>
          <w:spacing w:val="-15"/>
          <w:position w:val="2"/>
          <w:sz w:val="21"/>
        </w:rPr>
        <w:t> </w:t>
      </w:r>
      <w:r>
        <w:rPr>
          <w:position w:val="2"/>
          <w:sz w:val="21"/>
        </w:rPr>
        <w:t>2</w:t>
      </w:r>
      <w:r>
        <w:rPr>
          <w:spacing w:val="-13"/>
          <w:position w:val="2"/>
          <w:sz w:val="21"/>
        </w:rPr>
        <w:t> </w:t>
      </w:r>
      <w:r>
        <w:rPr>
          <w:position w:val="2"/>
          <w:sz w:val="21"/>
        </w:rPr>
        <w:t>年</w:t>
      </w:r>
      <w:r>
        <w:rPr>
          <w:spacing w:val="-3"/>
          <w:position w:val="2"/>
          <w:sz w:val="21"/>
        </w:rPr>
        <w:t>内</w:t>
      </w:r>
      <w:r>
        <w:rPr>
          <w:position w:val="2"/>
          <w:sz w:val="21"/>
        </w:rPr>
        <w:t>，</w:t>
      </w:r>
      <w:r>
        <w:rPr>
          <w:spacing w:val="-3"/>
          <w:position w:val="2"/>
          <w:sz w:val="21"/>
        </w:rPr>
        <w:t>投</w:t>
      </w:r>
      <w:r>
        <w:rPr>
          <w:position w:val="2"/>
          <w:sz w:val="21"/>
        </w:rPr>
        <w:t>保</w:t>
      </w:r>
      <w:r>
        <w:rPr>
          <w:spacing w:val="-3"/>
          <w:position w:val="2"/>
          <w:sz w:val="21"/>
        </w:rPr>
        <w:t>人</w:t>
      </w:r>
      <w:r>
        <w:rPr>
          <w:position w:val="2"/>
          <w:sz w:val="21"/>
        </w:rPr>
        <w:t>可</w:t>
      </w:r>
      <w:r>
        <w:rPr>
          <w:spacing w:val="-3"/>
          <w:position w:val="2"/>
          <w:sz w:val="21"/>
        </w:rPr>
        <w:t>以</w:t>
      </w:r>
      <w:r>
        <w:rPr>
          <w:position w:val="2"/>
          <w:sz w:val="21"/>
        </w:rPr>
        <w:t>申</w:t>
      </w:r>
      <w:r>
        <w:rPr>
          <w:spacing w:val="-3"/>
          <w:position w:val="2"/>
          <w:sz w:val="21"/>
        </w:rPr>
        <w:t>请</w:t>
      </w:r>
      <w:r>
        <w:rPr>
          <w:position w:val="2"/>
          <w:sz w:val="21"/>
        </w:rPr>
        <w:t>恢复</w:t>
      </w:r>
      <w:r>
        <w:rPr>
          <w:spacing w:val="-3"/>
          <w:position w:val="2"/>
          <w:sz w:val="21"/>
        </w:rPr>
        <w:t>本</w:t>
      </w:r>
      <w:r>
        <w:rPr>
          <w:position w:val="2"/>
          <w:sz w:val="21"/>
        </w:rPr>
        <w:t>附</w:t>
      </w:r>
      <w:r>
        <w:rPr>
          <w:spacing w:val="-3"/>
          <w:position w:val="2"/>
          <w:sz w:val="21"/>
        </w:rPr>
        <w:t>加</w:t>
      </w:r>
      <w:r>
        <w:rPr>
          <w:position w:val="2"/>
          <w:sz w:val="21"/>
        </w:rPr>
        <w:t>险</w:t>
      </w:r>
      <w:r>
        <w:rPr>
          <w:spacing w:val="-3"/>
          <w:position w:val="2"/>
          <w:sz w:val="21"/>
        </w:rPr>
        <w:t>合</w:t>
      </w:r>
      <w:r>
        <w:rPr>
          <w:position w:val="2"/>
          <w:sz w:val="21"/>
        </w:rPr>
        <w:t>同</w:t>
      </w:r>
      <w:r>
        <w:rPr>
          <w:spacing w:val="-3"/>
          <w:position w:val="2"/>
          <w:sz w:val="21"/>
        </w:rPr>
        <w:t>效</w:t>
      </w:r>
      <w:r>
        <w:rPr>
          <w:position w:val="2"/>
          <w:sz w:val="21"/>
        </w:rPr>
        <w:t>力</w:t>
      </w:r>
      <w:r>
        <w:rPr>
          <w:spacing w:val="-3"/>
          <w:position w:val="2"/>
          <w:sz w:val="21"/>
        </w:rPr>
        <w:t>。</w:t>
      </w:r>
      <w:r>
        <w:rPr>
          <w:position w:val="2"/>
          <w:sz w:val="21"/>
        </w:rPr>
        <w:t>投保</w:t>
      </w:r>
      <w:r>
        <w:rPr>
          <w:sz w:val="21"/>
        </w:rPr>
        <w:t>人应填写复效申请书，并应本公司的要求提供被保险人的健康声明书、体检报告</w:t>
      </w:r>
    </w:p>
    <w:p>
      <w:pPr>
        <w:pStyle w:val="BodyText"/>
        <w:spacing w:line="344" w:lineRule="exact" w:before="23"/>
        <w:ind w:left="2579" w:right="219"/>
        <w:jc w:val="both"/>
      </w:pPr>
      <w:r>
        <w:rPr/>
        <w:t>书及其他相关证明文件，经本公司审核同意，双方达成复效协议，自投保人补交保险费、利息及其他未还款项的次日零时起，合同效力恢复。应付利息按本附加险合同</w:t>
      </w:r>
      <w:r>
        <w:rPr>
          <w:rFonts w:ascii="微软雅黑" w:eastAsia="微软雅黑" w:hint="eastAsia"/>
          <w:b/>
        </w:rPr>
        <w:t>约定利率</w:t>
      </w:r>
      <w:r>
        <w:rPr/>
        <w:t>（见 10.20）计算，但本附加险合同另有约定的除外。</w:t>
      </w:r>
    </w:p>
    <w:p>
      <w:pPr>
        <w:pStyle w:val="BodyText"/>
        <w:spacing w:line="300" w:lineRule="auto" w:before="28"/>
        <w:ind w:left="2579" w:right="114"/>
      </w:pPr>
      <w:r>
        <w:rPr>
          <w:spacing w:val="-6"/>
        </w:rPr>
        <w:t>自本附加险合同效力中止之日起满二年双方未达成协议的，本公司有权解除合同， </w:t>
      </w:r>
      <w:r>
        <w:rPr>
          <w:spacing w:val="-4"/>
        </w:rPr>
        <w:t>并向投保人退还本附加险合同的现金价值。</w:t>
      </w:r>
    </w:p>
    <w:p>
      <w:pPr>
        <w:pStyle w:val="Heading2"/>
        <w:numPr>
          <w:ilvl w:val="0"/>
          <w:numId w:val="8"/>
        </w:numPr>
        <w:tabs>
          <w:tab w:pos="949" w:val="left" w:leader="none"/>
          <w:tab w:pos="950" w:val="left" w:leader="none"/>
        </w:tabs>
        <w:spacing w:line="524" w:lineRule="exact" w:before="0" w:after="0"/>
        <w:ind w:left="949" w:right="0" w:hanging="689"/>
        <w:jc w:val="left"/>
        <w:rPr>
          <w:sz w:val="32"/>
        </w:rPr>
      </w:pPr>
      <w:r>
        <w:rPr/>
        <w:pict>
          <v:group style="position:absolute;margin-left:48.119999pt;margin-top:31.897806pt;width:498.5pt;height:.5pt;mso-position-horizontal-relative:page;mso-position-vertical-relative:paragraph;z-index:1216;mso-wrap-distance-left:0;mso-wrap-distance-right:0" coordorigin="962,638" coordsize="9970,10">
            <v:line style="position:absolute" from="962,643" to="1694,643" stroked="true" strokeweight=".48pt" strokecolor="#000000">
              <v:stroke dashstyle="solid"/>
            </v:line>
            <v:rect style="position:absolute;left:1694;top:637;width:10;height:10" filled="true" fillcolor="#000000" stroked="false">
              <v:fill type="solid"/>
            </v:rect>
            <v:line style="position:absolute" from="1704,643" to="3324,643" stroked="true" strokeweight=".48pt" strokecolor="#000000">
              <v:stroke dashstyle="solid"/>
            </v:line>
            <v:rect style="position:absolute;left:3324;top:637;width:10;height:10" filled="true" fillcolor="#000000" stroked="false">
              <v:fill type="solid"/>
            </v:rect>
            <v:line style="position:absolute" from="3334,643" to="10932,643" stroked="true" strokeweight=".48pt" strokecolor="#000000">
              <v:stroke dashstyle="solid"/>
            </v:line>
            <w10:wrap type="topAndBottom"/>
          </v:group>
        </w:pict>
      </w:r>
      <w:r>
        <w:rPr/>
        <w:t>合同效力的终止</w:t>
      </w:r>
    </w:p>
    <w:p>
      <w:pPr>
        <w:pStyle w:val="BodyText"/>
        <w:spacing w:before="1"/>
        <w:rPr>
          <w:rFonts w:ascii="微软雅黑"/>
          <w:b/>
          <w:sz w:val="5"/>
        </w:rPr>
      </w:pPr>
    </w:p>
    <w:p>
      <w:pPr>
        <w:pStyle w:val="ListParagraph"/>
        <w:numPr>
          <w:ilvl w:val="1"/>
          <w:numId w:val="8"/>
        </w:numPr>
        <w:tabs>
          <w:tab w:pos="949" w:val="left" w:leader="none"/>
          <w:tab w:pos="950" w:val="left" w:leader="none"/>
          <w:tab w:pos="2579" w:val="left" w:leader="none"/>
        </w:tabs>
        <w:spacing w:line="256" w:lineRule="auto" w:before="0" w:after="0"/>
        <w:ind w:left="2579" w:right="219" w:hanging="2369"/>
        <w:jc w:val="left"/>
        <w:rPr>
          <w:sz w:val="21"/>
        </w:rPr>
      </w:pPr>
      <w:r>
        <w:rPr>
          <w:rFonts w:ascii="微软雅黑" w:eastAsia="微软雅黑" w:hint="eastAsia"/>
          <w:b/>
          <w:sz w:val="21"/>
        </w:rPr>
        <w:t>效力终止</w:t>
        <w:tab/>
      </w:r>
      <w:r>
        <w:rPr>
          <w:position w:val="2"/>
          <w:sz w:val="21"/>
        </w:rPr>
        <w:t>当发生下列情形之一时，本附加险合同效力终止，本公司将退还投保人本附加险 </w:t>
      </w:r>
      <w:r>
        <w:rPr>
          <w:sz w:val="21"/>
        </w:rPr>
        <w:t>合同</w:t>
      </w:r>
      <w:r>
        <w:rPr>
          <w:spacing w:val="-3"/>
          <w:sz w:val="21"/>
        </w:rPr>
        <w:t>的</w:t>
      </w:r>
      <w:r>
        <w:rPr>
          <w:sz w:val="21"/>
        </w:rPr>
        <w:t>现</w:t>
      </w:r>
      <w:r>
        <w:rPr>
          <w:spacing w:val="-3"/>
          <w:sz w:val="21"/>
        </w:rPr>
        <w:t>金</w:t>
      </w:r>
      <w:r>
        <w:rPr>
          <w:sz w:val="21"/>
        </w:rPr>
        <w:t>价</w:t>
      </w:r>
      <w:r>
        <w:rPr>
          <w:spacing w:val="-3"/>
          <w:sz w:val="21"/>
        </w:rPr>
        <w:t>值</w:t>
      </w:r>
      <w:r>
        <w:rPr>
          <w:sz w:val="21"/>
        </w:rPr>
        <w:t>：</w:t>
      </w:r>
    </w:p>
    <w:p>
      <w:pPr>
        <w:pStyle w:val="ListParagraph"/>
        <w:numPr>
          <w:ilvl w:val="2"/>
          <w:numId w:val="8"/>
        </w:numPr>
        <w:tabs>
          <w:tab w:pos="3146" w:val="left" w:leader="none"/>
        </w:tabs>
        <w:spacing w:line="240" w:lineRule="auto" w:before="62" w:after="0"/>
        <w:ind w:left="3145" w:right="0" w:hanging="566"/>
        <w:jc w:val="left"/>
        <w:rPr>
          <w:sz w:val="21"/>
        </w:rPr>
      </w:pPr>
      <w:r>
        <w:rPr>
          <w:spacing w:val="-3"/>
          <w:sz w:val="21"/>
        </w:rPr>
        <w:t>主险合同终止、退保或转为减额交清保险；</w:t>
      </w:r>
    </w:p>
    <w:p>
      <w:pPr>
        <w:pStyle w:val="ListParagraph"/>
        <w:numPr>
          <w:ilvl w:val="2"/>
          <w:numId w:val="8"/>
        </w:numPr>
        <w:tabs>
          <w:tab w:pos="3146" w:val="left" w:leader="none"/>
        </w:tabs>
        <w:spacing w:line="240" w:lineRule="auto" w:before="52" w:after="0"/>
        <w:ind w:left="3145" w:right="0" w:hanging="566"/>
        <w:jc w:val="left"/>
        <w:rPr>
          <w:sz w:val="21"/>
        </w:rPr>
      </w:pPr>
      <w:r>
        <w:rPr>
          <w:spacing w:val="-3"/>
          <w:sz w:val="21"/>
        </w:rPr>
        <w:t>投保人解除本附加险合同。</w:t>
      </w:r>
    </w:p>
    <w:p>
      <w:pPr>
        <w:pStyle w:val="Heading2"/>
        <w:numPr>
          <w:ilvl w:val="0"/>
          <w:numId w:val="8"/>
        </w:numPr>
        <w:tabs>
          <w:tab w:pos="949" w:val="left" w:leader="none"/>
          <w:tab w:pos="950" w:val="left" w:leader="none"/>
        </w:tabs>
        <w:spacing w:line="240" w:lineRule="auto" w:before="166" w:after="0"/>
        <w:ind w:left="949" w:right="0" w:hanging="689"/>
        <w:jc w:val="left"/>
        <w:rPr>
          <w:sz w:val="32"/>
        </w:rPr>
      </w:pPr>
      <w:r>
        <w:rPr/>
        <w:pict>
          <v:group style="position:absolute;margin-left:48.119999pt;margin-top:41.525723pt;width:498.5pt;height:.5pt;mso-position-horizontal-relative:page;mso-position-vertical-relative:paragraph;z-index:1240;mso-wrap-distance-left:0;mso-wrap-distance-right:0" coordorigin="962,831" coordsize="9970,10">
            <v:line style="position:absolute" from="962,835" to="1694,835" stroked="true" strokeweight=".48pt" strokecolor="#000000">
              <v:stroke dashstyle="solid"/>
            </v:line>
            <v:rect style="position:absolute;left:1694;top:830;width:10;height:10" filled="true" fillcolor="#000000" stroked="false">
              <v:fill type="solid"/>
            </v:rect>
            <v:line style="position:absolute" from="1704,835" to="3324,835" stroked="true" strokeweight=".48pt" strokecolor="#000000">
              <v:stroke dashstyle="solid"/>
            </v:line>
            <v:rect style="position:absolute;left:3324;top:830;width:10;height:10" filled="true" fillcolor="#000000" stroked="false">
              <v:fill type="solid"/>
            </v:rect>
            <v:line style="position:absolute" from="3334,835" to="10932,835" stroked="true" strokeweight=".48pt" strokecolor="#000000">
              <v:stroke dashstyle="solid"/>
            </v:line>
            <w10:wrap type="topAndBottom"/>
          </v:group>
        </w:pict>
      </w:r>
      <w:r>
        <w:rPr/>
        <w:t>如何解除保险合同</w:t>
      </w:r>
    </w:p>
    <w:p>
      <w:pPr>
        <w:pStyle w:val="BodyText"/>
        <w:spacing w:before="1"/>
        <w:rPr>
          <w:rFonts w:ascii="微软雅黑"/>
          <w:b/>
          <w:sz w:val="5"/>
        </w:rPr>
      </w:pPr>
    </w:p>
    <w:p>
      <w:pPr>
        <w:pStyle w:val="ListParagraph"/>
        <w:numPr>
          <w:ilvl w:val="1"/>
          <w:numId w:val="8"/>
        </w:numPr>
        <w:tabs>
          <w:tab w:pos="949" w:val="left" w:leader="none"/>
          <w:tab w:pos="950" w:val="left" w:leader="none"/>
          <w:tab w:pos="2579" w:val="left" w:leader="none"/>
        </w:tabs>
        <w:spacing w:line="256" w:lineRule="auto" w:before="0" w:after="0"/>
        <w:ind w:left="2579" w:right="219" w:hanging="2369"/>
        <w:jc w:val="left"/>
        <w:rPr>
          <w:sz w:val="21"/>
        </w:rPr>
      </w:pPr>
      <w:r>
        <w:rPr>
          <w:rFonts w:ascii="微软雅黑" w:eastAsia="微软雅黑" w:hint="eastAsia"/>
          <w:b/>
          <w:sz w:val="21"/>
        </w:rPr>
        <w:t>合同解除</w:t>
        <w:tab/>
      </w:r>
      <w:r>
        <w:rPr>
          <w:position w:val="2"/>
          <w:sz w:val="21"/>
        </w:rPr>
        <w:t>投保人在犹豫期后，可以书面通知要求解除本附加险合同，并向本公司提供下列 </w:t>
      </w:r>
      <w:r>
        <w:rPr>
          <w:sz w:val="21"/>
        </w:rPr>
        <w:t>证明</w:t>
      </w:r>
      <w:r>
        <w:rPr>
          <w:spacing w:val="-3"/>
          <w:sz w:val="21"/>
        </w:rPr>
        <w:t>和</w:t>
      </w:r>
      <w:r>
        <w:rPr>
          <w:sz w:val="21"/>
        </w:rPr>
        <w:t>资</w:t>
      </w:r>
      <w:r>
        <w:rPr>
          <w:spacing w:val="-3"/>
          <w:sz w:val="21"/>
        </w:rPr>
        <w:t>料</w:t>
      </w:r>
      <w:r>
        <w:rPr>
          <w:sz w:val="21"/>
        </w:rPr>
        <w:t>：</w:t>
      </w:r>
    </w:p>
    <w:p>
      <w:pPr>
        <w:pStyle w:val="ListParagraph"/>
        <w:numPr>
          <w:ilvl w:val="0"/>
          <w:numId w:val="9"/>
        </w:numPr>
        <w:tabs>
          <w:tab w:pos="3156" w:val="left" w:leader="none"/>
        </w:tabs>
        <w:spacing w:line="240" w:lineRule="auto" w:before="62" w:after="0"/>
        <w:ind w:left="3155" w:right="0" w:hanging="576"/>
        <w:jc w:val="left"/>
        <w:rPr>
          <w:sz w:val="21"/>
        </w:rPr>
      </w:pPr>
      <w:r>
        <w:rPr>
          <w:spacing w:val="-1"/>
          <w:sz w:val="21"/>
        </w:rPr>
        <w:t>保险合同；</w:t>
      </w:r>
    </w:p>
    <w:p>
      <w:pPr>
        <w:pStyle w:val="ListParagraph"/>
        <w:numPr>
          <w:ilvl w:val="0"/>
          <w:numId w:val="9"/>
        </w:numPr>
        <w:tabs>
          <w:tab w:pos="3156" w:val="left" w:leader="none"/>
        </w:tabs>
        <w:spacing w:line="240" w:lineRule="auto" w:before="67" w:after="0"/>
        <w:ind w:left="3155" w:right="0" w:hanging="576"/>
        <w:jc w:val="left"/>
        <w:rPr>
          <w:sz w:val="21"/>
        </w:rPr>
      </w:pPr>
      <w:r>
        <w:rPr>
          <w:spacing w:val="-3"/>
          <w:sz w:val="21"/>
        </w:rPr>
        <w:t>解除合同申请书；</w:t>
      </w:r>
    </w:p>
    <w:p>
      <w:pPr>
        <w:pStyle w:val="ListParagraph"/>
        <w:numPr>
          <w:ilvl w:val="0"/>
          <w:numId w:val="9"/>
        </w:numPr>
        <w:tabs>
          <w:tab w:pos="3156" w:val="left" w:leader="none"/>
        </w:tabs>
        <w:spacing w:line="240" w:lineRule="auto" w:before="67" w:after="0"/>
        <w:ind w:left="3155" w:right="0" w:hanging="576"/>
        <w:jc w:val="left"/>
        <w:rPr>
          <w:sz w:val="21"/>
        </w:rPr>
      </w:pPr>
      <w:r>
        <w:rPr>
          <w:spacing w:val="-3"/>
          <w:sz w:val="21"/>
        </w:rPr>
        <w:t>投保人的法定身份证明。</w:t>
      </w:r>
    </w:p>
    <w:p>
      <w:pPr>
        <w:pStyle w:val="BodyText"/>
        <w:spacing w:line="300" w:lineRule="auto" w:before="67"/>
        <w:ind w:left="2579" w:right="219" w:hanging="1"/>
      </w:pPr>
      <w:r>
        <w:rPr/>
        <w:t>自本公司收到解除合同申请书之日起，本附加险合同终止。本公司在收到上述证明和资料之日起 30 日内退还本附加险合同的现金价值。</w:t>
      </w:r>
    </w:p>
    <w:p>
      <w:pPr>
        <w:pStyle w:val="Heading2"/>
        <w:numPr>
          <w:ilvl w:val="0"/>
          <w:numId w:val="8"/>
        </w:numPr>
        <w:tabs>
          <w:tab w:pos="949" w:val="left" w:leader="none"/>
          <w:tab w:pos="950" w:val="left" w:leader="none"/>
        </w:tabs>
        <w:spacing w:line="240" w:lineRule="auto" w:before="126" w:after="0"/>
        <w:ind w:left="949" w:right="0" w:hanging="689"/>
        <w:jc w:val="left"/>
        <w:rPr>
          <w:sz w:val="32"/>
        </w:rPr>
      </w:pPr>
      <w:r>
        <w:rPr/>
        <w:pict>
          <v:group style="position:absolute;margin-left:48.119999pt;margin-top:39.645802pt;width:498.5pt;height:.5pt;mso-position-horizontal-relative:page;mso-position-vertical-relative:paragraph;z-index:1264;mso-wrap-distance-left:0;mso-wrap-distance-right:0" coordorigin="962,793" coordsize="9970,10">
            <v:line style="position:absolute" from="962,798" to="1694,798" stroked="true" strokeweight=".48pt" strokecolor="#000000">
              <v:stroke dashstyle="solid"/>
            </v:line>
            <v:rect style="position:absolute;left:1694;top:792;width:10;height:10" filled="true" fillcolor="#000000" stroked="false">
              <v:fill type="solid"/>
            </v:rect>
            <v:line style="position:absolute" from="1704,798" to="3324,798" stroked="true" strokeweight=".48pt" strokecolor="#000000">
              <v:stroke dashstyle="solid"/>
            </v:line>
            <v:rect style="position:absolute;left:3324;top:792;width:10;height:10" filled="true" fillcolor="#000000" stroked="false">
              <v:fill type="solid"/>
            </v:rect>
            <v:line style="position:absolute" from="3334,798" to="10932,798" stroked="true" strokeweight=".48pt" strokecolor="#000000">
              <v:stroke dashstyle="solid"/>
            </v:line>
            <w10:wrap type="topAndBottom"/>
          </v:group>
        </w:pict>
      </w:r>
      <w:r>
        <w:rPr/>
        <w:t>其他需要关注的事项</w:t>
      </w:r>
    </w:p>
    <w:p>
      <w:pPr>
        <w:pStyle w:val="BodyText"/>
        <w:spacing w:before="16"/>
        <w:rPr>
          <w:rFonts w:ascii="微软雅黑"/>
          <w:b/>
          <w:sz w:val="4"/>
        </w:rPr>
      </w:pPr>
    </w:p>
    <w:p>
      <w:pPr>
        <w:pStyle w:val="ListParagraph"/>
        <w:numPr>
          <w:ilvl w:val="1"/>
          <w:numId w:val="8"/>
        </w:numPr>
        <w:tabs>
          <w:tab w:pos="949" w:val="left" w:leader="none"/>
          <w:tab w:pos="950" w:val="left" w:leader="none"/>
          <w:tab w:pos="2579" w:val="left" w:leader="none"/>
        </w:tabs>
        <w:spacing w:line="256" w:lineRule="auto" w:before="0" w:after="0"/>
        <w:ind w:left="2579" w:right="219" w:hanging="2369"/>
        <w:jc w:val="left"/>
        <w:rPr>
          <w:sz w:val="21"/>
        </w:rPr>
      </w:pPr>
      <w:r>
        <w:rPr>
          <w:rFonts w:ascii="微软雅黑" w:eastAsia="微软雅黑" w:hint="eastAsia"/>
          <w:b/>
          <w:sz w:val="21"/>
        </w:rPr>
        <w:t>如实告知</w:t>
        <w:tab/>
      </w:r>
      <w:r>
        <w:rPr>
          <w:position w:val="2"/>
          <w:sz w:val="21"/>
        </w:rPr>
        <w:t>订立本附加险合同或申请恢复本附加险合同效力时，本公司应向投保人明确说明 </w:t>
      </w:r>
      <w:r>
        <w:rPr>
          <w:sz w:val="21"/>
        </w:rPr>
        <w:t>本附加险合同的内容，并可以就投保人、被保险人的有关情况提出询问，投保人</w:t>
      </w:r>
    </w:p>
    <w:p>
      <w:pPr>
        <w:pStyle w:val="BodyText"/>
        <w:spacing w:before="63"/>
        <w:ind w:left="2579"/>
      </w:pPr>
      <w:r>
        <w:rPr/>
        <w:t>应当如实告知。</w:t>
      </w:r>
    </w:p>
    <w:p>
      <w:pPr>
        <w:pStyle w:val="BodyText"/>
        <w:spacing w:line="300" w:lineRule="auto" w:before="68"/>
        <w:ind w:left="2579" w:right="219"/>
        <w:jc w:val="both"/>
      </w:pPr>
      <w:r>
        <w:rPr/>
        <w:t>投保人故意或者因重大过失未履行前款规定的如实告知义务，足以影响本公司决定是否同意承保或者提高保险费率的，本公司有权解除本附加险合同。</w:t>
      </w:r>
    </w:p>
    <w:p>
      <w:pPr>
        <w:pStyle w:val="BodyText"/>
        <w:spacing w:line="300" w:lineRule="auto" w:before="15"/>
        <w:ind w:left="2579" w:right="219" w:hanging="1"/>
        <w:jc w:val="both"/>
      </w:pPr>
      <w:r>
        <w:rPr/>
        <w:t>前款规定的合同解除权，自本公司知道有解除事由之日起，超过三十日不行使而消灭。自本附加险合同成立之日起超过二年的，本公司不得解除本附加险合同； 发生保险事故的，本公司承担给付保险金的责任。</w:t>
      </w:r>
    </w:p>
    <w:p>
      <w:pPr>
        <w:pStyle w:val="BodyText"/>
        <w:spacing w:line="300" w:lineRule="auto" w:before="15"/>
        <w:ind w:left="2579" w:right="219"/>
        <w:jc w:val="both"/>
      </w:pPr>
      <w:r>
        <w:rPr/>
        <w:t>投保人故意不履行如实告知义务的，本公司对于合同解除前发生的保险事故，不承担给付保险金的责任，并不退还保险费。</w:t>
      </w:r>
    </w:p>
    <w:p>
      <w:pPr>
        <w:pStyle w:val="BodyText"/>
        <w:spacing w:line="300" w:lineRule="auto" w:before="15"/>
        <w:ind w:left="2579" w:right="219"/>
        <w:jc w:val="both"/>
      </w:pPr>
      <w:r>
        <w:rPr/>
        <w:t>投保人因重大过失未履行如实告知义务，对保险事故的发生有严重影响的，本公司对于合同解除前发生的保险事故，不承担给付保险金的责任，但退还保险费。本公司在本附加险合同订立时已经知道投保人未如实告知的情况的，本公司不得解除本附加险合同；发生保险事故的，本公司承担给付保险金的责任。</w:t>
      </w:r>
    </w:p>
    <w:p>
      <w:pPr>
        <w:spacing w:after="0" w:line="300" w:lineRule="auto"/>
        <w:jc w:val="both"/>
        <w:sectPr>
          <w:pgSz w:w="11900" w:h="16840"/>
          <w:pgMar w:header="0" w:footer="461" w:top="1280" w:bottom="660" w:left="860" w:right="840"/>
        </w:sectPr>
      </w:pPr>
    </w:p>
    <w:p>
      <w:pPr>
        <w:pStyle w:val="Heading3"/>
        <w:numPr>
          <w:ilvl w:val="1"/>
          <w:numId w:val="8"/>
        </w:numPr>
        <w:tabs>
          <w:tab w:pos="949" w:val="left" w:leader="none"/>
          <w:tab w:pos="950" w:val="left" w:leader="none"/>
        </w:tabs>
        <w:spacing w:line="340" w:lineRule="exact" w:before="0" w:after="0"/>
        <w:ind w:left="2579" w:right="0" w:hanging="2369"/>
        <w:jc w:val="left"/>
      </w:pPr>
      <w:r>
        <w:rPr>
          <w:spacing w:val="21"/>
        </w:rPr>
        <w:t>年龄确定与错</w:t>
      </w:r>
    </w:p>
    <w:p>
      <w:pPr>
        <w:spacing w:before="11"/>
        <w:ind w:left="949" w:right="0" w:firstLine="0"/>
        <w:jc w:val="left"/>
        <w:rPr>
          <w:rFonts w:ascii="微软雅黑" w:eastAsia="微软雅黑" w:hint="eastAsia"/>
          <w:b/>
          <w:sz w:val="21"/>
        </w:rPr>
      </w:pPr>
      <w:r>
        <w:rPr>
          <w:rFonts w:ascii="微软雅黑" w:eastAsia="微软雅黑" w:hint="eastAsia"/>
          <w:b/>
          <w:sz w:val="21"/>
        </w:rPr>
        <w:t>误处理</w:t>
      </w:r>
    </w:p>
    <w:p>
      <w:pPr>
        <w:pStyle w:val="BodyText"/>
        <w:spacing w:line="300" w:lineRule="auto" w:before="22"/>
        <w:ind w:left="176" w:right="219"/>
      </w:pPr>
      <w:r>
        <w:rPr/>
        <w:br w:type="column"/>
      </w:r>
      <w:r>
        <w:rPr/>
        <w:t>被保险人的投保年龄按周岁计算。投保人应在投保本保险时将被保险人的真实年龄在投保单上填明，如果发生错误，本公司按照下列规定办理：</w:t>
      </w:r>
    </w:p>
    <w:p>
      <w:pPr>
        <w:pStyle w:val="ListParagraph"/>
        <w:numPr>
          <w:ilvl w:val="0"/>
          <w:numId w:val="10"/>
        </w:numPr>
        <w:tabs>
          <w:tab w:pos="801" w:val="left" w:leader="none"/>
        </w:tabs>
        <w:spacing w:line="295" w:lineRule="auto" w:before="15" w:after="0"/>
        <w:ind w:left="800" w:right="222" w:hanging="624"/>
        <w:jc w:val="both"/>
        <w:rPr>
          <w:sz w:val="21"/>
        </w:rPr>
      </w:pPr>
      <w:r>
        <w:rPr>
          <w:sz w:val="21"/>
        </w:rPr>
        <w:t>投保人申报的被保险人年龄不真实，并且其真实年龄不符合本附加险合同约定的年龄限制的，本公司有权在知道有解除事由之日起三十日内解除本附加险合同，并向投保人退还本附加险合同的现金价值，但自本附加险合</w:t>
      </w:r>
      <w:r>
        <w:rPr>
          <w:spacing w:val="-3"/>
          <w:sz w:val="21"/>
        </w:rPr>
        <w:t>同成立之日起超过二年的除外。</w:t>
      </w:r>
    </w:p>
    <w:p>
      <w:pPr>
        <w:pStyle w:val="ListParagraph"/>
        <w:numPr>
          <w:ilvl w:val="0"/>
          <w:numId w:val="10"/>
        </w:numPr>
        <w:tabs>
          <w:tab w:pos="801" w:val="left" w:leader="none"/>
        </w:tabs>
        <w:spacing w:line="292" w:lineRule="auto" w:before="20" w:after="0"/>
        <w:ind w:left="800" w:right="222" w:hanging="624"/>
        <w:jc w:val="both"/>
        <w:rPr>
          <w:sz w:val="21"/>
        </w:rPr>
      </w:pPr>
      <w:r>
        <w:rPr>
          <w:sz w:val="21"/>
        </w:rPr>
        <w:t>投保人申报的被保险人年龄不真实，致使投保人支付的保险费少于应付保险费的，本公司有权更正并要求投保人补交保险费，或在给付保险金时按</w:t>
      </w:r>
      <w:r>
        <w:rPr>
          <w:spacing w:val="-3"/>
          <w:sz w:val="21"/>
        </w:rPr>
        <w:t>照实付保险费与应付保险费的比例支付。</w:t>
      </w:r>
    </w:p>
    <w:p>
      <w:pPr>
        <w:pStyle w:val="ListParagraph"/>
        <w:numPr>
          <w:ilvl w:val="0"/>
          <w:numId w:val="10"/>
        </w:numPr>
        <w:tabs>
          <w:tab w:pos="801" w:val="left" w:leader="none"/>
        </w:tabs>
        <w:spacing w:line="283" w:lineRule="auto" w:before="22" w:after="0"/>
        <w:ind w:left="800" w:right="222" w:hanging="624"/>
        <w:jc w:val="both"/>
        <w:rPr>
          <w:sz w:val="21"/>
        </w:rPr>
      </w:pPr>
      <w:r>
        <w:rPr>
          <w:sz w:val="21"/>
        </w:rPr>
        <w:t>投保人申报的被保险人年龄不真实，致使投保人支付的保险费多于应付保</w:t>
      </w:r>
      <w:r>
        <w:rPr>
          <w:spacing w:val="-3"/>
          <w:sz w:val="21"/>
        </w:rPr>
        <w:t>险费的，本公司应将多收的保险费无息退还投保人。</w:t>
      </w:r>
    </w:p>
    <w:p>
      <w:pPr>
        <w:spacing w:after="0" w:line="283" w:lineRule="auto"/>
        <w:jc w:val="both"/>
        <w:rPr>
          <w:sz w:val="21"/>
        </w:rPr>
        <w:sectPr>
          <w:pgSz w:w="11900" w:h="16840"/>
          <w:pgMar w:header="0" w:footer="461" w:top="1280" w:bottom="660" w:left="860" w:right="840"/>
          <w:cols w:num="2" w:equalWidth="0">
            <w:col w:w="2364" w:space="40"/>
            <w:col w:w="7796"/>
          </w:cols>
        </w:sectPr>
      </w:pPr>
    </w:p>
    <w:p>
      <w:pPr>
        <w:pStyle w:val="BodyText"/>
        <w:spacing w:before="8"/>
        <w:rPr>
          <w:sz w:val="11"/>
        </w:rPr>
      </w:pPr>
    </w:p>
    <w:p>
      <w:pPr>
        <w:pStyle w:val="ListParagraph"/>
        <w:numPr>
          <w:ilvl w:val="1"/>
          <w:numId w:val="8"/>
        </w:numPr>
        <w:tabs>
          <w:tab w:pos="949" w:val="left" w:leader="none"/>
          <w:tab w:pos="950" w:val="left" w:leader="none"/>
          <w:tab w:pos="2579" w:val="left" w:leader="none"/>
        </w:tabs>
        <w:spacing w:line="256" w:lineRule="auto" w:before="0" w:after="0"/>
        <w:ind w:left="2579" w:right="219" w:hanging="2369"/>
        <w:jc w:val="left"/>
        <w:rPr>
          <w:sz w:val="21"/>
        </w:rPr>
      </w:pPr>
      <w:r>
        <w:rPr>
          <w:rFonts w:ascii="微软雅黑" w:eastAsia="微软雅黑" w:hint="eastAsia"/>
          <w:b/>
          <w:sz w:val="21"/>
        </w:rPr>
        <w:t>合同内容变更</w:t>
        <w:tab/>
      </w:r>
      <w:r>
        <w:rPr>
          <w:position w:val="2"/>
          <w:sz w:val="21"/>
        </w:rPr>
        <w:t>投保人和本公司可以协商变更本附加险合同的内容。变更本附加险合同的，应当 </w:t>
      </w:r>
      <w:r>
        <w:rPr>
          <w:sz w:val="21"/>
        </w:rPr>
        <w:t>由本公司在保险单或者其他保险凭证上批注或者附贴批单，或者由投保人与本公</w:t>
      </w:r>
    </w:p>
    <w:p>
      <w:pPr>
        <w:pStyle w:val="BodyText"/>
        <w:spacing w:before="62"/>
        <w:ind w:left="2579"/>
      </w:pPr>
      <w:r>
        <w:rPr/>
        <w:t>司订立书面的变更协议。</w:t>
      </w:r>
    </w:p>
    <w:p>
      <w:pPr>
        <w:pStyle w:val="BodyText"/>
        <w:spacing w:before="12"/>
        <w:rPr>
          <w:sz w:val="13"/>
        </w:rPr>
      </w:pPr>
    </w:p>
    <w:p>
      <w:pPr>
        <w:pStyle w:val="ListParagraph"/>
        <w:numPr>
          <w:ilvl w:val="1"/>
          <w:numId w:val="8"/>
        </w:numPr>
        <w:tabs>
          <w:tab w:pos="949" w:val="left" w:leader="none"/>
          <w:tab w:pos="950" w:val="left" w:leader="none"/>
          <w:tab w:pos="2579" w:val="left" w:leader="none"/>
        </w:tabs>
        <w:spacing w:line="256" w:lineRule="auto" w:before="1" w:after="0"/>
        <w:ind w:left="2579" w:right="219" w:hanging="2369"/>
        <w:jc w:val="left"/>
        <w:rPr>
          <w:sz w:val="21"/>
        </w:rPr>
      </w:pPr>
      <w:r>
        <w:rPr>
          <w:rFonts w:ascii="微软雅黑" w:eastAsia="微软雅黑" w:hint="eastAsia"/>
          <w:b/>
          <w:sz w:val="21"/>
        </w:rPr>
        <w:t>未还款项</w:t>
        <w:tab/>
      </w:r>
      <w:r>
        <w:rPr>
          <w:position w:val="2"/>
          <w:sz w:val="21"/>
        </w:rPr>
        <w:t>本公司在给付各项保险金、退还现金价值或返还保险费时，如果投保人有欠交的 </w:t>
      </w:r>
      <w:r>
        <w:rPr>
          <w:sz w:val="21"/>
        </w:rPr>
        <w:t>保险费或其他未还清款项，本公司会在扣除上述欠款及应付利息后给付。应付利</w:t>
      </w:r>
    </w:p>
    <w:p>
      <w:pPr>
        <w:pStyle w:val="BodyText"/>
        <w:spacing w:before="54"/>
        <w:ind w:left="2579"/>
      </w:pPr>
      <w:r>
        <w:rPr/>
        <w:t>息按本附加险合同约定利率计算，但本附加险合同另有约定的除外。</w:t>
      </w:r>
    </w:p>
    <w:p>
      <w:pPr>
        <w:pStyle w:val="BodyText"/>
        <w:spacing w:before="0"/>
        <w:rPr>
          <w:sz w:val="14"/>
        </w:rPr>
      </w:pPr>
    </w:p>
    <w:p>
      <w:pPr>
        <w:pStyle w:val="ListParagraph"/>
        <w:numPr>
          <w:ilvl w:val="1"/>
          <w:numId w:val="8"/>
        </w:numPr>
        <w:tabs>
          <w:tab w:pos="949" w:val="left" w:leader="none"/>
          <w:tab w:pos="950" w:val="left" w:leader="none"/>
          <w:tab w:pos="2579" w:val="left" w:leader="none"/>
        </w:tabs>
        <w:spacing w:line="256" w:lineRule="auto" w:before="0" w:after="0"/>
        <w:ind w:left="2579" w:right="114" w:hanging="2369"/>
        <w:jc w:val="left"/>
        <w:rPr>
          <w:sz w:val="21"/>
        </w:rPr>
      </w:pPr>
      <w:r>
        <w:rPr>
          <w:rFonts w:ascii="微软雅黑" w:eastAsia="微软雅黑" w:hint="eastAsia"/>
          <w:b/>
          <w:sz w:val="21"/>
        </w:rPr>
        <w:t>地址变更</w:t>
        <w:tab/>
      </w:r>
      <w:r>
        <w:rPr>
          <w:position w:val="2"/>
          <w:sz w:val="21"/>
        </w:rPr>
        <w:t>投保人住所或通讯地址变更时，应及时以书面形式通知本公司。投保人未以书面 </w:t>
      </w:r>
      <w:r>
        <w:rPr>
          <w:sz w:val="21"/>
        </w:rPr>
        <w:t>形式</w:t>
      </w:r>
      <w:r>
        <w:rPr>
          <w:spacing w:val="-3"/>
          <w:sz w:val="21"/>
        </w:rPr>
        <w:t>通</w:t>
      </w:r>
      <w:r>
        <w:rPr>
          <w:sz w:val="21"/>
        </w:rPr>
        <w:t>知</w:t>
      </w:r>
      <w:r>
        <w:rPr>
          <w:spacing w:val="-3"/>
          <w:sz w:val="21"/>
        </w:rPr>
        <w:t>的</w:t>
      </w:r>
      <w:r>
        <w:rPr>
          <w:spacing w:val="-63"/>
          <w:sz w:val="21"/>
        </w:rPr>
        <w:t>，</w:t>
      </w:r>
      <w:r>
        <w:rPr>
          <w:sz w:val="21"/>
        </w:rPr>
        <w:t>本</w:t>
      </w:r>
      <w:r>
        <w:rPr>
          <w:spacing w:val="-3"/>
          <w:sz w:val="21"/>
        </w:rPr>
        <w:t>公</w:t>
      </w:r>
      <w:r>
        <w:rPr>
          <w:sz w:val="21"/>
        </w:rPr>
        <w:t>司</w:t>
      </w:r>
      <w:r>
        <w:rPr>
          <w:spacing w:val="-3"/>
          <w:sz w:val="21"/>
        </w:rPr>
        <w:t>将按</w:t>
      </w:r>
      <w:r>
        <w:rPr>
          <w:sz w:val="21"/>
        </w:rPr>
        <w:t>本附</w:t>
      </w:r>
      <w:r>
        <w:rPr>
          <w:spacing w:val="-3"/>
          <w:sz w:val="21"/>
        </w:rPr>
        <w:t>加</w:t>
      </w:r>
      <w:r>
        <w:rPr>
          <w:sz w:val="21"/>
        </w:rPr>
        <w:t>险</w:t>
      </w:r>
      <w:r>
        <w:rPr>
          <w:spacing w:val="-3"/>
          <w:sz w:val="21"/>
        </w:rPr>
        <w:t>合</w:t>
      </w:r>
      <w:r>
        <w:rPr>
          <w:sz w:val="21"/>
        </w:rPr>
        <w:t>同</w:t>
      </w:r>
      <w:r>
        <w:rPr>
          <w:spacing w:val="-3"/>
          <w:sz w:val="21"/>
        </w:rPr>
        <w:t>载</w:t>
      </w:r>
      <w:r>
        <w:rPr>
          <w:sz w:val="21"/>
        </w:rPr>
        <w:t>明</w:t>
      </w:r>
      <w:r>
        <w:rPr>
          <w:spacing w:val="-3"/>
          <w:sz w:val="21"/>
        </w:rPr>
        <w:t>的</w:t>
      </w:r>
      <w:r>
        <w:rPr>
          <w:sz w:val="21"/>
        </w:rPr>
        <w:t>最</w:t>
      </w:r>
      <w:r>
        <w:rPr>
          <w:spacing w:val="-3"/>
          <w:sz w:val="21"/>
        </w:rPr>
        <w:t>后</w:t>
      </w:r>
      <w:r>
        <w:rPr>
          <w:sz w:val="21"/>
        </w:rPr>
        <w:t>住所</w:t>
      </w:r>
      <w:r>
        <w:rPr>
          <w:spacing w:val="-3"/>
          <w:sz w:val="21"/>
        </w:rPr>
        <w:t>或</w:t>
      </w:r>
      <w:r>
        <w:rPr>
          <w:sz w:val="21"/>
        </w:rPr>
        <w:t>通</w:t>
      </w:r>
      <w:r>
        <w:rPr>
          <w:spacing w:val="-3"/>
          <w:sz w:val="21"/>
        </w:rPr>
        <w:t>讯</w:t>
      </w:r>
      <w:r>
        <w:rPr>
          <w:sz w:val="21"/>
        </w:rPr>
        <w:t>地</w:t>
      </w:r>
      <w:r>
        <w:rPr>
          <w:spacing w:val="-3"/>
          <w:sz w:val="21"/>
        </w:rPr>
        <w:t>址</w:t>
      </w:r>
      <w:r>
        <w:rPr>
          <w:sz w:val="21"/>
        </w:rPr>
        <w:t>发</w:t>
      </w:r>
      <w:r>
        <w:rPr>
          <w:spacing w:val="-3"/>
          <w:sz w:val="21"/>
        </w:rPr>
        <w:t>送</w:t>
      </w:r>
      <w:r>
        <w:rPr>
          <w:sz w:val="21"/>
        </w:rPr>
        <w:t>有</w:t>
      </w:r>
      <w:r>
        <w:rPr>
          <w:spacing w:val="-3"/>
          <w:sz w:val="21"/>
        </w:rPr>
        <w:t>关</w:t>
      </w:r>
      <w:r>
        <w:rPr>
          <w:sz w:val="21"/>
        </w:rPr>
        <w:t>通知，</w:t>
      </w:r>
    </w:p>
    <w:p>
      <w:pPr>
        <w:pStyle w:val="BodyText"/>
        <w:ind w:left="2579"/>
      </w:pPr>
      <w:r>
        <w:rPr/>
        <w:t>并视为已送达给投保人。</w:t>
      </w:r>
    </w:p>
    <w:p>
      <w:pPr>
        <w:pStyle w:val="BodyText"/>
        <w:spacing w:before="10"/>
        <w:rPr>
          <w:sz w:val="13"/>
        </w:rPr>
      </w:pPr>
    </w:p>
    <w:p>
      <w:pPr>
        <w:pStyle w:val="ListParagraph"/>
        <w:numPr>
          <w:ilvl w:val="1"/>
          <w:numId w:val="8"/>
        </w:numPr>
        <w:tabs>
          <w:tab w:pos="949" w:val="left" w:leader="none"/>
          <w:tab w:pos="950" w:val="left" w:leader="none"/>
          <w:tab w:pos="2579" w:val="left" w:leader="none"/>
        </w:tabs>
        <w:spacing w:line="256" w:lineRule="auto" w:before="1" w:after="0"/>
        <w:ind w:left="2579" w:right="219" w:hanging="2369"/>
        <w:jc w:val="left"/>
        <w:rPr>
          <w:sz w:val="21"/>
        </w:rPr>
      </w:pPr>
      <w:r>
        <w:rPr>
          <w:rFonts w:ascii="微软雅黑" w:eastAsia="微软雅黑" w:hint="eastAsia"/>
          <w:b/>
          <w:sz w:val="21"/>
        </w:rPr>
        <w:t>争议处理</w:t>
        <w:tab/>
      </w:r>
      <w:r>
        <w:rPr>
          <w:position w:val="2"/>
          <w:sz w:val="21"/>
        </w:rPr>
        <w:t>本附加险合同争议的解决方式，由当事人在合同中约定从下列两种方式中选择一 </w:t>
      </w:r>
      <w:r>
        <w:rPr>
          <w:sz w:val="21"/>
        </w:rPr>
        <w:t>种：</w:t>
      </w:r>
    </w:p>
    <w:p>
      <w:pPr>
        <w:pStyle w:val="ListParagraph"/>
        <w:numPr>
          <w:ilvl w:val="0"/>
          <w:numId w:val="11"/>
        </w:numPr>
        <w:tabs>
          <w:tab w:pos="3204" w:val="left" w:leader="none"/>
        </w:tabs>
        <w:spacing w:line="240" w:lineRule="auto" w:before="54" w:after="0"/>
        <w:ind w:left="3203" w:right="0" w:hanging="624"/>
        <w:jc w:val="left"/>
        <w:rPr>
          <w:sz w:val="21"/>
        </w:rPr>
      </w:pPr>
      <w:r>
        <w:rPr>
          <w:sz w:val="21"/>
        </w:rPr>
        <w:t>因履行本附加险合同发生的争议，由当事人协商解决，协商不成的，提交</w:t>
      </w:r>
    </w:p>
    <w:p>
      <w:pPr>
        <w:pStyle w:val="BodyText"/>
        <w:ind w:left="3203"/>
      </w:pPr>
      <w:r>
        <w:rPr/>
        <w:t>×××仲裁委员会仲裁；</w:t>
      </w:r>
    </w:p>
    <w:p>
      <w:pPr>
        <w:pStyle w:val="ListParagraph"/>
        <w:numPr>
          <w:ilvl w:val="0"/>
          <w:numId w:val="11"/>
        </w:numPr>
        <w:tabs>
          <w:tab w:pos="3204" w:val="left" w:leader="none"/>
        </w:tabs>
        <w:spacing w:line="283" w:lineRule="auto" w:before="68" w:after="0"/>
        <w:ind w:left="3203" w:right="222" w:hanging="624"/>
        <w:jc w:val="left"/>
        <w:rPr>
          <w:sz w:val="21"/>
        </w:rPr>
      </w:pPr>
      <w:r>
        <w:rPr>
          <w:sz w:val="21"/>
        </w:rPr>
        <w:t>因履行本附加险合同发生的争议，由当事人协商解决，协商不成的，依法</w:t>
      </w:r>
      <w:r>
        <w:rPr>
          <w:spacing w:val="-3"/>
          <w:sz w:val="21"/>
        </w:rPr>
        <w:t>向人民法院提起诉讼。</w:t>
      </w:r>
    </w:p>
    <w:p>
      <w:pPr>
        <w:pStyle w:val="Heading2"/>
        <w:numPr>
          <w:ilvl w:val="0"/>
          <w:numId w:val="8"/>
        </w:numPr>
        <w:tabs>
          <w:tab w:pos="949" w:val="left" w:leader="none"/>
          <w:tab w:pos="950" w:val="left" w:leader="none"/>
        </w:tabs>
        <w:spacing w:line="240" w:lineRule="auto" w:before="142" w:after="0"/>
        <w:ind w:left="949" w:right="0" w:hanging="689"/>
        <w:jc w:val="left"/>
        <w:rPr>
          <w:sz w:val="32"/>
        </w:rPr>
      </w:pPr>
      <w:r>
        <w:rPr/>
        <w:pict>
          <v:group style="position:absolute;margin-left:48.119999pt;margin-top:39.105812pt;width:498.5pt;height:.5pt;mso-position-horizontal-relative:page;mso-position-vertical-relative:paragraph;z-index:1288;mso-wrap-distance-left:0;mso-wrap-distance-right:0" coordorigin="962,782" coordsize="9970,10">
            <v:line style="position:absolute" from="962,787" to="1694,787" stroked="true" strokeweight=".48pt" strokecolor="#000000">
              <v:stroke dashstyle="solid"/>
            </v:line>
            <v:rect style="position:absolute;left:1694;top:782;width:10;height:10" filled="true" fillcolor="#000000" stroked="false">
              <v:fill type="solid"/>
            </v:rect>
            <v:line style="position:absolute" from="1704,787" to="3324,787" stroked="true" strokeweight=".48pt" strokecolor="#000000">
              <v:stroke dashstyle="solid"/>
            </v:line>
            <v:rect style="position:absolute;left:3324;top:782;width:10;height:10" filled="true" fillcolor="#000000" stroked="false">
              <v:fill type="solid"/>
            </v:rect>
            <v:line style="position:absolute" from="3334,787" to="10932,787" stroked="true" strokeweight=".48pt" strokecolor="#000000">
              <v:stroke dashstyle="solid"/>
            </v:line>
            <w10:wrap type="topAndBottom"/>
          </v:group>
        </w:pict>
      </w:r>
      <w:r>
        <w:rPr/>
        <w:t>释义</w:t>
      </w:r>
    </w:p>
    <w:p>
      <w:pPr>
        <w:pStyle w:val="BodyText"/>
        <w:spacing w:before="1"/>
        <w:rPr>
          <w:rFonts w:ascii="微软雅黑"/>
          <w:b/>
          <w:sz w:val="5"/>
        </w:rPr>
      </w:pPr>
    </w:p>
    <w:p>
      <w:pPr>
        <w:pStyle w:val="ListParagraph"/>
        <w:numPr>
          <w:ilvl w:val="1"/>
          <w:numId w:val="8"/>
        </w:numPr>
        <w:tabs>
          <w:tab w:pos="949" w:val="left" w:leader="none"/>
          <w:tab w:pos="950" w:val="left" w:leader="none"/>
          <w:tab w:pos="2579" w:val="left" w:leader="none"/>
        </w:tabs>
        <w:spacing w:line="354" w:lineRule="exact" w:before="0" w:after="0"/>
        <w:ind w:left="2579" w:right="0" w:hanging="2369"/>
        <w:jc w:val="left"/>
        <w:rPr>
          <w:sz w:val="21"/>
        </w:rPr>
      </w:pPr>
      <w:r>
        <w:rPr>
          <w:rFonts w:ascii="微软雅黑" w:eastAsia="微软雅黑" w:hint="eastAsia"/>
          <w:b/>
          <w:sz w:val="21"/>
        </w:rPr>
        <w:t>本公司</w:t>
        <w:tab/>
      </w:r>
      <w:r>
        <w:rPr>
          <w:position w:val="2"/>
          <w:sz w:val="21"/>
        </w:rPr>
        <w:t>正德</w:t>
      </w:r>
      <w:r>
        <w:rPr>
          <w:spacing w:val="-3"/>
          <w:position w:val="2"/>
          <w:sz w:val="21"/>
        </w:rPr>
        <w:t>人</w:t>
      </w:r>
      <w:r>
        <w:rPr>
          <w:position w:val="2"/>
          <w:sz w:val="21"/>
        </w:rPr>
        <w:t>寿</w:t>
      </w:r>
      <w:r>
        <w:rPr>
          <w:spacing w:val="-3"/>
          <w:position w:val="2"/>
          <w:sz w:val="21"/>
        </w:rPr>
        <w:t>保</w:t>
      </w:r>
      <w:r>
        <w:rPr>
          <w:position w:val="2"/>
          <w:sz w:val="21"/>
        </w:rPr>
        <w:t>险</w:t>
      </w:r>
      <w:r>
        <w:rPr>
          <w:spacing w:val="-3"/>
          <w:position w:val="2"/>
          <w:sz w:val="21"/>
        </w:rPr>
        <w:t>股</w:t>
      </w:r>
      <w:r>
        <w:rPr>
          <w:position w:val="2"/>
          <w:sz w:val="21"/>
        </w:rPr>
        <w:t>份</w:t>
      </w:r>
      <w:r>
        <w:rPr>
          <w:spacing w:val="-3"/>
          <w:position w:val="2"/>
          <w:sz w:val="21"/>
        </w:rPr>
        <w:t>有</w:t>
      </w:r>
      <w:r>
        <w:rPr>
          <w:position w:val="2"/>
          <w:sz w:val="21"/>
        </w:rPr>
        <w:t>限</w:t>
      </w:r>
      <w:r>
        <w:rPr>
          <w:spacing w:val="-3"/>
          <w:position w:val="2"/>
          <w:sz w:val="21"/>
        </w:rPr>
        <w:t>公</w:t>
      </w:r>
      <w:r>
        <w:rPr>
          <w:position w:val="2"/>
          <w:sz w:val="21"/>
        </w:rPr>
        <w:t>司。</w:t>
      </w:r>
    </w:p>
    <w:p>
      <w:pPr>
        <w:pStyle w:val="ListParagraph"/>
        <w:numPr>
          <w:ilvl w:val="1"/>
          <w:numId w:val="8"/>
        </w:numPr>
        <w:tabs>
          <w:tab w:pos="949" w:val="left" w:leader="none"/>
          <w:tab w:pos="950" w:val="left" w:leader="none"/>
          <w:tab w:pos="2579" w:val="left" w:leader="none"/>
        </w:tabs>
        <w:spacing w:line="256" w:lineRule="auto" w:before="170" w:after="0"/>
        <w:ind w:left="2579" w:right="219" w:hanging="2369"/>
        <w:jc w:val="left"/>
        <w:rPr>
          <w:sz w:val="21"/>
        </w:rPr>
      </w:pPr>
      <w:r>
        <w:rPr>
          <w:rFonts w:ascii="微软雅黑" w:eastAsia="微软雅黑" w:hint="eastAsia"/>
          <w:b/>
          <w:sz w:val="21"/>
        </w:rPr>
        <w:t>保单年度</w:t>
        <w:tab/>
      </w:r>
      <w:r>
        <w:rPr>
          <w:position w:val="2"/>
          <w:sz w:val="21"/>
        </w:rPr>
        <w:t>从保险合同生效日或生效对应日的零时起至下一年度保险合同生效对应日的前一 </w:t>
      </w:r>
      <w:r>
        <w:rPr>
          <w:sz w:val="21"/>
        </w:rPr>
        <w:t>日</w:t>
      </w:r>
      <w:r>
        <w:rPr>
          <w:spacing w:val="-47"/>
          <w:sz w:val="21"/>
        </w:rPr>
        <w:t> </w:t>
      </w:r>
      <w:r>
        <w:rPr>
          <w:sz w:val="21"/>
        </w:rPr>
        <w:t>24</w:t>
      </w:r>
      <w:r>
        <w:rPr>
          <w:spacing w:val="-49"/>
          <w:sz w:val="21"/>
        </w:rPr>
        <w:t> </w:t>
      </w:r>
      <w:r>
        <w:rPr>
          <w:sz w:val="21"/>
        </w:rPr>
        <w:t>时</w:t>
      </w:r>
      <w:r>
        <w:rPr>
          <w:spacing w:val="-3"/>
          <w:sz w:val="21"/>
        </w:rPr>
        <w:t>止</w:t>
      </w:r>
      <w:r>
        <w:rPr>
          <w:sz w:val="21"/>
        </w:rPr>
        <w:t>为</w:t>
      </w:r>
      <w:r>
        <w:rPr>
          <w:spacing w:val="-3"/>
          <w:sz w:val="21"/>
        </w:rPr>
        <w:t>一</w:t>
      </w:r>
      <w:r>
        <w:rPr>
          <w:sz w:val="21"/>
        </w:rPr>
        <w:t>个</w:t>
      </w:r>
      <w:r>
        <w:rPr>
          <w:spacing w:val="-3"/>
          <w:sz w:val="21"/>
        </w:rPr>
        <w:t>保</w:t>
      </w:r>
      <w:r>
        <w:rPr>
          <w:sz w:val="21"/>
        </w:rPr>
        <w:t>单</w:t>
      </w:r>
      <w:r>
        <w:rPr>
          <w:spacing w:val="-3"/>
          <w:sz w:val="21"/>
        </w:rPr>
        <w:t>年度</w:t>
      </w:r>
      <w:r>
        <w:rPr>
          <w:sz w:val="21"/>
        </w:rPr>
        <w:t>。</w:t>
      </w:r>
    </w:p>
    <w:p>
      <w:pPr>
        <w:pStyle w:val="ListParagraph"/>
        <w:numPr>
          <w:ilvl w:val="1"/>
          <w:numId w:val="8"/>
        </w:numPr>
        <w:tabs>
          <w:tab w:pos="949" w:val="left" w:leader="none"/>
          <w:tab w:pos="950" w:val="left" w:leader="none"/>
          <w:tab w:pos="2579" w:val="left" w:leader="none"/>
        </w:tabs>
        <w:spacing w:line="256" w:lineRule="auto" w:before="168" w:after="0"/>
        <w:ind w:left="2579" w:right="219" w:hanging="2369"/>
        <w:jc w:val="left"/>
        <w:rPr>
          <w:sz w:val="21"/>
        </w:rPr>
      </w:pPr>
      <w:r>
        <w:rPr>
          <w:rFonts w:ascii="微软雅黑" w:eastAsia="微软雅黑" w:hint="eastAsia"/>
          <w:b/>
          <w:sz w:val="21"/>
        </w:rPr>
        <w:t>保险费应交日</w:t>
        <w:tab/>
      </w:r>
      <w:r>
        <w:rPr>
          <w:position w:val="2"/>
          <w:sz w:val="21"/>
        </w:rPr>
        <w:t>保险合同生效日在每年的对应日的前一日。如果当月无对应的同一日，以该月最 </w:t>
      </w:r>
      <w:r>
        <w:rPr>
          <w:sz w:val="21"/>
        </w:rPr>
        <w:t>后一</w:t>
      </w:r>
      <w:r>
        <w:rPr>
          <w:spacing w:val="-3"/>
          <w:sz w:val="21"/>
        </w:rPr>
        <w:t>日</w:t>
      </w:r>
      <w:r>
        <w:rPr>
          <w:sz w:val="21"/>
        </w:rPr>
        <w:t>为</w:t>
      </w:r>
      <w:r>
        <w:rPr>
          <w:spacing w:val="-3"/>
          <w:sz w:val="21"/>
        </w:rPr>
        <w:t>对</w:t>
      </w:r>
      <w:r>
        <w:rPr>
          <w:sz w:val="21"/>
        </w:rPr>
        <w:t>应</w:t>
      </w:r>
      <w:r>
        <w:rPr>
          <w:spacing w:val="-3"/>
          <w:sz w:val="21"/>
        </w:rPr>
        <w:t>日</w:t>
      </w:r>
      <w:r>
        <w:rPr>
          <w:sz w:val="21"/>
        </w:rPr>
        <w:t>。</w:t>
      </w:r>
    </w:p>
    <w:p>
      <w:pPr>
        <w:pStyle w:val="ListParagraph"/>
        <w:numPr>
          <w:ilvl w:val="1"/>
          <w:numId w:val="8"/>
        </w:numPr>
        <w:tabs>
          <w:tab w:pos="949" w:val="left" w:leader="none"/>
          <w:tab w:pos="950" w:val="left" w:leader="none"/>
          <w:tab w:pos="2579" w:val="left" w:leader="none"/>
        </w:tabs>
        <w:spacing w:line="256" w:lineRule="auto" w:before="168" w:after="0"/>
        <w:ind w:left="2579" w:right="219" w:hanging="2369"/>
        <w:jc w:val="left"/>
        <w:rPr>
          <w:sz w:val="21"/>
        </w:rPr>
      </w:pPr>
      <w:r>
        <w:rPr>
          <w:rFonts w:ascii="微软雅黑" w:eastAsia="微软雅黑" w:hint="eastAsia"/>
          <w:b/>
          <w:sz w:val="21"/>
        </w:rPr>
        <w:t>周岁</w:t>
        <w:tab/>
      </w:r>
      <w:r>
        <w:rPr>
          <w:position w:val="2"/>
          <w:sz w:val="21"/>
        </w:rPr>
        <w:t>指按法定身份证明文件中记载的出生日期计算的年龄，自出生之日起为零周岁， </w:t>
      </w:r>
      <w:r>
        <w:rPr>
          <w:sz w:val="21"/>
        </w:rPr>
        <w:t>每</w:t>
      </w:r>
      <w:r>
        <w:rPr>
          <w:spacing w:val="-3"/>
          <w:sz w:val="21"/>
        </w:rPr>
        <w:t>经</w:t>
      </w:r>
      <w:r>
        <w:rPr>
          <w:sz w:val="21"/>
        </w:rPr>
        <w:t>过</w:t>
      </w:r>
      <w:r>
        <w:rPr>
          <w:spacing w:val="-50"/>
          <w:sz w:val="21"/>
        </w:rPr>
        <w:t> </w:t>
      </w:r>
      <w:r>
        <w:rPr>
          <w:sz w:val="21"/>
        </w:rPr>
        <w:t>1</w:t>
      </w:r>
      <w:r>
        <w:rPr>
          <w:spacing w:val="-50"/>
          <w:sz w:val="21"/>
        </w:rPr>
        <w:t> </w:t>
      </w:r>
      <w:r>
        <w:rPr>
          <w:spacing w:val="-3"/>
          <w:sz w:val="21"/>
        </w:rPr>
        <w:t>年增</w:t>
      </w:r>
      <w:r>
        <w:rPr>
          <w:sz w:val="21"/>
        </w:rPr>
        <w:t>加</w:t>
      </w:r>
      <w:r>
        <w:rPr>
          <w:spacing w:val="-50"/>
          <w:sz w:val="21"/>
        </w:rPr>
        <w:t> </w:t>
      </w:r>
      <w:r>
        <w:rPr>
          <w:sz w:val="21"/>
        </w:rPr>
        <w:t>1</w:t>
      </w:r>
      <w:r>
        <w:rPr>
          <w:spacing w:val="-50"/>
          <w:sz w:val="21"/>
        </w:rPr>
        <w:t> </w:t>
      </w:r>
      <w:r>
        <w:rPr>
          <w:spacing w:val="-3"/>
          <w:sz w:val="21"/>
        </w:rPr>
        <w:t>周</w:t>
      </w:r>
      <w:r>
        <w:rPr>
          <w:sz w:val="21"/>
        </w:rPr>
        <w:t>岁</w:t>
      </w:r>
      <w:r>
        <w:rPr>
          <w:spacing w:val="-3"/>
          <w:sz w:val="21"/>
        </w:rPr>
        <w:t>，</w:t>
      </w:r>
      <w:r>
        <w:rPr>
          <w:sz w:val="21"/>
        </w:rPr>
        <w:t>不足</w:t>
      </w:r>
      <w:r>
        <w:rPr>
          <w:spacing w:val="-50"/>
          <w:sz w:val="21"/>
        </w:rPr>
        <w:t> </w:t>
      </w:r>
      <w:r>
        <w:rPr>
          <w:sz w:val="21"/>
        </w:rPr>
        <w:t>1</w:t>
      </w:r>
      <w:r>
        <w:rPr>
          <w:spacing w:val="-52"/>
          <w:sz w:val="21"/>
        </w:rPr>
        <w:t> </w:t>
      </w:r>
      <w:r>
        <w:rPr>
          <w:sz w:val="21"/>
        </w:rPr>
        <w:t>年</w:t>
      </w:r>
      <w:r>
        <w:rPr>
          <w:spacing w:val="-3"/>
          <w:sz w:val="21"/>
        </w:rPr>
        <w:t>的</w:t>
      </w:r>
      <w:r>
        <w:rPr>
          <w:sz w:val="21"/>
        </w:rPr>
        <w:t>不</w:t>
      </w:r>
      <w:r>
        <w:rPr>
          <w:spacing w:val="-3"/>
          <w:sz w:val="21"/>
        </w:rPr>
        <w:t>计</w:t>
      </w:r>
      <w:r>
        <w:rPr>
          <w:sz w:val="21"/>
        </w:rPr>
        <w:t>。</w:t>
      </w:r>
    </w:p>
    <w:p>
      <w:pPr>
        <w:pStyle w:val="BodyText"/>
        <w:spacing w:before="5"/>
        <w:rPr>
          <w:sz w:val="13"/>
        </w:rPr>
      </w:pPr>
    </w:p>
    <w:p>
      <w:pPr>
        <w:spacing w:after="0"/>
        <w:rPr>
          <w:sz w:val="13"/>
        </w:rPr>
        <w:sectPr>
          <w:type w:val="continuous"/>
          <w:pgSz w:w="11900" w:h="16840"/>
          <w:pgMar w:top="1380" w:bottom="280" w:left="860" w:right="840"/>
        </w:sectPr>
      </w:pPr>
    </w:p>
    <w:p>
      <w:pPr>
        <w:pStyle w:val="Heading3"/>
        <w:numPr>
          <w:ilvl w:val="1"/>
          <w:numId w:val="8"/>
        </w:numPr>
        <w:tabs>
          <w:tab w:pos="949" w:val="left" w:leader="none"/>
          <w:tab w:pos="950" w:val="left" w:leader="none"/>
        </w:tabs>
        <w:spacing w:line="247" w:lineRule="auto" w:before="0" w:after="0"/>
        <w:ind w:left="949" w:right="0" w:hanging="739"/>
        <w:jc w:val="left"/>
      </w:pPr>
      <w:r>
        <w:rPr/>
        <w:t>初次患有重大疾病</w:t>
      </w:r>
    </w:p>
    <w:p>
      <w:pPr>
        <w:pStyle w:val="BodyText"/>
        <w:spacing w:line="300" w:lineRule="auto" w:before="37"/>
        <w:ind w:left="210" w:right="219"/>
      </w:pPr>
      <w:r>
        <w:rPr/>
        <w:br w:type="column"/>
      </w:r>
      <w:r>
        <w:rPr/>
        <w:t>指被保险人自本附加险合同生效之日或最后复效日起 90 日后初次患有本附加险合同所指的重大疾病，不包括被保险人在本附加险合同生效前所患或出现的疾病</w:t>
      </w:r>
    </w:p>
    <w:p>
      <w:pPr>
        <w:pStyle w:val="BodyText"/>
        <w:spacing w:before="16"/>
        <w:ind w:left="210"/>
      </w:pPr>
      <w:r>
        <w:rPr/>
        <w:t>（</w:t>
      </w:r>
      <w:r>
        <w:rPr>
          <w:spacing w:val="-3"/>
        </w:rPr>
        <w:t>或其并发症</w:t>
      </w:r>
      <w:r>
        <w:rPr>
          <w:spacing w:val="-108"/>
        </w:rPr>
        <w:t>）</w:t>
      </w:r>
      <w:r>
        <w:rPr>
          <w:spacing w:val="-10"/>
        </w:rPr>
        <w:t>、症状、体征、生理缺陷、残疾，但本公司在同意承保时或复效时</w:t>
      </w:r>
    </w:p>
    <w:p>
      <w:pPr>
        <w:spacing w:after="0"/>
        <w:sectPr>
          <w:type w:val="continuous"/>
          <w:pgSz w:w="11900" w:h="16840"/>
          <w:pgMar w:top="1380" w:bottom="280" w:left="860" w:right="840"/>
          <w:cols w:num="2" w:equalWidth="0">
            <w:col w:w="2217" w:space="152"/>
            <w:col w:w="783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79"/>
        <w:gridCol w:w="7664"/>
      </w:tblGrid>
      <w:tr>
        <w:trPr>
          <w:trHeight w:val="356" w:hRule="atLeast"/>
        </w:trPr>
        <w:tc>
          <w:tcPr>
            <w:tcW w:w="2310" w:type="dxa"/>
            <w:gridSpan w:val="2"/>
          </w:tcPr>
          <w:p>
            <w:pPr>
              <w:pStyle w:val="TableParagraph"/>
              <w:rPr>
                <w:rFonts w:ascii="Times New Roman"/>
                <w:sz w:val="20"/>
              </w:rPr>
            </w:pPr>
          </w:p>
        </w:tc>
        <w:tc>
          <w:tcPr>
            <w:tcW w:w="7664" w:type="dxa"/>
          </w:tcPr>
          <w:p>
            <w:pPr>
              <w:pStyle w:val="TableParagraph"/>
              <w:spacing w:line="211" w:lineRule="exact"/>
              <w:ind w:left="108"/>
              <w:rPr>
                <w:sz w:val="21"/>
              </w:rPr>
            </w:pPr>
            <w:r>
              <w:rPr>
                <w:sz w:val="21"/>
              </w:rPr>
              <w:t>已知晓并书面认可的不在此限。</w:t>
            </w:r>
          </w:p>
        </w:tc>
      </w:tr>
      <w:tr>
        <w:trPr>
          <w:trHeight w:val="430" w:hRule="atLeast"/>
        </w:trPr>
        <w:tc>
          <w:tcPr>
            <w:tcW w:w="631" w:type="dxa"/>
          </w:tcPr>
          <w:p>
            <w:pPr>
              <w:pStyle w:val="TableParagraph"/>
              <w:spacing w:before="35"/>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6</w:t>
            </w:r>
          </w:p>
        </w:tc>
        <w:tc>
          <w:tcPr>
            <w:tcW w:w="1679" w:type="dxa"/>
          </w:tcPr>
          <w:p>
            <w:pPr>
              <w:pStyle w:val="TableParagraph"/>
              <w:spacing w:before="35"/>
              <w:ind w:left="158"/>
              <w:rPr>
                <w:rFonts w:ascii="微软雅黑" w:eastAsia="微软雅黑" w:hint="eastAsia"/>
                <w:b/>
                <w:sz w:val="21"/>
              </w:rPr>
            </w:pPr>
            <w:r>
              <w:rPr>
                <w:rFonts w:ascii="微软雅黑" w:eastAsia="微软雅黑" w:hint="eastAsia"/>
                <w:b/>
                <w:sz w:val="21"/>
              </w:rPr>
              <w:t>医院</w:t>
            </w:r>
          </w:p>
        </w:tc>
        <w:tc>
          <w:tcPr>
            <w:tcW w:w="7664" w:type="dxa"/>
          </w:tcPr>
          <w:p>
            <w:pPr>
              <w:pStyle w:val="TableParagraph"/>
              <w:spacing w:before="81"/>
              <w:ind w:left="108"/>
              <w:rPr>
                <w:sz w:val="21"/>
              </w:rPr>
            </w:pPr>
            <w:r>
              <w:rPr>
                <w:sz w:val="21"/>
              </w:rPr>
              <w:t>指经国家卫生部门审核的二级或二级以上的综合性医院或专科医院，但不包括作</w:t>
            </w:r>
          </w:p>
        </w:tc>
      </w:tr>
      <w:tr>
        <w:trPr>
          <w:trHeight w:val="334"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69" w:lineRule="exact"/>
              <w:ind w:left="108"/>
              <w:rPr>
                <w:sz w:val="21"/>
              </w:rPr>
            </w:pPr>
            <w:r>
              <w:rPr>
                <w:sz w:val="21"/>
              </w:rPr>
              <w:t>为诊所、康复、联合病房、家庭病床、护理、修养或戒酒、戒毒等医疗机构。该</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pacing w:val="-9"/>
                <w:sz w:val="21"/>
              </w:rPr>
              <w:t>医院必须具有系统的、充分的诊断设备，全套外科手术设备并提供 </w:t>
            </w:r>
            <w:r>
              <w:rPr>
                <w:sz w:val="21"/>
              </w:rPr>
              <w:t>24</w:t>
            </w:r>
            <w:r>
              <w:rPr>
                <w:spacing w:val="-9"/>
                <w:sz w:val="21"/>
              </w:rPr>
              <w:t> 小时的医疗</w:t>
            </w:r>
          </w:p>
        </w:tc>
      </w:tr>
      <w:tr>
        <w:trPr>
          <w:trHeight w:val="412"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z w:val="21"/>
              </w:rPr>
              <w:t>与护理服务。</w:t>
            </w:r>
          </w:p>
        </w:tc>
      </w:tr>
      <w:tr>
        <w:trPr>
          <w:trHeight w:val="517" w:hRule="atLeast"/>
        </w:trPr>
        <w:tc>
          <w:tcPr>
            <w:tcW w:w="631" w:type="dxa"/>
          </w:tcPr>
          <w:p>
            <w:pPr>
              <w:pStyle w:val="TableParagraph"/>
              <w:spacing w:before="26"/>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7</w:t>
            </w:r>
          </w:p>
        </w:tc>
        <w:tc>
          <w:tcPr>
            <w:tcW w:w="1679" w:type="dxa"/>
          </w:tcPr>
          <w:p>
            <w:pPr>
              <w:pStyle w:val="TableParagraph"/>
              <w:spacing w:before="26"/>
              <w:ind w:left="158"/>
              <w:rPr>
                <w:rFonts w:ascii="微软雅黑" w:eastAsia="微软雅黑" w:hint="eastAsia"/>
                <w:b/>
                <w:sz w:val="21"/>
              </w:rPr>
            </w:pPr>
            <w:r>
              <w:rPr>
                <w:rFonts w:ascii="微软雅黑" w:eastAsia="微软雅黑" w:hint="eastAsia"/>
                <w:b/>
                <w:sz w:val="21"/>
              </w:rPr>
              <w:t>重大疾病</w:t>
            </w:r>
          </w:p>
        </w:tc>
        <w:tc>
          <w:tcPr>
            <w:tcW w:w="7664" w:type="dxa"/>
          </w:tcPr>
          <w:p>
            <w:pPr>
              <w:pStyle w:val="TableParagraph"/>
              <w:spacing w:before="72"/>
              <w:ind w:left="108"/>
              <w:rPr>
                <w:sz w:val="21"/>
              </w:rPr>
            </w:pPr>
            <w:r>
              <w:rPr>
                <w:sz w:val="21"/>
              </w:rPr>
              <w:t>被保险人发生符合以下疾病定义所述条件的疾病，应当由专科医生明确诊断。</w:t>
            </w:r>
          </w:p>
        </w:tc>
      </w:tr>
      <w:tr>
        <w:trPr>
          <w:trHeight w:val="430"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90"/>
              <w:ind w:left="106"/>
              <w:rPr>
                <w:sz w:val="21"/>
              </w:rPr>
            </w:pPr>
            <w:r>
              <w:rPr>
                <w:spacing w:val="-7"/>
                <w:sz w:val="21"/>
              </w:rPr>
              <w:t>被保险人年满 </w:t>
            </w:r>
            <w:r>
              <w:rPr>
                <w:sz w:val="21"/>
              </w:rPr>
              <w:t>18</w:t>
            </w:r>
            <w:r>
              <w:rPr>
                <w:spacing w:val="-9"/>
                <w:sz w:val="21"/>
              </w:rPr>
              <w:t> 周岁前本公司对被保险人初次患有的如下 </w:t>
            </w:r>
            <w:r>
              <w:rPr>
                <w:sz w:val="21"/>
              </w:rPr>
              <w:t>25</w:t>
            </w:r>
            <w:r>
              <w:rPr>
                <w:spacing w:val="-8"/>
                <w:sz w:val="21"/>
              </w:rPr>
              <w:t> 种重大疾病承担保</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6"/>
              <w:rPr>
                <w:sz w:val="21"/>
              </w:rPr>
            </w:pPr>
            <w:r>
              <w:rPr>
                <w:sz w:val="21"/>
              </w:rPr>
              <w:t>险责任：</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z w:val="21"/>
              </w:rPr>
              <w:t>（1-20</w:t>
            </w:r>
            <w:r>
              <w:rPr>
                <w:spacing w:val="-24"/>
                <w:sz w:val="21"/>
              </w:rPr>
              <w:t> 为 </w:t>
            </w:r>
            <w:r>
              <w:rPr>
                <w:sz w:val="21"/>
              </w:rPr>
              <w:t>2007</w:t>
            </w:r>
            <w:r>
              <w:rPr>
                <w:spacing w:val="-25"/>
                <w:sz w:val="21"/>
              </w:rPr>
              <w:t> 年 </w:t>
            </w:r>
            <w:r>
              <w:rPr>
                <w:sz w:val="21"/>
              </w:rPr>
              <w:t>4</w:t>
            </w:r>
            <w:r>
              <w:rPr>
                <w:spacing w:val="-24"/>
                <w:sz w:val="21"/>
              </w:rPr>
              <w:t> 月 </w:t>
            </w:r>
            <w:r>
              <w:rPr>
                <w:sz w:val="21"/>
              </w:rPr>
              <w:t>3</w:t>
            </w:r>
            <w:r>
              <w:rPr>
                <w:spacing w:val="-7"/>
                <w:sz w:val="21"/>
              </w:rPr>
              <w:t> 日正式启用的《重大疾病保险的疾病定义使用规范》的</w:t>
            </w:r>
          </w:p>
        </w:tc>
      </w:tr>
      <w:tr>
        <w:trPr>
          <w:trHeight w:val="416"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z w:val="21"/>
              </w:rPr>
              <w:t>规范定义疾病，该规范由中国保险行业协会制定）</w:t>
            </w:r>
          </w:p>
        </w:tc>
      </w:tr>
      <w:tr>
        <w:trPr>
          <w:trHeight w:val="452" w:hRule="atLeast"/>
        </w:trPr>
        <w:tc>
          <w:tcPr>
            <w:tcW w:w="631" w:type="dxa"/>
          </w:tcPr>
          <w:p>
            <w:pPr>
              <w:pStyle w:val="TableParagraph"/>
              <w:rPr>
                <w:rFonts w:ascii="Times New Roman"/>
                <w:sz w:val="20"/>
              </w:rPr>
            </w:pPr>
          </w:p>
        </w:tc>
        <w:tc>
          <w:tcPr>
            <w:tcW w:w="1679" w:type="dxa"/>
          </w:tcPr>
          <w:p>
            <w:pPr>
              <w:pStyle w:val="TableParagraph"/>
              <w:spacing w:before="13"/>
              <w:ind w:left="158"/>
              <w:rPr>
                <w:sz w:val="21"/>
              </w:rPr>
            </w:pPr>
            <w:r>
              <w:rPr>
                <w:rFonts w:ascii="微软雅黑" w:eastAsia="微软雅黑" w:hint="eastAsia"/>
                <w:b/>
                <w:w w:val="81"/>
                <w:sz w:val="21"/>
              </w:rPr>
              <w:t>1</w:t>
            </w:r>
            <w:r>
              <w:rPr>
                <w:rFonts w:ascii="微软雅黑" w:eastAsia="微软雅黑" w:hint="eastAsia"/>
                <w:b/>
                <w:w w:val="175"/>
                <w:sz w:val="21"/>
              </w:rPr>
              <w:t>.</w:t>
            </w:r>
            <w:r>
              <w:rPr>
                <w:rFonts w:ascii="微软雅黑" w:eastAsia="微软雅黑" w:hint="eastAsia"/>
                <w:b/>
                <w:spacing w:val="-15"/>
                <w:sz w:val="21"/>
              </w:rPr>
              <w:t> </w:t>
            </w:r>
            <w:r>
              <w:rPr>
                <w:spacing w:val="-1"/>
                <w:w w:val="100"/>
                <w:sz w:val="21"/>
              </w:rPr>
              <w:t>恶性肿瘤</w:t>
            </w:r>
          </w:p>
        </w:tc>
        <w:tc>
          <w:tcPr>
            <w:tcW w:w="7664" w:type="dxa"/>
          </w:tcPr>
          <w:p>
            <w:pPr>
              <w:pStyle w:val="TableParagraph"/>
              <w:spacing w:before="111"/>
              <w:ind w:left="108"/>
              <w:rPr>
                <w:sz w:val="21"/>
              </w:rPr>
            </w:pPr>
            <w:r>
              <w:rPr>
                <w:sz w:val="21"/>
              </w:rPr>
              <w:t>指恶性细胞不受控制的进行性增长和扩散，浸润和破坏周围正常组织，可以经血</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pacing w:val="-9"/>
                <w:sz w:val="21"/>
              </w:rPr>
              <w:t>管、淋巴管和体腔扩散转移到身体其它部位的疾病。经病理学检查结果明确诊断，</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pacing w:val="-5"/>
                <w:sz w:val="21"/>
              </w:rPr>
              <w:t>临床诊断属于世界卫生组织《疾病和有关健康问题的国际统计分类</w:t>
            </w:r>
            <w:r>
              <w:rPr>
                <w:spacing w:val="-128"/>
                <w:sz w:val="21"/>
              </w:rPr>
              <w:t>》</w:t>
            </w:r>
            <w:r>
              <w:rPr>
                <w:spacing w:val="-4"/>
                <w:sz w:val="21"/>
              </w:rPr>
              <w:t>（ICD-10）</w:t>
            </w:r>
            <w:r>
              <w:rPr>
                <w:sz w:val="21"/>
              </w:rPr>
              <w:t>的</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z w:val="21"/>
              </w:rPr>
              <w:t>恶性肿瘤范畴。</w:t>
            </w:r>
          </w:p>
        </w:tc>
      </w:tr>
      <w:tr>
        <w:trPr>
          <w:trHeight w:val="338"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2"/>
              <w:ind w:left="108"/>
              <w:rPr>
                <w:sz w:val="21"/>
              </w:rPr>
            </w:pPr>
            <w:r>
              <w:rPr>
                <w:sz w:val="21"/>
              </w:rPr>
              <w:t>下列疾病不在保障范围内：</w:t>
            </w:r>
          </w:p>
        </w:tc>
      </w:tr>
      <w:tr>
        <w:trPr>
          <w:trHeight w:val="350"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before="7"/>
              <w:ind w:left="108"/>
              <w:rPr>
                <w:sz w:val="21"/>
              </w:rPr>
            </w:pPr>
            <w:r>
              <w:rPr>
                <w:sz w:val="21"/>
              </w:rPr>
              <w:t>（</w:t>
            </w:r>
            <w:r>
              <w:rPr>
                <w:rFonts w:ascii="Arial" w:eastAsia="Arial"/>
                <w:sz w:val="21"/>
              </w:rPr>
              <w:t>1</w:t>
            </w:r>
            <w:r>
              <w:rPr>
                <w:sz w:val="21"/>
              </w:rPr>
              <w:t>） 原位癌；</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89" w:lineRule="exact"/>
              <w:ind w:left="108"/>
              <w:rPr>
                <w:sz w:val="21"/>
              </w:rPr>
            </w:pPr>
            <w:r>
              <w:rPr>
                <w:sz w:val="21"/>
              </w:rPr>
              <w:t>（</w:t>
            </w:r>
            <w:r>
              <w:rPr>
                <w:rFonts w:ascii="Arial" w:eastAsia="Arial"/>
                <w:sz w:val="21"/>
              </w:rPr>
              <w:t>2</w:t>
            </w:r>
            <w:r>
              <w:rPr>
                <w:sz w:val="21"/>
              </w:rPr>
              <w:t>） 相当于 Binet 分期方案 A 期程度的慢性淋巴细胞白血病；</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89" w:lineRule="exact"/>
              <w:ind w:left="108"/>
              <w:rPr>
                <w:sz w:val="21"/>
              </w:rPr>
            </w:pPr>
            <w:r>
              <w:rPr>
                <w:sz w:val="21"/>
              </w:rPr>
              <w:t>（</w:t>
            </w:r>
            <w:r>
              <w:rPr>
                <w:rFonts w:ascii="Arial" w:eastAsia="Arial"/>
                <w:sz w:val="21"/>
              </w:rPr>
              <w:t>3</w:t>
            </w:r>
            <w:r>
              <w:rPr>
                <w:sz w:val="21"/>
              </w:rPr>
              <w:t>） 相当于 Ann Arbor 分期方案 I 期程度的何杰金氏病；</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89" w:lineRule="exact"/>
              <w:ind w:left="108"/>
              <w:rPr>
                <w:sz w:val="21"/>
              </w:rPr>
            </w:pPr>
            <w:r>
              <w:rPr>
                <w:w w:val="100"/>
                <w:sz w:val="21"/>
              </w:rPr>
              <w:t>（</w:t>
            </w:r>
            <w:r>
              <w:rPr>
                <w:rFonts w:ascii="Arial" w:eastAsia="Arial"/>
                <w:w w:val="100"/>
                <w:sz w:val="21"/>
              </w:rPr>
              <w:t>4</w:t>
            </w:r>
            <w:r>
              <w:rPr>
                <w:w w:val="100"/>
                <w:sz w:val="21"/>
              </w:rPr>
              <w:t>）</w:t>
            </w:r>
            <w:r>
              <w:rPr>
                <w:spacing w:val="-79"/>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r>
        <w:trPr>
          <w:trHeight w:val="343"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89" w:lineRule="exact"/>
              <w:ind w:left="108"/>
              <w:rPr>
                <w:sz w:val="21"/>
              </w:rPr>
            </w:pPr>
            <w:r>
              <w:rPr>
                <w:sz w:val="21"/>
              </w:rPr>
              <w:t>（</w:t>
            </w:r>
            <w:r>
              <w:rPr>
                <w:rFonts w:ascii="Arial" w:eastAsia="Arial"/>
                <w:sz w:val="21"/>
              </w:rPr>
              <w:t>5</w:t>
            </w:r>
            <w:r>
              <w:rPr>
                <w:sz w:val="21"/>
              </w:rPr>
              <w:t>）</w:t>
            </w:r>
            <w:r>
              <w:rPr>
                <w:spacing w:val="-76"/>
                <w:sz w:val="21"/>
              </w:rPr>
              <w:t> </w:t>
            </w:r>
            <w:r>
              <w:rPr>
                <w:sz w:val="21"/>
              </w:rPr>
              <w:t>TNM</w:t>
            </w:r>
            <w:r>
              <w:rPr>
                <w:spacing w:val="-21"/>
                <w:sz w:val="21"/>
              </w:rPr>
              <w:t> 分期为 </w:t>
            </w:r>
            <w:r>
              <w:rPr>
                <w:sz w:val="21"/>
              </w:rPr>
              <w:t>T1N0M0</w:t>
            </w:r>
            <w:r>
              <w:rPr>
                <w:spacing w:val="-8"/>
                <w:sz w:val="21"/>
              </w:rPr>
              <w:t> 期或更轻分期的前列腺癌；</w:t>
            </w:r>
          </w:p>
        </w:tc>
      </w:tr>
      <w:tr>
        <w:trPr>
          <w:trHeight w:val="410" w:hRule="atLeast"/>
        </w:trPr>
        <w:tc>
          <w:tcPr>
            <w:tcW w:w="631" w:type="dxa"/>
          </w:tcPr>
          <w:p>
            <w:pPr>
              <w:pStyle w:val="TableParagraph"/>
              <w:rPr>
                <w:rFonts w:ascii="Times New Roman"/>
                <w:sz w:val="20"/>
              </w:rPr>
            </w:pPr>
          </w:p>
        </w:tc>
        <w:tc>
          <w:tcPr>
            <w:tcW w:w="1679" w:type="dxa"/>
          </w:tcPr>
          <w:p>
            <w:pPr>
              <w:pStyle w:val="TableParagraph"/>
              <w:rPr>
                <w:rFonts w:ascii="Times New Roman"/>
                <w:sz w:val="20"/>
              </w:rPr>
            </w:pPr>
          </w:p>
        </w:tc>
        <w:tc>
          <w:tcPr>
            <w:tcW w:w="7664" w:type="dxa"/>
          </w:tcPr>
          <w:p>
            <w:pPr>
              <w:pStyle w:val="TableParagraph"/>
              <w:spacing w:line="289" w:lineRule="exact"/>
              <w:ind w:left="108"/>
              <w:rPr>
                <w:sz w:val="21"/>
              </w:rPr>
            </w:pPr>
            <w:r>
              <w:rPr>
                <w:sz w:val="21"/>
              </w:rPr>
              <w:t>（</w:t>
            </w:r>
            <w:r>
              <w:rPr>
                <w:rFonts w:ascii="Arial" w:eastAsia="Arial"/>
                <w:sz w:val="21"/>
              </w:rPr>
              <w:t>6</w:t>
            </w:r>
            <w:r>
              <w:rPr>
                <w:sz w:val="21"/>
              </w:rPr>
              <w:t>） 感染艾滋病病毒或患艾滋病期间所患恶性肿瘤。</w:t>
            </w:r>
          </w:p>
        </w:tc>
      </w:tr>
      <w:tr>
        <w:trPr>
          <w:trHeight w:val="711" w:hRule="atLeast"/>
        </w:trPr>
        <w:tc>
          <w:tcPr>
            <w:tcW w:w="631" w:type="dxa"/>
          </w:tcPr>
          <w:p>
            <w:pPr>
              <w:pStyle w:val="TableParagraph"/>
              <w:rPr>
                <w:rFonts w:ascii="Times New Roman"/>
                <w:sz w:val="20"/>
              </w:rPr>
            </w:pPr>
          </w:p>
        </w:tc>
        <w:tc>
          <w:tcPr>
            <w:tcW w:w="1679" w:type="dxa"/>
          </w:tcPr>
          <w:p>
            <w:pPr>
              <w:pStyle w:val="TableParagraph"/>
              <w:spacing w:line="256" w:lineRule="auto"/>
              <w:ind w:left="417" w:right="105" w:hanging="260"/>
              <w:rPr>
                <w:sz w:val="21"/>
              </w:rPr>
            </w:pPr>
            <w:r>
              <w:rPr>
                <w:rFonts w:ascii="微软雅黑" w:eastAsia="微软雅黑" w:hint="eastAsia"/>
                <w:b/>
                <w:w w:val="81"/>
                <w:sz w:val="21"/>
              </w:rPr>
              <w:t>2</w:t>
            </w:r>
            <w:r>
              <w:rPr>
                <w:rFonts w:ascii="微软雅黑" w:eastAsia="微软雅黑" w:hint="eastAsia"/>
                <w:b/>
                <w:w w:val="175"/>
                <w:sz w:val="21"/>
              </w:rPr>
              <w:t>.</w:t>
            </w:r>
            <w:r>
              <w:rPr>
                <w:rFonts w:ascii="微软雅黑" w:eastAsia="微软雅黑" w:hint="eastAsia"/>
                <w:b/>
                <w:sz w:val="21"/>
              </w:rPr>
              <w:t> </w:t>
            </w:r>
            <w:r>
              <w:rPr>
                <w:w w:val="100"/>
                <w:sz w:val="21"/>
              </w:rPr>
              <w:t>重大器官移</w:t>
            </w:r>
            <w:r>
              <w:rPr>
                <w:sz w:val="21"/>
              </w:rPr>
              <w:t>植术或造血</w:t>
            </w:r>
          </w:p>
        </w:tc>
        <w:tc>
          <w:tcPr>
            <w:tcW w:w="7664" w:type="dxa"/>
          </w:tcPr>
          <w:p>
            <w:pPr>
              <w:pStyle w:val="TableParagraph"/>
              <w:spacing w:line="340" w:lineRule="atLeast" w:before="28"/>
              <w:ind w:left="108" w:right="154"/>
              <w:rPr>
                <w:sz w:val="21"/>
              </w:rPr>
            </w:pPr>
            <w:r>
              <w:rPr>
                <w:sz w:val="21"/>
              </w:rPr>
              <w:t>重大器官移植术，指因相应器官功能衰竭，已经实施了肾脏、肝脏、心脏或肺脏的异体移植手术。</w:t>
            </w:r>
          </w:p>
        </w:tc>
      </w:tr>
    </w:tbl>
    <w:p>
      <w:pPr>
        <w:spacing w:after="0" w:line="340" w:lineRule="atLeast"/>
        <w:rPr>
          <w:sz w:val="21"/>
        </w:rPr>
        <w:sectPr>
          <w:pgSz w:w="11900" w:h="16840"/>
          <w:pgMar w:header="0" w:footer="461" w:top="1360" w:bottom="660" w:left="920" w:right="800"/>
        </w:sectPr>
      </w:pPr>
    </w:p>
    <w:p>
      <w:pPr>
        <w:pStyle w:val="BodyText"/>
        <w:spacing w:line="285" w:lineRule="auto" w:before="5"/>
        <w:ind w:left="1148"/>
      </w:pPr>
      <w:r>
        <w:rPr/>
        <w:t>干细胞移植术</w:t>
      </w:r>
    </w:p>
    <w:p>
      <w:pPr>
        <w:pStyle w:val="BodyText"/>
        <w:spacing w:line="300" w:lineRule="auto" w:before="74"/>
        <w:ind w:left="176" w:right="259"/>
        <w:jc w:val="both"/>
      </w:pPr>
      <w:r>
        <w:rPr/>
        <w:br w:type="column"/>
      </w:r>
      <w:r>
        <w:rPr/>
        <w:t>造血干细胞移植术，指因造血功能损害或造血系统恶性肿瘤，已经实施了造血干细胞（包括骨髓造血干细胞、外周血造血干细胞和脐血造血干细胞）的异体移植手术。</w:t>
      </w:r>
    </w:p>
    <w:p>
      <w:pPr>
        <w:spacing w:after="0" w:line="300" w:lineRule="auto"/>
        <w:jc w:val="both"/>
        <w:sectPr>
          <w:type w:val="continuous"/>
          <w:pgSz w:w="11900" w:h="16840"/>
          <w:pgMar w:top="1380" w:bottom="280" w:left="920" w:right="800"/>
          <w:cols w:num="2" w:equalWidth="0">
            <w:col w:w="2304" w:space="40"/>
            <w:col w:w="7836"/>
          </w:cols>
        </w:sectPr>
      </w:pPr>
    </w:p>
    <w:p>
      <w:pPr>
        <w:pStyle w:val="BodyText"/>
        <w:spacing w:before="9"/>
        <w:rPr>
          <w:sz w:val="7"/>
        </w:rPr>
      </w:pPr>
    </w:p>
    <w:p>
      <w:pPr>
        <w:spacing w:after="0"/>
        <w:rPr>
          <w:sz w:val="7"/>
        </w:rPr>
        <w:sectPr>
          <w:type w:val="continuous"/>
          <w:pgSz w:w="11900" w:h="16840"/>
          <w:pgMar w:top="1380" w:bottom="280" w:left="920" w:right="800"/>
        </w:sectPr>
      </w:pPr>
    </w:p>
    <w:p>
      <w:pPr>
        <w:pStyle w:val="ListParagraph"/>
        <w:numPr>
          <w:ilvl w:val="0"/>
          <w:numId w:val="12"/>
        </w:numPr>
        <w:tabs>
          <w:tab w:pos="1149" w:val="left" w:leader="none"/>
        </w:tabs>
        <w:spacing w:line="337" w:lineRule="exact" w:before="0" w:after="0"/>
        <w:ind w:left="1148" w:right="0" w:hanging="259"/>
        <w:jc w:val="left"/>
        <w:rPr>
          <w:sz w:val="21"/>
        </w:rPr>
      </w:pPr>
      <w:r>
        <w:rPr>
          <w:spacing w:val="17"/>
          <w:sz w:val="21"/>
        </w:rPr>
        <w:t>终末期肾病</w:t>
      </w:r>
    </w:p>
    <w:p>
      <w:pPr>
        <w:pStyle w:val="BodyText"/>
        <w:spacing w:line="285" w:lineRule="auto" w:before="26"/>
        <w:ind w:left="1148"/>
        <w:jc w:val="both"/>
      </w:pPr>
      <w:r>
        <w:rPr/>
        <w:t>（ 或称慢性肾功能衰竭尿毒症期）</w:t>
      </w:r>
    </w:p>
    <w:p>
      <w:pPr>
        <w:pStyle w:val="BodyText"/>
        <w:spacing w:line="300" w:lineRule="auto" w:before="73"/>
        <w:ind w:left="176" w:right="262"/>
      </w:pPr>
      <w:r>
        <w:rPr/>
        <w:br w:type="column"/>
      </w:r>
      <w:r>
        <w:rPr>
          <w:spacing w:val="-9"/>
        </w:rPr>
        <w:t>指双肾功能慢性不可逆性衰竭，达到尿毒症期，经诊断后已经进行了至少 </w:t>
      </w:r>
      <w:r>
        <w:rPr/>
        <w:t>90</w:t>
      </w:r>
      <w:r>
        <w:rPr>
          <w:spacing w:val="-14"/>
        </w:rPr>
        <w:t> 天的</w:t>
      </w:r>
      <w:r>
        <w:rPr>
          <w:spacing w:val="-7"/>
        </w:rPr>
        <w:t>规律性透析治疗或实施了肾脏移植手术。</w:t>
      </w:r>
    </w:p>
    <w:p>
      <w:pPr>
        <w:spacing w:after="0" w:line="300" w:lineRule="auto"/>
        <w:sectPr>
          <w:type w:val="continuous"/>
          <w:pgSz w:w="11900" w:h="16840"/>
          <w:pgMar w:top="1380" w:bottom="280" w:left="920" w:right="800"/>
          <w:cols w:num="2" w:equalWidth="0">
            <w:col w:w="2304" w:space="40"/>
            <w:col w:w="7836"/>
          </w:cols>
        </w:sectPr>
      </w:pPr>
    </w:p>
    <w:p>
      <w:pPr>
        <w:pStyle w:val="BodyText"/>
        <w:spacing w:before="5"/>
        <w:rPr>
          <w:sz w:val="10"/>
        </w:rPr>
      </w:pPr>
    </w:p>
    <w:p>
      <w:pPr>
        <w:spacing w:after="0"/>
        <w:rPr>
          <w:sz w:val="10"/>
        </w:rPr>
        <w:sectPr>
          <w:type w:val="continuous"/>
          <w:pgSz w:w="11900" w:h="16840"/>
          <w:pgMar w:top="1380" w:bottom="280" w:left="920" w:right="800"/>
        </w:sectPr>
      </w:pPr>
    </w:p>
    <w:p>
      <w:pPr>
        <w:pStyle w:val="ListParagraph"/>
        <w:numPr>
          <w:ilvl w:val="0"/>
          <w:numId w:val="12"/>
        </w:numPr>
        <w:tabs>
          <w:tab w:pos="1149" w:val="left" w:leader="none"/>
        </w:tabs>
        <w:spacing w:line="326" w:lineRule="exact" w:before="21" w:after="0"/>
        <w:ind w:left="1148" w:right="0" w:hanging="259"/>
        <w:jc w:val="left"/>
        <w:rPr>
          <w:sz w:val="21"/>
        </w:rPr>
      </w:pPr>
      <w:r>
        <w:rPr>
          <w:spacing w:val="17"/>
          <w:sz w:val="21"/>
        </w:rPr>
        <w:t>多个肢体缺失</w:t>
      </w:r>
    </w:p>
    <w:p>
      <w:pPr>
        <w:pStyle w:val="BodyText"/>
        <w:spacing w:line="300" w:lineRule="auto" w:before="72"/>
        <w:ind w:left="176" w:right="259"/>
      </w:pPr>
      <w:r>
        <w:rPr/>
        <w:br w:type="column"/>
      </w:r>
      <w:r>
        <w:rPr/>
        <w:t>指因疾病或意外伤害导致两个或两个以上肢体自腕关节或踝关节近端（靠近躯干端）以上完全性断离。</w:t>
      </w:r>
    </w:p>
    <w:p>
      <w:pPr>
        <w:spacing w:after="0" w:line="300" w:lineRule="auto"/>
        <w:sectPr>
          <w:type w:val="continuous"/>
          <w:pgSz w:w="11900" w:h="16840"/>
          <w:pgMar w:top="1380" w:bottom="280" w:left="920" w:right="800"/>
          <w:cols w:num="2" w:equalWidth="0">
            <w:col w:w="2304" w:space="40"/>
            <w:col w:w="7836"/>
          </w:cols>
        </w:sectPr>
      </w:pPr>
    </w:p>
    <w:p>
      <w:pPr>
        <w:pStyle w:val="BodyText"/>
        <w:spacing w:before="9"/>
        <w:rPr>
          <w:sz w:val="7"/>
        </w:rPr>
      </w:pPr>
    </w:p>
    <w:p>
      <w:pPr>
        <w:spacing w:after="0"/>
        <w:rPr>
          <w:sz w:val="7"/>
        </w:rPr>
        <w:sectPr>
          <w:type w:val="continuous"/>
          <w:pgSz w:w="11900" w:h="16840"/>
          <w:pgMar w:top="1380" w:bottom="280" w:left="920" w:right="800"/>
        </w:sectPr>
      </w:pPr>
    </w:p>
    <w:p>
      <w:pPr>
        <w:pStyle w:val="ListParagraph"/>
        <w:numPr>
          <w:ilvl w:val="0"/>
          <w:numId w:val="12"/>
        </w:numPr>
        <w:tabs>
          <w:tab w:pos="1149" w:val="left" w:leader="none"/>
        </w:tabs>
        <w:spacing w:line="326" w:lineRule="exact" w:before="21" w:after="0"/>
        <w:ind w:left="1148" w:right="0" w:hanging="259"/>
        <w:jc w:val="left"/>
        <w:rPr>
          <w:sz w:val="21"/>
        </w:rPr>
      </w:pPr>
      <w:r>
        <w:rPr>
          <w:spacing w:val="17"/>
          <w:sz w:val="21"/>
        </w:rPr>
        <w:t>急性或亚急</w:t>
      </w:r>
      <w:r>
        <w:rPr>
          <w:spacing w:val="5"/>
          <w:sz w:val="21"/>
        </w:rPr>
        <w:t>性重症肝炎</w:t>
      </w:r>
    </w:p>
    <w:p>
      <w:pPr>
        <w:pStyle w:val="BodyText"/>
        <w:spacing w:line="300" w:lineRule="auto" w:before="73"/>
        <w:ind w:left="176" w:right="259"/>
      </w:pPr>
      <w:r>
        <w:rPr/>
        <w:br w:type="column"/>
      </w:r>
      <w:r>
        <w:rPr/>
        <w:t>指因肝炎病毒感染引起肝脏组织弥漫性坏死，导致急性肝功能衰竭，且经血清学或病毒学检查证实，并须满足下列全部条件：</w:t>
      </w:r>
    </w:p>
    <w:p>
      <w:pPr>
        <w:pStyle w:val="ListParagraph"/>
        <w:numPr>
          <w:ilvl w:val="0"/>
          <w:numId w:val="13"/>
        </w:numPr>
        <w:tabs>
          <w:tab w:pos="743" w:val="left" w:leader="none"/>
        </w:tabs>
        <w:spacing w:line="240" w:lineRule="auto" w:before="15" w:after="0"/>
        <w:ind w:left="742" w:right="0" w:hanging="566"/>
        <w:jc w:val="left"/>
        <w:rPr>
          <w:sz w:val="21"/>
        </w:rPr>
      </w:pPr>
      <w:r>
        <w:rPr>
          <w:spacing w:val="-3"/>
          <w:sz w:val="21"/>
        </w:rPr>
        <w:t>重度黄疸或黄疸迅速加重；</w:t>
      </w:r>
    </w:p>
    <w:p>
      <w:pPr>
        <w:pStyle w:val="ListParagraph"/>
        <w:numPr>
          <w:ilvl w:val="0"/>
          <w:numId w:val="13"/>
        </w:numPr>
        <w:tabs>
          <w:tab w:pos="743" w:val="left" w:leader="none"/>
        </w:tabs>
        <w:spacing w:line="240" w:lineRule="auto" w:before="52" w:after="0"/>
        <w:ind w:left="742" w:right="0" w:hanging="566"/>
        <w:jc w:val="left"/>
        <w:rPr>
          <w:sz w:val="21"/>
        </w:rPr>
      </w:pPr>
      <w:r>
        <w:rPr>
          <w:spacing w:val="-1"/>
          <w:sz w:val="21"/>
        </w:rPr>
        <w:t>肝性脑病；</w:t>
      </w:r>
    </w:p>
    <w:p>
      <w:pPr>
        <w:pStyle w:val="ListParagraph"/>
        <w:numPr>
          <w:ilvl w:val="0"/>
          <w:numId w:val="13"/>
        </w:numPr>
        <w:tabs>
          <w:tab w:pos="743" w:val="left" w:leader="none"/>
        </w:tabs>
        <w:spacing w:line="240" w:lineRule="auto" w:before="52" w:after="0"/>
        <w:ind w:left="742" w:right="0" w:hanging="566"/>
        <w:jc w:val="left"/>
        <w:rPr>
          <w:sz w:val="21"/>
        </w:rPr>
      </w:pPr>
      <w:r>
        <w:rPr>
          <w:sz w:val="21"/>
        </w:rPr>
        <w:t>B</w:t>
      </w:r>
      <w:r>
        <w:rPr>
          <w:spacing w:val="-7"/>
          <w:sz w:val="21"/>
        </w:rPr>
        <w:t> 超或其它影像学检查显示肝脏体积急速萎缩；</w:t>
      </w:r>
    </w:p>
    <w:p>
      <w:pPr>
        <w:pStyle w:val="ListParagraph"/>
        <w:numPr>
          <w:ilvl w:val="0"/>
          <w:numId w:val="13"/>
        </w:numPr>
        <w:tabs>
          <w:tab w:pos="743" w:val="left" w:leader="none"/>
        </w:tabs>
        <w:spacing w:line="240" w:lineRule="auto" w:before="52" w:after="0"/>
        <w:ind w:left="742" w:right="0" w:hanging="566"/>
        <w:jc w:val="left"/>
        <w:rPr>
          <w:sz w:val="21"/>
        </w:rPr>
      </w:pPr>
      <w:r>
        <w:rPr>
          <w:spacing w:val="-3"/>
          <w:sz w:val="21"/>
        </w:rPr>
        <w:t>肝功能指标进行性恶化。</w:t>
      </w:r>
    </w:p>
    <w:p>
      <w:pPr>
        <w:spacing w:after="0" w:line="240" w:lineRule="auto"/>
        <w:jc w:val="left"/>
        <w:rPr>
          <w:sz w:val="21"/>
        </w:rPr>
        <w:sectPr>
          <w:type w:val="continuous"/>
          <w:pgSz w:w="11900" w:h="16840"/>
          <w:pgMar w:top="1380" w:bottom="280" w:left="920" w:right="800"/>
          <w:cols w:num="2" w:equalWidth="0">
            <w:col w:w="2304" w:space="40"/>
            <w:col w:w="7836"/>
          </w:cols>
        </w:sectPr>
      </w:pPr>
    </w:p>
    <w:p>
      <w:pPr>
        <w:pStyle w:val="ListParagraph"/>
        <w:numPr>
          <w:ilvl w:val="0"/>
          <w:numId w:val="12"/>
        </w:numPr>
        <w:tabs>
          <w:tab w:pos="389" w:val="left" w:leader="none"/>
        </w:tabs>
        <w:spacing w:line="344" w:lineRule="exact" w:before="13" w:after="0"/>
        <w:ind w:left="1759" w:right="116" w:hanging="1630"/>
        <w:jc w:val="both"/>
        <w:rPr>
          <w:sz w:val="21"/>
        </w:rPr>
      </w:pPr>
      <w:r>
        <w:rPr>
          <w:spacing w:val="5"/>
          <w:position w:val="4"/>
          <w:sz w:val="21"/>
        </w:rPr>
        <w:t>良性脑肿瘤 </w:t>
      </w:r>
      <w:r>
        <w:rPr>
          <w:spacing w:val="-8"/>
          <w:sz w:val="21"/>
        </w:rPr>
        <w:t>指脑的良性肿瘤，已经引起颅内压增高，临床表现为视神经乳头水肿、精神症状、</w:t>
      </w:r>
      <w:r>
        <w:rPr>
          <w:w w:val="100"/>
          <w:sz w:val="21"/>
        </w:rPr>
        <w:t>癫</w:t>
      </w:r>
      <w:r>
        <w:rPr>
          <w:spacing w:val="-21"/>
          <w:w w:val="100"/>
          <w:sz w:val="21"/>
        </w:rPr>
        <w:t>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1"/>
          <w:sz w:val="21"/>
        </w:rPr>
        <w:t>或</w:t>
      </w:r>
      <w:r>
        <w:rPr>
          <w:spacing w:val="-3"/>
          <w:sz w:val="21"/>
        </w:rPr>
        <w:t>正电子发射断层扫描</w:t>
      </w:r>
      <w:r>
        <w:rPr>
          <w:sz w:val="21"/>
        </w:rPr>
        <w:t>（PET）</w:t>
      </w:r>
      <w:r>
        <w:rPr>
          <w:spacing w:val="-3"/>
          <w:sz w:val="21"/>
        </w:rPr>
        <w:t>等影像学检查证实，并须满足下列至少一项条件：</w:t>
      </w:r>
    </w:p>
    <w:p>
      <w:pPr>
        <w:pStyle w:val="ListParagraph"/>
        <w:numPr>
          <w:ilvl w:val="1"/>
          <w:numId w:val="12"/>
        </w:numPr>
        <w:tabs>
          <w:tab w:pos="2326" w:val="left" w:leader="none"/>
        </w:tabs>
        <w:spacing w:line="240" w:lineRule="auto" w:before="29" w:after="0"/>
        <w:ind w:left="2325" w:right="0" w:hanging="566"/>
        <w:jc w:val="left"/>
        <w:rPr>
          <w:sz w:val="21"/>
        </w:rPr>
      </w:pPr>
      <w:r>
        <w:rPr>
          <w:spacing w:val="-3"/>
          <w:sz w:val="21"/>
        </w:rPr>
        <w:t>实际实施了开颅进行的脑肿瘤完全切除或部分切除的手术；</w:t>
      </w:r>
    </w:p>
    <w:p>
      <w:pPr>
        <w:pStyle w:val="ListParagraph"/>
        <w:numPr>
          <w:ilvl w:val="1"/>
          <w:numId w:val="12"/>
        </w:numPr>
        <w:tabs>
          <w:tab w:pos="2326" w:val="left" w:leader="none"/>
        </w:tabs>
        <w:spacing w:line="240" w:lineRule="auto" w:before="53" w:after="0"/>
        <w:ind w:left="2325" w:right="0" w:hanging="566"/>
        <w:jc w:val="left"/>
        <w:rPr>
          <w:sz w:val="21"/>
        </w:rPr>
      </w:pPr>
      <w:r>
        <w:rPr>
          <w:spacing w:val="-3"/>
          <w:sz w:val="21"/>
        </w:rPr>
        <w:t>实际实施了对脑肿瘤进行的放射治疗。</w:t>
      </w:r>
    </w:p>
    <w:p>
      <w:pPr>
        <w:pStyle w:val="BodyText"/>
        <w:ind w:left="1759"/>
      </w:pPr>
      <w:r>
        <w:rPr/>
        <w:t>脑垂体瘤、脑囊肿、脑血管性疾病不在保障范围内。</w:t>
      </w:r>
    </w:p>
    <w:p>
      <w:pPr>
        <w:pStyle w:val="BodyText"/>
        <w:spacing w:before="10"/>
        <w:rPr>
          <w:sz w:val="11"/>
        </w:rPr>
      </w:pPr>
    </w:p>
    <w:p>
      <w:pPr>
        <w:spacing w:after="0"/>
        <w:rPr>
          <w:sz w:val="11"/>
        </w:rPr>
        <w:sectPr>
          <w:pgSz w:w="11900" w:h="16840"/>
          <w:pgMar w:header="0" w:footer="461" w:top="1260" w:bottom="660" w:left="1680" w:right="840"/>
        </w:sectPr>
      </w:pPr>
    </w:p>
    <w:p>
      <w:pPr>
        <w:pStyle w:val="ListParagraph"/>
        <w:numPr>
          <w:ilvl w:val="0"/>
          <w:numId w:val="12"/>
        </w:numPr>
        <w:tabs>
          <w:tab w:pos="389" w:val="left" w:leader="none"/>
        </w:tabs>
        <w:spacing w:line="326" w:lineRule="exact" w:before="21" w:after="0"/>
        <w:ind w:left="388" w:right="0" w:hanging="259"/>
        <w:jc w:val="left"/>
        <w:rPr>
          <w:sz w:val="21"/>
        </w:rPr>
      </w:pPr>
      <w:r>
        <w:rPr>
          <w:spacing w:val="17"/>
          <w:sz w:val="21"/>
        </w:rPr>
        <w:t>慢性肝功能衰竭失代偿</w:t>
      </w:r>
    </w:p>
    <w:p>
      <w:pPr>
        <w:pStyle w:val="BodyText"/>
        <w:spacing w:before="18"/>
        <w:ind w:left="388"/>
      </w:pPr>
      <w:r>
        <w:rPr>
          <w:w w:val="100"/>
        </w:rPr>
        <w:t>期</w:t>
      </w:r>
    </w:p>
    <w:p>
      <w:pPr>
        <w:pStyle w:val="BodyText"/>
        <w:spacing w:before="72"/>
        <w:ind w:left="129"/>
      </w:pPr>
      <w:r>
        <w:rPr/>
        <w:br w:type="column"/>
      </w:r>
      <w:r>
        <w:rPr/>
        <w:t>指因慢性肝脏疾病导致肝功能衰竭。须满足下列全部条件：</w:t>
      </w:r>
    </w:p>
    <w:p>
      <w:pPr>
        <w:pStyle w:val="ListParagraph"/>
        <w:numPr>
          <w:ilvl w:val="0"/>
          <w:numId w:val="14"/>
        </w:numPr>
        <w:tabs>
          <w:tab w:pos="696" w:val="left" w:leader="none"/>
        </w:tabs>
        <w:spacing w:line="240" w:lineRule="auto" w:before="68" w:after="0"/>
        <w:ind w:left="129" w:right="0" w:firstLine="0"/>
        <w:jc w:val="left"/>
        <w:rPr>
          <w:sz w:val="21"/>
        </w:rPr>
      </w:pPr>
      <w:r>
        <w:rPr>
          <w:spacing w:val="-2"/>
          <w:sz w:val="21"/>
        </w:rPr>
        <w:t>持续性黄疸；</w:t>
      </w:r>
    </w:p>
    <w:p>
      <w:pPr>
        <w:pStyle w:val="ListParagraph"/>
        <w:numPr>
          <w:ilvl w:val="0"/>
          <w:numId w:val="14"/>
        </w:numPr>
        <w:tabs>
          <w:tab w:pos="696" w:val="left" w:leader="none"/>
        </w:tabs>
        <w:spacing w:line="240" w:lineRule="auto" w:before="53" w:after="0"/>
        <w:ind w:left="129" w:right="0" w:firstLine="0"/>
        <w:jc w:val="left"/>
        <w:rPr>
          <w:sz w:val="21"/>
        </w:rPr>
      </w:pPr>
      <w:r>
        <w:rPr>
          <w:sz w:val="21"/>
        </w:rPr>
        <w:t>腹水；</w:t>
      </w:r>
    </w:p>
    <w:p>
      <w:pPr>
        <w:pStyle w:val="ListParagraph"/>
        <w:numPr>
          <w:ilvl w:val="0"/>
          <w:numId w:val="14"/>
        </w:numPr>
        <w:tabs>
          <w:tab w:pos="696" w:val="left" w:leader="none"/>
        </w:tabs>
        <w:spacing w:line="240" w:lineRule="auto" w:before="53" w:after="0"/>
        <w:ind w:left="129" w:right="0" w:firstLine="0"/>
        <w:jc w:val="left"/>
        <w:rPr>
          <w:sz w:val="21"/>
        </w:rPr>
      </w:pPr>
      <w:r>
        <w:rPr>
          <w:spacing w:val="-1"/>
          <w:sz w:val="21"/>
        </w:rPr>
        <w:t>肝性脑病；</w:t>
      </w:r>
    </w:p>
    <w:p>
      <w:pPr>
        <w:pStyle w:val="ListParagraph"/>
        <w:numPr>
          <w:ilvl w:val="0"/>
          <w:numId w:val="14"/>
        </w:numPr>
        <w:tabs>
          <w:tab w:pos="696" w:val="left" w:leader="none"/>
        </w:tabs>
        <w:spacing w:line="283" w:lineRule="auto" w:before="53" w:after="0"/>
        <w:ind w:left="129" w:right="2427" w:firstLine="0"/>
        <w:jc w:val="left"/>
        <w:rPr>
          <w:sz w:val="21"/>
        </w:rPr>
      </w:pPr>
      <w:r>
        <w:rPr>
          <w:spacing w:val="-3"/>
          <w:sz w:val="21"/>
        </w:rPr>
        <w:t>充血性脾肿大伴脾功能亢进或食管胃底静脉曲张。因酗酒或药物滥用导致的肝功能衰竭不在保障范围内。</w:t>
      </w:r>
    </w:p>
    <w:p>
      <w:pPr>
        <w:spacing w:after="0" w:line="283" w:lineRule="auto"/>
        <w:jc w:val="left"/>
        <w:rPr>
          <w:sz w:val="21"/>
        </w:rPr>
        <w:sectPr>
          <w:type w:val="continuous"/>
          <w:pgSz w:w="11900" w:h="16840"/>
          <w:pgMar w:top="1380" w:bottom="280" w:left="1680" w:right="840"/>
          <w:cols w:num="2" w:equalWidth="0">
            <w:col w:w="1544" w:space="86"/>
            <w:col w:w="7750"/>
          </w:cols>
        </w:sectPr>
      </w:pPr>
    </w:p>
    <w:p>
      <w:pPr>
        <w:pStyle w:val="BodyText"/>
        <w:spacing w:before="0"/>
        <w:rPr>
          <w:sz w:val="9"/>
        </w:rPr>
      </w:pPr>
    </w:p>
    <w:p>
      <w:pPr>
        <w:spacing w:after="0"/>
        <w:rPr>
          <w:sz w:val="9"/>
        </w:rPr>
        <w:sectPr>
          <w:type w:val="continuous"/>
          <w:pgSz w:w="11900" w:h="16840"/>
          <w:pgMar w:top="1380" w:bottom="280" w:left="1680" w:right="840"/>
        </w:sectPr>
      </w:pPr>
    </w:p>
    <w:p>
      <w:pPr>
        <w:pStyle w:val="ListParagraph"/>
        <w:numPr>
          <w:ilvl w:val="0"/>
          <w:numId w:val="12"/>
        </w:numPr>
        <w:tabs>
          <w:tab w:pos="389" w:val="left" w:leader="none"/>
        </w:tabs>
        <w:spacing w:line="326" w:lineRule="exact" w:before="21" w:after="0"/>
        <w:ind w:left="388" w:right="0" w:hanging="259"/>
        <w:jc w:val="both"/>
        <w:rPr>
          <w:sz w:val="21"/>
        </w:rPr>
      </w:pPr>
      <w:r>
        <w:rPr>
          <w:spacing w:val="17"/>
          <w:sz w:val="21"/>
        </w:rPr>
        <w:t>脑炎后遗症或脑膜炎后遗症</w:t>
      </w:r>
    </w:p>
    <w:p>
      <w:pPr>
        <w:pStyle w:val="BodyText"/>
        <w:spacing w:line="300" w:lineRule="auto" w:before="73"/>
        <w:ind w:left="129" w:right="21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697" w:val="left" w:leader="none"/>
        </w:tabs>
        <w:spacing w:line="240" w:lineRule="auto" w:before="16" w:after="0"/>
        <w:ind w:left="696" w:right="0" w:hanging="567"/>
        <w:jc w:val="left"/>
        <w:rPr>
          <w:sz w:val="21"/>
        </w:rPr>
      </w:pPr>
      <w:r>
        <w:rPr>
          <w:spacing w:val="-3"/>
          <w:sz w:val="21"/>
        </w:rPr>
        <w:t>一肢或一肢以上肢体机能完全丧失；</w:t>
      </w:r>
    </w:p>
    <w:p>
      <w:pPr>
        <w:pStyle w:val="ListParagraph"/>
        <w:numPr>
          <w:ilvl w:val="0"/>
          <w:numId w:val="15"/>
        </w:numPr>
        <w:tabs>
          <w:tab w:pos="697" w:val="left" w:leader="none"/>
        </w:tabs>
        <w:spacing w:line="240" w:lineRule="auto" w:before="53" w:after="0"/>
        <w:ind w:left="696" w:right="0" w:hanging="567"/>
        <w:jc w:val="left"/>
        <w:rPr>
          <w:sz w:val="21"/>
        </w:rPr>
      </w:pPr>
      <w:r>
        <w:rPr>
          <w:spacing w:val="-3"/>
          <w:sz w:val="21"/>
        </w:rPr>
        <w:t>语言能力或咀嚼吞咽能力完全丧失；</w:t>
      </w:r>
    </w:p>
    <w:p>
      <w:pPr>
        <w:pStyle w:val="ListParagraph"/>
        <w:numPr>
          <w:ilvl w:val="0"/>
          <w:numId w:val="15"/>
        </w:numPr>
        <w:tabs>
          <w:tab w:pos="696" w:val="left" w:leader="none"/>
        </w:tabs>
        <w:spacing w:line="283" w:lineRule="auto" w:before="53" w:after="0"/>
        <w:ind w:left="696" w:right="222" w:hanging="567"/>
        <w:jc w:val="left"/>
        <w:rPr>
          <w:sz w:val="21"/>
        </w:rPr>
      </w:pPr>
      <w:r>
        <w:rPr>
          <w:spacing w:val="-12"/>
          <w:sz w:val="21"/>
        </w:rPr>
        <w:t>自主生活能力完全丧失，无法独立完成六项基本日常生活活动中的三项或三</w:t>
      </w:r>
      <w:r>
        <w:rPr>
          <w:spacing w:val="-7"/>
          <w:sz w:val="21"/>
        </w:rPr>
        <w:t>项以上。</w:t>
      </w:r>
    </w:p>
    <w:p>
      <w:pPr>
        <w:spacing w:after="0" w:line="283" w:lineRule="auto"/>
        <w:jc w:val="left"/>
        <w:rPr>
          <w:sz w:val="21"/>
        </w:rPr>
        <w:sectPr>
          <w:type w:val="continuous"/>
          <w:pgSz w:w="11900" w:h="16840"/>
          <w:pgMar w:top="1380" w:bottom="280" w:left="1680" w:right="840"/>
          <w:cols w:num="2" w:equalWidth="0">
            <w:col w:w="1544" w:space="86"/>
            <w:col w:w="7750"/>
          </w:cols>
        </w:sectPr>
      </w:pPr>
    </w:p>
    <w:p>
      <w:pPr>
        <w:pStyle w:val="BodyText"/>
        <w:spacing w:before="1"/>
        <w:rPr>
          <w:sz w:val="9"/>
        </w:rPr>
      </w:pPr>
    </w:p>
    <w:p>
      <w:pPr>
        <w:pStyle w:val="ListParagraph"/>
        <w:numPr>
          <w:ilvl w:val="0"/>
          <w:numId w:val="12"/>
        </w:numPr>
        <w:tabs>
          <w:tab w:pos="389" w:val="left" w:leader="none"/>
        </w:tabs>
        <w:spacing w:line="344" w:lineRule="exact" w:before="43" w:after="0"/>
        <w:ind w:left="1759" w:right="222" w:hanging="1630"/>
        <w:jc w:val="both"/>
        <w:rPr>
          <w:sz w:val="21"/>
        </w:rPr>
      </w:pPr>
      <w:r>
        <w:rPr>
          <w:spacing w:val="5"/>
          <w:position w:val="4"/>
          <w:sz w:val="21"/>
        </w:rPr>
        <w:t>深度昏迷    </w:t>
      </w:r>
      <w:r>
        <w:rPr>
          <w:sz w:val="21"/>
        </w:rPr>
        <w:t>指因疾病或意外伤害导致意识丧失,对外界刺激和体内需求均无反应,昏迷程度按</w:t>
      </w:r>
      <w:r>
        <w:rPr>
          <w:spacing w:val="-3"/>
          <w:sz w:val="21"/>
        </w:rPr>
        <w:t>照格拉斯哥昏迷分级</w:t>
      </w:r>
      <w:r>
        <w:rPr>
          <w:sz w:val="21"/>
        </w:rPr>
        <w:t>（Glasgow</w:t>
      </w:r>
      <w:r>
        <w:rPr>
          <w:spacing w:val="3"/>
          <w:sz w:val="21"/>
        </w:rPr>
        <w:t> </w:t>
      </w:r>
      <w:r>
        <w:rPr>
          <w:sz w:val="21"/>
        </w:rPr>
        <w:t>coma</w:t>
      </w:r>
      <w:r>
        <w:rPr>
          <w:spacing w:val="1"/>
          <w:sz w:val="21"/>
        </w:rPr>
        <w:t> </w:t>
      </w:r>
      <w:r>
        <w:rPr>
          <w:sz w:val="21"/>
        </w:rPr>
        <w:t>scale）</w:t>
      </w:r>
      <w:r>
        <w:rPr>
          <w:spacing w:val="-12"/>
          <w:sz w:val="21"/>
        </w:rPr>
        <w:t>结果为 </w:t>
      </w:r>
      <w:r>
        <w:rPr>
          <w:sz w:val="21"/>
        </w:rPr>
        <w:t>5</w:t>
      </w:r>
      <w:r>
        <w:rPr>
          <w:spacing w:val="-21"/>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BodyText"/>
        <w:spacing w:before="29"/>
        <w:ind w:left="1759"/>
      </w:pPr>
      <w:r>
        <w:rPr/>
        <w:t>因酗酒或药物滥用导致的深度昏迷不在保障范围内。</w:t>
      </w:r>
    </w:p>
    <w:p>
      <w:pPr>
        <w:pStyle w:val="ListParagraph"/>
        <w:numPr>
          <w:ilvl w:val="0"/>
          <w:numId w:val="12"/>
        </w:numPr>
        <w:tabs>
          <w:tab w:pos="550" w:val="left" w:leader="none"/>
          <w:tab w:pos="1759" w:val="left" w:leader="none"/>
        </w:tabs>
        <w:spacing w:line="240" w:lineRule="auto" w:before="124" w:after="0"/>
        <w:ind w:left="549" w:right="0" w:hanging="420"/>
        <w:jc w:val="left"/>
        <w:rPr>
          <w:sz w:val="21"/>
        </w:rPr>
      </w:pPr>
      <w:r>
        <w:rPr>
          <w:position w:val="4"/>
          <w:sz w:val="21"/>
        </w:rPr>
        <w:t>双耳</w:t>
      </w:r>
      <w:r>
        <w:rPr>
          <w:spacing w:val="-3"/>
          <w:position w:val="4"/>
          <w:sz w:val="21"/>
        </w:rPr>
        <w:t>失</w:t>
      </w:r>
      <w:r>
        <w:rPr>
          <w:position w:val="4"/>
          <w:sz w:val="21"/>
        </w:rPr>
        <w:t>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5"/>
          <w:sz w:val="21"/>
        </w:rPr>
        <w:t>，</w:t>
      </w:r>
      <w:r>
        <w:rPr>
          <w:sz w:val="21"/>
        </w:rPr>
        <w:t>在</w:t>
      </w:r>
      <w:r>
        <w:rPr>
          <w:spacing w:val="-44"/>
          <w:sz w:val="21"/>
        </w:rPr>
        <w:t> </w:t>
      </w:r>
      <w:r>
        <w:rPr>
          <w:sz w:val="21"/>
        </w:rPr>
        <w:t>500</w:t>
      </w:r>
      <w:r>
        <w:rPr>
          <w:spacing w:val="-44"/>
          <w:sz w:val="21"/>
        </w:rPr>
        <w:t> </w:t>
      </w:r>
      <w:r>
        <w:rPr>
          <w:sz w:val="21"/>
        </w:rPr>
        <w:t>赫兹</w:t>
      </w:r>
      <w:r>
        <w:rPr>
          <w:spacing w:val="-8"/>
          <w:sz w:val="21"/>
        </w:rPr>
        <w:t>、</w:t>
      </w:r>
      <w:r>
        <w:rPr>
          <w:sz w:val="21"/>
        </w:rPr>
        <w:t>1000</w:t>
      </w:r>
      <w:r>
        <w:rPr>
          <w:spacing w:val="-42"/>
          <w:sz w:val="21"/>
        </w:rPr>
        <w:t> </w:t>
      </w:r>
      <w:r>
        <w:rPr>
          <w:spacing w:val="-3"/>
          <w:sz w:val="21"/>
        </w:rPr>
        <w:t>赫</w:t>
      </w:r>
      <w:r>
        <w:rPr>
          <w:sz w:val="21"/>
        </w:rPr>
        <w:t>兹和</w:t>
      </w:r>
    </w:p>
    <w:p>
      <w:pPr>
        <w:pStyle w:val="BodyText"/>
        <w:spacing w:line="300" w:lineRule="auto" w:before="68"/>
        <w:ind w:left="1759" w:right="152"/>
      </w:pPr>
      <w:r>
        <w:rPr/>
        <w:t>2000 赫兹语音频率下，平均听阈大于 90 分贝，且经纯音听力测试、声导抗检测或听觉诱发电位检测等证实。</w:t>
      </w:r>
    </w:p>
    <w:p>
      <w:pPr>
        <w:pStyle w:val="BodyText"/>
        <w:spacing w:before="15"/>
        <w:ind w:left="1759"/>
      </w:pPr>
      <w:r>
        <w:rPr/>
        <w:t>本公司对被保险人初次患有该疾病给付保险金额时需满足以下条件：</w:t>
      </w:r>
    </w:p>
    <w:p>
      <w:pPr>
        <w:pStyle w:val="ListParagraph"/>
        <w:numPr>
          <w:ilvl w:val="0"/>
          <w:numId w:val="16"/>
        </w:numPr>
        <w:tabs>
          <w:tab w:pos="2326" w:val="left" w:leader="none"/>
        </w:tabs>
        <w:spacing w:line="240" w:lineRule="auto" w:before="68" w:after="0"/>
        <w:ind w:left="2325" w:right="0" w:hanging="566"/>
        <w:jc w:val="left"/>
        <w:rPr>
          <w:sz w:val="21"/>
        </w:rPr>
      </w:pPr>
      <w:r>
        <w:rPr>
          <w:spacing w:val="-3"/>
          <w:sz w:val="21"/>
        </w:rPr>
        <w:t>被保险人年满三周岁；</w:t>
      </w:r>
    </w:p>
    <w:p>
      <w:pPr>
        <w:pStyle w:val="ListParagraph"/>
        <w:numPr>
          <w:ilvl w:val="0"/>
          <w:numId w:val="16"/>
        </w:numPr>
        <w:tabs>
          <w:tab w:pos="2326" w:val="left" w:leader="none"/>
        </w:tabs>
        <w:spacing w:line="240" w:lineRule="auto" w:before="53" w:after="0"/>
        <w:ind w:left="2325" w:right="0" w:hanging="566"/>
        <w:jc w:val="left"/>
        <w:rPr>
          <w:sz w:val="21"/>
        </w:rPr>
      </w:pPr>
      <w:r>
        <w:rPr>
          <w:spacing w:val="-3"/>
          <w:sz w:val="21"/>
        </w:rPr>
        <w:t>提供被保险人年满三周岁以后（包括三周岁）听力丧失诊断及检查证据。</w:t>
      </w:r>
    </w:p>
    <w:p>
      <w:pPr>
        <w:pStyle w:val="ListParagraph"/>
        <w:numPr>
          <w:ilvl w:val="0"/>
          <w:numId w:val="12"/>
        </w:numPr>
        <w:tabs>
          <w:tab w:pos="550" w:val="left" w:leader="none"/>
        </w:tabs>
        <w:spacing w:line="285" w:lineRule="auto" w:before="111" w:after="0"/>
        <w:ind w:left="1759" w:right="219" w:hanging="1630"/>
        <w:jc w:val="both"/>
        <w:rPr>
          <w:sz w:val="21"/>
        </w:rPr>
      </w:pPr>
      <w:r>
        <w:rPr>
          <w:spacing w:val="15"/>
          <w:position w:val="4"/>
          <w:sz w:val="21"/>
        </w:rPr>
        <w:t>双目失明  </w:t>
      </w:r>
      <w:r>
        <w:rPr>
          <w:sz w:val="21"/>
        </w:rPr>
        <w:t>指因疾病或意外伤害导致双眼视力永久不可逆性丧失，双眼中较好眼须满足下列</w:t>
      </w:r>
      <w:r>
        <w:rPr>
          <w:spacing w:val="-2"/>
          <w:sz w:val="21"/>
        </w:rPr>
        <w:t>至少一项条件：</w:t>
      </w:r>
    </w:p>
    <w:p>
      <w:pPr>
        <w:pStyle w:val="ListParagraph"/>
        <w:numPr>
          <w:ilvl w:val="0"/>
          <w:numId w:val="17"/>
        </w:numPr>
        <w:tabs>
          <w:tab w:pos="2326" w:val="left" w:leader="none"/>
        </w:tabs>
        <w:spacing w:line="240" w:lineRule="auto" w:before="28" w:after="0"/>
        <w:ind w:left="2325" w:right="0" w:hanging="566"/>
        <w:jc w:val="left"/>
        <w:rPr>
          <w:sz w:val="21"/>
        </w:rPr>
      </w:pPr>
      <w:r>
        <w:rPr>
          <w:spacing w:val="-3"/>
          <w:sz w:val="21"/>
        </w:rPr>
        <w:t>眼球缺失或摘除；</w:t>
      </w:r>
    </w:p>
    <w:p>
      <w:pPr>
        <w:pStyle w:val="ListParagraph"/>
        <w:numPr>
          <w:ilvl w:val="0"/>
          <w:numId w:val="17"/>
        </w:numPr>
        <w:tabs>
          <w:tab w:pos="2326" w:val="left" w:leader="none"/>
        </w:tabs>
        <w:spacing w:line="283" w:lineRule="auto" w:before="53" w:after="0"/>
        <w:ind w:left="2325" w:right="222" w:hanging="566"/>
        <w:jc w:val="left"/>
        <w:rPr>
          <w:sz w:val="21"/>
        </w:rPr>
      </w:pPr>
      <w:r>
        <w:rPr>
          <w:spacing w:val="0"/>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ListParagraph"/>
        <w:numPr>
          <w:ilvl w:val="0"/>
          <w:numId w:val="17"/>
        </w:numPr>
        <w:tabs>
          <w:tab w:pos="2326" w:val="left" w:leader="none"/>
        </w:tabs>
        <w:spacing w:line="240" w:lineRule="auto" w:before="30" w:after="0"/>
        <w:ind w:left="2325" w:right="0" w:hanging="566"/>
        <w:jc w:val="left"/>
        <w:rPr>
          <w:sz w:val="21"/>
        </w:rPr>
      </w:pPr>
      <w:r>
        <w:rPr>
          <w:spacing w:val="-9"/>
          <w:sz w:val="21"/>
        </w:rPr>
        <w:t>视野半径小于 </w:t>
      </w:r>
      <w:r>
        <w:rPr>
          <w:sz w:val="21"/>
        </w:rPr>
        <w:t>5</w:t>
      </w:r>
      <w:r>
        <w:rPr>
          <w:spacing w:val="-18"/>
          <w:sz w:val="21"/>
        </w:rPr>
        <w:t> 度。</w:t>
      </w:r>
    </w:p>
    <w:p>
      <w:pPr>
        <w:pStyle w:val="BodyText"/>
        <w:ind w:left="1759"/>
      </w:pPr>
      <w:r>
        <w:rPr/>
        <w:t>本公司对被保险人初次患有该疾病给付保险金额时需满足以下条件：</w:t>
      </w:r>
    </w:p>
    <w:p>
      <w:pPr>
        <w:pStyle w:val="ListParagraph"/>
        <w:numPr>
          <w:ilvl w:val="0"/>
          <w:numId w:val="18"/>
        </w:numPr>
        <w:tabs>
          <w:tab w:pos="2326" w:val="left" w:leader="none"/>
        </w:tabs>
        <w:spacing w:line="240" w:lineRule="auto" w:before="68" w:after="0"/>
        <w:ind w:left="2325" w:right="0" w:hanging="566"/>
        <w:jc w:val="left"/>
        <w:rPr>
          <w:sz w:val="21"/>
        </w:rPr>
      </w:pPr>
      <w:r>
        <w:rPr>
          <w:spacing w:val="-3"/>
          <w:sz w:val="21"/>
        </w:rPr>
        <w:t>被保险人年满三周岁；</w:t>
      </w:r>
    </w:p>
    <w:p>
      <w:pPr>
        <w:pStyle w:val="ListParagraph"/>
        <w:numPr>
          <w:ilvl w:val="0"/>
          <w:numId w:val="18"/>
        </w:numPr>
        <w:tabs>
          <w:tab w:pos="2326" w:val="left" w:leader="none"/>
        </w:tabs>
        <w:spacing w:line="240" w:lineRule="auto" w:before="53" w:after="0"/>
        <w:ind w:left="2325" w:right="0" w:hanging="566"/>
        <w:jc w:val="left"/>
        <w:rPr>
          <w:sz w:val="21"/>
        </w:rPr>
      </w:pPr>
      <w:r>
        <w:rPr>
          <w:spacing w:val="-3"/>
          <w:sz w:val="21"/>
        </w:rPr>
        <w:t>提供被保险人年满三周岁以后（包括三周岁）双目失明诊断及检查证据。</w:t>
      </w:r>
    </w:p>
    <w:p>
      <w:pPr>
        <w:pStyle w:val="ListParagraph"/>
        <w:numPr>
          <w:ilvl w:val="0"/>
          <w:numId w:val="12"/>
        </w:numPr>
        <w:tabs>
          <w:tab w:pos="550" w:val="left" w:leader="none"/>
        </w:tabs>
        <w:spacing w:line="285" w:lineRule="auto" w:before="112" w:after="0"/>
        <w:ind w:left="1759" w:right="219" w:hanging="1630"/>
        <w:jc w:val="both"/>
        <w:rPr>
          <w:sz w:val="21"/>
        </w:rPr>
      </w:pPr>
      <w:r>
        <w:rPr>
          <w:spacing w:val="11"/>
          <w:position w:val="4"/>
          <w:sz w:val="21"/>
        </w:rPr>
        <w:t>瘫痪      </w:t>
      </w:r>
      <w:r>
        <w:rPr>
          <w:sz w:val="21"/>
        </w:rPr>
        <w:t>指因疾病或意外伤害导致两肢或两肢以上肢体机能永久完全丧失。肢体机能永久</w:t>
      </w:r>
      <w:r>
        <w:rPr>
          <w:spacing w:val="-7"/>
          <w:sz w:val="21"/>
        </w:rPr>
        <w:t>完全丧失，指疾病确诊 </w:t>
      </w:r>
      <w:r>
        <w:rPr>
          <w:sz w:val="21"/>
        </w:rPr>
        <w:t>180</w:t>
      </w:r>
      <w:r>
        <w:rPr>
          <w:spacing w:val="-10"/>
          <w:sz w:val="21"/>
        </w:rPr>
        <w:t> 天后或意外伤害发生 </w:t>
      </w:r>
      <w:r>
        <w:rPr>
          <w:sz w:val="21"/>
        </w:rPr>
        <w:t>180</w:t>
      </w:r>
      <w:r>
        <w:rPr>
          <w:spacing w:val="-7"/>
          <w:sz w:val="21"/>
        </w:rPr>
        <w:t> 天后，每肢三大关节中的两</w:t>
      </w:r>
    </w:p>
    <w:p>
      <w:pPr>
        <w:spacing w:after="0" w:line="285" w:lineRule="auto"/>
        <w:jc w:val="both"/>
        <w:rPr>
          <w:sz w:val="21"/>
        </w:rPr>
        <w:sectPr>
          <w:type w:val="continuous"/>
          <w:pgSz w:w="11900" w:h="16840"/>
          <w:pgMar w:top="1380" w:bottom="280" w:left="1680" w:right="840"/>
        </w:sectPr>
      </w:pPr>
    </w:p>
    <w:p>
      <w:pPr>
        <w:pStyle w:val="BodyText"/>
        <w:spacing w:before="22"/>
        <w:ind w:left="1759"/>
      </w:pPr>
      <w:r>
        <w:rPr/>
        <w:t>大关节仍然完全僵硬，或不能随意识活动。</w:t>
      </w:r>
    </w:p>
    <w:p>
      <w:pPr>
        <w:pStyle w:val="BodyText"/>
        <w:spacing w:before="9"/>
        <w:rPr>
          <w:sz w:val="11"/>
        </w:rPr>
      </w:pPr>
    </w:p>
    <w:p>
      <w:pPr>
        <w:spacing w:after="0"/>
        <w:rPr>
          <w:sz w:val="11"/>
        </w:rPr>
        <w:sectPr>
          <w:pgSz w:w="11900" w:h="16840"/>
          <w:pgMar w:header="0" w:footer="461" w:top="1280" w:bottom="660" w:left="1680" w:right="840"/>
        </w:sectPr>
      </w:pPr>
    </w:p>
    <w:p>
      <w:pPr>
        <w:pStyle w:val="ListParagraph"/>
        <w:numPr>
          <w:ilvl w:val="0"/>
          <w:numId w:val="12"/>
        </w:numPr>
        <w:tabs>
          <w:tab w:pos="550" w:val="left" w:leader="none"/>
        </w:tabs>
        <w:spacing w:line="328" w:lineRule="exact" w:before="20" w:after="0"/>
        <w:ind w:left="388" w:right="0" w:hanging="259"/>
        <w:jc w:val="left"/>
        <w:rPr>
          <w:sz w:val="21"/>
        </w:rPr>
      </w:pPr>
      <w:r>
        <w:rPr>
          <w:spacing w:val="-24"/>
          <w:sz w:val="21"/>
        </w:rPr>
        <w:t>心 脏 瓣 膜手术</w:t>
      </w:r>
    </w:p>
    <w:p>
      <w:pPr>
        <w:pStyle w:val="BodyText"/>
        <w:spacing w:before="73"/>
        <w:ind w:left="129"/>
      </w:pPr>
      <w:r>
        <w:rPr/>
        <w:br w:type="column"/>
      </w:r>
      <w:r>
        <w:rPr/>
        <w:t>指为治疗心脏瓣膜疾病，实际实施了开胸进行的心脏瓣膜置换或修复的手术。</w:t>
      </w:r>
    </w:p>
    <w:p>
      <w:pPr>
        <w:spacing w:after="0"/>
        <w:sectPr>
          <w:type w:val="continuous"/>
          <w:pgSz w:w="11900" w:h="16840"/>
          <w:pgMar w:top="1380" w:bottom="280" w:left="1680" w:right="840"/>
          <w:cols w:num="2" w:equalWidth="0">
            <w:col w:w="1544" w:space="86"/>
            <w:col w:w="7750"/>
          </w:cols>
        </w:sectPr>
      </w:pPr>
    </w:p>
    <w:p>
      <w:pPr>
        <w:pStyle w:val="BodyText"/>
        <w:spacing w:before="6"/>
        <w:rPr>
          <w:sz w:val="10"/>
        </w:rPr>
      </w:pPr>
    </w:p>
    <w:p>
      <w:pPr>
        <w:spacing w:after="0"/>
        <w:rPr>
          <w:sz w:val="10"/>
        </w:rPr>
        <w:sectPr>
          <w:type w:val="continuous"/>
          <w:pgSz w:w="11900" w:h="16840"/>
          <w:pgMar w:top="1380" w:bottom="280" w:left="1680" w:right="840"/>
        </w:sectPr>
      </w:pPr>
    </w:p>
    <w:p>
      <w:pPr>
        <w:pStyle w:val="ListParagraph"/>
        <w:numPr>
          <w:ilvl w:val="0"/>
          <w:numId w:val="12"/>
        </w:numPr>
        <w:tabs>
          <w:tab w:pos="550" w:val="left" w:leader="none"/>
        </w:tabs>
        <w:spacing w:line="328" w:lineRule="exact" w:before="20" w:after="0"/>
        <w:ind w:left="388" w:right="0" w:hanging="259"/>
        <w:jc w:val="left"/>
        <w:rPr>
          <w:sz w:val="21"/>
        </w:rPr>
      </w:pPr>
      <w:r>
        <w:rPr>
          <w:spacing w:val="-24"/>
          <w:sz w:val="21"/>
        </w:rPr>
        <w:t>严 重 脑 损伤</w:t>
      </w:r>
    </w:p>
    <w:p>
      <w:pPr>
        <w:pStyle w:val="BodyText"/>
        <w:spacing w:line="300" w:lineRule="auto" w:before="73"/>
        <w:ind w:left="129" w:right="116"/>
      </w:pPr>
      <w:r>
        <w:rPr/>
        <w:br w:type="column"/>
      </w:r>
      <w:r>
        <w:rPr/>
        <w:t>指因头部遭受机械性外力，引起脑重要部位损伤，导致神经系统永久性的功能障</w:t>
      </w:r>
      <w:r>
        <w:rPr>
          <w:spacing w:val="-10"/>
          <w:w w:val="100"/>
        </w:rPr>
        <w:t>碍。须由头颅断层扫描</w:t>
      </w:r>
      <w:r>
        <w:rPr>
          <w:spacing w:val="-3"/>
          <w:w w:val="100"/>
        </w:rPr>
        <w:t>（C</w:t>
      </w:r>
      <w:r>
        <w:rPr>
          <w:w w:val="100"/>
        </w:rPr>
        <w:t>T</w:t>
      </w:r>
      <w:r>
        <w:rPr>
          <w:spacing w:val="-106"/>
          <w:w w:val="100"/>
        </w:rPr>
        <w:t>）</w:t>
      </w:r>
      <w:r>
        <w:rPr>
          <w:spacing w:val="-11"/>
          <w:w w:val="100"/>
        </w:rPr>
        <w:t>、核磁共振检查</w:t>
      </w:r>
      <w:r>
        <w:rPr>
          <w:spacing w:val="-3"/>
          <w:w w:val="100"/>
        </w:rPr>
        <w:t>（</w:t>
      </w:r>
      <w:r>
        <w:rPr>
          <w:w w:val="100"/>
        </w:rPr>
        <w:t>MRI</w:t>
      </w:r>
      <w:r>
        <w:rPr>
          <w:spacing w:val="-32"/>
          <w:w w:val="100"/>
        </w:rPr>
        <w:t>）</w:t>
      </w:r>
      <w:r>
        <w:rPr>
          <w:spacing w:val="-6"/>
          <w:w w:val="100"/>
        </w:rPr>
        <w:t>或正电子发射断层扫描</w:t>
      </w:r>
      <w:r>
        <w:rPr>
          <w:w w:val="100"/>
        </w:rPr>
        <w:t>（</w:t>
      </w:r>
      <w:r>
        <w:rPr>
          <w:spacing w:val="-3"/>
          <w:w w:val="100"/>
        </w:rPr>
        <w:t>P</w:t>
      </w:r>
      <w:r>
        <w:rPr>
          <w:w w:val="100"/>
        </w:rPr>
        <w:t>ET）</w:t>
      </w:r>
      <w:r>
        <w:rPr>
          <w:spacing w:val="-4"/>
        </w:rPr>
        <w:t>等影像学检查证实。神经系统永久性的功能障碍，指脑损伤 </w:t>
      </w:r>
      <w:r>
        <w:rPr/>
        <w:t>180</w:t>
      </w:r>
      <w:r>
        <w:rPr>
          <w:spacing w:val="-6"/>
        </w:rPr>
        <w:t> 天后，仍遗留下</w:t>
      </w:r>
      <w:r>
        <w:rPr>
          <w:spacing w:val="-4"/>
        </w:rPr>
        <w:t>列一种或一种以上障碍：</w:t>
      </w:r>
    </w:p>
    <w:p>
      <w:pPr>
        <w:pStyle w:val="ListParagraph"/>
        <w:numPr>
          <w:ilvl w:val="0"/>
          <w:numId w:val="19"/>
        </w:numPr>
        <w:tabs>
          <w:tab w:pos="697" w:val="left" w:leader="none"/>
        </w:tabs>
        <w:spacing w:line="240" w:lineRule="auto" w:before="16" w:after="0"/>
        <w:ind w:left="696" w:right="0" w:hanging="567"/>
        <w:jc w:val="left"/>
        <w:rPr>
          <w:sz w:val="21"/>
        </w:rPr>
      </w:pPr>
      <w:r>
        <w:rPr>
          <w:spacing w:val="-3"/>
          <w:sz w:val="21"/>
        </w:rPr>
        <w:t>一肢或一肢以上肢体机能完全丧失；</w:t>
      </w:r>
    </w:p>
    <w:p>
      <w:pPr>
        <w:pStyle w:val="ListParagraph"/>
        <w:numPr>
          <w:ilvl w:val="0"/>
          <w:numId w:val="19"/>
        </w:numPr>
        <w:tabs>
          <w:tab w:pos="697" w:val="left" w:leader="none"/>
        </w:tabs>
        <w:spacing w:line="240" w:lineRule="auto" w:before="53" w:after="0"/>
        <w:ind w:left="696" w:right="0" w:hanging="567"/>
        <w:jc w:val="left"/>
        <w:rPr>
          <w:sz w:val="21"/>
        </w:rPr>
      </w:pPr>
      <w:r>
        <w:rPr>
          <w:spacing w:val="-3"/>
          <w:sz w:val="21"/>
        </w:rPr>
        <w:t>语言能力或咀嚼吞咽能力完全丧失；</w:t>
      </w:r>
    </w:p>
    <w:p>
      <w:pPr>
        <w:pStyle w:val="ListParagraph"/>
        <w:numPr>
          <w:ilvl w:val="0"/>
          <w:numId w:val="19"/>
        </w:numPr>
        <w:tabs>
          <w:tab w:pos="696" w:val="left" w:leader="none"/>
        </w:tabs>
        <w:spacing w:line="283" w:lineRule="auto" w:before="53" w:after="0"/>
        <w:ind w:left="696" w:right="222" w:hanging="567"/>
        <w:jc w:val="left"/>
        <w:rPr>
          <w:sz w:val="21"/>
        </w:rPr>
      </w:pPr>
      <w:r>
        <w:rPr>
          <w:spacing w:val="-12"/>
          <w:sz w:val="21"/>
        </w:rPr>
        <w:t>自主生活能力完全丧失，无法独立完成六项基本日常生活活动中的三项或三</w:t>
      </w:r>
      <w:r>
        <w:rPr>
          <w:spacing w:val="-7"/>
          <w:sz w:val="21"/>
        </w:rPr>
        <w:t>项以上。</w:t>
      </w:r>
    </w:p>
    <w:p>
      <w:pPr>
        <w:spacing w:after="0" w:line="283" w:lineRule="auto"/>
        <w:jc w:val="left"/>
        <w:rPr>
          <w:sz w:val="21"/>
        </w:rPr>
        <w:sectPr>
          <w:type w:val="continuous"/>
          <w:pgSz w:w="11900" w:h="16840"/>
          <w:pgMar w:top="1380" w:bottom="280" w:left="1680" w:right="840"/>
          <w:cols w:num="2" w:equalWidth="0">
            <w:col w:w="1544" w:space="86"/>
            <w:col w:w="7750"/>
          </w:cols>
        </w:sectPr>
      </w:pPr>
    </w:p>
    <w:p>
      <w:pPr>
        <w:pStyle w:val="BodyText"/>
        <w:spacing w:before="1"/>
        <w:rPr>
          <w:sz w:val="9"/>
        </w:rPr>
      </w:pPr>
    </w:p>
    <w:p>
      <w:pPr>
        <w:spacing w:after="0"/>
        <w:rPr>
          <w:sz w:val="9"/>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left"/>
        <w:rPr>
          <w:sz w:val="21"/>
        </w:rPr>
      </w:pPr>
      <w:r>
        <w:rPr>
          <w:spacing w:val="-24"/>
          <w:sz w:val="21"/>
        </w:rPr>
        <w:t>严 重 Ⅲ 度烧伤</w:t>
      </w:r>
    </w:p>
    <w:p>
      <w:pPr>
        <w:pStyle w:val="BodyText"/>
        <w:spacing w:line="300" w:lineRule="auto" w:before="73"/>
        <w:ind w:left="129" w:right="222"/>
      </w:pPr>
      <w:r>
        <w:rPr/>
        <w:br w:type="column"/>
      </w:r>
      <w:r>
        <w:rPr>
          <w:spacing w:val="-9"/>
        </w:rPr>
        <w:t>指烧伤程度为Ⅲ度，且Ⅲ度烧伤的面积达到全身体表面积的 </w:t>
      </w:r>
      <w:r>
        <w:rPr/>
        <w:t>20</w:t>
      </w:r>
      <w:r>
        <w:rPr>
          <w:spacing w:val="-14"/>
        </w:rPr>
        <w:t>％或 </w:t>
      </w:r>
      <w:r>
        <w:rPr/>
        <w:t>20</w:t>
      </w:r>
      <w:r>
        <w:rPr>
          <w:spacing w:val="-9"/>
        </w:rPr>
        <w:t>％以上。体</w:t>
      </w:r>
      <w:r>
        <w:rPr>
          <w:spacing w:val="-5"/>
        </w:rPr>
        <w:t>表面积根据《中国新九分法》计算。</w:t>
      </w:r>
    </w:p>
    <w:p>
      <w:pPr>
        <w:spacing w:after="0" w:line="300" w:lineRule="auto"/>
        <w:sectPr>
          <w:type w:val="continuous"/>
          <w:pgSz w:w="11900" w:h="16840"/>
          <w:pgMar w:top="1380" w:bottom="280" w:left="1680" w:right="840"/>
          <w:cols w:num="2" w:equalWidth="0">
            <w:col w:w="1544" w:space="86"/>
            <w:col w:w="7750"/>
          </w:cols>
        </w:sectPr>
      </w:pPr>
    </w:p>
    <w:p>
      <w:pPr>
        <w:pStyle w:val="BodyText"/>
        <w:spacing w:before="13"/>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0" w:after="0"/>
        <w:ind w:left="388" w:right="0" w:hanging="259"/>
        <w:jc w:val="both"/>
        <w:rPr>
          <w:sz w:val="21"/>
        </w:rPr>
      </w:pPr>
      <w:r>
        <w:rPr>
          <w:spacing w:val="-24"/>
          <w:sz w:val="21"/>
        </w:rPr>
        <w:t>严 重 原 发</w:t>
      </w:r>
      <w:r>
        <w:rPr>
          <w:spacing w:val="17"/>
          <w:sz w:val="21"/>
        </w:rPr>
        <w:t>性肺动脉高压</w:t>
      </w:r>
    </w:p>
    <w:p>
      <w:pPr>
        <w:pStyle w:val="BodyText"/>
        <w:spacing w:line="300" w:lineRule="auto" w:before="72"/>
        <w:ind w:left="129" w:right="219"/>
        <w:jc w:val="both"/>
      </w:pPr>
      <w:r>
        <w:rPr/>
        <w:br w:type="column"/>
      </w:r>
      <w:r>
        <w:rPr/>
        <w:t>指不明原因的肺动脉压力持续性增高，进行性发展而导致的慢性疾病，已经造成</w:t>
      </w:r>
      <w:r>
        <w:rPr>
          <w:spacing w:val="-5"/>
        </w:rPr>
        <w:t>永久不可逆性的体力活动能力受限，达到美国纽约心脏病学会心功能状态分级 </w:t>
      </w:r>
      <w:r>
        <w:rPr/>
        <w:t>IV </w:t>
      </w:r>
      <w:r>
        <w:rPr>
          <w:spacing w:val="-6"/>
        </w:rPr>
        <w:t>级，且静息状态下肺动脉平均压超过 </w:t>
      </w:r>
      <w:r>
        <w:rPr/>
        <w:t>30mmHg。</w:t>
      </w:r>
    </w:p>
    <w:p>
      <w:pPr>
        <w:spacing w:after="0" w:line="300" w:lineRule="auto"/>
        <w:jc w:val="both"/>
        <w:sectPr>
          <w:type w:val="continuous"/>
          <w:pgSz w:w="11900" w:h="16840"/>
          <w:pgMar w:top="1380" w:bottom="280" w:left="1680" w:right="840"/>
          <w:cols w:num="2" w:equalWidth="0">
            <w:col w:w="1544" w:space="86"/>
            <w:col w:w="7750"/>
          </w:cols>
        </w:sectPr>
      </w:pPr>
    </w:p>
    <w:p>
      <w:pPr>
        <w:pStyle w:val="BodyText"/>
        <w:spacing w:before="10"/>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left"/>
        <w:rPr>
          <w:sz w:val="21"/>
        </w:rPr>
      </w:pPr>
      <w:r>
        <w:rPr>
          <w:spacing w:val="-24"/>
          <w:sz w:val="21"/>
        </w:rPr>
        <w:t>严 重 运 动</w:t>
      </w:r>
      <w:r>
        <w:rPr>
          <w:spacing w:val="-13"/>
          <w:sz w:val="21"/>
        </w:rPr>
        <w:t>神经元病</w:t>
      </w:r>
    </w:p>
    <w:p>
      <w:pPr>
        <w:pStyle w:val="BodyText"/>
        <w:spacing w:line="300" w:lineRule="auto" w:before="72"/>
        <w:ind w:left="129"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00" w:lineRule="auto"/>
        <w:jc w:val="both"/>
        <w:sectPr>
          <w:type w:val="continuous"/>
          <w:pgSz w:w="11900" w:h="16840"/>
          <w:pgMar w:top="1380" w:bottom="280" w:left="1680" w:right="840"/>
          <w:cols w:num="2" w:equalWidth="0">
            <w:col w:w="1544" w:space="86"/>
            <w:col w:w="7750"/>
          </w:cols>
        </w:sectPr>
      </w:pPr>
    </w:p>
    <w:p>
      <w:pPr>
        <w:pStyle w:val="BodyText"/>
        <w:spacing w:before="12"/>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left"/>
        <w:rPr>
          <w:sz w:val="21"/>
        </w:rPr>
      </w:pPr>
      <w:r>
        <w:rPr>
          <w:spacing w:val="-24"/>
          <w:sz w:val="21"/>
        </w:rPr>
        <w:t>语 言 能 力丧失</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6"/>
        </w:rPr>
      </w:pPr>
    </w:p>
    <w:p>
      <w:pPr>
        <w:pStyle w:val="ListParagraph"/>
        <w:numPr>
          <w:ilvl w:val="0"/>
          <w:numId w:val="12"/>
        </w:numPr>
        <w:tabs>
          <w:tab w:pos="550" w:val="left" w:leader="none"/>
        </w:tabs>
        <w:spacing w:line="256" w:lineRule="auto" w:before="0" w:after="0"/>
        <w:ind w:left="388" w:right="0" w:hanging="259"/>
        <w:jc w:val="left"/>
        <w:rPr>
          <w:sz w:val="21"/>
        </w:rPr>
      </w:pPr>
      <w:r>
        <w:rPr>
          <w:spacing w:val="-24"/>
          <w:sz w:val="21"/>
        </w:rPr>
        <w:t>重 型 再 生</w:t>
      </w:r>
      <w:r>
        <w:rPr>
          <w:spacing w:val="-11"/>
          <w:sz w:val="21"/>
        </w:rPr>
        <w:t>障碍性贫血</w:t>
      </w:r>
    </w:p>
    <w:p>
      <w:pPr>
        <w:pStyle w:val="BodyText"/>
        <w:spacing w:line="300" w:lineRule="auto" w:before="72"/>
        <w:ind w:left="129" w:right="219" w:hanging="1"/>
      </w:pPr>
      <w:r>
        <w:rPr/>
        <w:br w:type="column"/>
      </w:r>
      <w:r>
        <w:rPr>
          <w:spacing w:val="-7"/>
        </w:rPr>
        <w:t>指因疾病或意外伤害导致完全丧失语言能力，经过积极治疗至少 </w:t>
      </w:r>
      <w:r>
        <w:rPr/>
        <w:t>12</w:t>
      </w:r>
      <w:r>
        <w:rPr>
          <w:spacing w:val="-25"/>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15"/>
        <w:ind w:left="129"/>
      </w:pPr>
      <w:r>
        <w:rPr/>
        <w:t>精神心理因素所致的语言能力丧失不在保障范围内。</w:t>
      </w:r>
    </w:p>
    <w:p>
      <w:pPr>
        <w:pStyle w:val="BodyText"/>
        <w:spacing w:before="68"/>
        <w:ind w:left="129"/>
      </w:pPr>
      <w:r>
        <w:rPr/>
        <w:t>本公司对被保险人初次患有该疾病给付保险金额时需满足以下条件：</w:t>
      </w:r>
    </w:p>
    <w:p>
      <w:pPr>
        <w:pStyle w:val="ListParagraph"/>
        <w:numPr>
          <w:ilvl w:val="0"/>
          <w:numId w:val="20"/>
        </w:numPr>
        <w:tabs>
          <w:tab w:pos="697" w:val="left" w:leader="none"/>
        </w:tabs>
        <w:spacing w:line="240" w:lineRule="auto" w:before="68" w:after="0"/>
        <w:ind w:left="696" w:right="0" w:hanging="567"/>
        <w:jc w:val="left"/>
        <w:rPr>
          <w:sz w:val="21"/>
        </w:rPr>
      </w:pPr>
      <w:r>
        <w:rPr>
          <w:spacing w:val="-3"/>
          <w:sz w:val="21"/>
        </w:rPr>
        <w:t>被保险人年满三周岁；</w:t>
      </w:r>
    </w:p>
    <w:p>
      <w:pPr>
        <w:pStyle w:val="ListParagraph"/>
        <w:numPr>
          <w:ilvl w:val="0"/>
          <w:numId w:val="20"/>
        </w:numPr>
        <w:tabs>
          <w:tab w:pos="697" w:val="left" w:leader="none"/>
        </w:tabs>
        <w:spacing w:line="240" w:lineRule="auto" w:before="53" w:after="0"/>
        <w:ind w:left="696" w:right="0" w:hanging="567"/>
        <w:jc w:val="left"/>
        <w:rPr>
          <w:sz w:val="21"/>
        </w:rPr>
      </w:pPr>
      <w:r>
        <w:rPr>
          <w:spacing w:val="-11"/>
          <w:sz w:val="21"/>
        </w:rPr>
        <w:t>提供被保险人年满三周岁以后</w:t>
      </w:r>
      <w:r>
        <w:rPr>
          <w:sz w:val="21"/>
        </w:rPr>
        <w:t>（</w:t>
      </w:r>
      <w:r>
        <w:rPr>
          <w:spacing w:val="-3"/>
          <w:sz w:val="21"/>
        </w:rPr>
        <w:t>包括三周岁</w:t>
      </w:r>
      <w:r>
        <w:rPr>
          <w:spacing w:val="-106"/>
          <w:sz w:val="21"/>
        </w:rPr>
        <w:t>）</w:t>
      </w:r>
      <w:r>
        <w:rPr>
          <w:spacing w:val="-3"/>
          <w:sz w:val="21"/>
        </w:rPr>
        <w:t>语言能力丧失诊断及检查证据。</w:t>
      </w:r>
    </w:p>
    <w:p>
      <w:pPr>
        <w:pStyle w:val="BodyText"/>
        <w:spacing w:line="300" w:lineRule="auto" w:before="214"/>
        <w:ind w:left="129" w:right="219" w:hanging="1"/>
      </w:pPr>
      <w:r>
        <w:rPr/>
        <w:t>指因骨髓造血功能慢性持续性衰竭导致的贫血、中性粒细胞减少及血小板减少。须满足下列全部条件：</w:t>
      </w:r>
    </w:p>
    <w:p>
      <w:pPr>
        <w:pStyle w:val="ListParagraph"/>
        <w:numPr>
          <w:ilvl w:val="0"/>
          <w:numId w:val="21"/>
        </w:numPr>
        <w:tabs>
          <w:tab w:pos="697" w:val="left" w:leader="none"/>
        </w:tabs>
        <w:spacing w:line="240" w:lineRule="auto" w:before="16" w:after="0"/>
        <w:ind w:left="696" w:right="0" w:hanging="567"/>
        <w:jc w:val="left"/>
        <w:rPr>
          <w:sz w:val="21"/>
        </w:rPr>
      </w:pPr>
      <w:r>
        <w:rPr>
          <w:spacing w:val="-3"/>
          <w:sz w:val="21"/>
        </w:rPr>
        <w:t>骨髓穿刺检查或骨髓活检结果支持诊断；</w:t>
      </w:r>
    </w:p>
    <w:p>
      <w:pPr>
        <w:pStyle w:val="ListParagraph"/>
        <w:numPr>
          <w:ilvl w:val="0"/>
          <w:numId w:val="21"/>
        </w:numPr>
        <w:tabs>
          <w:tab w:pos="697" w:val="left" w:leader="none"/>
        </w:tabs>
        <w:spacing w:line="240" w:lineRule="auto" w:before="53" w:after="0"/>
        <w:ind w:left="696" w:right="0" w:hanging="567"/>
        <w:jc w:val="left"/>
        <w:rPr>
          <w:sz w:val="21"/>
        </w:rPr>
      </w:pPr>
      <w:r>
        <w:rPr>
          <w:spacing w:val="-3"/>
          <w:sz w:val="21"/>
        </w:rPr>
        <w:t>外周血象须具备以下三项条件：</w:t>
      </w:r>
    </w:p>
    <w:p>
      <w:pPr>
        <w:pStyle w:val="BodyText"/>
        <w:spacing w:before="6"/>
        <w:rPr>
          <w:sz w:val="16"/>
        </w:rPr>
      </w:pPr>
    </w:p>
    <w:p>
      <w:pPr>
        <w:pStyle w:val="BodyText"/>
        <w:spacing w:before="0"/>
        <w:ind w:left="696"/>
      </w:pPr>
      <w:r>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58"/>
        <w:ind w:left="696"/>
      </w:pPr>
      <w:r>
        <w:rPr>
          <w:position w:val="1"/>
        </w:rPr>
        <w:t>②</w:t>
      </w:r>
      <w:r>
        <w:rPr>
          <w:spacing w:val="5"/>
          <w:position w:val="1"/>
        </w:rPr>
        <w:t> </w:t>
      </w:r>
      <w:r>
        <w:rPr>
          <w:spacing w:val="-3"/>
          <w:position w:val="1"/>
        </w:rPr>
        <w:t>网</w:t>
      </w:r>
      <w:r>
        <w:rPr>
          <w:position w:val="1"/>
        </w:rPr>
        <w:t>织</w:t>
      </w:r>
      <w:r>
        <w:rPr>
          <w:spacing w:val="-3"/>
          <w:position w:val="1"/>
        </w:rPr>
        <w:t>红</w:t>
      </w:r>
      <w:r>
        <w:rPr>
          <w:position w:val="1"/>
        </w:rPr>
        <w:t>细</w:t>
      </w:r>
      <w:r>
        <w:rPr>
          <w:spacing w:val="-3"/>
          <w:position w:val="1"/>
        </w:rPr>
        <w:t>胞</w:t>
      </w:r>
      <w:r>
        <w:rPr>
          <w:spacing w:val="5"/>
          <w:w w:val="100"/>
        </w:rPr>
        <w:drawing>
          <wp:inline distT="0" distB="0" distL="0" distR="0">
            <wp:extent cx="60324"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position w:val="1"/>
        </w:rPr>
        <w:t>；</w:t>
      </w:r>
    </w:p>
    <w:p>
      <w:pPr>
        <w:pStyle w:val="BodyText"/>
        <w:spacing w:before="1"/>
        <w:rPr>
          <w:sz w:val="18"/>
        </w:rPr>
      </w:pPr>
    </w:p>
    <w:p>
      <w:pPr>
        <w:spacing w:before="0"/>
        <w:ind w:left="696" w:right="0" w:firstLine="0"/>
        <w:jc w:val="left"/>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spacing w:after="0"/>
        <w:jc w:val="left"/>
        <w:rPr>
          <w:sz w:val="21"/>
        </w:rPr>
        <w:sectPr>
          <w:type w:val="continuous"/>
          <w:pgSz w:w="11900" w:h="16840"/>
          <w:pgMar w:top="1380" w:bottom="280" w:left="1680" w:right="840"/>
          <w:cols w:num="2" w:equalWidth="0">
            <w:col w:w="1544" w:space="86"/>
            <w:col w:w="7750"/>
          </w:cols>
        </w:sectPr>
      </w:pPr>
    </w:p>
    <w:p>
      <w:pPr>
        <w:pStyle w:val="BodyText"/>
        <w:spacing w:before="1"/>
        <w:rPr>
          <w:sz w:val="19"/>
        </w:rPr>
      </w:pPr>
    </w:p>
    <w:p>
      <w:pPr>
        <w:spacing w:after="0"/>
        <w:rPr>
          <w:sz w:val="19"/>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0" w:after="0"/>
        <w:ind w:left="388" w:right="0" w:hanging="259"/>
        <w:jc w:val="left"/>
        <w:rPr>
          <w:sz w:val="21"/>
        </w:rPr>
      </w:pPr>
      <w:r>
        <w:rPr>
          <w:spacing w:val="-24"/>
          <w:sz w:val="21"/>
        </w:rPr>
        <w:t>主 动 脉 手术</w:t>
      </w:r>
    </w:p>
    <w:p>
      <w:pPr>
        <w:pStyle w:val="BodyText"/>
        <w:spacing w:line="300" w:lineRule="auto" w:before="72"/>
        <w:ind w:left="129" w:right="219"/>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15"/>
        <w:ind w:left="129"/>
        <w:jc w:val="both"/>
      </w:pPr>
      <w:r>
        <w:rPr/>
        <w:t>动脉内血管成形术不在保障范围内。</w:t>
      </w:r>
    </w:p>
    <w:p>
      <w:pPr>
        <w:spacing w:after="0"/>
        <w:jc w:val="both"/>
        <w:sectPr>
          <w:type w:val="continuous"/>
          <w:pgSz w:w="11900" w:h="16840"/>
          <w:pgMar w:top="1380" w:bottom="280" w:left="1680" w:right="840"/>
          <w:cols w:num="2" w:equalWidth="0">
            <w:col w:w="1544" w:space="86"/>
            <w:col w:w="7750"/>
          </w:cols>
        </w:sectPr>
      </w:pPr>
    </w:p>
    <w:p>
      <w:pPr>
        <w:pStyle w:val="BodyText"/>
        <w:spacing w:before="22"/>
        <w:ind w:left="1759"/>
      </w:pPr>
      <w:r>
        <w:rPr/>
        <w:t>（21-25 为本公司增加的疾病）</w:t>
      </w:r>
    </w:p>
    <w:p>
      <w:pPr>
        <w:pStyle w:val="BodyText"/>
        <w:spacing w:before="1"/>
        <w:rPr>
          <w:sz w:val="14"/>
        </w:rPr>
      </w:pPr>
    </w:p>
    <w:p>
      <w:pPr>
        <w:spacing w:after="0"/>
        <w:rPr>
          <w:sz w:val="14"/>
        </w:rPr>
        <w:sectPr>
          <w:footerReference w:type="default" r:id="rId8"/>
          <w:pgSz w:w="11900" w:h="16840"/>
          <w:pgMar w:footer="461" w:header="0" w:top="1280" w:bottom="660" w:left="1680" w:right="840"/>
          <w:pgNumType w:start="10"/>
        </w:sectPr>
      </w:pPr>
    </w:p>
    <w:p>
      <w:pPr>
        <w:pStyle w:val="ListParagraph"/>
        <w:numPr>
          <w:ilvl w:val="0"/>
          <w:numId w:val="12"/>
        </w:numPr>
        <w:tabs>
          <w:tab w:pos="550" w:val="left" w:leader="none"/>
        </w:tabs>
        <w:spacing w:line="328" w:lineRule="exact" w:before="20" w:after="0"/>
        <w:ind w:left="388" w:right="0" w:hanging="259"/>
        <w:jc w:val="left"/>
        <w:rPr>
          <w:sz w:val="21"/>
        </w:rPr>
      </w:pPr>
      <w:r>
        <w:rPr>
          <w:spacing w:val="-24"/>
          <w:sz w:val="21"/>
        </w:rPr>
        <w:t>脊 髓 灰 质炎</w:t>
      </w:r>
    </w:p>
    <w:p>
      <w:pPr>
        <w:pStyle w:val="BodyText"/>
        <w:spacing w:line="300" w:lineRule="auto" w:before="73"/>
        <w:ind w:left="129" w:right="219"/>
        <w:jc w:val="both"/>
      </w:pPr>
      <w:r>
        <w:rPr/>
        <w:br w:type="column"/>
      </w:r>
      <w:r>
        <w:rPr/>
        <w:t>经由本公司认可的神经专科医生确认是由于脊髓灰质炎病毒感染所导致的运动功能障碍或呼吸功能减弱麻痹性瘫痪的疾病。若无因此感染而导致麻痹性瘫痪的事实结果，以及其它病因所致的麻痹，例如格林巴利综合征则不属于本附加险合同所说的脊髓灰质炎。</w:t>
      </w:r>
    </w:p>
    <w:p>
      <w:pPr>
        <w:spacing w:after="0" w:line="300" w:lineRule="auto"/>
        <w:jc w:val="both"/>
        <w:sectPr>
          <w:type w:val="continuous"/>
          <w:pgSz w:w="11900" w:h="16840"/>
          <w:pgMar w:top="1380" w:bottom="280" w:left="1680" w:right="840"/>
          <w:cols w:num="2" w:equalWidth="0">
            <w:col w:w="1544" w:space="86"/>
            <w:col w:w="7750"/>
          </w:cols>
        </w:sectPr>
      </w:pPr>
    </w:p>
    <w:p>
      <w:pPr>
        <w:pStyle w:val="BodyText"/>
        <w:spacing w:before="12"/>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both"/>
        <w:rPr>
          <w:sz w:val="21"/>
        </w:rPr>
      </w:pPr>
      <w:r>
        <w:rPr>
          <w:spacing w:val="-24"/>
          <w:sz w:val="21"/>
        </w:rPr>
        <w:t>胰 岛 素 依</w:t>
      </w:r>
      <w:r>
        <w:rPr>
          <w:spacing w:val="17"/>
          <w:sz w:val="21"/>
        </w:rPr>
        <w:t>赖型糖尿病</w:t>
      </w:r>
    </w:p>
    <w:p>
      <w:pPr>
        <w:pStyle w:val="BodyText"/>
        <w:spacing w:line="288" w:lineRule="auto" w:before="15"/>
        <w:ind w:left="388"/>
      </w:pPr>
      <w:r>
        <w:rPr/>
        <w:t>（</w:t>
      </w:r>
      <w:r>
        <w:rPr>
          <w:spacing w:val="-19"/>
        </w:rPr>
        <w:t> Ｉ 型糖尿病）</w:t>
      </w:r>
    </w:p>
    <w:p>
      <w:pPr>
        <w:pStyle w:val="BodyText"/>
        <w:spacing w:before="0"/>
        <w:rPr>
          <w:sz w:val="20"/>
        </w:rPr>
      </w:pPr>
    </w:p>
    <w:p>
      <w:pPr>
        <w:pStyle w:val="BodyText"/>
        <w:spacing w:before="0"/>
        <w:rPr>
          <w:sz w:val="20"/>
        </w:rPr>
      </w:pPr>
    </w:p>
    <w:p>
      <w:pPr>
        <w:pStyle w:val="BodyText"/>
        <w:spacing w:before="8"/>
        <w:rPr>
          <w:sz w:val="25"/>
        </w:rPr>
      </w:pPr>
    </w:p>
    <w:p>
      <w:pPr>
        <w:pStyle w:val="ListParagraph"/>
        <w:numPr>
          <w:ilvl w:val="0"/>
          <w:numId w:val="12"/>
        </w:numPr>
        <w:tabs>
          <w:tab w:pos="550" w:val="left" w:leader="none"/>
        </w:tabs>
        <w:spacing w:line="268" w:lineRule="auto" w:before="0" w:after="0"/>
        <w:ind w:left="388" w:right="0" w:hanging="259"/>
        <w:jc w:val="both"/>
        <w:rPr>
          <w:sz w:val="21"/>
        </w:rPr>
      </w:pPr>
      <w:r>
        <w:rPr>
          <w:spacing w:val="-20"/>
          <w:sz w:val="21"/>
        </w:rPr>
        <w:t>川崎病</w:t>
      </w:r>
      <w:r>
        <w:rPr>
          <w:spacing w:val="-3"/>
          <w:sz w:val="21"/>
        </w:rPr>
        <w:t>（</w:t>
      </w:r>
      <w:r>
        <w:rPr>
          <w:sz w:val="21"/>
        </w:rPr>
        <w:t>伴</w:t>
      </w:r>
      <w:r>
        <w:rPr>
          <w:spacing w:val="17"/>
          <w:sz w:val="21"/>
        </w:rPr>
        <w:t>有冠状动脉瘤）</w:t>
      </w:r>
    </w:p>
    <w:p>
      <w:pPr>
        <w:pStyle w:val="BodyText"/>
        <w:spacing w:line="300" w:lineRule="auto" w:before="73"/>
        <w:ind w:left="129" w:right="219"/>
        <w:jc w:val="both"/>
      </w:pPr>
      <w:r>
        <w:rPr/>
        <w:br w:type="column"/>
      </w:r>
      <w:r>
        <w:rPr/>
        <w:t>胰岛素依赖型糖尿病是由于胰岛素分泌不足引起的慢性血糖升高，并需持续性地依赖外源性胰岛素维持一百八十天以上，须由本公司认可的有资格的内分泌医生确诊并在本附加险合同保险责任有效期内，满足下述至少一个条件：</w:t>
      </w:r>
    </w:p>
    <w:p>
      <w:pPr>
        <w:pStyle w:val="ListParagraph"/>
        <w:numPr>
          <w:ilvl w:val="0"/>
          <w:numId w:val="22"/>
        </w:numPr>
        <w:tabs>
          <w:tab w:pos="697" w:val="left" w:leader="none"/>
        </w:tabs>
        <w:spacing w:line="240" w:lineRule="auto" w:before="16" w:after="0"/>
        <w:ind w:left="696" w:right="0" w:hanging="567"/>
        <w:jc w:val="left"/>
        <w:rPr>
          <w:sz w:val="21"/>
        </w:rPr>
      </w:pPr>
      <w:r>
        <w:rPr>
          <w:spacing w:val="-3"/>
          <w:sz w:val="21"/>
        </w:rPr>
        <w:t>本公司认可的内分泌医生确定已出现增殖性视网膜病变；</w:t>
      </w:r>
    </w:p>
    <w:p>
      <w:pPr>
        <w:pStyle w:val="ListParagraph"/>
        <w:numPr>
          <w:ilvl w:val="0"/>
          <w:numId w:val="22"/>
        </w:numPr>
        <w:tabs>
          <w:tab w:pos="697" w:val="left" w:leader="none"/>
        </w:tabs>
        <w:spacing w:line="240" w:lineRule="auto" w:before="53" w:after="0"/>
        <w:ind w:left="696" w:right="0" w:hanging="567"/>
        <w:jc w:val="left"/>
        <w:rPr>
          <w:sz w:val="21"/>
        </w:rPr>
      </w:pPr>
      <w:r>
        <w:rPr>
          <w:spacing w:val="-3"/>
          <w:sz w:val="21"/>
        </w:rPr>
        <w:t>须植入心脏起搏器治疗心脏病；</w:t>
      </w:r>
    </w:p>
    <w:p>
      <w:pPr>
        <w:pStyle w:val="ListParagraph"/>
        <w:numPr>
          <w:ilvl w:val="0"/>
          <w:numId w:val="22"/>
        </w:numPr>
        <w:tabs>
          <w:tab w:pos="696" w:val="left" w:leader="none"/>
        </w:tabs>
        <w:spacing w:line="240" w:lineRule="auto" w:before="53" w:after="0"/>
        <w:ind w:left="696" w:right="0" w:hanging="567"/>
        <w:jc w:val="left"/>
        <w:rPr>
          <w:sz w:val="21"/>
        </w:rPr>
      </w:pPr>
      <w:r>
        <w:rPr>
          <w:spacing w:val="-3"/>
          <w:sz w:val="21"/>
        </w:rPr>
        <w:t>因坏疽需切除一只或以上脚趾。</w:t>
      </w:r>
    </w:p>
    <w:p>
      <w:pPr>
        <w:pStyle w:val="BodyText"/>
        <w:spacing w:line="300" w:lineRule="auto" w:before="214"/>
        <w:ind w:left="129" w:right="219"/>
        <w:jc w:val="both"/>
      </w:pPr>
      <w:r>
        <w:rPr/>
        <w:t>本保障仅限于伴有冠状动脉瘤的川崎氏病，且此冠状动脉瘤于最初急性发病后持</w:t>
      </w:r>
      <w:r>
        <w:rPr>
          <w:spacing w:val="-5"/>
        </w:rPr>
        <w:t>续至少 </w:t>
      </w:r>
      <w:r>
        <w:rPr/>
        <w:t>6</w:t>
      </w:r>
      <w:r>
        <w:rPr>
          <w:spacing w:val="-5"/>
        </w:rPr>
        <w:t> 个月。本病必须由本公司认可医院的儿科医师确诊，必须有超声心动图</w:t>
      </w:r>
      <w:r>
        <w:rPr>
          <w:spacing w:val="-4"/>
        </w:rPr>
        <w:t>检查诊断。</w:t>
      </w:r>
    </w:p>
    <w:p>
      <w:pPr>
        <w:spacing w:after="0" w:line="300" w:lineRule="auto"/>
        <w:jc w:val="both"/>
        <w:sectPr>
          <w:type w:val="continuous"/>
          <w:pgSz w:w="11900" w:h="16840"/>
          <w:pgMar w:top="1380" w:bottom="280" w:left="1680" w:right="840"/>
          <w:cols w:num="2" w:equalWidth="0">
            <w:col w:w="1544" w:space="86"/>
            <w:col w:w="7750"/>
          </w:cols>
        </w:sectPr>
      </w:pPr>
    </w:p>
    <w:p>
      <w:pPr>
        <w:pStyle w:val="BodyText"/>
        <w:spacing w:before="10"/>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left"/>
        <w:rPr>
          <w:sz w:val="21"/>
        </w:rPr>
      </w:pPr>
      <w:r>
        <w:rPr>
          <w:spacing w:val="-24"/>
          <w:sz w:val="21"/>
        </w:rPr>
        <w:t>严 重 幼 年</w:t>
      </w:r>
      <w:r>
        <w:rPr>
          <w:spacing w:val="17"/>
          <w:sz w:val="21"/>
        </w:rPr>
        <w:t>型类风湿性</w:t>
      </w:r>
    </w:p>
    <w:p>
      <w:pPr>
        <w:pStyle w:val="BodyText"/>
        <w:spacing w:before="18"/>
        <w:ind w:left="388"/>
      </w:pPr>
      <w:r>
        <w:rPr/>
        <w:t>关节炎</w:t>
      </w:r>
    </w:p>
    <w:p>
      <w:pPr>
        <w:pStyle w:val="BodyText"/>
        <w:spacing w:line="300" w:lineRule="auto" w:before="72"/>
        <w:ind w:left="129" w:right="114"/>
      </w:pPr>
      <w:r>
        <w:rPr/>
        <w:br w:type="column"/>
      </w:r>
      <w:r>
        <w:rPr/>
        <w:t>一种少儿慢性关节炎，其特征为发热和系统性疾病体征，该体征可能于关节炎出</w:t>
      </w:r>
      <w:r>
        <w:rPr>
          <w:spacing w:val="-7"/>
        </w:rPr>
        <w:t>现之前的数月间持续存在。主要临床症状包括每日发高热、消散性皮疹、关节炎、脾肿大、淋巴结肿大、浆膜炎、体重下降、中性白细胞增多、急性期蛋白增加及血清抗核抗体</w:t>
      </w:r>
      <w:r>
        <w:rPr>
          <w:spacing w:val="-3"/>
        </w:rPr>
        <w:t>（ANA）</w:t>
      </w:r>
      <w:r>
        <w:rPr>
          <w:spacing w:val="-5"/>
        </w:rPr>
        <w:t>和类风湿因子</w:t>
      </w:r>
      <w:r>
        <w:rPr>
          <w:spacing w:val="-4"/>
        </w:rPr>
        <w:t>（RF）</w:t>
      </w:r>
      <w:r>
        <w:rPr>
          <w:spacing w:val="-5"/>
        </w:rPr>
        <w:t>阳性。必须由小儿风湿病专科主任医师确诊。本附加险合同只对病情严重而必须且实际接受了膝关节或髋关节置换手术</w:t>
      </w:r>
      <w:r>
        <w:rPr>
          <w:spacing w:val="-4"/>
        </w:rPr>
        <w:t>治疗的受保儿童予以理赔。</w:t>
      </w:r>
    </w:p>
    <w:p>
      <w:pPr>
        <w:spacing w:after="0" w:line="300" w:lineRule="auto"/>
        <w:sectPr>
          <w:type w:val="continuous"/>
          <w:pgSz w:w="11900" w:h="16840"/>
          <w:pgMar w:top="1380" w:bottom="280" w:left="1680" w:right="840"/>
          <w:cols w:num="2" w:equalWidth="0">
            <w:col w:w="1544" w:space="86"/>
            <w:col w:w="7750"/>
          </w:cols>
        </w:sectPr>
      </w:pPr>
    </w:p>
    <w:p>
      <w:pPr>
        <w:pStyle w:val="BodyText"/>
        <w:spacing w:before="12"/>
        <w:rPr>
          <w:sz w:val="7"/>
        </w:rPr>
      </w:pPr>
    </w:p>
    <w:p>
      <w:pPr>
        <w:spacing w:after="0"/>
        <w:rPr>
          <w:sz w:val="7"/>
        </w:rPr>
        <w:sectPr>
          <w:type w:val="continuous"/>
          <w:pgSz w:w="11900" w:h="16840"/>
          <w:pgMar w:top="1380" w:bottom="280" w:left="1680" w:right="840"/>
        </w:sectPr>
      </w:pPr>
    </w:p>
    <w:p>
      <w:pPr>
        <w:pStyle w:val="ListParagraph"/>
        <w:numPr>
          <w:ilvl w:val="0"/>
          <w:numId w:val="12"/>
        </w:numPr>
        <w:tabs>
          <w:tab w:pos="550" w:val="left" w:leader="none"/>
        </w:tabs>
        <w:spacing w:line="326" w:lineRule="exact" w:before="21" w:after="0"/>
        <w:ind w:left="388" w:right="0" w:hanging="259"/>
        <w:jc w:val="both"/>
        <w:rPr>
          <w:sz w:val="21"/>
        </w:rPr>
      </w:pPr>
      <w:r>
        <w:rPr>
          <w:spacing w:val="-24"/>
          <w:sz w:val="21"/>
        </w:rPr>
        <w:t>由 输 血 而</w:t>
      </w:r>
      <w:r>
        <w:rPr>
          <w:spacing w:val="17"/>
          <w:sz w:val="21"/>
        </w:rPr>
        <w:t>感染艾滋病病毒</w:t>
      </w:r>
    </w:p>
    <w:p>
      <w:pPr>
        <w:pStyle w:val="BodyText"/>
        <w:spacing w:before="72"/>
        <w:ind w:left="129"/>
      </w:pPr>
      <w:r>
        <w:rPr/>
        <w:br w:type="column"/>
      </w:r>
      <w:r>
        <w:rPr/>
        <w:t>被保险人感染上人类免疫缺陷病毒（HIV）并且符合下列所有条件：</w:t>
      </w:r>
    </w:p>
    <w:p>
      <w:pPr>
        <w:pStyle w:val="ListParagraph"/>
        <w:numPr>
          <w:ilvl w:val="0"/>
          <w:numId w:val="23"/>
        </w:numPr>
        <w:tabs>
          <w:tab w:pos="697" w:val="left" w:leader="none"/>
        </w:tabs>
        <w:spacing w:line="240" w:lineRule="auto" w:before="67" w:after="0"/>
        <w:ind w:left="696" w:right="0" w:hanging="567"/>
        <w:jc w:val="left"/>
        <w:rPr>
          <w:sz w:val="21"/>
        </w:rPr>
      </w:pPr>
      <w:r>
        <w:rPr>
          <w:spacing w:val="-5"/>
          <w:sz w:val="21"/>
        </w:rPr>
        <w:t>在保障起始日或复效日之后，被保险人因输血而感染 </w:t>
      </w:r>
      <w:r>
        <w:rPr>
          <w:sz w:val="21"/>
        </w:rPr>
        <w:t>HIV；</w:t>
      </w:r>
    </w:p>
    <w:p>
      <w:pPr>
        <w:pStyle w:val="ListParagraph"/>
        <w:numPr>
          <w:ilvl w:val="0"/>
          <w:numId w:val="23"/>
        </w:numPr>
        <w:tabs>
          <w:tab w:pos="697" w:val="left" w:leader="none"/>
        </w:tabs>
        <w:spacing w:line="283" w:lineRule="auto" w:before="52" w:after="0"/>
        <w:ind w:left="696" w:right="116" w:hanging="567"/>
        <w:jc w:val="left"/>
        <w:rPr>
          <w:sz w:val="21"/>
        </w:rPr>
      </w:pPr>
      <w:r>
        <w:rPr>
          <w:spacing w:val="-3"/>
          <w:sz w:val="21"/>
        </w:rPr>
        <w:t>提供输血治疗的输血中心或医院出具该项输血感染属医疗责任事故的报告， 或者法院终审裁定为医疗责任；</w:t>
      </w:r>
    </w:p>
    <w:p>
      <w:pPr>
        <w:pStyle w:val="ListParagraph"/>
        <w:numPr>
          <w:ilvl w:val="0"/>
          <w:numId w:val="23"/>
        </w:numPr>
        <w:tabs>
          <w:tab w:pos="697" w:val="left" w:leader="none"/>
        </w:tabs>
        <w:spacing w:line="240" w:lineRule="auto" w:before="30" w:after="0"/>
        <w:ind w:left="696" w:right="0" w:hanging="567"/>
        <w:jc w:val="left"/>
        <w:rPr>
          <w:sz w:val="21"/>
        </w:rPr>
      </w:pPr>
      <w:r>
        <w:rPr>
          <w:spacing w:val="-3"/>
          <w:sz w:val="21"/>
        </w:rPr>
        <w:t>受感染的被保险人不是血友病患者。</w:t>
      </w:r>
    </w:p>
    <w:p>
      <w:pPr>
        <w:pStyle w:val="BodyText"/>
        <w:spacing w:line="300" w:lineRule="auto"/>
        <w:ind w:left="129" w:right="222" w:hanging="1"/>
      </w:pPr>
      <w:r>
        <w:rPr>
          <w:spacing w:val="-12"/>
        </w:rPr>
        <w:t>在任何治愈艾滋病</w:t>
      </w:r>
      <w:r>
        <w:rPr>
          <w:spacing w:val="-14"/>
        </w:rPr>
        <w:t>（AIDS）</w:t>
      </w:r>
      <w:r>
        <w:rPr>
          <w:spacing w:val="-12"/>
        </w:rPr>
        <w:t>或阻止 </w:t>
      </w:r>
      <w:r>
        <w:rPr/>
        <w:t>HIV</w:t>
      </w:r>
      <w:r>
        <w:rPr>
          <w:spacing w:val="-15"/>
        </w:rPr>
        <w:t> 病毒作用的疗法被发现以后，或能防止 </w:t>
      </w:r>
      <w:r>
        <w:rPr/>
        <w:t>AIDS </w:t>
      </w:r>
      <w:r>
        <w:rPr>
          <w:spacing w:val="-3"/>
        </w:rPr>
        <w:t>发生的医疗方法被研究出来以后，本保障将不再予以赔付。</w:t>
      </w:r>
    </w:p>
    <w:p>
      <w:pPr>
        <w:pStyle w:val="BodyText"/>
        <w:spacing w:line="300" w:lineRule="auto" w:before="15"/>
        <w:ind w:left="129" w:right="219"/>
        <w:jc w:val="both"/>
      </w:pPr>
      <w:r>
        <w:rPr>
          <w:spacing w:val="-4"/>
        </w:rPr>
        <w:t>任何因其他传播方式导致的 </w:t>
      </w:r>
      <w:r>
        <w:rPr/>
        <w:t>HIV</w:t>
      </w:r>
      <w:r>
        <w:rPr>
          <w:spacing w:val="-5"/>
        </w:rPr>
        <w:t> 感染不在本附加险合同保障范围内。本公司必须拥有获得和使用被保险人的所有血液样本的权利和能够对这些样本进行独立检验</w:t>
      </w:r>
      <w:r>
        <w:rPr>
          <w:spacing w:val="-4"/>
        </w:rPr>
        <w:t>的权利。</w:t>
      </w:r>
    </w:p>
    <w:p>
      <w:pPr>
        <w:pStyle w:val="BodyText"/>
        <w:spacing w:before="176"/>
        <w:ind w:left="129"/>
      </w:pPr>
      <w:r>
        <w:rPr>
          <w:spacing w:val="-9"/>
        </w:rPr>
        <w:t>被保险人年满 </w:t>
      </w:r>
      <w:r>
        <w:rPr/>
        <w:t>18</w:t>
      </w:r>
      <w:r>
        <w:rPr>
          <w:spacing w:val="-17"/>
        </w:rPr>
        <w:t> 周岁以后</w:t>
      </w:r>
      <w:r>
        <w:rPr/>
        <w:t>（</w:t>
      </w:r>
      <w:r>
        <w:rPr>
          <w:spacing w:val="-18"/>
        </w:rPr>
        <w:t>包括 </w:t>
      </w:r>
      <w:r>
        <w:rPr/>
        <w:t>18</w:t>
      </w:r>
      <w:r>
        <w:rPr>
          <w:spacing w:val="-19"/>
        </w:rPr>
        <w:t> 周岁</w:t>
      </w:r>
      <w:r>
        <w:rPr>
          <w:spacing w:val="-20"/>
        </w:rPr>
        <w:t>）</w:t>
      </w:r>
      <w:r>
        <w:rPr>
          <w:spacing w:val="-14"/>
        </w:rPr>
        <w:t>除以上 </w:t>
      </w:r>
      <w:r>
        <w:rPr/>
        <w:t>25</w:t>
      </w:r>
      <w:r>
        <w:rPr>
          <w:spacing w:val="-10"/>
        </w:rPr>
        <w:t> 种重大疾病以外，本公司对</w:t>
      </w:r>
    </w:p>
    <w:p>
      <w:pPr>
        <w:pStyle w:val="BodyText"/>
        <w:spacing w:before="68"/>
        <w:ind w:left="129"/>
      </w:pPr>
      <w:r>
        <w:rPr/>
        <w:t>被保险人初次患有的重大疾病增加如下 10 种承担保险责任：</w:t>
      </w:r>
    </w:p>
    <w:p>
      <w:pPr>
        <w:pStyle w:val="BodyText"/>
        <w:spacing w:before="4"/>
        <w:rPr>
          <w:sz w:val="17"/>
        </w:rPr>
      </w:pPr>
    </w:p>
    <w:p>
      <w:pPr>
        <w:pStyle w:val="BodyText"/>
        <w:spacing w:line="300" w:lineRule="auto" w:before="0"/>
        <w:ind w:left="129" w:right="222"/>
      </w:pPr>
      <w:r>
        <w:rPr/>
        <w:t>（1-5</w:t>
      </w:r>
      <w:r>
        <w:rPr>
          <w:spacing w:val="-34"/>
        </w:rPr>
        <w:t> 为 </w:t>
      </w:r>
      <w:r>
        <w:rPr/>
        <w:t>2007</w:t>
      </w:r>
      <w:r>
        <w:rPr>
          <w:spacing w:val="-34"/>
        </w:rPr>
        <w:t> 年 </w:t>
      </w:r>
      <w:r>
        <w:rPr/>
        <w:t>4</w:t>
      </w:r>
      <w:r>
        <w:rPr>
          <w:spacing w:val="-34"/>
        </w:rPr>
        <w:t> 月 </w:t>
      </w:r>
      <w:r>
        <w:rPr/>
        <w:t>3</w:t>
      </w:r>
      <w:r>
        <w:rPr>
          <w:spacing w:val="-9"/>
        </w:rPr>
        <w:t> 日正式启用的《重大疾病保险的疾病定义使用规范》的规</w:t>
      </w:r>
      <w:r>
        <w:rPr>
          <w:spacing w:val="-5"/>
        </w:rPr>
        <w:t>范定义疾病，该规范由中国保险行业协会制定</w:t>
      </w:r>
      <w:r>
        <w:rPr/>
        <w:t>）</w:t>
      </w:r>
    </w:p>
    <w:p>
      <w:pPr>
        <w:spacing w:after="0" w:line="300" w:lineRule="auto"/>
        <w:sectPr>
          <w:type w:val="continuous"/>
          <w:pgSz w:w="11900" w:h="16840"/>
          <w:pgMar w:top="1380" w:bottom="280" w:left="1680" w:right="840"/>
          <w:cols w:num="2" w:equalWidth="0">
            <w:col w:w="1544" w:space="86"/>
            <w:col w:w="7750"/>
          </w:cols>
        </w:sectPr>
      </w:pPr>
    </w:p>
    <w:p>
      <w:pPr>
        <w:pStyle w:val="BodyText"/>
        <w:spacing w:before="12"/>
        <w:rPr>
          <w:sz w:val="7"/>
        </w:rPr>
      </w:pPr>
    </w:p>
    <w:p>
      <w:pPr>
        <w:spacing w:after="0"/>
        <w:rPr>
          <w:sz w:val="7"/>
        </w:rPr>
        <w:sectPr>
          <w:type w:val="continuous"/>
          <w:pgSz w:w="11900" w:h="16840"/>
          <w:pgMar w:top="1380" w:bottom="280" w:left="1680" w:right="840"/>
        </w:sectPr>
      </w:pPr>
    </w:p>
    <w:p>
      <w:pPr>
        <w:pStyle w:val="ListParagraph"/>
        <w:numPr>
          <w:ilvl w:val="0"/>
          <w:numId w:val="24"/>
        </w:numPr>
        <w:tabs>
          <w:tab w:pos="389" w:val="left" w:leader="none"/>
        </w:tabs>
        <w:spacing w:line="326" w:lineRule="exact" w:before="21" w:after="0"/>
        <w:ind w:left="388" w:right="0" w:hanging="259"/>
        <w:jc w:val="left"/>
        <w:rPr>
          <w:sz w:val="21"/>
        </w:rPr>
      </w:pPr>
      <w:r>
        <w:rPr>
          <w:spacing w:val="17"/>
          <w:sz w:val="21"/>
        </w:rPr>
        <w:t>急性心肌梗塞</w:t>
      </w:r>
    </w:p>
    <w:p>
      <w:pPr>
        <w:pStyle w:val="BodyText"/>
        <w:spacing w:line="300" w:lineRule="auto" w:before="72"/>
        <w:ind w:left="129" w:right="219"/>
      </w:pPr>
      <w:r>
        <w:rPr/>
        <w:br w:type="column"/>
      </w:r>
      <w:r>
        <w:rPr/>
        <w:t>指因冠状动脉阻塞导致的相应区域供血不足造成部分心肌坏死。须满足下列至少三项条件：</w:t>
      </w:r>
    </w:p>
    <w:p>
      <w:pPr>
        <w:pStyle w:val="ListParagraph"/>
        <w:numPr>
          <w:ilvl w:val="0"/>
          <w:numId w:val="25"/>
        </w:numPr>
        <w:tabs>
          <w:tab w:pos="697" w:val="left" w:leader="none"/>
        </w:tabs>
        <w:spacing w:line="240" w:lineRule="auto" w:before="15" w:after="0"/>
        <w:ind w:left="696" w:right="0" w:hanging="567"/>
        <w:jc w:val="left"/>
        <w:rPr>
          <w:sz w:val="21"/>
        </w:rPr>
      </w:pPr>
      <w:r>
        <w:rPr>
          <w:spacing w:val="-3"/>
          <w:sz w:val="21"/>
        </w:rPr>
        <w:t>典型临床表现，例如急性胸痛等；</w:t>
      </w:r>
    </w:p>
    <w:p>
      <w:pPr>
        <w:pStyle w:val="ListParagraph"/>
        <w:numPr>
          <w:ilvl w:val="0"/>
          <w:numId w:val="25"/>
        </w:numPr>
        <w:tabs>
          <w:tab w:pos="697" w:val="left" w:leader="none"/>
        </w:tabs>
        <w:spacing w:line="240" w:lineRule="auto" w:before="53" w:after="0"/>
        <w:ind w:left="696" w:right="0" w:hanging="567"/>
        <w:jc w:val="left"/>
        <w:rPr>
          <w:sz w:val="21"/>
        </w:rPr>
      </w:pPr>
      <w:r>
        <w:rPr>
          <w:spacing w:val="-3"/>
          <w:sz w:val="21"/>
        </w:rPr>
        <w:t>新近的心电图改变提示急性心肌梗塞；</w:t>
      </w:r>
    </w:p>
    <w:p>
      <w:pPr>
        <w:spacing w:after="0" w:line="240" w:lineRule="auto"/>
        <w:jc w:val="left"/>
        <w:rPr>
          <w:sz w:val="21"/>
        </w:rPr>
        <w:sectPr>
          <w:type w:val="continuous"/>
          <w:pgSz w:w="11900" w:h="16840"/>
          <w:pgMar w:top="1380" w:bottom="280" w:left="1680" w:right="840"/>
          <w:cols w:num="2" w:equalWidth="0">
            <w:col w:w="1544" w:space="86"/>
            <w:col w:w="7750"/>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3"/>
        <w:rPr>
          <w:sz w:val="24"/>
        </w:rPr>
      </w:pPr>
    </w:p>
    <w:p>
      <w:pPr>
        <w:pStyle w:val="ListParagraph"/>
        <w:numPr>
          <w:ilvl w:val="0"/>
          <w:numId w:val="24"/>
        </w:numPr>
        <w:tabs>
          <w:tab w:pos="389" w:val="left" w:leader="none"/>
        </w:tabs>
        <w:spacing w:line="256" w:lineRule="auto" w:before="0" w:after="0"/>
        <w:ind w:left="388" w:right="0" w:hanging="259"/>
        <w:jc w:val="left"/>
        <w:rPr>
          <w:sz w:val="21"/>
        </w:rPr>
      </w:pPr>
      <w:r>
        <w:rPr>
          <w:spacing w:val="17"/>
          <w:sz w:val="21"/>
        </w:rPr>
        <w:t>脑中风后遗症</w:t>
      </w:r>
    </w:p>
    <w:p>
      <w:pPr>
        <w:pStyle w:val="ListParagraph"/>
        <w:numPr>
          <w:ilvl w:val="0"/>
          <w:numId w:val="25"/>
        </w:numPr>
        <w:tabs>
          <w:tab w:pos="697" w:val="left" w:leader="none"/>
        </w:tabs>
        <w:spacing w:line="283" w:lineRule="auto" w:before="22" w:after="0"/>
        <w:ind w:left="696" w:right="104" w:hanging="567"/>
        <w:jc w:val="left"/>
        <w:rPr>
          <w:sz w:val="21"/>
        </w:rPr>
      </w:pPr>
      <w:r>
        <w:rPr>
          <w:spacing w:val="1"/>
          <w:w w:val="100"/>
          <w:sz w:val="21"/>
        </w:rPr>
        <w:br w:type="column"/>
      </w:r>
      <w:r>
        <w:rPr>
          <w:sz w:val="21"/>
        </w:rPr>
        <w:t>心肌酶或肌钙蛋白有诊断意义的升高，或呈符合急性心肌梗塞的动态性变化；</w:t>
      </w:r>
    </w:p>
    <w:p>
      <w:pPr>
        <w:pStyle w:val="ListParagraph"/>
        <w:numPr>
          <w:ilvl w:val="0"/>
          <w:numId w:val="25"/>
        </w:numPr>
        <w:tabs>
          <w:tab w:pos="697" w:val="left" w:leader="none"/>
        </w:tabs>
        <w:spacing w:line="240" w:lineRule="auto" w:before="30" w:after="0"/>
        <w:ind w:left="696" w:right="0" w:hanging="567"/>
        <w:jc w:val="left"/>
        <w:rPr>
          <w:sz w:val="21"/>
        </w:rPr>
      </w:pPr>
      <w:r>
        <w:rPr/>
        <w:drawing>
          <wp:anchor distT="0" distB="0" distL="0" distR="0" allowOverlap="1" layoutInCell="1" locked="0" behindDoc="1" simplePos="0" relativeHeight="268398743">
            <wp:simplePos x="0" y="0"/>
            <wp:positionH relativeFrom="page">
              <wp:posOffset>6649339</wp:posOffset>
            </wp:positionH>
            <wp:positionV relativeFrom="paragraph">
              <wp:posOffset>73198</wp:posOffset>
            </wp:positionV>
            <wp:extent cx="60324"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4" cy="104775"/>
                    </a:xfrm>
                    <a:prstGeom prst="rect">
                      <a:avLst/>
                    </a:prstGeom>
                  </pic:spPr>
                </pic:pic>
              </a:graphicData>
            </a:graphic>
          </wp:anchor>
        </w:drawing>
      </w:r>
      <w:r>
        <w:rPr>
          <w:spacing w:val="-16"/>
          <w:sz w:val="21"/>
        </w:rPr>
        <w:t>发病 </w:t>
      </w:r>
      <w:r>
        <w:rPr>
          <w:sz w:val="21"/>
        </w:rPr>
        <w:t>90</w:t>
      </w:r>
      <w:r>
        <w:rPr>
          <w:spacing w:val="-11"/>
          <w:sz w:val="21"/>
        </w:rPr>
        <w:t> 天后，经检查证实左心室功能降低，如左心室射血分数低于 </w:t>
      </w:r>
      <w:r>
        <w:rPr>
          <w:sz w:val="21"/>
        </w:rPr>
        <w:t>50</w:t>
      </w:r>
      <w:r>
        <w:rPr>
          <w:spacing w:val="5"/>
          <w:sz w:val="21"/>
        </w:rPr>
        <w:t> 。</w:t>
      </w:r>
    </w:p>
    <w:p>
      <w:pPr>
        <w:pStyle w:val="BodyText"/>
        <w:spacing w:line="300" w:lineRule="auto" w:before="212"/>
        <w:ind w:left="129" w:right="99"/>
        <w:jc w:val="both"/>
      </w:pPr>
      <w:r>
        <w:rPr/>
        <w:t>指因脑血管的突发病变引起脑血管出血、栓塞或梗塞，并导致神经系统永久性的</w:t>
      </w:r>
      <w:r>
        <w:rPr>
          <w:spacing w:val="-4"/>
        </w:rPr>
        <w:t>功能障碍。神经系统永久性的功能障碍，指疾病确诊 </w:t>
      </w:r>
      <w:r>
        <w:rPr/>
        <w:t>180</w:t>
      </w:r>
      <w:r>
        <w:rPr>
          <w:spacing w:val="-5"/>
        </w:rPr>
        <w:t> 天后，仍遗留下列一种</w:t>
      </w:r>
      <w:r>
        <w:rPr>
          <w:spacing w:val="-4"/>
        </w:rPr>
        <w:t>或一种以上障碍：</w:t>
      </w:r>
    </w:p>
    <w:p>
      <w:pPr>
        <w:pStyle w:val="ListParagraph"/>
        <w:numPr>
          <w:ilvl w:val="0"/>
          <w:numId w:val="26"/>
        </w:numPr>
        <w:tabs>
          <w:tab w:pos="697" w:val="left" w:leader="none"/>
        </w:tabs>
        <w:spacing w:line="240" w:lineRule="auto" w:before="16" w:after="0"/>
        <w:ind w:left="696" w:right="0" w:hanging="567"/>
        <w:jc w:val="left"/>
        <w:rPr>
          <w:sz w:val="21"/>
        </w:rPr>
      </w:pPr>
      <w:r>
        <w:rPr>
          <w:spacing w:val="-3"/>
          <w:sz w:val="21"/>
        </w:rPr>
        <w:t>一肢或一肢以上肢体机能完全丧失；</w:t>
      </w:r>
    </w:p>
    <w:p>
      <w:pPr>
        <w:pStyle w:val="ListParagraph"/>
        <w:numPr>
          <w:ilvl w:val="0"/>
          <w:numId w:val="26"/>
        </w:numPr>
        <w:tabs>
          <w:tab w:pos="697" w:val="left" w:leader="none"/>
        </w:tabs>
        <w:spacing w:line="240" w:lineRule="auto" w:before="53" w:after="0"/>
        <w:ind w:left="696" w:right="0" w:hanging="567"/>
        <w:jc w:val="left"/>
        <w:rPr>
          <w:sz w:val="21"/>
        </w:rPr>
      </w:pPr>
      <w:r>
        <w:rPr>
          <w:spacing w:val="-3"/>
          <w:sz w:val="21"/>
        </w:rPr>
        <w:t>语言能力或咀嚼吞咽能力完全丧失；</w:t>
      </w:r>
    </w:p>
    <w:p>
      <w:pPr>
        <w:pStyle w:val="ListParagraph"/>
        <w:numPr>
          <w:ilvl w:val="0"/>
          <w:numId w:val="26"/>
        </w:numPr>
        <w:tabs>
          <w:tab w:pos="696" w:val="left" w:leader="none"/>
        </w:tabs>
        <w:spacing w:line="283" w:lineRule="auto" w:before="53" w:after="0"/>
        <w:ind w:left="696" w:right="102" w:hanging="567"/>
        <w:jc w:val="left"/>
        <w:rPr>
          <w:sz w:val="21"/>
        </w:rPr>
      </w:pPr>
      <w:r>
        <w:rPr>
          <w:spacing w:val="-12"/>
          <w:sz w:val="21"/>
        </w:rPr>
        <w:t>自主生活能力完全丧失，无法独立完成六项基本日常生活活动中的三项或三</w:t>
      </w:r>
      <w:r>
        <w:rPr>
          <w:spacing w:val="-7"/>
          <w:sz w:val="21"/>
        </w:rPr>
        <w:t>项以上。</w:t>
      </w:r>
    </w:p>
    <w:p>
      <w:pPr>
        <w:spacing w:after="0" w:line="283" w:lineRule="auto"/>
        <w:jc w:val="left"/>
        <w:rPr>
          <w:sz w:val="21"/>
        </w:rPr>
        <w:sectPr>
          <w:pgSz w:w="11900" w:h="16840"/>
          <w:pgMar w:header="0" w:footer="461" w:top="1280" w:bottom="660" w:left="1680" w:right="960"/>
          <w:cols w:num="2" w:equalWidth="0">
            <w:col w:w="1544" w:space="86"/>
            <w:col w:w="7630"/>
          </w:cols>
        </w:sectPr>
      </w:pPr>
    </w:p>
    <w:p>
      <w:pPr>
        <w:pStyle w:val="BodyText"/>
        <w:spacing w:before="1"/>
        <w:rPr>
          <w:sz w:val="9"/>
        </w:rPr>
      </w:pPr>
    </w:p>
    <w:p>
      <w:pPr>
        <w:spacing w:after="0"/>
        <w:rPr>
          <w:sz w:val="9"/>
        </w:rPr>
        <w:sectPr>
          <w:type w:val="continuous"/>
          <w:pgSz w:w="11900" w:h="16840"/>
          <w:pgMar w:top="1380" w:bottom="280" w:left="1680" w:right="960"/>
        </w:sectPr>
      </w:pPr>
    </w:p>
    <w:p>
      <w:pPr>
        <w:pStyle w:val="ListParagraph"/>
        <w:numPr>
          <w:ilvl w:val="0"/>
          <w:numId w:val="24"/>
        </w:numPr>
        <w:tabs>
          <w:tab w:pos="389" w:val="left" w:leader="none"/>
        </w:tabs>
        <w:spacing w:line="326" w:lineRule="exact" w:before="21" w:after="0"/>
        <w:ind w:left="388" w:right="0" w:hanging="259"/>
        <w:jc w:val="both"/>
        <w:rPr>
          <w:sz w:val="21"/>
        </w:rPr>
      </w:pPr>
      <w:r>
        <w:rPr>
          <w:spacing w:val="17"/>
          <w:sz w:val="21"/>
        </w:rPr>
        <w:t>冠状动脉搭</w:t>
      </w:r>
      <w:r>
        <w:rPr>
          <w:spacing w:val="22"/>
          <w:sz w:val="21"/>
        </w:rPr>
        <w:t>桥术</w:t>
      </w:r>
      <w:r>
        <w:rPr>
          <w:sz w:val="21"/>
        </w:rPr>
        <w:t>（</w:t>
      </w:r>
      <w:r>
        <w:rPr>
          <w:spacing w:val="-17"/>
          <w:sz w:val="21"/>
        </w:rPr>
        <w:t> 或称</w:t>
      </w:r>
      <w:r>
        <w:rPr>
          <w:spacing w:val="17"/>
          <w:sz w:val="21"/>
        </w:rPr>
        <w:t>冠状动脉旁</w:t>
      </w:r>
      <w:r>
        <w:rPr>
          <w:spacing w:val="6"/>
          <w:sz w:val="21"/>
        </w:rPr>
        <w:t>路移植术</w:t>
      </w:r>
      <w:r>
        <w:rPr>
          <w:sz w:val="21"/>
        </w:rPr>
        <w:t>）</w:t>
      </w:r>
    </w:p>
    <w:p>
      <w:pPr>
        <w:pStyle w:val="BodyText"/>
        <w:spacing w:line="300" w:lineRule="auto" w:before="72"/>
        <w:ind w:left="129" w:right="99"/>
        <w:jc w:val="both"/>
      </w:pPr>
      <w:r>
        <w:rPr/>
        <w:br w:type="column"/>
      </w:r>
      <w:r>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300" w:lineRule="auto"/>
        <w:jc w:val="both"/>
        <w:sectPr>
          <w:type w:val="continuous"/>
          <w:pgSz w:w="11900" w:h="16840"/>
          <w:pgMar w:top="1380" w:bottom="280" w:left="1680" w:right="960"/>
          <w:cols w:num="2" w:equalWidth="0">
            <w:col w:w="1544" w:space="86"/>
            <w:col w:w="7630"/>
          </w:cols>
        </w:sectPr>
      </w:pPr>
    </w:p>
    <w:p>
      <w:pPr>
        <w:pStyle w:val="BodyText"/>
        <w:spacing w:before="9"/>
        <w:rPr>
          <w:sz w:val="10"/>
        </w:rPr>
      </w:pPr>
    </w:p>
    <w:p>
      <w:pPr>
        <w:spacing w:after="0"/>
        <w:rPr>
          <w:sz w:val="10"/>
        </w:rPr>
        <w:sectPr>
          <w:type w:val="continuous"/>
          <w:pgSz w:w="11900" w:h="16840"/>
          <w:pgMar w:top="1380" w:bottom="280" w:left="1680" w:right="960"/>
        </w:sectPr>
      </w:pPr>
    </w:p>
    <w:p>
      <w:pPr>
        <w:pStyle w:val="ListParagraph"/>
        <w:numPr>
          <w:ilvl w:val="0"/>
          <w:numId w:val="24"/>
        </w:numPr>
        <w:tabs>
          <w:tab w:pos="389" w:val="left" w:leader="none"/>
        </w:tabs>
        <w:spacing w:line="326" w:lineRule="exact" w:before="21" w:after="0"/>
        <w:ind w:left="388" w:right="0" w:hanging="259"/>
        <w:jc w:val="left"/>
        <w:rPr>
          <w:sz w:val="21"/>
        </w:rPr>
      </w:pPr>
      <w:r>
        <w:rPr>
          <w:spacing w:val="17"/>
          <w:sz w:val="21"/>
        </w:rPr>
        <w:t>严重阿尔茨海默病</w:t>
      </w:r>
    </w:p>
    <w:p>
      <w:pPr>
        <w:pStyle w:val="BodyText"/>
        <w:spacing w:line="300" w:lineRule="auto" w:before="72"/>
        <w:ind w:left="129" w:right="99"/>
        <w:jc w:val="both"/>
      </w:pPr>
      <w:r>
        <w:rPr/>
        <w:br w:type="column"/>
      </w:r>
      <w:r>
        <w:rPr/>
        <w:t>指因大脑进行性、不可逆性改变导致智能严重衰退或丧失，临床表现为明显的认知能力障碍、行为异常和社交能力减退，其日常生活必须持续受到他人监护。须</w:t>
      </w:r>
      <w:r>
        <w:rPr>
          <w:spacing w:val="-4"/>
          <w:w w:val="100"/>
        </w:rPr>
        <w:t>由头颅断层扫描</w:t>
      </w:r>
      <w:r>
        <w:rPr>
          <w:w w:val="100"/>
        </w:rPr>
        <w:t>（</w:t>
      </w:r>
      <w:r>
        <w:rPr>
          <w:spacing w:val="-3"/>
          <w:w w:val="100"/>
        </w:rPr>
        <w:t>C</w:t>
      </w:r>
      <w:r>
        <w:rPr>
          <w:w w:val="100"/>
        </w:rPr>
        <w:t>T</w:t>
      </w:r>
      <w:r>
        <w:rPr>
          <w:spacing w:val="-108"/>
          <w:w w:val="100"/>
        </w:rPr>
        <w:t>）</w:t>
      </w:r>
      <w:r>
        <w:rPr>
          <w:spacing w:val="-6"/>
          <w:w w:val="100"/>
        </w:rPr>
        <w:t>、核磁共振检查</w:t>
      </w:r>
      <w:r>
        <w:rPr>
          <w:w w:val="100"/>
        </w:rPr>
        <w:t>（</w:t>
      </w:r>
      <w:r>
        <w:rPr>
          <w:spacing w:val="-3"/>
          <w:w w:val="100"/>
        </w:rPr>
        <w:t>M</w:t>
      </w:r>
      <w:r>
        <w:rPr>
          <w:w w:val="100"/>
        </w:rPr>
        <w:t>R</w:t>
      </w:r>
      <w:r>
        <w:rPr>
          <w:spacing w:val="-3"/>
          <w:w w:val="100"/>
        </w:rPr>
        <w:t>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10"/>
          <w:w w:val="100"/>
        </w:rPr>
        <w:t>）</w:t>
      </w:r>
      <w:r>
        <w:rPr>
          <w:spacing w:val="-2"/>
          <w:w w:val="100"/>
        </w:rPr>
        <w:t>等影</w:t>
      </w:r>
      <w:r>
        <w:rPr>
          <w:spacing w:val="-2"/>
        </w:rPr>
        <w:t>像学检查证实，且自主生活能力完全丧失，无法独立完成六项基本日常生活活动</w:t>
      </w:r>
      <w:r>
        <w:rPr>
          <w:spacing w:val="-3"/>
        </w:rPr>
        <w:t>中的三项或三项以上。</w:t>
      </w:r>
    </w:p>
    <w:p>
      <w:pPr>
        <w:pStyle w:val="BodyText"/>
        <w:spacing w:before="15"/>
        <w:ind w:left="129"/>
        <w:jc w:val="both"/>
      </w:pPr>
      <w:r>
        <w:rPr/>
        <w:t>神经官能症和精神疾病不在保障范围内。</w:t>
      </w:r>
    </w:p>
    <w:p>
      <w:pPr>
        <w:spacing w:after="0"/>
        <w:jc w:val="both"/>
        <w:sectPr>
          <w:type w:val="continuous"/>
          <w:pgSz w:w="11900" w:h="16840"/>
          <w:pgMar w:top="1380" w:bottom="280" w:left="1680" w:right="960"/>
          <w:cols w:num="2" w:equalWidth="0">
            <w:col w:w="1544" w:space="86"/>
            <w:col w:w="7630"/>
          </w:cols>
        </w:sectPr>
      </w:pPr>
    </w:p>
    <w:p>
      <w:pPr>
        <w:pStyle w:val="BodyText"/>
        <w:spacing w:before="12"/>
        <w:rPr>
          <w:sz w:val="11"/>
        </w:rPr>
      </w:pPr>
    </w:p>
    <w:p>
      <w:pPr>
        <w:spacing w:after="0"/>
        <w:rPr>
          <w:sz w:val="11"/>
        </w:rPr>
        <w:sectPr>
          <w:type w:val="continuous"/>
          <w:pgSz w:w="11900" w:h="16840"/>
          <w:pgMar w:top="1380" w:bottom="280" w:left="1680" w:right="960"/>
        </w:sectPr>
      </w:pPr>
    </w:p>
    <w:p>
      <w:pPr>
        <w:pStyle w:val="ListParagraph"/>
        <w:numPr>
          <w:ilvl w:val="0"/>
          <w:numId w:val="24"/>
        </w:numPr>
        <w:tabs>
          <w:tab w:pos="389" w:val="left" w:leader="none"/>
        </w:tabs>
        <w:spacing w:line="326" w:lineRule="exact" w:before="21" w:after="0"/>
        <w:ind w:left="388" w:right="0" w:hanging="259"/>
        <w:jc w:val="left"/>
        <w:rPr>
          <w:sz w:val="21"/>
        </w:rPr>
      </w:pPr>
      <w:r>
        <w:rPr>
          <w:spacing w:val="17"/>
          <w:sz w:val="21"/>
        </w:rPr>
        <w:t>严重帕金森病</w:t>
      </w:r>
    </w:p>
    <w:p>
      <w:pPr>
        <w:pStyle w:val="BodyText"/>
        <w:spacing w:line="300" w:lineRule="auto" w:before="73"/>
        <w:ind w:left="129" w:right="99"/>
      </w:pPr>
      <w:r>
        <w:rPr/>
        <w:br w:type="column"/>
      </w:r>
      <w:r>
        <w:rPr/>
        <w:t>是一种中枢神经系统的退行性疾病，临床表现为震颤麻痹、共济失调等。须满足下列全部条件：</w:t>
      </w:r>
    </w:p>
    <w:p>
      <w:pPr>
        <w:pStyle w:val="ListParagraph"/>
        <w:numPr>
          <w:ilvl w:val="0"/>
          <w:numId w:val="27"/>
        </w:numPr>
        <w:tabs>
          <w:tab w:pos="696" w:val="left" w:leader="none"/>
        </w:tabs>
        <w:spacing w:line="240" w:lineRule="auto" w:before="16" w:after="0"/>
        <w:ind w:left="696" w:right="0" w:hanging="567"/>
        <w:jc w:val="left"/>
        <w:rPr>
          <w:sz w:val="21"/>
        </w:rPr>
      </w:pPr>
      <w:r>
        <w:rPr>
          <w:spacing w:val="-3"/>
          <w:sz w:val="21"/>
        </w:rPr>
        <w:t>药物治疗无法控制病情；</w:t>
      </w:r>
    </w:p>
    <w:p>
      <w:pPr>
        <w:pStyle w:val="ListParagraph"/>
        <w:numPr>
          <w:ilvl w:val="0"/>
          <w:numId w:val="27"/>
        </w:numPr>
        <w:tabs>
          <w:tab w:pos="696" w:val="left" w:leader="none"/>
        </w:tabs>
        <w:spacing w:line="283" w:lineRule="auto" w:before="53" w:after="0"/>
        <w:ind w:left="696" w:right="102" w:hanging="567"/>
        <w:jc w:val="left"/>
        <w:rPr>
          <w:sz w:val="21"/>
        </w:rPr>
      </w:pPr>
      <w:r>
        <w:rPr>
          <w:spacing w:val="-12"/>
          <w:sz w:val="21"/>
        </w:rPr>
        <w:t>自主生活能力完全丧失，无法独立完成六项基本日常生活活动中的三项或三</w:t>
      </w:r>
      <w:r>
        <w:rPr>
          <w:spacing w:val="-7"/>
          <w:sz w:val="21"/>
        </w:rPr>
        <w:t>项以上。</w:t>
      </w:r>
    </w:p>
    <w:p>
      <w:pPr>
        <w:pStyle w:val="BodyText"/>
        <w:spacing w:before="30"/>
        <w:ind w:left="129"/>
      </w:pPr>
      <w:r>
        <w:rPr/>
        <w:t>继发性帕金森综合征不在本附加险合同保障范围内。</w:t>
      </w:r>
    </w:p>
    <w:p>
      <w:pPr>
        <w:pStyle w:val="BodyText"/>
        <w:spacing w:before="6"/>
        <w:rPr>
          <w:sz w:val="17"/>
        </w:rPr>
      </w:pPr>
    </w:p>
    <w:p>
      <w:pPr>
        <w:pStyle w:val="BodyText"/>
        <w:spacing w:before="0"/>
        <w:ind w:left="129"/>
      </w:pPr>
      <w:r>
        <w:rPr/>
        <w:t>（6-10 为本公司增加的疾病）</w:t>
      </w:r>
    </w:p>
    <w:p>
      <w:pPr>
        <w:spacing w:after="0"/>
        <w:sectPr>
          <w:type w:val="continuous"/>
          <w:pgSz w:w="11900" w:h="16840"/>
          <w:pgMar w:top="1380" w:bottom="280" w:left="1680" w:right="960"/>
          <w:cols w:num="2" w:equalWidth="0">
            <w:col w:w="1544" w:space="86"/>
            <w:col w:w="7630"/>
          </w:cols>
        </w:sectPr>
      </w:pPr>
    </w:p>
    <w:p>
      <w:pPr>
        <w:pStyle w:val="BodyText"/>
        <w:spacing w:before="1"/>
        <w:rPr>
          <w:sz w:val="14"/>
        </w:rPr>
      </w:pPr>
    </w:p>
    <w:p>
      <w:pPr>
        <w:spacing w:after="0"/>
        <w:rPr>
          <w:sz w:val="14"/>
        </w:rPr>
        <w:sectPr>
          <w:type w:val="continuous"/>
          <w:pgSz w:w="11900" w:h="16840"/>
          <w:pgMar w:top="1380" w:bottom="280" w:left="1680" w:right="960"/>
        </w:sectPr>
      </w:pPr>
    </w:p>
    <w:p>
      <w:pPr>
        <w:pStyle w:val="ListParagraph"/>
        <w:numPr>
          <w:ilvl w:val="0"/>
          <w:numId w:val="24"/>
        </w:numPr>
        <w:tabs>
          <w:tab w:pos="389" w:val="left" w:leader="none"/>
        </w:tabs>
        <w:spacing w:line="326" w:lineRule="exact" w:before="21" w:after="0"/>
        <w:ind w:left="388" w:right="0" w:hanging="259"/>
        <w:jc w:val="left"/>
        <w:rPr>
          <w:sz w:val="21"/>
        </w:rPr>
      </w:pPr>
      <w:r>
        <w:rPr>
          <w:spacing w:val="17"/>
          <w:sz w:val="21"/>
        </w:rPr>
        <w:t>系统性红斑狼疮</w:t>
      </w:r>
    </w:p>
    <w:p>
      <w:pPr>
        <w:pStyle w:val="BodyText"/>
        <w:spacing w:line="300" w:lineRule="auto" w:before="73"/>
        <w:ind w:left="129" w:right="99"/>
        <w:jc w:val="both"/>
      </w:pPr>
      <w:r>
        <w:rPr/>
        <w:br w:type="column"/>
      </w:r>
      <w:r>
        <w:rPr/>
        <w:t>是由多种因素引起，累及多系统和脏器的自身免疫性疾病，以青年女性多见。其特点是生成自身抗体对抗多种自身抗原。本附加险合同所指的系统性红斑狼疮仅</w:t>
      </w:r>
      <w:r>
        <w:rPr>
          <w:spacing w:val="-4"/>
        </w:rPr>
        <w:t>限于累及肾脏(经肾脏活检确认的，并符合下列 </w:t>
      </w:r>
      <w:r>
        <w:rPr/>
        <w:t>2003</w:t>
      </w:r>
      <w:r>
        <w:rPr>
          <w:spacing w:val="-5"/>
        </w:rPr>
        <w:t> 年国际肾脏病学会和肾脏病</w:t>
      </w:r>
      <w:r>
        <w:rPr>
          <w:spacing w:val="-6"/>
        </w:rPr>
        <w:t>理学会修订分类标准定义Ⅲ型至Ⅵ型狼疮性肾炎)的系统性红斑狼疮，临床主要表</w:t>
      </w:r>
      <w:r>
        <w:rPr>
          <w:spacing w:val="-8"/>
        </w:rPr>
        <w:t>现为蛋白尿、血尿,伴或不伴肾功能异常。其他类型的红斑性狼疮</w:t>
      </w:r>
      <w:r>
        <w:rPr/>
        <w:t>（</w:t>
      </w:r>
      <w:r>
        <w:rPr>
          <w:spacing w:val="-3"/>
        </w:rPr>
        <w:t>如盘状红斑狼</w:t>
      </w:r>
      <w:r>
        <w:rPr>
          <w:spacing w:val="-7"/>
        </w:rPr>
        <w:t>疮、亚急性皮肤型红斑狼疮等</w:t>
      </w:r>
      <w:r>
        <w:rPr>
          <w:spacing w:val="-106"/>
        </w:rPr>
        <w:t>）</w:t>
      </w:r>
      <w:r>
        <w:rPr>
          <w:spacing w:val="-7"/>
        </w:rPr>
        <w:t>、仅累及血液及关节等其他系统的系统性红斑狼疮不属于本合同所说的系统性红斑狼疮。本病的诊断必须由本公司认可的免疫科、</w:t>
      </w:r>
      <w:r>
        <w:rPr>
          <w:spacing w:val="-5"/>
        </w:rPr>
        <w:t>风湿科或肾内科主任级医师作出。</w:t>
      </w:r>
    </w:p>
    <w:p>
      <w:pPr>
        <w:pStyle w:val="BodyText"/>
        <w:spacing w:line="300" w:lineRule="auto" w:before="16"/>
        <w:ind w:left="129" w:right="104"/>
        <w:jc w:val="both"/>
      </w:pPr>
      <w:r>
        <w:rPr/>
        <w:t>2003</w:t>
      </w:r>
      <w:r>
        <w:rPr>
          <w:spacing w:val="-6"/>
        </w:rPr>
        <w:t> 年由国际肾脏病学会和肾脏病理学会 (</w:t>
      </w:r>
      <w:r>
        <w:rPr/>
        <w:t>ISN/RPS</w:t>
      </w:r>
      <w:r>
        <w:rPr>
          <w:spacing w:val="-3"/>
        </w:rPr>
        <w:t>)修订的狼疮性肾炎(</w:t>
      </w:r>
      <w:r>
        <w:rPr/>
        <w:t>LN</w:t>
      </w:r>
      <w:r>
        <w:rPr>
          <w:spacing w:val="-2"/>
        </w:rPr>
        <w:t>)的分</w:t>
      </w:r>
      <w:r>
        <w:rPr>
          <w:spacing w:val="-3"/>
        </w:rPr>
        <w:t>类标准：</w:t>
      </w:r>
    </w:p>
    <w:p>
      <w:pPr>
        <w:pStyle w:val="BodyText"/>
        <w:spacing w:line="300" w:lineRule="auto" w:before="16"/>
        <w:ind w:left="129" w:right="99"/>
        <w:jc w:val="both"/>
      </w:pPr>
      <w:r>
        <w:rPr>
          <w:spacing w:val="-7"/>
        </w:rPr>
        <w:t>Ⅰ型为系膜轻微病变性 </w:t>
      </w:r>
      <w:r>
        <w:rPr/>
        <w:t>LN</w:t>
      </w:r>
      <w:r>
        <w:rPr>
          <w:spacing w:val="-3"/>
        </w:rPr>
        <w:t>:光镜下表现基本正常,免疫荧光可见系膜区免疫复合物沉积。</w:t>
      </w:r>
    </w:p>
    <w:p>
      <w:pPr>
        <w:spacing w:after="0" w:line="300" w:lineRule="auto"/>
        <w:jc w:val="both"/>
        <w:sectPr>
          <w:type w:val="continuous"/>
          <w:pgSz w:w="11900" w:h="16840"/>
          <w:pgMar w:top="1380" w:bottom="280" w:left="1680" w:right="960"/>
          <w:cols w:num="2" w:equalWidth="0">
            <w:col w:w="1544" w:space="86"/>
            <w:col w:w="7630"/>
          </w:cols>
        </w:sectPr>
      </w:pPr>
    </w:p>
    <w:p>
      <w:pPr>
        <w:pStyle w:val="BodyText"/>
        <w:spacing w:line="300" w:lineRule="auto" w:before="22"/>
        <w:ind w:left="1759" w:right="222"/>
        <w:jc w:val="both"/>
      </w:pPr>
      <w:r>
        <w:rPr>
          <w:spacing w:val="-7"/>
        </w:rPr>
        <w:t>Ⅱ型为系膜增生性 </w:t>
      </w:r>
      <w:r>
        <w:rPr/>
        <w:t>LN</w:t>
      </w:r>
      <w:r>
        <w:rPr>
          <w:spacing w:val="-3"/>
        </w:rPr>
        <w:t>:光镜下可见系膜细胞增生或系膜基质增多,伴系膜区免疫复合物沉积,免疫荧光或电镜下可见少量孤立的上皮下或内皮下沉积物。</w:t>
      </w:r>
    </w:p>
    <w:p>
      <w:pPr>
        <w:pStyle w:val="BodyText"/>
        <w:spacing w:line="300" w:lineRule="auto" w:before="10"/>
        <w:ind w:left="1759" w:right="219"/>
        <w:jc w:val="both"/>
      </w:pPr>
      <w:r>
        <w:rPr>
          <w:spacing w:val="2"/>
          <w:position w:val="1"/>
        </w:rPr>
        <w:t>Ⅲ型</w:t>
      </w:r>
      <w:r>
        <w:rPr>
          <w:position w:val="1"/>
        </w:rPr>
        <w:t>为局灶</w:t>
      </w:r>
      <w:r>
        <w:rPr>
          <w:spacing w:val="50"/>
          <w:position w:val="1"/>
        </w:rPr>
        <w:t> </w:t>
      </w:r>
      <w:r>
        <w:rPr>
          <w:position w:val="1"/>
        </w:rPr>
        <w:t>LN:</w:t>
      </w:r>
      <w:r>
        <w:rPr>
          <w:spacing w:val="2"/>
          <w:position w:val="1"/>
        </w:rPr>
        <w:t>受</w:t>
      </w:r>
      <w:r>
        <w:rPr>
          <w:position w:val="1"/>
        </w:rPr>
        <w:t>累</w:t>
      </w:r>
      <w:r>
        <w:rPr>
          <w:spacing w:val="2"/>
          <w:position w:val="1"/>
        </w:rPr>
        <w:t>肾</w:t>
      </w:r>
      <w:r>
        <w:rPr>
          <w:position w:val="1"/>
        </w:rPr>
        <w:t>小</w:t>
      </w:r>
      <w:r>
        <w:rPr>
          <w:spacing w:val="2"/>
          <w:position w:val="1"/>
        </w:rPr>
        <w:t>球少</w:t>
      </w:r>
      <w:r>
        <w:rPr>
          <w:position w:val="1"/>
        </w:rPr>
        <w:t>于</w:t>
      </w:r>
      <w:r>
        <w:rPr>
          <w:spacing w:val="2"/>
          <w:position w:val="1"/>
        </w:rPr>
        <w:t>全</w:t>
      </w:r>
      <w:r>
        <w:rPr>
          <w:position w:val="1"/>
        </w:rPr>
        <w:t>部</w:t>
      </w:r>
      <w:r>
        <w:rPr>
          <w:spacing w:val="2"/>
          <w:position w:val="1"/>
        </w:rPr>
        <w:t>肾</w:t>
      </w:r>
      <w:r>
        <w:rPr>
          <w:position w:val="1"/>
        </w:rPr>
        <w:t>小球的</w:t>
      </w:r>
      <w:r>
        <w:rPr>
          <w:spacing w:val="5"/>
          <w:position w:val="1"/>
        </w:rPr>
        <w:t> </w:t>
      </w:r>
      <w:r>
        <w:rPr>
          <w:spacing w:val="5"/>
          <w:w w:val="100"/>
        </w:rPr>
        <w:drawing>
          <wp:inline distT="0" distB="0" distL="0" distR="0">
            <wp:extent cx="60324"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spacing w:val="2"/>
          <w:position w:val="1"/>
        </w:rPr>
        <w:t>,可</w:t>
      </w:r>
      <w:r>
        <w:rPr>
          <w:position w:val="1"/>
        </w:rPr>
        <w:t>表</w:t>
      </w:r>
      <w:r>
        <w:rPr>
          <w:spacing w:val="2"/>
          <w:position w:val="1"/>
        </w:rPr>
        <w:t>现</w:t>
      </w:r>
      <w:r>
        <w:rPr>
          <w:position w:val="1"/>
        </w:rPr>
        <w:t>为</w:t>
      </w:r>
      <w:r>
        <w:rPr>
          <w:spacing w:val="2"/>
          <w:position w:val="1"/>
        </w:rPr>
        <w:t>活</w:t>
      </w:r>
      <w:r>
        <w:rPr>
          <w:position w:val="1"/>
        </w:rPr>
        <w:t>动</w:t>
      </w:r>
      <w:r>
        <w:rPr>
          <w:spacing w:val="2"/>
          <w:position w:val="1"/>
        </w:rPr>
        <w:t>或</w:t>
      </w:r>
      <w:r>
        <w:rPr>
          <w:position w:val="1"/>
        </w:rPr>
        <w:t>非</w:t>
      </w:r>
      <w:r>
        <w:rPr>
          <w:spacing w:val="2"/>
          <w:position w:val="1"/>
        </w:rPr>
        <w:t>活</w:t>
      </w:r>
      <w:r>
        <w:rPr>
          <w:position w:val="1"/>
        </w:rPr>
        <w:t>动</w:t>
      </w:r>
      <w:r>
        <w:rPr>
          <w:spacing w:val="2"/>
          <w:position w:val="1"/>
        </w:rPr>
        <w:t>性</w:t>
      </w:r>
      <w:r>
        <w:rPr>
          <w:position w:val="1"/>
        </w:rPr>
        <w:t>病</w:t>
      </w:r>
      <w:r>
        <w:rPr/>
        <w:t> 变,局灶、节段或球性病变,毛细血管内或毛细血管外增生性病变。其中Ⅲ(A)</w:t>
      </w:r>
      <w:r>
        <w:rPr>
          <w:spacing w:val="5"/>
        </w:rPr>
        <w:t> 型</w:t>
      </w:r>
      <w:r>
        <w:rPr>
          <w:spacing w:val="6"/>
        </w:rPr>
        <w:t>为活动性病变,表现为局灶增生型 </w:t>
      </w:r>
      <w:r>
        <w:rPr/>
        <w:t>LN;Ⅲ(A/C)</w:t>
      </w:r>
      <w:r>
        <w:rPr>
          <w:spacing w:val="-5"/>
        </w:rPr>
        <w:t> 型为活动性伴慢性病变,表现为局</w:t>
      </w:r>
      <w:r>
        <w:rPr>
          <w:spacing w:val="-4"/>
        </w:rPr>
        <w:t>灶增生硬化性肾炎;</w:t>
      </w:r>
      <w:r>
        <w:rPr/>
        <w:t>Ⅲ(C)</w:t>
      </w:r>
      <w:r>
        <w:rPr>
          <w:spacing w:val="-6"/>
        </w:rPr>
        <w:t> 型为慢性病变,表现为局灶硬化性肾炎。</w:t>
      </w:r>
    </w:p>
    <w:p>
      <w:pPr>
        <w:pStyle w:val="BodyText"/>
        <w:spacing w:line="297" w:lineRule="auto" w:before="20"/>
        <w:ind w:left="1759" w:right="222" w:hanging="1"/>
        <w:jc w:val="both"/>
      </w:pPr>
      <w:r>
        <w:rPr/>
        <w:t>Ⅳ型</w:t>
      </w:r>
      <w:r>
        <w:rPr>
          <w:spacing w:val="-3"/>
        </w:rPr>
        <w:t>为</w:t>
      </w:r>
      <w:r>
        <w:rPr/>
        <w:t>弥</w:t>
      </w:r>
      <w:r>
        <w:rPr>
          <w:spacing w:val="-3"/>
        </w:rPr>
        <w:t>漫</w:t>
      </w:r>
      <w:r>
        <w:rPr/>
        <w:t>性</w:t>
      </w:r>
      <w:r>
        <w:rPr>
          <w:spacing w:val="-51"/>
        </w:rPr>
        <w:t> </w:t>
      </w:r>
      <w:r>
        <w:rPr/>
        <w:t>LN:</w:t>
      </w:r>
      <w:r>
        <w:rPr>
          <w:spacing w:val="-3"/>
        </w:rPr>
        <w:t>受</w:t>
      </w:r>
      <w:r>
        <w:rPr/>
        <w:t>累</w:t>
      </w:r>
      <w:r>
        <w:rPr>
          <w:spacing w:val="-3"/>
        </w:rPr>
        <w:t>肾</w:t>
      </w:r>
      <w:r>
        <w:rPr/>
        <w:t>小球</w:t>
      </w:r>
      <w:r>
        <w:rPr>
          <w:spacing w:val="-3"/>
        </w:rPr>
        <w:t>占</w:t>
      </w:r>
      <w:r>
        <w:rPr/>
        <w:t>全</w:t>
      </w:r>
      <w:r>
        <w:rPr>
          <w:spacing w:val="-3"/>
        </w:rPr>
        <w:t>部</w:t>
      </w:r>
      <w:r>
        <w:rPr/>
        <w:t>肾</w:t>
      </w:r>
      <w:r>
        <w:rPr>
          <w:spacing w:val="-3"/>
        </w:rPr>
        <w:t>小球</w:t>
      </w:r>
      <w:r>
        <w:rPr/>
        <w:t>的</w:t>
      </w:r>
      <w:r>
        <w:rPr>
          <w:spacing w:val="-51"/>
        </w:rPr>
        <w:t> </w:t>
      </w:r>
      <w:r>
        <w:rPr/>
        <w:t>50</w:t>
      </w:r>
      <w:r>
        <w:rPr>
          <w:spacing w:val="-43"/>
        </w:rPr>
        <w:t> </w:t>
      </w:r>
      <w:r>
        <w:rPr>
          <w:spacing w:val="-43"/>
        </w:rPr>
        <w:drawing>
          <wp:inline distT="0" distB="0" distL="0" distR="0">
            <wp:extent cx="60324"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43"/>
        </w:rPr>
      </w:r>
      <w:r>
        <w:rPr/>
        <w:t>以上</w:t>
      </w:r>
      <w:r>
        <w:rPr>
          <w:spacing w:val="-3"/>
        </w:rPr>
        <w:t>,</w:t>
      </w:r>
      <w:r>
        <w:rPr/>
        <w:t>典</w:t>
      </w:r>
      <w:r>
        <w:rPr>
          <w:spacing w:val="-3"/>
        </w:rPr>
        <w:t>型</w:t>
      </w:r>
      <w:r>
        <w:rPr/>
        <w:t>病</w:t>
      </w:r>
      <w:r>
        <w:rPr>
          <w:spacing w:val="-3"/>
        </w:rPr>
        <w:t>例</w:t>
      </w:r>
      <w:r>
        <w:rPr/>
        <w:t>常</w:t>
      </w:r>
      <w:r>
        <w:rPr>
          <w:spacing w:val="-3"/>
        </w:rPr>
        <w:t>有</w:t>
      </w:r>
      <w:r>
        <w:rPr/>
        <w:t>弥</w:t>
      </w:r>
      <w:r>
        <w:rPr>
          <w:spacing w:val="-3"/>
        </w:rPr>
        <w:t>漫性</w:t>
      </w:r>
      <w:r>
        <w:rPr/>
        <w:t>内皮</w:t>
      </w:r>
      <w:r>
        <w:rPr>
          <w:spacing w:val="-5"/>
        </w:rPr>
        <w:t>下免疫复合物沉积,伴或不伴系膜病变。根据肾小球的病变分为弥漫节段型 </w:t>
      </w:r>
      <w:r>
        <w:rPr/>
        <w:t>LN(受</w:t>
      </w:r>
      <w:r>
        <w:rPr>
          <w:spacing w:val="1"/>
        </w:rPr>
        <w:t>累肾小球表现为节段性病变)和弥漫性球型 </w:t>
      </w:r>
      <w:r>
        <w:rPr/>
        <w:t>LN(受累肾小球表现为球性病变)。Ⅳ</w:t>
      </w:r>
    </w:p>
    <w:p>
      <w:pPr>
        <w:pStyle w:val="BodyText"/>
        <w:spacing w:line="300" w:lineRule="auto" w:before="17"/>
        <w:ind w:left="1759" w:right="222"/>
        <w:jc w:val="both"/>
      </w:pPr>
      <w:r>
        <w:rPr/>
        <w:t>S(A)</w:t>
      </w:r>
      <w:r>
        <w:rPr>
          <w:spacing w:val="-12"/>
        </w:rPr>
        <w:t> 为活动性节段增生性 </w:t>
      </w:r>
      <w:r>
        <w:rPr/>
        <w:t>LN,ⅣG(A)</w:t>
      </w:r>
      <w:r>
        <w:rPr>
          <w:spacing w:val="-10"/>
        </w:rPr>
        <w:t> 为活动性球性增生性 </w:t>
      </w:r>
      <w:r>
        <w:rPr/>
        <w:t>LN,ⅣS(A/C</w:t>
      </w:r>
      <w:r>
        <w:rPr>
          <w:spacing w:val="-3"/>
        </w:rPr>
        <w:t>)为活动性</w:t>
      </w:r>
      <w:r>
        <w:rPr>
          <w:spacing w:val="-2"/>
        </w:rPr>
        <w:t>伴慢性节段增生硬化性 </w:t>
      </w:r>
      <w:r>
        <w:rPr/>
        <w:t>LN,ⅣG(A/C)</w:t>
      </w:r>
      <w:r>
        <w:rPr>
          <w:spacing w:val="0"/>
        </w:rPr>
        <w:t>为活动性伴慢性球性增生硬化性 </w:t>
      </w:r>
      <w:r>
        <w:rPr/>
        <w:t>LN,ⅣS(C) </w:t>
      </w:r>
      <w:r>
        <w:rPr>
          <w:spacing w:val="-9"/>
        </w:rPr>
        <w:t>为慢性节段硬化性 </w:t>
      </w:r>
      <w:r>
        <w:rPr/>
        <w:t>LN,ⅣG(C)</w:t>
      </w:r>
      <w:r>
        <w:rPr>
          <w:spacing w:val="-13"/>
        </w:rPr>
        <w:t> 慢性球性硬化性 </w:t>
      </w:r>
      <w:r>
        <w:rPr/>
        <w:t>LN。</w:t>
      </w:r>
    </w:p>
    <w:p>
      <w:pPr>
        <w:pStyle w:val="BodyText"/>
        <w:spacing w:line="300" w:lineRule="auto" w:before="15"/>
        <w:ind w:left="1759" w:right="219"/>
        <w:jc w:val="both"/>
      </w:pPr>
      <w:r>
        <w:rPr>
          <w:spacing w:val="-7"/>
        </w:rPr>
        <w:t>Ⅴ型为膜性 </w:t>
      </w:r>
      <w:r>
        <w:rPr/>
        <w:t>LN</w:t>
      </w:r>
      <w:r>
        <w:rPr>
          <w:spacing w:val="-4"/>
        </w:rPr>
        <w:t>:光镜下可见上皮下免疫复合物沉积,伴或不伴系膜病变。免疫荧光</w:t>
      </w:r>
      <w:r>
        <w:rPr/>
        <w:t>或电镜下可见球性或节段性上皮下连续性免疫复合物沉积,Ⅴ型常与Ⅲ型或Ⅳ型</w:t>
      </w:r>
      <w:r>
        <w:rPr>
          <w:spacing w:val="-1"/>
        </w:rPr>
        <w:t>共同存在。</w:t>
      </w:r>
    </w:p>
    <w:p>
      <w:pPr>
        <w:pStyle w:val="BodyText"/>
        <w:spacing w:before="10"/>
        <w:ind w:left="1759"/>
      </w:pPr>
      <w:r>
        <w:rPr>
          <w:position w:val="1"/>
        </w:rPr>
        <w:t>Ⅵ型</w:t>
      </w:r>
      <w:r>
        <w:rPr>
          <w:spacing w:val="-3"/>
          <w:position w:val="1"/>
        </w:rPr>
        <w:t>为</w:t>
      </w:r>
      <w:r>
        <w:rPr>
          <w:position w:val="1"/>
        </w:rPr>
        <w:t>进</w:t>
      </w:r>
      <w:r>
        <w:rPr>
          <w:spacing w:val="-3"/>
          <w:position w:val="1"/>
        </w:rPr>
        <w:t>行</w:t>
      </w:r>
      <w:r>
        <w:rPr>
          <w:position w:val="1"/>
        </w:rPr>
        <w:t>性</w:t>
      </w:r>
      <w:r>
        <w:rPr>
          <w:spacing w:val="-3"/>
          <w:position w:val="1"/>
        </w:rPr>
        <w:t>硬化</w:t>
      </w:r>
      <w:r>
        <w:rPr>
          <w:position w:val="1"/>
        </w:rPr>
        <w:t>性</w:t>
      </w:r>
      <w:r>
        <w:rPr>
          <w:spacing w:val="-47"/>
          <w:position w:val="1"/>
        </w:rPr>
        <w:t> </w:t>
      </w:r>
      <w:r>
        <w:rPr>
          <w:position w:val="1"/>
        </w:rPr>
        <w:t>LN:90</w:t>
      </w:r>
      <w:r>
        <w:rPr>
          <w:spacing w:val="-43"/>
          <w:position w:val="1"/>
        </w:rPr>
        <w:t> </w:t>
      </w:r>
      <w:r>
        <w:rPr>
          <w:spacing w:val="-43"/>
        </w:rPr>
        <w:drawing>
          <wp:inline distT="0" distB="0" distL="0" distR="0">
            <wp:extent cx="60324"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43"/>
        </w:rPr>
      </w:r>
      <w:r>
        <w:rPr>
          <w:position w:val="1"/>
        </w:rPr>
        <w:t>以</w:t>
      </w:r>
      <w:r>
        <w:rPr>
          <w:spacing w:val="-3"/>
          <w:position w:val="1"/>
        </w:rPr>
        <w:t>上</w:t>
      </w:r>
      <w:r>
        <w:rPr>
          <w:position w:val="1"/>
        </w:rPr>
        <w:t>的</w:t>
      </w:r>
      <w:r>
        <w:rPr>
          <w:spacing w:val="-3"/>
          <w:position w:val="1"/>
        </w:rPr>
        <w:t>肾</w:t>
      </w:r>
      <w:r>
        <w:rPr>
          <w:position w:val="1"/>
        </w:rPr>
        <w:t>小</w:t>
      </w:r>
      <w:r>
        <w:rPr>
          <w:spacing w:val="-3"/>
          <w:position w:val="1"/>
        </w:rPr>
        <w:t>球</w:t>
      </w:r>
      <w:r>
        <w:rPr>
          <w:position w:val="1"/>
        </w:rPr>
        <w:t>呈</w:t>
      </w:r>
      <w:r>
        <w:rPr>
          <w:spacing w:val="-3"/>
          <w:position w:val="1"/>
        </w:rPr>
        <w:t>球</w:t>
      </w:r>
      <w:r>
        <w:rPr>
          <w:position w:val="1"/>
        </w:rPr>
        <w:t>性</w:t>
      </w:r>
      <w:r>
        <w:rPr>
          <w:spacing w:val="-3"/>
          <w:position w:val="1"/>
        </w:rPr>
        <w:t>硬</w:t>
      </w:r>
      <w:r>
        <w:rPr>
          <w:position w:val="1"/>
        </w:rPr>
        <w:t>化。</w:t>
      </w:r>
    </w:p>
    <w:p>
      <w:pPr>
        <w:pStyle w:val="BodyText"/>
        <w:spacing w:line="300" w:lineRule="auto" w:before="73"/>
        <w:ind w:left="1759" w:right="224"/>
        <w:jc w:val="both"/>
      </w:pPr>
      <w:r>
        <w:rPr/>
        <w:t>活动性病变是指下列情形:毛细血管内细胞增生,核碎裂,纤维素样坏死,肾小球基底膜破坏,细胞性或纤维细胞性新月体形成、白金耳等。</w:t>
      </w:r>
    </w:p>
    <w:p>
      <w:pPr>
        <w:pStyle w:val="BodyText"/>
        <w:spacing w:before="15"/>
        <w:ind w:left="1759"/>
      </w:pPr>
      <w:r>
        <w:rPr/>
        <w:t>慢性病变是指存在节段性或全球性肾小球硬化、纤维性粘连、纤维性新月体形成。</w:t>
      </w:r>
    </w:p>
    <w:p>
      <w:pPr>
        <w:pStyle w:val="ListParagraph"/>
        <w:numPr>
          <w:ilvl w:val="0"/>
          <w:numId w:val="24"/>
        </w:numPr>
        <w:tabs>
          <w:tab w:pos="389" w:val="left" w:leader="none"/>
        </w:tabs>
        <w:spacing w:line="292" w:lineRule="auto" w:before="123" w:after="0"/>
        <w:ind w:left="1759" w:right="219" w:hanging="1630"/>
        <w:jc w:val="both"/>
        <w:rPr>
          <w:sz w:val="21"/>
        </w:rPr>
      </w:pPr>
      <w:r>
        <w:rPr>
          <w:spacing w:val="5"/>
          <w:position w:val="4"/>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w:t>
      </w:r>
      <w:r>
        <w:rPr>
          <w:spacing w:val="-2"/>
          <w:sz w:val="21"/>
        </w:rPr>
        <w:t>有下列情况：</w:t>
      </w:r>
    </w:p>
    <w:p>
      <w:pPr>
        <w:pStyle w:val="ListParagraph"/>
        <w:numPr>
          <w:ilvl w:val="1"/>
          <w:numId w:val="24"/>
        </w:numPr>
        <w:tabs>
          <w:tab w:pos="2326" w:val="left" w:leader="none"/>
        </w:tabs>
        <w:spacing w:line="240" w:lineRule="auto" w:before="21" w:after="0"/>
        <w:ind w:left="2325" w:right="0" w:hanging="566"/>
        <w:jc w:val="left"/>
        <w:rPr>
          <w:sz w:val="21"/>
        </w:rPr>
      </w:pPr>
      <w:r>
        <w:rPr>
          <w:spacing w:val="-3"/>
          <w:sz w:val="21"/>
        </w:rPr>
        <w:t>经药物、胸腺手术治疗一年以上仍无法控制病情，丧失正常工作能力；</w:t>
      </w:r>
    </w:p>
    <w:p>
      <w:pPr>
        <w:pStyle w:val="ListParagraph"/>
        <w:numPr>
          <w:ilvl w:val="1"/>
          <w:numId w:val="24"/>
        </w:numPr>
        <w:tabs>
          <w:tab w:pos="2326" w:val="left" w:leader="none"/>
        </w:tabs>
        <w:spacing w:line="283" w:lineRule="auto" w:before="53" w:after="0"/>
        <w:ind w:left="2325" w:right="224" w:hanging="566"/>
        <w:jc w:val="left"/>
        <w:rPr>
          <w:sz w:val="21"/>
        </w:rPr>
      </w:pPr>
      <w:r>
        <w:rPr>
          <w:spacing w:val="-11"/>
          <w:sz w:val="21"/>
        </w:rPr>
        <w:t>出现眼险下垂，或延髓肌受累引起的构音困难、进食呛咳，或由于肌无力累</w:t>
      </w:r>
      <w:r>
        <w:rPr>
          <w:spacing w:val="-6"/>
          <w:sz w:val="21"/>
        </w:rPr>
        <w:t>及延髓肌、呼吸肌而致机体呼吸功能不正常的危急状态即肌无力危象；</w:t>
      </w:r>
    </w:p>
    <w:p>
      <w:pPr>
        <w:pStyle w:val="ListParagraph"/>
        <w:numPr>
          <w:ilvl w:val="1"/>
          <w:numId w:val="24"/>
        </w:numPr>
        <w:tabs>
          <w:tab w:pos="2326" w:val="left" w:leader="none"/>
        </w:tabs>
        <w:spacing w:line="283" w:lineRule="auto" w:before="30" w:after="0"/>
        <w:ind w:left="2325" w:right="222" w:hanging="566"/>
        <w:jc w:val="left"/>
        <w:rPr>
          <w:sz w:val="21"/>
        </w:rPr>
      </w:pPr>
      <w:r>
        <w:rPr>
          <w:spacing w:val="-12"/>
          <w:sz w:val="21"/>
        </w:rPr>
        <w:t>症状缓解、复发及恶化交替出现，临床接受新斯的明等抗胆碱酯酶药物治疗</w:t>
      </w:r>
      <w:r>
        <w:rPr>
          <w:spacing w:val="-7"/>
          <w:sz w:val="21"/>
        </w:rPr>
        <w:t>的病史。</w:t>
      </w:r>
    </w:p>
    <w:p>
      <w:pPr>
        <w:pStyle w:val="ListParagraph"/>
        <w:numPr>
          <w:ilvl w:val="0"/>
          <w:numId w:val="24"/>
        </w:numPr>
        <w:tabs>
          <w:tab w:pos="389" w:val="left" w:leader="none"/>
        </w:tabs>
        <w:spacing w:line="285" w:lineRule="auto" w:before="88" w:after="0"/>
        <w:ind w:left="1759" w:right="219" w:hanging="1630"/>
        <w:jc w:val="both"/>
        <w:rPr>
          <w:sz w:val="21"/>
        </w:rPr>
      </w:pPr>
      <w:r>
        <w:rPr>
          <w:spacing w:val="5"/>
          <w:position w:val="4"/>
          <w:sz w:val="21"/>
        </w:rPr>
        <w:t>终末期肺病  </w:t>
      </w:r>
      <w:r>
        <w:rPr>
          <w:sz w:val="21"/>
        </w:rPr>
        <w:t>由本公司认可的呼吸专科医生确诊被保险人患有终末期肺病而出现慢性呼吸功能</w:t>
      </w:r>
      <w:r>
        <w:rPr>
          <w:spacing w:val="-3"/>
          <w:sz w:val="21"/>
        </w:rPr>
        <w:t>衰竭，其诊断标准包括以下各项：</w:t>
      </w:r>
    </w:p>
    <w:p>
      <w:pPr>
        <w:pStyle w:val="ListParagraph"/>
        <w:numPr>
          <w:ilvl w:val="0"/>
          <w:numId w:val="28"/>
        </w:numPr>
        <w:tabs>
          <w:tab w:pos="2326" w:val="left" w:leader="none"/>
        </w:tabs>
        <w:spacing w:line="240" w:lineRule="auto" w:before="28" w:after="0"/>
        <w:ind w:left="2325" w:right="0" w:hanging="566"/>
        <w:jc w:val="both"/>
        <w:rPr>
          <w:sz w:val="21"/>
        </w:rPr>
      </w:pPr>
      <w:r>
        <w:rPr>
          <w:spacing w:val="-9"/>
          <w:sz w:val="21"/>
        </w:rPr>
        <w:t>肺功能测试其 </w:t>
      </w:r>
      <w:r>
        <w:rPr>
          <w:sz w:val="21"/>
        </w:rPr>
        <w:t>FEVl</w:t>
      </w:r>
      <w:r>
        <w:rPr>
          <w:spacing w:val="-19"/>
          <w:sz w:val="21"/>
        </w:rPr>
        <w:t> 持续低于 </w:t>
      </w:r>
      <w:r>
        <w:rPr>
          <w:sz w:val="21"/>
        </w:rPr>
        <w:t>0．75</w:t>
      </w:r>
      <w:r>
        <w:rPr>
          <w:spacing w:val="-18"/>
          <w:sz w:val="21"/>
        </w:rPr>
        <w:t> 升；</w:t>
      </w:r>
    </w:p>
    <w:p>
      <w:pPr>
        <w:pStyle w:val="ListParagraph"/>
        <w:numPr>
          <w:ilvl w:val="0"/>
          <w:numId w:val="28"/>
        </w:numPr>
        <w:tabs>
          <w:tab w:pos="2326" w:val="left" w:leader="none"/>
        </w:tabs>
        <w:spacing w:line="240" w:lineRule="auto" w:before="53" w:after="0"/>
        <w:ind w:left="2325" w:right="0" w:hanging="566"/>
        <w:jc w:val="both"/>
        <w:rPr>
          <w:sz w:val="21"/>
        </w:rPr>
      </w:pPr>
      <w:r>
        <w:rPr>
          <w:spacing w:val="-3"/>
          <w:sz w:val="21"/>
        </w:rPr>
        <w:t>病人缺氧必须广泛而持续地进行输氧治疗；</w:t>
      </w:r>
    </w:p>
    <w:p>
      <w:pPr>
        <w:pStyle w:val="ListParagraph"/>
        <w:numPr>
          <w:ilvl w:val="0"/>
          <w:numId w:val="28"/>
        </w:numPr>
        <w:tabs>
          <w:tab w:pos="2326" w:val="left" w:leader="none"/>
        </w:tabs>
        <w:spacing w:line="240" w:lineRule="auto" w:before="53" w:after="0"/>
        <w:ind w:left="2325" w:right="0" w:hanging="566"/>
        <w:jc w:val="both"/>
        <w:rPr>
          <w:sz w:val="21"/>
        </w:rPr>
      </w:pPr>
      <w:r>
        <w:rPr>
          <w:spacing w:val="-7"/>
          <w:sz w:val="21"/>
        </w:rPr>
        <w:t>动脉血气分析氧分压低于 </w:t>
      </w:r>
      <w:r>
        <w:rPr>
          <w:sz w:val="21"/>
        </w:rPr>
        <w:t>55mmHg。</w:t>
      </w:r>
    </w:p>
    <w:p>
      <w:pPr>
        <w:pStyle w:val="BodyText"/>
        <w:spacing w:before="10"/>
        <w:rPr>
          <w:sz w:val="10"/>
        </w:rPr>
      </w:pPr>
    </w:p>
    <w:p>
      <w:pPr>
        <w:spacing w:after="0"/>
        <w:rPr>
          <w:sz w:val="10"/>
        </w:rPr>
        <w:sectPr>
          <w:pgSz w:w="11900" w:h="16840"/>
          <w:pgMar w:header="0" w:footer="461" w:top="1280" w:bottom="660" w:left="1680" w:right="840"/>
        </w:sectPr>
      </w:pPr>
    </w:p>
    <w:p>
      <w:pPr>
        <w:pStyle w:val="ListParagraph"/>
        <w:numPr>
          <w:ilvl w:val="0"/>
          <w:numId w:val="24"/>
        </w:numPr>
        <w:tabs>
          <w:tab w:pos="389" w:val="left" w:leader="none"/>
        </w:tabs>
        <w:spacing w:line="326" w:lineRule="exact" w:before="21" w:after="0"/>
        <w:ind w:left="388" w:right="0" w:hanging="259"/>
        <w:jc w:val="left"/>
        <w:rPr>
          <w:sz w:val="21"/>
        </w:rPr>
      </w:pPr>
      <w:r>
        <w:rPr>
          <w:spacing w:val="17"/>
          <w:sz w:val="21"/>
        </w:rPr>
        <w:t>坏死性筋膜炎</w:t>
      </w:r>
    </w:p>
    <w:p>
      <w:pPr>
        <w:pStyle w:val="BodyText"/>
        <w:spacing w:before="73"/>
        <w:ind w:left="129"/>
      </w:pPr>
      <w:r>
        <w:rPr/>
        <w:br w:type="column"/>
      </w:r>
      <w:r>
        <w:rPr/>
        <w:t>坏死性筋膜炎的诊断须同时符合下列要求：</w:t>
      </w:r>
    </w:p>
    <w:p>
      <w:pPr>
        <w:pStyle w:val="ListParagraph"/>
        <w:numPr>
          <w:ilvl w:val="0"/>
          <w:numId w:val="29"/>
        </w:numPr>
        <w:tabs>
          <w:tab w:pos="697" w:val="left" w:leader="none"/>
        </w:tabs>
        <w:spacing w:line="240" w:lineRule="auto" w:before="68" w:after="0"/>
        <w:ind w:left="129" w:right="0" w:firstLine="0"/>
        <w:jc w:val="left"/>
        <w:rPr>
          <w:sz w:val="21"/>
        </w:rPr>
      </w:pPr>
      <w:r>
        <w:rPr>
          <w:spacing w:val="-3"/>
          <w:sz w:val="21"/>
        </w:rPr>
        <w:t>符合坏死性筋膜炎的一般临床表现；</w:t>
      </w:r>
    </w:p>
    <w:p>
      <w:pPr>
        <w:pStyle w:val="ListParagraph"/>
        <w:numPr>
          <w:ilvl w:val="0"/>
          <w:numId w:val="29"/>
        </w:numPr>
        <w:tabs>
          <w:tab w:pos="697" w:val="left" w:leader="none"/>
        </w:tabs>
        <w:spacing w:line="240" w:lineRule="auto" w:before="53" w:after="0"/>
        <w:ind w:left="129" w:right="0" w:firstLine="0"/>
        <w:jc w:val="left"/>
        <w:rPr>
          <w:sz w:val="21"/>
        </w:rPr>
      </w:pPr>
      <w:r>
        <w:rPr>
          <w:spacing w:val="-3"/>
          <w:sz w:val="21"/>
        </w:rPr>
        <w:t>细菌培养检出致病菌；</w:t>
      </w:r>
    </w:p>
    <w:p>
      <w:pPr>
        <w:pStyle w:val="ListParagraph"/>
        <w:numPr>
          <w:ilvl w:val="0"/>
          <w:numId w:val="29"/>
        </w:numPr>
        <w:tabs>
          <w:tab w:pos="697" w:val="left" w:leader="none"/>
        </w:tabs>
        <w:spacing w:line="283" w:lineRule="auto" w:before="53" w:after="0"/>
        <w:ind w:left="129" w:right="118" w:firstLine="0"/>
        <w:jc w:val="left"/>
        <w:rPr>
          <w:sz w:val="21"/>
        </w:rPr>
      </w:pPr>
      <w:r>
        <w:rPr>
          <w:spacing w:val="-3"/>
          <w:sz w:val="21"/>
        </w:rPr>
        <w:t>出现广泛性肌肉及软组织坏死，并导致身体受影响部位永久完全失去功能。所谓永久完全失去功能是指受影响部位的功能丧失超过六个月。</w:t>
      </w:r>
    </w:p>
    <w:p>
      <w:pPr>
        <w:spacing w:after="0" w:line="283" w:lineRule="auto"/>
        <w:jc w:val="left"/>
        <w:rPr>
          <w:sz w:val="21"/>
        </w:rPr>
        <w:sectPr>
          <w:type w:val="continuous"/>
          <w:pgSz w:w="11900" w:h="16840"/>
          <w:pgMar w:top="1380" w:bottom="280" w:left="1680" w:right="840"/>
          <w:cols w:num="2" w:equalWidth="0">
            <w:col w:w="1544" w:space="86"/>
            <w:col w:w="7750"/>
          </w:cols>
        </w:sectPr>
      </w:pPr>
    </w:p>
    <w:p>
      <w:pPr>
        <w:pStyle w:val="BodyText"/>
        <w:spacing w:before="11"/>
        <w:rPr>
          <w:sz w:val="8"/>
        </w:rPr>
      </w:pPr>
    </w:p>
    <w:p>
      <w:pPr>
        <w:spacing w:after="0"/>
        <w:rPr>
          <w:sz w:val="8"/>
        </w:rPr>
        <w:sectPr>
          <w:type w:val="continuous"/>
          <w:pgSz w:w="11900" w:h="16840"/>
          <w:pgMar w:top="1380" w:bottom="280" w:left="1680" w:right="840"/>
        </w:sectPr>
      </w:pPr>
    </w:p>
    <w:p>
      <w:pPr>
        <w:pStyle w:val="ListParagraph"/>
        <w:numPr>
          <w:ilvl w:val="0"/>
          <w:numId w:val="24"/>
        </w:numPr>
        <w:tabs>
          <w:tab w:pos="550" w:val="left" w:leader="none"/>
        </w:tabs>
        <w:spacing w:line="326" w:lineRule="exact" w:before="21" w:after="0"/>
        <w:ind w:left="388" w:right="0" w:hanging="259"/>
        <w:jc w:val="left"/>
        <w:rPr>
          <w:sz w:val="21"/>
        </w:rPr>
      </w:pPr>
      <w:r>
        <w:rPr>
          <w:spacing w:val="-24"/>
          <w:sz w:val="21"/>
        </w:rPr>
        <w:t>原 发 性 心肌病</w:t>
      </w:r>
    </w:p>
    <w:p>
      <w:pPr>
        <w:pStyle w:val="BodyText"/>
        <w:spacing w:line="300" w:lineRule="auto" w:before="73"/>
        <w:ind w:left="129" w:right="219" w:hanging="1"/>
      </w:pPr>
      <w:r>
        <w:rPr/>
        <w:br w:type="column"/>
      </w:r>
      <w:r>
        <w:rPr/>
        <w:t>指不明原因引起的一类心肌病变，包括原发性扩张型心肌病、原发性肥厚型心肌病及原发性限制型心肌病三种，病变必须已造成事实上心室功能障碍而出现明显</w:t>
      </w:r>
    </w:p>
    <w:p>
      <w:pPr>
        <w:spacing w:after="0" w:line="300" w:lineRule="auto"/>
        <w:sectPr>
          <w:type w:val="continuous"/>
          <w:pgSz w:w="11900" w:h="16840"/>
          <w:pgMar w:top="1380" w:bottom="280" w:left="1680" w:right="840"/>
          <w:cols w:num="2" w:equalWidth="0">
            <w:col w:w="1544" w:space="86"/>
            <w:col w:w="7750"/>
          </w:cols>
        </w:sectPr>
      </w:pPr>
    </w:p>
    <w:p>
      <w:pPr>
        <w:pStyle w:val="BodyText"/>
        <w:spacing w:line="300" w:lineRule="auto" w:before="22"/>
        <w:ind w:left="2519" w:right="259"/>
      </w:pPr>
      <w:r>
        <w:rPr>
          <w:spacing w:val="-7"/>
        </w:rPr>
        <w:t>的心功能衰竭</w:t>
      </w:r>
      <w:r>
        <w:rPr>
          <w:spacing w:val="-3"/>
        </w:rPr>
        <w:t>（美国纽约心脏协会心功能分类标准心功能达四级</w:t>
      </w:r>
      <w:r>
        <w:rPr>
          <w:spacing w:val="-70"/>
        </w:rPr>
        <w:t>）</w:t>
      </w:r>
      <w:r>
        <w:rPr>
          <w:spacing w:val="-12"/>
        </w:rPr>
        <w:t>，且有相关住院</w:t>
      </w:r>
      <w:r>
        <w:rPr>
          <w:spacing w:val="-8"/>
        </w:rPr>
        <w:t>医疗记录显示四级心功能衰竭状态持续至少 </w:t>
      </w:r>
      <w:r>
        <w:rPr/>
        <w:t>180</w:t>
      </w:r>
      <w:r>
        <w:rPr>
          <w:spacing w:val="-16"/>
        </w:rPr>
        <w:t> 天。</w:t>
      </w:r>
    </w:p>
    <w:p>
      <w:pPr>
        <w:pStyle w:val="BodyText"/>
        <w:spacing w:line="300" w:lineRule="auto" w:before="15"/>
        <w:ind w:left="2519" w:right="259"/>
      </w:pPr>
      <w:r>
        <w:rPr/>
        <w:t>本病须经专科医师明确诊断。继发于全身性疾病或其它器官系统疾病造成的心肌病变除外。</w:t>
      </w:r>
    </w:p>
    <w:p>
      <w:pPr>
        <w:pStyle w:val="BodyText"/>
        <w:spacing w:line="300" w:lineRule="auto" w:before="15"/>
        <w:ind w:left="2519" w:right="259"/>
      </w:pPr>
      <w:r>
        <w:rPr/>
        <w:t>美国纽约心脏协会分类标准心功能四级是指有医院的医疗记录显示病人不能进行任何活动，休息时仍有心悸、呼吸困难等心力衰竭表现。</w:t>
      </w:r>
    </w:p>
    <w:p>
      <w:pPr>
        <w:pStyle w:val="BodyText"/>
        <w:spacing w:before="173"/>
        <w:ind w:left="2519"/>
      </w:pPr>
      <w:r>
        <w:rPr/>
        <w:t>重大疾病定义中所用到的术语定义：</w:t>
      </w:r>
    </w:p>
    <w:p>
      <w:pPr>
        <w:pStyle w:val="BodyText"/>
        <w:spacing w:before="4"/>
        <w:rPr>
          <w:sz w:val="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554"/>
        <w:gridCol w:w="7734"/>
      </w:tblGrid>
      <w:tr>
        <w:trPr>
          <w:trHeight w:val="294" w:hRule="atLeast"/>
        </w:trPr>
        <w:tc>
          <w:tcPr>
            <w:tcW w:w="2238" w:type="dxa"/>
            <w:gridSpan w:val="2"/>
            <w:vMerge w:val="restart"/>
          </w:tcPr>
          <w:p>
            <w:pPr>
              <w:pStyle w:val="TableParagraph"/>
              <w:rPr>
                <w:rFonts w:ascii="Times New Roman"/>
                <w:sz w:val="20"/>
              </w:rPr>
            </w:pPr>
          </w:p>
        </w:tc>
        <w:tc>
          <w:tcPr>
            <w:tcW w:w="7734" w:type="dxa"/>
          </w:tcPr>
          <w:p>
            <w:pPr>
              <w:pStyle w:val="TableParagraph"/>
              <w:spacing w:line="236" w:lineRule="exact"/>
              <w:ind w:left="600"/>
              <w:rPr>
                <w:sz w:val="21"/>
              </w:rPr>
            </w:pPr>
            <w:r>
              <w:rPr>
                <w:rFonts w:ascii="Arial" w:eastAsia="Arial"/>
                <w:sz w:val="21"/>
              </w:rPr>
              <w:t>1.</w:t>
            </w:r>
            <w:r>
              <w:rPr>
                <w:rFonts w:ascii="Arial" w:eastAsia="Arial"/>
                <w:spacing w:val="56"/>
                <w:sz w:val="21"/>
              </w:rPr>
              <w:t> </w:t>
            </w:r>
            <w:r>
              <w:rPr>
                <w:spacing w:val="-3"/>
                <w:sz w:val="21"/>
              </w:rPr>
              <w:t>肢体机能完全丧失</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3"/>
              <w:rPr>
                <w:sz w:val="21"/>
              </w:rPr>
            </w:pPr>
            <w:r>
              <w:rPr>
                <w:sz w:val="21"/>
              </w:rPr>
              <w:t>指肢体的三大关节中的两大关节僵硬，或不能随意识活动。肢体是指包括</w:t>
            </w:r>
          </w:p>
        </w:tc>
      </w:tr>
      <w:tr>
        <w:trPr>
          <w:trHeight w:val="338"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肩关节的整个上肢或包括髋关节的整个下肢。</w:t>
            </w:r>
          </w:p>
        </w:tc>
      </w:tr>
      <w:tr>
        <w:trPr>
          <w:trHeight w:val="355" w:hRule="atLeast"/>
        </w:trPr>
        <w:tc>
          <w:tcPr>
            <w:tcW w:w="2238" w:type="dxa"/>
            <w:gridSpan w:val="2"/>
            <w:vMerge/>
            <w:tcBorders>
              <w:top w:val="nil"/>
            </w:tcBorders>
          </w:tcPr>
          <w:p>
            <w:pPr>
              <w:rPr>
                <w:sz w:val="2"/>
                <w:szCs w:val="2"/>
              </w:rPr>
            </w:pPr>
          </w:p>
        </w:tc>
        <w:tc>
          <w:tcPr>
            <w:tcW w:w="7734" w:type="dxa"/>
          </w:tcPr>
          <w:p>
            <w:pPr>
              <w:pStyle w:val="TableParagraph"/>
              <w:spacing w:before="7"/>
              <w:ind w:left="600"/>
              <w:rPr>
                <w:sz w:val="21"/>
              </w:rPr>
            </w:pPr>
            <w:r>
              <w:rPr>
                <w:rFonts w:ascii="Arial" w:eastAsia="Arial"/>
                <w:sz w:val="21"/>
              </w:rPr>
              <w:t>2.  </w:t>
            </w:r>
            <w:r>
              <w:rPr>
                <w:sz w:val="21"/>
              </w:rPr>
              <w:t>语言能力或咀嚼吞咽能力完全丧失</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3"/>
              <w:rPr>
                <w:sz w:val="21"/>
              </w:rPr>
            </w:pPr>
            <w:r>
              <w:rPr>
                <w:sz w:val="21"/>
              </w:rPr>
              <w:t>语言能力完全丧失，指无法发出四种语音（包括口唇音、齿舌音、口盖音</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和喉头音）中的任何三种、或声带全部切除，或因大脑语言中枢受伤害而</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患失语症。</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咀嚼吞咽能力完全丧失，指因牙齿以外的原因导致器质障碍或机能障碍，</w:t>
            </w:r>
          </w:p>
        </w:tc>
      </w:tr>
      <w:tr>
        <w:trPr>
          <w:trHeight w:val="338"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以致不能作咀嚼吞咽运动，除流质食物外不能摄取或吞咽的状态。</w:t>
            </w:r>
          </w:p>
        </w:tc>
      </w:tr>
      <w:tr>
        <w:trPr>
          <w:trHeight w:val="355" w:hRule="atLeast"/>
        </w:trPr>
        <w:tc>
          <w:tcPr>
            <w:tcW w:w="2238" w:type="dxa"/>
            <w:gridSpan w:val="2"/>
            <w:vMerge/>
            <w:tcBorders>
              <w:top w:val="nil"/>
            </w:tcBorders>
          </w:tcPr>
          <w:p>
            <w:pPr>
              <w:rPr>
                <w:sz w:val="2"/>
                <w:szCs w:val="2"/>
              </w:rPr>
            </w:pPr>
          </w:p>
        </w:tc>
        <w:tc>
          <w:tcPr>
            <w:tcW w:w="7734" w:type="dxa"/>
          </w:tcPr>
          <w:p>
            <w:pPr>
              <w:pStyle w:val="TableParagraph"/>
              <w:spacing w:before="7"/>
              <w:ind w:left="600"/>
              <w:rPr>
                <w:sz w:val="21"/>
              </w:rPr>
            </w:pPr>
            <w:r>
              <w:rPr>
                <w:rFonts w:ascii="Arial" w:eastAsia="Arial"/>
                <w:sz w:val="21"/>
              </w:rPr>
              <w:t>3.</w:t>
            </w:r>
            <w:r>
              <w:rPr>
                <w:rFonts w:ascii="Arial" w:eastAsia="Arial"/>
                <w:spacing w:val="53"/>
                <w:sz w:val="21"/>
              </w:rPr>
              <w:t> </w:t>
            </w:r>
            <w:r>
              <w:rPr>
                <w:spacing w:val="-1"/>
                <w:sz w:val="21"/>
              </w:rPr>
              <w:t>永久不可逆</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3"/>
              <w:rPr>
                <w:sz w:val="21"/>
              </w:rPr>
            </w:pPr>
            <w:r>
              <w:rPr>
                <w:sz w:val="21"/>
              </w:rPr>
              <w:t>指自疾病确诊或意外伤害发生之日起，经过积极治疗 180 天后，仍无法通</w:t>
            </w:r>
          </w:p>
        </w:tc>
      </w:tr>
      <w:tr>
        <w:trPr>
          <w:trHeight w:val="338"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过现有医疗手段恢复。</w:t>
            </w:r>
          </w:p>
        </w:tc>
      </w:tr>
      <w:tr>
        <w:trPr>
          <w:trHeight w:val="355" w:hRule="atLeast"/>
        </w:trPr>
        <w:tc>
          <w:tcPr>
            <w:tcW w:w="2238" w:type="dxa"/>
            <w:gridSpan w:val="2"/>
            <w:vMerge/>
            <w:tcBorders>
              <w:top w:val="nil"/>
            </w:tcBorders>
          </w:tcPr>
          <w:p>
            <w:pPr>
              <w:rPr>
                <w:sz w:val="2"/>
                <w:szCs w:val="2"/>
              </w:rPr>
            </w:pPr>
          </w:p>
        </w:tc>
        <w:tc>
          <w:tcPr>
            <w:tcW w:w="7734" w:type="dxa"/>
          </w:tcPr>
          <w:p>
            <w:pPr>
              <w:pStyle w:val="TableParagraph"/>
              <w:spacing w:before="7"/>
              <w:ind w:left="600"/>
              <w:rPr>
                <w:sz w:val="21"/>
              </w:rPr>
            </w:pPr>
            <w:r>
              <w:rPr>
                <w:rFonts w:ascii="Arial" w:eastAsia="Arial"/>
                <w:sz w:val="21"/>
              </w:rPr>
              <w:t>4.</w:t>
            </w:r>
            <w:r>
              <w:rPr>
                <w:rFonts w:ascii="Arial" w:eastAsia="Arial"/>
                <w:spacing w:val="52"/>
                <w:sz w:val="21"/>
              </w:rPr>
              <w:t> </w:t>
            </w:r>
            <w:r>
              <w:rPr>
                <w:spacing w:val="-1"/>
                <w:sz w:val="21"/>
              </w:rPr>
              <w:t>专科医生</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3"/>
              <w:rPr>
                <w:sz w:val="21"/>
              </w:rPr>
            </w:pPr>
            <w:r>
              <w:rPr>
                <w:spacing w:val="-3"/>
                <w:w w:val="100"/>
                <w:sz w:val="21"/>
              </w:rPr>
              <w:t>专科医生应当同时满足以下四项资格条件</w:t>
            </w:r>
            <w:r>
              <w:rPr>
                <w:spacing w:val="-120"/>
                <w:w w:val="100"/>
                <w:sz w:val="21"/>
              </w:rPr>
              <w:t>：</w:t>
            </w:r>
            <w:r>
              <w:rPr>
                <w:spacing w:val="-3"/>
                <w:w w:val="100"/>
                <w:sz w:val="21"/>
              </w:rPr>
              <w:t>（</w:t>
            </w:r>
            <w:r>
              <w:rPr>
                <w:w w:val="100"/>
                <w:sz w:val="21"/>
              </w:rPr>
              <w:t>1</w:t>
            </w:r>
            <w:r>
              <w:rPr>
                <w:spacing w:val="-17"/>
                <w:w w:val="100"/>
                <w:sz w:val="21"/>
              </w:rPr>
              <w:t>）</w:t>
            </w:r>
            <w:r>
              <w:rPr>
                <w:spacing w:val="-3"/>
                <w:w w:val="100"/>
                <w:sz w:val="21"/>
              </w:rPr>
              <w:t>具有有效的中华人民共和</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pacing w:val="-25"/>
                <w:w w:val="100"/>
                <w:sz w:val="21"/>
              </w:rPr>
              <w:t>国《医师资格证书》；</w:t>
            </w:r>
            <w:r>
              <w:rPr>
                <w:w w:val="100"/>
                <w:sz w:val="21"/>
              </w:rPr>
              <w:t>（</w:t>
            </w:r>
            <w:r>
              <w:rPr>
                <w:spacing w:val="-3"/>
                <w:w w:val="100"/>
                <w:sz w:val="21"/>
              </w:rPr>
              <w:t>2）</w:t>
            </w:r>
            <w:r>
              <w:rPr>
                <w:spacing w:val="-9"/>
                <w:w w:val="100"/>
                <w:sz w:val="21"/>
              </w:rPr>
              <w:t>具有有效的中华人民共和国《医师执业证书》，</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pacing w:val="-3"/>
                <w:w w:val="100"/>
                <w:sz w:val="21"/>
              </w:rPr>
              <w:t>并按期到相关部门登记注册</w:t>
            </w:r>
            <w:r>
              <w:rPr>
                <w:spacing w:val="-120"/>
                <w:w w:val="100"/>
                <w:sz w:val="21"/>
              </w:rPr>
              <w:t>；</w:t>
            </w:r>
            <w:r>
              <w:rPr>
                <w:spacing w:val="-3"/>
                <w:w w:val="100"/>
                <w:sz w:val="21"/>
              </w:rPr>
              <w:t>（</w:t>
            </w:r>
            <w:r>
              <w:rPr>
                <w:w w:val="100"/>
                <w:sz w:val="21"/>
              </w:rPr>
              <w:t>3</w:t>
            </w:r>
            <w:r>
              <w:rPr>
                <w:spacing w:val="-17"/>
                <w:w w:val="100"/>
                <w:sz w:val="21"/>
              </w:rPr>
              <w:t>）</w:t>
            </w:r>
            <w:r>
              <w:rPr>
                <w:spacing w:val="-3"/>
                <w:w w:val="100"/>
                <w:sz w:val="21"/>
              </w:rPr>
              <w:t>具有有效的中华人民共和国主治医师或</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pacing w:val="-13"/>
                <w:w w:val="100"/>
                <w:sz w:val="21"/>
              </w:rPr>
              <w:t>主治医师以上职称的《医师职称证书》；</w:t>
            </w:r>
            <w:r>
              <w:rPr>
                <w:spacing w:val="1"/>
                <w:w w:val="100"/>
                <w:sz w:val="21"/>
              </w:rPr>
              <w:t>（4</w:t>
            </w:r>
            <w:r>
              <w:rPr>
                <w:w w:val="100"/>
                <w:sz w:val="21"/>
              </w:rPr>
              <w:t>）在二级或二级以上医院的相</w:t>
            </w:r>
          </w:p>
        </w:tc>
      </w:tr>
      <w:tr>
        <w:trPr>
          <w:trHeight w:val="338"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应科室从事临床工作三年以上。</w:t>
            </w:r>
          </w:p>
        </w:tc>
      </w:tr>
      <w:tr>
        <w:trPr>
          <w:trHeight w:val="355" w:hRule="atLeast"/>
        </w:trPr>
        <w:tc>
          <w:tcPr>
            <w:tcW w:w="2238" w:type="dxa"/>
            <w:gridSpan w:val="2"/>
            <w:vMerge/>
            <w:tcBorders>
              <w:top w:val="nil"/>
            </w:tcBorders>
          </w:tcPr>
          <w:p>
            <w:pPr>
              <w:rPr>
                <w:sz w:val="2"/>
                <w:szCs w:val="2"/>
              </w:rPr>
            </w:pPr>
          </w:p>
        </w:tc>
        <w:tc>
          <w:tcPr>
            <w:tcW w:w="7734" w:type="dxa"/>
          </w:tcPr>
          <w:p>
            <w:pPr>
              <w:pStyle w:val="TableParagraph"/>
              <w:spacing w:before="7"/>
              <w:ind w:left="600"/>
              <w:rPr>
                <w:sz w:val="21"/>
              </w:rPr>
            </w:pPr>
            <w:r>
              <w:rPr>
                <w:rFonts w:ascii="Arial" w:eastAsia="Arial"/>
                <w:sz w:val="21"/>
              </w:rPr>
              <w:t>5.</w:t>
            </w:r>
            <w:r>
              <w:rPr>
                <w:rFonts w:ascii="Arial" w:eastAsia="Arial"/>
                <w:spacing w:val="53"/>
                <w:sz w:val="21"/>
              </w:rPr>
              <w:t> </w:t>
            </w:r>
            <w:r>
              <w:rPr>
                <w:spacing w:val="-1"/>
                <w:sz w:val="21"/>
              </w:rPr>
              <w:t>遗传性疾病</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3"/>
              <w:rPr>
                <w:sz w:val="21"/>
              </w:rPr>
            </w:pPr>
            <w:r>
              <w:rPr>
                <w:sz w:val="21"/>
              </w:rPr>
              <w:t>指生殖细胞或受精卵的遗传物质（染色体和基因）发生突变或畸变所引起</w:t>
            </w:r>
          </w:p>
        </w:tc>
      </w:tr>
      <w:tr>
        <w:trPr>
          <w:trHeight w:val="338" w:hRule="atLeast"/>
        </w:trPr>
        <w:tc>
          <w:tcPr>
            <w:tcW w:w="2238" w:type="dxa"/>
            <w:gridSpan w:val="2"/>
            <w:vMerge/>
            <w:tcBorders>
              <w:top w:val="nil"/>
            </w:tcBorders>
          </w:tcPr>
          <w:p>
            <w:pPr>
              <w:rPr>
                <w:sz w:val="2"/>
                <w:szCs w:val="2"/>
              </w:rPr>
            </w:pPr>
          </w:p>
        </w:tc>
        <w:tc>
          <w:tcPr>
            <w:tcW w:w="7734" w:type="dxa"/>
          </w:tcPr>
          <w:p>
            <w:pPr>
              <w:pStyle w:val="TableParagraph"/>
              <w:spacing w:before="2"/>
              <w:ind w:left="883"/>
              <w:rPr>
                <w:sz w:val="21"/>
              </w:rPr>
            </w:pPr>
            <w:r>
              <w:rPr>
                <w:sz w:val="21"/>
              </w:rPr>
              <w:t>的疾病，通常具有由亲代传至后代的垂直传递的特征。</w:t>
            </w:r>
          </w:p>
        </w:tc>
      </w:tr>
      <w:tr>
        <w:trPr>
          <w:trHeight w:val="355" w:hRule="atLeast"/>
        </w:trPr>
        <w:tc>
          <w:tcPr>
            <w:tcW w:w="2238" w:type="dxa"/>
            <w:gridSpan w:val="2"/>
            <w:vMerge/>
            <w:tcBorders>
              <w:top w:val="nil"/>
            </w:tcBorders>
          </w:tcPr>
          <w:p>
            <w:pPr>
              <w:rPr>
                <w:sz w:val="2"/>
                <w:szCs w:val="2"/>
              </w:rPr>
            </w:pPr>
          </w:p>
        </w:tc>
        <w:tc>
          <w:tcPr>
            <w:tcW w:w="7734" w:type="dxa"/>
          </w:tcPr>
          <w:p>
            <w:pPr>
              <w:pStyle w:val="TableParagraph"/>
              <w:spacing w:before="7"/>
              <w:ind w:left="600"/>
              <w:rPr>
                <w:sz w:val="21"/>
              </w:rPr>
            </w:pPr>
            <w:r>
              <w:rPr>
                <w:rFonts w:ascii="Arial" w:eastAsia="Arial"/>
                <w:sz w:val="21"/>
              </w:rPr>
              <w:t>6.  </w:t>
            </w:r>
            <w:r>
              <w:rPr>
                <w:sz w:val="21"/>
              </w:rPr>
              <w:t>先天性畸形、变形和染色体异常</w:t>
            </w:r>
          </w:p>
        </w:tc>
      </w:tr>
      <w:tr>
        <w:trPr>
          <w:trHeight w:val="335" w:hRule="atLeast"/>
        </w:trPr>
        <w:tc>
          <w:tcPr>
            <w:tcW w:w="2238" w:type="dxa"/>
            <w:gridSpan w:val="2"/>
            <w:vMerge/>
            <w:tcBorders>
              <w:top w:val="nil"/>
            </w:tcBorders>
          </w:tcPr>
          <w:p>
            <w:pPr>
              <w:rPr>
                <w:sz w:val="2"/>
                <w:szCs w:val="2"/>
              </w:rPr>
            </w:pPr>
          </w:p>
        </w:tc>
        <w:tc>
          <w:tcPr>
            <w:tcW w:w="7734" w:type="dxa"/>
          </w:tcPr>
          <w:p>
            <w:pPr>
              <w:pStyle w:val="TableParagraph"/>
              <w:spacing w:line="270" w:lineRule="exact"/>
              <w:ind w:left="884"/>
              <w:rPr>
                <w:sz w:val="21"/>
              </w:rPr>
            </w:pPr>
            <w:r>
              <w:rPr>
                <w:sz w:val="21"/>
              </w:rPr>
              <w:t>指被保险人出生时就具有的畸形、变形或染色体异常。先天性畸形、变形</w:t>
            </w:r>
          </w:p>
        </w:tc>
      </w:tr>
      <w:tr>
        <w:trPr>
          <w:trHeight w:val="343" w:hRule="atLeast"/>
        </w:trPr>
        <w:tc>
          <w:tcPr>
            <w:tcW w:w="2238" w:type="dxa"/>
            <w:gridSpan w:val="2"/>
            <w:vMerge/>
            <w:tcBorders>
              <w:top w:val="nil"/>
            </w:tcBorders>
          </w:tcPr>
          <w:p>
            <w:pPr>
              <w:rPr>
                <w:sz w:val="2"/>
                <w:szCs w:val="2"/>
              </w:rPr>
            </w:pPr>
          </w:p>
        </w:tc>
        <w:tc>
          <w:tcPr>
            <w:tcW w:w="7734" w:type="dxa"/>
          </w:tcPr>
          <w:p>
            <w:pPr>
              <w:pStyle w:val="TableParagraph"/>
              <w:spacing w:before="2"/>
              <w:ind w:left="884"/>
              <w:rPr>
                <w:sz w:val="21"/>
              </w:rPr>
            </w:pPr>
            <w:r>
              <w:rPr>
                <w:sz w:val="21"/>
              </w:rPr>
              <w:t>和染色体异常依照世界卫生组织《疾病和有关健康问题的国际统计分类》</w:t>
            </w:r>
          </w:p>
        </w:tc>
      </w:tr>
      <w:tr>
        <w:trPr>
          <w:trHeight w:val="423" w:hRule="atLeast"/>
        </w:trPr>
        <w:tc>
          <w:tcPr>
            <w:tcW w:w="2238" w:type="dxa"/>
            <w:gridSpan w:val="2"/>
            <w:vMerge/>
            <w:tcBorders>
              <w:top w:val="nil"/>
            </w:tcBorders>
          </w:tcPr>
          <w:p>
            <w:pPr>
              <w:rPr>
                <w:sz w:val="2"/>
                <w:szCs w:val="2"/>
              </w:rPr>
            </w:pPr>
          </w:p>
        </w:tc>
        <w:tc>
          <w:tcPr>
            <w:tcW w:w="7734" w:type="dxa"/>
          </w:tcPr>
          <w:p>
            <w:pPr>
              <w:pStyle w:val="TableParagraph"/>
              <w:spacing w:before="2"/>
              <w:ind w:left="884"/>
              <w:rPr>
                <w:sz w:val="21"/>
              </w:rPr>
            </w:pPr>
            <w:r>
              <w:rPr>
                <w:sz w:val="21"/>
              </w:rPr>
              <w:t>（ICD-10）确定。</w:t>
            </w:r>
          </w:p>
        </w:tc>
      </w:tr>
      <w:tr>
        <w:trPr>
          <w:trHeight w:val="526" w:hRule="atLeast"/>
        </w:trPr>
        <w:tc>
          <w:tcPr>
            <w:tcW w:w="684" w:type="dxa"/>
          </w:tcPr>
          <w:p>
            <w:pPr>
              <w:pStyle w:val="TableParagraph"/>
              <w:spacing w:before="3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8</w:t>
            </w:r>
          </w:p>
        </w:tc>
        <w:tc>
          <w:tcPr>
            <w:tcW w:w="1554" w:type="dxa"/>
          </w:tcPr>
          <w:p>
            <w:pPr>
              <w:pStyle w:val="TableParagraph"/>
              <w:spacing w:before="37"/>
              <w:ind w:left="105"/>
              <w:rPr>
                <w:rFonts w:ascii="微软雅黑" w:eastAsia="微软雅黑" w:hint="eastAsia"/>
                <w:b/>
                <w:sz w:val="21"/>
              </w:rPr>
            </w:pPr>
            <w:r>
              <w:rPr>
                <w:rFonts w:ascii="微软雅黑" w:eastAsia="微软雅黑" w:hint="eastAsia"/>
                <w:b/>
                <w:sz w:val="21"/>
              </w:rPr>
              <w:t>意外伤害</w:t>
            </w:r>
          </w:p>
        </w:tc>
        <w:tc>
          <w:tcPr>
            <w:tcW w:w="7734" w:type="dxa"/>
          </w:tcPr>
          <w:p>
            <w:pPr>
              <w:pStyle w:val="TableParagraph"/>
              <w:spacing w:before="82"/>
              <w:ind w:left="180"/>
              <w:rPr>
                <w:sz w:val="21"/>
              </w:rPr>
            </w:pPr>
            <w:r>
              <w:rPr>
                <w:spacing w:val="-9"/>
                <w:sz w:val="21"/>
              </w:rPr>
              <w:t>指遭受外来的、突发的、非本意的、非疾病的客观事件直接致使身体受到的伤害。</w:t>
            </w:r>
          </w:p>
        </w:tc>
      </w:tr>
      <w:tr>
        <w:trPr>
          <w:trHeight w:val="437" w:hRule="atLeast"/>
        </w:trPr>
        <w:tc>
          <w:tcPr>
            <w:tcW w:w="684" w:type="dxa"/>
          </w:tcPr>
          <w:p>
            <w:pPr>
              <w:pStyle w:val="TableParagraph"/>
              <w:spacing w:before="43"/>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9</w:t>
            </w:r>
          </w:p>
        </w:tc>
        <w:tc>
          <w:tcPr>
            <w:tcW w:w="1554" w:type="dxa"/>
          </w:tcPr>
          <w:p>
            <w:pPr>
              <w:pStyle w:val="TableParagraph"/>
              <w:spacing w:before="43"/>
              <w:ind w:left="105"/>
              <w:rPr>
                <w:rFonts w:ascii="微软雅黑" w:eastAsia="微软雅黑" w:hint="eastAsia"/>
                <w:b/>
                <w:sz w:val="21"/>
              </w:rPr>
            </w:pPr>
            <w:r>
              <w:rPr>
                <w:rFonts w:ascii="微软雅黑" w:eastAsia="微软雅黑" w:hint="eastAsia"/>
                <w:b/>
                <w:sz w:val="21"/>
              </w:rPr>
              <w:t>毒品</w:t>
            </w:r>
          </w:p>
        </w:tc>
        <w:tc>
          <w:tcPr>
            <w:tcW w:w="7734" w:type="dxa"/>
          </w:tcPr>
          <w:p>
            <w:pPr>
              <w:pStyle w:val="TableParagraph"/>
              <w:spacing w:before="88"/>
              <w:ind w:left="180"/>
              <w:rPr>
                <w:sz w:val="21"/>
              </w:rPr>
            </w:pPr>
            <w:r>
              <w:rPr>
                <w:spacing w:val="-6"/>
                <w:sz w:val="21"/>
              </w:rPr>
              <w:t>指鸦片、海洛因、甲基苯丙胺</w:t>
            </w:r>
            <w:r>
              <w:rPr>
                <w:sz w:val="21"/>
              </w:rPr>
              <w:t>（</w:t>
            </w:r>
            <w:r>
              <w:rPr>
                <w:spacing w:val="-2"/>
                <w:sz w:val="21"/>
              </w:rPr>
              <w:t>冰毒</w:t>
            </w:r>
            <w:r>
              <w:rPr>
                <w:spacing w:val="-108"/>
                <w:sz w:val="21"/>
              </w:rPr>
              <w:t>）</w:t>
            </w:r>
            <w:r>
              <w:rPr>
                <w:spacing w:val="-7"/>
                <w:sz w:val="21"/>
              </w:rPr>
              <w:t>、吗啡、大麻、可卡因以及索赔当时政府规</w:t>
            </w:r>
          </w:p>
        </w:tc>
      </w:tr>
      <w:tr>
        <w:trPr>
          <w:trHeight w:val="415" w:hRule="atLeast"/>
        </w:trPr>
        <w:tc>
          <w:tcPr>
            <w:tcW w:w="684" w:type="dxa"/>
          </w:tcPr>
          <w:p>
            <w:pPr>
              <w:pStyle w:val="TableParagraph"/>
              <w:rPr>
                <w:rFonts w:ascii="Times New Roman"/>
                <w:sz w:val="20"/>
              </w:rPr>
            </w:pPr>
          </w:p>
        </w:tc>
        <w:tc>
          <w:tcPr>
            <w:tcW w:w="1554" w:type="dxa"/>
          </w:tcPr>
          <w:p>
            <w:pPr>
              <w:pStyle w:val="TableParagraph"/>
              <w:rPr>
                <w:rFonts w:ascii="Times New Roman"/>
                <w:sz w:val="20"/>
              </w:rPr>
            </w:pPr>
          </w:p>
        </w:tc>
        <w:tc>
          <w:tcPr>
            <w:tcW w:w="7734" w:type="dxa"/>
          </w:tcPr>
          <w:p>
            <w:pPr>
              <w:pStyle w:val="TableParagraph"/>
              <w:spacing w:line="269" w:lineRule="exact"/>
              <w:ind w:left="180"/>
              <w:rPr>
                <w:sz w:val="21"/>
              </w:rPr>
            </w:pPr>
            <w:r>
              <w:rPr>
                <w:sz w:val="21"/>
              </w:rPr>
              <w:t>定管制的其他能够使人形成瘾癖的麻醉药品和精神药品。</w:t>
            </w:r>
          </w:p>
        </w:tc>
      </w:tr>
      <w:tr>
        <w:trPr>
          <w:trHeight w:val="431" w:hRule="atLeast"/>
        </w:trPr>
        <w:tc>
          <w:tcPr>
            <w:tcW w:w="684" w:type="dxa"/>
          </w:tcPr>
          <w:p>
            <w:pPr>
              <w:pStyle w:val="TableParagraph"/>
              <w:spacing w:before="3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10</w:t>
            </w:r>
          </w:p>
        </w:tc>
        <w:tc>
          <w:tcPr>
            <w:tcW w:w="1554" w:type="dxa"/>
          </w:tcPr>
          <w:p>
            <w:pPr>
              <w:pStyle w:val="TableParagraph"/>
              <w:spacing w:before="37"/>
              <w:ind w:left="105"/>
              <w:rPr>
                <w:rFonts w:ascii="微软雅黑" w:eastAsia="微软雅黑" w:hint="eastAsia"/>
                <w:b/>
                <w:sz w:val="21"/>
              </w:rPr>
            </w:pPr>
            <w:r>
              <w:rPr>
                <w:rFonts w:ascii="微软雅黑" w:eastAsia="微软雅黑" w:hint="eastAsia"/>
                <w:b/>
                <w:sz w:val="21"/>
              </w:rPr>
              <w:t>酒后驾驶</w:t>
            </w:r>
          </w:p>
        </w:tc>
        <w:tc>
          <w:tcPr>
            <w:tcW w:w="7734" w:type="dxa"/>
          </w:tcPr>
          <w:p>
            <w:pPr>
              <w:pStyle w:val="TableParagraph"/>
              <w:spacing w:before="82"/>
              <w:ind w:left="180"/>
              <w:rPr>
                <w:sz w:val="21"/>
              </w:rPr>
            </w:pPr>
            <w:r>
              <w:rPr>
                <w:sz w:val="21"/>
              </w:rPr>
              <w:t>指经检测或鉴定，发生保险事故时车辆驾驶人员每百毫升血液中的酒精含量大于</w:t>
            </w:r>
          </w:p>
        </w:tc>
      </w:tr>
      <w:tr>
        <w:trPr>
          <w:trHeight w:val="413" w:hRule="atLeast"/>
        </w:trPr>
        <w:tc>
          <w:tcPr>
            <w:tcW w:w="684" w:type="dxa"/>
          </w:tcPr>
          <w:p>
            <w:pPr>
              <w:pStyle w:val="TableParagraph"/>
              <w:rPr>
                <w:rFonts w:ascii="Times New Roman"/>
                <w:sz w:val="20"/>
              </w:rPr>
            </w:pPr>
          </w:p>
        </w:tc>
        <w:tc>
          <w:tcPr>
            <w:tcW w:w="1554" w:type="dxa"/>
          </w:tcPr>
          <w:p>
            <w:pPr>
              <w:pStyle w:val="TableParagraph"/>
              <w:rPr>
                <w:rFonts w:ascii="Times New Roman"/>
                <w:sz w:val="20"/>
              </w:rPr>
            </w:pPr>
          </w:p>
        </w:tc>
        <w:tc>
          <w:tcPr>
            <w:tcW w:w="7734" w:type="dxa"/>
          </w:tcPr>
          <w:p>
            <w:pPr>
              <w:pStyle w:val="TableParagraph"/>
              <w:spacing w:line="269" w:lineRule="exact"/>
              <w:ind w:left="180"/>
              <w:rPr>
                <w:sz w:val="21"/>
              </w:rPr>
            </w:pPr>
            <w:r>
              <w:rPr>
                <w:sz w:val="21"/>
              </w:rPr>
              <w:t>或等于 20 毫克。</w:t>
            </w:r>
          </w:p>
        </w:tc>
      </w:tr>
      <w:tr>
        <w:trPr>
          <w:trHeight w:val="425" w:hRule="atLeast"/>
        </w:trPr>
        <w:tc>
          <w:tcPr>
            <w:tcW w:w="684" w:type="dxa"/>
          </w:tcPr>
          <w:p>
            <w:pPr>
              <w:pStyle w:val="TableParagraph"/>
              <w:spacing w:before="35"/>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11</w:t>
            </w:r>
          </w:p>
        </w:tc>
        <w:tc>
          <w:tcPr>
            <w:tcW w:w="1554" w:type="dxa"/>
          </w:tcPr>
          <w:p>
            <w:pPr>
              <w:pStyle w:val="TableParagraph"/>
              <w:spacing w:before="35"/>
              <w:ind w:left="105"/>
              <w:rPr>
                <w:rFonts w:ascii="微软雅黑" w:eastAsia="微软雅黑" w:hint="eastAsia"/>
                <w:b/>
                <w:sz w:val="21"/>
              </w:rPr>
            </w:pPr>
            <w:r>
              <w:rPr>
                <w:rFonts w:ascii="微软雅黑" w:eastAsia="微软雅黑" w:hint="eastAsia"/>
                <w:b/>
                <w:sz w:val="21"/>
              </w:rPr>
              <w:t>无合法有效驾</w:t>
            </w:r>
          </w:p>
        </w:tc>
        <w:tc>
          <w:tcPr>
            <w:tcW w:w="7734" w:type="dxa"/>
          </w:tcPr>
          <w:p>
            <w:pPr>
              <w:pStyle w:val="TableParagraph"/>
              <w:spacing w:before="81"/>
              <w:ind w:left="180"/>
              <w:rPr>
                <w:sz w:val="21"/>
              </w:rPr>
            </w:pPr>
            <w:r>
              <w:rPr>
                <w:sz w:val="21"/>
              </w:rPr>
              <w:t>指下列情形之一：</w:t>
            </w:r>
          </w:p>
        </w:tc>
      </w:tr>
      <w:tr>
        <w:trPr>
          <w:trHeight w:val="631" w:hRule="atLeast"/>
        </w:trPr>
        <w:tc>
          <w:tcPr>
            <w:tcW w:w="684" w:type="dxa"/>
          </w:tcPr>
          <w:p>
            <w:pPr>
              <w:pStyle w:val="TableParagraph"/>
              <w:rPr>
                <w:rFonts w:ascii="Times New Roman"/>
                <w:sz w:val="20"/>
              </w:rPr>
            </w:pPr>
          </w:p>
        </w:tc>
        <w:tc>
          <w:tcPr>
            <w:tcW w:w="1554" w:type="dxa"/>
          </w:tcPr>
          <w:p>
            <w:pPr>
              <w:pStyle w:val="TableParagraph"/>
              <w:spacing w:line="347" w:lineRule="exact"/>
              <w:ind w:left="105"/>
              <w:rPr>
                <w:rFonts w:ascii="微软雅黑" w:eastAsia="微软雅黑" w:hint="eastAsia"/>
                <w:b/>
                <w:sz w:val="21"/>
              </w:rPr>
            </w:pPr>
            <w:r>
              <w:rPr>
                <w:rFonts w:ascii="微软雅黑" w:eastAsia="微软雅黑" w:hint="eastAsia"/>
                <w:b/>
                <w:sz w:val="21"/>
              </w:rPr>
              <w:t>驶证驾驶</w:t>
            </w:r>
          </w:p>
        </w:tc>
        <w:tc>
          <w:tcPr>
            <w:tcW w:w="7734" w:type="dxa"/>
          </w:tcPr>
          <w:p>
            <w:pPr>
              <w:pStyle w:val="TableParagraph"/>
              <w:numPr>
                <w:ilvl w:val="0"/>
                <w:numId w:val="30"/>
              </w:numPr>
              <w:tabs>
                <w:tab w:pos="748" w:val="left" w:leader="none"/>
              </w:tabs>
              <w:spacing w:line="288" w:lineRule="exact" w:before="0" w:after="0"/>
              <w:ind w:left="747" w:right="0" w:hanging="567"/>
              <w:jc w:val="left"/>
              <w:rPr>
                <w:sz w:val="21"/>
              </w:rPr>
            </w:pPr>
            <w:r>
              <w:rPr>
                <w:spacing w:val="-3"/>
                <w:sz w:val="21"/>
              </w:rPr>
              <w:t>没有驾驶证驾驶；</w:t>
            </w:r>
          </w:p>
          <w:p>
            <w:pPr>
              <w:pStyle w:val="TableParagraph"/>
              <w:numPr>
                <w:ilvl w:val="0"/>
                <w:numId w:val="30"/>
              </w:numPr>
              <w:tabs>
                <w:tab w:pos="748" w:val="left" w:leader="none"/>
              </w:tabs>
              <w:spacing w:line="270" w:lineRule="exact" w:before="53" w:after="0"/>
              <w:ind w:left="747" w:right="0" w:hanging="567"/>
              <w:jc w:val="left"/>
              <w:rPr>
                <w:sz w:val="21"/>
              </w:rPr>
            </w:pPr>
            <w:r>
              <w:rPr>
                <w:spacing w:val="-3"/>
                <w:sz w:val="21"/>
              </w:rPr>
              <w:t>驾驶与驾驶证准驾车型不相符合的车辆；</w:t>
            </w:r>
          </w:p>
        </w:tc>
      </w:tr>
    </w:tbl>
    <w:p>
      <w:pPr>
        <w:spacing w:after="0" w:line="270" w:lineRule="exact"/>
        <w:jc w:val="left"/>
        <w:rPr>
          <w:sz w:val="21"/>
        </w:rPr>
        <w:sectPr>
          <w:pgSz w:w="11900" w:h="16840"/>
          <w:pgMar w:header="0" w:footer="461" w:top="1280" w:bottom="660" w:left="920" w:right="800"/>
        </w:sectPr>
      </w:pPr>
    </w:p>
    <w:p>
      <w:pPr>
        <w:pStyle w:val="ListParagraph"/>
        <w:numPr>
          <w:ilvl w:val="1"/>
          <w:numId w:val="29"/>
        </w:numPr>
        <w:tabs>
          <w:tab w:pos="3046" w:val="left" w:leader="none"/>
        </w:tabs>
        <w:spacing w:line="240" w:lineRule="auto" w:before="22" w:after="0"/>
        <w:ind w:left="3045" w:right="0" w:hanging="566"/>
        <w:jc w:val="left"/>
        <w:rPr>
          <w:sz w:val="21"/>
        </w:rPr>
      </w:pPr>
      <w:r>
        <w:rPr>
          <w:spacing w:val="-3"/>
          <w:sz w:val="21"/>
        </w:rPr>
        <w:t>驾驶员持审验不合格的驾驶证驾驶；</w:t>
      </w:r>
    </w:p>
    <w:p>
      <w:pPr>
        <w:pStyle w:val="ListParagraph"/>
        <w:numPr>
          <w:ilvl w:val="1"/>
          <w:numId w:val="29"/>
        </w:numPr>
        <w:tabs>
          <w:tab w:pos="3046" w:val="left" w:leader="none"/>
        </w:tabs>
        <w:spacing w:line="240" w:lineRule="auto" w:before="52" w:after="0"/>
        <w:ind w:left="3045" w:right="0" w:hanging="566"/>
        <w:jc w:val="left"/>
        <w:rPr>
          <w:sz w:val="21"/>
        </w:rPr>
      </w:pPr>
      <w:r>
        <w:rPr>
          <w:spacing w:val="-3"/>
          <w:sz w:val="21"/>
        </w:rPr>
        <w:t>未经公安交通管理部门同意，持未审验的驾驶证驾驶；</w:t>
      </w:r>
    </w:p>
    <w:p>
      <w:pPr>
        <w:pStyle w:val="ListParagraph"/>
        <w:numPr>
          <w:ilvl w:val="1"/>
          <w:numId w:val="29"/>
        </w:numPr>
        <w:tabs>
          <w:tab w:pos="3046" w:val="left" w:leader="none"/>
        </w:tabs>
        <w:spacing w:line="283" w:lineRule="auto" w:before="52" w:after="0"/>
        <w:ind w:left="3045" w:right="222" w:hanging="566"/>
        <w:jc w:val="left"/>
        <w:rPr>
          <w:sz w:val="21"/>
        </w:rPr>
      </w:pPr>
      <w:r>
        <w:rPr>
          <w:spacing w:val="-9"/>
          <w:sz w:val="21"/>
        </w:rPr>
        <w:t>持学习驾驶证学习驾车时，无教练员随车指导，或不按指定时间、路线学习驾车；</w:t>
      </w:r>
    </w:p>
    <w:p>
      <w:pPr>
        <w:pStyle w:val="ListParagraph"/>
        <w:numPr>
          <w:ilvl w:val="1"/>
          <w:numId w:val="29"/>
        </w:numPr>
        <w:tabs>
          <w:tab w:pos="3046" w:val="left" w:leader="none"/>
        </w:tabs>
        <w:spacing w:line="240" w:lineRule="auto" w:before="30" w:after="0"/>
        <w:ind w:left="3045" w:right="0" w:hanging="566"/>
        <w:jc w:val="left"/>
        <w:rPr>
          <w:sz w:val="21"/>
        </w:rPr>
      </w:pPr>
      <w:r>
        <w:rPr>
          <w:spacing w:val="-3"/>
          <w:sz w:val="21"/>
        </w:rPr>
        <w:t>公安交通管理部门规定的其他无有效驾驶证驾驶的情况。</w:t>
      </w:r>
    </w:p>
    <w:p>
      <w:pPr>
        <w:pStyle w:val="ListParagraph"/>
        <w:numPr>
          <w:ilvl w:val="1"/>
          <w:numId w:val="31"/>
        </w:numPr>
        <w:tabs>
          <w:tab w:pos="849" w:val="left" w:leader="none"/>
          <w:tab w:pos="850" w:val="left" w:leader="none"/>
          <w:tab w:pos="2479" w:val="left" w:leader="none"/>
        </w:tabs>
        <w:spacing w:line="240" w:lineRule="auto" w:before="166" w:after="0"/>
        <w:ind w:left="2479" w:right="0" w:hanging="2369"/>
        <w:jc w:val="left"/>
        <w:rPr>
          <w:sz w:val="21"/>
        </w:rPr>
      </w:pPr>
      <w:r>
        <w:rPr>
          <w:rFonts w:ascii="微软雅黑" w:eastAsia="微软雅黑" w:hint="eastAsia"/>
          <w:b/>
          <w:sz w:val="21"/>
        </w:rPr>
        <w:t>无有效行驶证</w:t>
        <w:tab/>
      </w:r>
      <w:r>
        <w:rPr>
          <w:position w:val="2"/>
          <w:sz w:val="21"/>
        </w:rPr>
        <w:t>指下</w:t>
      </w:r>
      <w:r>
        <w:rPr>
          <w:spacing w:val="-3"/>
          <w:position w:val="2"/>
          <w:sz w:val="21"/>
        </w:rPr>
        <w:t>列</w:t>
      </w:r>
      <w:r>
        <w:rPr>
          <w:position w:val="2"/>
          <w:sz w:val="21"/>
        </w:rPr>
        <w:t>情</w:t>
      </w:r>
      <w:r>
        <w:rPr>
          <w:spacing w:val="-3"/>
          <w:position w:val="2"/>
          <w:sz w:val="21"/>
        </w:rPr>
        <w:t>形</w:t>
      </w:r>
      <w:r>
        <w:rPr>
          <w:position w:val="2"/>
          <w:sz w:val="21"/>
        </w:rPr>
        <w:t>之</w:t>
      </w:r>
      <w:r>
        <w:rPr>
          <w:spacing w:val="-3"/>
          <w:position w:val="2"/>
          <w:sz w:val="21"/>
        </w:rPr>
        <w:t>一</w:t>
      </w:r>
      <w:r>
        <w:rPr>
          <w:position w:val="2"/>
          <w:sz w:val="21"/>
        </w:rPr>
        <w:t>：</w:t>
      </w:r>
    </w:p>
    <w:p>
      <w:pPr>
        <w:pStyle w:val="ListParagraph"/>
        <w:numPr>
          <w:ilvl w:val="2"/>
          <w:numId w:val="31"/>
        </w:numPr>
        <w:tabs>
          <w:tab w:pos="3046" w:val="left" w:leader="none"/>
        </w:tabs>
        <w:spacing w:line="240" w:lineRule="auto" w:before="26" w:after="0"/>
        <w:ind w:left="3045" w:right="0" w:hanging="566"/>
        <w:jc w:val="left"/>
        <w:rPr>
          <w:sz w:val="21"/>
        </w:rPr>
      </w:pPr>
      <w:r>
        <w:rPr>
          <w:spacing w:val="-3"/>
          <w:sz w:val="21"/>
        </w:rPr>
        <w:t>没有机动车行驶证；</w:t>
      </w:r>
    </w:p>
    <w:p>
      <w:pPr>
        <w:pStyle w:val="ListParagraph"/>
        <w:numPr>
          <w:ilvl w:val="2"/>
          <w:numId w:val="31"/>
        </w:numPr>
        <w:tabs>
          <w:tab w:pos="3046" w:val="left" w:leader="none"/>
        </w:tabs>
        <w:spacing w:line="240" w:lineRule="auto" w:before="53" w:after="0"/>
        <w:ind w:left="3045" w:right="0" w:hanging="566"/>
        <w:jc w:val="left"/>
        <w:rPr>
          <w:sz w:val="21"/>
        </w:rPr>
      </w:pPr>
      <w:r>
        <w:rPr>
          <w:spacing w:val="-3"/>
          <w:sz w:val="21"/>
        </w:rPr>
        <w:t>未在法律规定期限内按时进行或通过安全技术检验。</w:t>
      </w:r>
    </w:p>
    <w:p>
      <w:pPr>
        <w:pStyle w:val="ListParagraph"/>
        <w:numPr>
          <w:ilvl w:val="1"/>
          <w:numId w:val="31"/>
        </w:numPr>
        <w:tabs>
          <w:tab w:pos="849" w:val="left" w:leader="none"/>
          <w:tab w:pos="850" w:val="left" w:leader="none"/>
          <w:tab w:pos="2479" w:val="left" w:leader="none"/>
        </w:tabs>
        <w:spacing w:line="256" w:lineRule="auto" w:before="168" w:after="0"/>
        <w:ind w:left="2479" w:right="219" w:hanging="2369"/>
        <w:jc w:val="left"/>
        <w:rPr>
          <w:sz w:val="21"/>
        </w:rPr>
      </w:pPr>
      <w:r>
        <w:rPr>
          <w:rFonts w:ascii="微软雅黑" w:eastAsia="微软雅黑" w:hint="eastAsia"/>
          <w:b/>
          <w:sz w:val="21"/>
        </w:rPr>
        <w:t>机动车</w:t>
        <w:tab/>
      </w:r>
      <w:r>
        <w:rPr>
          <w:position w:val="2"/>
          <w:sz w:val="21"/>
        </w:rPr>
        <w:t>指以动力装置驱动或者牵引，能合法上道路行驶的供人员乘用的四轮及四轮以上 </w:t>
      </w:r>
      <w:r>
        <w:rPr>
          <w:sz w:val="21"/>
        </w:rPr>
        <w:t>轮式车辆，并不包括以下车辆：轨道交通车辆、警车、救护车、消防车、工程抢</w:t>
      </w:r>
    </w:p>
    <w:p>
      <w:pPr>
        <w:pStyle w:val="BodyText"/>
        <w:spacing w:line="300" w:lineRule="auto"/>
        <w:ind w:left="2479" w:right="219"/>
      </w:pPr>
      <w:r>
        <w:rPr/>
        <w:t>险车、工程作业车、公路监督检查专用车、公路养护车、清障车、救援车、洒水车、清扫车以及拖拉机等农业用途车辆。</w:t>
      </w:r>
    </w:p>
    <w:p>
      <w:pPr>
        <w:pStyle w:val="BodyText"/>
        <w:spacing w:before="8"/>
        <w:rPr>
          <w:sz w:val="10"/>
        </w:rPr>
      </w:pPr>
    </w:p>
    <w:p>
      <w:pPr>
        <w:spacing w:after="0"/>
        <w:rPr>
          <w:sz w:val="10"/>
        </w:rPr>
        <w:sectPr>
          <w:pgSz w:w="11900" w:h="16840"/>
          <w:pgMar w:header="0" w:footer="461" w:top="1280" w:bottom="660" w:left="960" w:right="840"/>
        </w:sectPr>
      </w:pPr>
    </w:p>
    <w:p>
      <w:pPr>
        <w:pStyle w:val="Heading3"/>
        <w:numPr>
          <w:ilvl w:val="1"/>
          <w:numId w:val="31"/>
        </w:numPr>
        <w:tabs>
          <w:tab w:pos="849" w:val="left" w:leader="none"/>
          <w:tab w:pos="850" w:val="left" w:leader="none"/>
        </w:tabs>
        <w:spacing w:line="354" w:lineRule="exact" w:before="0" w:after="0"/>
        <w:ind w:left="2479" w:right="0" w:hanging="2369"/>
        <w:jc w:val="left"/>
      </w:pPr>
      <w:r>
        <w:rPr/>
        <w:t>感染艾滋病病</w:t>
      </w:r>
    </w:p>
    <w:p>
      <w:pPr>
        <w:spacing w:before="11"/>
        <w:ind w:left="849" w:right="0" w:firstLine="0"/>
        <w:jc w:val="left"/>
        <w:rPr>
          <w:rFonts w:ascii="微软雅黑" w:eastAsia="微软雅黑" w:hint="eastAsia"/>
          <w:b/>
          <w:sz w:val="21"/>
        </w:rPr>
      </w:pPr>
      <w:r>
        <w:rPr>
          <w:rFonts w:ascii="微软雅黑" w:eastAsia="微软雅黑" w:hint="eastAsia"/>
          <w:b/>
          <w:sz w:val="21"/>
        </w:rPr>
        <w:t>毒或患艾滋病</w:t>
      </w:r>
    </w:p>
    <w:p>
      <w:pPr>
        <w:pStyle w:val="BodyText"/>
        <w:spacing w:line="300" w:lineRule="auto" w:before="37"/>
        <w:ind w:left="110" w:right="114"/>
      </w:pPr>
      <w:r>
        <w:rPr/>
        <w:br w:type="column"/>
      </w:r>
      <w:r>
        <w:rPr/>
        <w:t>艾滋病病毒指人类免疫缺陷病毒，英文缩写为 HIV。艾滋病指人类免疫缺陷病毒</w:t>
      </w:r>
      <w:r>
        <w:rPr>
          <w:spacing w:val="-6"/>
        </w:rPr>
        <w:t>引起的获得性免疫缺陷综合征，英文缩写为 </w:t>
      </w:r>
      <w:r>
        <w:rPr/>
        <w:t>AIDS</w:t>
      </w:r>
      <w:r>
        <w:rPr>
          <w:spacing w:val="-3"/>
        </w:rPr>
        <w:t>。在人体血液或其他样本中检测</w:t>
      </w:r>
      <w:r>
        <w:rPr>
          <w:spacing w:val="-8"/>
        </w:rPr>
        <w:t>到艾滋病病毒或其抗体呈阳性，没有出现临床症状或体征的，为感染艾滋病病毒； </w:t>
      </w:r>
      <w:r>
        <w:rPr>
          <w:spacing w:val="-5"/>
        </w:rPr>
        <w:t>如果同时出现了明显临床症状或体征的，为患艾滋病。</w:t>
      </w:r>
    </w:p>
    <w:p>
      <w:pPr>
        <w:spacing w:after="0" w:line="300" w:lineRule="auto"/>
        <w:sectPr>
          <w:type w:val="continuous"/>
          <w:pgSz w:w="11900" w:h="16840"/>
          <w:pgMar w:top="1380" w:bottom="280" w:left="960" w:right="840"/>
          <w:cols w:num="2" w:equalWidth="0">
            <w:col w:w="2117" w:space="252"/>
            <w:col w:w="7731"/>
          </w:cols>
        </w:sectPr>
      </w:pPr>
    </w:p>
    <w:p>
      <w:pPr>
        <w:pStyle w:val="BodyText"/>
        <w:spacing w:before="7"/>
        <w:rPr>
          <w:sz w:val="10"/>
        </w:rPr>
      </w:pPr>
    </w:p>
    <w:p>
      <w:pPr>
        <w:pStyle w:val="ListParagraph"/>
        <w:numPr>
          <w:ilvl w:val="1"/>
          <w:numId w:val="31"/>
        </w:numPr>
        <w:tabs>
          <w:tab w:pos="849" w:val="left" w:leader="none"/>
          <w:tab w:pos="850" w:val="left" w:leader="none"/>
          <w:tab w:pos="2479" w:val="left" w:leader="none"/>
        </w:tabs>
        <w:spacing w:line="256" w:lineRule="auto" w:before="0" w:after="0"/>
        <w:ind w:left="2479" w:right="219" w:hanging="2369"/>
        <w:jc w:val="left"/>
        <w:rPr>
          <w:sz w:val="21"/>
        </w:rPr>
      </w:pPr>
      <w:r>
        <w:rPr>
          <w:rFonts w:ascii="微软雅黑" w:eastAsia="微软雅黑" w:hint="eastAsia"/>
          <w:b/>
          <w:sz w:val="21"/>
        </w:rPr>
        <w:t>现金价值</w:t>
        <w:tab/>
      </w:r>
      <w:r>
        <w:rPr>
          <w:position w:val="2"/>
          <w:sz w:val="21"/>
        </w:rPr>
        <w:t>一般指保单所具有的价值，通常体现为解除本附加险合同时，由本公司向投保人 </w:t>
      </w:r>
      <w:r>
        <w:rPr>
          <w:sz w:val="21"/>
        </w:rPr>
        <w:t>退还</w:t>
      </w:r>
      <w:r>
        <w:rPr>
          <w:spacing w:val="-3"/>
          <w:sz w:val="21"/>
        </w:rPr>
        <w:t>的</w:t>
      </w:r>
      <w:r>
        <w:rPr>
          <w:sz w:val="21"/>
        </w:rPr>
        <w:t>那</w:t>
      </w:r>
      <w:r>
        <w:rPr>
          <w:spacing w:val="-3"/>
          <w:sz w:val="21"/>
        </w:rPr>
        <w:t>部</w:t>
      </w:r>
      <w:r>
        <w:rPr>
          <w:sz w:val="21"/>
        </w:rPr>
        <w:t>分</w:t>
      </w:r>
      <w:r>
        <w:rPr>
          <w:spacing w:val="-3"/>
          <w:sz w:val="21"/>
        </w:rPr>
        <w:t>金</w:t>
      </w:r>
      <w:r>
        <w:rPr>
          <w:sz w:val="21"/>
        </w:rPr>
        <w:t>额。</w:t>
      </w:r>
    </w:p>
    <w:p>
      <w:pPr>
        <w:pStyle w:val="ListParagraph"/>
        <w:numPr>
          <w:ilvl w:val="1"/>
          <w:numId w:val="31"/>
        </w:numPr>
        <w:tabs>
          <w:tab w:pos="849" w:val="left" w:leader="none"/>
          <w:tab w:pos="850" w:val="left" w:leader="none"/>
          <w:tab w:pos="2479" w:val="left" w:leader="none"/>
        </w:tabs>
        <w:spacing w:line="240" w:lineRule="auto" w:before="178" w:after="0"/>
        <w:ind w:left="2479" w:right="0" w:hanging="2369"/>
        <w:jc w:val="left"/>
        <w:rPr>
          <w:sz w:val="21"/>
        </w:rPr>
      </w:pPr>
      <w:r>
        <w:rPr>
          <w:rFonts w:ascii="微软雅黑" w:eastAsia="微软雅黑" w:hint="eastAsia"/>
          <w:b/>
          <w:sz w:val="21"/>
        </w:rPr>
        <w:t>基本保险金额</w:t>
        <w:tab/>
      </w:r>
      <w:r>
        <w:rPr>
          <w:position w:val="2"/>
          <w:sz w:val="21"/>
        </w:rPr>
        <w:t>指投</w:t>
      </w:r>
      <w:r>
        <w:rPr>
          <w:spacing w:val="-3"/>
          <w:position w:val="2"/>
          <w:sz w:val="21"/>
        </w:rPr>
        <w:t>保</w:t>
      </w:r>
      <w:r>
        <w:rPr>
          <w:position w:val="2"/>
          <w:sz w:val="21"/>
        </w:rPr>
        <w:t>人</w:t>
      </w:r>
      <w:r>
        <w:rPr>
          <w:spacing w:val="-3"/>
          <w:position w:val="2"/>
          <w:sz w:val="21"/>
        </w:rPr>
        <w:t>与</w:t>
      </w:r>
      <w:r>
        <w:rPr>
          <w:position w:val="2"/>
          <w:sz w:val="21"/>
        </w:rPr>
        <w:t>本</w:t>
      </w:r>
      <w:r>
        <w:rPr>
          <w:spacing w:val="-3"/>
          <w:position w:val="2"/>
          <w:sz w:val="21"/>
        </w:rPr>
        <w:t>公</w:t>
      </w:r>
      <w:r>
        <w:rPr>
          <w:position w:val="2"/>
          <w:sz w:val="21"/>
        </w:rPr>
        <w:t>司</w:t>
      </w:r>
      <w:r>
        <w:rPr>
          <w:spacing w:val="-3"/>
          <w:position w:val="2"/>
          <w:sz w:val="21"/>
        </w:rPr>
        <w:t>约</w:t>
      </w:r>
      <w:r>
        <w:rPr>
          <w:position w:val="2"/>
          <w:sz w:val="21"/>
        </w:rPr>
        <w:t>定</w:t>
      </w:r>
      <w:r>
        <w:rPr>
          <w:spacing w:val="-3"/>
          <w:position w:val="2"/>
          <w:sz w:val="21"/>
        </w:rPr>
        <w:t>的</w:t>
      </w:r>
      <w:r>
        <w:rPr>
          <w:position w:val="2"/>
          <w:sz w:val="21"/>
        </w:rPr>
        <w:t>用以</w:t>
      </w:r>
      <w:r>
        <w:rPr>
          <w:spacing w:val="-3"/>
          <w:position w:val="2"/>
          <w:sz w:val="21"/>
        </w:rPr>
        <w:t>计</w:t>
      </w:r>
      <w:r>
        <w:rPr>
          <w:position w:val="2"/>
          <w:sz w:val="21"/>
        </w:rPr>
        <w:t>算</w:t>
      </w:r>
      <w:r>
        <w:rPr>
          <w:spacing w:val="-3"/>
          <w:position w:val="2"/>
          <w:sz w:val="21"/>
        </w:rPr>
        <w:t>保</w:t>
      </w:r>
      <w:r>
        <w:rPr>
          <w:position w:val="2"/>
          <w:sz w:val="21"/>
        </w:rPr>
        <w:t>险</w:t>
      </w:r>
      <w:r>
        <w:rPr>
          <w:spacing w:val="-3"/>
          <w:position w:val="2"/>
          <w:sz w:val="21"/>
        </w:rPr>
        <w:t>金</w:t>
      </w:r>
      <w:r>
        <w:rPr>
          <w:position w:val="2"/>
          <w:sz w:val="21"/>
        </w:rPr>
        <w:t>数</w:t>
      </w:r>
      <w:r>
        <w:rPr>
          <w:spacing w:val="-3"/>
          <w:position w:val="2"/>
          <w:sz w:val="21"/>
        </w:rPr>
        <w:t>额</w:t>
      </w:r>
      <w:r>
        <w:rPr>
          <w:position w:val="2"/>
          <w:sz w:val="21"/>
        </w:rPr>
        <w:t>的</w:t>
      </w:r>
      <w:r>
        <w:rPr>
          <w:spacing w:val="-3"/>
          <w:position w:val="2"/>
          <w:sz w:val="21"/>
        </w:rPr>
        <w:t>基</w:t>
      </w:r>
      <w:r>
        <w:rPr>
          <w:position w:val="2"/>
          <w:sz w:val="21"/>
        </w:rPr>
        <w:t>数。</w:t>
      </w:r>
    </w:p>
    <w:p>
      <w:pPr>
        <w:pStyle w:val="ListParagraph"/>
        <w:numPr>
          <w:ilvl w:val="1"/>
          <w:numId w:val="31"/>
        </w:numPr>
        <w:tabs>
          <w:tab w:pos="849" w:val="left" w:leader="none"/>
          <w:tab w:pos="850" w:val="left" w:leader="none"/>
          <w:tab w:pos="2479" w:val="left" w:leader="none"/>
        </w:tabs>
        <w:spacing w:line="240" w:lineRule="auto" w:before="81" w:after="0"/>
        <w:ind w:left="2479" w:right="0" w:hanging="2369"/>
        <w:jc w:val="left"/>
        <w:rPr>
          <w:sz w:val="21"/>
        </w:rPr>
      </w:pPr>
      <w:r>
        <w:rPr>
          <w:rFonts w:ascii="微软雅黑" w:eastAsia="微软雅黑" w:hint="eastAsia"/>
          <w:b/>
          <w:sz w:val="21"/>
        </w:rPr>
        <w:t>保险事故</w:t>
        <w:tab/>
      </w:r>
      <w:r>
        <w:rPr>
          <w:position w:val="2"/>
          <w:sz w:val="21"/>
        </w:rPr>
        <w:t>指本</w:t>
      </w:r>
      <w:r>
        <w:rPr>
          <w:spacing w:val="-3"/>
          <w:position w:val="2"/>
          <w:sz w:val="21"/>
        </w:rPr>
        <w:t>附</w:t>
      </w:r>
      <w:r>
        <w:rPr>
          <w:position w:val="2"/>
          <w:sz w:val="21"/>
        </w:rPr>
        <w:t>加</w:t>
      </w:r>
      <w:r>
        <w:rPr>
          <w:spacing w:val="-3"/>
          <w:position w:val="2"/>
          <w:sz w:val="21"/>
        </w:rPr>
        <w:t>险</w:t>
      </w:r>
      <w:r>
        <w:rPr>
          <w:position w:val="2"/>
          <w:sz w:val="21"/>
        </w:rPr>
        <w:t>合</w:t>
      </w:r>
      <w:r>
        <w:rPr>
          <w:spacing w:val="-3"/>
          <w:position w:val="2"/>
          <w:sz w:val="21"/>
        </w:rPr>
        <w:t>同</w:t>
      </w:r>
      <w:r>
        <w:rPr>
          <w:position w:val="2"/>
          <w:sz w:val="21"/>
        </w:rPr>
        <w:t>约</w:t>
      </w:r>
      <w:r>
        <w:rPr>
          <w:spacing w:val="-3"/>
          <w:position w:val="2"/>
          <w:sz w:val="21"/>
        </w:rPr>
        <w:t>定</w:t>
      </w:r>
      <w:r>
        <w:rPr>
          <w:position w:val="2"/>
          <w:sz w:val="21"/>
        </w:rPr>
        <w:t>的</w:t>
      </w:r>
      <w:r>
        <w:rPr>
          <w:spacing w:val="-3"/>
          <w:position w:val="2"/>
          <w:sz w:val="21"/>
        </w:rPr>
        <w:t>保</w:t>
      </w:r>
      <w:r>
        <w:rPr>
          <w:position w:val="2"/>
          <w:sz w:val="21"/>
        </w:rPr>
        <w:t>险责</w:t>
      </w:r>
      <w:r>
        <w:rPr>
          <w:spacing w:val="-3"/>
          <w:position w:val="2"/>
          <w:sz w:val="21"/>
        </w:rPr>
        <w:t>任</w:t>
      </w:r>
      <w:r>
        <w:rPr>
          <w:position w:val="2"/>
          <w:sz w:val="21"/>
        </w:rPr>
        <w:t>范</w:t>
      </w:r>
      <w:r>
        <w:rPr>
          <w:spacing w:val="-3"/>
          <w:position w:val="2"/>
          <w:sz w:val="21"/>
        </w:rPr>
        <w:t>围</w:t>
      </w:r>
      <w:r>
        <w:rPr>
          <w:position w:val="2"/>
          <w:sz w:val="21"/>
        </w:rPr>
        <w:t>内</w:t>
      </w:r>
      <w:r>
        <w:rPr>
          <w:spacing w:val="-3"/>
          <w:position w:val="2"/>
          <w:sz w:val="21"/>
        </w:rPr>
        <w:t>的</w:t>
      </w:r>
      <w:r>
        <w:rPr>
          <w:position w:val="2"/>
          <w:sz w:val="21"/>
        </w:rPr>
        <w:t>事</w:t>
      </w:r>
      <w:r>
        <w:rPr>
          <w:spacing w:val="-3"/>
          <w:position w:val="2"/>
          <w:sz w:val="21"/>
        </w:rPr>
        <w:t>故</w:t>
      </w:r>
      <w:r>
        <w:rPr>
          <w:position w:val="2"/>
          <w:sz w:val="21"/>
        </w:rPr>
        <w:t>。</w:t>
      </w:r>
    </w:p>
    <w:p>
      <w:pPr>
        <w:pStyle w:val="ListParagraph"/>
        <w:numPr>
          <w:ilvl w:val="1"/>
          <w:numId w:val="31"/>
        </w:numPr>
        <w:tabs>
          <w:tab w:pos="849" w:val="left" w:leader="none"/>
          <w:tab w:pos="850" w:val="left" w:leader="none"/>
          <w:tab w:pos="2479" w:val="left" w:leader="none"/>
        </w:tabs>
        <w:spacing w:line="240" w:lineRule="auto" w:before="172" w:after="0"/>
        <w:ind w:left="2479" w:right="0" w:hanging="2369"/>
        <w:jc w:val="left"/>
        <w:rPr>
          <w:sz w:val="21"/>
        </w:rPr>
      </w:pPr>
      <w:r>
        <w:rPr>
          <w:rFonts w:ascii="微软雅黑" w:eastAsia="微软雅黑" w:hint="eastAsia"/>
          <w:b/>
          <w:sz w:val="21"/>
        </w:rPr>
        <w:t>不可抗力</w:t>
        <w:tab/>
      </w:r>
      <w:r>
        <w:rPr>
          <w:position w:val="2"/>
          <w:sz w:val="21"/>
        </w:rPr>
        <w:t>指不</w:t>
      </w:r>
      <w:r>
        <w:rPr>
          <w:spacing w:val="-3"/>
          <w:position w:val="2"/>
          <w:sz w:val="21"/>
        </w:rPr>
        <w:t>能</w:t>
      </w:r>
      <w:r>
        <w:rPr>
          <w:position w:val="2"/>
          <w:sz w:val="21"/>
        </w:rPr>
        <w:t>预</w:t>
      </w:r>
      <w:r>
        <w:rPr>
          <w:spacing w:val="-3"/>
          <w:position w:val="2"/>
          <w:sz w:val="21"/>
        </w:rPr>
        <w:t>见</w:t>
      </w:r>
      <w:r>
        <w:rPr>
          <w:position w:val="2"/>
          <w:sz w:val="21"/>
        </w:rPr>
        <w:t>、</w:t>
      </w:r>
      <w:r>
        <w:rPr>
          <w:spacing w:val="-3"/>
          <w:position w:val="2"/>
          <w:sz w:val="21"/>
        </w:rPr>
        <w:t>不</w:t>
      </w:r>
      <w:r>
        <w:rPr>
          <w:position w:val="2"/>
          <w:sz w:val="21"/>
        </w:rPr>
        <w:t>能</w:t>
      </w:r>
      <w:r>
        <w:rPr>
          <w:spacing w:val="-3"/>
          <w:position w:val="2"/>
          <w:sz w:val="21"/>
        </w:rPr>
        <w:t>避</w:t>
      </w:r>
      <w:r>
        <w:rPr>
          <w:position w:val="2"/>
          <w:sz w:val="21"/>
        </w:rPr>
        <w:t>免</w:t>
      </w:r>
      <w:r>
        <w:rPr>
          <w:spacing w:val="-3"/>
          <w:position w:val="2"/>
          <w:sz w:val="21"/>
        </w:rPr>
        <w:t>、</w:t>
      </w:r>
      <w:r>
        <w:rPr>
          <w:position w:val="2"/>
          <w:sz w:val="21"/>
        </w:rPr>
        <w:t>不能</w:t>
      </w:r>
      <w:r>
        <w:rPr>
          <w:spacing w:val="-3"/>
          <w:position w:val="2"/>
          <w:sz w:val="21"/>
        </w:rPr>
        <w:t>克</w:t>
      </w:r>
      <w:r>
        <w:rPr>
          <w:position w:val="2"/>
          <w:sz w:val="21"/>
        </w:rPr>
        <w:t>服</w:t>
      </w:r>
      <w:r>
        <w:rPr>
          <w:spacing w:val="-3"/>
          <w:position w:val="2"/>
          <w:sz w:val="21"/>
        </w:rPr>
        <w:t>的</w:t>
      </w:r>
      <w:r>
        <w:rPr>
          <w:position w:val="2"/>
          <w:sz w:val="21"/>
        </w:rPr>
        <w:t>客</w:t>
      </w:r>
      <w:r>
        <w:rPr>
          <w:spacing w:val="-3"/>
          <w:position w:val="2"/>
          <w:sz w:val="21"/>
        </w:rPr>
        <w:t>观</w:t>
      </w:r>
      <w:r>
        <w:rPr>
          <w:position w:val="2"/>
          <w:sz w:val="21"/>
        </w:rPr>
        <w:t>情</w:t>
      </w:r>
      <w:r>
        <w:rPr>
          <w:spacing w:val="-3"/>
          <w:position w:val="2"/>
          <w:sz w:val="21"/>
        </w:rPr>
        <w:t>况</w:t>
      </w:r>
      <w:r>
        <w:rPr>
          <w:position w:val="2"/>
          <w:sz w:val="21"/>
        </w:rPr>
        <w:t>。</w:t>
      </w:r>
    </w:p>
    <w:p>
      <w:pPr>
        <w:pStyle w:val="ListParagraph"/>
        <w:numPr>
          <w:ilvl w:val="1"/>
          <w:numId w:val="31"/>
        </w:numPr>
        <w:tabs>
          <w:tab w:pos="849" w:val="left" w:leader="none"/>
          <w:tab w:pos="850" w:val="left" w:leader="none"/>
          <w:tab w:pos="2479" w:val="left" w:leader="none"/>
        </w:tabs>
        <w:spacing w:line="256" w:lineRule="auto" w:before="172" w:after="0"/>
        <w:ind w:left="2479" w:right="219" w:hanging="2369"/>
        <w:jc w:val="left"/>
        <w:rPr>
          <w:sz w:val="21"/>
        </w:rPr>
      </w:pPr>
      <w:r>
        <w:rPr>
          <w:rFonts w:ascii="微软雅黑" w:eastAsia="微软雅黑" w:hint="eastAsia"/>
          <w:b/>
          <w:sz w:val="21"/>
        </w:rPr>
        <w:t>法定身份证明</w:t>
        <w:tab/>
      </w:r>
      <w:r>
        <w:rPr>
          <w:position w:val="2"/>
          <w:sz w:val="21"/>
        </w:rPr>
        <w:t>指依据法律规定，由有权机构制作颁发的证明身份的证件、文件等，如：居民身 </w:t>
      </w:r>
      <w:r>
        <w:rPr>
          <w:sz w:val="21"/>
        </w:rPr>
        <w:t>份证</w:t>
      </w:r>
      <w:r>
        <w:rPr>
          <w:spacing w:val="-3"/>
          <w:sz w:val="21"/>
        </w:rPr>
        <w:t>、</w:t>
      </w:r>
      <w:r>
        <w:rPr>
          <w:sz w:val="21"/>
        </w:rPr>
        <w:t>户</w:t>
      </w:r>
      <w:r>
        <w:rPr>
          <w:spacing w:val="-3"/>
          <w:sz w:val="21"/>
        </w:rPr>
        <w:t>口</w:t>
      </w:r>
      <w:r>
        <w:rPr>
          <w:sz w:val="21"/>
        </w:rPr>
        <w:t>簿</w:t>
      </w:r>
      <w:r>
        <w:rPr>
          <w:spacing w:val="-3"/>
          <w:sz w:val="21"/>
        </w:rPr>
        <w:t>、</w:t>
      </w:r>
      <w:r>
        <w:rPr>
          <w:sz w:val="21"/>
        </w:rPr>
        <w:t>护</w:t>
      </w:r>
      <w:r>
        <w:rPr>
          <w:spacing w:val="-3"/>
          <w:sz w:val="21"/>
        </w:rPr>
        <w:t>照</w:t>
      </w:r>
      <w:r>
        <w:rPr>
          <w:sz w:val="21"/>
        </w:rPr>
        <w:t>、</w:t>
      </w:r>
      <w:r>
        <w:rPr>
          <w:spacing w:val="-3"/>
          <w:sz w:val="21"/>
        </w:rPr>
        <w:t>军</w:t>
      </w:r>
      <w:r>
        <w:rPr>
          <w:sz w:val="21"/>
        </w:rPr>
        <w:t>人证</w:t>
      </w:r>
      <w:r>
        <w:rPr>
          <w:spacing w:val="-3"/>
          <w:sz w:val="21"/>
        </w:rPr>
        <w:t>等</w:t>
      </w:r>
      <w:r>
        <w:rPr>
          <w:sz w:val="21"/>
        </w:rPr>
        <w:t>。</w:t>
      </w:r>
    </w:p>
    <w:p>
      <w:pPr>
        <w:pStyle w:val="ListParagraph"/>
        <w:numPr>
          <w:ilvl w:val="1"/>
          <w:numId w:val="31"/>
        </w:numPr>
        <w:tabs>
          <w:tab w:pos="849" w:val="left" w:leader="none"/>
          <w:tab w:pos="850" w:val="left" w:leader="none"/>
          <w:tab w:pos="2479" w:val="left" w:leader="none"/>
        </w:tabs>
        <w:spacing w:line="256" w:lineRule="auto" w:before="128" w:after="0"/>
        <w:ind w:left="2479" w:right="219" w:hanging="2369"/>
        <w:jc w:val="left"/>
        <w:rPr>
          <w:sz w:val="21"/>
        </w:rPr>
      </w:pPr>
      <w:r>
        <w:rPr>
          <w:rFonts w:ascii="微软雅黑" w:eastAsia="微软雅黑" w:hint="eastAsia"/>
          <w:b/>
          <w:sz w:val="21"/>
        </w:rPr>
        <w:t>约定利率</w:t>
        <w:tab/>
      </w:r>
      <w:r>
        <w:rPr>
          <w:position w:val="2"/>
          <w:sz w:val="21"/>
        </w:rPr>
        <w:t>本附</w:t>
      </w:r>
      <w:r>
        <w:rPr>
          <w:spacing w:val="-3"/>
          <w:position w:val="2"/>
          <w:sz w:val="21"/>
        </w:rPr>
        <w:t>加</w:t>
      </w:r>
      <w:r>
        <w:rPr>
          <w:position w:val="2"/>
          <w:sz w:val="21"/>
        </w:rPr>
        <w:t>险</w:t>
      </w:r>
      <w:r>
        <w:rPr>
          <w:spacing w:val="-3"/>
          <w:position w:val="2"/>
          <w:sz w:val="21"/>
        </w:rPr>
        <w:t>合</w:t>
      </w:r>
      <w:r>
        <w:rPr>
          <w:position w:val="2"/>
          <w:sz w:val="21"/>
        </w:rPr>
        <w:t>同</w:t>
      </w:r>
      <w:r>
        <w:rPr>
          <w:spacing w:val="-3"/>
          <w:position w:val="2"/>
          <w:sz w:val="21"/>
        </w:rPr>
        <w:t>所</w:t>
      </w:r>
      <w:r>
        <w:rPr>
          <w:position w:val="2"/>
          <w:sz w:val="21"/>
        </w:rPr>
        <w:t>列</w:t>
      </w:r>
      <w:r>
        <w:rPr>
          <w:spacing w:val="-3"/>
          <w:position w:val="2"/>
          <w:sz w:val="21"/>
        </w:rPr>
        <w:t>明</w:t>
      </w:r>
      <w:r>
        <w:rPr>
          <w:position w:val="2"/>
          <w:sz w:val="21"/>
        </w:rPr>
        <w:t>的</w:t>
      </w:r>
      <w:r>
        <w:rPr>
          <w:spacing w:val="-3"/>
          <w:position w:val="2"/>
          <w:sz w:val="21"/>
        </w:rPr>
        <w:t>利</w:t>
      </w:r>
      <w:r>
        <w:rPr>
          <w:position w:val="2"/>
          <w:sz w:val="21"/>
        </w:rPr>
        <w:t>息按</w:t>
      </w:r>
      <w:r>
        <w:rPr>
          <w:spacing w:val="-3"/>
          <w:position w:val="2"/>
          <w:sz w:val="21"/>
        </w:rPr>
        <w:t>本</w:t>
      </w:r>
      <w:r>
        <w:rPr>
          <w:position w:val="2"/>
          <w:sz w:val="21"/>
        </w:rPr>
        <w:t>公</w:t>
      </w:r>
      <w:r>
        <w:rPr>
          <w:spacing w:val="-3"/>
          <w:position w:val="2"/>
          <w:sz w:val="21"/>
        </w:rPr>
        <w:t>司</w:t>
      </w:r>
      <w:r>
        <w:rPr>
          <w:position w:val="2"/>
          <w:sz w:val="21"/>
        </w:rPr>
        <w:t>每</w:t>
      </w:r>
      <w:r>
        <w:rPr>
          <w:spacing w:val="-3"/>
          <w:position w:val="2"/>
          <w:sz w:val="21"/>
        </w:rPr>
        <w:t>年</w:t>
      </w:r>
      <w:r>
        <w:rPr>
          <w:position w:val="2"/>
          <w:sz w:val="21"/>
        </w:rPr>
        <w:t>参照</w:t>
      </w:r>
      <w:r>
        <w:rPr>
          <w:spacing w:val="-15"/>
          <w:position w:val="2"/>
          <w:sz w:val="21"/>
        </w:rPr>
        <w:t> </w:t>
      </w:r>
      <w:r>
        <w:rPr>
          <w:position w:val="2"/>
          <w:sz w:val="21"/>
        </w:rPr>
        <w:t>1</w:t>
      </w:r>
      <w:r>
        <w:rPr>
          <w:spacing w:val="-13"/>
          <w:position w:val="2"/>
          <w:sz w:val="21"/>
        </w:rPr>
        <w:t> </w:t>
      </w:r>
      <w:r>
        <w:rPr>
          <w:spacing w:val="-3"/>
          <w:position w:val="2"/>
          <w:sz w:val="21"/>
        </w:rPr>
        <w:t>年</w:t>
      </w:r>
      <w:r>
        <w:rPr>
          <w:position w:val="2"/>
          <w:sz w:val="21"/>
        </w:rPr>
        <w:t>期流</w:t>
      </w:r>
      <w:r>
        <w:rPr>
          <w:spacing w:val="-3"/>
          <w:position w:val="2"/>
          <w:sz w:val="21"/>
        </w:rPr>
        <w:t>动</w:t>
      </w:r>
      <w:r>
        <w:rPr>
          <w:position w:val="2"/>
          <w:sz w:val="21"/>
        </w:rPr>
        <w:t>资</w:t>
      </w:r>
      <w:r>
        <w:rPr>
          <w:spacing w:val="-3"/>
          <w:position w:val="2"/>
          <w:sz w:val="21"/>
        </w:rPr>
        <w:t>金</w:t>
      </w:r>
      <w:r>
        <w:rPr>
          <w:position w:val="2"/>
          <w:sz w:val="21"/>
        </w:rPr>
        <w:t>贷</w:t>
      </w:r>
      <w:r>
        <w:rPr>
          <w:spacing w:val="-3"/>
          <w:position w:val="2"/>
          <w:sz w:val="21"/>
        </w:rPr>
        <w:t>款</w:t>
      </w:r>
      <w:r>
        <w:rPr>
          <w:position w:val="2"/>
          <w:sz w:val="21"/>
        </w:rPr>
        <w:t>法</w:t>
      </w:r>
      <w:r>
        <w:rPr>
          <w:spacing w:val="-3"/>
          <w:position w:val="2"/>
          <w:sz w:val="21"/>
        </w:rPr>
        <w:t>定</w:t>
      </w:r>
      <w:r>
        <w:rPr>
          <w:position w:val="2"/>
          <w:sz w:val="21"/>
        </w:rPr>
        <w:t>利</w:t>
      </w:r>
      <w:r>
        <w:rPr>
          <w:spacing w:val="-3"/>
          <w:position w:val="2"/>
          <w:sz w:val="21"/>
        </w:rPr>
        <w:t>率</w:t>
      </w:r>
      <w:r>
        <w:rPr>
          <w:position w:val="2"/>
          <w:sz w:val="21"/>
        </w:rPr>
        <w:t>作相</w:t>
      </w:r>
      <w:r>
        <w:rPr>
          <w:sz w:val="21"/>
        </w:rPr>
        <w:t>应浮</w:t>
      </w:r>
      <w:r>
        <w:rPr>
          <w:spacing w:val="-3"/>
          <w:sz w:val="21"/>
        </w:rPr>
        <w:t>动</w:t>
      </w:r>
      <w:r>
        <w:rPr>
          <w:sz w:val="21"/>
        </w:rPr>
        <w:t>后</w:t>
      </w:r>
      <w:r>
        <w:rPr>
          <w:spacing w:val="-3"/>
          <w:sz w:val="21"/>
        </w:rPr>
        <w:t>宣</w:t>
      </w:r>
      <w:r>
        <w:rPr>
          <w:sz w:val="21"/>
        </w:rPr>
        <w:t>布</w:t>
      </w:r>
      <w:r>
        <w:rPr>
          <w:spacing w:val="-3"/>
          <w:sz w:val="21"/>
        </w:rPr>
        <w:t>的</w:t>
      </w:r>
      <w:r>
        <w:rPr>
          <w:sz w:val="21"/>
        </w:rPr>
        <w:t>利</w:t>
      </w:r>
      <w:r>
        <w:rPr>
          <w:spacing w:val="-3"/>
          <w:sz w:val="21"/>
        </w:rPr>
        <w:t>率</w:t>
      </w:r>
      <w:r>
        <w:rPr>
          <w:sz w:val="21"/>
        </w:rPr>
        <w:t>计</w:t>
      </w:r>
      <w:r>
        <w:rPr>
          <w:spacing w:val="-3"/>
          <w:sz w:val="21"/>
        </w:rPr>
        <w:t>算</w:t>
      </w:r>
      <w:r>
        <w:rPr>
          <w:sz w:val="21"/>
        </w:rPr>
        <w:t>。</w:t>
      </w:r>
    </w:p>
    <w:sectPr>
      <w:type w:val="continuous"/>
      <w:pgSz w:w="11900" w:h="16840"/>
      <w:pgMar w:top="1380" w:bottom="280" w:left="9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3.319885pt;margin-top:807.939819pt;width:8.5pt;height:12pt;mso-position-horizontal-relative:page;mso-position-vertical-relative:page;z-index:-37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039886pt;margin-top:807.939819pt;width:13.1pt;height:12pt;mso-position-horizontal-relative:page;mso-position-vertical-relative:page;z-index:-36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0"/>
      <w:numFmt w:val="decimal"/>
      <w:lvlText w:val="%1"/>
      <w:lvlJc w:val="left"/>
      <w:pPr>
        <w:ind w:left="849" w:hanging="740"/>
        <w:jc w:val="left"/>
      </w:pPr>
      <w:rPr>
        <w:rFonts w:hint="default"/>
      </w:rPr>
    </w:lvl>
    <w:lvl w:ilvl="1">
      <w:start w:val="12"/>
      <w:numFmt w:val="decimal"/>
      <w:lvlText w:val="%1.%2"/>
      <w:lvlJc w:val="left"/>
      <w:pPr>
        <w:ind w:left="2479" w:hanging="740"/>
        <w:jc w:val="left"/>
      </w:pPr>
      <w:rPr>
        <w:rFonts w:hint="default" w:ascii="微软雅黑" w:hAnsi="微软雅黑" w:eastAsia="微软雅黑" w:cs="微软雅黑"/>
        <w:b/>
        <w:bCs/>
        <w:w w:val="81"/>
        <w:sz w:val="21"/>
        <w:szCs w:val="21"/>
      </w:rPr>
    </w:lvl>
    <w:lvl w:ilvl="2">
      <w:start w:val="1"/>
      <w:numFmt w:val="decimal"/>
      <w:lvlText w:val="（%3）"/>
      <w:lvlJc w:val="left"/>
      <w:pPr>
        <w:ind w:left="3045" w:hanging="567"/>
        <w:jc w:val="left"/>
      </w:pPr>
      <w:rPr>
        <w:rFonts w:hint="default" w:ascii="宋体" w:hAnsi="宋体" w:eastAsia="宋体" w:cs="宋体"/>
        <w:w w:val="100"/>
        <w:sz w:val="21"/>
        <w:szCs w:val="21"/>
      </w:rPr>
    </w:lvl>
    <w:lvl w:ilvl="3">
      <w:start w:val="0"/>
      <w:numFmt w:val="bullet"/>
      <w:lvlText w:val="•"/>
      <w:lvlJc w:val="left"/>
      <w:pPr>
        <w:ind w:left="3922" w:hanging="567"/>
      </w:pPr>
      <w:rPr>
        <w:rFonts w:hint="default"/>
      </w:rPr>
    </w:lvl>
    <w:lvl w:ilvl="4">
      <w:start w:val="0"/>
      <w:numFmt w:val="bullet"/>
      <w:lvlText w:val="•"/>
      <w:lvlJc w:val="left"/>
      <w:pPr>
        <w:ind w:left="4805" w:hanging="567"/>
      </w:pPr>
      <w:rPr>
        <w:rFonts w:hint="default"/>
      </w:rPr>
    </w:lvl>
    <w:lvl w:ilvl="5">
      <w:start w:val="0"/>
      <w:numFmt w:val="bullet"/>
      <w:lvlText w:val="•"/>
      <w:lvlJc w:val="left"/>
      <w:pPr>
        <w:ind w:left="5687" w:hanging="567"/>
      </w:pPr>
      <w:rPr>
        <w:rFonts w:hint="default"/>
      </w:rPr>
    </w:lvl>
    <w:lvl w:ilvl="6">
      <w:start w:val="0"/>
      <w:numFmt w:val="bullet"/>
      <w:lvlText w:val="•"/>
      <w:lvlJc w:val="left"/>
      <w:pPr>
        <w:ind w:left="6570" w:hanging="567"/>
      </w:pPr>
      <w:rPr>
        <w:rFonts w:hint="default"/>
      </w:rPr>
    </w:lvl>
    <w:lvl w:ilvl="7">
      <w:start w:val="0"/>
      <w:numFmt w:val="bullet"/>
      <w:lvlText w:val="•"/>
      <w:lvlJc w:val="left"/>
      <w:pPr>
        <w:ind w:left="7452" w:hanging="567"/>
      </w:pPr>
      <w:rPr>
        <w:rFonts w:hint="default"/>
      </w:rPr>
    </w:lvl>
    <w:lvl w:ilvl="8">
      <w:start w:val="0"/>
      <w:numFmt w:val="bullet"/>
      <w:lvlText w:val="•"/>
      <w:lvlJc w:val="left"/>
      <w:pPr>
        <w:ind w:left="8335" w:hanging="567"/>
      </w:pPr>
      <w:rPr>
        <w:rFonts w:hint="default"/>
      </w:rPr>
    </w:lvl>
  </w:abstractNum>
  <w:abstractNum w:abstractNumId="29">
    <w:multiLevelType w:val="hybridMultilevel"/>
    <w:lvl w:ilvl="0">
      <w:start w:val="1"/>
      <w:numFmt w:val="decimal"/>
      <w:lvlText w:val="（%1）"/>
      <w:lvlJc w:val="left"/>
      <w:pPr>
        <w:ind w:left="747" w:hanging="567"/>
        <w:jc w:val="left"/>
      </w:pPr>
      <w:rPr>
        <w:rFonts w:hint="default" w:ascii="宋体" w:hAnsi="宋体" w:eastAsia="宋体" w:cs="宋体"/>
        <w:w w:val="100"/>
        <w:sz w:val="21"/>
        <w:szCs w:val="21"/>
      </w:rPr>
    </w:lvl>
    <w:lvl w:ilvl="1">
      <w:start w:val="0"/>
      <w:numFmt w:val="bullet"/>
      <w:lvlText w:val="•"/>
      <w:lvlJc w:val="left"/>
      <w:pPr>
        <w:ind w:left="1439" w:hanging="567"/>
      </w:pPr>
      <w:rPr>
        <w:rFonts w:hint="default"/>
      </w:rPr>
    </w:lvl>
    <w:lvl w:ilvl="2">
      <w:start w:val="0"/>
      <w:numFmt w:val="bullet"/>
      <w:lvlText w:val="•"/>
      <w:lvlJc w:val="left"/>
      <w:pPr>
        <w:ind w:left="2138" w:hanging="567"/>
      </w:pPr>
      <w:rPr>
        <w:rFonts w:hint="default"/>
      </w:rPr>
    </w:lvl>
    <w:lvl w:ilvl="3">
      <w:start w:val="0"/>
      <w:numFmt w:val="bullet"/>
      <w:lvlText w:val="•"/>
      <w:lvlJc w:val="left"/>
      <w:pPr>
        <w:ind w:left="2838" w:hanging="567"/>
      </w:pPr>
      <w:rPr>
        <w:rFonts w:hint="default"/>
      </w:rPr>
    </w:lvl>
    <w:lvl w:ilvl="4">
      <w:start w:val="0"/>
      <w:numFmt w:val="bullet"/>
      <w:lvlText w:val="•"/>
      <w:lvlJc w:val="left"/>
      <w:pPr>
        <w:ind w:left="3537" w:hanging="567"/>
      </w:pPr>
      <w:rPr>
        <w:rFonts w:hint="default"/>
      </w:rPr>
    </w:lvl>
    <w:lvl w:ilvl="5">
      <w:start w:val="0"/>
      <w:numFmt w:val="bullet"/>
      <w:lvlText w:val="•"/>
      <w:lvlJc w:val="left"/>
      <w:pPr>
        <w:ind w:left="4237" w:hanging="567"/>
      </w:pPr>
      <w:rPr>
        <w:rFonts w:hint="default"/>
      </w:rPr>
    </w:lvl>
    <w:lvl w:ilvl="6">
      <w:start w:val="0"/>
      <w:numFmt w:val="bullet"/>
      <w:lvlText w:val="•"/>
      <w:lvlJc w:val="left"/>
      <w:pPr>
        <w:ind w:left="4936"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35" w:hanging="567"/>
      </w:pPr>
      <w:rPr>
        <w:rFonts w:hint="default"/>
      </w:rPr>
    </w:lvl>
  </w:abstractNum>
  <w:abstractNum w:abstractNumId="28">
    <w:multiLevelType w:val="hybridMultilevel"/>
    <w:lvl w:ilvl="0">
      <w:start w:val="1"/>
      <w:numFmt w:val="decimal"/>
      <w:lvlText w:val="（%1）"/>
      <w:lvlJc w:val="left"/>
      <w:pPr>
        <w:ind w:left="129" w:hanging="567"/>
        <w:jc w:val="left"/>
      </w:pPr>
      <w:rPr>
        <w:rFonts w:hint="default" w:ascii="宋体" w:hAnsi="宋体" w:eastAsia="宋体" w:cs="宋体"/>
        <w:w w:val="100"/>
        <w:sz w:val="21"/>
        <w:szCs w:val="21"/>
      </w:rPr>
    </w:lvl>
    <w:lvl w:ilvl="1">
      <w:start w:val="3"/>
      <w:numFmt w:val="decimal"/>
      <w:lvlText w:val="（%2）"/>
      <w:lvlJc w:val="left"/>
      <w:pPr>
        <w:ind w:left="3045" w:hanging="567"/>
        <w:jc w:val="left"/>
      </w:pPr>
      <w:rPr>
        <w:rFonts w:hint="default" w:ascii="宋体" w:hAnsi="宋体" w:eastAsia="宋体" w:cs="宋体"/>
        <w:w w:val="100"/>
        <w:sz w:val="21"/>
        <w:szCs w:val="21"/>
      </w:rPr>
    </w:lvl>
    <w:lvl w:ilvl="2">
      <w:start w:val="0"/>
      <w:numFmt w:val="bullet"/>
      <w:lvlText w:val="•"/>
      <w:lvlJc w:val="left"/>
      <w:pPr>
        <w:ind w:left="3563" w:hanging="567"/>
      </w:pPr>
      <w:rPr>
        <w:rFonts w:hint="default"/>
      </w:rPr>
    </w:lvl>
    <w:lvl w:ilvl="3">
      <w:start w:val="0"/>
      <w:numFmt w:val="bullet"/>
      <w:lvlText w:val="•"/>
      <w:lvlJc w:val="left"/>
      <w:pPr>
        <w:ind w:left="4086" w:hanging="567"/>
      </w:pPr>
      <w:rPr>
        <w:rFonts w:hint="default"/>
      </w:rPr>
    </w:lvl>
    <w:lvl w:ilvl="4">
      <w:start w:val="0"/>
      <w:numFmt w:val="bullet"/>
      <w:lvlText w:val="•"/>
      <w:lvlJc w:val="left"/>
      <w:pPr>
        <w:ind w:left="461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5656" w:hanging="567"/>
      </w:pPr>
      <w:rPr>
        <w:rFonts w:hint="default"/>
      </w:rPr>
    </w:lvl>
    <w:lvl w:ilvl="7">
      <w:start w:val="0"/>
      <w:numFmt w:val="bullet"/>
      <w:lvlText w:val="•"/>
      <w:lvlJc w:val="left"/>
      <w:pPr>
        <w:ind w:left="6180" w:hanging="567"/>
      </w:pPr>
      <w:rPr>
        <w:rFonts w:hint="default"/>
      </w:rPr>
    </w:lvl>
    <w:lvl w:ilvl="8">
      <w:start w:val="0"/>
      <w:numFmt w:val="bullet"/>
      <w:lvlText w:val="•"/>
      <w:lvlJc w:val="left"/>
      <w:pPr>
        <w:ind w:left="6703" w:hanging="567"/>
      </w:pPr>
      <w:rPr>
        <w:rFonts w:hint="default"/>
      </w:rPr>
    </w:lvl>
  </w:abstractNum>
  <w:abstractNum w:abstractNumId="27">
    <w:multiLevelType w:val="hybridMultilevel"/>
    <w:lvl w:ilvl="0">
      <w:start w:val="1"/>
      <w:numFmt w:val="decimal"/>
      <w:lvlText w:val="（%1）"/>
      <w:lvlJc w:val="left"/>
      <w:pPr>
        <w:ind w:left="2325" w:hanging="567"/>
        <w:jc w:val="left"/>
      </w:pPr>
      <w:rPr>
        <w:rFonts w:hint="default" w:ascii="宋体" w:hAnsi="宋体" w:eastAsia="宋体" w:cs="宋体"/>
        <w:w w:val="100"/>
        <w:sz w:val="21"/>
        <w:szCs w:val="21"/>
      </w:rPr>
    </w:lvl>
    <w:lvl w:ilvl="1">
      <w:start w:val="0"/>
      <w:numFmt w:val="bullet"/>
      <w:lvlText w:val="•"/>
      <w:lvlJc w:val="left"/>
      <w:pPr>
        <w:ind w:left="3026" w:hanging="567"/>
      </w:pPr>
      <w:rPr>
        <w:rFonts w:hint="default"/>
      </w:rPr>
    </w:lvl>
    <w:lvl w:ilvl="2">
      <w:start w:val="0"/>
      <w:numFmt w:val="bullet"/>
      <w:lvlText w:val="•"/>
      <w:lvlJc w:val="left"/>
      <w:pPr>
        <w:ind w:left="3732" w:hanging="567"/>
      </w:pPr>
      <w:rPr>
        <w:rFonts w:hint="default"/>
      </w:rPr>
    </w:lvl>
    <w:lvl w:ilvl="3">
      <w:start w:val="0"/>
      <w:numFmt w:val="bullet"/>
      <w:lvlText w:val="•"/>
      <w:lvlJc w:val="left"/>
      <w:pPr>
        <w:ind w:left="4438" w:hanging="567"/>
      </w:pPr>
      <w:rPr>
        <w:rFonts w:hint="default"/>
      </w:rPr>
    </w:lvl>
    <w:lvl w:ilvl="4">
      <w:start w:val="0"/>
      <w:numFmt w:val="bullet"/>
      <w:lvlText w:val="•"/>
      <w:lvlJc w:val="left"/>
      <w:pPr>
        <w:ind w:left="5144" w:hanging="567"/>
      </w:pPr>
      <w:rPr>
        <w:rFonts w:hint="default"/>
      </w:rPr>
    </w:lvl>
    <w:lvl w:ilvl="5">
      <w:start w:val="0"/>
      <w:numFmt w:val="bullet"/>
      <w:lvlText w:val="•"/>
      <w:lvlJc w:val="left"/>
      <w:pPr>
        <w:ind w:left="5850" w:hanging="567"/>
      </w:pPr>
      <w:rPr>
        <w:rFonts w:hint="default"/>
      </w:rPr>
    </w:lvl>
    <w:lvl w:ilvl="6">
      <w:start w:val="0"/>
      <w:numFmt w:val="bullet"/>
      <w:lvlText w:val="•"/>
      <w:lvlJc w:val="left"/>
      <w:pPr>
        <w:ind w:left="6556" w:hanging="567"/>
      </w:pPr>
      <w:rPr>
        <w:rFonts w:hint="default"/>
      </w:rPr>
    </w:lvl>
    <w:lvl w:ilvl="7">
      <w:start w:val="0"/>
      <w:numFmt w:val="bullet"/>
      <w:lvlText w:val="•"/>
      <w:lvlJc w:val="left"/>
      <w:pPr>
        <w:ind w:left="7262" w:hanging="567"/>
      </w:pPr>
      <w:rPr>
        <w:rFonts w:hint="default"/>
      </w:rPr>
    </w:lvl>
    <w:lvl w:ilvl="8">
      <w:start w:val="0"/>
      <w:numFmt w:val="bullet"/>
      <w:lvlText w:val="•"/>
      <w:lvlJc w:val="left"/>
      <w:pPr>
        <w:ind w:left="7968" w:hanging="567"/>
      </w:pPr>
      <w:rPr>
        <w:rFonts w:hint="default"/>
      </w:rPr>
    </w:lvl>
  </w:abstractNum>
  <w:abstractNum w:abstractNumId="26">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393" w:hanging="567"/>
      </w:pPr>
      <w:rPr>
        <w:rFonts w:hint="default"/>
      </w:rPr>
    </w:lvl>
    <w:lvl w:ilvl="2">
      <w:start w:val="0"/>
      <w:numFmt w:val="bullet"/>
      <w:lvlText w:val="•"/>
      <w:lvlJc w:val="left"/>
      <w:pPr>
        <w:ind w:left="2086" w:hanging="567"/>
      </w:pPr>
      <w:rPr>
        <w:rFonts w:hint="default"/>
      </w:rPr>
    </w:lvl>
    <w:lvl w:ilvl="3">
      <w:start w:val="0"/>
      <w:numFmt w:val="bullet"/>
      <w:lvlText w:val="•"/>
      <w:lvlJc w:val="left"/>
      <w:pPr>
        <w:ind w:left="2779" w:hanging="567"/>
      </w:pPr>
      <w:rPr>
        <w:rFonts w:hint="default"/>
      </w:rPr>
    </w:lvl>
    <w:lvl w:ilvl="4">
      <w:start w:val="0"/>
      <w:numFmt w:val="bullet"/>
      <w:lvlText w:val="•"/>
      <w:lvlJc w:val="left"/>
      <w:pPr>
        <w:ind w:left="3472" w:hanging="567"/>
      </w:pPr>
      <w:rPr>
        <w:rFonts w:hint="default"/>
      </w:rPr>
    </w:lvl>
    <w:lvl w:ilvl="5">
      <w:start w:val="0"/>
      <w:numFmt w:val="bullet"/>
      <w:lvlText w:val="•"/>
      <w:lvlJc w:val="left"/>
      <w:pPr>
        <w:ind w:left="4165" w:hanging="567"/>
      </w:pPr>
      <w:rPr>
        <w:rFonts w:hint="default"/>
      </w:rPr>
    </w:lvl>
    <w:lvl w:ilvl="6">
      <w:start w:val="0"/>
      <w:numFmt w:val="bullet"/>
      <w:lvlText w:val="•"/>
      <w:lvlJc w:val="left"/>
      <w:pPr>
        <w:ind w:left="4858" w:hanging="567"/>
      </w:pPr>
      <w:rPr>
        <w:rFonts w:hint="default"/>
      </w:rPr>
    </w:lvl>
    <w:lvl w:ilvl="7">
      <w:start w:val="0"/>
      <w:numFmt w:val="bullet"/>
      <w:lvlText w:val="•"/>
      <w:lvlJc w:val="left"/>
      <w:pPr>
        <w:ind w:left="5551" w:hanging="567"/>
      </w:pPr>
      <w:rPr>
        <w:rFonts w:hint="default"/>
      </w:rPr>
    </w:lvl>
    <w:lvl w:ilvl="8">
      <w:start w:val="0"/>
      <w:numFmt w:val="bullet"/>
      <w:lvlText w:val="•"/>
      <w:lvlJc w:val="left"/>
      <w:pPr>
        <w:ind w:left="6244" w:hanging="567"/>
      </w:pPr>
      <w:rPr>
        <w:rFonts w:hint="default"/>
      </w:rPr>
    </w:lvl>
  </w:abstractNum>
  <w:abstractNum w:abstractNumId="25">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393" w:hanging="567"/>
      </w:pPr>
      <w:rPr>
        <w:rFonts w:hint="default"/>
      </w:rPr>
    </w:lvl>
    <w:lvl w:ilvl="2">
      <w:start w:val="0"/>
      <w:numFmt w:val="bullet"/>
      <w:lvlText w:val="•"/>
      <w:lvlJc w:val="left"/>
      <w:pPr>
        <w:ind w:left="2086" w:hanging="567"/>
      </w:pPr>
      <w:rPr>
        <w:rFonts w:hint="default"/>
      </w:rPr>
    </w:lvl>
    <w:lvl w:ilvl="3">
      <w:start w:val="0"/>
      <w:numFmt w:val="bullet"/>
      <w:lvlText w:val="•"/>
      <w:lvlJc w:val="left"/>
      <w:pPr>
        <w:ind w:left="2779" w:hanging="567"/>
      </w:pPr>
      <w:rPr>
        <w:rFonts w:hint="default"/>
      </w:rPr>
    </w:lvl>
    <w:lvl w:ilvl="4">
      <w:start w:val="0"/>
      <w:numFmt w:val="bullet"/>
      <w:lvlText w:val="•"/>
      <w:lvlJc w:val="left"/>
      <w:pPr>
        <w:ind w:left="3472" w:hanging="567"/>
      </w:pPr>
      <w:rPr>
        <w:rFonts w:hint="default"/>
      </w:rPr>
    </w:lvl>
    <w:lvl w:ilvl="5">
      <w:start w:val="0"/>
      <w:numFmt w:val="bullet"/>
      <w:lvlText w:val="•"/>
      <w:lvlJc w:val="left"/>
      <w:pPr>
        <w:ind w:left="4165" w:hanging="567"/>
      </w:pPr>
      <w:rPr>
        <w:rFonts w:hint="default"/>
      </w:rPr>
    </w:lvl>
    <w:lvl w:ilvl="6">
      <w:start w:val="0"/>
      <w:numFmt w:val="bullet"/>
      <w:lvlText w:val="•"/>
      <w:lvlJc w:val="left"/>
      <w:pPr>
        <w:ind w:left="4858" w:hanging="567"/>
      </w:pPr>
      <w:rPr>
        <w:rFonts w:hint="default"/>
      </w:rPr>
    </w:lvl>
    <w:lvl w:ilvl="7">
      <w:start w:val="0"/>
      <w:numFmt w:val="bullet"/>
      <w:lvlText w:val="•"/>
      <w:lvlJc w:val="left"/>
      <w:pPr>
        <w:ind w:left="5551" w:hanging="567"/>
      </w:pPr>
      <w:rPr>
        <w:rFonts w:hint="default"/>
      </w:rPr>
    </w:lvl>
    <w:lvl w:ilvl="8">
      <w:start w:val="0"/>
      <w:numFmt w:val="bullet"/>
      <w:lvlText w:val="•"/>
      <w:lvlJc w:val="left"/>
      <w:pPr>
        <w:ind w:left="6244" w:hanging="567"/>
      </w:pPr>
      <w:rPr>
        <w:rFonts w:hint="default"/>
      </w:rPr>
    </w:lvl>
  </w:abstractNum>
  <w:abstractNum w:abstractNumId="24">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23">
    <w:multiLevelType w:val="hybridMultilevel"/>
    <w:lvl w:ilvl="0">
      <w:start w:val="1"/>
      <w:numFmt w:val="decimal"/>
      <w:lvlText w:val="%1."/>
      <w:lvlJc w:val="left"/>
      <w:pPr>
        <w:ind w:left="388" w:hanging="260"/>
        <w:jc w:val="left"/>
      </w:pPr>
      <w:rPr>
        <w:rFonts w:hint="default" w:ascii="微软雅黑" w:hAnsi="微软雅黑" w:eastAsia="微软雅黑" w:cs="微软雅黑"/>
        <w:b/>
        <w:bCs/>
        <w:w w:val="81"/>
        <w:sz w:val="21"/>
        <w:szCs w:val="21"/>
      </w:rPr>
    </w:lvl>
    <w:lvl w:ilvl="1">
      <w:start w:val="1"/>
      <w:numFmt w:val="decimal"/>
      <w:lvlText w:val="（%2）"/>
      <w:lvlJc w:val="left"/>
      <w:pPr>
        <w:ind w:left="2325" w:hanging="567"/>
        <w:jc w:val="left"/>
      </w:pPr>
      <w:rPr>
        <w:rFonts w:hint="default" w:ascii="宋体" w:hAnsi="宋体" w:eastAsia="宋体" w:cs="宋体"/>
        <w:w w:val="100"/>
        <w:sz w:val="21"/>
        <w:szCs w:val="21"/>
      </w:rPr>
    </w:lvl>
    <w:lvl w:ilvl="2">
      <w:start w:val="0"/>
      <w:numFmt w:val="bullet"/>
      <w:lvlText w:val="•"/>
      <w:lvlJc w:val="left"/>
      <w:pPr>
        <w:ind w:left="2233" w:hanging="567"/>
      </w:pPr>
      <w:rPr>
        <w:rFonts w:hint="default"/>
      </w:rPr>
    </w:lvl>
    <w:lvl w:ilvl="3">
      <w:start w:val="0"/>
      <w:numFmt w:val="bullet"/>
      <w:lvlText w:val="•"/>
      <w:lvlJc w:val="left"/>
      <w:pPr>
        <w:ind w:left="2147" w:hanging="567"/>
      </w:pPr>
      <w:rPr>
        <w:rFonts w:hint="default"/>
      </w:rPr>
    </w:lvl>
    <w:lvl w:ilvl="4">
      <w:start w:val="0"/>
      <w:numFmt w:val="bullet"/>
      <w:lvlText w:val="•"/>
      <w:lvlJc w:val="left"/>
      <w:pPr>
        <w:ind w:left="2061" w:hanging="567"/>
      </w:pPr>
      <w:rPr>
        <w:rFonts w:hint="default"/>
      </w:rPr>
    </w:lvl>
    <w:lvl w:ilvl="5">
      <w:start w:val="0"/>
      <w:numFmt w:val="bullet"/>
      <w:lvlText w:val="•"/>
      <w:lvlJc w:val="left"/>
      <w:pPr>
        <w:ind w:left="1974" w:hanging="567"/>
      </w:pPr>
      <w:rPr>
        <w:rFonts w:hint="default"/>
      </w:rPr>
    </w:lvl>
    <w:lvl w:ilvl="6">
      <w:start w:val="0"/>
      <w:numFmt w:val="bullet"/>
      <w:lvlText w:val="•"/>
      <w:lvlJc w:val="left"/>
      <w:pPr>
        <w:ind w:left="1888" w:hanging="567"/>
      </w:pPr>
      <w:rPr>
        <w:rFonts w:hint="default"/>
      </w:rPr>
    </w:lvl>
    <w:lvl w:ilvl="7">
      <w:start w:val="0"/>
      <w:numFmt w:val="bullet"/>
      <w:lvlText w:val="•"/>
      <w:lvlJc w:val="left"/>
      <w:pPr>
        <w:ind w:left="1802" w:hanging="567"/>
      </w:pPr>
      <w:rPr>
        <w:rFonts w:hint="default"/>
      </w:rPr>
    </w:lvl>
    <w:lvl w:ilvl="8">
      <w:start w:val="0"/>
      <w:numFmt w:val="bullet"/>
      <w:lvlText w:val="•"/>
      <w:lvlJc w:val="left"/>
      <w:pPr>
        <w:ind w:left="1715" w:hanging="567"/>
      </w:pPr>
      <w:rPr>
        <w:rFonts w:hint="default"/>
      </w:rPr>
    </w:lvl>
  </w:abstractNum>
  <w:abstractNum w:abstractNumId="22">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21">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20">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19">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18">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17">
    <w:multiLevelType w:val="hybridMultilevel"/>
    <w:lvl w:ilvl="0">
      <w:start w:val="1"/>
      <w:numFmt w:val="decimal"/>
      <w:lvlText w:val="（%1）"/>
      <w:lvlJc w:val="left"/>
      <w:pPr>
        <w:ind w:left="2325" w:hanging="567"/>
        <w:jc w:val="left"/>
      </w:pPr>
      <w:rPr>
        <w:rFonts w:hint="default" w:ascii="宋体" w:hAnsi="宋体" w:eastAsia="宋体" w:cs="宋体"/>
        <w:w w:val="100"/>
        <w:sz w:val="21"/>
        <w:szCs w:val="21"/>
      </w:rPr>
    </w:lvl>
    <w:lvl w:ilvl="1">
      <w:start w:val="0"/>
      <w:numFmt w:val="bullet"/>
      <w:lvlText w:val="•"/>
      <w:lvlJc w:val="left"/>
      <w:pPr>
        <w:ind w:left="3026" w:hanging="567"/>
      </w:pPr>
      <w:rPr>
        <w:rFonts w:hint="default"/>
      </w:rPr>
    </w:lvl>
    <w:lvl w:ilvl="2">
      <w:start w:val="0"/>
      <w:numFmt w:val="bullet"/>
      <w:lvlText w:val="•"/>
      <w:lvlJc w:val="left"/>
      <w:pPr>
        <w:ind w:left="3732" w:hanging="567"/>
      </w:pPr>
      <w:rPr>
        <w:rFonts w:hint="default"/>
      </w:rPr>
    </w:lvl>
    <w:lvl w:ilvl="3">
      <w:start w:val="0"/>
      <w:numFmt w:val="bullet"/>
      <w:lvlText w:val="•"/>
      <w:lvlJc w:val="left"/>
      <w:pPr>
        <w:ind w:left="4438" w:hanging="567"/>
      </w:pPr>
      <w:rPr>
        <w:rFonts w:hint="default"/>
      </w:rPr>
    </w:lvl>
    <w:lvl w:ilvl="4">
      <w:start w:val="0"/>
      <w:numFmt w:val="bullet"/>
      <w:lvlText w:val="•"/>
      <w:lvlJc w:val="left"/>
      <w:pPr>
        <w:ind w:left="5144" w:hanging="567"/>
      </w:pPr>
      <w:rPr>
        <w:rFonts w:hint="default"/>
      </w:rPr>
    </w:lvl>
    <w:lvl w:ilvl="5">
      <w:start w:val="0"/>
      <w:numFmt w:val="bullet"/>
      <w:lvlText w:val="•"/>
      <w:lvlJc w:val="left"/>
      <w:pPr>
        <w:ind w:left="5850" w:hanging="567"/>
      </w:pPr>
      <w:rPr>
        <w:rFonts w:hint="default"/>
      </w:rPr>
    </w:lvl>
    <w:lvl w:ilvl="6">
      <w:start w:val="0"/>
      <w:numFmt w:val="bullet"/>
      <w:lvlText w:val="•"/>
      <w:lvlJc w:val="left"/>
      <w:pPr>
        <w:ind w:left="6556" w:hanging="567"/>
      </w:pPr>
      <w:rPr>
        <w:rFonts w:hint="default"/>
      </w:rPr>
    </w:lvl>
    <w:lvl w:ilvl="7">
      <w:start w:val="0"/>
      <w:numFmt w:val="bullet"/>
      <w:lvlText w:val="•"/>
      <w:lvlJc w:val="left"/>
      <w:pPr>
        <w:ind w:left="7262" w:hanging="567"/>
      </w:pPr>
      <w:rPr>
        <w:rFonts w:hint="default"/>
      </w:rPr>
    </w:lvl>
    <w:lvl w:ilvl="8">
      <w:start w:val="0"/>
      <w:numFmt w:val="bullet"/>
      <w:lvlText w:val="•"/>
      <w:lvlJc w:val="left"/>
      <w:pPr>
        <w:ind w:left="7968" w:hanging="567"/>
      </w:pPr>
      <w:rPr>
        <w:rFonts w:hint="default"/>
      </w:rPr>
    </w:lvl>
  </w:abstractNum>
  <w:abstractNum w:abstractNumId="16">
    <w:multiLevelType w:val="hybridMultilevel"/>
    <w:lvl w:ilvl="0">
      <w:start w:val="1"/>
      <w:numFmt w:val="decimal"/>
      <w:lvlText w:val="（%1）"/>
      <w:lvlJc w:val="left"/>
      <w:pPr>
        <w:ind w:left="2325" w:hanging="567"/>
        <w:jc w:val="left"/>
      </w:pPr>
      <w:rPr>
        <w:rFonts w:hint="default" w:ascii="宋体" w:hAnsi="宋体" w:eastAsia="宋体" w:cs="宋体"/>
        <w:w w:val="100"/>
        <w:sz w:val="21"/>
        <w:szCs w:val="21"/>
      </w:rPr>
    </w:lvl>
    <w:lvl w:ilvl="1">
      <w:start w:val="0"/>
      <w:numFmt w:val="bullet"/>
      <w:lvlText w:val="•"/>
      <w:lvlJc w:val="left"/>
      <w:pPr>
        <w:ind w:left="3026" w:hanging="567"/>
      </w:pPr>
      <w:rPr>
        <w:rFonts w:hint="default"/>
      </w:rPr>
    </w:lvl>
    <w:lvl w:ilvl="2">
      <w:start w:val="0"/>
      <w:numFmt w:val="bullet"/>
      <w:lvlText w:val="•"/>
      <w:lvlJc w:val="left"/>
      <w:pPr>
        <w:ind w:left="3732" w:hanging="567"/>
      </w:pPr>
      <w:rPr>
        <w:rFonts w:hint="default"/>
      </w:rPr>
    </w:lvl>
    <w:lvl w:ilvl="3">
      <w:start w:val="0"/>
      <w:numFmt w:val="bullet"/>
      <w:lvlText w:val="•"/>
      <w:lvlJc w:val="left"/>
      <w:pPr>
        <w:ind w:left="4438" w:hanging="567"/>
      </w:pPr>
      <w:rPr>
        <w:rFonts w:hint="default"/>
      </w:rPr>
    </w:lvl>
    <w:lvl w:ilvl="4">
      <w:start w:val="0"/>
      <w:numFmt w:val="bullet"/>
      <w:lvlText w:val="•"/>
      <w:lvlJc w:val="left"/>
      <w:pPr>
        <w:ind w:left="5144" w:hanging="567"/>
      </w:pPr>
      <w:rPr>
        <w:rFonts w:hint="default"/>
      </w:rPr>
    </w:lvl>
    <w:lvl w:ilvl="5">
      <w:start w:val="0"/>
      <w:numFmt w:val="bullet"/>
      <w:lvlText w:val="•"/>
      <w:lvlJc w:val="left"/>
      <w:pPr>
        <w:ind w:left="5850" w:hanging="567"/>
      </w:pPr>
      <w:rPr>
        <w:rFonts w:hint="default"/>
      </w:rPr>
    </w:lvl>
    <w:lvl w:ilvl="6">
      <w:start w:val="0"/>
      <w:numFmt w:val="bullet"/>
      <w:lvlText w:val="•"/>
      <w:lvlJc w:val="left"/>
      <w:pPr>
        <w:ind w:left="6556" w:hanging="567"/>
      </w:pPr>
      <w:rPr>
        <w:rFonts w:hint="default"/>
      </w:rPr>
    </w:lvl>
    <w:lvl w:ilvl="7">
      <w:start w:val="0"/>
      <w:numFmt w:val="bullet"/>
      <w:lvlText w:val="•"/>
      <w:lvlJc w:val="left"/>
      <w:pPr>
        <w:ind w:left="7262" w:hanging="567"/>
      </w:pPr>
      <w:rPr>
        <w:rFonts w:hint="default"/>
      </w:rPr>
    </w:lvl>
    <w:lvl w:ilvl="8">
      <w:start w:val="0"/>
      <w:numFmt w:val="bullet"/>
      <w:lvlText w:val="•"/>
      <w:lvlJc w:val="left"/>
      <w:pPr>
        <w:ind w:left="7968" w:hanging="567"/>
      </w:pPr>
      <w:rPr>
        <w:rFonts w:hint="default"/>
      </w:rPr>
    </w:lvl>
  </w:abstractNum>
  <w:abstractNum w:abstractNumId="15">
    <w:multiLevelType w:val="hybridMultilevel"/>
    <w:lvl w:ilvl="0">
      <w:start w:val="1"/>
      <w:numFmt w:val="decimal"/>
      <w:lvlText w:val="（%1）"/>
      <w:lvlJc w:val="left"/>
      <w:pPr>
        <w:ind w:left="2325" w:hanging="567"/>
        <w:jc w:val="left"/>
      </w:pPr>
      <w:rPr>
        <w:rFonts w:hint="default" w:ascii="宋体" w:hAnsi="宋体" w:eastAsia="宋体" w:cs="宋体"/>
        <w:w w:val="100"/>
        <w:sz w:val="21"/>
        <w:szCs w:val="21"/>
      </w:rPr>
    </w:lvl>
    <w:lvl w:ilvl="1">
      <w:start w:val="0"/>
      <w:numFmt w:val="bullet"/>
      <w:lvlText w:val="•"/>
      <w:lvlJc w:val="left"/>
      <w:pPr>
        <w:ind w:left="3026" w:hanging="567"/>
      </w:pPr>
      <w:rPr>
        <w:rFonts w:hint="default"/>
      </w:rPr>
    </w:lvl>
    <w:lvl w:ilvl="2">
      <w:start w:val="0"/>
      <w:numFmt w:val="bullet"/>
      <w:lvlText w:val="•"/>
      <w:lvlJc w:val="left"/>
      <w:pPr>
        <w:ind w:left="3732" w:hanging="567"/>
      </w:pPr>
      <w:rPr>
        <w:rFonts w:hint="default"/>
      </w:rPr>
    </w:lvl>
    <w:lvl w:ilvl="3">
      <w:start w:val="0"/>
      <w:numFmt w:val="bullet"/>
      <w:lvlText w:val="•"/>
      <w:lvlJc w:val="left"/>
      <w:pPr>
        <w:ind w:left="4438" w:hanging="567"/>
      </w:pPr>
      <w:rPr>
        <w:rFonts w:hint="default"/>
      </w:rPr>
    </w:lvl>
    <w:lvl w:ilvl="4">
      <w:start w:val="0"/>
      <w:numFmt w:val="bullet"/>
      <w:lvlText w:val="•"/>
      <w:lvlJc w:val="left"/>
      <w:pPr>
        <w:ind w:left="5144" w:hanging="567"/>
      </w:pPr>
      <w:rPr>
        <w:rFonts w:hint="default"/>
      </w:rPr>
    </w:lvl>
    <w:lvl w:ilvl="5">
      <w:start w:val="0"/>
      <w:numFmt w:val="bullet"/>
      <w:lvlText w:val="•"/>
      <w:lvlJc w:val="left"/>
      <w:pPr>
        <w:ind w:left="5850" w:hanging="567"/>
      </w:pPr>
      <w:rPr>
        <w:rFonts w:hint="default"/>
      </w:rPr>
    </w:lvl>
    <w:lvl w:ilvl="6">
      <w:start w:val="0"/>
      <w:numFmt w:val="bullet"/>
      <w:lvlText w:val="•"/>
      <w:lvlJc w:val="left"/>
      <w:pPr>
        <w:ind w:left="6556" w:hanging="567"/>
      </w:pPr>
      <w:rPr>
        <w:rFonts w:hint="default"/>
      </w:rPr>
    </w:lvl>
    <w:lvl w:ilvl="7">
      <w:start w:val="0"/>
      <w:numFmt w:val="bullet"/>
      <w:lvlText w:val="•"/>
      <w:lvlJc w:val="left"/>
      <w:pPr>
        <w:ind w:left="7262" w:hanging="567"/>
      </w:pPr>
      <w:rPr>
        <w:rFonts w:hint="default"/>
      </w:rPr>
    </w:lvl>
    <w:lvl w:ilvl="8">
      <w:start w:val="0"/>
      <w:numFmt w:val="bullet"/>
      <w:lvlText w:val="•"/>
      <w:lvlJc w:val="left"/>
      <w:pPr>
        <w:ind w:left="7968" w:hanging="567"/>
      </w:pPr>
      <w:rPr>
        <w:rFonts w:hint="default"/>
      </w:rPr>
    </w:lvl>
  </w:abstractNum>
  <w:abstractNum w:abstractNumId="14">
    <w:multiLevelType w:val="hybridMultilevel"/>
    <w:lvl w:ilvl="0">
      <w:start w:val="1"/>
      <w:numFmt w:val="decimal"/>
      <w:lvlText w:val="（%1）"/>
      <w:lvlJc w:val="left"/>
      <w:pPr>
        <w:ind w:left="696"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10" w:hanging="567"/>
      </w:pPr>
      <w:rPr>
        <w:rFonts w:hint="default"/>
      </w:rPr>
    </w:lvl>
    <w:lvl w:ilvl="3">
      <w:start w:val="0"/>
      <w:numFmt w:val="bullet"/>
      <w:lvlText w:val="•"/>
      <w:lvlJc w:val="left"/>
      <w:pPr>
        <w:ind w:left="2815" w:hanging="567"/>
      </w:pPr>
      <w:rPr>
        <w:rFonts w:hint="default"/>
      </w:rPr>
    </w:lvl>
    <w:lvl w:ilvl="4">
      <w:start w:val="0"/>
      <w:numFmt w:val="bullet"/>
      <w:lvlText w:val="•"/>
      <w:lvlJc w:val="left"/>
      <w:pPr>
        <w:ind w:left="3520" w:hanging="567"/>
      </w:pPr>
      <w:rPr>
        <w:rFonts w:hint="default"/>
      </w:rPr>
    </w:lvl>
    <w:lvl w:ilvl="5">
      <w:start w:val="0"/>
      <w:numFmt w:val="bullet"/>
      <w:lvlText w:val="•"/>
      <w:lvlJc w:val="left"/>
      <w:pPr>
        <w:ind w:left="4225" w:hanging="567"/>
      </w:pPr>
      <w:rPr>
        <w:rFonts w:hint="default"/>
      </w:rPr>
    </w:lvl>
    <w:lvl w:ilvl="6">
      <w:start w:val="0"/>
      <w:numFmt w:val="bullet"/>
      <w:lvlText w:val="•"/>
      <w:lvlJc w:val="left"/>
      <w:pPr>
        <w:ind w:left="4930" w:hanging="567"/>
      </w:pPr>
      <w:rPr>
        <w:rFonts w:hint="default"/>
      </w:rPr>
    </w:lvl>
    <w:lvl w:ilvl="7">
      <w:start w:val="0"/>
      <w:numFmt w:val="bullet"/>
      <w:lvlText w:val="•"/>
      <w:lvlJc w:val="left"/>
      <w:pPr>
        <w:ind w:left="5635" w:hanging="567"/>
      </w:pPr>
      <w:rPr>
        <w:rFonts w:hint="default"/>
      </w:rPr>
    </w:lvl>
    <w:lvl w:ilvl="8">
      <w:start w:val="0"/>
      <w:numFmt w:val="bullet"/>
      <w:lvlText w:val="•"/>
      <w:lvlJc w:val="left"/>
      <w:pPr>
        <w:ind w:left="6340" w:hanging="567"/>
      </w:pPr>
      <w:rPr>
        <w:rFonts w:hint="default"/>
      </w:rPr>
    </w:lvl>
  </w:abstractNum>
  <w:abstractNum w:abstractNumId="13">
    <w:multiLevelType w:val="hybridMultilevel"/>
    <w:lvl w:ilvl="0">
      <w:start w:val="1"/>
      <w:numFmt w:val="decimal"/>
      <w:lvlText w:val="（%1）"/>
      <w:lvlJc w:val="left"/>
      <w:pPr>
        <w:ind w:left="129" w:hanging="567"/>
        <w:jc w:val="left"/>
      </w:pPr>
      <w:rPr>
        <w:rFonts w:hint="default" w:ascii="宋体" w:hAnsi="宋体" w:eastAsia="宋体" w:cs="宋体"/>
        <w:w w:val="100"/>
        <w:sz w:val="21"/>
        <w:szCs w:val="21"/>
      </w:rPr>
    </w:lvl>
    <w:lvl w:ilvl="1">
      <w:start w:val="0"/>
      <w:numFmt w:val="bullet"/>
      <w:lvlText w:val="•"/>
      <w:lvlJc w:val="left"/>
      <w:pPr>
        <w:ind w:left="883" w:hanging="567"/>
      </w:pPr>
      <w:rPr>
        <w:rFonts w:hint="default"/>
      </w:rPr>
    </w:lvl>
    <w:lvl w:ilvl="2">
      <w:start w:val="0"/>
      <w:numFmt w:val="bullet"/>
      <w:lvlText w:val="•"/>
      <w:lvlJc w:val="left"/>
      <w:pPr>
        <w:ind w:left="1646" w:hanging="567"/>
      </w:pPr>
      <w:rPr>
        <w:rFonts w:hint="default"/>
      </w:rPr>
    </w:lvl>
    <w:lvl w:ilvl="3">
      <w:start w:val="0"/>
      <w:numFmt w:val="bullet"/>
      <w:lvlText w:val="•"/>
      <w:lvlJc w:val="left"/>
      <w:pPr>
        <w:ind w:left="2409" w:hanging="567"/>
      </w:pPr>
      <w:rPr>
        <w:rFonts w:hint="default"/>
      </w:rPr>
    </w:lvl>
    <w:lvl w:ilvl="4">
      <w:start w:val="0"/>
      <w:numFmt w:val="bullet"/>
      <w:lvlText w:val="•"/>
      <w:lvlJc w:val="left"/>
      <w:pPr>
        <w:ind w:left="3172" w:hanging="567"/>
      </w:pPr>
      <w:rPr>
        <w:rFonts w:hint="default"/>
      </w:rPr>
    </w:lvl>
    <w:lvl w:ilvl="5">
      <w:start w:val="0"/>
      <w:numFmt w:val="bullet"/>
      <w:lvlText w:val="•"/>
      <w:lvlJc w:val="left"/>
      <w:pPr>
        <w:ind w:left="3935" w:hanging="567"/>
      </w:pPr>
      <w:rPr>
        <w:rFonts w:hint="default"/>
      </w:rPr>
    </w:lvl>
    <w:lvl w:ilvl="6">
      <w:start w:val="0"/>
      <w:numFmt w:val="bullet"/>
      <w:lvlText w:val="•"/>
      <w:lvlJc w:val="left"/>
      <w:pPr>
        <w:ind w:left="4698" w:hanging="567"/>
      </w:pPr>
      <w:rPr>
        <w:rFonts w:hint="default"/>
      </w:rPr>
    </w:lvl>
    <w:lvl w:ilvl="7">
      <w:start w:val="0"/>
      <w:numFmt w:val="bullet"/>
      <w:lvlText w:val="•"/>
      <w:lvlJc w:val="left"/>
      <w:pPr>
        <w:ind w:left="5461" w:hanging="567"/>
      </w:pPr>
      <w:rPr>
        <w:rFonts w:hint="default"/>
      </w:rPr>
    </w:lvl>
    <w:lvl w:ilvl="8">
      <w:start w:val="0"/>
      <w:numFmt w:val="bullet"/>
      <w:lvlText w:val="•"/>
      <w:lvlJc w:val="left"/>
      <w:pPr>
        <w:ind w:left="6224" w:hanging="567"/>
      </w:pPr>
      <w:rPr>
        <w:rFonts w:hint="default"/>
      </w:rPr>
    </w:lvl>
  </w:abstractNum>
  <w:abstractNum w:abstractNumId="12">
    <w:multiLevelType w:val="hybridMultilevel"/>
    <w:lvl w:ilvl="0">
      <w:start w:val="1"/>
      <w:numFmt w:val="decimal"/>
      <w:lvlText w:val="（%1）"/>
      <w:lvlJc w:val="left"/>
      <w:pPr>
        <w:ind w:left="742" w:hanging="567"/>
        <w:jc w:val="left"/>
      </w:pPr>
      <w:rPr>
        <w:rFonts w:hint="default" w:ascii="宋体" w:hAnsi="宋体" w:eastAsia="宋体" w:cs="宋体"/>
        <w:w w:val="100"/>
        <w:sz w:val="21"/>
        <w:szCs w:val="21"/>
      </w:rPr>
    </w:lvl>
    <w:lvl w:ilvl="1">
      <w:start w:val="0"/>
      <w:numFmt w:val="bullet"/>
      <w:lvlText w:val="•"/>
      <w:lvlJc w:val="left"/>
      <w:pPr>
        <w:ind w:left="1449" w:hanging="567"/>
      </w:pPr>
      <w:rPr>
        <w:rFonts w:hint="default"/>
      </w:rPr>
    </w:lvl>
    <w:lvl w:ilvl="2">
      <w:start w:val="0"/>
      <w:numFmt w:val="bullet"/>
      <w:lvlText w:val="•"/>
      <w:lvlJc w:val="left"/>
      <w:pPr>
        <w:ind w:left="2159" w:hanging="567"/>
      </w:pPr>
      <w:rPr>
        <w:rFonts w:hint="default"/>
      </w:rPr>
    </w:lvl>
    <w:lvl w:ilvl="3">
      <w:start w:val="0"/>
      <w:numFmt w:val="bullet"/>
      <w:lvlText w:val="•"/>
      <w:lvlJc w:val="left"/>
      <w:pPr>
        <w:ind w:left="2869" w:hanging="567"/>
      </w:pPr>
      <w:rPr>
        <w:rFonts w:hint="default"/>
      </w:rPr>
    </w:lvl>
    <w:lvl w:ilvl="4">
      <w:start w:val="0"/>
      <w:numFmt w:val="bullet"/>
      <w:lvlText w:val="•"/>
      <w:lvlJc w:val="left"/>
      <w:pPr>
        <w:ind w:left="3578" w:hanging="567"/>
      </w:pPr>
      <w:rPr>
        <w:rFonts w:hint="default"/>
      </w:rPr>
    </w:lvl>
    <w:lvl w:ilvl="5">
      <w:start w:val="0"/>
      <w:numFmt w:val="bullet"/>
      <w:lvlText w:val="•"/>
      <w:lvlJc w:val="left"/>
      <w:pPr>
        <w:ind w:left="4288" w:hanging="567"/>
      </w:pPr>
      <w:rPr>
        <w:rFonts w:hint="default"/>
      </w:rPr>
    </w:lvl>
    <w:lvl w:ilvl="6">
      <w:start w:val="0"/>
      <w:numFmt w:val="bullet"/>
      <w:lvlText w:val="•"/>
      <w:lvlJc w:val="left"/>
      <w:pPr>
        <w:ind w:left="4998" w:hanging="567"/>
      </w:pPr>
      <w:rPr>
        <w:rFonts w:hint="default"/>
      </w:rPr>
    </w:lvl>
    <w:lvl w:ilvl="7">
      <w:start w:val="0"/>
      <w:numFmt w:val="bullet"/>
      <w:lvlText w:val="•"/>
      <w:lvlJc w:val="left"/>
      <w:pPr>
        <w:ind w:left="5707" w:hanging="567"/>
      </w:pPr>
      <w:rPr>
        <w:rFonts w:hint="default"/>
      </w:rPr>
    </w:lvl>
    <w:lvl w:ilvl="8">
      <w:start w:val="0"/>
      <w:numFmt w:val="bullet"/>
      <w:lvlText w:val="•"/>
      <w:lvlJc w:val="left"/>
      <w:pPr>
        <w:ind w:left="6417" w:hanging="567"/>
      </w:pPr>
      <w:rPr>
        <w:rFonts w:hint="default"/>
      </w:rPr>
    </w:lvl>
  </w:abstractNum>
  <w:abstractNum w:abstractNumId="11">
    <w:multiLevelType w:val="hybridMultilevel"/>
    <w:lvl w:ilvl="0">
      <w:start w:val="3"/>
      <w:numFmt w:val="decimal"/>
      <w:lvlText w:val="%1."/>
      <w:lvlJc w:val="left"/>
      <w:pPr>
        <w:ind w:left="1148" w:hanging="260"/>
        <w:jc w:val="right"/>
      </w:pPr>
      <w:rPr>
        <w:rFonts w:hint="default" w:ascii="微软雅黑" w:hAnsi="微软雅黑" w:eastAsia="微软雅黑" w:cs="微软雅黑"/>
        <w:b/>
        <w:bCs/>
        <w:w w:val="81"/>
        <w:sz w:val="21"/>
        <w:szCs w:val="21"/>
      </w:rPr>
    </w:lvl>
    <w:lvl w:ilvl="1">
      <w:start w:val="1"/>
      <w:numFmt w:val="decimal"/>
      <w:lvlText w:val="（%2）"/>
      <w:lvlJc w:val="left"/>
      <w:pPr>
        <w:ind w:left="2325" w:hanging="567"/>
        <w:jc w:val="left"/>
      </w:pPr>
      <w:rPr>
        <w:rFonts w:hint="default" w:ascii="宋体" w:hAnsi="宋体" w:eastAsia="宋体" w:cs="宋体"/>
        <w:w w:val="100"/>
        <w:sz w:val="21"/>
        <w:szCs w:val="21"/>
      </w:rPr>
    </w:lvl>
    <w:lvl w:ilvl="2">
      <w:start w:val="0"/>
      <w:numFmt w:val="bullet"/>
      <w:lvlText w:val="•"/>
      <w:lvlJc w:val="left"/>
      <w:pPr>
        <w:ind w:left="2233" w:hanging="567"/>
      </w:pPr>
      <w:rPr>
        <w:rFonts w:hint="default"/>
      </w:rPr>
    </w:lvl>
    <w:lvl w:ilvl="3">
      <w:start w:val="0"/>
      <w:numFmt w:val="bullet"/>
      <w:lvlText w:val="•"/>
      <w:lvlJc w:val="left"/>
      <w:pPr>
        <w:ind w:left="2147" w:hanging="567"/>
      </w:pPr>
      <w:rPr>
        <w:rFonts w:hint="default"/>
      </w:rPr>
    </w:lvl>
    <w:lvl w:ilvl="4">
      <w:start w:val="0"/>
      <w:numFmt w:val="bullet"/>
      <w:lvlText w:val="•"/>
      <w:lvlJc w:val="left"/>
      <w:pPr>
        <w:ind w:left="2061" w:hanging="567"/>
      </w:pPr>
      <w:rPr>
        <w:rFonts w:hint="default"/>
      </w:rPr>
    </w:lvl>
    <w:lvl w:ilvl="5">
      <w:start w:val="0"/>
      <w:numFmt w:val="bullet"/>
      <w:lvlText w:val="•"/>
      <w:lvlJc w:val="left"/>
      <w:pPr>
        <w:ind w:left="1974" w:hanging="567"/>
      </w:pPr>
      <w:rPr>
        <w:rFonts w:hint="default"/>
      </w:rPr>
    </w:lvl>
    <w:lvl w:ilvl="6">
      <w:start w:val="0"/>
      <w:numFmt w:val="bullet"/>
      <w:lvlText w:val="•"/>
      <w:lvlJc w:val="left"/>
      <w:pPr>
        <w:ind w:left="1888" w:hanging="567"/>
      </w:pPr>
      <w:rPr>
        <w:rFonts w:hint="default"/>
      </w:rPr>
    </w:lvl>
    <w:lvl w:ilvl="7">
      <w:start w:val="0"/>
      <w:numFmt w:val="bullet"/>
      <w:lvlText w:val="•"/>
      <w:lvlJc w:val="left"/>
      <w:pPr>
        <w:ind w:left="1802" w:hanging="567"/>
      </w:pPr>
      <w:rPr>
        <w:rFonts w:hint="default"/>
      </w:rPr>
    </w:lvl>
    <w:lvl w:ilvl="8">
      <w:start w:val="0"/>
      <w:numFmt w:val="bullet"/>
      <w:lvlText w:val="•"/>
      <w:lvlJc w:val="left"/>
      <w:pPr>
        <w:ind w:left="1715" w:hanging="567"/>
      </w:pPr>
      <w:rPr>
        <w:rFonts w:hint="default"/>
      </w:rPr>
    </w:lvl>
  </w:abstractNum>
  <w:abstractNum w:abstractNumId="10">
    <w:multiLevelType w:val="hybridMultilevel"/>
    <w:lvl w:ilvl="0">
      <w:start w:val="1"/>
      <w:numFmt w:val="decimal"/>
      <w:lvlText w:val="（%1）"/>
      <w:lvlJc w:val="left"/>
      <w:pPr>
        <w:ind w:left="3203" w:hanging="624"/>
        <w:jc w:val="left"/>
      </w:pPr>
      <w:rPr>
        <w:rFonts w:hint="default" w:ascii="宋体" w:hAnsi="宋体" w:eastAsia="宋体" w:cs="宋体"/>
        <w:w w:val="100"/>
        <w:sz w:val="21"/>
        <w:szCs w:val="21"/>
      </w:rPr>
    </w:lvl>
    <w:lvl w:ilvl="1">
      <w:start w:val="0"/>
      <w:numFmt w:val="bullet"/>
      <w:lvlText w:val="•"/>
      <w:lvlJc w:val="left"/>
      <w:pPr>
        <w:ind w:left="3900" w:hanging="624"/>
      </w:pPr>
      <w:rPr>
        <w:rFonts w:hint="default"/>
      </w:rPr>
    </w:lvl>
    <w:lvl w:ilvl="2">
      <w:start w:val="0"/>
      <w:numFmt w:val="bullet"/>
      <w:lvlText w:val="•"/>
      <w:lvlJc w:val="left"/>
      <w:pPr>
        <w:ind w:left="4600" w:hanging="624"/>
      </w:pPr>
      <w:rPr>
        <w:rFonts w:hint="default"/>
      </w:rPr>
    </w:lvl>
    <w:lvl w:ilvl="3">
      <w:start w:val="0"/>
      <w:numFmt w:val="bullet"/>
      <w:lvlText w:val="•"/>
      <w:lvlJc w:val="left"/>
      <w:pPr>
        <w:ind w:left="5300" w:hanging="624"/>
      </w:pPr>
      <w:rPr>
        <w:rFonts w:hint="default"/>
      </w:rPr>
    </w:lvl>
    <w:lvl w:ilvl="4">
      <w:start w:val="0"/>
      <w:numFmt w:val="bullet"/>
      <w:lvlText w:val="•"/>
      <w:lvlJc w:val="left"/>
      <w:pPr>
        <w:ind w:left="6000" w:hanging="624"/>
      </w:pPr>
      <w:rPr>
        <w:rFonts w:hint="default"/>
      </w:rPr>
    </w:lvl>
    <w:lvl w:ilvl="5">
      <w:start w:val="0"/>
      <w:numFmt w:val="bullet"/>
      <w:lvlText w:val="•"/>
      <w:lvlJc w:val="left"/>
      <w:pPr>
        <w:ind w:left="6700" w:hanging="624"/>
      </w:pPr>
      <w:rPr>
        <w:rFonts w:hint="default"/>
      </w:rPr>
    </w:lvl>
    <w:lvl w:ilvl="6">
      <w:start w:val="0"/>
      <w:numFmt w:val="bullet"/>
      <w:lvlText w:val="•"/>
      <w:lvlJc w:val="left"/>
      <w:pPr>
        <w:ind w:left="7400" w:hanging="624"/>
      </w:pPr>
      <w:rPr>
        <w:rFonts w:hint="default"/>
      </w:rPr>
    </w:lvl>
    <w:lvl w:ilvl="7">
      <w:start w:val="0"/>
      <w:numFmt w:val="bullet"/>
      <w:lvlText w:val="•"/>
      <w:lvlJc w:val="left"/>
      <w:pPr>
        <w:ind w:left="8100" w:hanging="624"/>
      </w:pPr>
      <w:rPr>
        <w:rFonts w:hint="default"/>
      </w:rPr>
    </w:lvl>
    <w:lvl w:ilvl="8">
      <w:start w:val="0"/>
      <w:numFmt w:val="bullet"/>
      <w:lvlText w:val="•"/>
      <w:lvlJc w:val="left"/>
      <w:pPr>
        <w:ind w:left="8800" w:hanging="624"/>
      </w:pPr>
      <w:rPr>
        <w:rFonts w:hint="default"/>
      </w:rPr>
    </w:lvl>
  </w:abstractNum>
  <w:abstractNum w:abstractNumId="9">
    <w:multiLevelType w:val="hybridMultilevel"/>
    <w:lvl w:ilvl="0">
      <w:start w:val="1"/>
      <w:numFmt w:val="decimal"/>
      <w:lvlText w:val="（%1）"/>
      <w:lvlJc w:val="left"/>
      <w:pPr>
        <w:ind w:left="800" w:hanging="624"/>
        <w:jc w:val="left"/>
      </w:pPr>
      <w:rPr>
        <w:rFonts w:hint="default" w:ascii="宋体" w:hAnsi="宋体" w:eastAsia="宋体" w:cs="宋体"/>
        <w:w w:val="100"/>
        <w:sz w:val="21"/>
        <w:szCs w:val="21"/>
      </w:rPr>
    </w:lvl>
    <w:lvl w:ilvl="1">
      <w:start w:val="0"/>
      <w:numFmt w:val="bullet"/>
      <w:lvlText w:val="•"/>
      <w:lvlJc w:val="left"/>
      <w:pPr>
        <w:ind w:left="1499" w:hanging="624"/>
      </w:pPr>
      <w:rPr>
        <w:rFonts w:hint="default"/>
      </w:rPr>
    </w:lvl>
    <w:lvl w:ilvl="2">
      <w:start w:val="0"/>
      <w:numFmt w:val="bullet"/>
      <w:lvlText w:val="•"/>
      <w:lvlJc w:val="left"/>
      <w:pPr>
        <w:ind w:left="2199" w:hanging="624"/>
      </w:pPr>
      <w:rPr>
        <w:rFonts w:hint="default"/>
      </w:rPr>
    </w:lvl>
    <w:lvl w:ilvl="3">
      <w:start w:val="0"/>
      <w:numFmt w:val="bullet"/>
      <w:lvlText w:val="•"/>
      <w:lvlJc w:val="left"/>
      <w:pPr>
        <w:ind w:left="2899" w:hanging="624"/>
      </w:pPr>
      <w:rPr>
        <w:rFonts w:hint="default"/>
      </w:rPr>
    </w:lvl>
    <w:lvl w:ilvl="4">
      <w:start w:val="0"/>
      <w:numFmt w:val="bullet"/>
      <w:lvlText w:val="•"/>
      <w:lvlJc w:val="left"/>
      <w:pPr>
        <w:ind w:left="3598" w:hanging="624"/>
      </w:pPr>
      <w:rPr>
        <w:rFonts w:hint="default"/>
      </w:rPr>
    </w:lvl>
    <w:lvl w:ilvl="5">
      <w:start w:val="0"/>
      <w:numFmt w:val="bullet"/>
      <w:lvlText w:val="•"/>
      <w:lvlJc w:val="left"/>
      <w:pPr>
        <w:ind w:left="4298" w:hanging="624"/>
      </w:pPr>
      <w:rPr>
        <w:rFonts w:hint="default"/>
      </w:rPr>
    </w:lvl>
    <w:lvl w:ilvl="6">
      <w:start w:val="0"/>
      <w:numFmt w:val="bullet"/>
      <w:lvlText w:val="•"/>
      <w:lvlJc w:val="left"/>
      <w:pPr>
        <w:ind w:left="4998" w:hanging="624"/>
      </w:pPr>
      <w:rPr>
        <w:rFonts w:hint="default"/>
      </w:rPr>
    </w:lvl>
    <w:lvl w:ilvl="7">
      <w:start w:val="0"/>
      <w:numFmt w:val="bullet"/>
      <w:lvlText w:val="•"/>
      <w:lvlJc w:val="left"/>
      <w:pPr>
        <w:ind w:left="5697" w:hanging="624"/>
      </w:pPr>
      <w:rPr>
        <w:rFonts w:hint="default"/>
      </w:rPr>
    </w:lvl>
    <w:lvl w:ilvl="8">
      <w:start w:val="0"/>
      <w:numFmt w:val="bullet"/>
      <w:lvlText w:val="•"/>
      <w:lvlJc w:val="left"/>
      <w:pPr>
        <w:ind w:left="6397" w:hanging="624"/>
      </w:pPr>
      <w:rPr>
        <w:rFonts w:hint="default"/>
      </w:rPr>
    </w:lvl>
  </w:abstractNum>
  <w:abstractNum w:abstractNumId="8">
    <w:multiLevelType w:val="hybridMultilevel"/>
    <w:lvl w:ilvl="0">
      <w:start w:val="1"/>
      <w:numFmt w:val="decimal"/>
      <w:lvlText w:val="（%1）"/>
      <w:lvlJc w:val="left"/>
      <w:pPr>
        <w:ind w:left="3155" w:hanging="576"/>
        <w:jc w:val="left"/>
      </w:pPr>
      <w:rPr>
        <w:rFonts w:hint="default" w:ascii="宋体" w:hAnsi="宋体" w:eastAsia="宋体" w:cs="宋体"/>
        <w:w w:val="100"/>
        <w:sz w:val="21"/>
        <w:szCs w:val="21"/>
      </w:rPr>
    </w:lvl>
    <w:lvl w:ilvl="1">
      <w:start w:val="0"/>
      <w:numFmt w:val="bullet"/>
      <w:lvlText w:val="•"/>
      <w:lvlJc w:val="left"/>
      <w:pPr>
        <w:ind w:left="3864" w:hanging="576"/>
      </w:pPr>
      <w:rPr>
        <w:rFonts w:hint="default"/>
      </w:rPr>
    </w:lvl>
    <w:lvl w:ilvl="2">
      <w:start w:val="0"/>
      <w:numFmt w:val="bullet"/>
      <w:lvlText w:val="•"/>
      <w:lvlJc w:val="left"/>
      <w:pPr>
        <w:ind w:left="4568" w:hanging="576"/>
      </w:pPr>
      <w:rPr>
        <w:rFonts w:hint="default"/>
      </w:rPr>
    </w:lvl>
    <w:lvl w:ilvl="3">
      <w:start w:val="0"/>
      <w:numFmt w:val="bullet"/>
      <w:lvlText w:val="•"/>
      <w:lvlJc w:val="left"/>
      <w:pPr>
        <w:ind w:left="5272" w:hanging="576"/>
      </w:pPr>
      <w:rPr>
        <w:rFonts w:hint="default"/>
      </w:rPr>
    </w:lvl>
    <w:lvl w:ilvl="4">
      <w:start w:val="0"/>
      <w:numFmt w:val="bullet"/>
      <w:lvlText w:val="•"/>
      <w:lvlJc w:val="left"/>
      <w:pPr>
        <w:ind w:left="5976" w:hanging="576"/>
      </w:pPr>
      <w:rPr>
        <w:rFonts w:hint="default"/>
      </w:rPr>
    </w:lvl>
    <w:lvl w:ilvl="5">
      <w:start w:val="0"/>
      <w:numFmt w:val="bullet"/>
      <w:lvlText w:val="•"/>
      <w:lvlJc w:val="left"/>
      <w:pPr>
        <w:ind w:left="6680" w:hanging="576"/>
      </w:pPr>
      <w:rPr>
        <w:rFonts w:hint="default"/>
      </w:rPr>
    </w:lvl>
    <w:lvl w:ilvl="6">
      <w:start w:val="0"/>
      <w:numFmt w:val="bullet"/>
      <w:lvlText w:val="•"/>
      <w:lvlJc w:val="left"/>
      <w:pPr>
        <w:ind w:left="7384" w:hanging="576"/>
      </w:pPr>
      <w:rPr>
        <w:rFonts w:hint="default"/>
      </w:rPr>
    </w:lvl>
    <w:lvl w:ilvl="7">
      <w:start w:val="0"/>
      <w:numFmt w:val="bullet"/>
      <w:lvlText w:val="•"/>
      <w:lvlJc w:val="left"/>
      <w:pPr>
        <w:ind w:left="8088" w:hanging="576"/>
      </w:pPr>
      <w:rPr>
        <w:rFonts w:hint="default"/>
      </w:rPr>
    </w:lvl>
    <w:lvl w:ilvl="8">
      <w:start w:val="0"/>
      <w:numFmt w:val="bullet"/>
      <w:lvlText w:val="•"/>
      <w:lvlJc w:val="left"/>
      <w:pPr>
        <w:ind w:left="8792" w:hanging="576"/>
      </w:pPr>
      <w:rPr>
        <w:rFonts w:hint="default"/>
      </w:rPr>
    </w:lvl>
  </w:abstractNum>
  <w:abstractNum w:abstractNumId="7">
    <w:multiLevelType w:val="hybridMultilevel"/>
    <w:lvl w:ilvl="0">
      <w:start w:val="4"/>
      <w:numFmt w:val="decimal"/>
      <w:lvlText w:val="%1"/>
      <w:lvlJc w:val="left"/>
      <w:pPr>
        <w:ind w:left="2579" w:hanging="740"/>
        <w:jc w:val="left"/>
      </w:pPr>
      <w:rPr>
        <w:rFonts w:hint="default"/>
      </w:rPr>
    </w:lvl>
    <w:lvl w:ilvl="1">
      <w:start w:val="1"/>
      <w:numFmt w:val="decimal"/>
      <w:lvlText w:val="%1.%2"/>
      <w:lvlJc w:val="left"/>
      <w:pPr>
        <w:ind w:left="2579" w:hanging="740"/>
        <w:jc w:val="left"/>
      </w:pPr>
      <w:rPr>
        <w:rFonts w:hint="default" w:ascii="微软雅黑" w:hAnsi="微软雅黑" w:eastAsia="微软雅黑" w:cs="微软雅黑"/>
        <w:b/>
        <w:bCs/>
        <w:w w:val="81"/>
        <w:sz w:val="21"/>
        <w:szCs w:val="21"/>
      </w:rPr>
    </w:lvl>
    <w:lvl w:ilvl="2">
      <w:start w:val="1"/>
      <w:numFmt w:val="decimal"/>
      <w:lvlText w:val="（%3）"/>
      <w:lvlJc w:val="left"/>
      <w:pPr>
        <w:ind w:left="3145" w:hanging="567"/>
        <w:jc w:val="left"/>
      </w:pPr>
      <w:rPr>
        <w:rFonts w:hint="default" w:ascii="宋体" w:hAnsi="宋体" w:eastAsia="宋体" w:cs="宋体"/>
        <w:w w:val="100"/>
        <w:sz w:val="21"/>
        <w:szCs w:val="21"/>
      </w:rPr>
    </w:lvl>
    <w:lvl w:ilvl="3">
      <w:start w:val="0"/>
      <w:numFmt w:val="bullet"/>
      <w:lvlText w:val="•"/>
      <w:lvlJc w:val="left"/>
      <w:pPr>
        <w:ind w:left="4704" w:hanging="567"/>
      </w:pPr>
      <w:rPr>
        <w:rFonts w:hint="default"/>
      </w:rPr>
    </w:lvl>
    <w:lvl w:ilvl="4">
      <w:start w:val="0"/>
      <w:numFmt w:val="bullet"/>
      <w:lvlText w:val="•"/>
      <w:lvlJc w:val="left"/>
      <w:pPr>
        <w:ind w:left="5486" w:hanging="567"/>
      </w:pPr>
      <w:rPr>
        <w:rFonts w:hint="default"/>
      </w:rPr>
    </w:lvl>
    <w:lvl w:ilvl="5">
      <w:start w:val="0"/>
      <w:numFmt w:val="bullet"/>
      <w:lvlText w:val="•"/>
      <w:lvlJc w:val="left"/>
      <w:pPr>
        <w:ind w:left="6268" w:hanging="567"/>
      </w:pPr>
      <w:rPr>
        <w:rFonts w:hint="default"/>
      </w:rPr>
    </w:lvl>
    <w:lvl w:ilvl="6">
      <w:start w:val="0"/>
      <w:numFmt w:val="bullet"/>
      <w:lvlText w:val="•"/>
      <w:lvlJc w:val="left"/>
      <w:pPr>
        <w:ind w:left="7051" w:hanging="567"/>
      </w:pPr>
      <w:rPr>
        <w:rFonts w:hint="default"/>
      </w:rPr>
    </w:lvl>
    <w:lvl w:ilvl="7">
      <w:start w:val="0"/>
      <w:numFmt w:val="bullet"/>
      <w:lvlText w:val="•"/>
      <w:lvlJc w:val="left"/>
      <w:pPr>
        <w:ind w:left="7833" w:hanging="567"/>
      </w:pPr>
      <w:rPr>
        <w:rFonts w:hint="default"/>
      </w:rPr>
    </w:lvl>
    <w:lvl w:ilvl="8">
      <w:start w:val="0"/>
      <w:numFmt w:val="bullet"/>
      <w:lvlText w:val="•"/>
      <w:lvlJc w:val="left"/>
      <w:pPr>
        <w:ind w:left="8615" w:hanging="567"/>
      </w:pPr>
      <w:rPr>
        <w:rFonts w:hint="default"/>
      </w:rPr>
    </w:lvl>
  </w:abstractNum>
  <w:abstractNum w:abstractNumId="6">
    <w:multiLevelType w:val="hybridMultilevel"/>
    <w:lvl w:ilvl="0">
      <w:start w:val="3"/>
      <w:numFmt w:val="decimal"/>
      <w:lvlText w:val="%1"/>
      <w:lvlJc w:val="left"/>
      <w:pPr>
        <w:ind w:left="2579" w:hanging="740"/>
        <w:jc w:val="left"/>
      </w:pPr>
      <w:rPr>
        <w:rFonts w:hint="default"/>
      </w:rPr>
    </w:lvl>
    <w:lvl w:ilvl="1">
      <w:start w:val="5"/>
      <w:numFmt w:val="decimal"/>
      <w:lvlText w:val="%1.%2"/>
      <w:lvlJc w:val="left"/>
      <w:pPr>
        <w:ind w:left="2579" w:hanging="740"/>
        <w:jc w:val="left"/>
      </w:pPr>
      <w:rPr>
        <w:rFonts w:hint="default" w:ascii="微软雅黑" w:hAnsi="微软雅黑" w:eastAsia="微软雅黑" w:cs="微软雅黑"/>
        <w:b/>
        <w:bCs/>
        <w:w w:val="81"/>
        <w:sz w:val="21"/>
        <w:szCs w:val="21"/>
      </w:rPr>
    </w:lvl>
    <w:lvl w:ilvl="2">
      <w:start w:val="0"/>
      <w:numFmt w:val="bullet"/>
      <w:lvlText w:val="•"/>
      <w:lvlJc w:val="left"/>
      <w:pPr>
        <w:ind w:left="4100" w:hanging="740"/>
      </w:pPr>
      <w:rPr>
        <w:rFonts w:hint="default"/>
      </w:rPr>
    </w:lvl>
    <w:lvl w:ilvl="3">
      <w:start w:val="0"/>
      <w:numFmt w:val="bullet"/>
      <w:lvlText w:val="•"/>
      <w:lvlJc w:val="left"/>
      <w:pPr>
        <w:ind w:left="4860" w:hanging="740"/>
      </w:pPr>
      <w:rPr>
        <w:rFonts w:hint="default"/>
      </w:rPr>
    </w:lvl>
    <w:lvl w:ilvl="4">
      <w:start w:val="0"/>
      <w:numFmt w:val="bullet"/>
      <w:lvlText w:val="•"/>
      <w:lvlJc w:val="left"/>
      <w:pPr>
        <w:ind w:left="5620" w:hanging="740"/>
      </w:pPr>
      <w:rPr>
        <w:rFonts w:hint="default"/>
      </w:rPr>
    </w:lvl>
    <w:lvl w:ilvl="5">
      <w:start w:val="0"/>
      <w:numFmt w:val="bullet"/>
      <w:lvlText w:val="•"/>
      <w:lvlJc w:val="left"/>
      <w:pPr>
        <w:ind w:left="6380" w:hanging="740"/>
      </w:pPr>
      <w:rPr>
        <w:rFonts w:hint="default"/>
      </w:rPr>
    </w:lvl>
    <w:lvl w:ilvl="6">
      <w:start w:val="0"/>
      <w:numFmt w:val="bullet"/>
      <w:lvlText w:val="•"/>
      <w:lvlJc w:val="left"/>
      <w:pPr>
        <w:ind w:left="7140" w:hanging="740"/>
      </w:pPr>
      <w:rPr>
        <w:rFonts w:hint="default"/>
      </w:rPr>
    </w:lvl>
    <w:lvl w:ilvl="7">
      <w:start w:val="0"/>
      <w:numFmt w:val="bullet"/>
      <w:lvlText w:val="•"/>
      <w:lvlJc w:val="left"/>
      <w:pPr>
        <w:ind w:left="7900" w:hanging="740"/>
      </w:pPr>
      <w:rPr>
        <w:rFonts w:hint="default"/>
      </w:rPr>
    </w:lvl>
    <w:lvl w:ilvl="8">
      <w:start w:val="0"/>
      <w:numFmt w:val="bullet"/>
      <w:lvlText w:val="•"/>
      <w:lvlJc w:val="left"/>
      <w:pPr>
        <w:ind w:left="8660" w:hanging="740"/>
      </w:pPr>
      <w:rPr>
        <w:rFonts w:hint="default"/>
      </w:rPr>
    </w:lvl>
  </w:abstractNum>
  <w:abstractNum w:abstractNumId="5">
    <w:multiLevelType w:val="hybridMultilevel"/>
    <w:lvl w:ilvl="0">
      <w:start w:val="1"/>
      <w:numFmt w:val="decimal"/>
      <w:lvlText w:val="（%1）"/>
      <w:lvlJc w:val="left"/>
      <w:pPr>
        <w:ind w:left="888" w:hanging="567"/>
        <w:jc w:val="left"/>
      </w:pPr>
      <w:rPr>
        <w:rFonts w:hint="default" w:ascii="宋体" w:hAnsi="宋体" w:eastAsia="宋体" w:cs="宋体"/>
        <w:w w:val="100"/>
        <w:sz w:val="21"/>
        <w:szCs w:val="21"/>
      </w:rPr>
    </w:lvl>
    <w:lvl w:ilvl="1">
      <w:start w:val="0"/>
      <w:numFmt w:val="bullet"/>
      <w:lvlText w:val="•"/>
      <w:lvlJc w:val="left"/>
      <w:pPr>
        <w:ind w:left="1586" w:hanging="567"/>
      </w:pPr>
      <w:rPr>
        <w:rFonts w:hint="default"/>
      </w:rPr>
    </w:lvl>
    <w:lvl w:ilvl="2">
      <w:start w:val="0"/>
      <w:numFmt w:val="bullet"/>
      <w:lvlText w:val="•"/>
      <w:lvlJc w:val="left"/>
      <w:pPr>
        <w:ind w:left="2292" w:hanging="567"/>
      </w:pPr>
      <w:rPr>
        <w:rFonts w:hint="default"/>
      </w:rPr>
    </w:lvl>
    <w:lvl w:ilvl="3">
      <w:start w:val="0"/>
      <w:numFmt w:val="bullet"/>
      <w:lvlText w:val="•"/>
      <w:lvlJc w:val="left"/>
      <w:pPr>
        <w:ind w:left="2998" w:hanging="567"/>
      </w:pPr>
      <w:rPr>
        <w:rFonts w:hint="default"/>
      </w:rPr>
    </w:lvl>
    <w:lvl w:ilvl="4">
      <w:start w:val="0"/>
      <w:numFmt w:val="bullet"/>
      <w:lvlText w:val="•"/>
      <w:lvlJc w:val="left"/>
      <w:pPr>
        <w:ind w:left="3705" w:hanging="567"/>
      </w:pPr>
      <w:rPr>
        <w:rFonts w:hint="default"/>
      </w:rPr>
    </w:lvl>
    <w:lvl w:ilvl="5">
      <w:start w:val="0"/>
      <w:numFmt w:val="bullet"/>
      <w:lvlText w:val="•"/>
      <w:lvlJc w:val="left"/>
      <w:pPr>
        <w:ind w:left="4411" w:hanging="567"/>
      </w:pPr>
      <w:rPr>
        <w:rFonts w:hint="default"/>
      </w:rPr>
    </w:lvl>
    <w:lvl w:ilvl="6">
      <w:start w:val="0"/>
      <w:numFmt w:val="bullet"/>
      <w:lvlText w:val="•"/>
      <w:lvlJc w:val="left"/>
      <w:pPr>
        <w:ind w:left="5117" w:hanging="567"/>
      </w:pPr>
      <w:rPr>
        <w:rFonts w:hint="default"/>
      </w:rPr>
    </w:lvl>
    <w:lvl w:ilvl="7">
      <w:start w:val="0"/>
      <w:numFmt w:val="bullet"/>
      <w:lvlText w:val="•"/>
      <w:lvlJc w:val="left"/>
      <w:pPr>
        <w:ind w:left="5824" w:hanging="567"/>
      </w:pPr>
      <w:rPr>
        <w:rFonts w:hint="default"/>
      </w:rPr>
    </w:lvl>
    <w:lvl w:ilvl="8">
      <w:start w:val="0"/>
      <w:numFmt w:val="bullet"/>
      <w:lvlText w:val="•"/>
      <w:lvlJc w:val="left"/>
      <w:pPr>
        <w:ind w:left="6530" w:hanging="567"/>
      </w:pPr>
      <w:rPr>
        <w:rFonts w:hint="default"/>
      </w:rPr>
    </w:lvl>
  </w:abstractNum>
  <w:abstractNum w:abstractNumId="4">
    <w:multiLevelType w:val="hybridMultilevel"/>
    <w:lvl w:ilvl="0">
      <w:start w:val="1"/>
      <w:numFmt w:val="decimal"/>
      <w:lvlText w:val="（%1）"/>
      <w:lvlJc w:val="left"/>
      <w:pPr>
        <w:ind w:left="946" w:hanging="624"/>
        <w:jc w:val="left"/>
      </w:pPr>
      <w:rPr>
        <w:rFonts w:hint="default" w:ascii="宋体" w:hAnsi="宋体" w:eastAsia="宋体" w:cs="宋体"/>
        <w:w w:val="100"/>
        <w:sz w:val="21"/>
        <w:szCs w:val="21"/>
      </w:rPr>
    </w:lvl>
    <w:lvl w:ilvl="1">
      <w:start w:val="0"/>
      <w:numFmt w:val="bullet"/>
      <w:lvlText w:val="•"/>
      <w:lvlJc w:val="left"/>
      <w:pPr>
        <w:ind w:left="1640" w:hanging="624"/>
      </w:pPr>
      <w:rPr>
        <w:rFonts w:hint="default"/>
      </w:rPr>
    </w:lvl>
    <w:lvl w:ilvl="2">
      <w:start w:val="0"/>
      <w:numFmt w:val="bullet"/>
      <w:lvlText w:val="•"/>
      <w:lvlJc w:val="left"/>
      <w:pPr>
        <w:ind w:left="2340" w:hanging="624"/>
      </w:pPr>
      <w:rPr>
        <w:rFonts w:hint="default"/>
      </w:rPr>
    </w:lvl>
    <w:lvl w:ilvl="3">
      <w:start w:val="0"/>
      <w:numFmt w:val="bullet"/>
      <w:lvlText w:val="•"/>
      <w:lvlJc w:val="left"/>
      <w:pPr>
        <w:ind w:left="3040" w:hanging="624"/>
      </w:pPr>
      <w:rPr>
        <w:rFonts w:hint="default"/>
      </w:rPr>
    </w:lvl>
    <w:lvl w:ilvl="4">
      <w:start w:val="0"/>
      <w:numFmt w:val="bullet"/>
      <w:lvlText w:val="•"/>
      <w:lvlJc w:val="left"/>
      <w:pPr>
        <w:ind w:left="3741" w:hanging="624"/>
      </w:pPr>
      <w:rPr>
        <w:rFonts w:hint="default"/>
      </w:rPr>
    </w:lvl>
    <w:lvl w:ilvl="5">
      <w:start w:val="0"/>
      <w:numFmt w:val="bullet"/>
      <w:lvlText w:val="•"/>
      <w:lvlJc w:val="left"/>
      <w:pPr>
        <w:ind w:left="4441" w:hanging="624"/>
      </w:pPr>
      <w:rPr>
        <w:rFonts w:hint="default"/>
      </w:rPr>
    </w:lvl>
    <w:lvl w:ilvl="6">
      <w:start w:val="0"/>
      <w:numFmt w:val="bullet"/>
      <w:lvlText w:val="•"/>
      <w:lvlJc w:val="left"/>
      <w:pPr>
        <w:ind w:left="5141" w:hanging="624"/>
      </w:pPr>
      <w:rPr>
        <w:rFonts w:hint="default"/>
      </w:rPr>
    </w:lvl>
    <w:lvl w:ilvl="7">
      <w:start w:val="0"/>
      <w:numFmt w:val="bullet"/>
      <w:lvlText w:val="•"/>
      <w:lvlJc w:val="left"/>
      <w:pPr>
        <w:ind w:left="5842" w:hanging="624"/>
      </w:pPr>
      <w:rPr>
        <w:rFonts w:hint="default"/>
      </w:rPr>
    </w:lvl>
    <w:lvl w:ilvl="8">
      <w:start w:val="0"/>
      <w:numFmt w:val="bullet"/>
      <w:lvlText w:val="•"/>
      <w:lvlJc w:val="left"/>
      <w:pPr>
        <w:ind w:left="6542" w:hanging="624"/>
      </w:pPr>
      <w:rPr>
        <w:rFonts w:hint="default"/>
      </w:rPr>
    </w:lvl>
  </w:abstractNum>
  <w:abstractNum w:abstractNumId="3">
    <w:multiLevelType w:val="hybridMultilevel"/>
    <w:lvl w:ilvl="0">
      <w:start w:val="1"/>
      <w:numFmt w:val="decimal"/>
      <w:lvlText w:val="（%1）"/>
      <w:lvlJc w:val="left"/>
      <w:pPr>
        <w:ind w:left="3203" w:hanging="624"/>
        <w:jc w:val="left"/>
      </w:pPr>
      <w:rPr>
        <w:rFonts w:hint="default" w:ascii="宋体" w:hAnsi="宋体" w:eastAsia="宋体" w:cs="宋体"/>
        <w:w w:val="100"/>
        <w:sz w:val="21"/>
        <w:szCs w:val="21"/>
      </w:rPr>
    </w:lvl>
    <w:lvl w:ilvl="1">
      <w:start w:val="0"/>
      <w:numFmt w:val="bullet"/>
      <w:lvlText w:val="•"/>
      <w:lvlJc w:val="left"/>
      <w:pPr>
        <w:ind w:left="3898" w:hanging="624"/>
      </w:pPr>
      <w:rPr>
        <w:rFonts w:hint="default"/>
      </w:rPr>
    </w:lvl>
    <w:lvl w:ilvl="2">
      <w:start w:val="0"/>
      <w:numFmt w:val="bullet"/>
      <w:lvlText w:val="•"/>
      <w:lvlJc w:val="left"/>
      <w:pPr>
        <w:ind w:left="4596" w:hanging="624"/>
      </w:pPr>
      <w:rPr>
        <w:rFonts w:hint="default"/>
      </w:rPr>
    </w:lvl>
    <w:lvl w:ilvl="3">
      <w:start w:val="0"/>
      <w:numFmt w:val="bullet"/>
      <w:lvlText w:val="•"/>
      <w:lvlJc w:val="left"/>
      <w:pPr>
        <w:ind w:left="5294" w:hanging="624"/>
      </w:pPr>
      <w:rPr>
        <w:rFonts w:hint="default"/>
      </w:rPr>
    </w:lvl>
    <w:lvl w:ilvl="4">
      <w:start w:val="0"/>
      <w:numFmt w:val="bullet"/>
      <w:lvlText w:val="•"/>
      <w:lvlJc w:val="left"/>
      <w:pPr>
        <w:ind w:left="5992" w:hanging="624"/>
      </w:pPr>
      <w:rPr>
        <w:rFonts w:hint="default"/>
      </w:rPr>
    </w:lvl>
    <w:lvl w:ilvl="5">
      <w:start w:val="0"/>
      <w:numFmt w:val="bullet"/>
      <w:lvlText w:val="•"/>
      <w:lvlJc w:val="left"/>
      <w:pPr>
        <w:ind w:left="6690" w:hanging="624"/>
      </w:pPr>
      <w:rPr>
        <w:rFonts w:hint="default"/>
      </w:rPr>
    </w:lvl>
    <w:lvl w:ilvl="6">
      <w:start w:val="0"/>
      <w:numFmt w:val="bullet"/>
      <w:lvlText w:val="•"/>
      <w:lvlJc w:val="left"/>
      <w:pPr>
        <w:ind w:left="7388" w:hanging="624"/>
      </w:pPr>
      <w:rPr>
        <w:rFonts w:hint="default"/>
      </w:rPr>
    </w:lvl>
    <w:lvl w:ilvl="7">
      <w:start w:val="0"/>
      <w:numFmt w:val="bullet"/>
      <w:lvlText w:val="•"/>
      <w:lvlJc w:val="left"/>
      <w:pPr>
        <w:ind w:left="8086" w:hanging="624"/>
      </w:pPr>
      <w:rPr>
        <w:rFonts w:hint="default"/>
      </w:rPr>
    </w:lvl>
    <w:lvl w:ilvl="8">
      <w:start w:val="0"/>
      <w:numFmt w:val="bullet"/>
      <w:lvlText w:val="•"/>
      <w:lvlJc w:val="left"/>
      <w:pPr>
        <w:ind w:left="8784" w:hanging="624"/>
      </w:pPr>
      <w:rPr>
        <w:rFonts w:hint="default"/>
      </w:rPr>
    </w:lvl>
  </w:abstractNum>
  <w:abstractNum w:abstractNumId="2">
    <w:multiLevelType w:val="hybridMultilevel"/>
    <w:lvl w:ilvl="0">
      <w:start w:val="1"/>
      <w:numFmt w:val="decimal"/>
      <w:lvlText w:val="（%1）"/>
      <w:lvlJc w:val="left"/>
      <w:pPr>
        <w:ind w:left="3625" w:hanging="627"/>
        <w:jc w:val="left"/>
      </w:pPr>
      <w:rPr>
        <w:rFonts w:hint="default" w:ascii="宋体" w:hAnsi="宋体" w:eastAsia="宋体" w:cs="宋体"/>
        <w:w w:val="100"/>
        <w:sz w:val="21"/>
        <w:szCs w:val="21"/>
      </w:rPr>
    </w:lvl>
    <w:lvl w:ilvl="1">
      <w:start w:val="0"/>
      <w:numFmt w:val="bullet"/>
      <w:lvlText w:val="•"/>
      <w:lvlJc w:val="left"/>
      <w:pPr>
        <w:ind w:left="4276" w:hanging="627"/>
      </w:pPr>
      <w:rPr>
        <w:rFonts w:hint="default"/>
      </w:rPr>
    </w:lvl>
    <w:lvl w:ilvl="2">
      <w:start w:val="0"/>
      <w:numFmt w:val="bullet"/>
      <w:lvlText w:val="•"/>
      <w:lvlJc w:val="left"/>
      <w:pPr>
        <w:ind w:left="4932" w:hanging="627"/>
      </w:pPr>
      <w:rPr>
        <w:rFonts w:hint="default"/>
      </w:rPr>
    </w:lvl>
    <w:lvl w:ilvl="3">
      <w:start w:val="0"/>
      <w:numFmt w:val="bullet"/>
      <w:lvlText w:val="•"/>
      <w:lvlJc w:val="left"/>
      <w:pPr>
        <w:ind w:left="5588" w:hanging="627"/>
      </w:pPr>
      <w:rPr>
        <w:rFonts w:hint="default"/>
      </w:rPr>
    </w:lvl>
    <w:lvl w:ilvl="4">
      <w:start w:val="0"/>
      <w:numFmt w:val="bullet"/>
      <w:lvlText w:val="•"/>
      <w:lvlJc w:val="left"/>
      <w:pPr>
        <w:ind w:left="6244" w:hanging="627"/>
      </w:pPr>
      <w:rPr>
        <w:rFonts w:hint="default"/>
      </w:rPr>
    </w:lvl>
    <w:lvl w:ilvl="5">
      <w:start w:val="0"/>
      <w:numFmt w:val="bullet"/>
      <w:lvlText w:val="•"/>
      <w:lvlJc w:val="left"/>
      <w:pPr>
        <w:ind w:left="6900" w:hanging="627"/>
      </w:pPr>
      <w:rPr>
        <w:rFonts w:hint="default"/>
      </w:rPr>
    </w:lvl>
    <w:lvl w:ilvl="6">
      <w:start w:val="0"/>
      <w:numFmt w:val="bullet"/>
      <w:lvlText w:val="•"/>
      <w:lvlJc w:val="left"/>
      <w:pPr>
        <w:ind w:left="7556" w:hanging="627"/>
      </w:pPr>
      <w:rPr>
        <w:rFonts w:hint="default"/>
      </w:rPr>
    </w:lvl>
    <w:lvl w:ilvl="7">
      <w:start w:val="0"/>
      <w:numFmt w:val="bullet"/>
      <w:lvlText w:val="•"/>
      <w:lvlJc w:val="left"/>
      <w:pPr>
        <w:ind w:left="8212" w:hanging="627"/>
      </w:pPr>
      <w:rPr>
        <w:rFonts w:hint="default"/>
      </w:rPr>
    </w:lvl>
    <w:lvl w:ilvl="8">
      <w:start w:val="0"/>
      <w:numFmt w:val="bullet"/>
      <w:lvlText w:val="•"/>
      <w:lvlJc w:val="left"/>
      <w:pPr>
        <w:ind w:left="8868" w:hanging="627"/>
      </w:pPr>
      <w:rPr>
        <w:rFonts w:hint="default"/>
      </w:rPr>
    </w:lvl>
  </w:abstractNum>
  <w:abstractNum w:abstractNumId="1">
    <w:multiLevelType w:val="hybridMultilevel"/>
    <w:lvl w:ilvl="0">
      <w:start w:val="1"/>
      <w:numFmt w:val="decimal"/>
      <w:lvlText w:val="%1"/>
      <w:lvlJc w:val="left"/>
      <w:pPr>
        <w:ind w:left="949" w:hanging="689"/>
        <w:jc w:val="left"/>
      </w:pPr>
      <w:rPr>
        <w:rFonts w:hint="default" w:ascii="微软雅黑" w:hAnsi="微软雅黑" w:eastAsia="微软雅黑" w:cs="微软雅黑"/>
        <w:b/>
        <w:bCs/>
        <w:w w:val="80"/>
        <w:position w:val="-2"/>
        <w:sz w:val="32"/>
        <w:szCs w:val="32"/>
      </w:rPr>
    </w:lvl>
    <w:lvl w:ilvl="1">
      <w:start w:val="1"/>
      <w:numFmt w:val="decimal"/>
      <w:lvlText w:val="%1.%2"/>
      <w:lvlJc w:val="left"/>
      <w:pPr>
        <w:ind w:left="2579" w:hanging="740"/>
        <w:jc w:val="left"/>
      </w:pPr>
      <w:rPr>
        <w:rFonts w:hint="default" w:ascii="微软雅黑" w:hAnsi="微软雅黑" w:eastAsia="微软雅黑" w:cs="微软雅黑"/>
        <w:b/>
        <w:bCs/>
        <w:w w:val="81"/>
        <w:sz w:val="21"/>
        <w:szCs w:val="21"/>
      </w:rPr>
    </w:lvl>
    <w:lvl w:ilvl="2">
      <w:start w:val="1"/>
      <w:numFmt w:val="decimal"/>
      <w:lvlText w:val="%3."/>
      <w:lvlJc w:val="left"/>
      <w:pPr>
        <w:ind w:left="2999" w:hanging="420"/>
        <w:jc w:val="left"/>
      </w:pPr>
      <w:rPr>
        <w:rFonts w:hint="default" w:ascii="微软雅黑" w:hAnsi="微软雅黑" w:eastAsia="微软雅黑" w:cs="微软雅黑"/>
        <w:b/>
        <w:bCs/>
        <w:w w:val="81"/>
        <w:sz w:val="21"/>
        <w:szCs w:val="21"/>
      </w:rPr>
    </w:lvl>
    <w:lvl w:ilvl="3">
      <w:start w:val="1"/>
      <w:numFmt w:val="decimal"/>
      <w:lvlText w:val="（%4）"/>
      <w:lvlJc w:val="left"/>
      <w:pPr>
        <w:ind w:left="3625" w:hanging="629"/>
        <w:jc w:val="left"/>
      </w:pPr>
      <w:rPr>
        <w:rFonts w:hint="default" w:ascii="宋体" w:hAnsi="宋体" w:eastAsia="宋体" w:cs="宋体"/>
        <w:w w:val="100"/>
        <w:sz w:val="21"/>
        <w:szCs w:val="21"/>
      </w:rPr>
    </w:lvl>
    <w:lvl w:ilvl="4">
      <w:start w:val="0"/>
      <w:numFmt w:val="bullet"/>
      <w:lvlText w:val="•"/>
      <w:lvlJc w:val="left"/>
      <w:pPr>
        <w:ind w:left="3620" w:hanging="629"/>
      </w:pPr>
      <w:rPr>
        <w:rFonts w:hint="default"/>
      </w:rPr>
    </w:lvl>
    <w:lvl w:ilvl="5">
      <w:start w:val="0"/>
      <w:numFmt w:val="bullet"/>
      <w:lvlText w:val="•"/>
      <w:lvlJc w:val="left"/>
      <w:pPr>
        <w:ind w:left="4703" w:hanging="629"/>
      </w:pPr>
      <w:rPr>
        <w:rFonts w:hint="default"/>
      </w:rPr>
    </w:lvl>
    <w:lvl w:ilvl="6">
      <w:start w:val="0"/>
      <w:numFmt w:val="bullet"/>
      <w:lvlText w:val="•"/>
      <w:lvlJc w:val="left"/>
      <w:pPr>
        <w:ind w:left="5786" w:hanging="629"/>
      </w:pPr>
      <w:rPr>
        <w:rFonts w:hint="default"/>
      </w:rPr>
    </w:lvl>
    <w:lvl w:ilvl="7">
      <w:start w:val="0"/>
      <w:numFmt w:val="bullet"/>
      <w:lvlText w:val="•"/>
      <w:lvlJc w:val="left"/>
      <w:pPr>
        <w:ind w:left="6870" w:hanging="629"/>
      </w:pPr>
      <w:rPr>
        <w:rFonts w:hint="default"/>
      </w:rPr>
    </w:lvl>
    <w:lvl w:ilvl="8">
      <w:start w:val="0"/>
      <w:numFmt w:val="bullet"/>
      <w:lvlText w:val="•"/>
      <w:lvlJc w:val="left"/>
      <w:pPr>
        <w:ind w:left="7953" w:hanging="629"/>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4" w:hanging="420"/>
      </w:pPr>
      <w:rPr>
        <w:rFonts w:hint="default"/>
      </w:rPr>
    </w:lvl>
    <w:lvl w:ilvl="3">
      <w:start w:val="0"/>
      <w:numFmt w:val="bullet"/>
      <w:lvlText w:val="•"/>
      <w:lvlJc w:val="left"/>
      <w:pPr>
        <w:ind w:left="4286" w:hanging="420"/>
      </w:pPr>
      <w:rPr>
        <w:rFonts w:hint="default"/>
      </w:rPr>
    </w:lvl>
    <w:lvl w:ilvl="4">
      <w:start w:val="0"/>
      <w:numFmt w:val="bullet"/>
      <w:lvlText w:val="•"/>
      <w:lvlJc w:val="left"/>
      <w:pPr>
        <w:ind w:left="5168" w:hanging="420"/>
      </w:pPr>
      <w:rPr>
        <w:rFonts w:hint="default"/>
      </w:rPr>
    </w:lvl>
    <w:lvl w:ilvl="5">
      <w:start w:val="0"/>
      <w:numFmt w:val="bullet"/>
      <w:lvlText w:val="•"/>
      <w:lvlJc w:val="left"/>
      <w:pPr>
        <w:ind w:left="6050" w:hanging="420"/>
      </w:pPr>
      <w:rPr>
        <w:rFonts w:hint="default"/>
      </w:rPr>
    </w:lvl>
    <w:lvl w:ilvl="6">
      <w:start w:val="0"/>
      <w:numFmt w:val="bullet"/>
      <w:lvlText w:val="•"/>
      <w:lvlJc w:val="left"/>
      <w:pPr>
        <w:ind w:left="6932" w:hanging="420"/>
      </w:pPr>
      <w:rPr>
        <w:rFonts w:hint="default"/>
      </w:rPr>
    </w:lvl>
    <w:lvl w:ilvl="7">
      <w:start w:val="0"/>
      <w:numFmt w:val="bullet"/>
      <w:lvlText w:val="•"/>
      <w:lvlJc w:val="left"/>
      <w:pPr>
        <w:ind w:left="7814" w:hanging="420"/>
      </w:pPr>
      <w:rPr>
        <w:rFonts w:hint="default"/>
      </w:rPr>
    </w:lvl>
    <w:lvl w:ilvl="8">
      <w:start w:val="0"/>
      <w:numFmt w:val="bullet"/>
      <w:lvlText w:val="•"/>
      <w:lvlJc w:val="left"/>
      <w:pPr>
        <w:ind w:left="8696" w:hanging="42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3"/>
    </w:pPr>
    <w:rPr>
      <w:rFonts w:ascii="宋体" w:hAnsi="宋体" w:eastAsia="宋体" w:cs="宋体"/>
      <w:sz w:val="21"/>
      <w:szCs w:val="21"/>
    </w:rPr>
  </w:style>
  <w:style w:styleId="Heading1" w:type="paragraph">
    <w:name w:val="Heading 1"/>
    <w:basedOn w:val="Normal"/>
    <w:uiPriority w:val="1"/>
    <w:qFormat/>
    <w:pPr>
      <w:ind w:left="866" w:right="98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49" w:hanging="689"/>
      <w:outlineLvl w:val="2"/>
    </w:pPr>
    <w:rPr>
      <w:rFonts w:ascii="微软雅黑" w:hAnsi="微软雅黑" w:eastAsia="微软雅黑" w:cs="微软雅黑"/>
      <w:b/>
      <w:bCs/>
      <w:sz w:val="24"/>
      <w:szCs w:val="24"/>
    </w:rPr>
  </w:style>
  <w:style w:styleId="Heading3" w:type="paragraph">
    <w:name w:val="Heading 3"/>
    <w:basedOn w:val="Normal"/>
    <w:uiPriority w:val="1"/>
    <w:qFormat/>
    <w:pPr>
      <w:ind w:left="949" w:hanging="739"/>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696" w:hanging="236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\376\377\000u\000s\000e\000r</dc:creator>
  <dc:subject>27</dc:subject>
  <dc:title>()</dc:title>
  <dcterms:created xsi:type="dcterms:W3CDTF">2018-10-20T02:01:37Z</dcterms:created>
  <dcterms:modified xsi:type="dcterms:W3CDTF">2018-10-20T02:01:37Z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2009-09-07T00:00:00Z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2018-10-19T00:00:00Z</vt:filetime>
  </property>
</Properties>
</file>